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header43.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44.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47.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charts/chart2.xml" ContentType="application/vnd.openxmlformats-officedocument.drawingml.chart+xml"/>
  <Override PartName="/word/theme/themeOverride1.xml" ContentType="application/vnd.openxmlformats-officedocument.themeOverride+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45C7D" w14:textId="77777777" w:rsidR="00F352C4" w:rsidRPr="007B2462" w:rsidRDefault="00F352C4" w:rsidP="00F352C4">
      <w:pPr>
        <w:pBdr>
          <w:bottom w:val="single" w:sz="12" w:space="0" w:color="auto"/>
        </w:pBdr>
        <w:spacing w:before="1560"/>
        <w:jc w:val="center"/>
        <w:rPr>
          <w:rFonts w:ascii="Calibri" w:hAnsi="Calibri"/>
          <w:b/>
          <w:sz w:val="52"/>
          <w:szCs w:val="52"/>
        </w:rPr>
      </w:pPr>
      <w:r>
        <w:rPr>
          <w:rFonts w:ascii="Calibri" w:hAnsi="Calibri"/>
          <w:b/>
          <w:sz w:val="52"/>
          <w:szCs w:val="52"/>
        </w:rPr>
        <w:t>Budget Update</w:t>
      </w:r>
    </w:p>
    <w:p w14:paraId="44DD16D4" w14:textId="02410A4C" w:rsidR="00F352C4" w:rsidRPr="00E34C95" w:rsidRDefault="00F352C4" w:rsidP="00F352C4">
      <w:pPr>
        <w:jc w:val="center"/>
        <w:rPr>
          <w:rFonts w:ascii="Calibri" w:hAnsi="Calibri"/>
          <w:b/>
          <w:sz w:val="50"/>
          <w:szCs w:val="52"/>
        </w:rPr>
      </w:pPr>
      <w:r w:rsidRPr="007B2462">
        <w:rPr>
          <w:rFonts w:ascii="Calibri" w:hAnsi="Calibri"/>
          <w:b/>
          <w:sz w:val="52"/>
          <w:szCs w:val="52"/>
        </w:rPr>
        <w:t>20</w:t>
      </w:r>
      <w:r>
        <w:rPr>
          <w:rFonts w:ascii="Calibri" w:hAnsi="Calibri"/>
          <w:b/>
          <w:sz w:val="52"/>
          <w:szCs w:val="52"/>
        </w:rPr>
        <w:t>23</w:t>
      </w:r>
      <w:r>
        <w:rPr>
          <w:rFonts w:ascii="Calibri" w:hAnsi="Calibri"/>
          <w:b/>
          <w:sz w:val="52"/>
          <w:szCs w:val="52"/>
        </w:rPr>
        <w:noBreakHyphen/>
        <w:t>24</w:t>
      </w:r>
    </w:p>
    <w:p w14:paraId="70C1A0AC" w14:textId="77777777" w:rsidR="00F352C4" w:rsidRDefault="00F352C4" w:rsidP="00F352C4">
      <w:pPr>
        <w:jc w:val="center"/>
        <w:rPr>
          <w:rFonts w:ascii="Calibri" w:hAnsi="Calibri"/>
          <w:sz w:val="30"/>
          <w:szCs w:val="30"/>
        </w:rPr>
      </w:pPr>
    </w:p>
    <w:p w14:paraId="4F3DE8A2" w14:textId="77777777" w:rsidR="00F352C4" w:rsidRPr="007B2462" w:rsidRDefault="00F352C4" w:rsidP="00F352C4">
      <w:pPr>
        <w:jc w:val="center"/>
        <w:rPr>
          <w:rFonts w:ascii="Calibri" w:hAnsi="Calibri"/>
          <w:sz w:val="30"/>
          <w:szCs w:val="30"/>
        </w:rPr>
      </w:pPr>
    </w:p>
    <w:p w14:paraId="15127C53" w14:textId="77777777" w:rsidR="00F352C4" w:rsidRPr="007B2462" w:rsidRDefault="00F352C4" w:rsidP="00F352C4">
      <w:pPr>
        <w:jc w:val="center"/>
      </w:pPr>
      <w:r w:rsidRPr="00D26163">
        <w:rPr>
          <w:rFonts w:ascii="Calibri" w:hAnsi="Calibri" w:cs="Calibri"/>
          <w:noProof/>
          <w:lang w:eastAsia="en-AU"/>
        </w:rPr>
        <w:drawing>
          <wp:inline distT="0" distB="0" distL="0" distR="0" wp14:anchorId="46E297B7" wp14:editId="7DE32A3C">
            <wp:extent cx="940435" cy="11474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0435" cy="1147445"/>
                    </a:xfrm>
                    <a:prstGeom prst="rect">
                      <a:avLst/>
                    </a:prstGeom>
                    <a:noFill/>
                    <a:ln>
                      <a:noFill/>
                    </a:ln>
                  </pic:spPr>
                </pic:pic>
              </a:graphicData>
            </a:graphic>
          </wp:inline>
        </w:drawing>
      </w:r>
    </w:p>
    <w:p w14:paraId="01383E18" w14:textId="77777777" w:rsidR="00F352C4" w:rsidRPr="007B2462" w:rsidRDefault="00F352C4" w:rsidP="00F352C4">
      <w:pPr>
        <w:jc w:val="center"/>
        <w:rPr>
          <w:sz w:val="36"/>
          <w:szCs w:val="36"/>
        </w:rPr>
      </w:pPr>
    </w:p>
    <w:p w14:paraId="65B2CC33" w14:textId="77777777" w:rsidR="00F352C4" w:rsidRPr="007B2462" w:rsidRDefault="00F352C4" w:rsidP="00F352C4">
      <w:pPr>
        <w:jc w:val="center"/>
        <w:rPr>
          <w:sz w:val="36"/>
          <w:szCs w:val="36"/>
        </w:rPr>
      </w:pPr>
    </w:p>
    <w:p w14:paraId="1750A430" w14:textId="77777777" w:rsidR="00F352C4" w:rsidRPr="007B2462" w:rsidRDefault="00F352C4" w:rsidP="00F352C4">
      <w:pPr>
        <w:jc w:val="center"/>
        <w:rPr>
          <w:sz w:val="36"/>
          <w:szCs w:val="36"/>
        </w:rPr>
      </w:pPr>
    </w:p>
    <w:p w14:paraId="0BB77459" w14:textId="77777777" w:rsidR="00F352C4" w:rsidRPr="007B2462" w:rsidRDefault="00F352C4" w:rsidP="00F352C4">
      <w:pPr>
        <w:jc w:val="center"/>
        <w:rPr>
          <w:rFonts w:ascii="Calibri" w:hAnsi="Calibri"/>
          <w:sz w:val="28"/>
          <w:szCs w:val="28"/>
        </w:rPr>
      </w:pPr>
      <w:r w:rsidRPr="007B2462">
        <w:rPr>
          <w:rFonts w:ascii="Calibri" w:hAnsi="Calibri"/>
          <w:sz w:val="28"/>
          <w:szCs w:val="28"/>
        </w:rPr>
        <w:t>Presented by</w:t>
      </w:r>
    </w:p>
    <w:p w14:paraId="17F72292" w14:textId="77777777" w:rsidR="00F352C4" w:rsidRPr="00D26163" w:rsidRDefault="00F352C4" w:rsidP="00F352C4">
      <w:pPr>
        <w:jc w:val="center"/>
        <w:rPr>
          <w:rFonts w:ascii="Calibri" w:hAnsi="Calibri" w:cs="Calibri"/>
          <w:b/>
          <w:sz w:val="36"/>
          <w:szCs w:val="36"/>
        </w:rPr>
      </w:pPr>
      <w:r w:rsidRPr="00D26163">
        <w:rPr>
          <w:rFonts w:ascii="Calibri" w:hAnsi="Calibri" w:cs="Calibri"/>
          <w:b/>
          <w:sz w:val="36"/>
          <w:szCs w:val="36"/>
        </w:rPr>
        <w:t>Tim Pallas MP</w:t>
      </w:r>
    </w:p>
    <w:p w14:paraId="7EF60344" w14:textId="77777777" w:rsidR="00F352C4" w:rsidRPr="00D26163" w:rsidRDefault="00F352C4" w:rsidP="00F352C4">
      <w:pPr>
        <w:jc w:val="center"/>
        <w:rPr>
          <w:rFonts w:ascii="Calibri" w:hAnsi="Calibri" w:cs="Calibri"/>
          <w:sz w:val="28"/>
          <w:szCs w:val="28"/>
        </w:rPr>
      </w:pPr>
      <w:r w:rsidRPr="00D26163">
        <w:rPr>
          <w:rFonts w:ascii="Calibri" w:hAnsi="Calibri" w:cs="Calibri"/>
          <w:sz w:val="28"/>
          <w:szCs w:val="28"/>
        </w:rPr>
        <w:t>Treasurer of the State of Victoria</w:t>
      </w:r>
    </w:p>
    <w:p w14:paraId="3EE84BCD" w14:textId="77777777" w:rsidR="00F352C4" w:rsidRDefault="00F352C4" w:rsidP="00F352C4">
      <w:pPr>
        <w:jc w:val="center"/>
        <w:rPr>
          <w:rFonts w:ascii="Calibri" w:hAnsi="Calibri"/>
          <w:sz w:val="30"/>
          <w:szCs w:val="30"/>
        </w:rPr>
      </w:pPr>
      <w:r w:rsidRPr="007B2462">
        <w:rPr>
          <w:rFonts w:ascii="Calibri" w:hAnsi="Calibri"/>
          <w:sz w:val="30"/>
          <w:szCs w:val="30"/>
        </w:rPr>
        <w:t>for the information of Honourable Members</w:t>
      </w:r>
    </w:p>
    <w:p w14:paraId="2FF5D12E" w14:textId="77777777" w:rsidR="00235286" w:rsidRDefault="00235286">
      <w:pPr>
        <w:keepLines w:val="0"/>
        <w:rPr>
          <w:rFonts w:ascii="Calibri" w:hAnsi="Calibri"/>
          <w:sz w:val="30"/>
          <w:szCs w:val="30"/>
        </w:rPr>
      </w:pPr>
    </w:p>
    <w:p w14:paraId="1588CDC8" w14:textId="59947914" w:rsidR="00235286" w:rsidRDefault="00235286">
      <w:pPr>
        <w:keepLines w:val="0"/>
        <w:rPr>
          <w:rFonts w:ascii="Calibri" w:hAnsi="Calibri"/>
          <w:sz w:val="30"/>
          <w:szCs w:val="30"/>
        </w:rPr>
        <w:sectPr w:rsidR="00235286">
          <w:pgSz w:w="9979" w:h="14175" w:code="9"/>
          <w:pgMar w:top="850" w:right="1134" w:bottom="850" w:left="1134" w:header="624" w:footer="567" w:gutter="0"/>
          <w:cols w:sep="1" w:space="567"/>
          <w:docGrid w:linePitch="360"/>
        </w:sectPr>
      </w:pPr>
    </w:p>
    <w:p w14:paraId="6D694496" w14:textId="77777777" w:rsidR="00235286" w:rsidRPr="00810818" w:rsidRDefault="00235286" w:rsidP="00235286">
      <w:pPr>
        <w:rPr>
          <w:rFonts w:ascii="Calibri" w:hAnsi="Calibri"/>
          <w:sz w:val="16"/>
          <w:szCs w:val="16"/>
        </w:rPr>
      </w:pPr>
      <w:r w:rsidRPr="00810818">
        <w:rPr>
          <w:rFonts w:ascii="Calibri" w:hAnsi="Calibri"/>
          <w:sz w:val="16"/>
          <w:szCs w:val="16"/>
        </w:rPr>
        <w:lastRenderedPageBreak/>
        <w:t>The Secretary</w:t>
      </w:r>
      <w:r>
        <w:rPr>
          <w:rFonts w:ascii="Calibri" w:hAnsi="Calibri"/>
          <w:sz w:val="16"/>
          <w:szCs w:val="16"/>
        </w:rPr>
        <w:br/>
      </w:r>
      <w:r w:rsidRPr="00810818">
        <w:rPr>
          <w:rFonts w:ascii="Calibri" w:hAnsi="Calibri"/>
          <w:sz w:val="16"/>
          <w:szCs w:val="16"/>
        </w:rPr>
        <w:t>Department of Treasury and Finance</w:t>
      </w:r>
      <w:r>
        <w:rPr>
          <w:rFonts w:ascii="Calibri" w:hAnsi="Calibri"/>
          <w:sz w:val="16"/>
          <w:szCs w:val="16"/>
        </w:rPr>
        <w:br/>
      </w:r>
      <w:r w:rsidRPr="00810818">
        <w:rPr>
          <w:rFonts w:ascii="Calibri" w:hAnsi="Calibri"/>
          <w:sz w:val="16"/>
          <w:szCs w:val="16"/>
        </w:rPr>
        <w:t>1 Treasury Place</w:t>
      </w:r>
      <w:r>
        <w:rPr>
          <w:rFonts w:ascii="Calibri" w:hAnsi="Calibri"/>
          <w:sz w:val="16"/>
          <w:szCs w:val="16"/>
        </w:rPr>
        <w:br/>
      </w:r>
      <w:r w:rsidRPr="00810818">
        <w:rPr>
          <w:rFonts w:ascii="Calibri" w:hAnsi="Calibri"/>
          <w:sz w:val="16"/>
          <w:szCs w:val="16"/>
        </w:rPr>
        <w:t>Melbourne, Victoria, 3002</w:t>
      </w:r>
      <w:r>
        <w:rPr>
          <w:rFonts w:ascii="Calibri" w:hAnsi="Calibri"/>
          <w:sz w:val="16"/>
          <w:szCs w:val="16"/>
        </w:rPr>
        <w:br/>
        <w:t>A</w:t>
      </w:r>
      <w:r w:rsidRPr="00810818">
        <w:rPr>
          <w:rFonts w:ascii="Calibri" w:hAnsi="Calibri"/>
          <w:sz w:val="16"/>
          <w:szCs w:val="16"/>
        </w:rPr>
        <w:t>ustralia</w:t>
      </w:r>
    </w:p>
    <w:p w14:paraId="7A793270" w14:textId="77777777" w:rsidR="00235286" w:rsidRPr="00810818" w:rsidRDefault="00235286" w:rsidP="00235286">
      <w:pPr>
        <w:rPr>
          <w:rFonts w:ascii="Calibri" w:hAnsi="Calibri"/>
          <w:sz w:val="16"/>
          <w:szCs w:val="16"/>
        </w:rPr>
      </w:pPr>
      <w:r w:rsidRPr="00810818">
        <w:rPr>
          <w:rFonts w:ascii="Calibri" w:hAnsi="Calibri"/>
          <w:sz w:val="16"/>
          <w:szCs w:val="16"/>
        </w:rPr>
        <w:t>Tel: (03) 9651 5111</w:t>
      </w:r>
      <w:r>
        <w:rPr>
          <w:rFonts w:ascii="Calibri" w:hAnsi="Calibri"/>
          <w:sz w:val="16"/>
          <w:szCs w:val="16"/>
        </w:rPr>
        <w:br/>
      </w:r>
      <w:r w:rsidRPr="00810818">
        <w:rPr>
          <w:rFonts w:ascii="Calibri" w:hAnsi="Calibri"/>
          <w:sz w:val="16"/>
          <w:szCs w:val="16"/>
        </w:rPr>
        <w:t>dtf.vic.gov.au</w:t>
      </w:r>
    </w:p>
    <w:p w14:paraId="1690EDF3" w14:textId="676C2C0F" w:rsidR="00235286" w:rsidRPr="00810818" w:rsidRDefault="00235286" w:rsidP="00235286">
      <w:pPr>
        <w:rPr>
          <w:rFonts w:ascii="Calibri" w:hAnsi="Calibri"/>
          <w:sz w:val="16"/>
          <w:szCs w:val="16"/>
        </w:rPr>
      </w:pPr>
      <w:r w:rsidRPr="00810818">
        <w:rPr>
          <w:rFonts w:ascii="Calibri" w:hAnsi="Calibri"/>
          <w:sz w:val="16"/>
          <w:szCs w:val="16"/>
        </w:rPr>
        <w:t>Authorised by the Victorian Government</w:t>
      </w:r>
      <w:r>
        <w:rPr>
          <w:rFonts w:ascii="Calibri" w:hAnsi="Calibri"/>
          <w:sz w:val="16"/>
          <w:szCs w:val="16"/>
        </w:rPr>
        <w:br/>
      </w:r>
      <w:r w:rsidRPr="00810818">
        <w:rPr>
          <w:rFonts w:ascii="Calibri" w:hAnsi="Calibri"/>
          <w:sz w:val="16"/>
          <w:szCs w:val="16"/>
        </w:rPr>
        <w:t>1 Treasury Place, Melbourne, 3002</w:t>
      </w:r>
    </w:p>
    <w:p w14:paraId="51052F1C" w14:textId="49128B05" w:rsidR="00235286" w:rsidRPr="00810818" w:rsidRDefault="00235286" w:rsidP="00235286">
      <w:pPr>
        <w:rPr>
          <w:rFonts w:ascii="Calibri" w:hAnsi="Calibri"/>
          <w:sz w:val="16"/>
          <w:szCs w:val="16"/>
        </w:rPr>
      </w:pPr>
      <w:r w:rsidRPr="00810818">
        <w:rPr>
          <w:rFonts w:ascii="Calibri" w:hAnsi="Calibri"/>
          <w:sz w:val="16"/>
          <w:szCs w:val="16"/>
        </w:rPr>
        <w:t xml:space="preserve">Printed by </w:t>
      </w:r>
      <w:r w:rsidR="00DA37FE">
        <w:rPr>
          <w:rFonts w:ascii="Calibri" w:hAnsi="Calibri"/>
          <w:sz w:val="16"/>
          <w:szCs w:val="16"/>
        </w:rPr>
        <w:t>Doculink, Port Melbourne</w:t>
      </w:r>
    </w:p>
    <w:p w14:paraId="4EED28FA" w14:textId="2EDB9DDA" w:rsidR="00235286" w:rsidRPr="00810818" w:rsidRDefault="00235286" w:rsidP="00235286">
      <w:pPr>
        <w:rPr>
          <w:rFonts w:ascii="Calibri" w:hAnsi="Calibri"/>
          <w:sz w:val="16"/>
          <w:szCs w:val="16"/>
        </w:rPr>
      </w:pPr>
      <w:r w:rsidRPr="00810818">
        <w:rPr>
          <w:rFonts w:ascii="Calibri" w:hAnsi="Calibri"/>
          <w:sz w:val="16"/>
          <w:szCs w:val="16"/>
        </w:rPr>
        <w:t>© State of Victoria 202</w:t>
      </w:r>
      <w:r w:rsidR="00516AD2">
        <w:rPr>
          <w:rFonts w:ascii="Calibri" w:hAnsi="Calibri"/>
          <w:sz w:val="16"/>
          <w:szCs w:val="16"/>
        </w:rPr>
        <w:t>3</w:t>
      </w:r>
    </w:p>
    <w:p w14:paraId="7B49D68F" w14:textId="77777777" w:rsidR="00235286" w:rsidRPr="00810818" w:rsidRDefault="00235286" w:rsidP="00235286">
      <w:pPr>
        <w:rPr>
          <w:rFonts w:ascii="Calibri" w:hAnsi="Calibri"/>
          <w:sz w:val="16"/>
          <w:szCs w:val="16"/>
        </w:rPr>
      </w:pPr>
      <w:r w:rsidRPr="00810818">
        <w:rPr>
          <w:rFonts w:ascii="Calibri" w:hAnsi="Calibri"/>
          <w:noProof/>
          <w:sz w:val="16"/>
          <w:szCs w:val="16"/>
        </w:rPr>
        <w:drawing>
          <wp:inline distT="0" distB="0" distL="0" distR="0" wp14:anchorId="031CF47E" wp14:editId="08DC2B2B">
            <wp:extent cx="873760" cy="296196"/>
            <wp:effectExtent l="0" t="0" r="2540" b="8890"/>
            <wp:docPr id="2" name="Picture 2">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6" name="Picture 5">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923110" cy="312925"/>
                    </a:xfrm>
                    <a:prstGeom prst="rect">
                      <a:avLst/>
                    </a:prstGeom>
                  </pic:spPr>
                </pic:pic>
              </a:graphicData>
            </a:graphic>
          </wp:inline>
        </w:drawing>
      </w:r>
    </w:p>
    <w:p w14:paraId="5AB920B0" w14:textId="77777777" w:rsidR="00235286" w:rsidRPr="00810818" w:rsidRDefault="00235286" w:rsidP="00235286">
      <w:pPr>
        <w:rPr>
          <w:rFonts w:ascii="Calibri" w:hAnsi="Calibri"/>
          <w:sz w:val="16"/>
          <w:szCs w:val="16"/>
        </w:rPr>
      </w:pPr>
      <w:r w:rsidRPr="00E00690">
        <w:rPr>
          <w:rFonts w:ascii="Calibri" w:hAnsi="Calibri"/>
          <w:sz w:val="16"/>
          <w:szCs w:val="16"/>
        </w:rPr>
        <w:t>You are free to re-use this work under a Creative</w:t>
      </w:r>
      <w:r>
        <w:rPr>
          <w:rFonts w:ascii="Calibri" w:hAnsi="Calibri"/>
          <w:sz w:val="16"/>
          <w:szCs w:val="16"/>
        </w:rPr>
        <w:t xml:space="preserve"> </w:t>
      </w:r>
      <w:r w:rsidRPr="00E00690">
        <w:rPr>
          <w:rFonts w:ascii="Calibri" w:hAnsi="Calibri"/>
          <w:sz w:val="16"/>
          <w:szCs w:val="16"/>
        </w:rPr>
        <w:t xml:space="preserve">Commons </w:t>
      </w:r>
      <w:r>
        <w:rPr>
          <w:rFonts w:ascii="Calibri" w:hAnsi="Calibri"/>
          <w:sz w:val="16"/>
          <w:szCs w:val="16"/>
        </w:rPr>
        <w:br/>
      </w:r>
      <w:r w:rsidRPr="00E00690">
        <w:rPr>
          <w:rFonts w:ascii="Calibri" w:hAnsi="Calibri"/>
          <w:sz w:val="16"/>
          <w:szCs w:val="16"/>
        </w:rPr>
        <w:t>Attribution 4.0 licence, provided you</w:t>
      </w:r>
      <w:r>
        <w:rPr>
          <w:rFonts w:ascii="Calibri" w:hAnsi="Calibri"/>
          <w:sz w:val="16"/>
          <w:szCs w:val="16"/>
        </w:rPr>
        <w:t xml:space="preserve"> </w:t>
      </w:r>
      <w:r w:rsidRPr="00E00690">
        <w:rPr>
          <w:rFonts w:ascii="Calibri" w:hAnsi="Calibri"/>
          <w:sz w:val="16"/>
          <w:szCs w:val="16"/>
        </w:rPr>
        <w:t xml:space="preserve">credit the State of </w:t>
      </w:r>
      <w:r>
        <w:rPr>
          <w:rFonts w:ascii="Calibri" w:hAnsi="Calibri"/>
          <w:sz w:val="16"/>
          <w:szCs w:val="16"/>
        </w:rPr>
        <w:br/>
      </w:r>
      <w:r w:rsidRPr="00E00690">
        <w:rPr>
          <w:rFonts w:ascii="Calibri" w:hAnsi="Calibri"/>
          <w:sz w:val="16"/>
          <w:szCs w:val="16"/>
        </w:rPr>
        <w:t>Victoria (Department of Treasury</w:t>
      </w:r>
      <w:r>
        <w:rPr>
          <w:rFonts w:ascii="Calibri" w:hAnsi="Calibri"/>
          <w:sz w:val="16"/>
          <w:szCs w:val="16"/>
        </w:rPr>
        <w:t xml:space="preserve"> </w:t>
      </w:r>
      <w:r w:rsidRPr="00E00690">
        <w:rPr>
          <w:rFonts w:ascii="Calibri" w:hAnsi="Calibri"/>
          <w:sz w:val="16"/>
          <w:szCs w:val="16"/>
        </w:rPr>
        <w:t xml:space="preserve">and Finance) as author, </w:t>
      </w:r>
      <w:r>
        <w:rPr>
          <w:rFonts w:ascii="Calibri" w:hAnsi="Calibri"/>
          <w:sz w:val="16"/>
          <w:szCs w:val="16"/>
        </w:rPr>
        <w:br/>
      </w:r>
      <w:r w:rsidRPr="00E00690">
        <w:rPr>
          <w:rFonts w:ascii="Calibri" w:hAnsi="Calibri"/>
          <w:sz w:val="16"/>
          <w:szCs w:val="16"/>
        </w:rPr>
        <w:t>indicate if changes were</w:t>
      </w:r>
      <w:r>
        <w:rPr>
          <w:rFonts w:ascii="Calibri" w:hAnsi="Calibri"/>
          <w:sz w:val="16"/>
          <w:szCs w:val="16"/>
        </w:rPr>
        <w:t xml:space="preserve"> </w:t>
      </w:r>
      <w:r w:rsidRPr="00E00690">
        <w:rPr>
          <w:rFonts w:ascii="Calibri" w:hAnsi="Calibri"/>
          <w:sz w:val="16"/>
          <w:szCs w:val="16"/>
        </w:rPr>
        <w:t xml:space="preserve">made and comply with the other </w:t>
      </w:r>
      <w:r>
        <w:rPr>
          <w:rFonts w:ascii="Calibri" w:hAnsi="Calibri"/>
          <w:sz w:val="16"/>
          <w:szCs w:val="16"/>
        </w:rPr>
        <w:br/>
      </w:r>
      <w:r w:rsidRPr="00E00690">
        <w:rPr>
          <w:rFonts w:ascii="Calibri" w:hAnsi="Calibri"/>
          <w:sz w:val="16"/>
          <w:szCs w:val="16"/>
        </w:rPr>
        <w:t>licence terms.</w:t>
      </w:r>
      <w:r>
        <w:rPr>
          <w:rFonts w:ascii="Calibri" w:hAnsi="Calibri"/>
          <w:sz w:val="16"/>
          <w:szCs w:val="16"/>
        </w:rPr>
        <w:t xml:space="preserve"> </w:t>
      </w:r>
      <w:r w:rsidRPr="00E00690">
        <w:rPr>
          <w:rFonts w:ascii="Calibri" w:hAnsi="Calibri"/>
          <w:sz w:val="16"/>
          <w:szCs w:val="16"/>
        </w:rPr>
        <w:t>The licence does not apply to any branding,</w:t>
      </w:r>
      <w:r>
        <w:rPr>
          <w:rFonts w:ascii="Calibri" w:hAnsi="Calibri"/>
          <w:sz w:val="16"/>
          <w:szCs w:val="16"/>
        </w:rPr>
        <w:br/>
      </w:r>
      <w:r w:rsidRPr="00E00690">
        <w:rPr>
          <w:rFonts w:ascii="Calibri" w:hAnsi="Calibri"/>
          <w:sz w:val="16"/>
          <w:szCs w:val="16"/>
        </w:rPr>
        <w:t>including Government logos.</w:t>
      </w:r>
    </w:p>
    <w:p w14:paraId="0B27D9C8" w14:textId="205D5D8D" w:rsidR="00235286" w:rsidRPr="00810818" w:rsidRDefault="00235286" w:rsidP="00235286">
      <w:pPr>
        <w:rPr>
          <w:rFonts w:ascii="Calibri" w:hAnsi="Calibri"/>
          <w:sz w:val="16"/>
          <w:szCs w:val="16"/>
        </w:rPr>
      </w:pPr>
      <w:r w:rsidRPr="00810818">
        <w:rPr>
          <w:rFonts w:ascii="Calibri" w:hAnsi="Calibri"/>
          <w:sz w:val="16"/>
          <w:szCs w:val="16"/>
        </w:rPr>
        <w:t>Copyright queries may be directed to</w:t>
      </w:r>
      <w:r>
        <w:rPr>
          <w:rFonts w:ascii="Calibri" w:hAnsi="Calibri"/>
          <w:sz w:val="16"/>
          <w:szCs w:val="16"/>
        </w:rPr>
        <w:t xml:space="preserve"> </w:t>
      </w:r>
      <w:r w:rsidR="00136EE8">
        <w:rPr>
          <w:rFonts w:ascii="Calibri" w:hAnsi="Calibri"/>
          <w:sz w:val="16"/>
          <w:szCs w:val="16"/>
        </w:rPr>
        <w:t>information</w:t>
      </w:r>
      <w:r w:rsidRPr="00810818">
        <w:rPr>
          <w:rFonts w:ascii="Calibri" w:hAnsi="Calibri"/>
          <w:sz w:val="16"/>
          <w:szCs w:val="16"/>
        </w:rPr>
        <w:t>@dtf.vic.gov.au</w:t>
      </w:r>
      <w:r w:rsidR="00136EE8">
        <w:rPr>
          <w:rFonts w:ascii="Calibri" w:hAnsi="Calibri"/>
          <w:sz w:val="16"/>
          <w:szCs w:val="16"/>
        </w:rPr>
        <w:t>.</w:t>
      </w:r>
    </w:p>
    <w:p w14:paraId="12DA78F8" w14:textId="77777777" w:rsidR="00235286" w:rsidRPr="00810818" w:rsidRDefault="00235286" w:rsidP="00235286">
      <w:pPr>
        <w:rPr>
          <w:rFonts w:ascii="Calibri" w:hAnsi="Calibri"/>
          <w:sz w:val="16"/>
          <w:szCs w:val="16"/>
        </w:rPr>
      </w:pPr>
      <w:r w:rsidRPr="00810818">
        <w:rPr>
          <w:rFonts w:ascii="Calibri" w:hAnsi="Calibri"/>
          <w:sz w:val="16"/>
          <w:szCs w:val="16"/>
        </w:rPr>
        <w:t>ISSN 2204-7182 (print)</w:t>
      </w:r>
      <w:r w:rsidRPr="00810818">
        <w:rPr>
          <w:rFonts w:ascii="Calibri" w:hAnsi="Calibri"/>
          <w:sz w:val="16"/>
          <w:szCs w:val="16"/>
        </w:rPr>
        <w:br/>
        <w:t>ISSN 2204-4701 (online)</w:t>
      </w:r>
    </w:p>
    <w:p w14:paraId="70B0DA4D" w14:textId="187219D1" w:rsidR="00F352C4" w:rsidRDefault="00235286" w:rsidP="00235286">
      <w:pPr>
        <w:rPr>
          <w:rFonts w:ascii="Calibri" w:hAnsi="Calibri"/>
          <w:sz w:val="30"/>
          <w:szCs w:val="30"/>
        </w:rPr>
      </w:pPr>
      <w:r w:rsidRPr="00810818">
        <w:rPr>
          <w:rFonts w:ascii="Calibri" w:hAnsi="Calibri"/>
          <w:sz w:val="16"/>
          <w:szCs w:val="16"/>
        </w:rPr>
        <w:t xml:space="preserve">Published </w:t>
      </w:r>
      <w:r>
        <w:rPr>
          <w:rFonts w:ascii="Calibri" w:hAnsi="Calibri"/>
          <w:sz w:val="16"/>
          <w:szCs w:val="16"/>
        </w:rPr>
        <w:t>December</w:t>
      </w:r>
      <w:r w:rsidRPr="00810818">
        <w:rPr>
          <w:rFonts w:ascii="Calibri" w:hAnsi="Calibri"/>
          <w:sz w:val="16"/>
          <w:szCs w:val="16"/>
        </w:rPr>
        <w:t xml:space="preserve"> 202</w:t>
      </w:r>
      <w:r>
        <w:rPr>
          <w:rFonts w:ascii="Calibri" w:hAnsi="Calibri"/>
          <w:sz w:val="16"/>
          <w:szCs w:val="16"/>
        </w:rPr>
        <w:t>3</w:t>
      </w:r>
    </w:p>
    <w:p w14:paraId="4437A37B" w14:textId="77777777" w:rsidR="00F352C4" w:rsidRDefault="00F352C4" w:rsidP="00F352C4">
      <w:pPr>
        <w:jc w:val="center"/>
        <w:rPr>
          <w:rFonts w:ascii="Calibri" w:hAnsi="Calibri"/>
          <w:sz w:val="30"/>
          <w:szCs w:val="30"/>
        </w:rPr>
      </w:pPr>
    </w:p>
    <w:p w14:paraId="4BB3AC37" w14:textId="77777777" w:rsidR="00F352C4" w:rsidRDefault="00F352C4" w:rsidP="00F352C4">
      <w:pPr>
        <w:keepLines w:val="0"/>
        <w:rPr>
          <w:rFonts w:ascii="Calibri" w:hAnsi="Calibri"/>
          <w:sz w:val="30"/>
          <w:szCs w:val="30"/>
        </w:rPr>
        <w:sectPr w:rsidR="00F352C4" w:rsidSect="00235286">
          <w:pgSz w:w="9979" w:h="14175" w:code="9"/>
          <w:pgMar w:top="851" w:right="1134" w:bottom="851" w:left="1134" w:header="624" w:footer="567" w:gutter="0"/>
          <w:cols w:sep="1" w:space="567"/>
          <w:vAlign w:val="bottom"/>
          <w:docGrid w:linePitch="360"/>
        </w:sectPr>
      </w:pPr>
    </w:p>
    <w:p w14:paraId="7FD4ADC9" w14:textId="77777777" w:rsidR="00F352C4" w:rsidRPr="006F6363" w:rsidRDefault="00F352C4" w:rsidP="00F352C4">
      <w:pPr>
        <w:pageBreakBefore/>
        <w:pBdr>
          <w:bottom w:val="single" w:sz="6" w:space="1" w:color="auto"/>
        </w:pBdr>
        <w:spacing w:before="1440" w:after="240"/>
        <w:rPr>
          <w:rFonts w:ascii="Calibri" w:hAnsi="Calibri"/>
          <w:b/>
          <w:caps/>
          <w:sz w:val="36"/>
        </w:rPr>
      </w:pPr>
      <w:bookmarkStart w:id="0" w:name="_Toc481013395"/>
      <w:r w:rsidRPr="006F6363">
        <w:rPr>
          <w:rFonts w:ascii="Calibri" w:hAnsi="Calibri"/>
          <w:b/>
          <w:caps/>
          <w:sz w:val="36"/>
        </w:rPr>
        <w:lastRenderedPageBreak/>
        <w:t>TABLE OF CONTENTS</w:t>
      </w:r>
      <w:bookmarkEnd w:id="0"/>
    </w:p>
    <w:p w14:paraId="221351EF" w14:textId="6089C8AC" w:rsidR="00F352C4" w:rsidRDefault="00F352C4">
      <w:pPr>
        <w:pStyle w:val="TOC1"/>
        <w:rPr>
          <w:rFonts w:asciiTheme="minorHAnsi" w:eastAsiaTheme="minorEastAsia" w:hAnsiTheme="minorHAnsi"/>
          <w:b w:val="0"/>
          <w:noProof/>
          <w:lang w:eastAsia="en-AU"/>
        </w:rPr>
      </w:pPr>
      <w:r>
        <w:rPr>
          <w:sz w:val="21"/>
        </w:rPr>
        <w:fldChar w:fldCharType="begin"/>
      </w:r>
      <w:r>
        <w:instrText xml:space="preserve"> TOC \h \z \t "Heading 1,2,Chapter Heading,1" </w:instrText>
      </w:r>
      <w:r>
        <w:rPr>
          <w:sz w:val="21"/>
        </w:rPr>
        <w:fldChar w:fldCharType="separate"/>
      </w:r>
      <w:hyperlink w:anchor="_Toc152933016" w:history="1">
        <w:r w:rsidRPr="00871AA5">
          <w:rPr>
            <w:rStyle w:val="Hyperlink"/>
            <w:noProof/>
          </w:rPr>
          <w:t xml:space="preserve">Chapter 1 – Economic and </w:t>
        </w:r>
        <w:r w:rsidR="00471A3B" w:rsidRPr="00871AA5">
          <w:rPr>
            <w:rStyle w:val="Hyperlink"/>
            <w:noProof/>
          </w:rPr>
          <w:t>fiscal overview</w:t>
        </w:r>
        <w:r>
          <w:rPr>
            <w:noProof/>
            <w:webHidden/>
          </w:rPr>
          <w:tab/>
        </w:r>
        <w:r>
          <w:rPr>
            <w:noProof/>
            <w:webHidden/>
          </w:rPr>
          <w:fldChar w:fldCharType="begin"/>
        </w:r>
        <w:r>
          <w:rPr>
            <w:noProof/>
            <w:webHidden/>
          </w:rPr>
          <w:instrText xml:space="preserve"> PAGEREF _Toc152933016 \h </w:instrText>
        </w:r>
        <w:r>
          <w:rPr>
            <w:noProof/>
            <w:webHidden/>
          </w:rPr>
        </w:r>
        <w:r>
          <w:rPr>
            <w:noProof/>
            <w:webHidden/>
          </w:rPr>
          <w:fldChar w:fldCharType="separate"/>
        </w:r>
        <w:r w:rsidR="00315D9A">
          <w:rPr>
            <w:noProof/>
            <w:webHidden/>
          </w:rPr>
          <w:t>1</w:t>
        </w:r>
        <w:r>
          <w:rPr>
            <w:noProof/>
            <w:webHidden/>
          </w:rPr>
          <w:fldChar w:fldCharType="end"/>
        </w:r>
      </w:hyperlink>
    </w:p>
    <w:p w14:paraId="5A3B11AB" w14:textId="7A9EF5E3" w:rsidR="00F352C4" w:rsidRDefault="00000000">
      <w:pPr>
        <w:pStyle w:val="TOC2"/>
        <w:rPr>
          <w:rFonts w:asciiTheme="minorHAnsi" w:eastAsiaTheme="minorEastAsia" w:hAnsiTheme="minorHAnsi"/>
          <w:noProof/>
          <w:lang w:eastAsia="en-AU"/>
        </w:rPr>
      </w:pPr>
      <w:hyperlink w:anchor="_Toc152933017" w:history="1">
        <w:r w:rsidR="00F352C4" w:rsidRPr="00871AA5">
          <w:rPr>
            <w:rStyle w:val="Hyperlink"/>
            <w:noProof/>
          </w:rPr>
          <w:t>A strong labour market and a growing economy</w:t>
        </w:r>
        <w:r w:rsidR="00F352C4">
          <w:rPr>
            <w:noProof/>
            <w:webHidden/>
          </w:rPr>
          <w:tab/>
        </w:r>
        <w:r w:rsidR="00F352C4">
          <w:rPr>
            <w:noProof/>
            <w:webHidden/>
          </w:rPr>
          <w:fldChar w:fldCharType="begin"/>
        </w:r>
        <w:r w:rsidR="00F352C4">
          <w:rPr>
            <w:noProof/>
            <w:webHidden/>
          </w:rPr>
          <w:instrText xml:space="preserve"> PAGEREF _Toc152933017 \h </w:instrText>
        </w:r>
        <w:r w:rsidR="00F352C4">
          <w:rPr>
            <w:noProof/>
            <w:webHidden/>
          </w:rPr>
        </w:r>
        <w:r w:rsidR="00F352C4">
          <w:rPr>
            <w:noProof/>
            <w:webHidden/>
          </w:rPr>
          <w:fldChar w:fldCharType="separate"/>
        </w:r>
        <w:r w:rsidR="00315D9A">
          <w:rPr>
            <w:noProof/>
            <w:webHidden/>
          </w:rPr>
          <w:t>1</w:t>
        </w:r>
        <w:r w:rsidR="00F352C4">
          <w:rPr>
            <w:noProof/>
            <w:webHidden/>
          </w:rPr>
          <w:fldChar w:fldCharType="end"/>
        </w:r>
      </w:hyperlink>
    </w:p>
    <w:p w14:paraId="2721B0C7" w14:textId="5F2C895A" w:rsidR="00F352C4" w:rsidRDefault="00000000">
      <w:pPr>
        <w:pStyle w:val="TOC2"/>
        <w:rPr>
          <w:rFonts w:asciiTheme="minorHAnsi" w:eastAsiaTheme="minorEastAsia" w:hAnsiTheme="minorHAnsi"/>
          <w:noProof/>
          <w:lang w:eastAsia="en-AU"/>
        </w:rPr>
      </w:pPr>
      <w:hyperlink w:anchor="_Toc152933018" w:history="1">
        <w:r w:rsidR="00F352C4" w:rsidRPr="00871AA5">
          <w:rPr>
            <w:rStyle w:val="Hyperlink"/>
            <w:noProof/>
          </w:rPr>
          <w:t>Strong financial management</w:t>
        </w:r>
        <w:r w:rsidR="00F352C4">
          <w:rPr>
            <w:noProof/>
            <w:webHidden/>
          </w:rPr>
          <w:tab/>
        </w:r>
        <w:r w:rsidR="00F352C4">
          <w:rPr>
            <w:noProof/>
            <w:webHidden/>
          </w:rPr>
          <w:fldChar w:fldCharType="begin"/>
        </w:r>
        <w:r w:rsidR="00F352C4">
          <w:rPr>
            <w:noProof/>
            <w:webHidden/>
          </w:rPr>
          <w:instrText xml:space="preserve"> PAGEREF _Toc152933018 \h </w:instrText>
        </w:r>
        <w:r w:rsidR="00F352C4">
          <w:rPr>
            <w:noProof/>
            <w:webHidden/>
          </w:rPr>
        </w:r>
        <w:r w:rsidR="00F352C4">
          <w:rPr>
            <w:noProof/>
            <w:webHidden/>
          </w:rPr>
          <w:fldChar w:fldCharType="separate"/>
        </w:r>
        <w:r w:rsidR="00315D9A">
          <w:rPr>
            <w:noProof/>
            <w:webHidden/>
          </w:rPr>
          <w:t>3</w:t>
        </w:r>
        <w:r w:rsidR="00F352C4">
          <w:rPr>
            <w:noProof/>
            <w:webHidden/>
          </w:rPr>
          <w:fldChar w:fldCharType="end"/>
        </w:r>
      </w:hyperlink>
    </w:p>
    <w:p w14:paraId="52878C19" w14:textId="300BB780" w:rsidR="00F352C4" w:rsidRDefault="00000000">
      <w:pPr>
        <w:pStyle w:val="TOC1"/>
        <w:rPr>
          <w:rFonts w:asciiTheme="minorHAnsi" w:eastAsiaTheme="minorEastAsia" w:hAnsiTheme="minorHAnsi"/>
          <w:b w:val="0"/>
          <w:noProof/>
          <w:lang w:eastAsia="en-AU"/>
        </w:rPr>
      </w:pPr>
      <w:hyperlink w:anchor="_Toc152933019" w:history="1">
        <w:r w:rsidR="00F352C4" w:rsidRPr="00871AA5">
          <w:rPr>
            <w:rStyle w:val="Hyperlink"/>
            <w:noProof/>
          </w:rPr>
          <w:t>Chapter 2 – Economic context</w:t>
        </w:r>
        <w:r w:rsidR="00F352C4">
          <w:rPr>
            <w:noProof/>
            <w:webHidden/>
          </w:rPr>
          <w:tab/>
        </w:r>
        <w:r w:rsidR="00F352C4">
          <w:rPr>
            <w:noProof/>
            <w:webHidden/>
          </w:rPr>
          <w:fldChar w:fldCharType="begin"/>
        </w:r>
        <w:r w:rsidR="00F352C4">
          <w:rPr>
            <w:noProof/>
            <w:webHidden/>
          </w:rPr>
          <w:instrText xml:space="preserve"> PAGEREF _Toc152933019 \h </w:instrText>
        </w:r>
        <w:r w:rsidR="00F352C4">
          <w:rPr>
            <w:noProof/>
            <w:webHidden/>
          </w:rPr>
        </w:r>
        <w:r w:rsidR="00F352C4">
          <w:rPr>
            <w:noProof/>
            <w:webHidden/>
          </w:rPr>
          <w:fldChar w:fldCharType="separate"/>
        </w:r>
        <w:r w:rsidR="00315D9A">
          <w:rPr>
            <w:noProof/>
            <w:webHidden/>
          </w:rPr>
          <w:t>7</w:t>
        </w:r>
        <w:r w:rsidR="00F352C4">
          <w:rPr>
            <w:noProof/>
            <w:webHidden/>
          </w:rPr>
          <w:fldChar w:fldCharType="end"/>
        </w:r>
      </w:hyperlink>
    </w:p>
    <w:p w14:paraId="351671B3" w14:textId="1EBED7D7" w:rsidR="00F352C4" w:rsidRDefault="00000000">
      <w:pPr>
        <w:pStyle w:val="TOC2"/>
        <w:rPr>
          <w:rFonts w:asciiTheme="minorHAnsi" w:eastAsiaTheme="minorEastAsia" w:hAnsiTheme="minorHAnsi"/>
          <w:noProof/>
          <w:lang w:eastAsia="en-AU"/>
        </w:rPr>
      </w:pPr>
      <w:hyperlink w:anchor="_Toc152933020" w:history="1">
        <w:r w:rsidR="00F352C4" w:rsidRPr="00871AA5">
          <w:rPr>
            <w:rStyle w:val="Hyperlink"/>
            <w:noProof/>
          </w:rPr>
          <w:t>Victorian economic conditions and outlook</w:t>
        </w:r>
        <w:r w:rsidR="00F352C4">
          <w:rPr>
            <w:noProof/>
            <w:webHidden/>
          </w:rPr>
          <w:tab/>
        </w:r>
        <w:r w:rsidR="00F352C4">
          <w:rPr>
            <w:noProof/>
            <w:webHidden/>
          </w:rPr>
          <w:fldChar w:fldCharType="begin"/>
        </w:r>
        <w:r w:rsidR="00F352C4">
          <w:rPr>
            <w:noProof/>
            <w:webHidden/>
          </w:rPr>
          <w:instrText xml:space="preserve"> PAGEREF _Toc152933020 \h </w:instrText>
        </w:r>
        <w:r w:rsidR="00F352C4">
          <w:rPr>
            <w:noProof/>
            <w:webHidden/>
          </w:rPr>
        </w:r>
        <w:r w:rsidR="00F352C4">
          <w:rPr>
            <w:noProof/>
            <w:webHidden/>
          </w:rPr>
          <w:fldChar w:fldCharType="separate"/>
        </w:r>
        <w:r w:rsidR="00315D9A">
          <w:rPr>
            <w:noProof/>
            <w:webHidden/>
          </w:rPr>
          <w:t>7</w:t>
        </w:r>
        <w:r w:rsidR="00F352C4">
          <w:rPr>
            <w:noProof/>
            <w:webHidden/>
          </w:rPr>
          <w:fldChar w:fldCharType="end"/>
        </w:r>
      </w:hyperlink>
    </w:p>
    <w:p w14:paraId="3914B8F8" w14:textId="1A664B95" w:rsidR="00F352C4" w:rsidRDefault="00000000">
      <w:pPr>
        <w:pStyle w:val="TOC2"/>
        <w:rPr>
          <w:rFonts w:asciiTheme="minorHAnsi" w:eastAsiaTheme="minorEastAsia" w:hAnsiTheme="minorHAnsi"/>
          <w:noProof/>
          <w:lang w:eastAsia="en-AU"/>
        </w:rPr>
      </w:pPr>
      <w:hyperlink w:anchor="_Toc152933021" w:history="1">
        <w:r w:rsidR="00F352C4" w:rsidRPr="00871AA5">
          <w:rPr>
            <w:rStyle w:val="Hyperlink"/>
            <w:noProof/>
          </w:rPr>
          <w:t>Australian economic conditions and outlook</w:t>
        </w:r>
        <w:r w:rsidR="00F352C4">
          <w:rPr>
            <w:noProof/>
            <w:webHidden/>
          </w:rPr>
          <w:tab/>
        </w:r>
        <w:r w:rsidR="00F352C4">
          <w:rPr>
            <w:noProof/>
            <w:webHidden/>
          </w:rPr>
          <w:fldChar w:fldCharType="begin"/>
        </w:r>
        <w:r w:rsidR="00F352C4">
          <w:rPr>
            <w:noProof/>
            <w:webHidden/>
          </w:rPr>
          <w:instrText xml:space="preserve"> PAGEREF _Toc152933021 \h </w:instrText>
        </w:r>
        <w:r w:rsidR="00F352C4">
          <w:rPr>
            <w:noProof/>
            <w:webHidden/>
          </w:rPr>
        </w:r>
        <w:r w:rsidR="00F352C4">
          <w:rPr>
            <w:noProof/>
            <w:webHidden/>
          </w:rPr>
          <w:fldChar w:fldCharType="separate"/>
        </w:r>
        <w:r w:rsidR="00315D9A">
          <w:rPr>
            <w:noProof/>
            <w:webHidden/>
          </w:rPr>
          <w:t>13</w:t>
        </w:r>
        <w:r w:rsidR="00F352C4">
          <w:rPr>
            <w:noProof/>
            <w:webHidden/>
          </w:rPr>
          <w:fldChar w:fldCharType="end"/>
        </w:r>
      </w:hyperlink>
    </w:p>
    <w:p w14:paraId="6B08CCDF" w14:textId="61ED3392" w:rsidR="00F352C4" w:rsidRDefault="00000000">
      <w:pPr>
        <w:pStyle w:val="TOC2"/>
        <w:rPr>
          <w:rFonts w:asciiTheme="minorHAnsi" w:eastAsiaTheme="minorEastAsia" w:hAnsiTheme="minorHAnsi"/>
          <w:noProof/>
          <w:lang w:eastAsia="en-AU"/>
        </w:rPr>
      </w:pPr>
      <w:hyperlink w:anchor="_Toc152933022" w:history="1">
        <w:r w:rsidR="00F352C4" w:rsidRPr="00871AA5">
          <w:rPr>
            <w:rStyle w:val="Hyperlink"/>
            <w:noProof/>
          </w:rPr>
          <w:t>International economic conditions and outlook</w:t>
        </w:r>
        <w:r w:rsidR="00F352C4">
          <w:rPr>
            <w:noProof/>
            <w:webHidden/>
          </w:rPr>
          <w:tab/>
        </w:r>
        <w:r w:rsidR="00F352C4">
          <w:rPr>
            <w:noProof/>
            <w:webHidden/>
          </w:rPr>
          <w:fldChar w:fldCharType="begin"/>
        </w:r>
        <w:r w:rsidR="00F352C4">
          <w:rPr>
            <w:noProof/>
            <w:webHidden/>
          </w:rPr>
          <w:instrText xml:space="preserve"> PAGEREF _Toc152933022 \h </w:instrText>
        </w:r>
        <w:r w:rsidR="00F352C4">
          <w:rPr>
            <w:noProof/>
            <w:webHidden/>
          </w:rPr>
        </w:r>
        <w:r w:rsidR="00F352C4">
          <w:rPr>
            <w:noProof/>
            <w:webHidden/>
          </w:rPr>
          <w:fldChar w:fldCharType="separate"/>
        </w:r>
        <w:r w:rsidR="00315D9A">
          <w:rPr>
            <w:noProof/>
            <w:webHidden/>
          </w:rPr>
          <w:t>13</w:t>
        </w:r>
        <w:r w:rsidR="00F352C4">
          <w:rPr>
            <w:noProof/>
            <w:webHidden/>
          </w:rPr>
          <w:fldChar w:fldCharType="end"/>
        </w:r>
      </w:hyperlink>
    </w:p>
    <w:p w14:paraId="4BA86B7D" w14:textId="2DC7C0DA" w:rsidR="00F352C4" w:rsidRDefault="00000000">
      <w:pPr>
        <w:pStyle w:val="TOC2"/>
        <w:rPr>
          <w:rFonts w:asciiTheme="minorHAnsi" w:eastAsiaTheme="minorEastAsia" w:hAnsiTheme="minorHAnsi"/>
          <w:noProof/>
          <w:lang w:eastAsia="en-AU"/>
        </w:rPr>
      </w:pPr>
      <w:hyperlink w:anchor="_Toc152933023" w:history="1">
        <w:r w:rsidR="00F352C4" w:rsidRPr="00871AA5">
          <w:rPr>
            <w:rStyle w:val="Hyperlink"/>
            <w:noProof/>
          </w:rPr>
          <w:t>Risks to the Victorian outlook</w:t>
        </w:r>
        <w:r w:rsidR="00F352C4">
          <w:rPr>
            <w:noProof/>
            <w:webHidden/>
          </w:rPr>
          <w:tab/>
        </w:r>
        <w:r w:rsidR="00F352C4">
          <w:rPr>
            <w:noProof/>
            <w:webHidden/>
          </w:rPr>
          <w:fldChar w:fldCharType="begin"/>
        </w:r>
        <w:r w:rsidR="00F352C4">
          <w:rPr>
            <w:noProof/>
            <w:webHidden/>
          </w:rPr>
          <w:instrText xml:space="preserve"> PAGEREF _Toc152933023 \h </w:instrText>
        </w:r>
        <w:r w:rsidR="00F352C4">
          <w:rPr>
            <w:noProof/>
            <w:webHidden/>
          </w:rPr>
        </w:r>
        <w:r w:rsidR="00F352C4">
          <w:rPr>
            <w:noProof/>
            <w:webHidden/>
          </w:rPr>
          <w:fldChar w:fldCharType="separate"/>
        </w:r>
        <w:r w:rsidR="00315D9A">
          <w:rPr>
            <w:noProof/>
            <w:webHidden/>
          </w:rPr>
          <w:t>14</w:t>
        </w:r>
        <w:r w:rsidR="00F352C4">
          <w:rPr>
            <w:noProof/>
            <w:webHidden/>
          </w:rPr>
          <w:fldChar w:fldCharType="end"/>
        </w:r>
      </w:hyperlink>
    </w:p>
    <w:p w14:paraId="17308A95" w14:textId="634AC5B6" w:rsidR="00F352C4" w:rsidRDefault="00000000">
      <w:pPr>
        <w:pStyle w:val="TOC1"/>
        <w:rPr>
          <w:rFonts w:asciiTheme="minorHAnsi" w:eastAsiaTheme="minorEastAsia" w:hAnsiTheme="minorHAnsi"/>
          <w:b w:val="0"/>
          <w:noProof/>
          <w:lang w:eastAsia="en-AU"/>
        </w:rPr>
      </w:pPr>
      <w:hyperlink w:anchor="_Toc152933024" w:history="1">
        <w:r w:rsidR="00F352C4" w:rsidRPr="00871AA5">
          <w:rPr>
            <w:rStyle w:val="Hyperlink"/>
            <w:noProof/>
          </w:rPr>
          <w:t>Chapter 3 – Budget position and outlook</w:t>
        </w:r>
        <w:r w:rsidR="00F352C4">
          <w:rPr>
            <w:noProof/>
            <w:webHidden/>
          </w:rPr>
          <w:tab/>
        </w:r>
        <w:r w:rsidR="00F352C4">
          <w:rPr>
            <w:noProof/>
            <w:webHidden/>
          </w:rPr>
          <w:fldChar w:fldCharType="begin"/>
        </w:r>
        <w:r w:rsidR="00F352C4">
          <w:rPr>
            <w:noProof/>
            <w:webHidden/>
          </w:rPr>
          <w:instrText xml:space="preserve"> PAGEREF _Toc152933024 \h </w:instrText>
        </w:r>
        <w:r w:rsidR="00F352C4">
          <w:rPr>
            <w:noProof/>
            <w:webHidden/>
          </w:rPr>
        </w:r>
        <w:r w:rsidR="00F352C4">
          <w:rPr>
            <w:noProof/>
            <w:webHidden/>
          </w:rPr>
          <w:fldChar w:fldCharType="separate"/>
        </w:r>
        <w:r w:rsidR="00315D9A">
          <w:rPr>
            <w:noProof/>
            <w:webHidden/>
          </w:rPr>
          <w:t>15</w:t>
        </w:r>
        <w:r w:rsidR="00F352C4">
          <w:rPr>
            <w:noProof/>
            <w:webHidden/>
          </w:rPr>
          <w:fldChar w:fldCharType="end"/>
        </w:r>
      </w:hyperlink>
    </w:p>
    <w:p w14:paraId="3C412662" w14:textId="15756B49" w:rsidR="00F352C4" w:rsidRDefault="00000000">
      <w:pPr>
        <w:pStyle w:val="TOC2"/>
        <w:rPr>
          <w:rFonts w:asciiTheme="minorHAnsi" w:eastAsiaTheme="minorEastAsia" w:hAnsiTheme="minorHAnsi"/>
          <w:noProof/>
          <w:lang w:eastAsia="en-AU"/>
        </w:rPr>
      </w:pPr>
      <w:hyperlink w:anchor="_Toc152933025" w:history="1">
        <w:r w:rsidR="00F352C4" w:rsidRPr="00871AA5">
          <w:rPr>
            <w:rStyle w:val="Hyperlink"/>
            <w:noProof/>
          </w:rPr>
          <w:t>General government sector</w:t>
        </w:r>
        <w:r w:rsidR="00F352C4">
          <w:rPr>
            <w:noProof/>
            <w:webHidden/>
          </w:rPr>
          <w:tab/>
        </w:r>
        <w:r w:rsidR="00F352C4">
          <w:rPr>
            <w:noProof/>
            <w:webHidden/>
          </w:rPr>
          <w:fldChar w:fldCharType="begin"/>
        </w:r>
        <w:r w:rsidR="00F352C4">
          <w:rPr>
            <w:noProof/>
            <w:webHidden/>
          </w:rPr>
          <w:instrText xml:space="preserve"> PAGEREF _Toc152933025 \h </w:instrText>
        </w:r>
        <w:r w:rsidR="00F352C4">
          <w:rPr>
            <w:noProof/>
            <w:webHidden/>
          </w:rPr>
        </w:r>
        <w:r w:rsidR="00F352C4">
          <w:rPr>
            <w:noProof/>
            <w:webHidden/>
          </w:rPr>
          <w:fldChar w:fldCharType="separate"/>
        </w:r>
        <w:r w:rsidR="00315D9A">
          <w:rPr>
            <w:noProof/>
            <w:webHidden/>
          </w:rPr>
          <w:t>16</w:t>
        </w:r>
        <w:r w:rsidR="00F352C4">
          <w:rPr>
            <w:noProof/>
            <w:webHidden/>
          </w:rPr>
          <w:fldChar w:fldCharType="end"/>
        </w:r>
      </w:hyperlink>
    </w:p>
    <w:p w14:paraId="2A6A568B" w14:textId="54CC0F8E" w:rsidR="00F352C4" w:rsidRDefault="00000000">
      <w:pPr>
        <w:pStyle w:val="TOC2"/>
        <w:rPr>
          <w:rFonts w:asciiTheme="minorHAnsi" w:eastAsiaTheme="minorEastAsia" w:hAnsiTheme="minorHAnsi"/>
          <w:noProof/>
          <w:lang w:eastAsia="en-AU"/>
        </w:rPr>
      </w:pPr>
      <w:hyperlink w:anchor="_Toc152933026" w:history="1">
        <w:r w:rsidR="00F352C4" w:rsidRPr="00871AA5">
          <w:rPr>
            <w:rStyle w:val="Hyperlink"/>
            <w:noProof/>
          </w:rPr>
          <w:t>Budget and forward estimates outlook</w:t>
        </w:r>
        <w:r w:rsidR="00F352C4">
          <w:rPr>
            <w:noProof/>
            <w:webHidden/>
          </w:rPr>
          <w:tab/>
        </w:r>
        <w:r w:rsidR="00F352C4">
          <w:rPr>
            <w:noProof/>
            <w:webHidden/>
          </w:rPr>
          <w:fldChar w:fldCharType="begin"/>
        </w:r>
        <w:r w:rsidR="00F352C4">
          <w:rPr>
            <w:noProof/>
            <w:webHidden/>
          </w:rPr>
          <w:instrText xml:space="preserve"> PAGEREF _Toc152933026 \h </w:instrText>
        </w:r>
        <w:r w:rsidR="00F352C4">
          <w:rPr>
            <w:noProof/>
            <w:webHidden/>
          </w:rPr>
        </w:r>
        <w:r w:rsidR="00F352C4">
          <w:rPr>
            <w:noProof/>
            <w:webHidden/>
          </w:rPr>
          <w:fldChar w:fldCharType="separate"/>
        </w:r>
        <w:r w:rsidR="00315D9A">
          <w:rPr>
            <w:noProof/>
            <w:webHidden/>
          </w:rPr>
          <w:t>18</w:t>
        </w:r>
        <w:r w:rsidR="00F352C4">
          <w:rPr>
            <w:noProof/>
            <w:webHidden/>
          </w:rPr>
          <w:fldChar w:fldCharType="end"/>
        </w:r>
      </w:hyperlink>
    </w:p>
    <w:p w14:paraId="4C86DD46" w14:textId="76126FFB" w:rsidR="00F352C4" w:rsidRDefault="00000000">
      <w:pPr>
        <w:pStyle w:val="TOC2"/>
        <w:rPr>
          <w:rFonts w:asciiTheme="minorHAnsi" w:eastAsiaTheme="minorEastAsia" w:hAnsiTheme="minorHAnsi"/>
          <w:noProof/>
          <w:lang w:eastAsia="en-AU"/>
        </w:rPr>
      </w:pPr>
      <w:hyperlink w:anchor="_Toc152933027" w:history="1">
        <w:r w:rsidR="00F352C4" w:rsidRPr="00871AA5">
          <w:rPr>
            <w:rStyle w:val="Hyperlink"/>
            <w:noProof/>
          </w:rPr>
          <w:t>Fiscal risks</w:t>
        </w:r>
        <w:r w:rsidR="00F352C4">
          <w:rPr>
            <w:noProof/>
            <w:webHidden/>
          </w:rPr>
          <w:tab/>
        </w:r>
        <w:r w:rsidR="00F352C4">
          <w:rPr>
            <w:noProof/>
            <w:webHidden/>
          </w:rPr>
          <w:fldChar w:fldCharType="begin"/>
        </w:r>
        <w:r w:rsidR="00F352C4">
          <w:rPr>
            <w:noProof/>
            <w:webHidden/>
          </w:rPr>
          <w:instrText xml:space="preserve"> PAGEREF _Toc152933027 \h </w:instrText>
        </w:r>
        <w:r w:rsidR="00F352C4">
          <w:rPr>
            <w:noProof/>
            <w:webHidden/>
          </w:rPr>
        </w:r>
        <w:r w:rsidR="00F352C4">
          <w:rPr>
            <w:noProof/>
            <w:webHidden/>
          </w:rPr>
          <w:fldChar w:fldCharType="separate"/>
        </w:r>
        <w:r w:rsidR="00315D9A">
          <w:rPr>
            <w:noProof/>
            <w:webHidden/>
          </w:rPr>
          <w:t>28</w:t>
        </w:r>
        <w:r w:rsidR="00F352C4">
          <w:rPr>
            <w:noProof/>
            <w:webHidden/>
          </w:rPr>
          <w:fldChar w:fldCharType="end"/>
        </w:r>
      </w:hyperlink>
    </w:p>
    <w:p w14:paraId="6CE3AAE8" w14:textId="1D536484" w:rsidR="00F352C4" w:rsidRDefault="00000000">
      <w:pPr>
        <w:pStyle w:val="TOC2"/>
        <w:rPr>
          <w:rFonts w:asciiTheme="minorHAnsi" w:eastAsiaTheme="minorEastAsia" w:hAnsiTheme="minorHAnsi"/>
          <w:noProof/>
          <w:lang w:eastAsia="en-AU"/>
        </w:rPr>
      </w:pPr>
      <w:hyperlink w:anchor="_Toc152933028" w:history="1">
        <w:r w:rsidR="00F352C4" w:rsidRPr="00871AA5">
          <w:rPr>
            <w:rStyle w:val="Hyperlink"/>
            <w:noProof/>
          </w:rPr>
          <w:t>Non</w:t>
        </w:r>
        <w:r w:rsidR="00F352C4" w:rsidRPr="00871AA5">
          <w:rPr>
            <w:rStyle w:val="Hyperlink"/>
            <w:noProof/>
          </w:rPr>
          <w:noBreakHyphen/>
          <w:t>financial public sector</w:t>
        </w:r>
        <w:r w:rsidR="00F352C4">
          <w:rPr>
            <w:noProof/>
            <w:webHidden/>
          </w:rPr>
          <w:tab/>
        </w:r>
        <w:r w:rsidR="00F352C4">
          <w:rPr>
            <w:noProof/>
            <w:webHidden/>
          </w:rPr>
          <w:fldChar w:fldCharType="begin"/>
        </w:r>
        <w:r w:rsidR="00F352C4">
          <w:rPr>
            <w:noProof/>
            <w:webHidden/>
          </w:rPr>
          <w:instrText xml:space="preserve"> PAGEREF _Toc152933028 \h </w:instrText>
        </w:r>
        <w:r w:rsidR="00F352C4">
          <w:rPr>
            <w:noProof/>
            <w:webHidden/>
          </w:rPr>
        </w:r>
        <w:r w:rsidR="00F352C4">
          <w:rPr>
            <w:noProof/>
            <w:webHidden/>
          </w:rPr>
          <w:fldChar w:fldCharType="separate"/>
        </w:r>
        <w:r w:rsidR="00315D9A">
          <w:rPr>
            <w:noProof/>
            <w:webHidden/>
          </w:rPr>
          <w:t>35</w:t>
        </w:r>
        <w:r w:rsidR="00F352C4">
          <w:rPr>
            <w:noProof/>
            <w:webHidden/>
          </w:rPr>
          <w:fldChar w:fldCharType="end"/>
        </w:r>
      </w:hyperlink>
    </w:p>
    <w:p w14:paraId="7520765F" w14:textId="7CFD8F2C" w:rsidR="00F352C4" w:rsidRDefault="00000000">
      <w:pPr>
        <w:pStyle w:val="TOC2"/>
        <w:rPr>
          <w:rFonts w:asciiTheme="minorHAnsi" w:eastAsiaTheme="minorEastAsia" w:hAnsiTheme="minorHAnsi"/>
          <w:noProof/>
          <w:lang w:eastAsia="en-AU"/>
        </w:rPr>
      </w:pPr>
      <w:hyperlink w:anchor="_Toc152933029" w:history="1">
        <w:r w:rsidR="00F352C4" w:rsidRPr="00871AA5">
          <w:rPr>
            <w:rStyle w:val="Hyperlink"/>
            <w:noProof/>
          </w:rPr>
          <w:t>Non</w:t>
        </w:r>
        <w:r w:rsidR="00F352C4" w:rsidRPr="00871AA5">
          <w:rPr>
            <w:rStyle w:val="Hyperlink"/>
            <w:noProof/>
          </w:rPr>
          <w:noBreakHyphen/>
          <w:t>financial public sector net debt and net financial liabilities</w:t>
        </w:r>
        <w:r w:rsidR="00F352C4">
          <w:rPr>
            <w:noProof/>
            <w:webHidden/>
          </w:rPr>
          <w:tab/>
        </w:r>
        <w:r w:rsidR="00F352C4">
          <w:rPr>
            <w:noProof/>
            <w:webHidden/>
          </w:rPr>
          <w:fldChar w:fldCharType="begin"/>
        </w:r>
        <w:r w:rsidR="00F352C4">
          <w:rPr>
            <w:noProof/>
            <w:webHidden/>
          </w:rPr>
          <w:instrText xml:space="preserve"> PAGEREF _Toc152933029 \h </w:instrText>
        </w:r>
        <w:r w:rsidR="00F352C4">
          <w:rPr>
            <w:noProof/>
            <w:webHidden/>
          </w:rPr>
        </w:r>
        <w:r w:rsidR="00F352C4">
          <w:rPr>
            <w:noProof/>
            <w:webHidden/>
          </w:rPr>
          <w:fldChar w:fldCharType="separate"/>
        </w:r>
        <w:r w:rsidR="00315D9A">
          <w:rPr>
            <w:noProof/>
            <w:webHidden/>
          </w:rPr>
          <w:t>37</w:t>
        </w:r>
        <w:r w:rsidR="00F352C4">
          <w:rPr>
            <w:noProof/>
            <w:webHidden/>
          </w:rPr>
          <w:fldChar w:fldCharType="end"/>
        </w:r>
      </w:hyperlink>
    </w:p>
    <w:p w14:paraId="796A1085" w14:textId="5D76841F" w:rsidR="00F352C4" w:rsidRDefault="00000000">
      <w:pPr>
        <w:pStyle w:val="TOC2"/>
        <w:rPr>
          <w:rFonts w:asciiTheme="minorHAnsi" w:eastAsiaTheme="minorEastAsia" w:hAnsiTheme="minorHAnsi"/>
          <w:noProof/>
          <w:lang w:eastAsia="en-AU"/>
        </w:rPr>
      </w:pPr>
      <w:hyperlink w:anchor="_Toc152933030" w:history="1">
        <w:r w:rsidR="00F352C4" w:rsidRPr="00871AA5">
          <w:rPr>
            <w:rStyle w:val="Hyperlink"/>
            <w:noProof/>
          </w:rPr>
          <w:t>State of Victoria</w:t>
        </w:r>
        <w:r w:rsidR="00F352C4">
          <w:rPr>
            <w:noProof/>
            <w:webHidden/>
          </w:rPr>
          <w:tab/>
        </w:r>
        <w:r w:rsidR="00F352C4">
          <w:rPr>
            <w:noProof/>
            <w:webHidden/>
          </w:rPr>
          <w:fldChar w:fldCharType="begin"/>
        </w:r>
        <w:r w:rsidR="00F352C4">
          <w:rPr>
            <w:noProof/>
            <w:webHidden/>
          </w:rPr>
          <w:instrText xml:space="preserve"> PAGEREF _Toc152933030 \h </w:instrText>
        </w:r>
        <w:r w:rsidR="00F352C4">
          <w:rPr>
            <w:noProof/>
            <w:webHidden/>
          </w:rPr>
        </w:r>
        <w:r w:rsidR="00F352C4">
          <w:rPr>
            <w:noProof/>
            <w:webHidden/>
          </w:rPr>
          <w:fldChar w:fldCharType="separate"/>
        </w:r>
        <w:r w:rsidR="00315D9A">
          <w:rPr>
            <w:noProof/>
            <w:webHidden/>
          </w:rPr>
          <w:t>39</w:t>
        </w:r>
        <w:r w:rsidR="00F352C4">
          <w:rPr>
            <w:noProof/>
            <w:webHidden/>
          </w:rPr>
          <w:fldChar w:fldCharType="end"/>
        </w:r>
      </w:hyperlink>
    </w:p>
    <w:p w14:paraId="7508C1D0" w14:textId="68290E35" w:rsidR="00F352C4" w:rsidRDefault="00000000">
      <w:pPr>
        <w:pStyle w:val="TOC1"/>
        <w:rPr>
          <w:rFonts w:asciiTheme="minorHAnsi" w:eastAsiaTheme="minorEastAsia" w:hAnsiTheme="minorHAnsi"/>
          <w:b w:val="0"/>
          <w:noProof/>
          <w:lang w:eastAsia="en-AU"/>
        </w:rPr>
      </w:pPr>
      <w:hyperlink w:anchor="_Toc152933031" w:history="1">
        <w:r w:rsidR="00F352C4" w:rsidRPr="00871AA5">
          <w:rPr>
            <w:rStyle w:val="Hyperlink"/>
            <w:noProof/>
          </w:rPr>
          <w:t xml:space="preserve">Chapter 4 – Estimated </w:t>
        </w:r>
        <w:r w:rsidR="009D4043">
          <w:rPr>
            <w:rStyle w:val="Hyperlink"/>
            <w:noProof/>
          </w:rPr>
          <w:t>f</w:t>
        </w:r>
        <w:r w:rsidR="00F352C4" w:rsidRPr="00871AA5">
          <w:rPr>
            <w:rStyle w:val="Hyperlink"/>
            <w:noProof/>
          </w:rPr>
          <w:t>in</w:t>
        </w:r>
        <w:r w:rsidR="00471A3B" w:rsidRPr="00871AA5">
          <w:rPr>
            <w:rStyle w:val="Hyperlink"/>
            <w:noProof/>
          </w:rPr>
          <w:t>ancial statements and n</w:t>
        </w:r>
        <w:r w:rsidR="00F352C4" w:rsidRPr="00871AA5">
          <w:rPr>
            <w:rStyle w:val="Hyperlink"/>
            <w:noProof/>
          </w:rPr>
          <w:t>otes</w:t>
        </w:r>
        <w:r w:rsidR="00F352C4">
          <w:rPr>
            <w:noProof/>
            <w:webHidden/>
          </w:rPr>
          <w:tab/>
        </w:r>
        <w:r w:rsidR="00F352C4">
          <w:rPr>
            <w:noProof/>
            <w:webHidden/>
          </w:rPr>
          <w:fldChar w:fldCharType="begin"/>
        </w:r>
        <w:r w:rsidR="00F352C4">
          <w:rPr>
            <w:noProof/>
            <w:webHidden/>
          </w:rPr>
          <w:instrText xml:space="preserve"> PAGEREF _Toc152933031 \h </w:instrText>
        </w:r>
        <w:r w:rsidR="00F352C4">
          <w:rPr>
            <w:noProof/>
            <w:webHidden/>
          </w:rPr>
        </w:r>
        <w:r w:rsidR="00F352C4">
          <w:rPr>
            <w:noProof/>
            <w:webHidden/>
          </w:rPr>
          <w:fldChar w:fldCharType="separate"/>
        </w:r>
        <w:r w:rsidR="00315D9A">
          <w:rPr>
            <w:noProof/>
            <w:webHidden/>
          </w:rPr>
          <w:t>41</w:t>
        </w:r>
        <w:r w:rsidR="00F352C4">
          <w:rPr>
            <w:noProof/>
            <w:webHidden/>
          </w:rPr>
          <w:fldChar w:fldCharType="end"/>
        </w:r>
      </w:hyperlink>
    </w:p>
    <w:p w14:paraId="6C00405F" w14:textId="15C7540D" w:rsidR="00F352C4" w:rsidRDefault="00000000">
      <w:pPr>
        <w:pStyle w:val="TOC2"/>
        <w:rPr>
          <w:rFonts w:asciiTheme="minorHAnsi" w:eastAsiaTheme="minorEastAsia" w:hAnsiTheme="minorHAnsi"/>
          <w:noProof/>
          <w:lang w:eastAsia="en-AU"/>
        </w:rPr>
      </w:pPr>
      <w:hyperlink w:anchor="_Toc152933032" w:history="1">
        <w:r w:rsidR="00F352C4" w:rsidRPr="00871AA5">
          <w:rPr>
            <w:rStyle w:val="Hyperlink"/>
            <w:noProof/>
          </w:rPr>
          <w:t>Estimated consolidated general government sector comprehensive operating statement</w:t>
        </w:r>
        <w:r w:rsidR="00F352C4">
          <w:rPr>
            <w:noProof/>
            <w:webHidden/>
          </w:rPr>
          <w:tab/>
        </w:r>
        <w:r w:rsidR="00F352C4">
          <w:rPr>
            <w:noProof/>
            <w:webHidden/>
          </w:rPr>
          <w:fldChar w:fldCharType="begin"/>
        </w:r>
        <w:r w:rsidR="00F352C4">
          <w:rPr>
            <w:noProof/>
            <w:webHidden/>
          </w:rPr>
          <w:instrText xml:space="preserve"> PAGEREF _Toc152933032 \h </w:instrText>
        </w:r>
        <w:r w:rsidR="00F352C4">
          <w:rPr>
            <w:noProof/>
            <w:webHidden/>
          </w:rPr>
        </w:r>
        <w:r w:rsidR="00F352C4">
          <w:rPr>
            <w:noProof/>
            <w:webHidden/>
          </w:rPr>
          <w:fldChar w:fldCharType="separate"/>
        </w:r>
        <w:r w:rsidR="00315D9A">
          <w:rPr>
            <w:noProof/>
            <w:webHidden/>
          </w:rPr>
          <w:t>41</w:t>
        </w:r>
        <w:r w:rsidR="00F352C4">
          <w:rPr>
            <w:noProof/>
            <w:webHidden/>
          </w:rPr>
          <w:fldChar w:fldCharType="end"/>
        </w:r>
      </w:hyperlink>
    </w:p>
    <w:p w14:paraId="3736EEF5" w14:textId="0C86C192" w:rsidR="00F352C4" w:rsidRDefault="00000000">
      <w:pPr>
        <w:pStyle w:val="TOC2"/>
        <w:rPr>
          <w:rFonts w:asciiTheme="minorHAnsi" w:eastAsiaTheme="minorEastAsia" w:hAnsiTheme="minorHAnsi"/>
          <w:noProof/>
          <w:lang w:eastAsia="en-AU"/>
        </w:rPr>
      </w:pPr>
      <w:hyperlink w:anchor="_Toc152933034" w:history="1">
        <w:r w:rsidR="00F352C4" w:rsidRPr="00871AA5">
          <w:rPr>
            <w:rStyle w:val="Hyperlink"/>
            <w:noProof/>
          </w:rPr>
          <w:t>Estimated consolidated general government sector balance sheet</w:t>
        </w:r>
        <w:r w:rsidR="00F352C4">
          <w:rPr>
            <w:noProof/>
            <w:webHidden/>
          </w:rPr>
          <w:tab/>
        </w:r>
        <w:r w:rsidR="00F352C4">
          <w:rPr>
            <w:noProof/>
            <w:webHidden/>
          </w:rPr>
          <w:fldChar w:fldCharType="begin"/>
        </w:r>
        <w:r w:rsidR="00F352C4">
          <w:rPr>
            <w:noProof/>
            <w:webHidden/>
          </w:rPr>
          <w:instrText xml:space="preserve"> PAGEREF _Toc152933034 \h </w:instrText>
        </w:r>
        <w:r w:rsidR="00F352C4">
          <w:rPr>
            <w:noProof/>
            <w:webHidden/>
          </w:rPr>
        </w:r>
        <w:r w:rsidR="00F352C4">
          <w:rPr>
            <w:noProof/>
            <w:webHidden/>
          </w:rPr>
          <w:fldChar w:fldCharType="separate"/>
        </w:r>
        <w:r w:rsidR="00315D9A">
          <w:rPr>
            <w:noProof/>
            <w:webHidden/>
          </w:rPr>
          <w:t>43</w:t>
        </w:r>
        <w:r w:rsidR="00F352C4">
          <w:rPr>
            <w:noProof/>
            <w:webHidden/>
          </w:rPr>
          <w:fldChar w:fldCharType="end"/>
        </w:r>
      </w:hyperlink>
    </w:p>
    <w:p w14:paraId="5179FA7B" w14:textId="6B09BA14" w:rsidR="00F352C4" w:rsidRDefault="00000000">
      <w:pPr>
        <w:pStyle w:val="TOC2"/>
        <w:rPr>
          <w:rFonts w:asciiTheme="minorHAnsi" w:eastAsiaTheme="minorEastAsia" w:hAnsiTheme="minorHAnsi"/>
          <w:noProof/>
          <w:lang w:eastAsia="en-AU"/>
        </w:rPr>
      </w:pPr>
      <w:hyperlink w:anchor="_Toc152933035" w:history="1">
        <w:r w:rsidR="00F352C4" w:rsidRPr="00871AA5">
          <w:rPr>
            <w:rStyle w:val="Hyperlink"/>
            <w:noProof/>
          </w:rPr>
          <w:t>Estimated consolidated general government sector cash flow statement</w:t>
        </w:r>
        <w:r w:rsidR="00F352C4">
          <w:rPr>
            <w:noProof/>
            <w:webHidden/>
          </w:rPr>
          <w:tab/>
        </w:r>
        <w:r w:rsidR="00F352C4">
          <w:rPr>
            <w:noProof/>
            <w:webHidden/>
          </w:rPr>
          <w:fldChar w:fldCharType="begin"/>
        </w:r>
        <w:r w:rsidR="00F352C4">
          <w:rPr>
            <w:noProof/>
            <w:webHidden/>
          </w:rPr>
          <w:instrText xml:space="preserve"> PAGEREF _Toc152933035 \h </w:instrText>
        </w:r>
        <w:r w:rsidR="00F352C4">
          <w:rPr>
            <w:noProof/>
            <w:webHidden/>
          </w:rPr>
        </w:r>
        <w:r w:rsidR="00F352C4">
          <w:rPr>
            <w:noProof/>
            <w:webHidden/>
          </w:rPr>
          <w:fldChar w:fldCharType="separate"/>
        </w:r>
        <w:r w:rsidR="00315D9A">
          <w:rPr>
            <w:noProof/>
            <w:webHidden/>
          </w:rPr>
          <w:t>44</w:t>
        </w:r>
        <w:r w:rsidR="00F352C4">
          <w:rPr>
            <w:noProof/>
            <w:webHidden/>
          </w:rPr>
          <w:fldChar w:fldCharType="end"/>
        </w:r>
      </w:hyperlink>
    </w:p>
    <w:p w14:paraId="25772483" w14:textId="4C4236FF" w:rsidR="00F352C4" w:rsidRDefault="00000000">
      <w:pPr>
        <w:pStyle w:val="TOC2"/>
        <w:rPr>
          <w:rFonts w:asciiTheme="minorHAnsi" w:eastAsiaTheme="minorEastAsia" w:hAnsiTheme="minorHAnsi"/>
          <w:noProof/>
          <w:lang w:eastAsia="en-AU"/>
        </w:rPr>
      </w:pPr>
      <w:hyperlink w:anchor="_Toc152933037" w:history="1">
        <w:r w:rsidR="00F352C4" w:rsidRPr="00871AA5">
          <w:rPr>
            <w:rStyle w:val="Hyperlink"/>
            <w:noProof/>
          </w:rPr>
          <w:t>Estimated consolidated general government sector  statement of changes in equity</w:t>
        </w:r>
        <w:r w:rsidR="00F352C4">
          <w:rPr>
            <w:noProof/>
            <w:webHidden/>
          </w:rPr>
          <w:tab/>
        </w:r>
        <w:r w:rsidR="00F352C4">
          <w:rPr>
            <w:noProof/>
            <w:webHidden/>
          </w:rPr>
          <w:fldChar w:fldCharType="begin"/>
        </w:r>
        <w:r w:rsidR="00F352C4">
          <w:rPr>
            <w:noProof/>
            <w:webHidden/>
          </w:rPr>
          <w:instrText xml:space="preserve"> PAGEREF _Toc152933037 \h </w:instrText>
        </w:r>
        <w:r w:rsidR="00F352C4">
          <w:rPr>
            <w:noProof/>
            <w:webHidden/>
          </w:rPr>
        </w:r>
        <w:r w:rsidR="00F352C4">
          <w:rPr>
            <w:noProof/>
            <w:webHidden/>
          </w:rPr>
          <w:fldChar w:fldCharType="separate"/>
        </w:r>
        <w:r w:rsidR="00315D9A">
          <w:rPr>
            <w:noProof/>
            <w:webHidden/>
          </w:rPr>
          <w:t>46</w:t>
        </w:r>
        <w:r w:rsidR="00F352C4">
          <w:rPr>
            <w:noProof/>
            <w:webHidden/>
          </w:rPr>
          <w:fldChar w:fldCharType="end"/>
        </w:r>
      </w:hyperlink>
    </w:p>
    <w:p w14:paraId="66C06C5C" w14:textId="1D7049C9" w:rsidR="00F352C4" w:rsidRDefault="00000000">
      <w:pPr>
        <w:pStyle w:val="TOC1"/>
        <w:rPr>
          <w:rFonts w:asciiTheme="minorHAnsi" w:eastAsiaTheme="minorEastAsia" w:hAnsiTheme="minorHAnsi"/>
          <w:b w:val="0"/>
          <w:noProof/>
          <w:lang w:eastAsia="en-AU"/>
        </w:rPr>
      </w:pPr>
      <w:hyperlink w:anchor="_Toc152933038" w:history="1">
        <w:r w:rsidR="00F352C4" w:rsidRPr="00871AA5">
          <w:rPr>
            <w:rStyle w:val="Hyperlink"/>
            <w:noProof/>
          </w:rPr>
          <w:t>Chapter 5 – Supplementary uniform presentation framework tables</w:t>
        </w:r>
        <w:r w:rsidR="00F352C4">
          <w:rPr>
            <w:noProof/>
            <w:webHidden/>
          </w:rPr>
          <w:tab/>
        </w:r>
        <w:r w:rsidR="00F352C4">
          <w:rPr>
            <w:noProof/>
            <w:webHidden/>
          </w:rPr>
          <w:fldChar w:fldCharType="begin"/>
        </w:r>
        <w:r w:rsidR="00F352C4">
          <w:rPr>
            <w:noProof/>
            <w:webHidden/>
          </w:rPr>
          <w:instrText xml:space="preserve"> PAGEREF _Toc152933038 \h </w:instrText>
        </w:r>
        <w:r w:rsidR="00F352C4">
          <w:rPr>
            <w:noProof/>
            <w:webHidden/>
          </w:rPr>
        </w:r>
        <w:r w:rsidR="00F352C4">
          <w:rPr>
            <w:noProof/>
            <w:webHidden/>
          </w:rPr>
          <w:fldChar w:fldCharType="separate"/>
        </w:r>
        <w:r w:rsidR="00315D9A">
          <w:rPr>
            <w:noProof/>
            <w:webHidden/>
          </w:rPr>
          <w:t>83</w:t>
        </w:r>
        <w:r w:rsidR="00F352C4">
          <w:rPr>
            <w:noProof/>
            <w:webHidden/>
          </w:rPr>
          <w:fldChar w:fldCharType="end"/>
        </w:r>
      </w:hyperlink>
    </w:p>
    <w:p w14:paraId="7F09FD27" w14:textId="53B0FDB7" w:rsidR="00F352C4" w:rsidRDefault="00000000">
      <w:pPr>
        <w:pStyle w:val="TOC1"/>
        <w:rPr>
          <w:rFonts w:asciiTheme="minorHAnsi" w:eastAsiaTheme="minorEastAsia" w:hAnsiTheme="minorHAnsi"/>
          <w:b w:val="0"/>
          <w:noProof/>
          <w:lang w:eastAsia="en-AU"/>
        </w:rPr>
      </w:pPr>
      <w:hyperlink w:anchor="_Toc152933039" w:history="1">
        <w:r w:rsidR="00F352C4" w:rsidRPr="00871AA5">
          <w:rPr>
            <w:rStyle w:val="Hyperlink"/>
            <w:noProof/>
          </w:rPr>
          <w:t>Chapter 6 – Contingent assets and contingent liabilities</w:t>
        </w:r>
        <w:r w:rsidR="00F352C4">
          <w:rPr>
            <w:noProof/>
            <w:webHidden/>
          </w:rPr>
          <w:tab/>
        </w:r>
        <w:r w:rsidR="00F352C4">
          <w:rPr>
            <w:noProof/>
            <w:webHidden/>
          </w:rPr>
          <w:fldChar w:fldCharType="begin"/>
        </w:r>
        <w:r w:rsidR="00F352C4">
          <w:rPr>
            <w:noProof/>
            <w:webHidden/>
          </w:rPr>
          <w:instrText xml:space="preserve"> PAGEREF _Toc152933039 \h </w:instrText>
        </w:r>
        <w:r w:rsidR="00F352C4">
          <w:rPr>
            <w:noProof/>
            <w:webHidden/>
          </w:rPr>
        </w:r>
        <w:r w:rsidR="00F352C4">
          <w:rPr>
            <w:noProof/>
            <w:webHidden/>
          </w:rPr>
          <w:fldChar w:fldCharType="separate"/>
        </w:r>
        <w:r w:rsidR="00315D9A">
          <w:rPr>
            <w:noProof/>
            <w:webHidden/>
          </w:rPr>
          <w:t>107</w:t>
        </w:r>
        <w:r w:rsidR="00F352C4">
          <w:rPr>
            <w:noProof/>
            <w:webHidden/>
          </w:rPr>
          <w:fldChar w:fldCharType="end"/>
        </w:r>
      </w:hyperlink>
    </w:p>
    <w:p w14:paraId="3D41CB69" w14:textId="182B9F76" w:rsidR="00F352C4" w:rsidRDefault="00000000">
      <w:pPr>
        <w:pStyle w:val="TOC2"/>
        <w:rPr>
          <w:rFonts w:asciiTheme="minorHAnsi" w:eastAsiaTheme="minorEastAsia" w:hAnsiTheme="minorHAnsi"/>
          <w:noProof/>
          <w:lang w:eastAsia="en-AU"/>
        </w:rPr>
      </w:pPr>
      <w:hyperlink w:anchor="_Toc152933040" w:history="1">
        <w:r w:rsidR="00F352C4" w:rsidRPr="00871AA5">
          <w:rPr>
            <w:rStyle w:val="Hyperlink"/>
            <w:noProof/>
          </w:rPr>
          <w:t>Contingent assets</w:t>
        </w:r>
        <w:r w:rsidR="00F352C4">
          <w:rPr>
            <w:noProof/>
            <w:webHidden/>
          </w:rPr>
          <w:tab/>
        </w:r>
        <w:r w:rsidR="00F352C4">
          <w:rPr>
            <w:noProof/>
            <w:webHidden/>
          </w:rPr>
          <w:fldChar w:fldCharType="begin"/>
        </w:r>
        <w:r w:rsidR="00F352C4">
          <w:rPr>
            <w:noProof/>
            <w:webHidden/>
          </w:rPr>
          <w:instrText xml:space="preserve"> PAGEREF _Toc152933040 \h </w:instrText>
        </w:r>
        <w:r w:rsidR="00F352C4">
          <w:rPr>
            <w:noProof/>
            <w:webHidden/>
          </w:rPr>
        </w:r>
        <w:r w:rsidR="00F352C4">
          <w:rPr>
            <w:noProof/>
            <w:webHidden/>
          </w:rPr>
          <w:fldChar w:fldCharType="separate"/>
        </w:r>
        <w:r w:rsidR="00315D9A">
          <w:rPr>
            <w:noProof/>
            <w:webHidden/>
          </w:rPr>
          <w:t>107</w:t>
        </w:r>
        <w:r w:rsidR="00F352C4">
          <w:rPr>
            <w:noProof/>
            <w:webHidden/>
          </w:rPr>
          <w:fldChar w:fldCharType="end"/>
        </w:r>
      </w:hyperlink>
    </w:p>
    <w:p w14:paraId="202559EE" w14:textId="4A5A8FB9" w:rsidR="00F352C4" w:rsidRDefault="00000000">
      <w:pPr>
        <w:pStyle w:val="TOC2"/>
        <w:rPr>
          <w:rFonts w:asciiTheme="minorHAnsi" w:eastAsiaTheme="minorEastAsia" w:hAnsiTheme="minorHAnsi"/>
          <w:noProof/>
          <w:lang w:eastAsia="en-AU"/>
        </w:rPr>
      </w:pPr>
      <w:hyperlink w:anchor="_Toc152933041" w:history="1">
        <w:r w:rsidR="00F352C4" w:rsidRPr="00871AA5">
          <w:rPr>
            <w:rStyle w:val="Hyperlink"/>
            <w:noProof/>
          </w:rPr>
          <w:t>Contingent liabilities</w:t>
        </w:r>
        <w:r w:rsidR="00F352C4">
          <w:rPr>
            <w:noProof/>
            <w:webHidden/>
          </w:rPr>
          <w:tab/>
        </w:r>
        <w:r w:rsidR="00F352C4">
          <w:rPr>
            <w:noProof/>
            <w:webHidden/>
          </w:rPr>
          <w:fldChar w:fldCharType="begin"/>
        </w:r>
        <w:r w:rsidR="00F352C4">
          <w:rPr>
            <w:noProof/>
            <w:webHidden/>
          </w:rPr>
          <w:instrText xml:space="preserve"> PAGEREF _Toc152933041 \h </w:instrText>
        </w:r>
        <w:r w:rsidR="00F352C4">
          <w:rPr>
            <w:noProof/>
            <w:webHidden/>
          </w:rPr>
        </w:r>
        <w:r w:rsidR="00F352C4">
          <w:rPr>
            <w:noProof/>
            <w:webHidden/>
          </w:rPr>
          <w:fldChar w:fldCharType="separate"/>
        </w:r>
        <w:r w:rsidR="00315D9A">
          <w:rPr>
            <w:noProof/>
            <w:webHidden/>
          </w:rPr>
          <w:t>108</w:t>
        </w:r>
        <w:r w:rsidR="00F352C4">
          <w:rPr>
            <w:noProof/>
            <w:webHidden/>
          </w:rPr>
          <w:fldChar w:fldCharType="end"/>
        </w:r>
      </w:hyperlink>
    </w:p>
    <w:p w14:paraId="53F7D0AF" w14:textId="6C344D10" w:rsidR="00F352C4" w:rsidRDefault="00000000">
      <w:pPr>
        <w:pStyle w:val="TOC1"/>
        <w:rPr>
          <w:rFonts w:asciiTheme="minorHAnsi" w:eastAsiaTheme="minorEastAsia" w:hAnsiTheme="minorHAnsi"/>
          <w:b w:val="0"/>
          <w:noProof/>
          <w:lang w:eastAsia="en-AU"/>
        </w:rPr>
      </w:pPr>
      <w:hyperlink w:anchor="_Toc152933042" w:history="1">
        <w:r w:rsidR="00F352C4" w:rsidRPr="00871AA5">
          <w:rPr>
            <w:rStyle w:val="Hyperlink"/>
            <w:noProof/>
          </w:rPr>
          <w:t>Appendix A – Specific policy initiatives affecting the budget position</w:t>
        </w:r>
        <w:r w:rsidR="00F352C4">
          <w:rPr>
            <w:noProof/>
            <w:webHidden/>
          </w:rPr>
          <w:tab/>
        </w:r>
        <w:r w:rsidR="00F352C4">
          <w:rPr>
            <w:noProof/>
            <w:webHidden/>
          </w:rPr>
          <w:fldChar w:fldCharType="begin"/>
        </w:r>
        <w:r w:rsidR="00F352C4">
          <w:rPr>
            <w:noProof/>
            <w:webHidden/>
          </w:rPr>
          <w:instrText xml:space="preserve"> PAGEREF _Toc152933042 \h </w:instrText>
        </w:r>
        <w:r w:rsidR="00F352C4">
          <w:rPr>
            <w:noProof/>
            <w:webHidden/>
          </w:rPr>
        </w:r>
        <w:r w:rsidR="00F352C4">
          <w:rPr>
            <w:noProof/>
            <w:webHidden/>
          </w:rPr>
          <w:fldChar w:fldCharType="separate"/>
        </w:r>
        <w:r w:rsidR="00315D9A">
          <w:rPr>
            <w:noProof/>
            <w:webHidden/>
          </w:rPr>
          <w:t>115</w:t>
        </w:r>
        <w:r w:rsidR="00F352C4">
          <w:rPr>
            <w:noProof/>
            <w:webHidden/>
          </w:rPr>
          <w:fldChar w:fldCharType="end"/>
        </w:r>
      </w:hyperlink>
    </w:p>
    <w:p w14:paraId="19EB5560" w14:textId="3CD2B84A" w:rsidR="00F352C4" w:rsidRDefault="00000000">
      <w:pPr>
        <w:pStyle w:val="TOC1"/>
        <w:rPr>
          <w:rFonts w:asciiTheme="minorHAnsi" w:eastAsiaTheme="minorEastAsia" w:hAnsiTheme="minorHAnsi"/>
          <w:b w:val="0"/>
          <w:noProof/>
          <w:lang w:eastAsia="en-AU"/>
        </w:rPr>
      </w:pPr>
      <w:hyperlink w:anchor="_Toc152933056" w:history="1">
        <w:r w:rsidR="00F352C4" w:rsidRPr="00871AA5">
          <w:rPr>
            <w:rStyle w:val="Hyperlink"/>
            <w:noProof/>
          </w:rPr>
          <w:t>Appendix B – Amendments to the 2023-24 output performance measures</w:t>
        </w:r>
        <w:r w:rsidR="00F352C4">
          <w:rPr>
            <w:noProof/>
            <w:webHidden/>
          </w:rPr>
          <w:tab/>
        </w:r>
        <w:r w:rsidR="00F352C4">
          <w:rPr>
            <w:noProof/>
            <w:webHidden/>
          </w:rPr>
          <w:fldChar w:fldCharType="begin"/>
        </w:r>
        <w:r w:rsidR="00F352C4">
          <w:rPr>
            <w:noProof/>
            <w:webHidden/>
          </w:rPr>
          <w:instrText xml:space="preserve"> PAGEREF _Toc152933056 \h </w:instrText>
        </w:r>
        <w:r w:rsidR="00F352C4">
          <w:rPr>
            <w:noProof/>
            <w:webHidden/>
          </w:rPr>
        </w:r>
        <w:r w:rsidR="00F352C4">
          <w:rPr>
            <w:noProof/>
            <w:webHidden/>
          </w:rPr>
          <w:fldChar w:fldCharType="separate"/>
        </w:r>
        <w:r w:rsidR="00315D9A">
          <w:rPr>
            <w:noProof/>
            <w:webHidden/>
          </w:rPr>
          <w:t>135</w:t>
        </w:r>
        <w:r w:rsidR="00F352C4">
          <w:rPr>
            <w:noProof/>
            <w:webHidden/>
          </w:rPr>
          <w:fldChar w:fldCharType="end"/>
        </w:r>
      </w:hyperlink>
    </w:p>
    <w:p w14:paraId="7436F58D" w14:textId="192D30C1" w:rsidR="00F352C4" w:rsidRDefault="00000000">
      <w:pPr>
        <w:pStyle w:val="TOC1"/>
        <w:rPr>
          <w:rFonts w:asciiTheme="minorHAnsi" w:eastAsiaTheme="minorEastAsia" w:hAnsiTheme="minorHAnsi"/>
          <w:b w:val="0"/>
          <w:noProof/>
          <w:lang w:eastAsia="en-AU"/>
        </w:rPr>
      </w:pPr>
      <w:hyperlink w:anchor="_Toc152933057" w:history="1">
        <w:r w:rsidR="00F352C4" w:rsidRPr="00871AA5">
          <w:rPr>
            <w:rStyle w:val="Hyperlink"/>
            <w:noProof/>
          </w:rPr>
          <w:t>Appendix C – Tax expenditures and concessions</w:t>
        </w:r>
        <w:r w:rsidR="00F352C4">
          <w:rPr>
            <w:noProof/>
            <w:webHidden/>
          </w:rPr>
          <w:tab/>
        </w:r>
        <w:r w:rsidR="00F352C4">
          <w:rPr>
            <w:noProof/>
            <w:webHidden/>
          </w:rPr>
          <w:fldChar w:fldCharType="begin"/>
        </w:r>
        <w:r w:rsidR="00F352C4">
          <w:rPr>
            <w:noProof/>
            <w:webHidden/>
          </w:rPr>
          <w:instrText xml:space="preserve"> PAGEREF _Toc152933057 \h </w:instrText>
        </w:r>
        <w:r w:rsidR="00F352C4">
          <w:rPr>
            <w:noProof/>
            <w:webHidden/>
          </w:rPr>
        </w:r>
        <w:r w:rsidR="00F352C4">
          <w:rPr>
            <w:noProof/>
            <w:webHidden/>
          </w:rPr>
          <w:fldChar w:fldCharType="separate"/>
        </w:r>
        <w:r w:rsidR="00315D9A">
          <w:rPr>
            <w:noProof/>
            <w:webHidden/>
          </w:rPr>
          <w:t>137</w:t>
        </w:r>
        <w:r w:rsidR="00F352C4">
          <w:rPr>
            <w:noProof/>
            <w:webHidden/>
          </w:rPr>
          <w:fldChar w:fldCharType="end"/>
        </w:r>
      </w:hyperlink>
    </w:p>
    <w:p w14:paraId="548A9B4F" w14:textId="1C67303F" w:rsidR="00F352C4" w:rsidRDefault="00000000">
      <w:pPr>
        <w:pStyle w:val="TOC1"/>
        <w:rPr>
          <w:rFonts w:asciiTheme="minorHAnsi" w:eastAsiaTheme="minorEastAsia" w:hAnsiTheme="minorHAnsi"/>
          <w:b w:val="0"/>
          <w:noProof/>
          <w:lang w:eastAsia="en-AU"/>
        </w:rPr>
      </w:pPr>
      <w:hyperlink w:anchor="_Toc152933060" w:history="1">
        <w:r w:rsidR="00F352C4" w:rsidRPr="00871AA5">
          <w:rPr>
            <w:rStyle w:val="Hyperlink"/>
            <w:noProof/>
          </w:rPr>
          <w:t>Appendix D – Sensitivity analysis</w:t>
        </w:r>
        <w:r w:rsidR="00F352C4">
          <w:rPr>
            <w:noProof/>
            <w:webHidden/>
          </w:rPr>
          <w:tab/>
        </w:r>
        <w:r w:rsidR="00F352C4">
          <w:rPr>
            <w:noProof/>
            <w:webHidden/>
          </w:rPr>
          <w:fldChar w:fldCharType="begin"/>
        </w:r>
        <w:r w:rsidR="00F352C4">
          <w:rPr>
            <w:noProof/>
            <w:webHidden/>
          </w:rPr>
          <w:instrText xml:space="preserve"> PAGEREF _Toc152933060 \h </w:instrText>
        </w:r>
        <w:r w:rsidR="00F352C4">
          <w:rPr>
            <w:noProof/>
            <w:webHidden/>
          </w:rPr>
        </w:r>
        <w:r w:rsidR="00F352C4">
          <w:rPr>
            <w:noProof/>
            <w:webHidden/>
          </w:rPr>
          <w:fldChar w:fldCharType="separate"/>
        </w:r>
        <w:r w:rsidR="00315D9A">
          <w:rPr>
            <w:noProof/>
            <w:webHidden/>
          </w:rPr>
          <w:t>141</w:t>
        </w:r>
        <w:r w:rsidR="00F352C4">
          <w:rPr>
            <w:noProof/>
            <w:webHidden/>
          </w:rPr>
          <w:fldChar w:fldCharType="end"/>
        </w:r>
      </w:hyperlink>
    </w:p>
    <w:p w14:paraId="6E884B44" w14:textId="0B2B54D6" w:rsidR="00F352C4" w:rsidRDefault="00000000">
      <w:pPr>
        <w:pStyle w:val="TOC1"/>
        <w:rPr>
          <w:rFonts w:asciiTheme="minorHAnsi" w:eastAsiaTheme="minorEastAsia" w:hAnsiTheme="minorHAnsi"/>
          <w:b w:val="0"/>
          <w:noProof/>
          <w:lang w:eastAsia="en-AU"/>
        </w:rPr>
      </w:pPr>
      <w:hyperlink w:anchor="_Toc152933063" w:history="1">
        <w:r w:rsidR="00F352C4" w:rsidRPr="00871AA5">
          <w:rPr>
            <w:rStyle w:val="Hyperlink"/>
            <w:noProof/>
          </w:rPr>
          <w:t xml:space="preserve">Appendix E – Requirements of the </w:t>
        </w:r>
        <w:r w:rsidR="00471A3B" w:rsidRPr="00471A3B">
          <w:rPr>
            <w:i/>
            <w:iCs/>
            <w:noProof/>
          </w:rPr>
          <w:t>Financial Management Act</w:t>
        </w:r>
        <w:r w:rsidR="00F352C4" w:rsidRPr="00471A3B">
          <w:rPr>
            <w:i/>
            <w:iCs/>
            <w:noProof/>
          </w:rPr>
          <w:t xml:space="preserve"> 1994</w:t>
        </w:r>
        <w:r w:rsidR="00F352C4">
          <w:rPr>
            <w:noProof/>
            <w:webHidden/>
          </w:rPr>
          <w:tab/>
        </w:r>
        <w:r w:rsidR="00F352C4">
          <w:rPr>
            <w:noProof/>
            <w:webHidden/>
          </w:rPr>
          <w:fldChar w:fldCharType="begin"/>
        </w:r>
        <w:r w:rsidR="00F352C4">
          <w:rPr>
            <w:noProof/>
            <w:webHidden/>
          </w:rPr>
          <w:instrText xml:space="preserve"> PAGEREF _Toc152933063 \h </w:instrText>
        </w:r>
        <w:r w:rsidR="00F352C4">
          <w:rPr>
            <w:noProof/>
            <w:webHidden/>
          </w:rPr>
        </w:r>
        <w:r w:rsidR="00F352C4">
          <w:rPr>
            <w:noProof/>
            <w:webHidden/>
          </w:rPr>
          <w:fldChar w:fldCharType="separate"/>
        </w:r>
        <w:r w:rsidR="00315D9A">
          <w:rPr>
            <w:noProof/>
            <w:webHidden/>
          </w:rPr>
          <w:t>149</w:t>
        </w:r>
        <w:r w:rsidR="00F352C4">
          <w:rPr>
            <w:noProof/>
            <w:webHidden/>
          </w:rPr>
          <w:fldChar w:fldCharType="end"/>
        </w:r>
      </w:hyperlink>
    </w:p>
    <w:p w14:paraId="7DBC64D0" w14:textId="0B4F95A9" w:rsidR="00F352C4" w:rsidRDefault="00000000">
      <w:pPr>
        <w:pStyle w:val="TOC1"/>
        <w:rPr>
          <w:rFonts w:asciiTheme="minorHAnsi" w:eastAsiaTheme="minorEastAsia" w:hAnsiTheme="minorHAnsi"/>
          <w:b w:val="0"/>
          <w:noProof/>
          <w:lang w:eastAsia="en-AU"/>
        </w:rPr>
      </w:pPr>
      <w:hyperlink w:anchor="_Toc152933064" w:history="1">
        <w:r w:rsidR="00F352C4" w:rsidRPr="00871AA5">
          <w:rPr>
            <w:rStyle w:val="Hyperlink"/>
            <w:noProof/>
          </w:rPr>
          <w:t>Style conventions</w:t>
        </w:r>
        <w:r w:rsidR="00F352C4">
          <w:rPr>
            <w:noProof/>
            <w:webHidden/>
          </w:rPr>
          <w:tab/>
        </w:r>
        <w:r w:rsidR="00F352C4">
          <w:rPr>
            <w:noProof/>
            <w:webHidden/>
          </w:rPr>
          <w:fldChar w:fldCharType="begin"/>
        </w:r>
        <w:r w:rsidR="00F352C4">
          <w:rPr>
            <w:noProof/>
            <w:webHidden/>
          </w:rPr>
          <w:instrText xml:space="preserve"> PAGEREF _Toc152933064 \h </w:instrText>
        </w:r>
        <w:r w:rsidR="00F352C4">
          <w:rPr>
            <w:noProof/>
            <w:webHidden/>
          </w:rPr>
        </w:r>
        <w:r w:rsidR="00F352C4">
          <w:rPr>
            <w:noProof/>
            <w:webHidden/>
          </w:rPr>
          <w:fldChar w:fldCharType="separate"/>
        </w:r>
        <w:r w:rsidR="00315D9A">
          <w:rPr>
            <w:noProof/>
            <w:webHidden/>
          </w:rPr>
          <w:t>151</w:t>
        </w:r>
        <w:r w:rsidR="00F352C4">
          <w:rPr>
            <w:noProof/>
            <w:webHidden/>
          </w:rPr>
          <w:fldChar w:fldCharType="end"/>
        </w:r>
      </w:hyperlink>
    </w:p>
    <w:p w14:paraId="21603386" w14:textId="3F747C2B" w:rsidR="00F352C4" w:rsidRDefault="00F352C4" w:rsidP="00F352C4">
      <w:pPr>
        <w:sectPr w:rsidR="00F352C4" w:rsidSect="00570639">
          <w:footerReference w:type="even" r:id="rId15"/>
          <w:footerReference w:type="default" r:id="rId16"/>
          <w:pgSz w:w="9979" w:h="14175" w:code="34"/>
          <w:pgMar w:top="1134" w:right="1134" w:bottom="1134" w:left="1134" w:header="624" w:footer="567" w:gutter="0"/>
          <w:cols w:space="708"/>
          <w:docGrid w:linePitch="360"/>
        </w:sectPr>
      </w:pPr>
      <w:r>
        <w:fldChar w:fldCharType="end"/>
      </w:r>
    </w:p>
    <w:p w14:paraId="6F363921" w14:textId="198E2224" w:rsidR="001C6628" w:rsidRDefault="001C6628" w:rsidP="001C6628">
      <w:pPr>
        <w:pStyle w:val="ChapterHeading"/>
      </w:pPr>
      <w:bookmarkStart w:id="1" w:name="_Toc152933016"/>
      <w:r>
        <w:lastRenderedPageBreak/>
        <w:t>Chapter 1 – Economic and Fiscal Overview</w:t>
      </w:r>
      <w:bookmarkEnd w:id="1"/>
    </w:p>
    <w:p w14:paraId="0E3AA7A5" w14:textId="77777777" w:rsidR="00AB205D" w:rsidRPr="005A62E3" w:rsidRDefault="00471A3B">
      <w:pPr>
        <w:pStyle w:val="Heading10"/>
      </w:pPr>
      <w:bookmarkStart w:id="2" w:name="_Toc152933017"/>
      <w:r w:rsidRPr="005A62E3">
        <w:t>A strong labour market and a growing economy</w:t>
      </w:r>
      <w:bookmarkEnd w:id="2"/>
    </w:p>
    <w:p w14:paraId="7B3E13C5" w14:textId="77777777" w:rsidR="00AB205D" w:rsidRDefault="00471A3B">
      <w:r>
        <w:t xml:space="preserve">The Victorian economy is performing well, and the labour market is strong. Economic output, as measured by real gross state product (GSP), grew </w:t>
      </w:r>
      <w:r w:rsidRPr="002A6D15">
        <w:t xml:space="preserve">by </w:t>
      </w:r>
      <w:r>
        <w:t>2.6 per cent in 2022-23, bringing GSP per person to 4.8 per cent above what it was in 2018</w:t>
      </w:r>
      <w:r>
        <w:noBreakHyphen/>
        <w:t xml:space="preserve">19, the last full year before the COVID-19 pandemic. </w:t>
      </w:r>
      <w:r w:rsidRPr="00C74228">
        <w:t xml:space="preserve">The </w:t>
      </w:r>
      <w:r w:rsidRPr="00A4025F">
        <w:t>share of working</w:t>
      </w:r>
      <w:r>
        <w:noBreakHyphen/>
      </w:r>
      <w:r w:rsidRPr="00A4025F">
        <w:t xml:space="preserve">age Victorians in </w:t>
      </w:r>
      <w:r w:rsidRPr="00C4412F">
        <w:t xml:space="preserve">employment </w:t>
      </w:r>
      <w:r w:rsidRPr="00A4025F">
        <w:t>is above the national average</w:t>
      </w:r>
      <w:r>
        <w:t xml:space="preserve"> and around a record high</w:t>
      </w:r>
      <w:r w:rsidRPr="00C4412F">
        <w:t>,</w:t>
      </w:r>
      <w:r w:rsidRPr="00A4025F">
        <w:t xml:space="preserve"> </w:t>
      </w:r>
      <w:r>
        <w:t>and</w:t>
      </w:r>
      <w:r w:rsidRPr="00A4025F">
        <w:t xml:space="preserve"> t</w:t>
      </w:r>
      <w:r w:rsidRPr="00C74228">
        <w:t xml:space="preserve">he rate of unemployment </w:t>
      </w:r>
      <w:r>
        <w:t xml:space="preserve">is below 4 per cent </w:t>
      </w:r>
      <w:r>
        <w:rPr>
          <w:rFonts w:cstheme="minorHAnsi"/>
        </w:rPr>
        <w:t>–</w:t>
      </w:r>
      <w:r>
        <w:t xml:space="preserve"> which hasn’t happened for nearly 50 years.</w:t>
      </w:r>
      <w:r w:rsidRPr="00C74228">
        <w:t xml:space="preserve"> </w:t>
      </w:r>
    </w:p>
    <w:p w14:paraId="17895A90" w14:textId="77777777" w:rsidR="00AB205D" w:rsidRDefault="00471A3B">
      <w:r w:rsidRPr="00C74228">
        <w:t>While Victoria’s economy has</w:t>
      </w:r>
      <w:r w:rsidRPr="00C74228" w:rsidDel="00A914D7">
        <w:t xml:space="preserve"> </w:t>
      </w:r>
      <w:r w:rsidRPr="00C74228">
        <w:t xml:space="preserve">recovered following the pandemic, it is now navigating a challenging period </w:t>
      </w:r>
      <w:r>
        <w:t>of</w:t>
      </w:r>
      <w:r w:rsidRPr="00C74228">
        <w:t xml:space="preserve"> high inflation </w:t>
      </w:r>
      <w:r>
        <w:t>and increased</w:t>
      </w:r>
      <w:r w:rsidRPr="00C74228">
        <w:t xml:space="preserve"> interest rates, </w:t>
      </w:r>
      <w:r>
        <w:t>as are economies nationally</w:t>
      </w:r>
      <w:r w:rsidRPr="00C74228">
        <w:t xml:space="preserve"> and </w:t>
      </w:r>
      <w:r>
        <w:t>globally</w:t>
      </w:r>
      <w:r w:rsidRPr="00C74228">
        <w:t xml:space="preserve">. However, the Victorian economy’s strong foundations mean that most households and businesses are well positioned to meet these challenges. On average, Victorian households have accumulated significant savings over recent years, and business balance sheets are also strong in aggregate. </w:t>
      </w:r>
      <w:r>
        <w:t xml:space="preserve">Growth in consumer prices, though still high, is easing and is expected to decline further. </w:t>
      </w:r>
      <w:r w:rsidRPr="00C74228">
        <w:t xml:space="preserve">Nonetheless, </w:t>
      </w:r>
      <w:r>
        <w:t>with higher interest rates weighing on activity and</w:t>
      </w:r>
      <w:r w:rsidRPr="00C74228">
        <w:t xml:space="preserve"> rising living costs </w:t>
      </w:r>
      <w:r>
        <w:t>putting pressure on households, r</w:t>
      </w:r>
      <w:r w:rsidRPr="00C74228">
        <w:t xml:space="preserve">eal GSP growth is expected to slow to </w:t>
      </w:r>
      <w:r w:rsidRPr="00D21ABD">
        <w:t>1.5 </w:t>
      </w:r>
      <w:r w:rsidRPr="00C74228">
        <w:t>per</w:t>
      </w:r>
      <w:r>
        <w:t> </w:t>
      </w:r>
      <w:r w:rsidRPr="00C74228">
        <w:t>cent in 2023</w:t>
      </w:r>
      <w:r>
        <w:noBreakHyphen/>
      </w:r>
      <w:r w:rsidRPr="00C74228">
        <w:t>24, although unemployment is expected to remain low. Later in the forward estimates, economic growth is expected to strengthen as inflation eases</w:t>
      </w:r>
      <w:r>
        <w:t xml:space="preserve">. </w:t>
      </w:r>
    </w:p>
    <w:p w14:paraId="0B6412AB" w14:textId="77777777" w:rsidR="00AB205D" w:rsidRDefault="00471A3B">
      <w:r>
        <w:t xml:space="preserve">Strong economic growth in recent years has led to a very strong labour market. Since the trough in employment in September 2020, </w:t>
      </w:r>
      <w:r w:rsidRPr="00DA6A5E">
        <w:t>5</w:t>
      </w:r>
      <w:r>
        <w:t>38</w:t>
      </w:r>
      <w:r w:rsidRPr="00DA6A5E">
        <w:t xml:space="preserve"> 000</w:t>
      </w:r>
      <w:r>
        <w:t xml:space="preserve"> jobs have been created, and the Government’s Jobs Target of creating 400 000 new jobs by 2025 has been met more than two years early. Workforce participation is around a record high, as is the share of working</w:t>
      </w:r>
      <w:r>
        <w:noBreakHyphen/>
        <w:t xml:space="preserve">age Victorians in employment. Employment growth has been broad-based, with all major cohorts of workers benefitting from the strength of the labour market. </w:t>
      </w:r>
      <w:r w:rsidRPr="00FF6F21">
        <w:t>The share of working</w:t>
      </w:r>
      <w:r>
        <w:noBreakHyphen/>
      </w:r>
      <w:r w:rsidRPr="00FF6F21">
        <w:t>age women in employment is at a record</w:t>
      </w:r>
      <w:r>
        <w:t xml:space="preserve"> high </w:t>
      </w:r>
      <w:r w:rsidRPr="00FF6F21">
        <w:t>61.7 per cent; while the share of young people in employment is 63.9 per cent, higher than before the pandemic.</w:t>
      </w:r>
      <w:r>
        <w:t xml:space="preserve"> Following robust growth of </w:t>
      </w:r>
      <w:r w:rsidRPr="00162032">
        <w:t>4.0</w:t>
      </w:r>
      <w:r>
        <w:t> per cent in 2022-23, employment growth is forecast to ease in 2023</w:t>
      </w:r>
      <w:r>
        <w:noBreakHyphen/>
        <w:t>24 in light of the high proportion of Victorians already in employment, and the expected slowdown in economic growth.</w:t>
      </w:r>
      <w:r w:rsidRPr="005C72EB">
        <w:t xml:space="preserve"> </w:t>
      </w:r>
    </w:p>
    <w:p w14:paraId="192CE11F" w14:textId="77777777" w:rsidR="00AB205D" w:rsidRDefault="00471A3B">
      <w:r>
        <w:lastRenderedPageBreak/>
        <w:t xml:space="preserve">Victoria’s unemployment rate is </w:t>
      </w:r>
      <w:r w:rsidRPr="00FF0AAC">
        <w:t>3.8</w:t>
      </w:r>
      <w:r>
        <w:t> per cent, and it has been below 4 per cent for most of the period since mid</w:t>
      </w:r>
      <w:r>
        <w:noBreakHyphen/>
        <w:t>2022 (see Chart 1.</w:t>
      </w:r>
      <w:r w:rsidRPr="003943BA">
        <w:t>1</w:t>
      </w:r>
      <w:r>
        <w:t xml:space="preserve">). In regional Victoria, the unemployment rate is even lower, at </w:t>
      </w:r>
      <w:r w:rsidRPr="003943BA">
        <w:t>2.</w:t>
      </w:r>
      <w:r>
        <w:t xml:space="preserve">8 per cent in the three months to October 2023. </w:t>
      </w:r>
      <w:r w:rsidRPr="00C74228">
        <w:t xml:space="preserve">The strength of the labour market has also meant that many Victorians who </w:t>
      </w:r>
      <w:r>
        <w:t>have wanted</w:t>
      </w:r>
      <w:r w:rsidRPr="00C74228">
        <w:t xml:space="preserve"> to work more hours are getting the opportunity to do so. The underemployment rate, which captures those who have a job but would like to work more hours, is </w:t>
      </w:r>
      <w:r w:rsidRPr="003D3D6E">
        <w:t xml:space="preserve">around </w:t>
      </w:r>
      <w:r w:rsidRPr="003D3D6E" w:rsidDel="00D86B25">
        <w:t xml:space="preserve">the lowest </w:t>
      </w:r>
      <w:r w:rsidRPr="003D3D6E">
        <w:t>in a decade.</w:t>
      </w:r>
      <w:r>
        <w:t xml:space="preserve"> Long-term unemployment is also low, with the share of Victorian workers in long-term unemployment </w:t>
      </w:r>
      <w:r w:rsidRPr="00641A04">
        <w:t>around</w:t>
      </w:r>
      <w:r w:rsidRPr="000D1356">
        <w:t xml:space="preserve"> its lowest level in </w:t>
      </w:r>
      <w:r w:rsidRPr="00641A04">
        <w:t>more than a decade</w:t>
      </w:r>
      <w:r w:rsidRPr="000D1356">
        <w:t>.</w:t>
      </w:r>
      <w:r>
        <w:t xml:space="preserve"> Unemployment is forecast to rise modestly to 4.00 per cent in 2023</w:t>
      </w:r>
      <w:r>
        <w:noBreakHyphen/>
        <w:t xml:space="preserve">24 as economic growth slows, remaining low by historical standards. </w:t>
      </w:r>
    </w:p>
    <w:p w14:paraId="69C5222C" w14:textId="77777777" w:rsidR="00AB205D" w:rsidRPr="007E2859" w:rsidRDefault="00471A3B">
      <w:pPr>
        <w:tabs>
          <w:tab w:val="left" w:pos="851"/>
        </w:tabs>
        <w:rPr>
          <w:rFonts w:asciiTheme="majorHAnsi" w:hAnsiTheme="majorHAnsi" w:cstheme="majorHAnsi"/>
          <w:b/>
          <w:bCs/>
          <w:sz w:val="20"/>
          <w:szCs w:val="20"/>
        </w:rPr>
      </w:pPr>
      <w:r w:rsidRPr="007E2859">
        <w:rPr>
          <w:rFonts w:asciiTheme="majorHAnsi" w:hAnsiTheme="majorHAnsi" w:cstheme="majorHAnsi"/>
          <w:b/>
          <w:bCs/>
          <w:sz w:val="20"/>
          <w:szCs w:val="20"/>
        </w:rPr>
        <w:t>Chart 1.</w:t>
      </w:r>
      <w:r w:rsidRPr="0006538D">
        <w:rPr>
          <w:rFonts w:asciiTheme="majorHAnsi" w:hAnsiTheme="majorHAnsi" w:cstheme="majorHAnsi"/>
          <w:b/>
          <w:sz w:val="20"/>
          <w:szCs w:val="20"/>
        </w:rPr>
        <w:t>1</w:t>
      </w:r>
      <w:r w:rsidRPr="007E2859">
        <w:rPr>
          <w:rFonts w:asciiTheme="majorHAnsi" w:hAnsiTheme="majorHAnsi" w:cstheme="majorHAnsi"/>
          <w:b/>
          <w:bCs/>
          <w:sz w:val="20"/>
          <w:szCs w:val="20"/>
        </w:rPr>
        <w:t>:</w:t>
      </w:r>
      <w:r w:rsidRPr="007E2859">
        <w:rPr>
          <w:rFonts w:asciiTheme="majorHAnsi" w:hAnsiTheme="majorHAnsi" w:cstheme="majorHAnsi"/>
          <w:b/>
          <w:bCs/>
          <w:sz w:val="20"/>
          <w:szCs w:val="20"/>
        </w:rPr>
        <w:tab/>
        <w:t>Unemployment rate, Victoria</w:t>
      </w:r>
    </w:p>
    <w:p w14:paraId="4ABCEFDD" w14:textId="77777777" w:rsidR="00AB205D" w:rsidRDefault="00471A3B">
      <w:r w:rsidRPr="00FB1CE9">
        <w:rPr>
          <w:rFonts w:ascii="Calibri" w:hAnsi="Calibri" w:cs="Calibri"/>
          <w:noProof/>
        </w:rPr>
        <w:drawing>
          <wp:inline distT="0" distB="0" distL="0" distR="0" wp14:anchorId="62831C91" wp14:editId="05DE949F">
            <wp:extent cx="4892723" cy="2720340"/>
            <wp:effectExtent l="0" t="0" r="3175" b="3810"/>
            <wp:docPr id="3" name="Chart 3">
              <a:extLst xmlns:a="http://schemas.openxmlformats.org/drawingml/2006/main">
                <a:ext uri="{FF2B5EF4-FFF2-40B4-BE49-F238E27FC236}">
                  <a16:creationId xmlns:a16="http://schemas.microsoft.com/office/drawing/2014/main" id="{B6FC0B31-1766-C2A4-4D12-74BC32D57D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D4AD11E" w14:textId="77777777" w:rsidR="00AB205D" w:rsidRPr="00256977" w:rsidRDefault="00471A3B">
      <w:pPr>
        <w:pStyle w:val="Note"/>
        <w:keepNext/>
      </w:pPr>
      <w:r>
        <w:t>S</w:t>
      </w:r>
      <w:r w:rsidRPr="00256977">
        <w:t>ource: Australian Bureau of Statistics</w:t>
      </w:r>
    </w:p>
    <w:p w14:paraId="4A4551F3" w14:textId="77777777" w:rsidR="00AB205D" w:rsidRDefault="00AB205D"/>
    <w:p w14:paraId="6065C040" w14:textId="77777777" w:rsidR="00AB205D" w:rsidRDefault="00471A3B">
      <w:r>
        <w:t>Inflation is past its peak, although it</w:t>
      </w:r>
      <w:r w:rsidRPr="008D176F">
        <w:t xml:space="preserve"> </w:t>
      </w:r>
      <w:r>
        <w:t xml:space="preserve">remains high. The Reserve Bank of Australia has raised interest rates significantly to return inflation to its target range. </w:t>
      </w:r>
      <w:r w:rsidRPr="00C74228">
        <w:t xml:space="preserve">These developments are adversely </w:t>
      </w:r>
      <w:r>
        <w:t>affecting</w:t>
      </w:r>
      <w:r w:rsidRPr="00C74228">
        <w:t xml:space="preserve"> </w:t>
      </w:r>
      <w:r>
        <w:t>many</w:t>
      </w:r>
      <w:r w:rsidRPr="00C74228">
        <w:t xml:space="preserve"> Victorian</w:t>
      </w:r>
      <w:r>
        <w:t>s</w:t>
      </w:r>
      <w:r w:rsidRPr="00C74228">
        <w:t xml:space="preserve">, with </w:t>
      </w:r>
      <w:r>
        <w:t>those</w:t>
      </w:r>
      <w:r w:rsidRPr="00C74228">
        <w:t xml:space="preserve"> on low incomes in particular facing </w:t>
      </w:r>
      <w:r>
        <w:t xml:space="preserve">pressure from the </w:t>
      </w:r>
      <w:r w:rsidRPr="00C74228">
        <w:t>rising cost</w:t>
      </w:r>
      <w:r>
        <w:t xml:space="preserve"> </w:t>
      </w:r>
      <w:r w:rsidRPr="00C74228">
        <w:t>of</w:t>
      </w:r>
      <w:r>
        <w:t xml:space="preserve"> </w:t>
      </w:r>
      <w:r w:rsidRPr="00C74228">
        <w:t>living.</w:t>
      </w:r>
      <w:r>
        <w:t xml:space="preserve"> The tight labour market, however, has supported wages and income growth, with wages growing by </w:t>
      </w:r>
      <w:r w:rsidRPr="00D872B0">
        <w:t>3.7</w:t>
      </w:r>
      <w:r w:rsidRPr="00E11504">
        <w:t> </w:t>
      </w:r>
      <w:r>
        <w:t xml:space="preserve">per cent over the year to September 2023 – the </w:t>
      </w:r>
      <w:r w:rsidRPr="00D872B0">
        <w:t>fastest pace in more than a decade</w:t>
      </w:r>
      <w:r>
        <w:t>. Looking ahead, inflation is expected to continue to decline gradually.</w:t>
      </w:r>
    </w:p>
    <w:p w14:paraId="3A8D4372" w14:textId="77777777" w:rsidR="00AB205D" w:rsidRDefault="00AB205D"/>
    <w:p w14:paraId="7B46EAB9" w14:textId="77777777" w:rsidR="00657245" w:rsidRDefault="00657245" w:rsidP="00657245">
      <w:pPr>
        <w:pStyle w:val="Heading10"/>
      </w:pPr>
      <w:bookmarkStart w:id="3" w:name="_Toc152933018"/>
      <w:r>
        <w:lastRenderedPageBreak/>
        <w:t>Strong financial management</w:t>
      </w:r>
      <w:bookmarkEnd w:id="3"/>
    </w:p>
    <w:p w14:paraId="6AA7C0E0" w14:textId="77777777" w:rsidR="00657245" w:rsidRDefault="00657245" w:rsidP="00657245">
      <w:r>
        <w:t xml:space="preserve">As first outlined in the </w:t>
      </w:r>
      <w:r w:rsidRPr="00062BA8">
        <w:rPr>
          <w:i/>
          <w:iCs/>
        </w:rPr>
        <w:t>2020-21 Budget</w:t>
      </w:r>
      <w:r>
        <w:t xml:space="preserve">, the Government developed a clear plan to protect Victorian households and businesses from the global pandemic and to provide the strong foundations for recovery. This </w:t>
      </w:r>
      <w:r w:rsidR="00471A3B">
        <w:t>involved</w:t>
      </w:r>
      <w:r>
        <w:t xml:space="preserve"> a four-step plan to support Victorians, grow the economy and restore the budget position over the medium term. The four-step plan provided a clear framework:</w:t>
      </w:r>
    </w:p>
    <w:p w14:paraId="409F5360" w14:textId="77777777" w:rsidR="00657245" w:rsidRDefault="00657245" w:rsidP="00657245">
      <w:pPr>
        <w:pStyle w:val="ListBullet"/>
      </w:pPr>
      <w:r w:rsidRPr="00657245">
        <w:rPr>
          <w:b/>
          <w:bCs/>
        </w:rPr>
        <w:t>Step 1</w:t>
      </w:r>
      <w:r>
        <w:t>: creating jobs, reducing unemployment and restoring economic growth</w:t>
      </w:r>
    </w:p>
    <w:p w14:paraId="3B4E6956" w14:textId="77777777" w:rsidR="00657245" w:rsidRDefault="00657245" w:rsidP="00657245">
      <w:pPr>
        <w:pStyle w:val="ListBullet"/>
      </w:pPr>
      <w:r w:rsidRPr="00657245">
        <w:rPr>
          <w:b/>
          <w:bCs/>
        </w:rPr>
        <w:t>Step 2</w:t>
      </w:r>
      <w:r>
        <w:t>: returning to an operating cash surplus</w:t>
      </w:r>
    </w:p>
    <w:p w14:paraId="4A2BCB74" w14:textId="77777777" w:rsidR="00657245" w:rsidRDefault="00657245" w:rsidP="00657245">
      <w:pPr>
        <w:pStyle w:val="ListBullet"/>
      </w:pPr>
      <w:r w:rsidRPr="00657245">
        <w:rPr>
          <w:b/>
          <w:bCs/>
        </w:rPr>
        <w:t>Step 3</w:t>
      </w:r>
      <w:r>
        <w:t>: returning to operating surpluses</w:t>
      </w:r>
    </w:p>
    <w:p w14:paraId="0D28F85C" w14:textId="77777777" w:rsidR="00657245" w:rsidRDefault="00657245" w:rsidP="00657245">
      <w:pPr>
        <w:pStyle w:val="ListBullet"/>
      </w:pPr>
      <w:r w:rsidRPr="00657245">
        <w:rPr>
          <w:b/>
          <w:bCs/>
        </w:rPr>
        <w:t>Step 4</w:t>
      </w:r>
      <w:r>
        <w:t>: stabilising debt levels.</w:t>
      </w:r>
    </w:p>
    <w:p w14:paraId="77CCA561" w14:textId="77777777" w:rsidR="00657245" w:rsidRDefault="00657245" w:rsidP="00062BA8">
      <w:pPr>
        <w:pStyle w:val="Heading20"/>
      </w:pPr>
      <w:r>
        <w:t>Progress towards achieving the Government’s fiscal strategy</w:t>
      </w:r>
    </w:p>
    <w:p w14:paraId="00F170C7" w14:textId="77777777" w:rsidR="00AB205D" w:rsidRDefault="00471A3B">
      <w:pPr>
        <w:keepNext/>
      </w:pPr>
      <w:r>
        <w:t xml:space="preserve">The first step – creating jobs, reducing unemployment and restoring economic growth – has been achieved, with strong employment </w:t>
      </w:r>
      <w:r w:rsidRPr="00C74228">
        <w:t>outcomes and robust economic growth</w:t>
      </w:r>
      <w:r>
        <w:t>. The unemployment rate is below 4</w:t>
      </w:r>
      <w:r w:rsidDel="0039640E">
        <w:t> </w:t>
      </w:r>
      <w:r>
        <w:t xml:space="preserve">per cent, which is historically low, and </w:t>
      </w:r>
      <w:r w:rsidRPr="00C74228">
        <w:t xml:space="preserve">underemployment is </w:t>
      </w:r>
      <w:r w:rsidRPr="00D363BC">
        <w:t>around</w:t>
      </w:r>
      <w:r w:rsidRPr="00C74228">
        <w:t xml:space="preserve"> </w:t>
      </w:r>
      <w:r>
        <w:t>the lowest in a decade.</w:t>
      </w:r>
    </w:p>
    <w:p w14:paraId="4980438E" w14:textId="77777777" w:rsidR="00AB205D" w:rsidRPr="00CA500C" w:rsidRDefault="00471A3B">
      <w:r>
        <w:t xml:space="preserve">The second step in the Government’s fiscal strategy – returning to an operating cash surplus – means the State is generating sufficient cash inflows to exceed its cash outflows on operating activities, a key pillar of fiscal sustainability. As outlined in the </w:t>
      </w:r>
      <w:r w:rsidRPr="001F1AAA">
        <w:rPr>
          <w:i/>
          <w:iCs/>
        </w:rPr>
        <w:t>2022-23 Financial Report</w:t>
      </w:r>
      <w:r>
        <w:t>, t</w:t>
      </w:r>
      <w:r w:rsidRPr="0044143A">
        <w:t xml:space="preserve">he Government achieved </w:t>
      </w:r>
      <w:r>
        <w:t>s</w:t>
      </w:r>
      <w:r w:rsidRPr="0044143A">
        <w:t xml:space="preserve">tep </w:t>
      </w:r>
      <w:r>
        <w:t>two</w:t>
      </w:r>
      <w:r w:rsidRPr="0044143A">
        <w:t xml:space="preserve"> with an operating</w:t>
      </w:r>
      <w:r>
        <w:t xml:space="preserve"> cash surplus of $4.3 billion in 2022</w:t>
      </w:r>
      <w:r>
        <w:noBreakHyphen/>
        <w:t>23. In addition, t</w:t>
      </w:r>
      <w:r w:rsidRPr="00D9471C">
        <w:t>he Government continues to forecast operating cash surpluses across the forward estimates with $0.</w:t>
      </w:r>
      <w:r>
        <w:t>3 </w:t>
      </w:r>
      <w:r w:rsidRPr="00D9471C">
        <w:t>billion in 2023</w:t>
      </w:r>
      <w:r>
        <w:noBreakHyphen/>
      </w:r>
      <w:r w:rsidRPr="00D9471C">
        <w:t>24</w:t>
      </w:r>
      <w:r>
        <w:t>,</w:t>
      </w:r>
      <w:r w:rsidRPr="00D9471C">
        <w:t xml:space="preserve"> increasing to $</w:t>
      </w:r>
      <w:r>
        <w:t>5.9 </w:t>
      </w:r>
      <w:r w:rsidRPr="00D9471C">
        <w:t>billion in 2026-27.</w:t>
      </w:r>
    </w:p>
    <w:p w14:paraId="58AC8071" w14:textId="77777777" w:rsidR="00AB205D" w:rsidRDefault="00471A3B">
      <w:pPr>
        <w:pStyle w:val="NormalKeepWithNext"/>
      </w:pPr>
      <w:r>
        <w:t>The third step – returning to an operating surplus – is important as this is where the Government generates sufficient revenues to not just cover its cash expenditure, but also support the ongoing replacement of existing assets. The net result from transactions for the general government sector is forecast to be in surplus by $1.1 billion in 2025</w:t>
      </w:r>
      <w:r>
        <w:noBreakHyphen/>
        <w:t xml:space="preserve">26 and then increase to $1.2 billion in 2026-27. </w:t>
      </w:r>
    </w:p>
    <w:p w14:paraId="6CC85CE5" w14:textId="77777777" w:rsidR="00AB205D" w:rsidRDefault="00471A3B">
      <w:r>
        <w:t>Stabilising net debt as a percentage of GSP – the last step in the Government’s fiscal strategy – is an important medium-term objective for the Government. This step involves progressively improving the operating cash flow surpluses</w:t>
      </w:r>
      <w:r w:rsidRPr="00DE520C">
        <w:t xml:space="preserve"> </w:t>
      </w:r>
      <w:r>
        <w:t>while growing the economy. These surpluses will fund a higher proportion of capital expenditure, reducing the reliance on borrowings.</w:t>
      </w:r>
    </w:p>
    <w:p w14:paraId="5DA0A1F8" w14:textId="77777777" w:rsidR="00AB205D" w:rsidRDefault="00471A3B">
      <w:r w:rsidRPr="00980393">
        <w:t xml:space="preserve">As outlined in the </w:t>
      </w:r>
      <w:r w:rsidRPr="00980393">
        <w:rPr>
          <w:i/>
          <w:iCs/>
        </w:rPr>
        <w:t>2023</w:t>
      </w:r>
      <w:r>
        <w:rPr>
          <w:i/>
          <w:iCs/>
        </w:rPr>
        <w:noBreakHyphen/>
      </w:r>
      <w:r w:rsidRPr="00980393">
        <w:rPr>
          <w:i/>
          <w:iCs/>
        </w:rPr>
        <w:t>24 Budget</w:t>
      </w:r>
      <w:r>
        <w:t xml:space="preserve">, </w:t>
      </w:r>
      <w:r w:rsidRPr="005F0862">
        <w:t>the Government is implementing strategies to improve the state’s financial position and manage the increase in debt in a sustain</w:t>
      </w:r>
      <w:r>
        <w:t>able</w:t>
      </w:r>
      <w:r w:rsidRPr="005F0862">
        <w:t xml:space="preserve"> manner.</w:t>
      </w:r>
      <w:r w:rsidRPr="00A210C6">
        <w:t xml:space="preserve"> </w:t>
      </w:r>
      <w:r>
        <w:t xml:space="preserve">This </w:t>
      </w:r>
      <w:r w:rsidRPr="005F0862">
        <w:t xml:space="preserve">includes </w:t>
      </w:r>
      <w:r>
        <w:t>the</w:t>
      </w:r>
      <w:r w:rsidRPr="005F0862">
        <w:t xml:space="preserve"> </w:t>
      </w:r>
      <w:r>
        <w:t>temporary</w:t>
      </w:r>
      <w:r w:rsidRPr="005F0862">
        <w:t xml:space="preserve"> </w:t>
      </w:r>
      <w:r w:rsidRPr="0068382F">
        <w:t>COVID Debt Levy to</w:t>
      </w:r>
      <w:r w:rsidRPr="005F0862">
        <w:t xml:space="preserve"> offset the cost of measures introduced by the Government in response to the pandemic over the past three years</w:t>
      </w:r>
      <w:r>
        <w:t>, along with</w:t>
      </w:r>
      <w:r w:rsidRPr="000950CE">
        <w:t xml:space="preserve"> </w:t>
      </w:r>
      <w:r>
        <w:t>taking steps to improve the efficiency and effectiveness of departmental spending and ensure expenditure is directed to key service delivery priorities</w:t>
      </w:r>
      <w:r w:rsidRPr="005F0862">
        <w:t>.</w:t>
      </w:r>
    </w:p>
    <w:p w14:paraId="76728CC5" w14:textId="77777777" w:rsidR="00657245" w:rsidRPr="00882306" w:rsidRDefault="00657245">
      <w:pPr>
        <w:pStyle w:val="TableHeading"/>
      </w:pPr>
      <w:r w:rsidRPr="0000743E">
        <w:lastRenderedPageBreak/>
        <w:t>Tabl</w:t>
      </w:r>
      <w:r w:rsidRPr="00882306">
        <w:t xml:space="preserve">e 1.1: </w:t>
      </w:r>
      <w:r w:rsidRPr="00882306">
        <w:tab/>
        <w:t xml:space="preserve">General </w:t>
      </w:r>
      <w:r w:rsidRPr="00987C17">
        <w:t>government</w:t>
      </w:r>
      <w:r w:rsidRPr="00882306">
        <w:t xml:space="preserve"> fiscal aggregates</w:t>
      </w:r>
    </w:p>
    <w:tbl>
      <w:tblPr>
        <w:tblStyle w:val="DTFTableNumeric"/>
        <w:tblW w:w="7710" w:type="dxa"/>
        <w:tblLayout w:type="fixed"/>
        <w:tblLook w:val="06A0" w:firstRow="1" w:lastRow="0" w:firstColumn="1" w:lastColumn="0" w:noHBand="1" w:noVBand="1"/>
        <w:tblDescription w:val="Type:DtfTable|Workbook:https://vicgov.sharepoint.com/sites/VG002735/Budget%20Update/Chapter%203/Link_Chapter%203%20Budget%20Position%20and%20Outlook.xlsx|Table:GG_FiscalAggregates|MergedHeadingRow:1"/>
      </w:tblPr>
      <w:tblGrid>
        <w:gridCol w:w="3686"/>
        <w:gridCol w:w="848"/>
        <w:gridCol w:w="794"/>
        <w:gridCol w:w="794"/>
        <w:gridCol w:w="794"/>
        <w:gridCol w:w="794"/>
      </w:tblGrid>
      <w:tr w:rsidR="009C6724" w14:paraId="794B3BDC"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6" w:type="dxa"/>
          </w:tcPr>
          <w:p w14:paraId="238F4E11" w14:textId="77777777" w:rsidR="00AB205D" w:rsidRDefault="00AB205D">
            <w:pPr>
              <w:keepNext/>
              <w:spacing w:after="0"/>
            </w:pPr>
          </w:p>
        </w:tc>
        <w:tc>
          <w:tcPr>
            <w:tcW w:w="848" w:type="dxa"/>
          </w:tcPr>
          <w:p w14:paraId="4BB29640" w14:textId="77777777" w:rsidR="00AB205D" w:rsidRDefault="00471A3B">
            <w:pPr>
              <w:keepNext/>
              <w:spacing w:after="0"/>
              <w:jc w:val="center"/>
              <w:cnfStyle w:val="100000000000" w:firstRow="1" w:lastRow="0" w:firstColumn="0" w:lastColumn="0" w:oddVBand="0" w:evenVBand="0" w:oddHBand="0" w:evenHBand="0" w:firstRowFirstColumn="0" w:firstRowLastColumn="0" w:lastRowFirstColumn="0" w:lastRowLastColumn="0"/>
            </w:pPr>
            <w:r>
              <w:t>Unit of</w:t>
            </w:r>
            <w:r>
              <w:br/>
              <w:t>measure</w:t>
            </w:r>
          </w:p>
        </w:tc>
        <w:tc>
          <w:tcPr>
            <w:tcW w:w="794" w:type="dxa"/>
          </w:tcPr>
          <w:p w14:paraId="1D3AF84F"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2023</w:t>
            </w:r>
            <w:r>
              <w:noBreakHyphen/>
              <w:t>24</w:t>
            </w:r>
            <w:r>
              <w:br/>
              <w:t>revised</w:t>
            </w:r>
          </w:p>
        </w:tc>
        <w:tc>
          <w:tcPr>
            <w:tcW w:w="794" w:type="dxa"/>
          </w:tcPr>
          <w:p w14:paraId="7A54A71E"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2024</w:t>
            </w:r>
            <w:r>
              <w:noBreakHyphen/>
              <w:t>25</w:t>
            </w:r>
            <w:r>
              <w:br/>
              <w:t>estimate</w:t>
            </w:r>
          </w:p>
        </w:tc>
        <w:tc>
          <w:tcPr>
            <w:tcW w:w="794" w:type="dxa"/>
          </w:tcPr>
          <w:p w14:paraId="1C9C217D"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2CBD67FE"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r>
      <w:tr w:rsidR="009C6724" w14:paraId="38A5BB9B" w14:textId="77777777" w:rsidTr="009C6724">
        <w:tc>
          <w:tcPr>
            <w:cnfStyle w:val="001000000000" w:firstRow="0" w:lastRow="0" w:firstColumn="1" w:lastColumn="0" w:oddVBand="0" w:evenVBand="0" w:oddHBand="0" w:evenHBand="0" w:firstRowFirstColumn="0" w:firstRowLastColumn="0" w:lastRowFirstColumn="0" w:lastRowLastColumn="0"/>
            <w:tcW w:w="3686" w:type="dxa"/>
          </w:tcPr>
          <w:p w14:paraId="564456CA" w14:textId="77777777" w:rsidR="00AB205D" w:rsidRDefault="00471A3B">
            <w:pPr>
              <w:spacing w:after="0"/>
            </w:pPr>
            <w:r>
              <w:t>Net result from transactions</w:t>
            </w:r>
          </w:p>
        </w:tc>
        <w:tc>
          <w:tcPr>
            <w:tcW w:w="848" w:type="dxa"/>
          </w:tcPr>
          <w:p w14:paraId="16C26491" w14:textId="77777777" w:rsidR="00AB205D" w:rsidRDefault="00471A3B">
            <w:pPr>
              <w:spacing w:after="0"/>
              <w:jc w:val="center"/>
              <w:cnfStyle w:val="000000000000" w:firstRow="0" w:lastRow="0" w:firstColumn="0" w:lastColumn="0" w:oddVBand="0" w:evenVBand="0" w:oddHBand="0" w:evenHBand="0" w:firstRowFirstColumn="0" w:firstRowLastColumn="0" w:lastRowFirstColumn="0" w:lastRowLastColumn="0"/>
            </w:pPr>
            <w:r>
              <w:t>$ billion</w:t>
            </w:r>
          </w:p>
        </w:tc>
        <w:tc>
          <w:tcPr>
            <w:tcW w:w="794" w:type="dxa"/>
          </w:tcPr>
          <w:p w14:paraId="3A98D8B5"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(3.5)</w:t>
            </w:r>
          </w:p>
        </w:tc>
        <w:tc>
          <w:tcPr>
            <w:tcW w:w="794" w:type="dxa"/>
          </w:tcPr>
          <w:p w14:paraId="14BE5CEA"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(1.0)</w:t>
            </w:r>
          </w:p>
        </w:tc>
        <w:tc>
          <w:tcPr>
            <w:tcW w:w="794" w:type="dxa"/>
          </w:tcPr>
          <w:p w14:paraId="65FF4995"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1.1</w:t>
            </w:r>
          </w:p>
        </w:tc>
        <w:tc>
          <w:tcPr>
            <w:tcW w:w="794" w:type="dxa"/>
          </w:tcPr>
          <w:p w14:paraId="0DB6CB66"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1.2</w:t>
            </w:r>
          </w:p>
        </w:tc>
      </w:tr>
      <w:tr w:rsidR="009C6724" w14:paraId="7B77347B" w14:textId="77777777" w:rsidTr="009C6724">
        <w:tc>
          <w:tcPr>
            <w:cnfStyle w:val="001000000000" w:firstRow="0" w:lastRow="0" w:firstColumn="1" w:lastColumn="0" w:oddVBand="0" w:evenVBand="0" w:oddHBand="0" w:evenHBand="0" w:firstRowFirstColumn="0" w:firstRowLastColumn="0" w:lastRowFirstColumn="0" w:lastRowLastColumn="0"/>
            <w:tcW w:w="3686" w:type="dxa"/>
          </w:tcPr>
          <w:p w14:paraId="491B01F3" w14:textId="77777777" w:rsidR="00AB205D" w:rsidRDefault="00471A3B">
            <w:pPr>
              <w:spacing w:after="0"/>
            </w:pPr>
            <w:r>
              <w:t>Net cash flows from operating activities</w:t>
            </w:r>
          </w:p>
        </w:tc>
        <w:tc>
          <w:tcPr>
            <w:tcW w:w="848" w:type="dxa"/>
          </w:tcPr>
          <w:p w14:paraId="2C269C8C" w14:textId="77777777" w:rsidR="00AB205D" w:rsidRDefault="00471A3B">
            <w:pPr>
              <w:spacing w:after="0"/>
              <w:jc w:val="center"/>
              <w:cnfStyle w:val="000000000000" w:firstRow="0" w:lastRow="0" w:firstColumn="0" w:lastColumn="0" w:oddVBand="0" w:evenVBand="0" w:oddHBand="0" w:evenHBand="0" w:firstRowFirstColumn="0" w:firstRowLastColumn="0" w:lastRowFirstColumn="0" w:lastRowLastColumn="0"/>
            </w:pPr>
            <w:r>
              <w:t>$ billion</w:t>
            </w:r>
          </w:p>
        </w:tc>
        <w:tc>
          <w:tcPr>
            <w:tcW w:w="794" w:type="dxa"/>
          </w:tcPr>
          <w:p w14:paraId="60507575"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0.3</w:t>
            </w:r>
          </w:p>
        </w:tc>
        <w:tc>
          <w:tcPr>
            <w:tcW w:w="794" w:type="dxa"/>
          </w:tcPr>
          <w:p w14:paraId="09B6F81A"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3.6</w:t>
            </w:r>
          </w:p>
        </w:tc>
        <w:tc>
          <w:tcPr>
            <w:tcW w:w="794" w:type="dxa"/>
          </w:tcPr>
          <w:p w14:paraId="4B58B4D1"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6.1</w:t>
            </w:r>
          </w:p>
        </w:tc>
        <w:tc>
          <w:tcPr>
            <w:tcW w:w="794" w:type="dxa"/>
          </w:tcPr>
          <w:p w14:paraId="251D98AF"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5.9</w:t>
            </w:r>
          </w:p>
        </w:tc>
      </w:tr>
      <w:tr w:rsidR="009C6724" w14:paraId="414260A2" w14:textId="77777777" w:rsidTr="009C6724">
        <w:tc>
          <w:tcPr>
            <w:cnfStyle w:val="001000000000" w:firstRow="0" w:lastRow="0" w:firstColumn="1" w:lastColumn="0" w:oddVBand="0" w:evenVBand="0" w:oddHBand="0" w:evenHBand="0" w:firstRowFirstColumn="0" w:firstRowLastColumn="0" w:lastRowFirstColumn="0" w:lastRowLastColumn="0"/>
            <w:tcW w:w="3686" w:type="dxa"/>
          </w:tcPr>
          <w:p w14:paraId="27255AC1" w14:textId="77777777" w:rsidR="00AB205D" w:rsidRDefault="00471A3B">
            <w:pPr>
              <w:spacing w:after="0"/>
            </w:pPr>
            <w:r>
              <w:t xml:space="preserve">Government infrastructure investment </w:t>
            </w:r>
            <w:r>
              <w:rPr>
                <w:vertAlign w:val="superscript"/>
              </w:rPr>
              <w:t>(a)(b)</w:t>
            </w:r>
          </w:p>
        </w:tc>
        <w:tc>
          <w:tcPr>
            <w:tcW w:w="848" w:type="dxa"/>
          </w:tcPr>
          <w:p w14:paraId="5F17728E" w14:textId="77777777" w:rsidR="00AB205D" w:rsidRDefault="00471A3B">
            <w:pPr>
              <w:spacing w:after="0"/>
              <w:jc w:val="center"/>
              <w:cnfStyle w:val="000000000000" w:firstRow="0" w:lastRow="0" w:firstColumn="0" w:lastColumn="0" w:oddVBand="0" w:evenVBand="0" w:oddHBand="0" w:evenHBand="0" w:firstRowFirstColumn="0" w:firstRowLastColumn="0" w:lastRowFirstColumn="0" w:lastRowLastColumn="0"/>
            </w:pPr>
            <w:r>
              <w:t>$ billion</w:t>
            </w:r>
          </w:p>
        </w:tc>
        <w:tc>
          <w:tcPr>
            <w:tcW w:w="794" w:type="dxa"/>
          </w:tcPr>
          <w:p w14:paraId="2192A6A0"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23.3</w:t>
            </w:r>
          </w:p>
        </w:tc>
        <w:tc>
          <w:tcPr>
            <w:tcW w:w="794" w:type="dxa"/>
          </w:tcPr>
          <w:p w14:paraId="120F1754"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22.2</w:t>
            </w:r>
          </w:p>
        </w:tc>
        <w:tc>
          <w:tcPr>
            <w:tcW w:w="794" w:type="dxa"/>
          </w:tcPr>
          <w:p w14:paraId="67FEA4C4"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20.8</w:t>
            </w:r>
          </w:p>
        </w:tc>
        <w:tc>
          <w:tcPr>
            <w:tcW w:w="794" w:type="dxa"/>
          </w:tcPr>
          <w:p w14:paraId="2F03D656"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19.0</w:t>
            </w:r>
          </w:p>
        </w:tc>
      </w:tr>
      <w:tr w:rsidR="009C6724" w14:paraId="7BCF230D" w14:textId="77777777" w:rsidTr="009C6724">
        <w:tc>
          <w:tcPr>
            <w:cnfStyle w:val="001000000000" w:firstRow="0" w:lastRow="0" w:firstColumn="1" w:lastColumn="0" w:oddVBand="0" w:evenVBand="0" w:oddHBand="0" w:evenHBand="0" w:firstRowFirstColumn="0" w:firstRowLastColumn="0" w:lastRowFirstColumn="0" w:lastRowLastColumn="0"/>
            <w:tcW w:w="3686" w:type="dxa"/>
          </w:tcPr>
          <w:p w14:paraId="2A81F3F4" w14:textId="77777777" w:rsidR="00AB205D" w:rsidRDefault="00471A3B">
            <w:pPr>
              <w:spacing w:after="0"/>
            </w:pPr>
            <w:r>
              <w:t>Net debt</w:t>
            </w:r>
          </w:p>
        </w:tc>
        <w:tc>
          <w:tcPr>
            <w:tcW w:w="848" w:type="dxa"/>
          </w:tcPr>
          <w:p w14:paraId="5678ADF5" w14:textId="77777777" w:rsidR="00AB205D" w:rsidRDefault="00471A3B">
            <w:pPr>
              <w:spacing w:after="0"/>
              <w:jc w:val="center"/>
              <w:cnfStyle w:val="000000000000" w:firstRow="0" w:lastRow="0" w:firstColumn="0" w:lastColumn="0" w:oddVBand="0" w:evenVBand="0" w:oddHBand="0" w:evenHBand="0" w:firstRowFirstColumn="0" w:firstRowLastColumn="0" w:lastRowFirstColumn="0" w:lastRowLastColumn="0"/>
            </w:pPr>
            <w:r>
              <w:t>$ billion</w:t>
            </w:r>
          </w:p>
        </w:tc>
        <w:tc>
          <w:tcPr>
            <w:tcW w:w="794" w:type="dxa"/>
          </w:tcPr>
          <w:p w14:paraId="6EB6736E"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135.5</w:t>
            </w:r>
          </w:p>
        </w:tc>
        <w:tc>
          <w:tcPr>
            <w:tcW w:w="794" w:type="dxa"/>
          </w:tcPr>
          <w:p w14:paraId="68774496"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152.9</w:t>
            </w:r>
          </w:p>
        </w:tc>
        <w:tc>
          <w:tcPr>
            <w:tcW w:w="794" w:type="dxa"/>
          </w:tcPr>
          <w:p w14:paraId="428F119F"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166.1</w:t>
            </w:r>
          </w:p>
        </w:tc>
        <w:tc>
          <w:tcPr>
            <w:tcW w:w="794" w:type="dxa"/>
          </w:tcPr>
          <w:p w14:paraId="05A3E685"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177.8</w:t>
            </w:r>
          </w:p>
        </w:tc>
      </w:tr>
      <w:tr w:rsidR="009C6724" w14:paraId="01C5E922" w14:textId="77777777" w:rsidTr="009C6724">
        <w:tc>
          <w:tcPr>
            <w:cnfStyle w:val="001000000000" w:firstRow="0" w:lastRow="0" w:firstColumn="1" w:lastColumn="0" w:oddVBand="0" w:evenVBand="0" w:oddHBand="0" w:evenHBand="0" w:firstRowFirstColumn="0" w:firstRowLastColumn="0" w:lastRowFirstColumn="0" w:lastRowLastColumn="0"/>
            <w:tcW w:w="3686" w:type="dxa"/>
            <w:tcBorders>
              <w:bottom w:val="single" w:sz="12" w:space="0" w:color="auto"/>
            </w:tcBorders>
          </w:tcPr>
          <w:p w14:paraId="5480A667" w14:textId="77777777" w:rsidR="00AB205D" w:rsidRDefault="00471A3B">
            <w:pPr>
              <w:spacing w:after="0"/>
            </w:pPr>
            <w:r>
              <w:t xml:space="preserve">Net debt to GSP </w:t>
            </w:r>
            <w:r>
              <w:rPr>
                <w:vertAlign w:val="superscript"/>
              </w:rPr>
              <w:t>(c)</w:t>
            </w:r>
          </w:p>
        </w:tc>
        <w:tc>
          <w:tcPr>
            <w:tcW w:w="848" w:type="dxa"/>
            <w:tcBorders>
              <w:bottom w:val="single" w:sz="12" w:space="0" w:color="auto"/>
            </w:tcBorders>
          </w:tcPr>
          <w:p w14:paraId="667CA0D9" w14:textId="77777777" w:rsidR="00AB205D" w:rsidRDefault="00471A3B">
            <w:pPr>
              <w:spacing w:after="0"/>
              <w:jc w:val="center"/>
              <w:cnfStyle w:val="000000000000" w:firstRow="0" w:lastRow="0" w:firstColumn="0" w:lastColumn="0" w:oddVBand="0" w:evenVBand="0" w:oddHBand="0" w:evenHBand="0" w:firstRowFirstColumn="0" w:firstRowLastColumn="0" w:lastRowFirstColumn="0" w:lastRowLastColumn="0"/>
            </w:pPr>
            <w:r>
              <w:t>per cent</w:t>
            </w:r>
          </w:p>
        </w:tc>
        <w:tc>
          <w:tcPr>
            <w:tcW w:w="794" w:type="dxa"/>
            <w:tcBorders>
              <w:bottom w:val="single" w:sz="12" w:space="0" w:color="auto"/>
            </w:tcBorders>
          </w:tcPr>
          <w:p w14:paraId="56338018"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22.3</w:t>
            </w:r>
          </w:p>
        </w:tc>
        <w:tc>
          <w:tcPr>
            <w:tcW w:w="794" w:type="dxa"/>
            <w:tcBorders>
              <w:bottom w:val="single" w:sz="12" w:space="0" w:color="auto"/>
            </w:tcBorders>
          </w:tcPr>
          <w:p w14:paraId="10C5FBB4"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23.9</w:t>
            </w:r>
          </w:p>
        </w:tc>
        <w:tc>
          <w:tcPr>
            <w:tcW w:w="794" w:type="dxa"/>
            <w:tcBorders>
              <w:bottom w:val="single" w:sz="12" w:space="0" w:color="auto"/>
            </w:tcBorders>
          </w:tcPr>
          <w:p w14:paraId="1655D9D9"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24.7</w:t>
            </w:r>
          </w:p>
        </w:tc>
        <w:tc>
          <w:tcPr>
            <w:tcW w:w="794" w:type="dxa"/>
            <w:tcBorders>
              <w:bottom w:val="single" w:sz="12" w:space="0" w:color="auto"/>
            </w:tcBorders>
          </w:tcPr>
          <w:p w14:paraId="769308CF"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25.1</w:t>
            </w:r>
          </w:p>
        </w:tc>
      </w:tr>
    </w:tbl>
    <w:p w14:paraId="208D819D" w14:textId="77777777" w:rsidR="001518B6" w:rsidRDefault="001518B6" w:rsidP="001518B6">
      <w:pPr>
        <w:pStyle w:val="Note"/>
      </w:pPr>
      <w:r>
        <w:t>Notes:</w:t>
      </w:r>
    </w:p>
    <w:p w14:paraId="6FB229B8" w14:textId="77777777" w:rsidR="001518B6" w:rsidRDefault="001518B6" w:rsidP="001518B6">
      <w:pPr>
        <w:pStyle w:val="Note"/>
      </w:pPr>
      <w:r>
        <w:t>(a)</w:t>
      </w:r>
      <w:r>
        <w:tab/>
        <w:t>Includes general government net infrastructure investment and estimated construction costs of public private partnership projects.</w:t>
      </w:r>
    </w:p>
    <w:p w14:paraId="20F765D7" w14:textId="77777777" w:rsidR="001518B6" w:rsidRDefault="001518B6" w:rsidP="001518B6">
      <w:pPr>
        <w:pStyle w:val="Note"/>
      </w:pPr>
      <w:r>
        <w:t>(b)</w:t>
      </w:r>
      <w:r>
        <w:tab/>
        <w:t>Includes the estimated private sector construction-related expenditure associated with the North East Link held in the public non</w:t>
      </w:r>
      <w:r>
        <w:noBreakHyphen/>
        <w:t>financial corporations (PNFC) sector.</w:t>
      </w:r>
    </w:p>
    <w:p w14:paraId="4E0AB575" w14:textId="77777777" w:rsidR="001518B6" w:rsidRDefault="001518B6" w:rsidP="001518B6">
      <w:pPr>
        <w:pStyle w:val="Note"/>
      </w:pPr>
      <w:r>
        <w:t>(c)</w:t>
      </w:r>
      <w:r>
        <w:tab/>
        <w:t>The ratios to GSP may vary from publications year to year due to revisions to the Australian Bureau of Statistics GSP data.</w:t>
      </w:r>
    </w:p>
    <w:p w14:paraId="0BE026DE" w14:textId="77777777" w:rsidR="00AB205D" w:rsidRDefault="00AB205D"/>
    <w:p w14:paraId="313FD290" w14:textId="6D45E12B" w:rsidR="00AB205D" w:rsidRDefault="00471A3B">
      <w:r>
        <w:t xml:space="preserve">Government infrastructure investment (GII) is expected to average $21.3 billion a year over the budget and </w:t>
      </w:r>
      <w:r w:rsidRPr="0044143A">
        <w:t>forward estimates, reflecting the continuation of Victoria’s Big Build.</w:t>
      </w:r>
      <w:r>
        <w:t xml:space="preserve"> This is an increase compared with an average of $19.6 billion in the </w:t>
      </w:r>
      <w:r w:rsidRPr="00472E5A">
        <w:rPr>
          <w:i/>
          <w:iCs/>
        </w:rPr>
        <w:t>2023-24 Budget</w:t>
      </w:r>
      <w:r>
        <w:t xml:space="preserve">. </w:t>
      </w:r>
      <w:r w:rsidRPr="004337DD">
        <w:t xml:space="preserve">The increase in GII reflects an update in estimated investment </w:t>
      </w:r>
      <w:r>
        <w:t xml:space="preserve">largely due to additional funding for the </w:t>
      </w:r>
      <w:r w:rsidRPr="004337DD">
        <w:t>North East Link</w:t>
      </w:r>
      <w:r w:rsidR="0036340D">
        <w:t xml:space="preserve"> </w:t>
      </w:r>
      <w:r w:rsidR="004709C0">
        <w:t>program and associated</w:t>
      </w:r>
      <w:r w:rsidRPr="004337DD">
        <w:t xml:space="preserve"> </w:t>
      </w:r>
      <w:r w:rsidRPr="000F4FE7">
        <w:t>Eastern Freeway Upgrade and M80 Ring Road Upgrade</w:t>
      </w:r>
      <w:r w:rsidRPr="004337DD">
        <w:t xml:space="preserve"> projects as set out in Appendix A</w:t>
      </w:r>
      <w:r>
        <w:t xml:space="preserve"> </w:t>
      </w:r>
      <w:r w:rsidRPr="00C44A5A">
        <w:rPr>
          <w:i/>
        </w:rPr>
        <w:t>Specific policy initiatives affecting the budget position</w:t>
      </w:r>
      <w:r w:rsidRPr="004337DD">
        <w:t>.</w:t>
      </w:r>
    </w:p>
    <w:p w14:paraId="787DB5D3" w14:textId="77777777" w:rsidR="00AB205D" w:rsidRDefault="00471A3B">
      <w:r>
        <w:t>Net debt is expected to be $135.5 billion at June 2024. Net debt is then forecast to be</w:t>
      </w:r>
      <w:r w:rsidDel="000845B9">
        <w:t xml:space="preserve"> </w:t>
      </w:r>
      <w:r>
        <w:t>$177.8 billion by June 2027,</w:t>
      </w:r>
      <w:r w:rsidRPr="00247720">
        <w:t xml:space="preserve"> </w:t>
      </w:r>
      <w:r>
        <w:t xml:space="preserve">an increase of $6.4 billion compared with the </w:t>
      </w:r>
      <w:r w:rsidRPr="00BA6A5C">
        <w:rPr>
          <w:i/>
          <w:iCs/>
        </w:rPr>
        <w:t>2023-24 Budget</w:t>
      </w:r>
      <w:r>
        <w:t>. This increase is largely driven by the increase in GII. As a proportion of GSP, net debt is projected to be 22.3 per cent at June 2024 and 25.1 per cent by June 2027.</w:t>
      </w:r>
    </w:p>
    <w:p w14:paraId="09B565DA" w14:textId="77777777" w:rsidR="00AB205D" w:rsidRDefault="00471A3B">
      <w:r w:rsidRPr="00323F15">
        <w:t>Interest expense as a share of total revenue remains manageable and is expected to average 7.</w:t>
      </w:r>
      <w:r>
        <w:t>4 </w:t>
      </w:r>
      <w:r w:rsidRPr="00323F15">
        <w:t>per</w:t>
      </w:r>
      <w:r>
        <w:t> </w:t>
      </w:r>
      <w:r w:rsidRPr="00323F15">
        <w:t>cent a year</w:t>
      </w:r>
      <w:r>
        <w:t xml:space="preserve"> over the budget and forward estimates. </w:t>
      </w:r>
    </w:p>
    <w:p w14:paraId="1E6A75F3" w14:textId="77777777" w:rsidR="001518B6" w:rsidRPr="00AB587D" w:rsidRDefault="001518B6" w:rsidP="00FF0F66">
      <w:pPr>
        <w:pageBreakBefore/>
        <w:rPr>
          <w:rFonts w:asciiTheme="majorHAnsi" w:eastAsiaTheme="majorEastAsia" w:hAnsiTheme="majorHAnsi" w:cstheme="majorBidi"/>
          <w:b/>
          <w:sz w:val="27"/>
          <w:szCs w:val="26"/>
        </w:rPr>
      </w:pPr>
      <w:r w:rsidRPr="00AB587D">
        <w:rPr>
          <w:rFonts w:asciiTheme="majorHAnsi" w:eastAsiaTheme="majorEastAsia" w:hAnsiTheme="majorHAnsi" w:cstheme="majorBidi"/>
          <w:b/>
          <w:sz w:val="27"/>
          <w:szCs w:val="26"/>
        </w:rPr>
        <w:lastRenderedPageBreak/>
        <w:t>Long-term objectives and targets</w:t>
      </w:r>
    </w:p>
    <w:p w14:paraId="753BACFD" w14:textId="77777777" w:rsidR="001518B6" w:rsidRDefault="001518B6" w:rsidP="001518B6">
      <w:r>
        <w:t xml:space="preserve">The </w:t>
      </w:r>
      <w:r w:rsidR="00471A3B">
        <w:t>Government’s</w:t>
      </w:r>
      <w:r>
        <w:t xml:space="preserve"> long-term financial management objectives </w:t>
      </w:r>
      <w:r w:rsidR="00471A3B" w:rsidRPr="00ED09E9">
        <w:t xml:space="preserve">as set out in </w:t>
      </w:r>
      <w:r w:rsidR="00471A3B" w:rsidRPr="005B4326">
        <w:t>Table 1.2</w:t>
      </w:r>
      <w:r w:rsidR="00471A3B">
        <w:t xml:space="preserve"> </w:t>
      </w:r>
      <w:r>
        <w:t xml:space="preserve">remain unchanged from the </w:t>
      </w:r>
      <w:r w:rsidR="00471A3B" w:rsidRPr="00AA0330">
        <w:rPr>
          <w:i/>
          <w:iCs/>
        </w:rPr>
        <w:t>2023</w:t>
      </w:r>
      <w:r w:rsidR="00471A3B" w:rsidRPr="00AA0330">
        <w:rPr>
          <w:i/>
          <w:iCs/>
        </w:rPr>
        <w:noBreakHyphen/>
        <w:t>24 Budget</w:t>
      </w:r>
      <w:r>
        <w:t>.</w:t>
      </w:r>
    </w:p>
    <w:p w14:paraId="0D684B37" w14:textId="77777777" w:rsidR="001703D6" w:rsidRDefault="001518B6" w:rsidP="006774D8">
      <w:pPr>
        <w:pStyle w:val="TableHeading"/>
      </w:pPr>
      <w:r>
        <w:t xml:space="preserve">Table 1.2: </w:t>
      </w:r>
      <w:r>
        <w:tab/>
        <w:t>Long-term financial management objectives</w:t>
      </w:r>
    </w:p>
    <w:tbl>
      <w:tblPr>
        <w:tblStyle w:val="DTFTableText"/>
        <w:tblW w:w="7711" w:type="dxa"/>
        <w:tblBorders>
          <w:bottom w:val="single" w:sz="12" w:space="0" w:color="auto"/>
        </w:tblBorders>
        <w:tblLook w:val="0620" w:firstRow="1" w:lastRow="0" w:firstColumn="0" w:lastColumn="0" w:noHBand="1" w:noVBand="1"/>
      </w:tblPr>
      <w:tblGrid>
        <w:gridCol w:w="1985"/>
        <w:gridCol w:w="5726"/>
      </w:tblGrid>
      <w:tr w:rsidR="009E200A" w14:paraId="0EE06987" w14:textId="77777777">
        <w:trPr>
          <w:cnfStyle w:val="100000000000" w:firstRow="1" w:lastRow="0" w:firstColumn="0" w:lastColumn="0" w:oddVBand="0" w:evenVBand="0" w:oddHBand="0" w:evenHBand="0" w:firstRowFirstColumn="0" w:firstRowLastColumn="0" w:lastRowFirstColumn="0" w:lastRowLastColumn="0"/>
        </w:trPr>
        <w:tc>
          <w:tcPr>
            <w:tcW w:w="1985" w:type="dxa"/>
          </w:tcPr>
          <w:p w14:paraId="751A46A2" w14:textId="77777777" w:rsidR="009E200A" w:rsidRPr="00D26841" w:rsidRDefault="009E200A">
            <w:pPr>
              <w:rPr>
                <w:sz w:val="18"/>
                <w:szCs w:val="18"/>
              </w:rPr>
            </w:pPr>
            <w:r w:rsidRPr="00D26841">
              <w:rPr>
                <w:sz w:val="18"/>
                <w:szCs w:val="18"/>
              </w:rPr>
              <w:t>Priority</w:t>
            </w:r>
          </w:p>
        </w:tc>
        <w:tc>
          <w:tcPr>
            <w:tcW w:w="5726" w:type="dxa"/>
          </w:tcPr>
          <w:p w14:paraId="0C14A3E6" w14:textId="77777777" w:rsidR="009E200A" w:rsidRPr="00D26841" w:rsidRDefault="009E200A">
            <w:pPr>
              <w:rPr>
                <w:b/>
                <w:sz w:val="18"/>
                <w:szCs w:val="18"/>
              </w:rPr>
            </w:pPr>
            <w:r w:rsidRPr="00D26841">
              <w:rPr>
                <w:sz w:val="18"/>
                <w:szCs w:val="18"/>
              </w:rPr>
              <w:t>Objective</w:t>
            </w:r>
          </w:p>
        </w:tc>
      </w:tr>
      <w:tr w:rsidR="009E200A" w14:paraId="638CBA08" w14:textId="77777777">
        <w:tc>
          <w:tcPr>
            <w:tcW w:w="1985" w:type="dxa"/>
          </w:tcPr>
          <w:p w14:paraId="523D11A5" w14:textId="77777777" w:rsidR="009E200A" w:rsidRPr="00D26841" w:rsidRDefault="009E200A">
            <w:pPr>
              <w:rPr>
                <w:b/>
                <w:sz w:val="18"/>
                <w:szCs w:val="18"/>
              </w:rPr>
            </w:pPr>
            <w:r w:rsidRPr="00D26841">
              <w:rPr>
                <w:b/>
                <w:sz w:val="18"/>
                <w:szCs w:val="18"/>
              </w:rPr>
              <w:t>Sound financial management</w:t>
            </w:r>
          </w:p>
        </w:tc>
        <w:tc>
          <w:tcPr>
            <w:tcW w:w="5726" w:type="dxa"/>
          </w:tcPr>
          <w:p w14:paraId="0BDACA3A" w14:textId="77777777" w:rsidR="009E200A" w:rsidRPr="00D26841" w:rsidRDefault="009E200A">
            <w:pPr>
              <w:rPr>
                <w:sz w:val="18"/>
                <w:szCs w:val="18"/>
              </w:rPr>
            </w:pPr>
            <w:r w:rsidRPr="00D26841">
              <w:rPr>
                <w:sz w:val="18"/>
                <w:szCs w:val="18"/>
              </w:rPr>
              <w:t>Victoria’s finances will be managed in a responsible manner to provide capacity to fund services and infrastructure and support households and businesses at levels consistent with sound financial management.</w:t>
            </w:r>
          </w:p>
        </w:tc>
      </w:tr>
      <w:tr w:rsidR="009E200A" w14:paraId="51A62A79" w14:textId="77777777">
        <w:tc>
          <w:tcPr>
            <w:tcW w:w="1985" w:type="dxa"/>
          </w:tcPr>
          <w:p w14:paraId="28C9B021" w14:textId="77777777" w:rsidR="009E200A" w:rsidRPr="00D26841" w:rsidRDefault="009E200A">
            <w:pPr>
              <w:rPr>
                <w:b/>
                <w:sz w:val="18"/>
                <w:szCs w:val="18"/>
              </w:rPr>
            </w:pPr>
            <w:r w:rsidRPr="00D26841">
              <w:rPr>
                <w:b/>
                <w:sz w:val="18"/>
                <w:szCs w:val="18"/>
              </w:rPr>
              <w:t>Improved services</w:t>
            </w:r>
          </w:p>
        </w:tc>
        <w:tc>
          <w:tcPr>
            <w:tcW w:w="5726" w:type="dxa"/>
          </w:tcPr>
          <w:p w14:paraId="5C76B90E" w14:textId="77777777" w:rsidR="009E200A" w:rsidRPr="00D26841" w:rsidRDefault="009E200A">
            <w:pPr>
              <w:rPr>
                <w:sz w:val="18"/>
                <w:szCs w:val="18"/>
              </w:rPr>
            </w:pPr>
            <w:r w:rsidRPr="00D26841">
              <w:rPr>
                <w:sz w:val="18"/>
                <w:szCs w:val="18"/>
              </w:rPr>
              <w:t>Public services will improve over time.</w:t>
            </w:r>
          </w:p>
        </w:tc>
      </w:tr>
      <w:tr w:rsidR="009E200A" w14:paraId="3216D233" w14:textId="77777777">
        <w:tc>
          <w:tcPr>
            <w:tcW w:w="1985" w:type="dxa"/>
          </w:tcPr>
          <w:p w14:paraId="6EB83C5F" w14:textId="77777777" w:rsidR="009E200A" w:rsidRPr="00D26841" w:rsidRDefault="009E200A">
            <w:pPr>
              <w:rPr>
                <w:b/>
                <w:sz w:val="18"/>
                <w:szCs w:val="18"/>
              </w:rPr>
            </w:pPr>
            <w:r w:rsidRPr="00D26841">
              <w:rPr>
                <w:b/>
                <w:sz w:val="18"/>
                <w:szCs w:val="18"/>
              </w:rPr>
              <w:t>Building infrastructure</w:t>
            </w:r>
          </w:p>
        </w:tc>
        <w:tc>
          <w:tcPr>
            <w:tcW w:w="5726" w:type="dxa"/>
          </w:tcPr>
          <w:p w14:paraId="2CF0EF3D" w14:textId="77777777" w:rsidR="009E200A" w:rsidRPr="00D26841" w:rsidRDefault="009E200A">
            <w:pPr>
              <w:rPr>
                <w:sz w:val="18"/>
                <w:szCs w:val="18"/>
              </w:rPr>
            </w:pPr>
            <w:r w:rsidRPr="00D26841">
              <w:rPr>
                <w:sz w:val="18"/>
                <w:szCs w:val="18"/>
              </w:rPr>
              <w:t>Public infrastructure will grow steadily over time to meet the needs of a growing population.</w:t>
            </w:r>
          </w:p>
        </w:tc>
      </w:tr>
      <w:tr w:rsidR="009E200A" w14:paraId="1BAC53D9" w14:textId="77777777">
        <w:tc>
          <w:tcPr>
            <w:tcW w:w="1985" w:type="dxa"/>
          </w:tcPr>
          <w:p w14:paraId="308ABC9B" w14:textId="77777777" w:rsidR="009E200A" w:rsidRPr="00D26841" w:rsidRDefault="009E200A">
            <w:pPr>
              <w:rPr>
                <w:b/>
                <w:sz w:val="18"/>
                <w:szCs w:val="18"/>
              </w:rPr>
            </w:pPr>
            <w:r w:rsidRPr="00D26841">
              <w:rPr>
                <w:b/>
                <w:sz w:val="18"/>
                <w:szCs w:val="18"/>
              </w:rPr>
              <w:t>Efficient use of public resources</w:t>
            </w:r>
          </w:p>
        </w:tc>
        <w:tc>
          <w:tcPr>
            <w:tcW w:w="5726" w:type="dxa"/>
          </w:tcPr>
          <w:p w14:paraId="55724420" w14:textId="77777777" w:rsidR="009E200A" w:rsidRPr="00D26841" w:rsidRDefault="009E200A">
            <w:pPr>
              <w:rPr>
                <w:sz w:val="18"/>
                <w:szCs w:val="18"/>
              </w:rPr>
            </w:pPr>
            <w:r w:rsidRPr="00D26841">
              <w:rPr>
                <w:sz w:val="18"/>
                <w:szCs w:val="18"/>
              </w:rPr>
              <w:t>Public sector resources will be invested in services and infrastructure to maximise the economic, social and environmental benefits.</w:t>
            </w:r>
          </w:p>
        </w:tc>
      </w:tr>
      <w:tr w:rsidR="009E200A" w14:paraId="602973B7" w14:textId="77777777">
        <w:tc>
          <w:tcPr>
            <w:tcW w:w="1985" w:type="dxa"/>
          </w:tcPr>
          <w:p w14:paraId="3D19659A" w14:textId="77777777" w:rsidR="009E200A" w:rsidRPr="00D26841" w:rsidRDefault="009E200A">
            <w:pPr>
              <w:rPr>
                <w:b/>
                <w:sz w:val="18"/>
                <w:szCs w:val="18"/>
              </w:rPr>
            </w:pPr>
            <w:r w:rsidRPr="00D26841">
              <w:rPr>
                <w:b/>
                <w:sz w:val="18"/>
                <w:szCs w:val="18"/>
              </w:rPr>
              <w:t>A resilient economy</w:t>
            </w:r>
          </w:p>
        </w:tc>
        <w:tc>
          <w:tcPr>
            <w:tcW w:w="5726" w:type="dxa"/>
          </w:tcPr>
          <w:p w14:paraId="125BA083" w14:textId="77777777" w:rsidR="009E200A" w:rsidRPr="00D26841" w:rsidRDefault="009E200A">
            <w:pPr>
              <w:rPr>
                <w:sz w:val="18"/>
                <w:szCs w:val="18"/>
              </w:rPr>
            </w:pPr>
            <w:r w:rsidRPr="00D26841">
              <w:rPr>
                <w:sz w:val="18"/>
                <w:szCs w:val="18"/>
              </w:rPr>
              <w:t>Increase economic resilience by supporting an innovative and diversified economy that will unlock employment growth, long</w:t>
            </w:r>
            <w:r w:rsidR="00837C87" w:rsidRPr="00D26841">
              <w:rPr>
                <w:sz w:val="18"/>
                <w:szCs w:val="18"/>
              </w:rPr>
              <w:noBreakHyphen/>
            </w:r>
            <w:r w:rsidRPr="00D26841">
              <w:rPr>
                <w:sz w:val="18"/>
                <w:szCs w:val="18"/>
              </w:rPr>
              <w:t>term economic growth and productivity in Victoria.</w:t>
            </w:r>
          </w:p>
        </w:tc>
      </w:tr>
    </w:tbl>
    <w:p w14:paraId="3149212D" w14:textId="77777777" w:rsidR="00454E93" w:rsidRDefault="00454E93" w:rsidP="00454E93"/>
    <w:p w14:paraId="5D8A9230" w14:textId="77777777" w:rsidR="00454E93" w:rsidRDefault="00454E93">
      <w:pPr>
        <w:ind w:right="61"/>
      </w:pPr>
      <w:r>
        <w:t xml:space="preserve">Progress towards these financial management objectives is supported by the measures and targets in Table 1.3. These measures and targets are also unchanged from the </w:t>
      </w:r>
      <w:r w:rsidR="00471A3B" w:rsidRPr="00AA0330">
        <w:rPr>
          <w:i/>
          <w:iCs/>
        </w:rPr>
        <w:t>2023</w:t>
      </w:r>
      <w:r w:rsidR="00471A3B" w:rsidRPr="00AA0330">
        <w:rPr>
          <w:i/>
          <w:iCs/>
        </w:rPr>
        <w:noBreakHyphen/>
        <w:t>24 Budget</w:t>
      </w:r>
      <w:r>
        <w:t>.</w:t>
      </w:r>
    </w:p>
    <w:p w14:paraId="28172949" w14:textId="77777777" w:rsidR="006774D8" w:rsidRDefault="00454E93" w:rsidP="00454E93">
      <w:pPr>
        <w:pStyle w:val="TableHeading"/>
      </w:pPr>
      <w:r>
        <w:t xml:space="preserve">Table 1.3: </w:t>
      </w:r>
      <w:r>
        <w:tab/>
        <w:t>Financial measures and targets</w:t>
      </w:r>
    </w:p>
    <w:tbl>
      <w:tblPr>
        <w:tblStyle w:val="DTFTableText"/>
        <w:tblW w:w="0" w:type="auto"/>
        <w:tblLook w:val="0420" w:firstRow="1" w:lastRow="0" w:firstColumn="0" w:lastColumn="0" w:noHBand="0" w:noVBand="1"/>
      </w:tblPr>
      <w:tblGrid>
        <w:gridCol w:w="1985"/>
        <w:gridCol w:w="5698"/>
      </w:tblGrid>
      <w:tr w:rsidR="00703E6C" w14:paraId="755CC41F" w14:textId="77777777">
        <w:trPr>
          <w:cnfStyle w:val="100000000000" w:firstRow="1" w:lastRow="0" w:firstColumn="0" w:lastColumn="0" w:oddVBand="0" w:evenVBand="0" w:oddHBand="0" w:evenHBand="0" w:firstRowFirstColumn="0" w:firstRowLastColumn="0" w:lastRowFirstColumn="0" w:lastRowLastColumn="0"/>
        </w:trPr>
        <w:tc>
          <w:tcPr>
            <w:tcW w:w="1985" w:type="dxa"/>
          </w:tcPr>
          <w:p w14:paraId="1B9793F0" w14:textId="77777777" w:rsidR="00703E6C" w:rsidRPr="00D26841" w:rsidRDefault="00703E6C">
            <w:pPr>
              <w:rPr>
                <w:rFonts w:cstheme="majorHAnsi"/>
                <w:sz w:val="18"/>
                <w:szCs w:val="18"/>
              </w:rPr>
            </w:pPr>
            <w:r w:rsidRPr="00D26841">
              <w:rPr>
                <w:rFonts w:cstheme="majorHAnsi"/>
                <w:sz w:val="18"/>
                <w:szCs w:val="18"/>
              </w:rPr>
              <w:t>Financial measures</w:t>
            </w:r>
          </w:p>
        </w:tc>
        <w:tc>
          <w:tcPr>
            <w:tcW w:w="5698" w:type="dxa"/>
          </w:tcPr>
          <w:p w14:paraId="21131D6E" w14:textId="77777777" w:rsidR="00703E6C" w:rsidRPr="00D26841" w:rsidRDefault="00703E6C">
            <w:pPr>
              <w:rPr>
                <w:rFonts w:cstheme="majorHAnsi"/>
                <w:b/>
                <w:sz w:val="18"/>
                <w:szCs w:val="18"/>
              </w:rPr>
            </w:pPr>
            <w:r w:rsidRPr="00D26841">
              <w:rPr>
                <w:rFonts w:cstheme="majorHAnsi"/>
                <w:sz w:val="18"/>
                <w:szCs w:val="18"/>
              </w:rPr>
              <w:t>Target</w:t>
            </w:r>
          </w:p>
        </w:tc>
      </w:tr>
      <w:tr w:rsidR="00703E6C" w14:paraId="57EAF529" w14:textId="77777777">
        <w:trPr>
          <w:cnfStyle w:val="000000100000" w:firstRow="0" w:lastRow="0" w:firstColumn="0" w:lastColumn="0" w:oddVBand="0" w:evenVBand="0" w:oddHBand="1" w:evenHBand="0" w:firstRowFirstColumn="0" w:firstRowLastColumn="0" w:lastRowFirstColumn="0" w:lastRowLastColumn="0"/>
        </w:trPr>
        <w:tc>
          <w:tcPr>
            <w:tcW w:w="1985" w:type="dxa"/>
          </w:tcPr>
          <w:p w14:paraId="02DCDE30" w14:textId="77777777" w:rsidR="00703E6C" w:rsidRPr="00D26841" w:rsidRDefault="00703E6C">
            <w:pPr>
              <w:rPr>
                <w:b/>
                <w:sz w:val="18"/>
                <w:szCs w:val="18"/>
              </w:rPr>
            </w:pPr>
            <w:r w:rsidRPr="00D26841">
              <w:rPr>
                <w:b/>
                <w:sz w:val="18"/>
                <w:szCs w:val="18"/>
              </w:rPr>
              <w:t>Net debt to GSP</w:t>
            </w:r>
          </w:p>
        </w:tc>
        <w:tc>
          <w:tcPr>
            <w:tcW w:w="5698" w:type="dxa"/>
          </w:tcPr>
          <w:p w14:paraId="6E4493E7" w14:textId="77777777" w:rsidR="00703E6C" w:rsidRPr="00D26841" w:rsidRDefault="00703E6C">
            <w:pPr>
              <w:rPr>
                <w:sz w:val="18"/>
                <w:szCs w:val="18"/>
              </w:rPr>
            </w:pPr>
            <w:r w:rsidRPr="00D26841">
              <w:rPr>
                <w:sz w:val="18"/>
                <w:szCs w:val="18"/>
              </w:rPr>
              <w:t>General government net debt as a percentage of GSP to stabilise in the medium term.</w:t>
            </w:r>
          </w:p>
        </w:tc>
      </w:tr>
      <w:tr w:rsidR="00703E6C" w14:paraId="448A3857" w14:textId="77777777">
        <w:trPr>
          <w:cnfStyle w:val="000000010000" w:firstRow="0" w:lastRow="0" w:firstColumn="0" w:lastColumn="0" w:oddVBand="0" w:evenVBand="0" w:oddHBand="0" w:evenHBand="1" w:firstRowFirstColumn="0" w:firstRowLastColumn="0" w:lastRowFirstColumn="0" w:lastRowLastColumn="0"/>
        </w:trPr>
        <w:tc>
          <w:tcPr>
            <w:tcW w:w="1985" w:type="dxa"/>
          </w:tcPr>
          <w:p w14:paraId="6BCC1A8E" w14:textId="77777777" w:rsidR="00703E6C" w:rsidRPr="00D26841" w:rsidRDefault="00703E6C">
            <w:pPr>
              <w:rPr>
                <w:rFonts w:cstheme="majorHAnsi"/>
                <w:b/>
                <w:sz w:val="18"/>
                <w:szCs w:val="18"/>
              </w:rPr>
            </w:pPr>
            <w:r w:rsidRPr="00D26841">
              <w:rPr>
                <w:rFonts w:cstheme="majorHAnsi"/>
                <w:b/>
                <w:sz w:val="18"/>
                <w:szCs w:val="18"/>
              </w:rPr>
              <w:t>Interest expense to revenue</w:t>
            </w:r>
          </w:p>
        </w:tc>
        <w:tc>
          <w:tcPr>
            <w:tcW w:w="5698" w:type="dxa"/>
          </w:tcPr>
          <w:p w14:paraId="1023B2AC" w14:textId="77777777" w:rsidR="00703E6C" w:rsidRPr="00D26841" w:rsidRDefault="00703E6C">
            <w:pPr>
              <w:rPr>
                <w:rFonts w:cstheme="majorHAnsi"/>
                <w:sz w:val="18"/>
                <w:szCs w:val="18"/>
              </w:rPr>
            </w:pPr>
            <w:r w:rsidRPr="00D26841">
              <w:rPr>
                <w:rFonts w:cstheme="majorHAnsi"/>
                <w:sz w:val="18"/>
                <w:szCs w:val="18"/>
              </w:rPr>
              <w:t>General government interest expense as a percentage of revenue to stabilise in the medium term.</w:t>
            </w:r>
          </w:p>
        </w:tc>
      </w:tr>
      <w:tr w:rsidR="00703E6C" w14:paraId="45CF568F" w14:textId="77777777">
        <w:trPr>
          <w:cnfStyle w:val="000000100000" w:firstRow="0" w:lastRow="0" w:firstColumn="0" w:lastColumn="0" w:oddVBand="0" w:evenVBand="0" w:oddHBand="1" w:evenHBand="0" w:firstRowFirstColumn="0" w:firstRowLastColumn="0" w:lastRowFirstColumn="0" w:lastRowLastColumn="0"/>
        </w:trPr>
        <w:tc>
          <w:tcPr>
            <w:tcW w:w="1985" w:type="dxa"/>
          </w:tcPr>
          <w:p w14:paraId="05A042DE" w14:textId="77777777" w:rsidR="00703E6C" w:rsidRPr="00D26841" w:rsidRDefault="00703E6C">
            <w:pPr>
              <w:rPr>
                <w:rFonts w:cstheme="majorHAnsi"/>
                <w:b/>
                <w:sz w:val="18"/>
                <w:szCs w:val="18"/>
              </w:rPr>
            </w:pPr>
            <w:r w:rsidRPr="00D26841">
              <w:rPr>
                <w:rFonts w:cstheme="majorHAnsi"/>
                <w:b/>
                <w:sz w:val="18"/>
                <w:szCs w:val="18"/>
              </w:rPr>
              <w:t>Superannuation liabilities</w:t>
            </w:r>
          </w:p>
        </w:tc>
        <w:tc>
          <w:tcPr>
            <w:tcW w:w="5698" w:type="dxa"/>
          </w:tcPr>
          <w:p w14:paraId="7031E948" w14:textId="77777777" w:rsidR="00703E6C" w:rsidRPr="00D26841" w:rsidRDefault="00703E6C">
            <w:pPr>
              <w:rPr>
                <w:rFonts w:cstheme="majorHAnsi"/>
                <w:sz w:val="18"/>
                <w:szCs w:val="18"/>
              </w:rPr>
            </w:pPr>
            <w:r w:rsidRPr="00D26841">
              <w:rPr>
                <w:rFonts w:cstheme="majorHAnsi"/>
                <w:sz w:val="18"/>
                <w:szCs w:val="18"/>
              </w:rPr>
              <w:t>Fully fund the unfunded superannuation liability by 2035.</w:t>
            </w:r>
          </w:p>
        </w:tc>
      </w:tr>
      <w:tr w:rsidR="00703E6C" w14:paraId="17629549" w14:textId="77777777">
        <w:trPr>
          <w:cnfStyle w:val="000000010000" w:firstRow="0" w:lastRow="0" w:firstColumn="0" w:lastColumn="0" w:oddVBand="0" w:evenVBand="0" w:oddHBand="0" w:evenHBand="1" w:firstRowFirstColumn="0" w:firstRowLastColumn="0" w:lastRowFirstColumn="0" w:lastRowLastColumn="0"/>
        </w:trPr>
        <w:tc>
          <w:tcPr>
            <w:tcW w:w="1985" w:type="dxa"/>
            <w:tcBorders>
              <w:top w:val="single" w:sz="6" w:space="0" w:color="auto"/>
              <w:bottom w:val="single" w:sz="12" w:space="0" w:color="auto"/>
            </w:tcBorders>
          </w:tcPr>
          <w:p w14:paraId="3E3878E7" w14:textId="77777777" w:rsidR="00703E6C" w:rsidRPr="00D26841" w:rsidRDefault="00703E6C">
            <w:pPr>
              <w:rPr>
                <w:rFonts w:cstheme="majorHAnsi"/>
                <w:b/>
                <w:sz w:val="18"/>
                <w:szCs w:val="18"/>
              </w:rPr>
            </w:pPr>
            <w:r w:rsidRPr="00D26841">
              <w:rPr>
                <w:rFonts w:cstheme="majorHAnsi"/>
                <w:b/>
                <w:sz w:val="18"/>
                <w:szCs w:val="18"/>
              </w:rPr>
              <w:t>Operating cash surplus</w:t>
            </w:r>
          </w:p>
        </w:tc>
        <w:tc>
          <w:tcPr>
            <w:tcW w:w="5698" w:type="dxa"/>
            <w:tcBorders>
              <w:top w:val="single" w:sz="6" w:space="0" w:color="auto"/>
              <w:bottom w:val="single" w:sz="12" w:space="0" w:color="auto"/>
            </w:tcBorders>
          </w:tcPr>
          <w:p w14:paraId="1782FE4D" w14:textId="77777777" w:rsidR="00703E6C" w:rsidRPr="00D26841" w:rsidRDefault="00703E6C">
            <w:pPr>
              <w:rPr>
                <w:rFonts w:cstheme="majorHAnsi"/>
                <w:sz w:val="18"/>
                <w:szCs w:val="18"/>
              </w:rPr>
            </w:pPr>
            <w:r w:rsidRPr="00D26841">
              <w:rPr>
                <w:rFonts w:cstheme="majorHAnsi"/>
                <w:sz w:val="18"/>
                <w:szCs w:val="18"/>
              </w:rPr>
              <w:t>A net operating cash surplus consistent with maintaining general government net debt at a sustainable level.</w:t>
            </w:r>
          </w:p>
        </w:tc>
      </w:tr>
    </w:tbl>
    <w:p w14:paraId="3C05C5AC" w14:textId="77777777" w:rsidR="004E6E24" w:rsidRDefault="004E6E24" w:rsidP="004E6E24"/>
    <w:p w14:paraId="447D1B25" w14:textId="77777777" w:rsidR="004E6E24" w:rsidRPr="004E6E24" w:rsidRDefault="004E6E24" w:rsidP="004E6E24">
      <w:r w:rsidRPr="004E6E24">
        <w:t xml:space="preserve">The Government will review and publish its financial objectives and measures, consistent with requirements under the </w:t>
      </w:r>
      <w:r w:rsidRPr="004865DD">
        <w:rPr>
          <w:i/>
          <w:iCs/>
        </w:rPr>
        <w:t>Financial Management Act 1994</w:t>
      </w:r>
      <w:r w:rsidRPr="004E6E24">
        <w:t xml:space="preserve">, as part of the </w:t>
      </w:r>
      <w:r w:rsidR="00471A3B" w:rsidRPr="00676C63">
        <w:t>2024-25</w:t>
      </w:r>
      <w:r w:rsidRPr="00676C63">
        <w:t xml:space="preserve"> </w:t>
      </w:r>
      <w:r w:rsidR="00471A3B">
        <w:t>b</w:t>
      </w:r>
      <w:r w:rsidRPr="00676C63">
        <w:t>udget</w:t>
      </w:r>
      <w:r w:rsidRPr="004E6E24">
        <w:t>.</w:t>
      </w:r>
    </w:p>
    <w:p w14:paraId="0E87351C" w14:textId="7FE00394" w:rsidR="005F294E" w:rsidRDefault="005F294E">
      <w:pPr>
        <w:keepLines w:val="0"/>
      </w:pPr>
      <w:r>
        <w:br w:type="page"/>
      </w:r>
    </w:p>
    <w:p w14:paraId="4FF6548D" w14:textId="77777777" w:rsidR="00454E93" w:rsidRPr="00454E93" w:rsidRDefault="00454E93" w:rsidP="00454E93"/>
    <w:p w14:paraId="62FD2A4B" w14:textId="77777777" w:rsidR="005242B1" w:rsidRDefault="005242B1" w:rsidP="00E43802"/>
    <w:p w14:paraId="7A8284DF" w14:textId="32147A59" w:rsidR="00F21FD1" w:rsidRDefault="00F21FD1" w:rsidP="00E43802">
      <w:pPr>
        <w:sectPr w:rsidR="00F21FD1" w:rsidSect="00F352C4">
          <w:footerReference w:type="even" r:id="rId18"/>
          <w:footerReference w:type="default" r:id="rId19"/>
          <w:type w:val="oddPage"/>
          <w:pgSz w:w="9979" w:h="14175" w:code="34"/>
          <w:pgMar w:top="1134" w:right="1134" w:bottom="1134" w:left="1134" w:header="624" w:footer="567" w:gutter="0"/>
          <w:pgNumType w:start="1"/>
          <w:cols w:space="708"/>
          <w:docGrid w:linePitch="360"/>
        </w:sectPr>
      </w:pPr>
    </w:p>
    <w:p w14:paraId="7C9E7542" w14:textId="77777777" w:rsidR="00AB205D" w:rsidRDefault="00471A3B">
      <w:pPr>
        <w:pStyle w:val="ChapterHeading"/>
      </w:pPr>
      <w:bookmarkStart w:id="4" w:name="_Toc152933019"/>
      <w:r>
        <w:lastRenderedPageBreak/>
        <w:t>Chapter 2 – Economic context</w:t>
      </w:r>
      <w:bookmarkEnd w:id="4"/>
    </w:p>
    <w:p w14:paraId="66055524" w14:textId="77777777" w:rsidR="00AB205D" w:rsidRDefault="00471A3B" w:rsidP="00570639">
      <w:pPr>
        <w:pStyle w:val="HighlightBoxBullet"/>
        <w:numPr>
          <w:ilvl w:val="0"/>
          <w:numId w:val="8"/>
        </w:numPr>
        <w:pBdr>
          <w:top w:val="single" w:sz="6" w:space="3" w:color="auto"/>
          <w:left w:val="single" w:sz="6" w:space="5" w:color="auto"/>
          <w:bottom w:val="single" w:sz="6" w:space="3" w:color="auto"/>
          <w:right w:val="single" w:sz="6" w:space="5" w:color="auto"/>
        </w:pBdr>
      </w:pPr>
      <w:r>
        <w:t xml:space="preserve">Victoria’s economy is performing well and the labour market is strong. </w:t>
      </w:r>
    </w:p>
    <w:p w14:paraId="75A04321" w14:textId="77777777" w:rsidR="00AB205D" w:rsidRDefault="00471A3B" w:rsidP="00570639">
      <w:pPr>
        <w:pStyle w:val="HighlightBoxBullet"/>
        <w:numPr>
          <w:ilvl w:val="0"/>
          <w:numId w:val="8"/>
        </w:numPr>
        <w:pBdr>
          <w:top w:val="single" w:sz="6" w:space="3" w:color="auto"/>
          <w:left w:val="single" w:sz="6" w:space="5" w:color="auto"/>
          <w:bottom w:val="single" w:sz="6" w:space="3" w:color="auto"/>
          <w:right w:val="single" w:sz="6" w:space="5" w:color="auto"/>
        </w:pBdr>
      </w:pPr>
      <w:r>
        <w:t>The share of working-age Victorians in employment is around a</w:t>
      </w:r>
      <w:r w:rsidDel="00641B40">
        <w:t xml:space="preserve"> </w:t>
      </w:r>
      <w:r>
        <w:t xml:space="preserve">record high. The unemployment rate was </w:t>
      </w:r>
      <w:r w:rsidRPr="00D738ED">
        <w:t xml:space="preserve">just </w:t>
      </w:r>
      <w:r w:rsidRPr="003F2AC0">
        <w:t>3.7</w:t>
      </w:r>
      <w:r>
        <w:t> </w:t>
      </w:r>
      <w:r w:rsidRPr="00D738ED">
        <w:t>per</w:t>
      </w:r>
      <w:r>
        <w:t> </w:t>
      </w:r>
      <w:r w:rsidRPr="00D738ED">
        <w:t xml:space="preserve">cent in 2022-23 </w:t>
      </w:r>
      <w:r w:rsidRPr="003F2AC0">
        <w:t>and</w:t>
      </w:r>
      <w:r w:rsidRPr="003F2AC0" w:rsidDel="00ED3920">
        <w:t xml:space="preserve"> </w:t>
      </w:r>
      <w:r>
        <w:t>it</w:t>
      </w:r>
      <w:r w:rsidRPr="003F2AC0">
        <w:t xml:space="preserve"> remains at an historically low </w:t>
      </w:r>
      <w:r>
        <w:t xml:space="preserve">level. </w:t>
      </w:r>
    </w:p>
    <w:p w14:paraId="203C4F43" w14:textId="77777777" w:rsidR="00AB205D" w:rsidRDefault="00471A3B" w:rsidP="00570639">
      <w:pPr>
        <w:pStyle w:val="HighlightBoxBullet"/>
        <w:numPr>
          <w:ilvl w:val="0"/>
          <w:numId w:val="8"/>
        </w:numPr>
        <w:pBdr>
          <w:top w:val="single" w:sz="6" w:space="3" w:color="auto"/>
          <w:left w:val="single" w:sz="6" w:space="5" w:color="auto"/>
          <w:bottom w:val="single" w:sz="6" w:space="3" w:color="auto"/>
          <w:right w:val="single" w:sz="6" w:space="5" w:color="auto"/>
        </w:pBdr>
      </w:pPr>
      <w:r>
        <w:t xml:space="preserve">The economy expanded by </w:t>
      </w:r>
      <w:r w:rsidRPr="004957A6">
        <w:t>2.6</w:t>
      </w:r>
      <w:r>
        <w:t> </w:t>
      </w:r>
      <w:r w:rsidRPr="004957A6">
        <w:t>per</w:t>
      </w:r>
      <w:r>
        <w:t> </w:t>
      </w:r>
      <w:r w:rsidRPr="004957A6">
        <w:t xml:space="preserve">cent </w:t>
      </w:r>
      <w:r w:rsidRPr="000F12E2">
        <w:t>in 2022-23</w:t>
      </w:r>
      <w:r>
        <w:t>. Growth is forecast to ease to 1.50 per cent in 2023</w:t>
      </w:r>
      <w:r>
        <w:noBreakHyphen/>
        <w:t>24, as higher interest rates and high inflation weigh on economic activity. Amid this economic slowdown, unemployment</w:t>
      </w:r>
      <w:r w:rsidRPr="009D1553">
        <w:t xml:space="preserve"> </w:t>
      </w:r>
      <w:r>
        <w:t>is forecast to rise modestly in 2023</w:t>
      </w:r>
      <w:r>
        <w:noBreakHyphen/>
        <w:t>24, but is expected to remain low.</w:t>
      </w:r>
    </w:p>
    <w:p w14:paraId="44B983FF" w14:textId="77777777" w:rsidR="00AB205D" w:rsidRDefault="00471A3B" w:rsidP="00570639">
      <w:pPr>
        <w:pStyle w:val="HighlightBoxBullet"/>
        <w:numPr>
          <w:ilvl w:val="0"/>
          <w:numId w:val="8"/>
        </w:numPr>
        <w:pBdr>
          <w:top w:val="single" w:sz="6" w:space="3" w:color="auto"/>
          <w:left w:val="single" w:sz="6" w:space="5" w:color="auto"/>
          <w:bottom w:val="single" w:sz="6" w:space="3" w:color="auto"/>
          <w:right w:val="single" w:sz="6" w:space="5" w:color="auto"/>
        </w:pBdr>
      </w:pPr>
      <w:r>
        <w:t>High inflation remains a challenge to the Victorian economy, as it does nationally and globally. Inflation has peaked, although it remains elevated. The Reserve Bank of Australia has raised interest rates sharply as it seeks to contain inflation pressures, and inflation is forecast to decline gradually over coming years.</w:t>
      </w:r>
    </w:p>
    <w:p w14:paraId="1C09B27E" w14:textId="77777777" w:rsidR="00AB205D" w:rsidRDefault="00471A3B" w:rsidP="00570639">
      <w:pPr>
        <w:pStyle w:val="HighlightBoxBullet"/>
        <w:numPr>
          <w:ilvl w:val="0"/>
          <w:numId w:val="8"/>
        </w:numPr>
        <w:pBdr>
          <w:top w:val="single" w:sz="6" w:space="3" w:color="auto"/>
          <w:left w:val="single" w:sz="6" w:space="5" w:color="auto"/>
          <w:bottom w:val="single" w:sz="6" w:space="3" w:color="auto"/>
          <w:right w:val="single" w:sz="6" w:space="5" w:color="auto"/>
        </w:pBdr>
      </w:pPr>
      <w:r>
        <w:t>The risks to the Victorian economy remain higher than usual. These include uncertainty concerning the outlook for household consumption, slower growth in China and its impact on the global economy, geopolitical conditions, and uncertainty around the path for inflation and interest rates.</w:t>
      </w:r>
    </w:p>
    <w:p w14:paraId="3B1151FB" w14:textId="77777777" w:rsidR="00AB205D" w:rsidRDefault="00471A3B">
      <w:pPr>
        <w:pStyle w:val="Heading10"/>
      </w:pPr>
      <w:bookmarkStart w:id="5" w:name="_Toc152933020"/>
      <w:r w:rsidRPr="004A3666">
        <w:t>Victorian economic conditions and outlook</w:t>
      </w:r>
      <w:bookmarkEnd w:id="5"/>
    </w:p>
    <w:p w14:paraId="2282EB98" w14:textId="77777777" w:rsidR="00AB205D" w:rsidRDefault="00471A3B">
      <w:r>
        <w:t xml:space="preserve">The Victorian economy has continued to perform well, </w:t>
      </w:r>
      <w:r w:rsidRPr="001B065C">
        <w:t xml:space="preserve">delivering </w:t>
      </w:r>
      <w:r>
        <w:t>growth</w:t>
      </w:r>
      <w:r w:rsidRPr="001B065C">
        <w:t xml:space="preserve"> </w:t>
      </w:r>
      <w:r w:rsidRPr="00135AE1">
        <w:t xml:space="preserve">in real gross state product (GSP) </w:t>
      </w:r>
      <w:r w:rsidRPr="001B065C">
        <w:t xml:space="preserve">of </w:t>
      </w:r>
      <w:r w:rsidRPr="008323EC">
        <w:t>2.6</w:t>
      </w:r>
      <w:r>
        <w:t> </w:t>
      </w:r>
      <w:r w:rsidRPr="008323EC">
        <w:t>per</w:t>
      </w:r>
      <w:r>
        <w:t> </w:t>
      </w:r>
      <w:r w:rsidRPr="008323EC">
        <w:t xml:space="preserve">cent </w:t>
      </w:r>
      <w:r w:rsidRPr="00135AE1">
        <w:t>in 2022-23</w:t>
      </w:r>
      <w:r>
        <w:t>. This raised Victoria’s GSP to be more than 8 per cent larger in 2022-23 than it was in 2018-19, before the COVID-19 pandemic. Positive economic conditions have resulted in strong labour market outcomes. The Victorian labour market added more than 120 000 jobs over 2022</w:t>
      </w:r>
      <w:r>
        <w:noBreakHyphen/>
        <w:t>23. The annual unemployment rate fell to just 3.7 per cent in 2022</w:t>
      </w:r>
      <w:r>
        <w:noBreakHyphen/>
        <w:t xml:space="preserve">23, </w:t>
      </w:r>
      <w:r w:rsidRPr="007774D1">
        <w:t>and it</w:t>
      </w:r>
      <w:r w:rsidRPr="007774D1" w:rsidDel="003A07C7">
        <w:t xml:space="preserve"> </w:t>
      </w:r>
      <w:r w:rsidRPr="003F2AC0">
        <w:t>remains at an historically low level</w:t>
      </w:r>
      <w:r>
        <w:t xml:space="preserve">. Currently, the share of Victoria’s working-age population in employment is </w:t>
      </w:r>
      <w:r w:rsidRPr="005C17B9">
        <w:t>around</w:t>
      </w:r>
      <w:r>
        <w:t xml:space="preserve"> a record high. </w:t>
      </w:r>
    </w:p>
    <w:p w14:paraId="1394DECB" w14:textId="77777777" w:rsidR="00AB205D" w:rsidRDefault="00471A3B">
      <w:r>
        <w:t>High inflation and a sharp rise in interest rates are leading to cost-of-living pressures for Victorian households. GSP growth is forecast to moderate to 1.50 per cent in 2023</w:t>
      </w:r>
      <w:r>
        <w:noBreakHyphen/>
        <w:t xml:space="preserve">24, with growth in consumer spending expected to be subdued as household budgets are constrained. However, economic growth will be supported by other parts of the economy. There is a significant pipeline of private and public-sector construction projects in delivery, and business investment intentions remain elevated. </w:t>
      </w:r>
    </w:p>
    <w:p w14:paraId="5133CA8B" w14:textId="77777777" w:rsidR="00AB205D" w:rsidRPr="00DB2C8E" w:rsidRDefault="00471A3B">
      <w:r>
        <w:t xml:space="preserve">Economic activity will also be supported by strong population growth, driven by a rebound in international student arrivals. </w:t>
      </w:r>
    </w:p>
    <w:p w14:paraId="4AEE0432" w14:textId="77777777" w:rsidR="00AB205D" w:rsidRDefault="00471A3B" w:rsidP="00FF0F66">
      <w:pPr>
        <w:ind w:right="-86"/>
      </w:pPr>
      <w:r>
        <w:lastRenderedPageBreak/>
        <w:t>The Victorian economy is forecast to continue creating jobs. Leading indicators of labour demand, such as job advertisements, remain elevated and support the positive employment outlook for 2023</w:t>
      </w:r>
      <w:r>
        <w:noBreakHyphen/>
        <w:t>24. While the unemployment rate is expected to rise modestly in 2023</w:t>
      </w:r>
      <w:r>
        <w:noBreakHyphen/>
        <w:t xml:space="preserve">24 alongside more subdued economic growth, it is forecast to remain at an historically low level. </w:t>
      </w:r>
    </w:p>
    <w:p w14:paraId="2823D9DE" w14:textId="77777777" w:rsidR="00AB205D" w:rsidRPr="004A3666" w:rsidRDefault="00471A3B">
      <w:pPr>
        <w:ind w:right="-86"/>
      </w:pPr>
      <w:r>
        <w:t xml:space="preserve">Table 2.1 sets out the latest economic forecasts, with the </w:t>
      </w:r>
      <w:r w:rsidRPr="00DB2C8E">
        <w:rPr>
          <w:i/>
          <w:iCs/>
        </w:rPr>
        <w:t>2023</w:t>
      </w:r>
      <w:r>
        <w:rPr>
          <w:i/>
          <w:iCs/>
        </w:rPr>
        <w:noBreakHyphen/>
      </w:r>
      <w:r w:rsidRPr="00DB2C8E">
        <w:rPr>
          <w:i/>
          <w:iCs/>
        </w:rPr>
        <w:t>24 Budget</w:t>
      </w:r>
      <w:r>
        <w:t xml:space="preserve"> forecasts in italics where different.</w:t>
      </w:r>
    </w:p>
    <w:p w14:paraId="0269DC1D" w14:textId="77777777" w:rsidR="00AB205D" w:rsidRPr="00C8544A" w:rsidRDefault="00471A3B">
      <w:pPr>
        <w:pStyle w:val="TableHeading"/>
      </w:pPr>
      <w:r w:rsidRPr="004A3666">
        <w:t>Table 2.1:</w:t>
      </w:r>
      <w:r w:rsidRPr="004A3666">
        <w:tab/>
        <w:t xml:space="preserve">Victorian economic forecasts </w:t>
      </w:r>
      <w:r w:rsidRPr="004A3666">
        <w:rPr>
          <w:vertAlign w:val="superscript"/>
        </w:rPr>
        <w:t>(a)</w:t>
      </w:r>
      <w:r>
        <w:tab/>
        <w:t xml:space="preserve"> </w:t>
      </w:r>
      <w:r w:rsidRPr="004A3666">
        <w:t>(per cent)</w:t>
      </w:r>
    </w:p>
    <w:tbl>
      <w:tblPr>
        <w:tblW w:w="7792" w:type="dxa"/>
        <w:tblInd w:w="-30" w:type="dxa"/>
        <w:tblLayout w:type="fixed"/>
        <w:tblLook w:val="0000" w:firstRow="0" w:lastRow="0" w:firstColumn="0" w:lastColumn="0" w:noHBand="0" w:noVBand="0"/>
      </w:tblPr>
      <w:tblGrid>
        <w:gridCol w:w="2015"/>
        <w:gridCol w:w="1155"/>
        <w:gridCol w:w="1155"/>
        <w:gridCol w:w="1156"/>
        <w:gridCol w:w="1155"/>
        <w:gridCol w:w="1156"/>
      </w:tblGrid>
      <w:tr w:rsidR="009C6724" w:rsidRPr="00795045" w14:paraId="7A0C3FEE" w14:textId="77777777">
        <w:trPr>
          <w:trHeight w:val="484"/>
        </w:trPr>
        <w:tc>
          <w:tcPr>
            <w:tcW w:w="2015" w:type="dxa"/>
            <w:tcBorders>
              <w:top w:val="nil"/>
              <w:left w:val="nil"/>
              <w:bottom w:val="nil"/>
              <w:right w:val="nil"/>
            </w:tcBorders>
            <w:shd w:val="solid" w:color="000000" w:fill="auto"/>
          </w:tcPr>
          <w:p w14:paraId="322DFC6F" w14:textId="77777777" w:rsidR="00AB205D" w:rsidRPr="00795045" w:rsidRDefault="00471A3B">
            <w:pPr>
              <w:autoSpaceDE w:val="0"/>
              <w:autoSpaceDN w:val="0"/>
              <w:adjustRightInd w:val="0"/>
              <w:spacing w:before="20"/>
              <w:rPr>
                <w:rFonts w:ascii="Calibri" w:eastAsiaTheme="minorEastAsia" w:hAnsi="Calibri" w:cs="Calibri"/>
                <w:color w:val="FFFFFF"/>
                <w:sz w:val="17"/>
                <w:szCs w:val="17"/>
                <w:lang w:eastAsia="en-AU"/>
              </w:rPr>
            </w:pPr>
            <w:r w:rsidRPr="00795045">
              <w:rPr>
                <w:rFonts w:ascii="Calibri" w:eastAsiaTheme="minorEastAsia" w:hAnsi="Calibri" w:cs="Calibri"/>
                <w:color w:val="FFFFFF"/>
                <w:sz w:val="17"/>
                <w:szCs w:val="17"/>
                <w:lang w:eastAsia="en-AU"/>
              </w:rPr>
              <w:t xml:space="preserve"> </w:t>
            </w:r>
          </w:p>
        </w:tc>
        <w:tc>
          <w:tcPr>
            <w:tcW w:w="1155" w:type="dxa"/>
            <w:tcBorders>
              <w:top w:val="nil"/>
              <w:left w:val="nil"/>
              <w:bottom w:val="nil"/>
              <w:right w:val="nil"/>
            </w:tcBorders>
            <w:shd w:val="solid" w:color="000000" w:fill="auto"/>
          </w:tcPr>
          <w:p w14:paraId="2939F523" w14:textId="77777777" w:rsidR="00AB205D" w:rsidRPr="00795045" w:rsidRDefault="00471A3B">
            <w:pPr>
              <w:keepLines w:val="0"/>
              <w:autoSpaceDE w:val="0"/>
              <w:autoSpaceDN w:val="0"/>
              <w:adjustRightInd w:val="0"/>
              <w:spacing w:before="20"/>
              <w:jc w:val="right"/>
              <w:rPr>
                <w:rFonts w:ascii="Calibri" w:eastAsiaTheme="minorEastAsia" w:hAnsi="Calibri" w:cs="Calibri"/>
                <w:i/>
                <w:iCs/>
                <w:color w:val="FFFFFF"/>
                <w:sz w:val="17"/>
                <w:szCs w:val="17"/>
                <w:lang w:eastAsia="en-AU"/>
              </w:rPr>
            </w:pPr>
            <w:r w:rsidRPr="00795045">
              <w:rPr>
                <w:rFonts w:ascii="Calibri" w:eastAsiaTheme="minorEastAsia" w:hAnsi="Calibri" w:cs="Calibri"/>
                <w:i/>
                <w:iCs/>
                <w:color w:val="FFFFFF"/>
                <w:sz w:val="17"/>
                <w:szCs w:val="17"/>
                <w:lang w:eastAsia="en-AU"/>
              </w:rPr>
              <w:t>2022-23 actual</w:t>
            </w:r>
          </w:p>
        </w:tc>
        <w:tc>
          <w:tcPr>
            <w:tcW w:w="1155" w:type="dxa"/>
            <w:tcBorders>
              <w:top w:val="nil"/>
              <w:left w:val="nil"/>
              <w:bottom w:val="nil"/>
              <w:right w:val="nil"/>
            </w:tcBorders>
            <w:shd w:val="solid" w:color="000000" w:fill="auto"/>
          </w:tcPr>
          <w:p w14:paraId="2F7DFCC8" w14:textId="77777777" w:rsidR="00AB205D" w:rsidRPr="00795045" w:rsidRDefault="00471A3B">
            <w:pPr>
              <w:keepLines w:val="0"/>
              <w:autoSpaceDE w:val="0"/>
              <w:autoSpaceDN w:val="0"/>
              <w:adjustRightInd w:val="0"/>
              <w:spacing w:before="20"/>
              <w:jc w:val="right"/>
              <w:rPr>
                <w:rFonts w:ascii="Calibri" w:eastAsiaTheme="minorEastAsia" w:hAnsi="Calibri" w:cs="Calibri"/>
                <w:i/>
                <w:iCs/>
                <w:color w:val="FFFFFF"/>
                <w:sz w:val="17"/>
                <w:szCs w:val="17"/>
                <w:lang w:eastAsia="en-AU"/>
              </w:rPr>
            </w:pPr>
            <w:r w:rsidRPr="00795045">
              <w:rPr>
                <w:rFonts w:ascii="Calibri" w:eastAsiaTheme="minorEastAsia" w:hAnsi="Calibri" w:cs="Calibri"/>
                <w:i/>
                <w:iCs/>
                <w:color w:val="FFFFFF"/>
                <w:sz w:val="17"/>
                <w:szCs w:val="17"/>
                <w:lang w:eastAsia="en-AU"/>
              </w:rPr>
              <w:t>2023</w:t>
            </w:r>
            <w:r>
              <w:rPr>
                <w:rFonts w:ascii="Calibri" w:eastAsiaTheme="minorEastAsia" w:hAnsi="Calibri" w:cs="Calibri"/>
                <w:i/>
                <w:iCs/>
                <w:color w:val="FFFFFF"/>
                <w:sz w:val="17"/>
                <w:szCs w:val="17"/>
                <w:lang w:eastAsia="en-AU"/>
              </w:rPr>
              <w:noBreakHyphen/>
            </w:r>
            <w:r w:rsidRPr="00795045">
              <w:rPr>
                <w:rFonts w:ascii="Calibri" w:eastAsiaTheme="minorEastAsia" w:hAnsi="Calibri" w:cs="Calibri"/>
                <w:i/>
                <w:iCs/>
                <w:color w:val="FFFFFF"/>
                <w:sz w:val="17"/>
                <w:szCs w:val="17"/>
                <w:lang w:eastAsia="en-AU"/>
              </w:rPr>
              <w:t>24 forecast</w:t>
            </w:r>
          </w:p>
        </w:tc>
        <w:tc>
          <w:tcPr>
            <w:tcW w:w="1156" w:type="dxa"/>
            <w:tcBorders>
              <w:top w:val="nil"/>
              <w:left w:val="nil"/>
              <w:bottom w:val="nil"/>
              <w:right w:val="nil"/>
            </w:tcBorders>
            <w:shd w:val="solid" w:color="000000" w:fill="auto"/>
          </w:tcPr>
          <w:p w14:paraId="0F575FEC" w14:textId="77777777" w:rsidR="00AB205D" w:rsidRPr="00795045" w:rsidRDefault="00471A3B">
            <w:pPr>
              <w:keepLines w:val="0"/>
              <w:autoSpaceDE w:val="0"/>
              <w:autoSpaceDN w:val="0"/>
              <w:adjustRightInd w:val="0"/>
              <w:spacing w:before="20"/>
              <w:jc w:val="right"/>
              <w:rPr>
                <w:rFonts w:ascii="Calibri" w:eastAsiaTheme="minorEastAsia" w:hAnsi="Calibri" w:cs="Calibri"/>
                <w:i/>
                <w:iCs/>
                <w:color w:val="FFFFFF"/>
                <w:sz w:val="17"/>
                <w:szCs w:val="17"/>
                <w:lang w:eastAsia="en-AU"/>
              </w:rPr>
            </w:pPr>
            <w:r w:rsidRPr="00795045">
              <w:rPr>
                <w:rFonts w:ascii="Calibri" w:eastAsiaTheme="minorEastAsia" w:hAnsi="Calibri" w:cs="Calibri"/>
                <w:i/>
                <w:iCs/>
                <w:color w:val="FFFFFF"/>
                <w:sz w:val="17"/>
                <w:szCs w:val="17"/>
                <w:lang w:eastAsia="en-AU"/>
              </w:rPr>
              <w:t>2024-25 forecast</w:t>
            </w:r>
          </w:p>
        </w:tc>
        <w:tc>
          <w:tcPr>
            <w:tcW w:w="1155" w:type="dxa"/>
            <w:tcBorders>
              <w:top w:val="nil"/>
              <w:left w:val="nil"/>
              <w:bottom w:val="nil"/>
              <w:right w:val="nil"/>
            </w:tcBorders>
            <w:shd w:val="solid" w:color="000000" w:fill="auto"/>
          </w:tcPr>
          <w:p w14:paraId="26079D5A" w14:textId="77777777" w:rsidR="00AB205D" w:rsidRPr="00795045" w:rsidRDefault="00471A3B">
            <w:pPr>
              <w:keepLines w:val="0"/>
              <w:autoSpaceDE w:val="0"/>
              <w:autoSpaceDN w:val="0"/>
              <w:adjustRightInd w:val="0"/>
              <w:spacing w:before="20"/>
              <w:jc w:val="right"/>
              <w:rPr>
                <w:rFonts w:ascii="Calibri" w:eastAsiaTheme="minorEastAsia" w:hAnsi="Calibri" w:cs="Calibri"/>
                <w:i/>
                <w:iCs/>
                <w:color w:val="FFFFFF"/>
                <w:sz w:val="17"/>
                <w:szCs w:val="17"/>
                <w:lang w:eastAsia="en-AU"/>
              </w:rPr>
            </w:pPr>
            <w:r w:rsidRPr="00795045">
              <w:rPr>
                <w:rFonts w:ascii="Calibri" w:eastAsiaTheme="minorEastAsia" w:hAnsi="Calibri" w:cs="Calibri"/>
                <w:i/>
                <w:iCs/>
                <w:color w:val="FFFFFF"/>
                <w:sz w:val="17"/>
                <w:szCs w:val="17"/>
                <w:lang w:eastAsia="en-AU"/>
              </w:rPr>
              <w:t>2025-26 projection</w:t>
            </w:r>
          </w:p>
        </w:tc>
        <w:tc>
          <w:tcPr>
            <w:tcW w:w="1156" w:type="dxa"/>
            <w:tcBorders>
              <w:top w:val="nil"/>
              <w:left w:val="nil"/>
              <w:bottom w:val="nil"/>
              <w:right w:val="nil"/>
            </w:tcBorders>
            <w:shd w:val="solid" w:color="000000" w:fill="auto"/>
          </w:tcPr>
          <w:p w14:paraId="0D2C5D84" w14:textId="77777777" w:rsidR="00AB205D" w:rsidRPr="00795045" w:rsidRDefault="00471A3B">
            <w:pPr>
              <w:keepLines w:val="0"/>
              <w:autoSpaceDE w:val="0"/>
              <w:autoSpaceDN w:val="0"/>
              <w:adjustRightInd w:val="0"/>
              <w:spacing w:before="20"/>
              <w:jc w:val="right"/>
              <w:rPr>
                <w:rFonts w:ascii="Calibri" w:eastAsiaTheme="minorEastAsia" w:hAnsi="Calibri" w:cs="Calibri"/>
                <w:i/>
                <w:iCs/>
                <w:color w:val="FFFFFF"/>
                <w:sz w:val="17"/>
                <w:szCs w:val="17"/>
                <w:lang w:eastAsia="en-AU"/>
              </w:rPr>
            </w:pPr>
            <w:r w:rsidRPr="00795045">
              <w:rPr>
                <w:rFonts w:ascii="Calibri" w:eastAsiaTheme="minorEastAsia" w:hAnsi="Calibri" w:cs="Calibri"/>
                <w:i/>
                <w:iCs/>
                <w:color w:val="FFFFFF"/>
                <w:sz w:val="17"/>
                <w:szCs w:val="17"/>
                <w:lang w:eastAsia="en-AU"/>
              </w:rPr>
              <w:t>2026-27 projection</w:t>
            </w:r>
          </w:p>
        </w:tc>
      </w:tr>
      <w:tr w:rsidR="009C6724" w:rsidRPr="00795045" w14:paraId="742FBADA" w14:textId="77777777">
        <w:trPr>
          <w:trHeight w:val="271"/>
        </w:trPr>
        <w:tc>
          <w:tcPr>
            <w:tcW w:w="2015" w:type="dxa"/>
            <w:tcBorders>
              <w:top w:val="nil"/>
              <w:left w:val="nil"/>
              <w:bottom w:val="nil"/>
              <w:right w:val="nil"/>
            </w:tcBorders>
          </w:tcPr>
          <w:p w14:paraId="42FD8964" w14:textId="77777777" w:rsidR="00AB205D" w:rsidRPr="00795045" w:rsidRDefault="00471A3B">
            <w:pPr>
              <w:keepLines w:val="0"/>
              <w:autoSpaceDE w:val="0"/>
              <w:autoSpaceDN w:val="0"/>
              <w:adjustRightInd w:val="0"/>
              <w:spacing w:before="20"/>
              <w:rPr>
                <w:rFonts w:ascii="Calibri" w:eastAsiaTheme="minorEastAsia" w:hAnsi="Calibri" w:cs="Calibri"/>
                <w:color w:val="000000"/>
                <w:sz w:val="17"/>
                <w:szCs w:val="17"/>
                <w:lang w:eastAsia="en-AU"/>
              </w:rPr>
            </w:pPr>
            <w:r w:rsidRPr="00795045">
              <w:rPr>
                <w:rFonts w:ascii="Calibri" w:eastAsiaTheme="minorEastAsia" w:hAnsi="Calibri" w:cs="Calibri"/>
                <w:color w:val="000000"/>
                <w:sz w:val="17"/>
                <w:szCs w:val="17"/>
                <w:lang w:eastAsia="en-AU"/>
              </w:rPr>
              <w:t>Real gross state product</w:t>
            </w:r>
          </w:p>
        </w:tc>
        <w:tc>
          <w:tcPr>
            <w:tcW w:w="1155" w:type="dxa"/>
            <w:tcBorders>
              <w:top w:val="nil"/>
              <w:left w:val="nil"/>
              <w:bottom w:val="nil"/>
              <w:right w:val="nil"/>
            </w:tcBorders>
          </w:tcPr>
          <w:p w14:paraId="138CABF4" w14:textId="77777777" w:rsidR="00AB205D" w:rsidRPr="00795045" w:rsidRDefault="00471A3B">
            <w:pPr>
              <w:keepLines w:val="0"/>
              <w:autoSpaceDE w:val="0"/>
              <w:autoSpaceDN w:val="0"/>
              <w:adjustRightInd w:val="0"/>
              <w:spacing w:before="20"/>
              <w:jc w:val="right"/>
              <w:rPr>
                <w:rFonts w:ascii="Calibri" w:eastAsiaTheme="minorEastAsia" w:hAnsi="Calibri" w:cs="Calibri"/>
                <w:color w:val="000000"/>
                <w:sz w:val="17"/>
                <w:szCs w:val="17"/>
                <w:lang w:eastAsia="en-AU"/>
              </w:rPr>
            </w:pPr>
            <w:r>
              <w:rPr>
                <w:rFonts w:ascii="Calibri" w:eastAsiaTheme="minorEastAsia" w:hAnsi="Calibri" w:cs="Calibri"/>
                <w:color w:val="000000"/>
                <w:sz w:val="17"/>
                <w:szCs w:val="17"/>
                <w:lang w:eastAsia="en-AU"/>
              </w:rPr>
              <w:t>2.6</w:t>
            </w:r>
          </w:p>
        </w:tc>
        <w:tc>
          <w:tcPr>
            <w:tcW w:w="1155" w:type="dxa"/>
            <w:tcBorders>
              <w:top w:val="nil"/>
              <w:left w:val="nil"/>
              <w:bottom w:val="nil"/>
              <w:right w:val="nil"/>
            </w:tcBorders>
          </w:tcPr>
          <w:p w14:paraId="16AD7554" w14:textId="77777777" w:rsidR="00AB205D" w:rsidRPr="00795045" w:rsidRDefault="00471A3B">
            <w:pPr>
              <w:keepLines w:val="0"/>
              <w:autoSpaceDE w:val="0"/>
              <w:autoSpaceDN w:val="0"/>
              <w:adjustRightInd w:val="0"/>
              <w:spacing w:before="20"/>
              <w:jc w:val="right"/>
              <w:rPr>
                <w:rFonts w:ascii="Calibri" w:eastAsiaTheme="minorEastAsia" w:hAnsi="Calibri" w:cs="Calibri"/>
                <w:color w:val="000000"/>
                <w:sz w:val="17"/>
                <w:szCs w:val="17"/>
                <w:lang w:eastAsia="en-AU"/>
              </w:rPr>
            </w:pPr>
            <w:r w:rsidRPr="00795045">
              <w:rPr>
                <w:rFonts w:ascii="Calibri" w:eastAsiaTheme="minorEastAsia" w:hAnsi="Calibri" w:cs="Calibri"/>
                <w:color w:val="000000"/>
                <w:sz w:val="17"/>
                <w:szCs w:val="17"/>
                <w:lang w:eastAsia="en-AU"/>
              </w:rPr>
              <w:t>1.50</w:t>
            </w:r>
          </w:p>
        </w:tc>
        <w:tc>
          <w:tcPr>
            <w:tcW w:w="1156" w:type="dxa"/>
            <w:tcBorders>
              <w:top w:val="nil"/>
              <w:left w:val="nil"/>
              <w:bottom w:val="nil"/>
              <w:right w:val="nil"/>
            </w:tcBorders>
          </w:tcPr>
          <w:p w14:paraId="177AC826" w14:textId="77777777" w:rsidR="00AB205D" w:rsidRPr="00795045" w:rsidRDefault="00471A3B">
            <w:pPr>
              <w:keepLines w:val="0"/>
              <w:autoSpaceDE w:val="0"/>
              <w:autoSpaceDN w:val="0"/>
              <w:adjustRightInd w:val="0"/>
              <w:spacing w:before="20"/>
              <w:jc w:val="right"/>
              <w:rPr>
                <w:rFonts w:ascii="Calibri" w:eastAsiaTheme="minorEastAsia" w:hAnsi="Calibri" w:cs="Calibri"/>
                <w:color w:val="000000"/>
                <w:sz w:val="17"/>
                <w:szCs w:val="17"/>
                <w:lang w:eastAsia="en-AU"/>
              </w:rPr>
            </w:pPr>
            <w:r w:rsidRPr="00795045">
              <w:rPr>
                <w:rFonts w:ascii="Calibri" w:eastAsiaTheme="minorEastAsia" w:hAnsi="Calibri" w:cs="Calibri"/>
                <w:color w:val="000000"/>
                <w:sz w:val="17"/>
                <w:szCs w:val="17"/>
                <w:lang w:eastAsia="en-AU"/>
              </w:rPr>
              <w:t>2.50</w:t>
            </w:r>
          </w:p>
        </w:tc>
        <w:tc>
          <w:tcPr>
            <w:tcW w:w="1155" w:type="dxa"/>
            <w:tcBorders>
              <w:top w:val="nil"/>
              <w:left w:val="nil"/>
              <w:bottom w:val="nil"/>
              <w:right w:val="nil"/>
            </w:tcBorders>
          </w:tcPr>
          <w:p w14:paraId="5C5D08DC" w14:textId="77777777" w:rsidR="00AB205D" w:rsidRPr="00795045" w:rsidRDefault="00471A3B">
            <w:pPr>
              <w:keepLines w:val="0"/>
              <w:autoSpaceDE w:val="0"/>
              <w:autoSpaceDN w:val="0"/>
              <w:adjustRightInd w:val="0"/>
              <w:spacing w:before="20"/>
              <w:jc w:val="right"/>
              <w:rPr>
                <w:rFonts w:ascii="Calibri" w:eastAsiaTheme="minorEastAsia" w:hAnsi="Calibri" w:cs="Calibri"/>
                <w:color w:val="000000"/>
                <w:sz w:val="17"/>
                <w:szCs w:val="17"/>
                <w:lang w:eastAsia="en-AU"/>
              </w:rPr>
            </w:pPr>
            <w:r w:rsidRPr="00795045">
              <w:rPr>
                <w:rFonts w:ascii="Calibri" w:eastAsiaTheme="minorEastAsia" w:hAnsi="Calibri" w:cs="Calibri"/>
                <w:color w:val="000000"/>
                <w:sz w:val="17"/>
                <w:szCs w:val="17"/>
                <w:lang w:eastAsia="en-AU"/>
              </w:rPr>
              <w:t>2.75</w:t>
            </w:r>
          </w:p>
        </w:tc>
        <w:tc>
          <w:tcPr>
            <w:tcW w:w="1156" w:type="dxa"/>
            <w:tcBorders>
              <w:top w:val="nil"/>
              <w:left w:val="nil"/>
              <w:bottom w:val="nil"/>
              <w:right w:val="nil"/>
            </w:tcBorders>
          </w:tcPr>
          <w:p w14:paraId="7829BC75" w14:textId="77777777" w:rsidR="00AB205D" w:rsidRPr="00795045" w:rsidRDefault="00471A3B">
            <w:pPr>
              <w:keepLines w:val="0"/>
              <w:autoSpaceDE w:val="0"/>
              <w:autoSpaceDN w:val="0"/>
              <w:adjustRightInd w:val="0"/>
              <w:spacing w:before="20"/>
              <w:jc w:val="right"/>
              <w:rPr>
                <w:rFonts w:ascii="Calibri" w:eastAsiaTheme="minorEastAsia" w:hAnsi="Calibri" w:cs="Calibri"/>
                <w:color w:val="000000"/>
                <w:sz w:val="17"/>
                <w:szCs w:val="17"/>
                <w:lang w:eastAsia="en-AU"/>
              </w:rPr>
            </w:pPr>
            <w:r w:rsidRPr="00795045">
              <w:rPr>
                <w:rFonts w:ascii="Calibri" w:eastAsiaTheme="minorEastAsia" w:hAnsi="Calibri" w:cs="Calibri"/>
                <w:color w:val="000000"/>
                <w:sz w:val="17"/>
                <w:szCs w:val="17"/>
                <w:lang w:eastAsia="en-AU"/>
              </w:rPr>
              <w:t>2.75</w:t>
            </w:r>
          </w:p>
        </w:tc>
      </w:tr>
      <w:tr w:rsidR="009C6724" w:rsidRPr="00795045" w14:paraId="1908D468" w14:textId="77777777">
        <w:trPr>
          <w:trHeight w:val="271"/>
        </w:trPr>
        <w:tc>
          <w:tcPr>
            <w:tcW w:w="2015" w:type="dxa"/>
            <w:tcBorders>
              <w:top w:val="nil"/>
              <w:left w:val="nil"/>
              <w:bottom w:val="nil"/>
              <w:right w:val="nil"/>
            </w:tcBorders>
          </w:tcPr>
          <w:p w14:paraId="66204231" w14:textId="77777777" w:rsidR="00AB205D" w:rsidRPr="00795045" w:rsidRDefault="00AB205D">
            <w:pPr>
              <w:keepLines w:val="0"/>
              <w:autoSpaceDE w:val="0"/>
              <w:autoSpaceDN w:val="0"/>
              <w:adjustRightInd w:val="0"/>
              <w:spacing w:before="20"/>
              <w:jc w:val="right"/>
              <w:rPr>
                <w:rFonts w:ascii="Calibri" w:eastAsiaTheme="minorEastAsia" w:hAnsi="Calibri" w:cs="Calibri"/>
                <w:color w:val="000000"/>
                <w:sz w:val="17"/>
                <w:szCs w:val="17"/>
                <w:lang w:eastAsia="en-AU"/>
              </w:rPr>
            </w:pPr>
          </w:p>
        </w:tc>
        <w:tc>
          <w:tcPr>
            <w:tcW w:w="1155" w:type="dxa"/>
            <w:tcBorders>
              <w:top w:val="nil"/>
              <w:left w:val="nil"/>
              <w:bottom w:val="nil"/>
              <w:right w:val="nil"/>
            </w:tcBorders>
          </w:tcPr>
          <w:p w14:paraId="7E983B85" w14:textId="77777777" w:rsidR="00AB205D" w:rsidRPr="00795045" w:rsidRDefault="00AB205D">
            <w:pPr>
              <w:keepLines w:val="0"/>
              <w:autoSpaceDE w:val="0"/>
              <w:autoSpaceDN w:val="0"/>
              <w:adjustRightInd w:val="0"/>
              <w:spacing w:before="20"/>
              <w:jc w:val="right"/>
              <w:rPr>
                <w:rFonts w:ascii="Calibri" w:eastAsiaTheme="minorEastAsia" w:hAnsi="Calibri" w:cs="Calibri"/>
                <w:color w:val="000000"/>
                <w:sz w:val="17"/>
                <w:szCs w:val="17"/>
                <w:lang w:eastAsia="en-AU"/>
              </w:rPr>
            </w:pPr>
          </w:p>
        </w:tc>
        <w:tc>
          <w:tcPr>
            <w:tcW w:w="1155" w:type="dxa"/>
            <w:tcBorders>
              <w:top w:val="nil"/>
              <w:left w:val="nil"/>
              <w:bottom w:val="nil"/>
              <w:right w:val="nil"/>
            </w:tcBorders>
          </w:tcPr>
          <w:p w14:paraId="313068D6" w14:textId="77777777" w:rsidR="00AB205D" w:rsidRPr="00795045" w:rsidRDefault="00AB205D">
            <w:pPr>
              <w:keepLines w:val="0"/>
              <w:autoSpaceDE w:val="0"/>
              <w:autoSpaceDN w:val="0"/>
              <w:adjustRightInd w:val="0"/>
              <w:spacing w:before="20"/>
              <w:jc w:val="right"/>
              <w:rPr>
                <w:rFonts w:ascii="Calibri" w:eastAsiaTheme="minorEastAsia" w:hAnsi="Calibri" w:cs="Calibri"/>
                <w:color w:val="000000"/>
                <w:sz w:val="17"/>
                <w:szCs w:val="17"/>
                <w:lang w:eastAsia="en-AU"/>
              </w:rPr>
            </w:pPr>
          </w:p>
        </w:tc>
        <w:tc>
          <w:tcPr>
            <w:tcW w:w="1156" w:type="dxa"/>
            <w:tcBorders>
              <w:top w:val="nil"/>
              <w:left w:val="nil"/>
              <w:bottom w:val="nil"/>
              <w:right w:val="nil"/>
            </w:tcBorders>
          </w:tcPr>
          <w:p w14:paraId="2932959D" w14:textId="77777777" w:rsidR="00AB205D" w:rsidRPr="00795045" w:rsidRDefault="00AB205D">
            <w:pPr>
              <w:keepLines w:val="0"/>
              <w:autoSpaceDE w:val="0"/>
              <w:autoSpaceDN w:val="0"/>
              <w:adjustRightInd w:val="0"/>
              <w:spacing w:before="20"/>
              <w:jc w:val="right"/>
              <w:rPr>
                <w:rFonts w:ascii="Calibri" w:eastAsiaTheme="minorEastAsia" w:hAnsi="Calibri" w:cs="Calibri"/>
                <w:color w:val="000000"/>
                <w:sz w:val="17"/>
                <w:szCs w:val="17"/>
                <w:lang w:eastAsia="en-AU"/>
              </w:rPr>
            </w:pPr>
          </w:p>
        </w:tc>
        <w:tc>
          <w:tcPr>
            <w:tcW w:w="1155" w:type="dxa"/>
            <w:tcBorders>
              <w:top w:val="nil"/>
              <w:left w:val="nil"/>
              <w:bottom w:val="nil"/>
              <w:right w:val="nil"/>
            </w:tcBorders>
          </w:tcPr>
          <w:p w14:paraId="14A26089" w14:textId="77777777" w:rsidR="00AB205D" w:rsidRPr="00795045" w:rsidRDefault="00AB205D">
            <w:pPr>
              <w:keepLines w:val="0"/>
              <w:autoSpaceDE w:val="0"/>
              <w:autoSpaceDN w:val="0"/>
              <w:adjustRightInd w:val="0"/>
              <w:spacing w:before="20"/>
              <w:jc w:val="right"/>
              <w:rPr>
                <w:rFonts w:ascii="Calibri" w:eastAsiaTheme="minorEastAsia" w:hAnsi="Calibri" w:cs="Calibri"/>
                <w:color w:val="000000"/>
                <w:sz w:val="17"/>
                <w:szCs w:val="17"/>
                <w:lang w:eastAsia="en-AU"/>
              </w:rPr>
            </w:pPr>
          </w:p>
        </w:tc>
        <w:tc>
          <w:tcPr>
            <w:tcW w:w="1156" w:type="dxa"/>
            <w:tcBorders>
              <w:top w:val="nil"/>
              <w:left w:val="nil"/>
              <w:bottom w:val="nil"/>
              <w:right w:val="nil"/>
            </w:tcBorders>
          </w:tcPr>
          <w:p w14:paraId="345E1999" w14:textId="77777777" w:rsidR="00AB205D" w:rsidRPr="00795045" w:rsidRDefault="00AB205D">
            <w:pPr>
              <w:keepLines w:val="0"/>
              <w:autoSpaceDE w:val="0"/>
              <w:autoSpaceDN w:val="0"/>
              <w:adjustRightInd w:val="0"/>
              <w:spacing w:before="20"/>
              <w:jc w:val="right"/>
              <w:rPr>
                <w:rFonts w:ascii="Calibri" w:eastAsiaTheme="minorEastAsia" w:hAnsi="Calibri" w:cs="Calibri"/>
                <w:color w:val="000000"/>
                <w:sz w:val="17"/>
                <w:szCs w:val="17"/>
                <w:lang w:eastAsia="en-AU"/>
              </w:rPr>
            </w:pPr>
          </w:p>
        </w:tc>
      </w:tr>
      <w:tr w:rsidR="009C6724" w:rsidRPr="00795045" w14:paraId="3DC484E0" w14:textId="77777777">
        <w:trPr>
          <w:trHeight w:val="271"/>
        </w:trPr>
        <w:tc>
          <w:tcPr>
            <w:tcW w:w="2015" w:type="dxa"/>
            <w:tcBorders>
              <w:top w:val="nil"/>
              <w:left w:val="nil"/>
              <w:bottom w:val="nil"/>
              <w:right w:val="nil"/>
            </w:tcBorders>
          </w:tcPr>
          <w:p w14:paraId="02C95AC0" w14:textId="77777777" w:rsidR="00AB205D" w:rsidRPr="00795045" w:rsidRDefault="00471A3B">
            <w:pPr>
              <w:keepLines w:val="0"/>
              <w:autoSpaceDE w:val="0"/>
              <w:autoSpaceDN w:val="0"/>
              <w:adjustRightInd w:val="0"/>
              <w:spacing w:before="20"/>
              <w:rPr>
                <w:rFonts w:ascii="Calibri" w:eastAsiaTheme="minorEastAsia" w:hAnsi="Calibri" w:cs="Calibri"/>
                <w:color w:val="000000"/>
                <w:sz w:val="17"/>
                <w:szCs w:val="17"/>
                <w:lang w:eastAsia="en-AU"/>
              </w:rPr>
            </w:pPr>
            <w:r w:rsidRPr="00795045">
              <w:rPr>
                <w:rFonts w:ascii="Calibri" w:eastAsiaTheme="minorEastAsia" w:hAnsi="Calibri" w:cs="Calibri"/>
                <w:color w:val="000000"/>
                <w:sz w:val="17"/>
                <w:szCs w:val="17"/>
                <w:lang w:eastAsia="en-AU"/>
              </w:rPr>
              <w:t>Employment</w:t>
            </w:r>
          </w:p>
        </w:tc>
        <w:tc>
          <w:tcPr>
            <w:tcW w:w="1155" w:type="dxa"/>
            <w:tcBorders>
              <w:top w:val="nil"/>
              <w:left w:val="nil"/>
              <w:bottom w:val="nil"/>
              <w:right w:val="nil"/>
            </w:tcBorders>
          </w:tcPr>
          <w:p w14:paraId="01AB1760" w14:textId="77777777" w:rsidR="00AB205D" w:rsidRPr="00795045" w:rsidRDefault="00471A3B">
            <w:pPr>
              <w:keepLines w:val="0"/>
              <w:autoSpaceDE w:val="0"/>
              <w:autoSpaceDN w:val="0"/>
              <w:adjustRightInd w:val="0"/>
              <w:spacing w:before="20"/>
              <w:jc w:val="right"/>
              <w:rPr>
                <w:rFonts w:ascii="Calibri" w:eastAsiaTheme="minorEastAsia" w:hAnsi="Calibri" w:cs="Calibri"/>
                <w:color w:val="000000"/>
                <w:sz w:val="17"/>
                <w:szCs w:val="17"/>
                <w:lang w:eastAsia="en-AU"/>
              </w:rPr>
            </w:pPr>
            <w:r w:rsidRPr="00795045">
              <w:rPr>
                <w:rFonts w:ascii="Calibri" w:eastAsiaTheme="minorEastAsia" w:hAnsi="Calibri" w:cs="Calibri"/>
                <w:color w:val="000000"/>
                <w:sz w:val="17"/>
                <w:szCs w:val="17"/>
                <w:lang w:eastAsia="en-AU"/>
              </w:rPr>
              <w:t>4.0</w:t>
            </w:r>
          </w:p>
        </w:tc>
        <w:tc>
          <w:tcPr>
            <w:tcW w:w="1155" w:type="dxa"/>
            <w:tcBorders>
              <w:top w:val="nil"/>
              <w:left w:val="nil"/>
              <w:bottom w:val="nil"/>
              <w:right w:val="nil"/>
            </w:tcBorders>
          </w:tcPr>
          <w:p w14:paraId="1BAC6405" w14:textId="77777777" w:rsidR="00AB205D" w:rsidRPr="00795045" w:rsidRDefault="00471A3B">
            <w:pPr>
              <w:keepLines w:val="0"/>
              <w:autoSpaceDE w:val="0"/>
              <w:autoSpaceDN w:val="0"/>
              <w:adjustRightInd w:val="0"/>
              <w:spacing w:before="20"/>
              <w:jc w:val="right"/>
              <w:rPr>
                <w:rFonts w:ascii="Calibri" w:eastAsiaTheme="minorEastAsia" w:hAnsi="Calibri" w:cs="Calibri"/>
                <w:color w:val="000000"/>
                <w:sz w:val="17"/>
                <w:szCs w:val="17"/>
                <w:lang w:eastAsia="en-AU"/>
              </w:rPr>
            </w:pPr>
            <w:r w:rsidRPr="00795045">
              <w:rPr>
                <w:rFonts w:ascii="Calibri" w:eastAsiaTheme="minorEastAsia" w:hAnsi="Calibri" w:cs="Calibri"/>
                <w:color w:val="000000"/>
                <w:sz w:val="17"/>
                <w:szCs w:val="17"/>
                <w:lang w:eastAsia="en-AU"/>
              </w:rPr>
              <w:t>2.25</w:t>
            </w:r>
          </w:p>
        </w:tc>
        <w:tc>
          <w:tcPr>
            <w:tcW w:w="1156" w:type="dxa"/>
            <w:tcBorders>
              <w:top w:val="nil"/>
              <w:left w:val="nil"/>
              <w:bottom w:val="nil"/>
              <w:right w:val="nil"/>
            </w:tcBorders>
          </w:tcPr>
          <w:p w14:paraId="3F85C963" w14:textId="77777777" w:rsidR="00AB205D" w:rsidRPr="00795045" w:rsidRDefault="00471A3B">
            <w:pPr>
              <w:keepLines w:val="0"/>
              <w:autoSpaceDE w:val="0"/>
              <w:autoSpaceDN w:val="0"/>
              <w:adjustRightInd w:val="0"/>
              <w:spacing w:before="20"/>
              <w:jc w:val="right"/>
              <w:rPr>
                <w:rFonts w:ascii="Calibri" w:eastAsiaTheme="minorEastAsia" w:hAnsi="Calibri" w:cs="Calibri"/>
                <w:color w:val="000000"/>
                <w:sz w:val="17"/>
                <w:szCs w:val="17"/>
                <w:lang w:eastAsia="en-AU"/>
              </w:rPr>
            </w:pPr>
            <w:r w:rsidRPr="00795045">
              <w:rPr>
                <w:rFonts w:ascii="Calibri" w:eastAsiaTheme="minorEastAsia" w:hAnsi="Calibri" w:cs="Calibri"/>
                <w:color w:val="000000"/>
                <w:sz w:val="17"/>
                <w:szCs w:val="17"/>
                <w:lang w:eastAsia="en-AU"/>
              </w:rPr>
              <w:t>1.00</w:t>
            </w:r>
          </w:p>
        </w:tc>
        <w:tc>
          <w:tcPr>
            <w:tcW w:w="1155" w:type="dxa"/>
            <w:tcBorders>
              <w:top w:val="nil"/>
              <w:left w:val="nil"/>
              <w:bottom w:val="nil"/>
              <w:right w:val="nil"/>
            </w:tcBorders>
          </w:tcPr>
          <w:p w14:paraId="0A8BA84B" w14:textId="77777777" w:rsidR="00AB205D" w:rsidRPr="00795045" w:rsidRDefault="00471A3B">
            <w:pPr>
              <w:keepLines w:val="0"/>
              <w:autoSpaceDE w:val="0"/>
              <w:autoSpaceDN w:val="0"/>
              <w:adjustRightInd w:val="0"/>
              <w:spacing w:before="20"/>
              <w:jc w:val="right"/>
              <w:rPr>
                <w:rFonts w:ascii="Calibri" w:eastAsiaTheme="minorEastAsia" w:hAnsi="Calibri" w:cs="Calibri"/>
                <w:color w:val="000000"/>
                <w:sz w:val="17"/>
                <w:szCs w:val="17"/>
                <w:lang w:eastAsia="en-AU"/>
              </w:rPr>
            </w:pPr>
            <w:r w:rsidRPr="00795045">
              <w:rPr>
                <w:rFonts w:ascii="Calibri" w:eastAsiaTheme="minorEastAsia" w:hAnsi="Calibri" w:cs="Calibri"/>
                <w:color w:val="000000"/>
                <w:sz w:val="17"/>
                <w:szCs w:val="17"/>
                <w:lang w:eastAsia="en-AU"/>
              </w:rPr>
              <w:t>1.75</w:t>
            </w:r>
          </w:p>
        </w:tc>
        <w:tc>
          <w:tcPr>
            <w:tcW w:w="1156" w:type="dxa"/>
            <w:tcBorders>
              <w:top w:val="nil"/>
              <w:left w:val="nil"/>
              <w:bottom w:val="nil"/>
              <w:right w:val="nil"/>
            </w:tcBorders>
          </w:tcPr>
          <w:p w14:paraId="2AC40A1B" w14:textId="77777777" w:rsidR="00AB205D" w:rsidRPr="00795045" w:rsidRDefault="00471A3B">
            <w:pPr>
              <w:keepLines w:val="0"/>
              <w:autoSpaceDE w:val="0"/>
              <w:autoSpaceDN w:val="0"/>
              <w:adjustRightInd w:val="0"/>
              <w:spacing w:before="20"/>
              <w:jc w:val="right"/>
              <w:rPr>
                <w:rFonts w:ascii="Calibri" w:eastAsiaTheme="minorEastAsia" w:hAnsi="Calibri" w:cs="Calibri"/>
                <w:color w:val="000000"/>
                <w:sz w:val="17"/>
                <w:szCs w:val="17"/>
                <w:lang w:eastAsia="en-AU"/>
              </w:rPr>
            </w:pPr>
            <w:r w:rsidRPr="00795045">
              <w:rPr>
                <w:rFonts w:ascii="Calibri" w:eastAsiaTheme="minorEastAsia" w:hAnsi="Calibri" w:cs="Calibri"/>
                <w:color w:val="000000"/>
                <w:sz w:val="17"/>
                <w:szCs w:val="17"/>
                <w:lang w:eastAsia="en-AU"/>
              </w:rPr>
              <w:t>1.75</w:t>
            </w:r>
          </w:p>
        </w:tc>
      </w:tr>
      <w:tr w:rsidR="009C6724" w:rsidRPr="00795045" w14:paraId="23F3F113" w14:textId="77777777">
        <w:trPr>
          <w:trHeight w:val="271"/>
        </w:trPr>
        <w:tc>
          <w:tcPr>
            <w:tcW w:w="2015" w:type="dxa"/>
            <w:tcBorders>
              <w:top w:val="nil"/>
              <w:left w:val="nil"/>
              <w:bottom w:val="nil"/>
              <w:right w:val="nil"/>
            </w:tcBorders>
          </w:tcPr>
          <w:p w14:paraId="372A61C3" w14:textId="77777777" w:rsidR="00AB205D" w:rsidRPr="00795045" w:rsidRDefault="00AB205D">
            <w:pPr>
              <w:keepLines w:val="0"/>
              <w:autoSpaceDE w:val="0"/>
              <w:autoSpaceDN w:val="0"/>
              <w:adjustRightInd w:val="0"/>
              <w:spacing w:before="20"/>
              <w:jc w:val="right"/>
              <w:rPr>
                <w:rFonts w:ascii="Calibri" w:eastAsiaTheme="minorEastAsia" w:hAnsi="Calibri" w:cs="Calibri"/>
                <w:color w:val="000000"/>
                <w:sz w:val="17"/>
                <w:szCs w:val="17"/>
                <w:lang w:eastAsia="en-AU"/>
              </w:rPr>
            </w:pPr>
          </w:p>
        </w:tc>
        <w:tc>
          <w:tcPr>
            <w:tcW w:w="1155" w:type="dxa"/>
            <w:tcBorders>
              <w:top w:val="nil"/>
              <w:left w:val="nil"/>
              <w:bottom w:val="nil"/>
              <w:right w:val="nil"/>
            </w:tcBorders>
          </w:tcPr>
          <w:p w14:paraId="6FF54E41" w14:textId="77777777" w:rsidR="00AB205D" w:rsidRPr="00795045" w:rsidRDefault="00AB205D">
            <w:pPr>
              <w:keepLines w:val="0"/>
              <w:autoSpaceDE w:val="0"/>
              <w:autoSpaceDN w:val="0"/>
              <w:adjustRightInd w:val="0"/>
              <w:spacing w:before="20"/>
              <w:jc w:val="right"/>
              <w:rPr>
                <w:rFonts w:ascii="Calibri" w:eastAsiaTheme="minorEastAsia" w:hAnsi="Calibri" w:cs="Calibri"/>
                <w:color w:val="000000"/>
                <w:sz w:val="17"/>
                <w:szCs w:val="17"/>
                <w:lang w:eastAsia="en-AU"/>
              </w:rPr>
            </w:pPr>
          </w:p>
        </w:tc>
        <w:tc>
          <w:tcPr>
            <w:tcW w:w="1155" w:type="dxa"/>
            <w:tcBorders>
              <w:top w:val="nil"/>
              <w:left w:val="nil"/>
              <w:bottom w:val="nil"/>
              <w:right w:val="nil"/>
            </w:tcBorders>
          </w:tcPr>
          <w:p w14:paraId="30C7FA57" w14:textId="77777777" w:rsidR="00AB205D" w:rsidRPr="00795045" w:rsidRDefault="00471A3B">
            <w:pPr>
              <w:keepLines w:val="0"/>
              <w:autoSpaceDE w:val="0"/>
              <w:autoSpaceDN w:val="0"/>
              <w:adjustRightInd w:val="0"/>
              <w:spacing w:before="20"/>
              <w:jc w:val="right"/>
              <w:rPr>
                <w:rFonts w:ascii="Calibri" w:eastAsiaTheme="minorEastAsia" w:hAnsi="Calibri" w:cs="Calibri"/>
                <w:i/>
                <w:iCs/>
                <w:color w:val="000000"/>
                <w:sz w:val="17"/>
                <w:szCs w:val="17"/>
                <w:lang w:eastAsia="en-AU"/>
              </w:rPr>
            </w:pPr>
            <w:r w:rsidRPr="00795045">
              <w:rPr>
                <w:rFonts w:ascii="Calibri" w:eastAsiaTheme="minorEastAsia" w:hAnsi="Calibri" w:cs="Calibri"/>
                <w:i/>
                <w:iCs/>
                <w:color w:val="000000"/>
                <w:sz w:val="17"/>
                <w:szCs w:val="17"/>
                <w:lang w:eastAsia="en-AU"/>
              </w:rPr>
              <w:t>0.75</w:t>
            </w:r>
          </w:p>
        </w:tc>
        <w:tc>
          <w:tcPr>
            <w:tcW w:w="1156" w:type="dxa"/>
            <w:tcBorders>
              <w:top w:val="nil"/>
              <w:left w:val="nil"/>
              <w:bottom w:val="nil"/>
              <w:right w:val="nil"/>
            </w:tcBorders>
          </w:tcPr>
          <w:p w14:paraId="02DBB6A6" w14:textId="77777777" w:rsidR="00AB205D" w:rsidRPr="00795045" w:rsidRDefault="00AB205D">
            <w:pPr>
              <w:keepLines w:val="0"/>
              <w:autoSpaceDE w:val="0"/>
              <w:autoSpaceDN w:val="0"/>
              <w:adjustRightInd w:val="0"/>
              <w:spacing w:before="20"/>
              <w:jc w:val="right"/>
              <w:rPr>
                <w:rFonts w:ascii="Calibri" w:eastAsiaTheme="minorEastAsia" w:hAnsi="Calibri" w:cs="Calibri"/>
                <w:color w:val="000000"/>
                <w:sz w:val="17"/>
                <w:szCs w:val="17"/>
                <w:lang w:eastAsia="en-AU"/>
              </w:rPr>
            </w:pPr>
          </w:p>
        </w:tc>
        <w:tc>
          <w:tcPr>
            <w:tcW w:w="1155" w:type="dxa"/>
            <w:tcBorders>
              <w:top w:val="nil"/>
              <w:left w:val="nil"/>
              <w:bottom w:val="nil"/>
              <w:right w:val="nil"/>
            </w:tcBorders>
          </w:tcPr>
          <w:p w14:paraId="41FAA604" w14:textId="77777777" w:rsidR="00AB205D" w:rsidRPr="00795045" w:rsidRDefault="00AB205D">
            <w:pPr>
              <w:keepLines w:val="0"/>
              <w:autoSpaceDE w:val="0"/>
              <w:autoSpaceDN w:val="0"/>
              <w:adjustRightInd w:val="0"/>
              <w:spacing w:before="20"/>
              <w:jc w:val="right"/>
              <w:rPr>
                <w:rFonts w:ascii="Calibri" w:eastAsiaTheme="minorEastAsia" w:hAnsi="Calibri" w:cs="Calibri"/>
                <w:color w:val="000000"/>
                <w:sz w:val="17"/>
                <w:szCs w:val="17"/>
                <w:lang w:eastAsia="en-AU"/>
              </w:rPr>
            </w:pPr>
          </w:p>
        </w:tc>
        <w:tc>
          <w:tcPr>
            <w:tcW w:w="1156" w:type="dxa"/>
            <w:tcBorders>
              <w:top w:val="nil"/>
              <w:left w:val="nil"/>
              <w:bottom w:val="nil"/>
              <w:right w:val="nil"/>
            </w:tcBorders>
          </w:tcPr>
          <w:p w14:paraId="47BFCBA2" w14:textId="77777777" w:rsidR="00AB205D" w:rsidRPr="00795045" w:rsidRDefault="00AB205D">
            <w:pPr>
              <w:keepLines w:val="0"/>
              <w:autoSpaceDE w:val="0"/>
              <w:autoSpaceDN w:val="0"/>
              <w:adjustRightInd w:val="0"/>
              <w:spacing w:before="20"/>
              <w:jc w:val="right"/>
              <w:rPr>
                <w:rFonts w:ascii="Calibri" w:eastAsiaTheme="minorEastAsia" w:hAnsi="Calibri" w:cs="Calibri"/>
                <w:color w:val="000000"/>
                <w:sz w:val="17"/>
                <w:szCs w:val="17"/>
                <w:lang w:eastAsia="en-AU"/>
              </w:rPr>
            </w:pPr>
          </w:p>
        </w:tc>
      </w:tr>
      <w:tr w:rsidR="009C6724" w:rsidRPr="00795045" w14:paraId="46ADF317" w14:textId="77777777">
        <w:trPr>
          <w:trHeight w:val="271"/>
        </w:trPr>
        <w:tc>
          <w:tcPr>
            <w:tcW w:w="2015" w:type="dxa"/>
            <w:tcBorders>
              <w:top w:val="nil"/>
              <w:left w:val="nil"/>
              <w:bottom w:val="nil"/>
              <w:right w:val="nil"/>
            </w:tcBorders>
          </w:tcPr>
          <w:p w14:paraId="60743CF8" w14:textId="77777777" w:rsidR="00AB205D" w:rsidRPr="00795045" w:rsidRDefault="00471A3B">
            <w:pPr>
              <w:keepLines w:val="0"/>
              <w:autoSpaceDE w:val="0"/>
              <w:autoSpaceDN w:val="0"/>
              <w:adjustRightInd w:val="0"/>
              <w:spacing w:before="20"/>
              <w:rPr>
                <w:rFonts w:ascii="Calibri" w:eastAsiaTheme="minorEastAsia" w:hAnsi="Calibri" w:cs="Calibri"/>
                <w:color w:val="000000"/>
                <w:sz w:val="17"/>
                <w:szCs w:val="17"/>
                <w:vertAlign w:val="superscript"/>
                <w:lang w:eastAsia="en-AU"/>
              </w:rPr>
            </w:pPr>
            <w:r w:rsidRPr="00795045">
              <w:rPr>
                <w:rFonts w:ascii="Calibri" w:eastAsiaTheme="minorEastAsia" w:hAnsi="Calibri" w:cs="Calibri"/>
                <w:color w:val="000000"/>
                <w:sz w:val="17"/>
                <w:szCs w:val="17"/>
                <w:lang w:eastAsia="en-AU"/>
              </w:rPr>
              <w:t xml:space="preserve">Unemployment rate </w:t>
            </w:r>
            <w:r w:rsidRPr="00795045">
              <w:rPr>
                <w:rFonts w:ascii="Calibri" w:eastAsiaTheme="minorEastAsia" w:hAnsi="Calibri" w:cs="Calibri"/>
                <w:color w:val="000000"/>
                <w:sz w:val="17"/>
                <w:szCs w:val="17"/>
                <w:vertAlign w:val="superscript"/>
                <w:lang w:eastAsia="en-AU"/>
              </w:rPr>
              <w:t>(b)</w:t>
            </w:r>
          </w:p>
        </w:tc>
        <w:tc>
          <w:tcPr>
            <w:tcW w:w="1155" w:type="dxa"/>
            <w:tcBorders>
              <w:top w:val="nil"/>
              <w:left w:val="nil"/>
              <w:bottom w:val="nil"/>
              <w:right w:val="nil"/>
            </w:tcBorders>
          </w:tcPr>
          <w:p w14:paraId="6653D27A" w14:textId="77777777" w:rsidR="00AB205D" w:rsidRPr="00795045" w:rsidRDefault="00471A3B">
            <w:pPr>
              <w:keepLines w:val="0"/>
              <w:autoSpaceDE w:val="0"/>
              <w:autoSpaceDN w:val="0"/>
              <w:adjustRightInd w:val="0"/>
              <w:spacing w:before="20"/>
              <w:jc w:val="right"/>
              <w:rPr>
                <w:rFonts w:ascii="Calibri" w:eastAsiaTheme="minorEastAsia" w:hAnsi="Calibri" w:cs="Calibri"/>
                <w:color w:val="000000"/>
                <w:sz w:val="17"/>
                <w:szCs w:val="17"/>
                <w:lang w:eastAsia="en-AU"/>
              </w:rPr>
            </w:pPr>
            <w:r w:rsidRPr="00795045">
              <w:rPr>
                <w:rFonts w:ascii="Calibri" w:eastAsiaTheme="minorEastAsia" w:hAnsi="Calibri" w:cs="Calibri"/>
                <w:color w:val="000000"/>
                <w:sz w:val="17"/>
                <w:szCs w:val="17"/>
                <w:lang w:eastAsia="en-AU"/>
              </w:rPr>
              <w:t>3.7</w:t>
            </w:r>
          </w:p>
        </w:tc>
        <w:tc>
          <w:tcPr>
            <w:tcW w:w="1155" w:type="dxa"/>
            <w:tcBorders>
              <w:top w:val="nil"/>
              <w:left w:val="nil"/>
              <w:bottom w:val="nil"/>
              <w:right w:val="nil"/>
            </w:tcBorders>
          </w:tcPr>
          <w:p w14:paraId="38BE911A" w14:textId="77777777" w:rsidR="00AB205D" w:rsidRPr="00795045" w:rsidRDefault="00471A3B">
            <w:pPr>
              <w:keepLines w:val="0"/>
              <w:autoSpaceDE w:val="0"/>
              <w:autoSpaceDN w:val="0"/>
              <w:adjustRightInd w:val="0"/>
              <w:spacing w:before="20"/>
              <w:jc w:val="right"/>
              <w:rPr>
                <w:rFonts w:ascii="Calibri" w:eastAsiaTheme="minorEastAsia" w:hAnsi="Calibri" w:cs="Calibri"/>
                <w:color w:val="000000"/>
                <w:sz w:val="17"/>
                <w:szCs w:val="17"/>
                <w:lang w:eastAsia="en-AU"/>
              </w:rPr>
            </w:pPr>
            <w:r w:rsidRPr="00795045">
              <w:rPr>
                <w:rFonts w:ascii="Calibri" w:eastAsiaTheme="minorEastAsia" w:hAnsi="Calibri" w:cs="Calibri"/>
                <w:color w:val="000000"/>
                <w:sz w:val="17"/>
                <w:szCs w:val="17"/>
                <w:lang w:eastAsia="en-AU"/>
              </w:rPr>
              <w:t>4.00</w:t>
            </w:r>
          </w:p>
        </w:tc>
        <w:tc>
          <w:tcPr>
            <w:tcW w:w="1156" w:type="dxa"/>
            <w:tcBorders>
              <w:top w:val="nil"/>
              <w:left w:val="nil"/>
              <w:bottom w:val="nil"/>
              <w:right w:val="nil"/>
            </w:tcBorders>
          </w:tcPr>
          <w:p w14:paraId="01D152D0" w14:textId="77777777" w:rsidR="00AB205D" w:rsidRPr="00795045" w:rsidRDefault="00471A3B">
            <w:pPr>
              <w:keepLines w:val="0"/>
              <w:autoSpaceDE w:val="0"/>
              <w:autoSpaceDN w:val="0"/>
              <w:adjustRightInd w:val="0"/>
              <w:spacing w:before="20"/>
              <w:jc w:val="right"/>
              <w:rPr>
                <w:rFonts w:ascii="Calibri" w:eastAsiaTheme="minorEastAsia" w:hAnsi="Calibri" w:cs="Calibri"/>
                <w:color w:val="000000"/>
                <w:sz w:val="17"/>
                <w:szCs w:val="17"/>
                <w:lang w:eastAsia="en-AU"/>
              </w:rPr>
            </w:pPr>
            <w:r w:rsidRPr="00795045">
              <w:rPr>
                <w:rFonts w:ascii="Calibri" w:eastAsiaTheme="minorEastAsia" w:hAnsi="Calibri" w:cs="Calibri"/>
                <w:color w:val="000000"/>
                <w:sz w:val="17"/>
                <w:szCs w:val="17"/>
                <w:lang w:eastAsia="en-AU"/>
              </w:rPr>
              <w:t>4.25</w:t>
            </w:r>
          </w:p>
        </w:tc>
        <w:tc>
          <w:tcPr>
            <w:tcW w:w="1155" w:type="dxa"/>
            <w:tcBorders>
              <w:top w:val="nil"/>
              <w:left w:val="nil"/>
              <w:bottom w:val="nil"/>
              <w:right w:val="nil"/>
            </w:tcBorders>
          </w:tcPr>
          <w:p w14:paraId="5662AA29" w14:textId="77777777" w:rsidR="00AB205D" w:rsidRPr="00795045" w:rsidRDefault="00471A3B">
            <w:pPr>
              <w:keepLines w:val="0"/>
              <w:autoSpaceDE w:val="0"/>
              <w:autoSpaceDN w:val="0"/>
              <w:adjustRightInd w:val="0"/>
              <w:spacing w:before="20"/>
              <w:jc w:val="right"/>
              <w:rPr>
                <w:rFonts w:ascii="Calibri" w:eastAsiaTheme="minorEastAsia" w:hAnsi="Calibri" w:cs="Calibri"/>
                <w:color w:val="000000"/>
                <w:sz w:val="17"/>
                <w:szCs w:val="17"/>
                <w:lang w:eastAsia="en-AU"/>
              </w:rPr>
            </w:pPr>
            <w:r w:rsidRPr="00795045">
              <w:rPr>
                <w:rFonts w:ascii="Calibri" w:eastAsiaTheme="minorEastAsia" w:hAnsi="Calibri" w:cs="Calibri"/>
                <w:color w:val="000000"/>
                <w:sz w:val="17"/>
                <w:szCs w:val="17"/>
                <w:lang w:eastAsia="en-AU"/>
              </w:rPr>
              <w:t>4.50</w:t>
            </w:r>
          </w:p>
        </w:tc>
        <w:tc>
          <w:tcPr>
            <w:tcW w:w="1156" w:type="dxa"/>
            <w:tcBorders>
              <w:top w:val="nil"/>
              <w:left w:val="nil"/>
              <w:bottom w:val="nil"/>
              <w:right w:val="nil"/>
            </w:tcBorders>
          </w:tcPr>
          <w:p w14:paraId="2226D45F" w14:textId="77777777" w:rsidR="00AB205D" w:rsidRPr="00795045" w:rsidRDefault="00471A3B">
            <w:pPr>
              <w:keepLines w:val="0"/>
              <w:autoSpaceDE w:val="0"/>
              <w:autoSpaceDN w:val="0"/>
              <w:adjustRightInd w:val="0"/>
              <w:spacing w:before="20"/>
              <w:jc w:val="right"/>
              <w:rPr>
                <w:rFonts w:ascii="Calibri" w:eastAsiaTheme="minorEastAsia" w:hAnsi="Calibri" w:cs="Calibri"/>
                <w:color w:val="000000"/>
                <w:sz w:val="17"/>
                <w:szCs w:val="17"/>
                <w:lang w:eastAsia="en-AU"/>
              </w:rPr>
            </w:pPr>
            <w:r w:rsidRPr="00795045">
              <w:rPr>
                <w:rFonts w:ascii="Calibri" w:eastAsiaTheme="minorEastAsia" w:hAnsi="Calibri" w:cs="Calibri"/>
                <w:color w:val="000000"/>
                <w:sz w:val="17"/>
                <w:szCs w:val="17"/>
                <w:lang w:eastAsia="en-AU"/>
              </w:rPr>
              <w:t>4.75</w:t>
            </w:r>
          </w:p>
        </w:tc>
      </w:tr>
      <w:tr w:rsidR="009C6724" w:rsidRPr="00795045" w14:paraId="418A92F9" w14:textId="77777777">
        <w:trPr>
          <w:trHeight w:val="271"/>
        </w:trPr>
        <w:tc>
          <w:tcPr>
            <w:tcW w:w="2015" w:type="dxa"/>
            <w:tcBorders>
              <w:top w:val="nil"/>
              <w:left w:val="nil"/>
              <w:bottom w:val="nil"/>
              <w:right w:val="nil"/>
            </w:tcBorders>
          </w:tcPr>
          <w:p w14:paraId="1A538423" w14:textId="77777777" w:rsidR="00AB205D" w:rsidRPr="00795045" w:rsidRDefault="00AB205D">
            <w:pPr>
              <w:keepLines w:val="0"/>
              <w:autoSpaceDE w:val="0"/>
              <w:autoSpaceDN w:val="0"/>
              <w:adjustRightInd w:val="0"/>
              <w:spacing w:before="20"/>
              <w:jc w:val="right"/>
              <w:rPr>
                <w:rFonts w:ascii="Calibri" w:eastAsiaTheme="minorEastAsia" w:hAnsi="Calibri" w:cs="Calibri"/>
                <w:color w:val="000000"/>
                <w:sz w:val="17"/>
                <w:szCs w:val="17"/>
                <w:lang w:eastAsia="en-AU"/>
              </w:rPr>
            </w:pPr>
          </w:p>
        </w:tc>
        <w:tc>
          <w:tcPr>
            <w:tcW w:w="1155" w:type="dxa"/>
            <w:tcBorders>
              <w:top w:val="nil"/>
              <w:left w:val="nil"/>
              <w:bottom w:val="nil"/>
              <w:right w:val="nil"/>
            </w:tcBorders>
          </w:tcPr>
          <w:p w14:paraId="1100F0D5" w14:textId="77777777" w:rsidR="00AB205D" w:rsidRPr="00795045" w:rsidRDefault="00AB205D">
            <w:pPr>
              <w:keepLines w:val="0"/>
              <w:autoSpaceDE w:val="0"/>
              <w:autoSpaceDN w:val="0"/>
              <w:adjustRightInd w:val="0"/>
              <w:spacing w:before="20"/>
              <w:jc w:val="right"/>
              <w:rPr>
                <w:rFonts w:ascii="Calibri" w:eastAsiaTheme="minorEastAsia" w:hAnsi="Calibri" w:cs="Calibri"/>
                <w:color w:val="000000"/>
                <w:sz w:val="17"/>
                <w:szCs w:val="17"/>
                <w:lang w:eastAsia="en-AU"/>
              </w:rPr>
            </w:pPr>
          </w:p>
        </w:tc>
        <w:tc>
          <w:tcPr>
            <w:tcW w:w="1155" w:type="dxa"/>
            <w:tcBorders>
              <w:top w:val="nil"/>
              <w:left w:val="nil"/>
              <w:bottom w:val="nil"/>
              <w:right w:val="nil"/>
            </w:tcBorders>
          </w:tcPr>
          <w:p w14:paraId="6C23E51B" w14:textId="77777777" w:rsidR="00AB205D" w:rsidRPr="00795045" w:rsidRDefault="00471A3B">
            <w:pPr>
              <w:keepLines w:val="0"/>
              <w:autoSpaceDE w:val="0"/>
              <w:autoSpaceDN w:val="0"/>
              <w:adjustRightInd w:val="0"/>
              <w:spacing w:before="20"/>
              <w:jc w:val="right"/>
              <w:rPr>
                <w:rFonts w:ascii="Calibri" w:eastAsiaTheme="minorEastAsia" w:hAnsi="Calibri" w:cs="Calibri"/>
                <w:i/>
                <w:iCs/>
                <w:color w:val="000000"/>
                <w:sz w:val="17"/>
                <w:szCs w:val="17"/>
                <w:lang w:eastAsia="en-AU"/>
              </w:rPr>
            </w:pPr>
            <w:r w:rsidRPr="00795045">
              <w:rPr>
                <w:rFonts w:ascii="Calibri" w:eastAsiaTheme="minorEastAsia" w:hAnsi="Calibri" w:cs="Calibri"/>
                <w:i/>
                <w:iCs/>
                <w:color w:val="000000"/>
                <w:sz w:val="17"/>
                <w:szCs w:val="17"/>
                <w:lang w:eastAsia="en-AU"/>
              </w:rPr>
              <w:t>4.25</w:t>
            </w:r>
          </w:p>
        </w:tc>
        <w:tc>
          <w:tcPr>
            <w:tcW w:w="1156" w:type="dxa"/>
            <w:tcBorders>
              <w:top w:val="nil"/>
              <w:left w:val="nil"/>
              <w:bottom w:val="nil"/>
              <w:right w:val="nil"/>
            </w:tcBorders>
          </w:tcPr>
          <w:p w14:paraId="381932D2" w14:textId="77777777" w:rsidR="00AB205D" w:rsidRPr="00795045" w:rsidRDefault="00471A3B">
            <w:pPr>
              <w:keepLines w:val="0"/>
              <w:autoSpaceDE w:val="0"/>
              <w:autoSpaceDN w:val="0"/>
              <w:adjustRightInd w:val="0"/>
              <w:spacing w:before="20"/>
              <w:jc w:val="right"/>
              <w:rPr>
                <w:rFonts w:ascii="Calibri" w:eastAsiaTheme="minorEastAsia" w:hAnsi="Calibri" w:cs="Calibri"/>
                <w:i/>
                <w:iCs/>
                <w:color w:val="000000"/>
                <w:sz w:val="17"/>
                <w:szCs w:val="17"/>
                <w:lang w:eastAsia="en-AU"/>
              </w:rPr>
            </w:pPr>
            <w:r w:rsidRPr="00795045">
              <w:rPr>
                <w:rFonts w:ascii="Calibri" w:eastAsiaTheme="minorEastAsia" w:hAnsi="Calibri" w:cs="Calibri"/>
                <w:i/>
                <w:iCs/>
                <w:color w:val="000000"/>
                <w:sz w:val="17"/>
                <w:szCs w:val="17"/>
                <w:lang w:eastAsia="en-AU"/>
              </w:rPr>
              <w:t>4.50</w:t>
            </w:r>
          </w:p>
        </w:tc>
        <w:tc>
          <w:tcPr>
            <w:tcW w:w="1155" w:type="dxa"/>
            <w:tcBorders>
              <w:top w:val="nil"/>
              <w:left w:val="nil"/>
              <w:bottom w:val="nil"/>
              <w:right w:val="nil"/>
            </w:tcBorders>
          </w:tcPr>
          <w:p w14:paraId="39BF7F6D" w14:textId="77777777" w:rsidR="00AB205D" w:rsidRPr="00795045" w:rsidRDefault="00471A3B">
            <w:pPr>
              <w:keepLines w:val="0"/>
              <w:autoSpaceDE w:val="0"/>
              <w:autoSpaceDN w:val="0"/>
              <w:adjustRightInd w:val="0"/>
              <w:spacing w:before="20"/>
              <w:jc w:val="right"/>
              <w:rPr>
                <w:rFonts w:ascii="Calibri" w:eastAsiaTheme="minorEastAsia" w:hAnsi="Calibri" w:cs="Calibri"/>
                <w:i/>
                <w:iCs/>
                <w:color w:val="000000"/>
                <w:sz w:val="17"/>
                <w:szCs w:val="17"/>
                <w:lang w:eastAsia="en-AU"/>
              </w:rPr>
            </w:pPr>
            <w:r w:rsidRPr="00795045">
              <w:rPr>
                <w:rFonts w:ascii="Calibri" w:eastAsiaTheme="minorEastAsia" w:hAnsi="Calibri" w:cs="Calibri"/>
                <w:i/>
                <w:iCs/>
                <w:color w:val="000000"/>
                <w:sz w:val="17"/>
                <w:szCs w:val="17"/>
                <w:lang w:eastAsia="en-AU"/>
              </w:rPr>
              <w:t>4.75</w:t>
            </w:r>
          </w:p>
        </w:tc>
        <w:tc>
          <w:tcPr>
            <w:tcW w:w="1156" w:type="dxa"/>
            <w:tcBorders>
              <w:top w:val="nil"/>
              <w:left w:val="nil"/>
              <w:bottom w:val="nil"/>
              <w:right w:val="nil"/>
            </w:tcBorders>
          </w:tcPr>
          <w:p w14:paraId="028849F9" w14:textId="77777777" w:rsidR="00AB205D" w:rsidRPr="00795045" w:rsidRDefault="00AB205D">
            <w:pPr>
              <w:keepLines w:val="0"/>
              <w:autoSpaceDE w:val="0"/>
              <w:autoSpaceDN w:val="0"/>
              <w:adjustRightInd w:val="0"/>
              <w:spacing w:before="20"/>
              <w:jc w:val="right"/>
              <w:rPr>
                <w:rFonts w:ascii="Calibri" w:eastAsiaTheme="minorEastAsia" w:hAnsi="Calibri" w:cs="Calibri"/>
                <w:color w:val="000000"/>
                <w:sz w:val="17"/>
                <w:szCs w:val="17"/>
                <w:lang w:eastAsia="en-AU"/>
              </w:rPr>
            </w:pPr>
          </w:p>
        </w:tc>
      </w:tr>
      <w:tr w:rsidR="009C6724" w:rsidRPr="00795045" w14:paraId="632798B8" w14:textId="77777777">
        <w:trPr>
          <w:trHeight w:val="271"/>
        </w:trPr>
        <w:tc>
          <w:tcPr>
            <w:tcW w:w="2015" w:type="dxa"/>
            <w:tcBorders>
              <w:top w:val="nil"/>
              <w:left w:val="nil"/>
              <w:bottom w:val="nil"/>
              <w:right w:val="nil"/>
            </w:tcBorders>
          </w:tcPr>
          <w:p w14:paraId="7C35392A" w14:textId="77777777" w:rsidR="00AB205D" w:rsidRPr="00795045" w:rsidRDefault="00471A3B">
            <w:pPr>
              <w:keepLines w:val="0"/>
              <w:autoSpaceDE w:val="0"/>
              <w:autoSpaceDN w:val="0"/>
              <w:adjustRightInd w:val="0"/>
              <w:spacing w:before="20"/>
              <w:rPr>
                <w:rFonts w:ascii="Calibri" w:eastAsiaTheme="minorEastAsia" w:hAnsi="Calibri" w:cs="Calibri"/>
                <w:color w:val="000000"/>
                <w:sz w:val="17"/>
                <w:szCs w:val="17"/>
                <w:vertAlign w:val="superscript"/>
                <w:lang w:eastAsia="en-AU"/>
              </w:rPr>
            </w:pPr>
            <w:r w:rsidRPr="00795045">
              <w:rPr>
                <w:rFonts w:ascii="Calibri" w:eastAsiaTheme="minorEastAsia" w:hAnsi="Calibri" w:cs="Calibri"/>
                <w:color w:val="000000"/>
                <w:sz w:val="17"/>
                <w:szCs w:val="17"/>
                <w:lang w:eastAsia="en-AU"/>
              </w:rPr>
              <w:t xml:space="preserve">Consumer price index </w:t>
            </w:r>
            <w:r w:rsidRPr="00795045">
              <w:rPr>
                <w:rFonts w:ascii="Calibri" w:eastAsiaTheme="minorEastAsia" w:hAnsi="Calibri" w:cs="Calibri"/>
                <w:color w:val="000000"/>
                <w:sz w:val="17"/>
                <w:szCs w:val="17"/>
                <w:vertAlign w:val="superscript"/>
                <w:lang w:eastAsia="en-AU"/>
              </w:rPr>
              <w:t>(c)</w:t>
            </w:r>
          </w:p>
        </w:tc>
        <w:tc>
          <w:tcPr>
            <w:tcW w:w="1155" w:type="dxa"/>
            <w:tcBorders>
              <w:top w:val="nil"/>
              <w:left w:val="nil"/>
              <w:bottom w:val="nil"/>
              <w:right w:val="nil"/>
            </w:tcBorders>
          </w:tcPr>
          <w:p w14:paraId="20DF07E1" w14:textId="77777777" w:rsidR="00AB205D" w:rsidRPr="00795045" w:rsidRDefault="00471A3B">
            <w:pPr>
              <w:keepLines w:val="0"/>
              <w:autoSpaceDE w:val="0"/>
              <w:autoSpaceDN w:val="0"/>
              <w:adjustRightInd w:val="0"/>
              <w:spacing w:before="20"/>
              <w:jc w:val="right"/>
              <w:rPr>
                <w:rFonts w:ascii="Calibri" w:eastAsiaTheme="minorEastAsia" w:hAnsi="Calibri" w:cs="Calibri"/>
                <w:color w:val="000000"/>
                <w:sz w:val="17"/>
                <w:szCs w:val="17"/>
                <w:lang w:eastAsia="en-AU"/>
              </w:rPr>
            </w:pPr>
            <w:r>
              <w:rPr>
                <w:rFonts w:ascii="Calibri" w:eastAsiaTheme="minorEastAsia" w:hAnsi="Calibri" w:cs="Calibri"/>
                <w:color w:val="000000"/>
                <w:sz w:val="17"/>
                <w:szCs w:val="17"/>
                <w:lang w:eastAsia="en-AU"/>
              </w:rPr>
              <w:t>6.9</w:t>
            </w:r>
          </w:p>
        </w:tc>
        <w:tc>
          <w:tcPr>
            <w:tcW w:w="1155" w:type="dxa"/>
            <w:tcBorders>
              <w:top w:val="nil"/>
              <w:left w:val="nil"/>
              <w:bottom w:val="nil"/>
              <w:right w:val="nil"/>
            </w:tcBorders>
          </w:tcPr>
          <w:p w14:paraId="273E13E3" w14:textId="77777777" w:rsidR="00AB205D" w:rsidRPr="00795045" w:rsidRDefault="00471A3B">
            <w:pPr>
              <w:keepLines w:val="0"/>
              <w:autoSpaceDE w:val="0"/>
              <w:autoSpaceDN w:val="0"/>
              <w:adjustRightInd w:val="0"/>
              <w:spacing w:before="20"/>
              <w:jc w:val="right"/>
              <w:rPr>
                <w:rFonts w:ascii="Calibri" w:eastAsiaTheme="minorEastAsia" w:hAnsi="Calibri" w:cs="Calibri"/>
                <w:color w:val="000000"/>
                <w:sz w:val="17"/>
                <w:szCs w:val="17"/>
                <w:lang w:eastAsia="en-AU"/>
              </w:rPr>
            </w:pPr>
            <w:r w:rsidRPr="00795045">
              <w:rPr>
                <w:rFonts w:ascii="Calibri" w:eastAsiaTheme="minorEastAsia" w:hAnsi="Calibri" w:cs="Calibri"/>
                <w:color w:val="000000"/>
                <w:sz w:val="17"/>
                <w:szCs w:val="17"/>
                <w:lang w:eastAsia="en-AU"/>
              </w:rPr>
              <w:t>4.25</w:t>
            </w:r>
          </w:p>
        </w:tc>
        <w:tc>
          <w:tcPr>
            <w:tcW w:w="1156" w:type="dxa"/>
            <w:tcBorders>
              <w:top w:val="nil"/>
              <w:left w:val="nil"/>
              <w:bottom w:val="nil"/>
              <w:right w:val="nil"/>
            </w:tcBorders>
          </w:tcPr>
          <w:p w14:paraId="138DBA71" w14:textId="77777777" w:rsidR="00AB205D" w:rsidRPr="00795045" w:rsidRDefault="00471A3B">
            <w:pPr>
              <w:keepLines w:val="0"/>
              <w:autoSpaceDE w:val="0"/>
              <w:autoSpaceDN w:val="0"/>
              <w:adjustRightInd w:val="0"/>
              <w:spacing w:before="20"/>
              <w:jc w:val="right"/>
              <w:rPr>
                <w:rFonts w:ascii="Calibri" w:eastAsiaTheme="minorEastAsia" w:hAnsi="Calibri" w:cs="Calibri"/>
                <w:color w:val="000000"/>
                <w:sz w:val="17"/>
                <w:szCs w:val="17"/>
                <w:lang w:eastAsia="en-AU"/>
              </w:rPr>
            </w:pPr>
            <w:r w:rsidRPr="00795045">
              <w:rPr>
                <w:rFonts w:ascii="Calibri" w:eastAsiaTheme="minorEastAsia" w:hAnsi="Calibri" w:cs="Calibri"/>
                <w:color w:val="000000"/>
                <w:sz w:val="17"/>
                <w:szCs w:val="17"/>
                <w:lang w:eastAsia="en-AU"/>
              </w:rPr>
              <w:t>2.75</w:t>
            </w:r>
          </w:p>
        </w:tc>
        <w:tc>
          <w:tcPr>
            <w:tcW w:w="1155" w:type="dxa"/>
            <w:tcBorders>
              <w:top w:val="nil"/>
              <w:left w:val="nil"/>
              <w:bottom w:val="nil"/>
              <w:right w:val="nil"/>
            </w:tcBorders>
          </w:tcPr>
          <w:p w14:paraId="3F3645C3" w14:textId="77777777" w:rsidR="00AB205D" w:rsidRPr="00795045" w:rsidRDefault="00471A3B">
            <w:pPr>
              <w:keepLines w:val="0"/>
              <w:autoSpaceDE w:val="0"/>
              <w:autoSpaceDN w:val="0"/>
              <w:adjustRightInd w:val="0"/>
              <w:spacing w:before="20"/>
              <w:jc w:val="right"/>
              <w:rPr>
                <w:rFonts w:ascii="Calibri" w:eastAsiaTheme="minorEastAsia" w:hAnsi="Calibri" w:cs="Calibri"/>
                <w:color w:val="000000"/>
                <w:sz w:val="17"/>
                <w:szCs w:val="17"/>
                <w:lang w:eastAsia="en-AU"/>
              </w:rPr>
            </w:pPr>
            <w:r w:rsidRPr="00795045">
              <w:rPr>
                <w:rFonts w:ascii="Calibri" w:eastAsiaTheme="minorEastAsia" w:hAnsi="Calibri" w:cs="Calibri"/>
                <w:color w:val="000000"/>
                <w:sz w:val="17"/>
                <w:szCs w:val="17"/>
                <w:lang w:eastAsia="en-AU"/>
              </w:rPr>
              <w:t>2.50</w:t>
            </w:r>
          </w:p>
        </w:tc>
        <w:tc>
          <w:tcPr>
            <w:tcW w:w="1156" w:type="dxa"/>
            <w:tcBorders>
              <w:top w:val="nil"/>
              <w:left w:val="nil"/>
              <w:bottom w:val="nil"/>
              <w:right w:val="nil"/>
            </w:tcBorders>
          </w:tcPr>
          <w:p w14:paraId="201F12F9" w14:textId="77777777" w:rsidR="00AB205D" w:rsidRPr="00795045" w:rsidRDefault="00471A3B">
            <w:pPr>
              <w:keepLines w:val="0"/>
              <w:autoSpaceDE w:val="0"/>
              <w:autoSpaceDN w:val="0"/>
              <w:adjustRightInd w:val="0"/>
              <w:spacing w:before="20"/>
              <w:jc w:val="right"/>
              <w:rPr>
                <w:rFonts w:ascii="Calibri" w:eastAsiaTheme="minorEastAsia" w:hAnsi="Calibri" w:cs="Calibri"/>
                <w:color w:val="000000"/>
                <w:sz w:val="17"/>
                <w:szCs w:val="17"/>
                <w:lang w:eastAsia="en-AU"/>
              </w:rPr>
            </w:pPr>
            <w:r w:rsidRPr="00795045">
              <w:rPr>
                <w:rFonts w:ascii="Calibri" w:eastAsiaTheme="minorEastAsia" w:hAnsi="Calibri" w:cs="Calibri"/>
                <w:color w:val="000000"/>
                <w:sz w:val="17"/>
                <w:szCs w:val="17"/>
                <w:lang w:eastAsia="en-AU"/>
              </w:rPr>
              <w:t>2.50</w:t>
            </w:r>
          </w:p>
        </w:tc>
      </w:tr>
      <w:tr w:rsidR="009C6724" w:rsidRPr="00795045" w14:paraId="2435172B" w14:textId="77777777">
        <w:trPr>
          <w:trHeight w:val="271"/>
        </w:trPr>
        <w:tc>
          <w:tcPr>
            <w:tcW w:w="2015" w:type="dxa"/>
            <w:tcBorders>
              <w:top w:val="nil"/>
              <w:left w:val="nil"/>
              <w:bottom w:val="nil"/>
              <w:right w:val="nil"/>
            </w:tcBorders>
          </w:tcPr>
          <w:p w14:paraId="011AC8E1" w14:textId="77777777" w:rsidR="00AB205D" w:rsidRPr="00795045" w:rsidRDefault="00AB205D">
            <w:pPr>
              <w:keepLines w:val="0"/>
              <w:autoSpaceDE w:val="0"/>
              <w:autoSpaceDN w:val="0"/>
              <w:adjustRightInd w:val="0"/>
              <w:spacing w:before="20"/>
              <w:jc w:val="right"/>
              <w:rPr>
                <w:rFonts w:ascii="Calibri" w:eastAsiaTheme="minorEastAsia" w:hAnsi="Calibri" w:cs="Calibri"/>
                <w:color w:val="000000"/>
                <w:sz w:val="17"/>
                <w:szCs w:val="17"/>
                <w:lang w:eastAsia="en-AU"/>
              </w:rPr>
            </w:pPr>
          </w:p>
        </w:tc>
        <w:tc>
          <w:tcPr>
            <w:tcW w:w="1155" w:type="dxa"/>
            <w:tcBorders>
              <w:top w:val="nil"/>
              <w:left w:val="nil"/>
              <w:bottom w:val="nil"/>
              <w:right w:val="nil"/>
            </w:tcBorders>
          </w:tcPr>
          <w:p w14:paraId="7B9900C7" w14:textId="77777777" w:rsidR="00AB205D" w:rsidRPr="00795045" w:rsidRDefault="00AB205D">
            <w:pPr>
              <w:keepLines w:val="0"/>
              <w:autoSpaceDE w:val="0"/>
              <w:autoSpaceDN w:val="0"/>
              <w:adjustRightInd w:val="0"/>
              <w:spacing w:before="20"/>
              <w:jc w:val="right"/>
              <w:rPr>
                <w:rFonts w:ascii="Calibri" w:eastAsiaTheme="minorEastAsia" w:hAnsi="Calibri" w:cs="Calibri"/>
                <w:color w:val="000000"/>
                <w:sz w:val="17"/>
                <w:szCs w:val="17"/>
                <w:lang w:eastAsia="en-AU"/>
              </w:rPr>
            </w:pPr>
          </w:p>
        </w:tc>
        <w:tc>
          <w:tcPr>
            <w:tcW w:w="1155" w:type="dxa"/>
            <w:tcBorders>
              <w:top w:val="nil"/>
              <w:left w:val="nil"/>
              <w:bottom w:val="nil"/>
              <w:right w:val="nil"/>
            </w:tcBorders>
          </w:tcPr>
          <w:p w14:paraId="37BFD678" w14:textId="77777777" w:rsidR="00AB205D" w:rsidRPr="00795045" w:rsidRDefault="00AB205D">
            <w:pPr>
              <w:keepLines w:val="0"/>
              <w:autoSpaceDE w:val="0"/>
              <w:autoSpaceDN w:val="0"/>
              <w:adjustRightInd w:val="0"/>
              <w:spacing w:before="20"/>
              <w:jc w:val="right"/>
              <w:rPr>
                <w:rFonts w:ascii="Calibri" w:eastAsiaTheme="minorEastAsia" w:hAnsi="Calibri" w:cs="Calibri"/>
                <w:color w:val="000000"/>
                <w:sz w:val="17"/>
                <w:szCs w:val="17"/>
                <w:lang w:eastAsia="en-AU"/>
              </w:rPr>
            </w:pPr>
          </w:p>
        </w:tc>
        <w:tc>
          <w:tcPr>
            <w:tcW w:w="1156" w:type="dxa"/>
            <w:tcBorders>
              <w:top w:val="nil"/>
              <w:left w:val="nil"/>
              <w:bottom w:val="nil"/>
              <w:right w:val="nil"/>
            </w:tcBorders>
          </w:tcPr>
          <w:p w14:paraId="5593887E" w14:textId="77777777" w:rsidR="00AB205D" w:rsidRPr="00795045" w:rsidRDefault="00AB205D">
            <w:pPr>
              <w:keepLines w:val="0"/>
              <w:autoSpaceDE w:val="0"/>
              <w:autoSpaceDN w:val="0"/>
              <w:adjustRightInd w:val="0"/>
              <w:spacing w:before="20"/>
              <w:jc w:val="right"/>
              <w:rPr>
                <w:rFonts w:ascii="Calibri" w:eastAsiaTheme="minorEastAsia" w:hAnsi="Calibri" w:cs="Calibri"/>
                <w:color w:val="000000"/>
                <w:sz w:val="17"/>
                <w:szCs w:val="17"/>
                <w:lang w:eastAsia="en-AU"/>
              </w:rPr>
            </w:pPr>
          </w:p>
        </w:tc>
        <w:tc>
          <w:tcPr>
            <w:tcW w:w="1155" w:type="dxa"/>
            <w:tcBorders>
              <w:top w:val="nil"/>
              <w:left w:val="nil"/>
              <w:bottom w:val="nil"/>
              <w:right w:val="nil"/>
            </w:tcBorders>
          </w:tcPr>
          <w:p w14:paraId="17E82DE1" w14:textId="77777777" w:rsidR="00AB205D" w:rsidRPr="00795045" w:rsidRDefault="00AB205D">
            <w:pPr>
              <w:keepLines w:val="0"/>
              <w:autoSpaceDE w:val="0"/>
              <w:autoSpaceDN w:val="0"/>
              <w:adjustRightInd w:val="0"/>
              <w:spacing w:before="20"/>
              <w:jc w:val="right"/>
              <w:rPr>
                <w:rFonts w:ascii="Calibri" w:eastAsiaTheme="minorEastAsia" w:hAnsi="Calibri" w:cs="Calibri"/>
                <w:color w:val="000000"/>
                <w:sz w:val="17"/>
                <w:szCs w:val="17"/>
                <w:lang w:eastAsia="en-AU"/>
              </w:rPr>
            </w:pPr>
          </w:p>
        </w:tc>
        <w:tc>
          <w:tcPr>
            <w:tcW w:w="1156" w:type="dxa"/>
            <w:tcBorders>
              <w:top w:val="nil"/>
              <w:left w:val="nil"/>
              <w:bottom w:val="nil"/>
              <w:right w:val="nil"/>
            </w:tcBorders>
          </w:tcPr>
          <w:p w14:paraId="4134DDFD" w14:textId="77777777" w:rsidR="00AB205D" w:rsidRPr="00795045" w:rsidRDefault="00AB205D">
            <w:pPr>
              <w:keepLines w:val="0"/>
              <w:autoSpaceDE w:val="0"/>
              <w:autoSpaceDN w:val="0"/>
              <w:adjustRightInd w:val="0"/>
              <w:spacing w:before="20"/>
              <w:jc w:val="right"/>
              <w:rPr>
                <w:rFonts w:ascii="Calibri" w:eastAsiaTheme="minorEastAsia" w:hAnsi="Calibri" w:cs="Calibri"/>
                <w:color w:val="000000"/>
                <w:sz w:val="17"/>
                <w:szCs w:val="17"/>
                <w:lang w:eastAsia="en-AU"/>
              </w:rPr>
            </w:pPr>
          </w:p>
        </w:tc>
      </w:tr>
      <w:tr w:rsidR="009C6724" w:rsidRPr="00795045" w14:paraId="12BC5D78" w14:textId="77777777">
        <w:trPr>
          <w:trHeight w:val="271"/>
        </w:trPr>
        <w:tc>
          <w:tcPr>
            <w:tcW w:w="2015" w:type="dxa"/>
            <w:tcBorders>
              <w:top w:val="nil"/>
              <w:left w:val="nil"/>
              <w:bottom w:val="nil"/>
              <w:right w:val="nil"/>
            </w:tcBorders>
          </w:tcPr>
          <w:p w14:paraId="23C68173" w14:textId="77777777" w:rsidR="00AB205D" w:rsidRPr="00795045" w:rsidRDefault="00471A3B">
            <w:pPr>
              <w:keepLines w:val="0"/>
              <w:autoSpaceDE w:val="0"/>
              <w:autoSpaceDN w:val="0"/>
              <w:adjustRightInd w:val="0"/>
              <w:spacing w:before="20"/>
              <w:rPr>
                <w:rFonts w:ascii="Calibri" w:eastAsiaTheme="minorEastAsia" w:hAnsi="Calibri" w:cs="Calibri"/>
                <w:color w:val="000000"/>
                <w:sz w:val="17"/>
                <w:szCs w:val="17"/>
                <w:vertAlign w:val="superscript"/>
                <w:lang w:eastAsia="en-AU"/>
              </w:rPr>
            </w:pPr>
            <w:r w:rsidRPr="00795045">
              <w:rPr>
                <w:rFonts w:ascii="Calibri" w:eastAsiaTheme="minorEastAsia" w:hAnsi="Calibri" w:cs="Calibri"/>
                <w:color w:val="000000"/>
                <w:sz w:val="17"/>
                <w:szCs w:val="17"/>
                <w:lang w:eastAsia="en-AU"/>
              </w:rPr>
              <w:t xml:space="preserve">Wage price index </w:t>
            </w:r>
            <w:r w:rsidRPr="00795045">
              <w:rPr>
                <w:rFonts w:ascii="Calibri" w:eastAsiaTheme="minorEastAsia" w:hAnsi="Calibri" w:cs="Calibri"/>
                <w:color w:val="000000"/>
                <w:sz w:val="17"/>
                <w:szCs w:val="17"/>
                <w:vertAlign w:val="superscript"/>
                <w:lang w:eastAsia="en-AU"/>
              </w:rPr>
              <w:t>(d)</w:t>
            </w:r>
          </w:p>
        </w:tc>
        <w:tc>
          <w:tcPr>
            <w:tcW w:w="1155" w:type="dxa"/>
            <w:tcBorders>
              <w:top w:val="nil"/>
              <w:left w:val="nil"/>
              <w:bottom w:val="nil"/>
              <w:right w:val="nil"/>
            </w:tcBorders>
          </w:tcPr>
          <w:p w14:paraId="1160CE6E" w14:textId="77777777" w:rsidR="00AB205D" w:rsidRPr="00795045" w:rsidRDefault="00471A3B">
            <w:pPr>
              <w:keepLines w:val="0"/>
              <w:autoSpaceDE w:val="0"/>
              <w:autoSpaceDN w:val="0"/>
              <w:adjustRightInd w:val="0"/>
              <w:spacing w:before="20"/>
              <w:jc w:val="right"/>
              <w:rPr>
                <w:rFonts w:ascii="Calibri" w:eastAsiaTheme="minorEastAsia" w:hAnsi="Calibri" w:cs="Calibri"/>
                <w:color w:val="000000"/>
                <w:sz w:val="17"/>
                <w:szCs w:val="17"/>
                <w:lang w:eastAsia="en-AU"/>
              </w:rPr>
            </w:pPr>
            <w:r w:rsidRPr="00795045">
              <w:rPr>
                <w:rFonts w:ascii="Calibri" w:eastAsiaTheme="minorEastAsia" w:hAnsi="Calibri" w:cs="Calibri"/>
                <w:color w:val="000000"/>
                <w:sz w:val="17"/>
                <w:szCs w:val="17"/>
                <w:lang w:eastAsia="en-AU"/>
              </w:rPr>
              <w:t>3.4</w:t>
            </w:r>
          </w:p>
        </w:tc>
        <w:tc>
          <w:tcPr>
            <w:tcW w:w="1155" w:type="dxa"/>
            <w:tcBorders>
              <w:top w:val="nil"/>
              <w:left w:val="nil"/>
              <w:bottom w:val="nil"/>
              <w:right w:val="nil"/>
            </w:tcBorders>
          </w:tcPr>
          <w:p w14:paraId="49DC0789" w14:textId="77777777" w:rsidR="00AB205D" w:rsidRPr="00795045" w:rsidRDefault="00471A3B">
            <w:pPr>
              <w:keepLines w:val="0"/>
              <w:autoSpaceDE w:val="0"/>
              <w:autoSpaceDN w:val="0"/>
              <w:adjustRightInd w:val="0"/>
              <w:spacing w:before="20"/>
              <w:jc w:val="right"/>
              <w:rPr>
                <w:rFonts w:ascii="Calibri" w:eastAsiaTheme="minorEastAsia" w:hAnsi="Calibri" w:cs="Calibri"/>
                <w:color w:val="000000"/>
                <w:sz w:val="17"/>
                <w:szCs w:val="17"/>
                <w:lang w:eastAsia="en-AU"/>
              </w:rPr>
            </w:pPr>
            <w:r w:rsidRPr="00795045">
              <w:rPr>
                <w:rFonts w:ascii="Calibri" w:eastAsiaTheme="minorEastAsia" w:hAnsi="Calibri" w:cs="Calibri"/>
                <w:color w:val="000000"/>
                <w:sz w:val="17"/>
                <w:szCs w:val="17"/>
                <w:lang w:eastAsia="en-AU"/>
              </w:rPr>
              <w:t>3.75</w:t>
            </w:r>
          </w:p>
        </w:tc>
        <w:tc>
          <w:tcPr>
            <w:tcW w:w="1156" w:type="dxa"/>
            <w:tcBorders>
              <w:top w:val="nil"/>
              <w:left w:val="nil"/>
              <w:bottom w:val="nil"/>
              <w:right w:val="nil"/>
            </w:tcBorders>
          </w:tcPr>
          <w:p w14:paraId="1919E7BE" w14:textId="77777777" w:rsidR="00AB205D" w:rsidRPr="00795045" w:rsidRDefault="00471A3B">
            <w:pPr>
              <w:keepLines w:val="0"/>
              <w:autoSpaceDE w:val="0"/>
              <w:autoSpaceDN w:val="0"/>
              <w:adjustRightInd w:val="0"/>
              <w:spacing w:before="20"/>
              <w:jc w:val="right"/>
              <w:rPr>
                <w:rFonts w:ascii="Calibri" w:eastAsiaTheme="minorEastAsia" w:hAnsi="Calibri" w:cs="Calibri"/>
                <w:color w:val="000000"/>
                <w:sz w:val="17"/>
                <w:szCs w:val="17"/>
                <w:lang w:eastAsia="en-AU"/>
              </w:rPr>
            </w:pPr>
            <w:r w:rsidRPr="00795045">
              <w:rPr>
                <w:rFonts w:ascii="Calibri" w:eastAsiaTheme="minorEastAsia" w:hAnsi="Calibri" w:cs="Calibri"/>
                <w:color w:val="000000"/>
                <w:sz w:val="17"/>
                <w:szCs w:val="17"/>
                <w:lang w:eastAsia="en-AU"/>
              </w:rPr>
              <w:t>3.50</w:t>
            </w:r>
          </w:p>
        </w:tc>
        <w:tc>
          <w:tcPr>
            <w:tcW w:w="1155" w:type="dxa"/>
            <w:tcBorders>
              <w:top w:val="nil"/>
              <w:left w:val="nil"/>
              <w:bottom w:val="nil"/>
              <w:right w:val="nil"/>
            </w:tcBorders>
          </w:tcPr>
          <w:p w14:paraId="11DC16C1" w14:textId="77777777" w:rsidR="00AB205D" w:rsidRPr="00795045" w:rsidRDefault="00471A3B">
            <w:pPr>
              <w:keepLines w:val="0"/>
              <w:autoSpaceDE w:val="0"/>
              <w:autoSpaceDN w:val="0"/>
              <w:adjustRightInd w:val="0"/>
              <w:spacing w:before="20"/>
              <w:jc w:val="right"/>
              <w:rPr>
                <w:rFonts w:ascii="Calibri" w:eastAsiaTheme="minorEastAsia" w:hAnsi="Calibri" w:cs="Calibri"/>
                <w:color w:val="000000"/>
                <w:sz w:val="17"/>
                <w:szCs w:val="17"/>
                <w:lang w:eastAsia="en-AU"/>
              </w:rPr>
            </w:pPr>
            <w:r w:rsidRPr="00795045">
              <w:rPr>
                <w:rFonts w:ascii="Calibri" w:eastAsiaTheme="minorEastAsia" w:hAnsi="Calibri" w:cs="Calibri"/>
                <w:color w:val="000000"/>
                <w:sz w:val="17"/>
                <w:szCs w:val="17"/>
                <w:lang w:eastAsia="en-AU"/>
              </w:rPr>
              <w:t>3.25</w:t>
            </w:r>
          </w:p>
        </w:tc>
        <w:tc>
          <w:tcPr>
            <w:tcW w:w="1156" w:type="dxa"/>
            <w:tcBorders>
              <w:top w:val="nil"/>
              <w:left w:val="nil"/>
              <w:bottom w:val="nil"/>
              <w:right w:val="nil"/>
            </w:tcBorders>
          </w:tcPr>
          <w:p w14:paraId="43619C77" w14:textId="77777777" w:rsidR="00AB205D" w:rsidRPr="00795045" w:rsidRDefault="00471A3B">
            <w:pPr>
              <w:keepLines w:val="0"/>
              <w:autoSpaceDE w:val="0"/>
              <w:autoSpaceDN w:val="0"/>
              <w:adjustRightInd w:val="0"/>
              <w:spacing w:before="20"/>
              <w:jc w:val="right"/>
              <w:rPr>
                <w:rFonts w:ascii="Calibri" w:eastAsiaTheme="minorEastAsia" w:hAnsi="Calibri" w:cs="Calibri"/>
                <w:color w:val="000000"/>
                <w:sz w:val="17"/>
                <w:szCs w:val="17"/>
                <w:lang w:eastAsia="en-AU"/>
              </w:rPr>
            </w:pPr>
            <w:r w:rsidRPr="00795045">
              <w:rPr>
                <w:rFonts w:ascii="Calibri" w:eastAsiaTheme="minorEastAsia" w:hAnsi="Calibri" w:cs="Calibri"/>
                <w:color w:val="000000"/>
                <w:sz w:val="17"/>
                <w:szCs w:val="17"/>
                <w:lang w:eastAsia="en-AU"/>
              </w:rPr>
              <w:t>3.25</w:t>
            </w:r>
          </w:p>
        </w:tc>
      </w:tr>
      <w:tr w:rsidR="009C6724" w:rsidRPr="00795045" w14:paraId="5073D16C" w14:textId="77777777">
        <w:trPr>
          <w:trHeight w:val="271"/>
        </w:trPr>
        <w:tc>
          <w:tcPr>
            <w:tcW w:w="2015" w:type="dxa"/>
            <w:tcBorders>
              <w:top w:val="nil"/>
              <w:left w:val="nil"/>
              <w:bottom w:val="nil"/>
              <w:right w:val="nil"/>
            </w:tcBorders>
          </w:tcPr>
          <w:p w14:paraId="5F5A8F12" w14:textId="77777777" w:rsidR="00AB205D" w:rsidRPr="00795045" w:rsidRDefault="00AB205D">
            <w:pPr>
              <w:keepLines w:val="0"/>
              <w:autoSpaceDE w:val="0"/>
              <w:autoSpaceDN w:val="0"/>
              <w:adjustRightInd w:val="0"/>
              <w:spacing w:before="20"/>
              <w:jc w:val="right"/>
              <w:rPr>
                <w:rFonts w:ascii="Calibri" w:eastAsiaTheme="minorEastAsia" w:hAnsi="Calibri" w:cs="Calibri"/>
                <w:color w:val="000000"/>
                <w:sz w:val="17"/>
                <w:szCs w:val="17"/>
                <w:lang w:eastAsia="en-AU"/>
              </w:rPr>
            </w:pPr>
          </w:p>
        </w:tc>
        <w:tc>
          <w:tcPr>
            <w:tcW w:w="1155" w:type="dxa"/>
            <w:tcBorders>
              <w:top w:val="nil"/>
              <w:left w:val="nil"/>
              <w:bottom w:val="nil"/>
              <w:right w:val="nil"/>
            </w:tcBorders>
          </w:tcPr>
          <w:p w14:paraId="302F9482" w14:textId="77777777" w:rsidR="00AB205D" w:rsidRPr="00795045" w:rsidRDefault="00AB205D">
            <w:pPr>
              <w:keepLines w:val="0"/>
              <w:autoSpaceDE w:val="0"/>
              <w:autoSpaceDN w:val="0"/>
              <w:adjustRightInd w:val="0"/>
              <w:spacing w:before="20"/>
              <w:jc w:val="right"/>
              <w:rPr>
                <w:rFonts w:ascii="Calibri" w:eastAsiaTheme="minorEastAsia" w:hAnsi="Calibri" w:cs="Calibri"/>
                <w:color w:val="000000"/>
                <w:sz w:val="17"/>
                <w:szCs w:val="17"/>
                <w:lang w:eastAsia="en-AU"/>
              </w:rPr>
            </w:pPr>
          </w:p>
        </w:tc>
        <w:tc>
          <w:tcPr>
            <w:tcW w:w="1155" w:type="dxa"/>
            <w:tcBorders>
              <w:top w:val="nil"/>
              <w:left w:val="nil"/>
              <w:bottom w:val="nil"/>
              <w:right w:val="nil"/>
            </w:tcBorders>
          </w:tcPr>
          <w:p w14:paraId="2C611971" w14:textId="77777777" w:rsidR="00AB205D" w:rsidRPr="00795045" w:rsidRDefault="00471A3B">
            <w:pPr>
              <w:keepLines w:val="0"/>
              <w:autoSpaceDE w:val="0"/>
              <w:autoSpaceDN w:val="0"/>
              <w:adjustRightInd w:val="0"/>
              <w:spacing w:before="20"/>
              <w:jc w:val="right"/>
              <w:rPr>
                <w:rFonts w:ascii="Calibri" w:eastAsiaTheme="minorEastAsia" w:hAnsi="Calibri" w:cs="Calibri"/>
                <w:i/>
                <w:iCs/>
                <w:color w:val="000000"/>
                <w:sz w:val="17"/>
                <w:szCs w:val="17"/>
                <w:lang w:eastAsia="en-AU"/>
              </w:rPr>
            </w:pPr>
            <w:r w:rsidRPr="00795045">
              <w:rPr>
                <w:rFonts w:ascii="Calibri" w:eastAsiaTheme="minorEastAsia" w:hAnsi="Calibri" w:cs="Calibri"/>
                <w:i/>
                <w:iCs/>
                <w:color w:val="000000"/>
                <w:sz w:val="17"/>
                <w:szCs w:val="17"/>
                <w:lang w:eastAsia="en-AU"/>
              </w:rPr>
              <w:t>3.50</w:t>
            </w:r>
          </w:p>
        </w:tc>
        <w:tc>
          <w:tcPr>
            <w:tcW w:w="1156" w:type="dxa"/>
            <w:tcBorders>
              <w:top w:val="nil"/>
              <w:left w:val="nil"/>
              <w:bottom w:val="nil"/>
              <w:right w:val="nil"/>
            </w:tcBorders>
          </w:tcPr>
          <w:p w14:paraId="2419D234" w14:textId="77777777" w:rsidR="00AB205D" w:rsidRPr="00795045" w:rsidRDefault="00AB205D">
            <w:pPr>
              <w:keepLines w:val="0"/>
              <w:autoSpaceDE w:val="0"/>
              <w:autoSpaceDN w:val="0"/>
              <w:adjustRightInd w:val="0"/>
              <w:spacing w:before="20"/>
              <w:jc w:val="right"/>
              <w:rPr>
                <w:rFonts w:ascii="Calibri" w:eastAsiaTheme="minorEastAsia" w:hAnsi="Calibri" w:cs="Calibri"/>
                <w:color w:val="000000"/>
                <w:sz w:val="17"/>
                <w:szCs w:val="17"/>
                <w:lang w:eastAsia="en-AU"/>
              </w:rPr>
            </w:pPr>
          </w:p>
        </w:tc>
        <w:tc>
          <w:tcPr>
            <w:tcW w:w="1155" w:type="dxa"/>
            <w:tcBorders>
              <w:top w:val="nil"/>
              <w:left w:val="nil"/>
              <w:bottom w:val="nil"/>
              <w:right w:val="nil"/>
            </w:tcBorders>
          </w:tcPr>
          <w:p w14:paraId="0DA1D9AE" w14:textId="77777777" w:rsidR="00AB205D" w:rsidRPr="00795045" w:rsidRDefault="00AB205D">
            <w:pPr>
              <w:keepLines w:val="0"/>
              <w:autoSpaceDE w:val="0"/>
              <w:autoSpaceDN w:val="0"/>
              <w:adjustRightInd w:val="0"/>
              <w:spacing w:before="20"/>
              <w:jc w:val="right"/>
              <w:rPr>
                <w:rFonts w:ascii="Calibri" w:eastAsiaTheme="minorEastAsia" w:hAnsi="Calibri" w:cs="Calibri"/>
                <w:color w:val="000000"/>
                <w:sz w:val="17"/>
                <w:szCs w:val="17"/>
                <w:lang w:eastAsia="en-AU"/>
              </w:rPr>
            </w:pPr>
          </w:p>
        </w:tc>
        <w:tc>
          <w:tcPr>
            <w:tcW w:w="1156" w:type="dxa"/>
            <w:tcBorders>
              <w:top w:val="nil"/>
              <w:left w:val="nil"/>
              <w:bottom w:val="nil"/>
              <w:right w:val="nil"/>
            </w:tcBorders>
          </w:tcPr>
          <w:p w14:paraId="152891F3" w14:textId="77777777" w:rsidR="00AB205D" w:rsidRPr="00795045" w:rsidRDefault="00AB205D">
            <w:pPr>
              <w:keepLines w:val="0"/>
              <w:autoSpaceDE w:val="0"/>
              <w:autoSpaceDN w:val="0"/>
              <w:adjustRightInd w:val="0"/>
              <w:spacing w:before="20"/>
              <w:jc w:val="right"/>
              <w:rPr>
                <w:rFonts w:ascii="Calibri" w:eastAsiaTheme="minorEastAsia" w:hAnsi="Calibri" w:cs="Calibri"/>
                <w:color w:val="000000"/>
                <w:sz w:val="17"/>
                <w:szCs w:val="17"/>
                <w:lang w:eastAsia="en-AU"/>
              </w:rPr>
            </w:pPr>
          </w:p>
        </w:tc>
      </w:tr>
      <w:tr w:rsidR="009C6724" w:rsidRPr="00795045" w14:paraId="10F47C66" w14:textId="77777777">
        <w:trPr>
          <w:trHeight w:val="271"/>
        </w:trPr>
        <w:tc>
          <w:tcPr>
            <w:tcW w:w="2015" w:type="dxa"/>
            <w:tcBorders>
              <w:top w:val="nil"/>
              <w:left w:val="nil"/>
              <w:bottom w:val="nil"/>
              <w:right w:val="nil"/>
            </w:tcBorders>
          </w:tcPr>
          <w:p w14:paraId="0635F447" w14:textId="77777777" w:rsidR="00AB205D" w:rsidRPr="00795045" w:rsidRDefault="00471A3B">
            <w:pPr>
              <w:keepLines w:val="0"/>
              <w:autoSpaceDE w:val="0"/>
              <w:autoSpaceDN w:val="0"/>
              <w:adjustRightInd w:val="0"/>
              <w:spacing w:before="20"/>
              <w:rPr>
                <w:rFonts w:ascii="Calibri" w:eastAsiaTheme="minorEastAsia" w:hAnsi="Calibri" w:cs="Calibri"/>
                <w:color w:val="000000"/>
                <w:sz w:val="17"/>
                <w:szCs w:val="17"/>
                <w:vertAlign w:val="superscript"/>
                <w:lang w:eastAsia="en-AU"/>
              </w:rPr>
            </w:pPr>
            <w:r w:rsidRPr="00795045">
              <w:rPr>
                <w:rFonts w:ascii="Calibri" w:eastAsiaTheme="minorEastAsia" w:hAnsi="Calibri" w:cs="Calibri"/>
                <w:color w:val="000000"/>
                <w:sz w:val="17"/>
                <w:szCs w:val="17"/>
                <w:lang w:eastAsia="en-AU"/>
              </w:rPr>
              <w:t xml:space="preserve">Population </w:t>
            </w:r>
            <w:r w:rsidRPr="00795045">
              <w:rPr>
                <w:rFonts w:ascii="Calibri" w:eastAsiaTheme="minorEastAsia" w:hAnsi="Calibri" w:cs="Calibri"/>
                <w:color w:val="000000"/>
                <w:sz w:val="17"/>
                <w:szCs w:val="17"/>
                <w:vertAlign w:val="superscript"/>
                <w:lang w:eastAsia="en-AU"/>
              </w:rPr>
              <w:t>(e)</w:t>
            </w:r>
          </w:p>
        </w:tc>
        <w:tc>
          <w:tcPr>
            <w:tcW w:w="1155" w:type="dxa"/>
            <w:tcBorders>
              <w:top w:val="nil"/>
              <w:left w:val="nil"/>
              <w:bottom w:val="nil"/>
              <w:right w:val="nil"/>
            </w:tcBorders>
          </w:tcPr>
          <w:p w14:paraId="5EE90BAD" w14:textId="77777777" w:rsidR="00AB205D" w:rsidRPr="00880C39" w:rsidRDefault="00471A3B">
            <w:pPr>
              <w:keepLines w:val="0"/>
              <w:autoSpaceDE w:val="0"/>
              <w:autoSpaceDN w:val="0"/>
              <w:adjustRightInd w:val="0"/>
              <w:spacing w:before="20"/>
              <w:jc w:val="right"/>
              <w:rPr>
                <w:rFonts w:ascii="Calibri" w:eastAsiaTheme="minorEastAsia" w:hAnsi="Calibri" w:cs="Calibri"/>
                <w:color w:val="000000"/>
                <w:sz w:val="17"/>
                <w:szCs w:val="17"/>
                <w:vertAlign w:val="superscript"/>
                <w:lang w:eastAsia="en-AU"/>
              </w:rPr>
            </w:pPr>
            <w:r w:rsidRPr="00795045">
              <w:rPr>
                <w:rFonts w:ascii="Calibri" w:eastAsiaTheme="minorEastAsia" w:hAnsi="Calibri" w:cs="Calibri"/>
                <w:color w:val="000000"/>
                <w:sz w:val="17"/>
                <w:szCs w:val="17"/>
                <w:lang w:eastAsia="en-AU"/>
              </w:rPr>
              <w:t>2.6</w:t>
            </w:r>
            <w:r>
              <w:rPr>
                <w:rFonts w:ascii="Calibri" w:eastAsiaTheme="minorEastAsia" w:hAnsi="Calibri" w:cs="Calibri"/>
                <w:color w:val="000000"/>
                <w:sz w:val="17"/>
                <w:szCs w:val="17"/>
                <w:lang w:eastAsia="en-AU"/>
              </w:rPr>
              <w:t xml:space="preserve">0 </w:t>
            </w:r>
            <w:r>
              <w:rPr>
                <w:rFonts w:ascii="Calibri" w:eastAsiaTheme="minorEastAsia" w:hAnsi="Calibri" w:cs="Calibri"/>
                <w:color w:val="000000"/>
                <w:sz w:val="17"/>
                <w:szCs w:val="17"/>
                <w:vertAlign w:val="superscript"/>
                <w:lang w:eastAsia="en-AU"/>
              </w:rPr>
              <w:t>(f)</w:t>
            </w:r>
          </w:p>
        </w:tc>
        <w:tc>
          <w:tcPr>
            <w:tcW w:w="1155" w:type="dxa"/>
            <w:tcBorders>
              <w:top w:val="nil"/>
              <w:left w:val="nil"/>
              <w:bottom w:val="nil"/>
              <w:right w:val="nil"/>
            </w:tcBorders>
          </w:tcPr>
          <w:p w14:paraId="2D71DB6B" w14:textId="77777777" w:rsidR="00AB205D" w:rsidRPr="00795045" w:rsidRDefault="00471A3B">
            <w:pPr>
              <w:keepLines w:val="0"/>
              <w:autoSpaceDE w:val="0"/>
              <w:autoSpaceDN w:val="0"/>
              <w:adjustRightInd w:val="0"/>
              <w:spacing w:before="20"/>
              <w:jc w:val="right"/>
              <w:rPr>
                <w:rFonts w:ascii="Calibri" w:eastAsiaTheme="minorEastAsia" w:hAnsi="Calibri" w:cs="Calibri"/>
                <w:color w:val="000000"/>
                <w:sz w:val="17"/>
                <w:szCs w:val="17"/>
                <w:lang w:eastAsia="en-AU"/>
              </w:rPr>
            </w:pPr>
            <w:r w:rsidRPr="00795045">
              <w:rPr>
                <w:rFonts w:ascii="Calibri" w:eastAsiaTheme="minorEastAsia" w:hAnsi="Calibri" w:cs="Calibri"/>
                <w:color w:val="000000"/>
                <w:sz w:val="17"/>
                <w:szCs w:val="17"/>
                <w:lang w:eastAsia="en-AU"/>
              </w:rPr>
              <w:t>2.20</w:t>
            </w:r>
          </w:p>
        </w:tc>
        <w:tc>
          <w:tcPr>
            <w:tcW w:w="1156" w:type="dxa"/>
            <w:tcBorders>
              <w:top w:val="nil"/>
              <w:left w:val="nil"/>
              <w:bottom w:val="nil"/>
              <w:right w:val="nil"/>
            </w:tcBorders>
          </w:tcPr>
          <w:p w14:paraId="03FB5D1C" w14:textId="77777777" w:rsidR="00AB205D" w:rsidRPr="00795045" w:rsidRDefault="00471A3B">
            <w:pPr>
              <w:keepLines w:val="0"/>
              <w:autoSpaceDE w:val="0"/>
              <w:autoSpaceDN w:val="0"/>
              <w:adjustRightInd w:val="0"/>
              <w:spacing w:before="20"/>
              <w:jc w:val="right"/>
              <w:rPr>
                <w:rFonts w:ascii="Calibri" w:eastAsiaTheme="minorEastAsia" w:hAnsi="Calibri" w:cs="Calibri"/>
                <w:color w:val="000000"/>
                <w:sz w:val="17"/>
                <w:szCs w:val="17"/>
                <w:lang w:eastAsia="en-AU"/>
              </w:rPr>
            </w:pPr>
            <w:r w:rsidRPr="00795045">
              <w:rPr>
                <w:rFonts w:ascii="Calibri" w:eastAsiaTheme="minorEastAsia" w:hAnsi="Calibri" w:cs="Calibri"/>
                <w:color w:val="000000"/>
                <w:sz w:val="17"/>
                <w:szCs w:val="17"/>
                <w:lang w:eastAsia="en-AU"/>
              </w:rPr>
              <w:t>1.80</w:t>
            </w:r>
          </w:p>
        </w:tc>
        <w:tc>
          <w:tcPr>
            <w:tcW w:w="1155" w:type="dxa"/>
            <w:tcBorders>
              <w:top w:val="nil"/>
              <w:left w:val="nil"/>
              <w:bottom w:val="nil"/>
              <w:right w:val="nil"/>
            </w:tcBorders>
          </w:tcPr>
          <w:p w14:paraId="5D2FA85A" w14:textId="77777777" w:rsidR="00AB205D" w:rsidRPr="00795045" w:rsidRDefault="00471A3B">
            <w:pPr>
              <w:keepLines w:val="0"/>
              <w:autoSpaceDE w:val="0"/>
              <w:autoSpaceDN w:val="0"/>
              <w:adjustRightInd w:val="0"/>
              <w:spacing w:before="20"/>
              <w:jc w:val="right"/>
              <w:rPr>
                <w:rFonts w:ascii="Calibri" w:eastAsiaTheme="minorEastAsia" w:hAnsi="Calibri" w:cs="Calibri"/>
                <w:color w:val="000000"/>
                <w:sz w:val="17"/>
                <w:szCs w:val="17"/>
                <w:lang w:eastAsia="en-AU"/>
              </w:rPr>
            </w:pPr>
            <w:r w:rsidRPr="00795045">
              <w:rPr>
                <w:rFonts w:ascii="Calibri" w:eastAsiaTheme="minorEastAsia" w:hAnsi="Calibri" w:cs="Calibri"/>
                <w:color w:val="000000"/>
                <w:sz w:val="17"/>
                <w:szCs w:val="17"/>
                <w:lang w:eastAsia="en-AU"/>
              </w:rPr>
              <w:t>1.70</w:t>
            </w:r>
          </w:p>
        </w:tc>
        <w:tc>
          <w:tcPr>
            <w:tcW w:w="1156" w:type="dxa"/>
            <w:tcBorders>
              <w:top w:val="nil"/>
              <w:left w:val="nil"/>
              <w:bottom w:val="nil"/>
              <w:right w:val="nil"/>
            </w:tcBorders>
          </w:tcPr>
          <w:p w14:paraId="085A72D8" w14:textId="77777777" w:rsidR="00AB205D" w:rsidRPr="00795045" w:rsidRDefault="00471A3B">
            <w:pPr>
              <w:keepLines w:val="0"/>
              <w:autoSpaceDE w:val="0"/>
              <w:autoSpaceDN w:val="0"/>
              <w:adjustRightInd w:val="0"/>
              <w:spacing w:before="20"/>
              <w:jc w:val="right"/>
              <w:rPr>
                <w:rFonts w:ascii="Calibri" w:eastAsiaTheme="minorEastAsia" w:hAnsi="Calibri" w:cs="Calibri"/>
                <w:color w:val="000000"/>
                <w:sz w:val="17"/>
                <w:szCs w:val="17"/>
                <w:lang w:eastAsia="en-AU"/>
              </w:rPr>
            </w:pPr>
            <w:r w:rsidRPr="00795045">
              <w:rPr>
                <w:rFonts w:ascii="Calibri" w:eastAsiaTheme="minorEastAsia" w:hAnsi="Calibri" w:cs="Calibri"/>
                <w:color w:val="000000"/>
                <w:sz w:val="17"/>
                <w:szCs w:val="17"/>
                <w:lang w:eastAsia="en-AU"/>
              </w:rPr>
              <w:t>1.70</w:t>
            </w:r>
          </w:p>
        </w:tc>
      </w:tr>
      <w:tr w:rsidR="009C6724" w:rsidRPr="00795045" w14:paraId="3434B447" w14:textId="77777777">
        <w:trPr>
          <w:trHeight w:val="51"/>
        </w:trPr>
        <w:tc>
          <w:tcPr>
            <w:tcW w:w="2015" w:type="dxa"/>
            <w:tcBorders>
              <w:top w:val="nil"/>
              <w:left w:val="nil"/>
              <w:bottom w:val="single" w:sz="12" w:space="0" w:color="auto"/>
              <w:right w:val="nil"/>
            </w:tcBorders>
          </w:tcPr>
          <w:p w14:paraId="0E5503D0" w14:textId="77777777" w:rsidR="00AB205D" w:rsidRPr="00795045" w:rsidRDefault="00AB205D">
            <w:pPr>
              <w:keepLines w:val="0"/>
              <w:autoSpaceDE w:val="0"/>
              <w:autoSpaceDN w:val="0"/>
              <w:adjustRightInd w:val="0"/>
              <w:spacing w:before="20"/>
              <w:jc w:val="right"/>
              <w:rPr>
                <w:rFonts w:ascii="Calibri" w:eastAsiaTheme="minorEastAsia" w:hAnsi="Calibri" w:cs="Calibri"/>
                <w:color w:val="000000"/>
                <w:sz w:val="17"/>
                <w:szCs w:val="17"/>
                <w:lang w:eastAsia="en-AU"/>
              </w:rPr>
            </w:pPr>
          </w:p>
        </w:tc>
        <w:tc>
          <w:tcPr>
            <w:tcW w:w="1155" w:type="dxa"/>
            <w:tcBorders>
              <w:top w:val="nil"/>
              <w:left w:val="nil"/>
              <w:bottom w:val="single" w:sz="12" w:space="0" w:color="auto"/>
              <w:right w:val="nil"/>
            </w:tcBorders>
          </w:tcPr>
          <w:p w14:paraId="6E800339" w14:textId="77777777" w:rsidR="00AB205D" w:rsidRPr="00880C39" w:rsidRDefault="00471A3B">
            <w:pPr>
              <w:keepLines w:val="0"/>
              <w:autoSpaceDE w:val="0"/>
              <w:autoSpaceDN w:val="0"/>
              <w:adjustRightInd w:val="0"/>
              <w:spacing w:before="20"/>
              <w:jc w:val="right"/>
              <w:rPr>
                <w:rFonts w:ascii="Calibri" w:eastAsiaTheme="minorEastAsia" w:hAnsi="Calibri" w:cs="Calibri"/>
                <w:i/>
                <w:iCs/>
                <w:color w:val="000000"/>
                <w:sz w:val="17"/>
                <w:szCs w:val="17"/>
                <w:lang w:eastAsia="en-AU"/>
              </w:rPr>
            </w:pPr>
            <w:r>
              <w:rPr>
                <w:rFonts w:ascii="Calibri" w:eastAsiaTheme="minorEastAsia" w:hAnsi="Calibri" w:cs="Calibri"/>
                <w:i/>
                <w:iCs/>
                <w:color w:val="000000"/>
                <w:sz w:val="17"/>
                <w:szCs w:val="17"/>
                <w:lang w:eastAsia="en-AU"/>
              </w:rPr>
              <w:t>1.90</w:t>
            </w:r>
          </w:p>
        </w:tc>
        <w:tc>
          <w:tcPr>
            <w:tcW w:w="1155" w:type="dxa"/>
            <w:tcBorders>
              <w:top w:val="nil"/>
              <w:left w:val="nil"/>
              <w:bottom w:val="single" w:sz="12" w:space="0" w:color="auto"/>
              <w:right w:val="nil"/>
            </w:tcBorders>
          </w:tcPr>
          <w:p w14:paraId="4008988B" w14:textId="77777777" w:rsidR="00AB205D" w:rsidRPr="00795045" w:rsidRDefault="00471A3B">
            <w:pPr>
              <w:keepLines w:val="0"/>
              <w:autoSpaceDE w:val="0"/>
              <w:autoSpaceDN w:val="0"/>
              <w:adjustRightInd w:val="0"/>
              <w:spacing w:before="20"/>
              <w:jc w:val="right"/>
              <w:rPr>
                <w:rFonts w:ascii="Calibri" w:eastAsiaTheme="minorEastAsia" w:hAnsi="Calibri" w:cs="Calibri"/>
                <w:i/>
                <w:iCs/>
                <w:color w:val="000000"/>
                <w:sz w:val="17"/>
                <w:szCs w:val="17"/>
                <w:lang w:eastAsia="en-AU"/>
              </w:rPr>
            </w:pPr>
            <w:r w:rsidRPr="00795045">
              <w:rPr>
                <w:rFonts w:ascii="Calibri" w:eastAsiaTheme="minorEastAsia" w:hAnsi="Calibri" w:cs="Calibri"/>
                <w:i/>
                <w:iCs/>
                <w:color w:val="000000"/>
                <w:sz w:val="17"/>
                <w:szCs w:val="17"/>
                <w:lang w:eastAsia="en-AU"/>
              </w:rPr>
              <w:t>1.90</w:t>
            </w:r>
          </w:p>
        </w:tc>
        <w:tc>
          <w:tcPr>
            <w:tcW w:w="1156" w:type="dxa"/>
            <w:tcBorders>
              <w:top w:val="nil"/>
              <w:left w:val="nil"/>
              <w:bottom w:val="single" w:sz="12" w:space="0" w:color="auto"/>
              <w:right w:val="nil"/>
            </w:tcBorders>
          </w:tcPr>
          <w:p w14:paraId="24D0E9A2" w14:textId="77777777" w:rsidR="00AB205D" w:rsidRPr="00795045" w:rsidRDefault="00AB205D">
            <w:pPr>
              <w:keepLines w:val="0"/>
              <w:autoSpaceDE w:val="0"/>
              <w:autoSpaceDN w:val="0"/>
              <w:adjustRightInd w:val="0"/>
              <w:spacing w:before="20"/>
              <w:jc w:val="right"/>
              <w:rPr>
                <w:rFonts w:ascii="Calibri" w:eastAsiaTheme="minorEastAsia" w:hAnsi="Calibri" w:cs="Calibri"/>
                <w:color w:val="000000"/>
                <w:sz w:val="17"/>
                <w:szCs w:val="17"/>
                <w:lang w:eastAsia="en-AU"/>
              </w:rPr>
            </w:pPr>
          </w:p>
        </w:tc>
        <w:tc>
          <w:tcPr>
            <w:tcW w:w="1155" w:type="dxa"/>
            <w:tcBorders>
              <w:top w:val="nil"/>
              <w:left w:val="nil"/>
              <w:bottom w:val="single" w:sz="12" w:space="0" w:color="auto"/>
              <w:right w:val="nil"/>
            </w:tcBorders>
          </w:tcPr>
          <w:p w14:paraId="7D9FBD38" w14:textId="77777777" w:rsidR="00AB205D" w:rsidRPr="00795045" w:rsidRDefault="00AB205D">
            <w:pPr>
              <w:keepLines w:val="0"/>
              <w:autoSpaceDE w:val="0"/>
              <w:autoSpaceDN w:val="0"/>
              <w:adjustRightInd w:val="0"/>
              <w:spacing w:before="20"/>
              <w:jc w:val="right"/>
              <w:rPr>
                <w:rFonts w:ascii="Calibri" w:eastAsiaTheme="minorEastAsia" w:hAnsi="Calibri" w:cs="Calibri"/>
                <w:color w:val="000000"/>
                <w:sz w:val="17"/>
                <w:szCs w:val="17"/>
                <w:lang w:eastAsia="en-AU"/>
              </w:rPr>
            </w:pPr>
          </w:p>
        </w:tc>
        <w:tc>
          <w:tcPr>
            <w:tcW w:w="1156" w:type="dxa"/>
            <w:tcBorders>
              <w:top w:val="nil"/>
              <w:left w:val="nil"/>
              <w:bottom w:val="single" w:sz="12" w:space="0" w:color="auto"/>
              <w:right w:val="nil"/>
            </w:tcBorders>
          </w:tcPr>
          <w:p w14:paraId="742B1795" w14:textId="77777777" w:rsidR="00AB205D" w:rsidRPr="00795045" w:rsidRDefault="00AB205D">
            <w:pPr>
              <w:keepLines w:val="0"/>
              <w:autoSpaceDE w:val="0"/>
              <w:autoSpaceDN w:val="0"/>
              <w:adjustRightInd w:val="0"/>
              <w:spacing w:before="20"/>
              <w:jc w:val="right"/>
              <w:rPr>
                <w:rFonts w:ascii="Calibri" w:eastAsiaTheme="minorEastAsia" w:hAnsi="Calibri" w:cs="Calibri"/>
                <w:color w:val="000000"/>
                <w:sz w:val="17"/>
                <w:szCs w:val="17"/>
                <w:lang w:eastAsia="en-AU"/>
              </w:rPr>
            </w:pPr>
          </w:p>
        </w:tc>
      </w:tr>
    </w:tbl>
    <w:p w14:paraId="64F4D917" w14:textId="77777777" w:rsidR="00AB205D" w:rsidRPr="00256977" w:rsidRDefault="00471A3B">
      <w:pPr>
        <w:pStyle w:val="Note"/>
        <w:keepNext/>
      </w:pPr>
      <w:r w:rsidRPr="00256977">
        <w:t>Sources: Australian Bureau of Statistics; Department of Treasury and Finance</w:t>
      </w:r>
    </w:p>
    <w:p w14:paraId="20392445" w14:textId="77777777" w:rsidR="00AB205D" w:rsidRPr="00256977" w:rsidRDefault="00471A3B">
      <w:pPr>
        <w:pStyle w:val="Note"/>
        <w:keepNext/>
      </w:pPr>
      <w:r w:rsidRPr="00256977">
        <w:t xml:space="preserve">Notes: </w:t>
      </w:r>
    </w:p>
    <w:p w14:paraId="4B312788" w14:textId="77777777" w:rsidR="00AB205D" w:rsidRPr="00256977" w:rsidRDefault="00471A3B">
      <w:pPr>
        <w:pStyle w:val="Note"/>
      </w:pPr>
      <w:r w:rsidRPr="00256977">
        <w:t>(a)</w:t>
      </w:r>
      <w:r w:rsidRPr="00256977">
        <w:tab/>
        <w:t xml:space="preserve">Percentage change in year average terms compared with the previous year, except for the unemployment rate (see note </w:t>
      </w:r>
      <w:r>
        <w:t>(b)</w:t>
      </w:r>
      <w:r w:rsidRPr="00256977">
        <w:t xml:space="preserve">) and population (see note </w:t>
      </w:r>
      <w:r>
        <w:t>(e)</w:t>
      </w:r>
      <w:r w:rsidRPr="00256977">
        <w:t xml:space="preserve">). Forecasts are rounded to the nearest 0.25 percentage points, except for population (see note </w:t>
      </w:r>
      <w:r>
        <w:t>(e)</w:t>
      </w:r>
      <w:r w:rsidRPr="00256977">
        <w:t>).</w:t>
      </w:r>
    </w:p>
    <w:p w14:paraId="37C67CA6" w14:textId="77777777" w:rsidR="00AB205D" w:rsidRPr="00256977" w:rsidRDefault="00471A3B">
      <w:pPr>
        <w:pStyle w:val="Note"/>
      </w:pPr>
      <w:r w:rsidRPr="00256977">
        <w:tab/>
        <w:t>The key assumptions underlying the economic forecasts include interest rates that broadly follow market economists</w:t>
      </w:r>
      <w:r>
        <w:t>’</w:t>
      </w:r>
      <w:r w:rsidRPr="00256977">
        <w:t xml:space="preserve"> expectations; an Australian dollar trade</w:t>
      </w:r>
      <w:r w:rsidRPr="00256977">
        <w:noBreakHyphen/>
        <w:t xml:space="preserve">weighted index of </w:t>
      </w:r>
      <w:r>
        <w:t>61.0</w:t>
      </w:r>
      <w:r w:rsidRPr="00256977">
        <w:t>; and oil prices that follow the path suggested by oil futures.</w:t>
      </w:r>
    </w:p>
    <w:p w14:paraId="54A8C9E4" w14:textId="77777777" w:rsidR="00AB205D" w:rsidRPr="00256977" w:rsidRDefault="00471A3B">
      <w:pPr>
        <w:pStyle w:val="Note"/>
      </w:pPr>
      <w:r w:rsidRPr="00256977">
        <w:t>(</w:t>
      </w:r>
      <w:r>
        <w:t>b</w:t>
      </w:r>
      <w:r w:rsidRPr="00256977">
        <w:t>)</w:t>
      </w:r>
      <w:r w:rsidRPr="00256977">
        <w:tab/>
        <w:t xml:space="preserve">Year average. </w:t>
      </w:r>
    </w:p>
    <w:p w14:paraId="6A5604A5" w14:textId="77777777" w:rsidR="00AB205D" w:rsidRPr="00256977" w:rsidRDefault="00471A3B">
      <w:pPr>
        <w:pStyle w:val="Note"/>
      </w:pPr>
      <w:r w:rsidRPr="00256977">
        <w:t>(</w:t>
      </w:r>
      <w:r>
        <w:t>c</w:t>
      </w:r>
      <w:r w:rsidRPr="00256977">
        <w:t>)</w:t>
      </w:r>
      <w:r w:rsidRPr="00256977">
        <w:tab/>
        <w:t>Melbourne consumer price index</w:t>
      </w:r>
      <w:r w:rsidRPr="00FA7C16">
        <w:t>.</w:t>
      </w:r>
    </w:p>
    <w:p w14:paraId="00FD1F76" w14:textId="77777777" w:rsidR="00AB205D" w:rsidRPr="00256977" w:rsidRDefault="00471A3B">
      <w:pPr>
        <w:pStyle w:val="Note"/>
      </w:pPr>
      <w:r w:rsidRPr="00256977">
        <w:t>(</w:t>
      </w:r>
      <w:r>
        <w:t>d</w:t>
      </w:r>
      <w:r w:rsidRPr="00256977">
        <w:t>)</w:t>
      </w:r>
      <w:r w:rsidRPr="00256977">
        <w:tab/>
        <w:t>Wage price index, Victoria (based on total hourly rates of pay, excluding bonuses).</w:t>
      </w:r>
    </w:p>
    <w:p w14:paraId="09ACAC77" w14:textId="77777777" w:rsidR="00AB205D" w:rsidRDefault="00471A3B">
      <w:pPr>
        <w:pStyle w:val="Note"/>
      </w:pPr>
      <w:r w:rsidRPr="00256977">
        <w:t>(</w:t>
      </w:r>
      <w:r>
        <w:t>e</w:t>
      </w:r>
      <w:r w:rsidRPr="00256977">
        <w:t>)</w:t>
      </w:r>
      <w:r w:rsidRPr="00256977">
        <w:tab/>
        <w:t>Percentage change over the year to 30 June. Forecasts are rounded to the nearest 0.1 percentage point.</w:t>
      </w:r>
    </w:p>
    <w:p w14:paraId="4061065B" w14:textId="77777777" w:rsidR="00AB205D" w:rsidRDefault="00471A3B">
      <w:pPr>
        <w:pStyle w:val="Note"/>
      </w:pPr>
      <w:r>
        <w:t>(f)</w:t>
      </w:r>
      <w:r>
        <w:tab/>
        <w:t xml:space="preserve">Estimate, actual not yet available. </w:t>
      </w:r>
    </w:p>
    <w:p w14:paraId="653DAE15" w14:textId="77777777" w:rsidR="00AB205D" w:rsidRPr="004A3666" w:rsidRDefault="00471A3B">
      <w:pPr>
        <w:pStyle w:val="Heading20"/>
        <w:pageBreakBefore/>
      </w:pPr>
      <w:r w:rsidRPr="004A3666">
        <w:lastRenderedPageBreak/>
        <w:t>Gross state product</w:t>
      </w:r>
    </w:p>
    <w:p w14:paraId="0A4C35B2" w14:textId="77777777" w:rsidR="00AB205D" w:rsidRDefault="00471A3B">
      <w:pPr>
        <w:ind w:right="-86"/>
      </w:pPr>
      <w:bookmarkStart w:id="6" w:name="_Hlk67051871"/>
      <w:bookmarkStart w:id="7" w:name="_Hlk56066914"/>
      <w:r w:rsidRPr="004A3666">
        <w:t xml:space="preserve">Victoria’s economy </w:t>
      </w:r>
      <w:r>
        <w:t>grew</w:t>
      </w:r>
      <w:r w:rsidRPr="004A3666">
        <w:t xml:space="preserve"> by</w:t>
      </w:r>
      <w:r>
        <w:t xml:space="preserve"> </w:t>
      </w:r>
      <w:r w:rsidRPr="00ED5E9D">
        <w:t>2.6</w:t>
      </w:r>
      <w:r>
        <w:t> </w:t>
      </w:r>
      <w:r w:rsidRPr="004A3666">
        <w:t>per</w:t>
      </w:r>
      <w:r>
        <w:t> </w:t>
      </w:r>
      <w:r w:rsidRPr="004A3666">
        <w:t>cent in 2022-23. This follow</w:t>
      </w:r>
      <w:r>
        <w:t>ed</w:t>
      </w:r>
      <w:r w:rsidRPr="004A3666">
        <w:t xml:space="preserve"> strong growth of </w:t>
      </w:r>
      <w:r>
        <w:t>6.3 per cent</w:t>
      </w:r>
      <w:r w:rsidRPr="004A3666">
        <w:t xml:space="preserve"> in 2021-22.</w:t>
      </w:r>
      <w:r>
        <w:t xml:space="preserve"> </w:t>
      </w:r>
      <w:r w:rsidRPr="004A3666">
        <w:t>Higher interest rates and cost</w:t>
      </w:r>
      <w:r>
        <w:noBreakHyphen/>
      </w:r>
      <w:r w:rsidRPr="004A3666">
        <w:t>of-living pressures are expected to</w:t>
      </w:r>
      <w:r>
        <w:t xml:space="preserve"> increasingly</w:t>
      </w:r>
      <w:r w:rsidRPr="004A3666">
        <w:t xml:space="preserve"> weigh on </w:t>
      </w:r>
      <w:r>
        <w:t>economic activity, with GSP g</w:t>
      </w:r>
      <w:r w:rsidRPr="004A3666">
        <w:t>rowth expected to moderate to 1.50</w:t>
      </w:r>
      <w:r>
        <w:t> </w:t>
      </w:r>
      <w:r w:rsidRPr="004A3666">
        <w:t>per</w:t>
      </w:r>
      <w:r>
        <w:t> </w:t>
      </w:r>
      <w:r w:rsidRPr="004A3666">
        <w:t>cent in 2023</w:t>
      </w:r>
      <w:r>
        <w:noBreakHyphen/>
      </w:r>
      <w:r w:rsidRPr="004A3666">
        <w:t>24</w:t>
      </w:r>
      <w:r>
        <w:t>.</w:t>
      </w:r>
      <w:bookmarkStart w:id="8" w:name="_Hlk146791620"/>
    </w:p>
    <w:p w14:paraId="28B4ADE1" w14:textId="796F7941" w:rsidR="00AB205D" w:rsidRDefault="00471A3B" w:rsidP="00FF0F66">
      <w:pPr>
        <w:ind w:right="198"/>
      </w:pPr>
      <w:bookmarkStart w:id="9" w:name="_Hlk149308561"/>
      <w:r w:rsidRPr="004A3666">
        <w:t>Household consumption grew strongly</w:t>
      </w:r>
      <w:r>
        <w:t xml:space="preserve"> in</w:t>
      </w:r>
      <w:r w:rsidRPr="004A3666">
        <w:t xml:space="preserve"> 2022-23</w:t>
      </w:r>
      <w:r>
        <w:t>,</w:t>
      </w:r>
      <w:r w:rsidRPr="004A3666">
        <w:t xml:space="preserve"> expanding by </w:t>
      </w:r>
      <w:r>
        <w:t>over 6 per cent compared with 2021-22, although spending growth slowed over the course of the year.</w:t>
      </w:r>
      <w:r w:rsidRPr="004A3666">
        <w:t xml:space="preserve"> </w:t>
      </w:r>
      <w:r>
        <w:t>Overall, c</w:t>
      </w:r>
      <w:r w:rsidRPr="004A3666">
        <w:t xml:space="preserve">onsumption has been </w:t>
      </w:r>
      <w:r>
        <w:t xml:space="preserve">reasonably </w:t>
      </w:r>
      <w:r w:rsidRPr="004A3666">
        <w:t xml:space="preserve">resilient to </w:t>
      </w:r>
      <w:r>
        <w:t xml:space="preserve">rising </w:t>
      </w:r>
      <w:r w:rsidRPr="004A3666">
        <w:t xml:space="preserve">cost-of-living pressures, </w:t>
      </w:r>
      <w:r>
        <w:t xml:space="preserve">with household incomes having been </w:t>
      </w:r>
      <w:r w:rsidRPr="004A3666">
        <w:t>supported by</w:t>
      </w:r>
      <w:r>
        <w:t xml:space="preserve"> high growth in employment</w:t>
      </w:r>
      <w:r w:rsidRPr="004A3666">
        <w:t xml:space="preserve">, </w:t>
      </w:r>
      <w:r>
        <w:t>a pick</w:t>
      </w:r>
      <w:r w:rsidR="00FF0F66">
        <w:noBreakHyphen/>
      </w:r>
      <w:r>
        <w:t xml:space="preserve">up in </w:t>
      </w:r>
      <w:r w:rsidRPr="004A3666">
        <w:t>wages growth</w:t>
      </w:r>
      <w:r>
        <w:t>,</w:t>
      </w:r>
      <w:r w:rsidRPr="004A3666">
        <w:t xml:space="preserve"> and high levels of household savings</w:t>
      </w:r>
      <w:r>
        <w:t xml:space="preserve"> that were accumulated during the COVID-19 pandemic</w:t>
      </w:r>
      <w:r w:rsidRPr="004A3666">
        <w:t>. However,</w:t>
      </w:r>
      <w:r>
        <w:t xml:space="preserve"> high inflation and rising interest rates have slowed spending </w:t>
      </w:r>
      <w:r w:rsidRPr="004A3666">
        <w:t xml:space="preserve">growth </w:t>
      </w:r>
      <w:r>
        <w:t>(see Chart 2.1)</w:t>
      </w:r>
      <w:r w:rsidRPr="004A3666">
        <w:t>.</w:t>
      </w:r>
      <w:r w:rsidRPr="005A1910">
        <w:t xml:space="preserve"> </w:t>
      </w:r>
      <w:r>
        <w:t xml:space="preserve">With cost-of-living pressures continuing to affect households, </w:t>
      </w:r>
      <w:r w:rsidRPr="005A1910">
        <w:t>growth in consumer spending is expected to slow in 2023</w:t>
      </w:r>
      <w:r>
        <w:noBreakHyphen/>
      </w:r>
      <w:r w:rsidRPr="005A1910">
        <w:t>24</w:t>
      </w:r>
      <w:r w:rsidRPr="004A3666">
        <w:t xml:space="preserve"> </w:t>
      </w:r>
      <w:r>
        <w:t>and make only a small positive contribution to GSP growth</w:t>
      </w:r>
      <w:r w:rsidRPr="004A3666">
        <w:t xml:space="preserve">. </w:t>
      </w:r>
      <w:r>
        <w:t xml:space="preserve">Household consumption is expected to pick up again in 2024-25, aided by lower inflation. </w:t>
      </w:r>
    </w:p>
    <w:p w14:paraId="367F5DC4" w14:textId="77777777" w:rsidR="00AB205D" w:rsidRPr="00CE4AEB" w:rsidRDefault="00471A3B">
      <w:pPr>
        <w:pStyle w:val="TableHeading"/>
      </w:pPr>
      <w:r w:rsidRPr="00CD2054">
        <w:t>Chart 2.</w:t>
      </w:r>
      <w:r>
        <w:t>1</w:t>
      </w:r>
      <w:r w:rsidRPr="00CE4AEB">
        <w:t>:</w:t>
      </w:r>
      <w:r w:rsidRPr="00CE4AEB">
        <w:tab/>
        <w:t xml:space="preserve">Victorian household </w:t>
      </w:r>
      <w:r w:rsidRPr="00CE4AEB" w:rsidDel="00EF2215">
        <w:t>consumption</w:t>
      </w:r>
    </w:p>
    <w:p w14:paraId="4F3CF78D" w14:textId="19EC402B" w:rsidR="00AB205D" w:rsidRDefault="00000000">
      <w:pPr>
        <w:ind w:right="-86"/>
        <w:rPr>
          <w:rFonts w:asciiTheme="majorHAnsi" w:hAnsiTheme="majorHAnsi"/>
          <w:b/>
          <w:sz w:val="20"/>
        </w:rPr>
      </w:pPr>
      <w:r>
        <w:rPr>
          <w:rFonts w:asciiTheme="majorHAnsi" w:hAnsiTheme="majorHAnsi"/>
          <w:b/>
          <w:sz w:val="20"/>
        </w:rPr>
        <w:pict w14:anchorId="180885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85pt;height:198.95pt">
            <v:imagedata r:id="rId20" o:title=""/>
          </v:shape>
        </w:pict>
      </w:r>
    </w:p>
    <w:p w14:paraId="70F1C3C5" w14:textId="77777777" w:rsidR="00AB205D" w:rsidRPr="00256977" w:rsidRDefault="00471A3B">
      <w:pPr>
        <w:pStyle w:val="Note"/>
        <w:keepNext/>
      </w:pPr>
      <w:r>
        <w:t>S</w:t>
      </w:r>
      <w:r w:rsidRPr="00256977">
        <w:t>ource: Australian Bureau of Statistics</w:t>
      </w:r>
    </w:p>
    <w:p w14:paraId="05F05DD2" w14:textId="77777777" w:rsidR="00AB205D" w:rsidRPr="00CD2054" w:rsidRDefault="00AB205D">
      <w:pPr>
        <w:ind w:right="-86"/>
        <w:rPr>
          <w:rFonts w:asciiTheme="majorHAnsi" w:hAnsiTheme="majorHAnsi"/>
          <w:b/>
          <w:sz w:val="20"/>
        </w:rPr>
      </w:pPr>
    </w:p>
    <w:bookmarkEnd w:id="8"/>
    <w:bookmarkEnd w:id="9"/>
    <w:p w14:paraId="714C0180" w14:textId="77777777" w:rsidR="00AB205D" w:rsidRDefault="00471A3B">
      <w:pPr>
        <w:ind w:right="-86"/>
      </w:pPr>
      <w:r w:rsidRPr="004A3666">
        <w:t>Dwelling investment</w:t>
      </w:r>
      <w:r>
        <w:t>, which was around its highest level on record in 2021</w:t>
      </w:r>
      <w:r>
        <w:noBreakHyphen/>
        <w:t>22,</w:t>
      </w:r>
      <w:r w:rsidRPr="004A3666">
        <w:t xml:space="preserve"> </w:t>
      </w:r>
      <w:r>
        <w:t>declined in</w:t>
      </w:r>
      <w:r w:rsidRPr="004A3666">
        <w:t xml:space="preserve"> 2022</w:t>
      </w:r>
      <w:r>
        <w:noBreakHyphen/>
      </w:r>
      <w:r w:rsidRPr="004A3666">
        <w:t xml:space="preserve">23, with the </w:t>
      </w:r>
      <w:r>
        <w:t xml:space="preserve">residential construction </w:t>
      </w:r>
      <w:r w:rsidRPr="004A3666">
        <w:t xml:space="preserve">sector </w:t>
      </w:r>
      <w:r>
        <w:t>affected</w:t>
      </w:r>
      <w:r w:rsidRPr="004A3666">
        <w:t xml:space="preserve"> by</w:t>
      </w:r>
      <w:r>
        <w:t xml:space="preserve"> </w:t>
      </w:r>
      <w:r w:rsidRPr="004A3666">
        <w:t>constraints</w:t>
      </w:r>
      <w:r>
        <w:t xml:space="preserve"> in labour and materials supply</w:t>
      </w:r>
      <w:r w:rsidRPr="004A3666">
        <w:t xml:space="preserve">. </w:t>
      </w:r>
      <w:r>
        <w:t>Although s</w:t>
      </w:r>
      <w:r w:rsidRPr="004A3666">
        <w:t>upply constraints on materials have</w:t>
      </w:r>
      <w:r>
        <w:t xml:space="preserve"> now</w:t>
      </w:r>
      <w:r w:rsidRPr="004A3666">
        <w:t xml:space="preserve"> largely eased</w:t>
      </w:r>
      <w:r>
        <w:t>,</w:t>
      </w:r>
      <w:r w:rsidRPr="004A3666">
        <w:t xml:space="preserve"> labour shortages </w:t>
      </w:r>
      <w:r>
        <w:t>for</w:t>
      </w:r>
      <w:r w:rsidRPr="004A3666">
        <w:t xml:space="preserve"> </w:t>
      </w:r>
      <w:r>
        <w:t xml:space="preserve">some building </w:t>
      </w:r>
      <w:r w:rsidRPr="004A3666">
        <w:t xml:space="preserve">trades </w:t>
      </w:r>
      <w:r>
        <w:t>continue to</w:t>
      </w:r>
      <w:r w:rsidRPr="004A3666">
        <w:t xml:space="preserve"> limit the amount of </w:t>
      </w:r>
      <w:r>
        <w:t xml:space="preserve">construction </w:t>
      </w:r>
      <w:r w:rsidRPr="004A3666">
        <w:t xml:space="preserve">work being completed. </w:t>
      </w:r>
    </w:p>
    <w:p w14:paraId="0BE27EE5" w14:textId="77777777" w:rsidR="00AB205D" w:rsidRDefault="00471A3B">
      <w:pPr>
        <w:ind w:right="-86"/>
      </w:pPr>
      <w:r>
        <w:lastRenderedPageBreak/>
        <w:t xml:space="preserve">The rise in interest rates has also put pressure on dwelling investment, with building approvals trending downward in 2022 and over much of 2023. Nevertheless, construction </w:t>
      </w:r>
      <w:r w:rsidRPr="004A3666">
        <w:t>activity</w:t>
      </w:r>
      <w:r>
        <w:t xml:space="preserve"> in the near term </w:t>
      </w:r>
      <w:r w:rsidRPr="004A3666">
        <w:t xml:space="preserve">will be supported by the large pipeline of </w:t>
      </w:r>
      <w:r>
        <w:t xml:space="preserve">residential building </w:t>
      </w:r>
      <w:r w:rsidRPr="004A3666">
        <w:t>work</w:t>
      </w:r>
      <w:r>
        <w:t xml:space="preserve"> still to be completed </w:t>
      </w:r>
      <w:r w:rsidRPr="003D2C16">
        <w:t>(see</w:t>
      </w:r>
      <w:r>
        <w:t> C</w:t>
      </w:r>
      <w:r w:rsidRPr="003D2C16">
        <w:t>hart 2.</w:t>
      </w:r>
      <w:r>
        <w:t>2</w:t>
      </w:r>
      <w:r w:rsidRPr="003D2C16">
        <w:t>).</w:t>
      </w:r>
      <w:r w:rsidRPr="004A3666">
        <w:t xml:space="preserve"> </w:t>
      </w:r>
      <w:r>
        <w:t>Overall, d</w:t>
      </w:r>
      <w:r w:rsidRPr="004A3666">
        <w:t xml:space="preserve">welling investment is </w:t>
      </w:r>
      <w:r>
        <w:t>forecast</w:t>
      </w:r>
      <w:r w:rsidRPr="004A3666">
        <w:t xml:space="preserve"> </w:t>
      </w:r>
      <w:r>
        <w:t xml:space="preserve">to decline modestly </w:t>
      </w:r>
      <w:r w:rsidRPr="004A3666">
        <w:t>in 2023</w:t>
      </w:r>
      <w:r>
        <w:noBreakHyphen/>
      </w:r>
      <w:r w:rsidRPr="004A3666">
        <w:t>24. Growth is expected to return in 2024-25 alongside easing capacity constraints and a pick</w:t>
      </w:r>
      <w:r>
        <w:noBreakHyphen/>
      </w:r>
      <w:r w:rsidRPr="004A3666">
        <w:t xml:space="preserve">up in demand for new housing. </w:t>
      </w:r>
    </w:p>
    <w:p w14:paraId="0B2AC02E" w14:textId="77777777" w:rsidR="00AB205D" w:rsidRDefault="00471A3B">
      <w:pPr>
        <w:ind w:right="-86"/>
        <w:rPr>
          <w:noProof/>
        </w:rPr>
      </w:pPr>
      <w:r w:rsidRPr="004A3666">
        <w:t>Business investment grew strongly in 2022</w:t>
      </w:r>
      <w:r w:rsidRPr="004A3666">
        <w:noBreakHyphen/>
        <w:t>23</w:t>
      </w:r>
      <w:r>
        <w:t xml:space="preserve">, with large increases in </w:t>
      </w:r>
      <w:r w:rsidRPr="004A3666">
        <w:t xml:space="preserve">engineering </w:t>
      </w:r>
      <w:r>
        <w:t xml:space="preserve">construction </w:t>
      </w:r>
      <w:r w:rsidRPr="004A3666">
        <w:t xml:space="preserve">and </w:t>
      </w:r>
      <w:r>
        <w:t xml:space="preserve">non-residential </w:t>
      </w:r>
      <w:r w:rsidRPr="004A3666">
        <w:t>building work</w:t>
      </w:r>
      <w:r>
        <w:t>.</w:t>
      </w:r>
      <w:r w:rsidRPr="004A3666">
        <w:t xml:space="preserve"> </w:t>
      </w:r>
      <w:r>
        <w:t xml:space="preserve">Investment in machinery and equipment also grew at a </w:t>
      </w:r>
      <w:r w:rsidRPr="003F2AC0">
        <w:t>high rate</w:t>
      </w:r>
      <w:r>
        <w:t>, supported by t</w:t>
      </w:r>
      <w:r w:rsidRPr="004A3666">
        <w:t xml:space="preserve">emporary Commonwealth tax incentives for </w:t>
      </w:r>
      <w:r>
        <w:t xml:space="preserve">the purchase of </w:t>
      </w:r>
      <w:r w:rsidRPr="004A3666">
        <w:t>new assets. Business investment is forecast to continue growing at a strong pace in 2023</w:t>
      </w:r>
      <w:r w:rsidRPr="004A3666">
        <w:noBreakHyphen/>
        <w:t xml:space="preserve">24. Investment intentions as reported by surveyed firms are elevated. </w:t>
      </w:r>
      <w:r>
        <w:t>Surveyed</w:t>
      </w:r>
      <w:r w:rsidRPr="004A3666">
        <w:t xml:space="preserve"> </w:t>
      </w:r>
      <w:r>
        <w:t>b</w:t>
      </w:r>
      <w:r w:rsidRPr="004A3666">
        <w:t>usiness conditions</w:t>
      </w:r>
      <w:r>
        <w:t xml:space="preserve"> have, on average, remained elevated in recent months</w:t>
      </w:r>
      <w:r w:rsidRPr="004A3666">
        <w:t xml:space="preserve"> a</w:t>
      </w:r>
      <w:r>
        <w:t>nd businesses’ utilisation</w:t>
      </w:r>
      <w:r w:rsidRPr="004A3666">
        <w:t xml:space="preserve"> of </w:t>
      </w:r>
      <w:r>
        <w:t xml:space="preserve">their available productive </w:t>
      </w:r>
      <w:r w:rsidRPr="004A3666">
        <w:t xml:space="preserve">capacity </w:t>
      </w:r>
      <w:r>
        <w:t>remains near a record high. The investment outlook is also supported by</w:t>
      </w:r>
      <w:r w:rsidRPr="004A3666">
        <w:t xml:space="preserve"> </w:t>
      </w:r>
      <w:r>
        <w:t xml:space="preserve">a </w:t>
      </w:r>
      <w:r w:rsidRPr="004A3666">
        <w:t>large pipeline of</w:t>
      </w:r>
      <w:r>
        <w:t xml:space="preserve"> both non-residential and engineering projects</w:t>
      </w:r>
      <w:r w:rsidRPr="004A3666">
        <w:t xml:space="preserve"> </w:t>
      </w:r>
      <w:r w:rsidRPr="003D2C16">
        <w:t xml:space="preserve">(see </w:t>
      </w:r>
      <w:r>
        <w:t>C</w:t>
      </w:r>
      <w:r w:rsidRPr="003D2C16">
        <w:t>hart 2.</w:t>
      </w:r>
      <w:r>
        <w:t>2</w:t>
      </w:r>
      <w:r w:rsidRPr="003D2C16">
        <w:t>).</w:t>
      </w:r>
      <w:r w:rsidRPr="004A3666">
        <w:rPr>
          <w:noProof/>
        </w:rPr>
        <w:t xml:space="preserve"> </w:t>
      </w:r>
    </w:p>
    <w:p w14:paraId="021B65E7" w14:textId="77777777" w:rsidR="00AB205D" w:rsidRDefault="00471A3B">
      <w:pPr>
        <w:pStyle w:val="TableHeading"/>
        <w:rPr>
          <w:b w:val="0"/>
        </w:rPr>
      </w:pPr>
      <w:r w:rsidRPr="00CF2A8D">
        <w:t>Chart 2.</w:t>
      </w:r>
      <w:r w:rsidRPr="00B7041A">
        <w:t>2</w:t>
      </w:r>
      <w:r w:rsidRPr="00CF2A8D">
        <w:rPr>
          <w:b w:val="0"/>
        </w:rPr>
        <w:t>:</w:t>
      </w:r>
      <w:r>
        <w:rPr>
          <w:b w:val="0"/>
        </w:rPr>
        <w:tab/>
      </w:r>
      <w:r w:rsidRPr="00E5605B">
        <w:t>Total Victorian construction pipeline</w:t>
      </w:r>
    </w:p>
    <w:p w14:paraId="70210371" w14:textId="2E7FCA0B" w:rsidR="00AB205D" w:rsidRDefault="00000000">
      <w:pPr>
        <w:pStyle w:val="Source"/>
      </w:pPr>
      <w:r>
        <w:pict w14:anchorId="6AB8B8FC">
          <v:shape id="_x0000_i1026" type="#_x0000_t75" style="width:395.2pt;height:205.35pt">
            <v:imagedata r:id="rId21" o:title=""/>
          </v:shape>
        </w:pict>
      </w:r>
    </w:p>
    <w:p w14:paraId="3D8DEC8E" w14:textId="77777777" w:rsidR="00AB205D" w:rsidRPr="00256977" w:rsidRDefault="00471A3B">
      <w:pPr>
        <w:pStyle w:val="Source"/>
      </w:pPr>
      <w:r w:rsidRPr="00256977">
        <w:t xml:space="preserve">Source: </w:t>
      </w:r>
      <w:r>
        <w:t>Australian Bureau of Statistics</w:t>
      </w:r>
    </w:p>
    <w:p w14:paraId="3791EA94" w14:textId="77777777" w:rsidR="00AB205D" w:rsidRPr="004A3666" w:rsidRDefault="00471A3B" w:rsidP="00CF3FDC">
      <w:pPr>
        <w:spacing w:before="240"/>
      </w:pPr>
      <w:r w:rsidRPr="004A3666">
        <w:t xml:space="preserve">Public demand </w:t>
      </w:r>
      <w:r>
        <w:t xml:space="preserve">made a </w:t>
      </w:r>
      <w:r w:rsidRPr="00794B59">
        <w:t>small positive contribution</w:t>
      </w:r>
      <w:r w:rsidRPr="004A3666">
        <w:t xml:space="preserve"> to Victoria’s GSP growth in 2022</w:t>
      </w:r>
      <w:r>
        <w:noBreakHyphen/>
      </w:r>
      <w:r w:rsidRPr="004A3666">
        <w:t>23. Growth was driven by increased public investment</w:t>
      </w:r>
      <w:r>
        <w:t>,</w:t>
      </w:r>
      <w:r w:rsidRPr="004A3666">
        <w:t xml:space="preserve"> which </w:t>
      </w:r>
      <w:r>
        <w:t>offset</w:t>
      </w:r>
      <w:r w:rsidRPr="004A3666">
        <w:t xml:space="preserve"> a small fall in </w:t>
      </w:r>
      <w:r>
        <w:t>g</w:t>
      </w:r>
      <w:r w:rsidRPr="004A3666">
        <w:t xml:space="preserve">overnment consumption </w:t>
      </w:r>
      <w:r w:rsidRPr="00B91DF0">
        <w:t>as spending on COVID-19</w:t>
      </w:r>
      <w:r>
        <w:t>-</w:t>
      </w:r>
      <w:r w:rsidRPr="00B91DF0">
        <w:t>related</w:t>
      </w:r>
      <w:r w:rsidRPr="00B91DF0" w:rsidDel="003E1BF7">
        <w:t xml:space="preserve"> </w:t>
      </w:r>
      <w:r w:rsidRPr="00B91DF0">
        <w:t>programs continued to unwind</w:t>
      </w:r>
      <w:r w:rsidRPr="004A3666">
        <w:t>.</w:t>
      </w:r>
      <w:r>
        <w:t xml:space="preserve"> Stronger growth in public demand is expected in 2023</w:t>
      </w:r>
      <w:r>
        <w:noBreakHyphen/>
        <w:t>24, in part supported by the Government’s o</w:t>
      </w:r>
      <w:r w:rsidRPr="004A3666">
        <w:t xml:space="preserve">ngoing </w:t>
      </w:r>
      <w:r>
        <w:t xml:space="preserve">investment in </w:t>
      </w:r>
      <w:r w:rsidRPr="004A3666">
        <w:t>transport and social infrastructure projects</w:t>
      </w:r>
      <w:r>
        <w:t>.</w:t>
      </w:r>
      <w:r w:rsidRPr="004A3666">
        <w:t xml:space="preserve"> </w:t>
      </w:r>
    </w:p>
    <w:p w14:paraId="73E113A4" w14:textId="77777777" w:rsidR="00AB205D" w:rsidRPr="004A3666" w:rsidRDefault="00471A3B" w:rsidP="00CF3FDC">
      <w:r>
        <w:t xml:space="preserve">Goods exports and imports both recorded solid growth in 2022-23. </w:t>
      </w:r>
      <w:r w:rsidRPr="004A3666">
        <w:t xml:space="preserve">Growth in goods imports was driven by </w:t>
      </w:r>
      <w:r>
        <w:t xml:space="preserve">a </w:t>
      </w:r>
      <w:r w:rsidRPr="004A3666">
        <w:t xml:space="preserve">surge </w:t>
      </w:r>
      <w:r>
        <w:t xml:space="preserve">in </w:t>
      </w:r>
      <w:r w:rsidRPr="004A3666">
        <w:t>motor vehicle</w:t>
      </w:r>
      <w:r>
        <w:t>s,</w:t>
      </w:r>
      <w:r w:rsidRPr="004A3666">
        <w:t xml:space="preserve"> following</w:t>
      </w:r>
      <w:r>
        <w:t xml:space="preserve"> an</w:t>
      </w:r>
      <w:r w:rsidRPr="004A3666">
        <w:t xml:space="preserve"> easing of </w:t>
      </w:r>
      <w:r>
        <w:t xml:space="preserve">global </w:t>
      </w:r>
      <w:r w:rsidRPr="004A3666">
        <w:t>supply chain</w:t>
      </w:r>
      <w:r>
        <w:t xml:space="preserve"> disruptions, while exports were supported by favourable agricultural growing conditions</w:t>
      </w:r>
      <w:r w:rsidRPr="004A3666">
        <w:t xml:space="preserve">. </w:t>
      </w:r>
      <w:r>
        <w:t>In 2023</w:t>
      </w:r>
      <w:r>
        <w:noBreakHyphen/>
        <w:t>24, growth in goods exports is expected to be subdued. A</w:t>
      </w:r>
      <w:r w:rsidRPr="004A3666">
        <w:t xml:space="preserve">gricultural exports are expected to ease due to poorer growing conditions. </w:t>
      </w:r>
      <w:r>
        <w:t>Meanwhile, g</w:t>
      </w:r>
      <w:r w:rsidRPr="004A3666">
        <w:t xml:space="preserve">oods imports </w:t>
      </w:r>
      <w:r>
        <w:t>are</w:t>
      </w:r>
      <w:r w:rsidRPr="004A3666">
        <w:t xml:space="preserve"> expected to </w:t>
      </w:r>
      <w:r>
        <w:t>fall</w:t>
      </w:r>
      <w:r w:rsidRPr="004A3666">
        <w:t xml:space="preserve"> </w:t>
      </w:r>
      <w:r>
        <w:t xml:space="preserve">in </w:t>
      </w:r>
      <w:r w:rsidRPr="004A3666">
        <w:t>2023</w:t>
      </w:r>
      <w:r>
        <w:noBreakHyphen/>
      </w:r>
      <w:r w:rsidRPr="004A3666">
        <w:t>24</w:t>
      </w:r>
      <w:r>
        <w:t>, alongside subdued consumer spending.</w:t>
      </w:r>
      <w:r w:rsidRPr="004A3666">
        <w:t xml:space="preserve"> </w:t>
      </w:r>
    </w:p>
    <w:p w14:paraId="1CBB7FA7" w14:textId="77777777" w:rsidR="00AB205D" w:rsidRDefault="00471A3B">
      <w:r>
        <w:lastRenderedPageBreak/>
        <w:t>G</w:t>
      </w:r>
      <w:r w:rsidRPr="004A3666">
        <w:t xml:space="preserve">rowth in services </w:t>
      </w:r>
      <w:r>
        <w:t>trade</w:t>
      </w:r>
      <w:r w:rsidRPr="004A3666">
        <w:t xml:space="preserve"> recovered strongly</w:t>
      </w:r>
      <w:r>
        <w:t xml:space="preserve"> in 2022-23</w:t>
      </w:r>
      <w:r w:rsidRPr="004A3666">
        <w:t xml:space="preserve">, with the </w:t>
      </w:r>
      <w:r>
        <w:t>re</w:t>
      </w:r>
      <w:r w:rsidRPr="004A3666">
        <w:t xml:space="preserve">opening of </w:t>
      </w:r>
      <w:r>
        <w:t xml:space="preserve">national </w:t>
      </w:r>
      <w:r w:rsidRPr="004A3666">
        <w:t xml:space="preserve">borders </w:t>
      </w:r>
      <w:r>
        <w:t xml:space="preserve">from late 2021 </w:t>
      </w:r>
      <w:r w:rsidRPr="004A3666">
        <w:t xml:space="preserve">allowing the </w:t>
      </w:r>
      <w:r>
        <w:t>return</w:t>
      </w:r>
      <w:r w:rsidRPr="004A3666">
        <w:t xml:space="preserve"> of </w:t>
      </w:r>
      <w:r>
        <w:t>international students and</w:t>
      </w:r>
      <w:r w:rsidRPr="004A3666">
        <w:t xml:space="preserve"> enabl</w:t>
      </w:r>
      <w:r>
        <w:t>ing</w:t>
      </w:r>
      <w:r w:rsidRPr="004A3666">
        <w:t xml:space="preserve"> more Victorians to </w:t>
      </w:r>
      <w:r>
        <w:t>travel</w:t>
      </w:r>
      <w:r w:rsidRPr="004A3666">
        <w:t xml:space="preserve"> overseas. </w:t>
      </w:r>
      <w:r>
        <w:t>I</w:t>
      </w:r>
      <w:r w:rsidRPr="004A3666">
        <w:t>n 2023</w:t>
      </w:r>
      <w:r>
        <w:noBreakHyphen/>
      </w:r>
      <w:r w:rsidRPr="004A3666">
        <w:t>24</w:t>
      </w:r>
      <w:r>
        <w:t>, s</w:t>
      </w:r>
      <w:r w:rsidRPr="004A3666">
        <w:t xml:space="preserve">ervices exports are forecast to </w:t>
      </w:r>
      <w:r>
        <w:t>increase</w:t>
      </w:r>
      <w:r w:rsidRPr="004A3666">
        <w:t xml:space="preserve"> </w:t>
      </w:r>
      <w:r>
        <w:t>further,</w:t>
      </w:r>
      <w:r w:rsidRPr="004A3666">
        <w:t xml:space="preserve"> with ongoing </w:t>
      </w:r>
      <w:r>
        <w:t>growth in</w:t>
      </w:r>
      <w:r w:rsidRPr="004A3666">
        <w:t xml:space="preserve"> education exports</w:t>
      </w:r>
      <w:r>
        <w:t xml:space="preserve"> expected</w:t>
      </w:r>
      <w:r w:rsidRPr="004A3666">
        <w:t xml:space="preserve">. </w:t>
      </w:r>
      <w:r>
        <w:t>Services imports are also forecast to grow in 2023</w:t>
      </w:r>
      <w:r>
        <w:noBreakHyphen/>
        <w:t xml:space="preserve">24. </w:t>
      </w:r>
    </w:p>
    <w:p w14:paraId="601CF3EC" w14:textId="77777777" w:rsidR="00AB205D" w:rsidRPr="004A3666" w:rsidRDefault="00471A3B">
      <w:r w:rsidRPr="004A3666">
        <w:t xml:space="preserve">In aggregate, net trade in goods </w:t>
      </w:r>
      <w:r>
        <w:t xml:space="preserve">and services </w:t>
      </w:r>
      <w:r w:rsidRPr="004A3666">
        <w:t xml:space="preserve">is forecast to make a </w:t>
      </w:r>
      <w:r w:rsidRPr="007E4642">
        <w:t>positive</w:t>
      </w:r>
      <w:r w:rsidRPr="004A3666">
        <w:t xml:space="preserve"> contribution to GSP in 2023</w:t>
      </w:r>
      <w:r>
        <w:noBreakHyphen/>
      </w:r>
      <w:r w:rsidRPr="004A3666">
        <w:t>24.</w:t>
      </w:r>
    </w:p>
    <w:bookmarkEnd w:id="6"/>
    <w:bookmarkEnd w:id="7"/>
    <w:p w14:paraId="51C67ECC" w14:textId="77777777" w:rsidR="00AB205D" w:rsidRPr="004A3666" w:rsidRDefault="00471A3B">
      <w:pPr>
        <w:pStyle w:val="Heading20"/>
      </w:pPr>
      <w:r w:rsidRPr="004A3666">
        <w:t>The labour market</w:t>
      </w:r>
    </w:p>
    <w:p w14:paraId="46FB3EB0" w14:textId="77777777" w:rsidR="00AB205D" w:rsidRPr="004A3666" w:rsidRDefault="00471A3B">
      <w:r>
        <w:t>The Victorian l</w:t>
      </w:r>
      <w:r w:rsidRPr="004A3666">
        <w:t xml:space="preserve">abour market </w:t>
      </w:r>
      <w:r>
        <w:t>is strong. I</w:t>
      </w:r>
      <w:r w:rsidRPr="004A3666">
        <w:t xml:space="preserve">n 2022-23, employment </w:t>
      </w:r>
      <w:r>
        <w:t xml:space="preserve">grew </w:t>
      </w:r>
      <w:r w:rsidRPr="004A3666">
        <w:t xml:space="preserve">by </w:t>
      </w:r>
      <w:r w:rsidRPr="003F2AC0">
        <w:t>4.0</w:t>
      </w:r>
      <w:r>
        <w:t> </w:t>
      </w:r>
      <w:r w:rsidRPr="004A3666">
        <w:t>per</w:t>
      </w:r>
      <w:r>
        <w:t> </w:t>
      </w:r>
      <w:r w:rsidRPr="004A3666">
        <w:t xml:space="preserve">cent, </w:t>
      </w:r>
      <w:r>
        <w:t>with 120 000 more Victorians employed over the year. T</w:t>
      </w:r>
      <w:r w:rsidRPr="004A3666">
        <w:t xml:space="preserve">he unemployment rate </w:t>
      </w:r>
      <w:r w:rsidRPr="00103D98">
        <w:t xml:space="preserve">fell to </w:t>
      </w:r>
      <w:r w:rsidRPr="003F2AC0">
        <w:t>3.7</w:t>
      </w:r>
      <w:r>
        <w:t> </w:t>
      </w:r>
      <w:r w:rsidRPr="00103D98">
        <w:t>per</w:t>
      </w:r>
      <w:r>
        <w:t> </w:t>
      </w:r>
      <w:r w:rsidRPr="004A3666">
        <w:t>cent</w:t>
      </w:r>
      <w:r>
        <w:t xml:space="preserve"> in 2022-23, and remains low. </w:t>
      </w:r>
      <w:r w:rsidDel="003171A9">
        <w:t>W</w:t>
      </w:r>
      <w:r>
        <w:t xml:space="preserve">orkforce </w:t>
      </w:r>
      <w:r w:rsidRPr="004A3666">
        <w:t>participation</w:t>
      </w:r>
      <w:r>
        <w:t>,</w:t>
      </w:r>
      <w:r w:rsidRPr="00EE03D3">
        <w:t xml:space="preserve"> </w:t>
      </w:r>
      <w:r>
        <w:t xml:space="preserve">and </w:t>
      </w:r>
      <w:r w:rsidRPr="004A3666">
        <w:t xml:space="preserve">the </w:t>
      </w:r>
      <w:r>
        <w:t xml:space="preserve">share of working-age Victorians in </w:t>
      </w:r>
      <w:r w:rsidRPr="004A3666">
        <w:t>employment</w:t>
      </w:r>
      <w:r>
        <w:t>,</w:t>
      </w:r>
      <w:r w:rsidRPr="004A3666">
        <w:t xml:space="preserve"> </w:t>
      </w:r>
      <w:r>
        <w:t xml:space="preserve">are both around </w:t>
      </w:r>
      <w:r w:rsidRPr="00F954F3">
        <w:t>record hi</w:t>
      </w:r>
      <w:r w:rsidRPr="00794B59">
        <w:t>gh</w:t>
      </w:r>
      <w:r w:rsidRPr="00882279">
        <w:t>s</w:t>
      </w:r>
      <w:r>
        <w:t xml:space="preserve"> (see Chart 2.3). </w:t>
      </w:r>
    </w:p>
    <w:p w14:paraId="2FA0B2F7" w14:textId="77777777" w:rsidR="00AB205D" w:rsidRPr="004A3666" w:rsidRDefault="00471A3B">
      <w:r>
        <w:t>In 2023</w:t>
      </w:r>
      <w:r>
        <w:noBreakHyphen/>
        <w:t>24, employment growth is expected to ease but remain high at 2.25 per cent. L</w:t>
      </w:r>
      <w:r w:rsidRPr="004A3666">
        <w:t>eading indicators of labour demand</w:t>
      </w:r>
      <w:r>
        <w:t>,</w:t>
      </w:r>
      <w:r w:rsidRPr="004A3666">
        <w:t xml:space="preserve"> such </w:t>
      </w:r>
      <w:r>
        <w:t>as</w:t>
      </w:r>
      <w:r w:rsidRPr="004A3666">
        <w:t xml:space="preserve"> job vacancies and job advertisements</w:t>
      </w:r>
      <w:r>
        <w:t>,</w:t>
      </w:r>
      <w:r w:rsidRPr="004A3666">
        <w:t xml:space="preserve"> have </w:t>
      </w:r>
      <w:r>
        <w:t>declined</w:t>
      </w:r>
      <w:r w:rsidRPr="004A3666">
        <w:t xml:space="preserve"> from record highs</w:t>
      </w:r>
      <w:r>
        <w:t>, but remain elevated</w:t>
      </w:r>
      <w:r w:rsidRPr="004A3666">
        <w:t xml:space="preserve">. </w:t>
      </w:r>
      <w:r>
        <w:t xml:space="preserve">Alongside this ongoing demand for workers, employment growth will continue to be supported by population growth, which is boosting growth in the supply of labour. </w:t>
      </w:r>
    </w:p>
    <w:p w14:paraId="42FE7D14" w14:textId="77777777" w:rsidR="00AB205D" w:rsidRDefault="00471A3B">
      <w:r w:rsidRPr="004A3666">
        <w:t>The unemployment rate is forecast to rise</w:t>
      </w:r>
      <w:r>
        <w:t xml:space="preserve"> modestly</w:t>
      </w:r>
      <w:r w:rsidRPr="004A3666">
        <w:t xml:space="preserve">, from </w:t>
      </w:r>
      <w:r w:rsidRPr="00BE6946">
        <w:t>3.7</w:t>
      </w:r>
      <w:r w:rsidRPr="004A3666">
        <w:t xml:space="preserve"> per cent </w:t>
      </w:r>
      <w:r>
        <w:t xml:space="preserve">in 2022-23 </w:t>
      </w:r>
      <w:r w:rsidRPr="004A3666">
        <w:t>to 4</w:t>
      </w:r>
      <w:r>
        <w:t>.00</w:t>
      </w:r>
      <w:r w:rsidRPr="004A3666">
        <w:t> per cent in 2023</w:t>
      </w:r>
      <w:r w:rsidRPr="004A3666">
        <w:noBreakHyphen/>
        <w:t>24</w:t>
      </w:r>
      <w:r>
        <w:t xml:space="preserve">, remaining </w:t>
      </w:r>
      <w:r w:rsidRPr="004A3666">
        <w:t xml:space="preserve">low by historical standards. </w:t>
      </w:r>
    </w:p>
    <w:p w14:paraId="38114FD1" w14:textId="77777777" w:rsidR="00AB205D" w:rsidRDefault="00471A3B">
      <w:pPr>
        <w:pStyle w:val="TableHeading"/>
      </w:pPr>
      <w:r>
        <w:t>C</w:t>
      </w:r>
      <w:r w:rsidRPr="00DA41A7">
        <w:t>hart 2.</w:t>
      </w:r>
      <w:r>
        <w:t>3</w:t>
      </w:r>
      <w:r w:rsidRPr="00DA41A7">
        <w:t>:</w:t>
      </w:r>
      <w:r w:rsidRPr="00DA41A7">
        <w:tab/>
        <w:t>Victorian employment-to-population ratio and participation rate</w:t>
      </w:r>
    </w:p>
    <w:p w14:paraId="0B2FDFD1" w14:textId="2F8D12AC" w:rsidR="00AB205D" w:rsidRPr="009B7CC4" w:rsidRDefault="00000000">
      <w:r>
        <w:pict w14:anchorId="4838366F">
          <v:shape id="_x0000_i1027" type="#_x0000_t75" style="width:385.05pt;height:232pt">
            <v:imagedata r:id="rId22" o:title="" croptop="24f"/>
          </v:shape>
        </w:pict>
      </w:r>
    </w:p>
    <w:p w14:paraId="46AA1510" w14:textId="77777777" w:rsidR="00AB205D" w:rsidRDefault="00471A3B">
      <w:pPr>
        <w:pStyle w:val="Source"/>
        <w:ind w:left="0" w:firstLine="0"/>
      </w:pPr>
      <w:r>
        <w:t>Source: Australian Bureau of Statistics</w:t>
      </w:r>
    </w:p>
    <w:p w14:paraId="05F6F33D" w14:textId="77777777" w:rsidR="00AB205D" w:rsidRPr="004A3666" w:rsidRDefault="00471A3B">
      <w:pPr>
        <w:pStyle w:val="Heading20"/>
      </w:pPr>
      <w:r w:rsidRPr="004A3666">
        <w:lastRenderedPageBreak/>
        <w:t>Prices and wages</w:t>
      </w:r>
    </w:p>
    <w:p w14:paraId="6DDE1844" w14:textId="77777777" w:rsidR="00AB205D" w:rsidRDefault="00471A3B">
      <w:bookmarkStart w:id="10" w:name="_Hlk88678339"/>
      <w:r w:rsidRPr="00287118">
        <w:t>High inflation remains a challenge for the Victorian economy, as it does nationally and globally. In year</w:t>
      </w:r>
      <w:r>
        <w:t>-</w:t>
      </w:r>
      <w:r w:rsidRPr="00287118">
        <w:t xml:space="preserve">average terms, headline Melbourne inflation </w:t>
      </w:r>
      <w:r>
        <w:t>was</w:t>
      </w:r>
      <w:r w:rsidRPr="00287118">
        <w:t xml:space="preserve"> </w:t>
      </w:r>
      <w:r w:rsidRPr="004A3666">
        <w:t>6.9</w:t>
      </w:r>
      <w:r>
        <w:t> </w:t>
      </w:r>
      <w:r w:rsidRPr="004A3666">
        <w:t>per</w:t>
      </w:r>
      <w:r>
        <w:t> </w:t>
      </w:r>
      <w:r w:rsidRPr="004A3666">
        <w:t xml:space="preserve">cent </w:t>
      </w:r>
      <w:r>
        <w:t>in</w:t>
      </w:r>
      <w:r w:rsidRPr="004A3666">
        <w:t xml:space="preserve"> 2022</w:t>
      </w:r>
      <w:r>
        <w:noBreakHyphen/>
      </w:r>
      <w:r w:rsidRPr="004A3666">
        <w:t xml:space="preserve">23. </w:t>
      </w:r>
      <w:r>
        <w:t>In y</w:t>
      </w:r>
      <w:r w:rsidRPr="004A3666">
        <w:t xml:space="preserve">ear-ended </w:t>
      </w:r>
      <w:r>
        <w:t xml:space="preserve">terms, </w:t>
      </w:r>
      <w:r w:rsidRPr="005D0DEE">
        <w:t xml:space="preserve">inflation </w:t>
      </w:r>
      <w:r>
        <w:t xml:space="preserve">reached a </w:t>
      </w:r>
      <w:r w:rsidRPr="005D0DEE">
        <w:t xml:space="preserve">peak </w:t>
      </w:r>
      <w:r>
        <w:t>of</w:t>
      </w:r>
      <w:r w:rsidRPr="005D0DEE">
        <w:t xml:space="preserve"> 8</w:t>
      </w:r>
      <w:r>
        <w:t>.0 </w:t>
      </w:r>
      <w:r w:rsidRPr="005D0DEE">
        <w:t>per</w:t>
      </w:r>
      <w:r>
        <w:t> </w:t>
      </w:r>
      <w:r w:rsidRPr="005D0DEE">
        <w:t xml:space="preserve">cent at the end of 2022, </w:t>
      </w:r>
      <w:r>
        <w:t>and by September 2023 had eased</w:t>
      </w:r>
      <w:r w:rsidRPr="003D2C16">
        <w:t xml:space="preserve"> to 4.9</w:t>
      </w:r>
      <w:r>
        <w:t> </w:t>
      </w:r>
      <w:r w:rsidRPr="003D2C16">
        <w:t>per</w:t>
      </w:r>
      <w:r>
        <w:t> </w:t>
      </w:r>
      <w:r w:rsidRPr="003D2C16">
        <w:t>cent</w:t>
      </w:r>
      <w:r w:rsidRPr="005D0DEE">
        <w:t xml:space="preserve">. </w:t>
      </w:r>
    </w:p>
    <w:p w14:paraId="7C55CFE0" w14:textId="77777777" w:rsidR="00AB205D" w:rsidRDefault="00471A3B">
      <w:r w:rsidRPr="004A3666">
        <w:t xml:space="preserve">While price growth has </w:t>
      </w:r>
      <w:r>
        <w:t>slowed</w:t>
      </w:r>
      <w:r w:rsidRPr="004A3666">
        <w:t>, i</w:t>
      </w:r>
      <w:r>
        <w:t>nflation</w:t>
      </w:r>
      <w:r w:rsidRPr="004A3666">
        <w:t xml:space="preserve"> remains high and broad</w:t>
      </w:r>
      <w:r>
        <w:t>-</w:t>
      </w:r>
      <w:r w:rsidRPr="004A3666">
        <w:t>based. The easing of global supply</w:t>
      </w:r>
      <w:r>
        <w:t>-</w:t>
      </w:r>
      <w:r w:rsidRPr="004A3666">
        <w:t xml:space="preserve">chain disruptions has contributed to more moderate price increases for some goods. However, services inflation remains high, including for those services most sensitive to domestic labour </w:t>
      </w:r>
      <w:r w:rsidRPr="005D0DEE">
        <w:t xml:space="preserve">costs. Rent prices have also increased significantly over the past year. </w:t>
      </w:r>
      <w:r>
        <w:t>Overall</w:t>
      </w:r>
      <w:r w:rsidRPr="005D0DEE">
        <w:t xml:space="preserve"> rent inflation reached </w:t>
      </w:r>
      <w:r w:rsidRPr="003D2C16">
        <w:t>5.8</w:t>
      </w:r>
      <w:r>
        <w:t> </w:t>
      </w:r>
      <w:r w:rsidRPr="003D2C16">
        <w:t>per</w:t>
      </w:r>
      <w:r>
        <w:t> </w:t>
      </w:r>
      <w:r w:rsidRPr="003D2C16">
        <w:t>cent in September 2023</w:t>
      </w:r>
      <w:r>
        <w:t xml:space="preserve"> – with advertised rents rising at </w:t>
      </w:r>
      <w:r w:rsidRPr="003F2AC0">
        <w:t>double-digit rates</w:t>
      </w:r>
      <w:r>
        <w:t xml:space="preserve"> – </w:t>
      </w:r>
      <w:r w:rsidRPr="005D0DEE">
        <w:t>due to strong demand for rental housing coinciding with limited growth in supply</w:t>
      </w:r>
      <w:r>
        <w:t xml:space="preserve">. </w:t>
      </w:r>
      <w:r w:rsidRPr="004A3666">
        <w:t>Domestic labour, transport and energy costs are now</w:t>
      </w:r>
      <w:r>
        <w:t xml:space="preserve"> also</w:t>
      </w:r>
      <w:r w:rsidRPr="004A3666">
        <w:t xml:space="preserve"> contributing to price growth.</w:t>
      </w:r>
      <w:r w:rsidRPr="00750D1C">
        <w:t xml:space="preserve"> </w:t>
      </w:r>
    </w:p>
    <w:p w14:paraId="0314C93A" w14:textId="77777777" w:rsidR="00AB205D" w:rsidRPr="004A3666" w:rsidRDefault="00471A3B">
      <w:r>
        <w:t>Increases in interest rates by the Reserve Bank of Australia (RBA) are expected to lead to a further easing in inflationary pressures. In 2023</w:t>
      </w:r>
      <w:r>
        <w:noBreakHyphen/>
        <w:t xml:space="preserve">24, inflation </w:t>
      </w:r>
      <w:r w:rsidRPr="005D0DEE">
        <w:t>is forecast to moderate to 4.25</w:t>
      </w:r>
      <w:r>
        <w:t> </w:t>
      </w:r>
      <w:r w:rsidRPr="005D0DEE">
        <w:t>per</w:t>
      </w:r>
      <w:r>
        <w:t> </w:t>
      </w:r>
      <w:r w:rsidRPr="005D0DEE">
        <w:t>cent in</w:t>
      </w:r>
      <w:r w:rsidRPr="004A3666">
        <w:t xml:space="preserve"> </w:t>
      </w:r>
      <w:r>
        <w:t>year-average terms, before easing further in the following years</w:t>
      </w:r>
      <w:r w:rsidRPr="004A3666">
        <w:t>.</w:t>
      </w:r>
    </w:p>
    <w:p w14:paraId="4F786B7E" w14:textId="77777777" w:rsidR="00AB205D" w:rsidRPr="009A1F35" w:rsidRDefault="00471A3B">
      <w:r>
        <w:t xml:space="preserve">Victorian wages grew by </w:t>
      </w:r>
      <w:r w:rsidDel="00E03F90">
        <w:t>3.</w:t>
      </w:r>
      <w:r>
        <w:t>4 per cent in 2022-23, the fastest rate of growth since 2012. Wage growth is expected to rise further, reaching 3.75 per cent in 2023</w:t>
      </w:r>
      <w:r>
        <w:noBreakHyphen/>
        <w:t>24. The tight labour market is supporting higher wages growth among private-sector workers</w:t>
      </w:r>
      <w:r w:rsidRPr="004A3666">
        <w:t xml:space="preserve">, </w:t>
      </w:r>
      <w:r>
        <w:t xml:space="preserve">especially those </w:t>
      </w:r>
      <w:r w:rsidRPr="004A3666">
        <w:t xml:space="preserve">on individual agreements. </w:t>
      </w:r>
      <w:r>
        <w:t xml:space="preserve">Rises in minimum and award wages are also contributing to overall wages growth. </w:t>
      </w:r>
      <w:r w:rsidRPr="004A3666">
        <w:t xml:space="preserve">In June </w:t>
      </w:r>
      <w:r>
        <w:t xml:space="preserve">2023, </w:t>
      </w:r>
      <w:r w:rsidRPr="004A3666">
        <w:t xml:space="preserve">the Fair Work Commission </w:t>
      </w:r>
      <w:r>
        <w:t>raised</w:t>
      </w:r>
      <w:r w:rsidRPr="004A3666">
        <w:t xml:space="preserve"> the national minimum wage and modern awards by a larger-than-normal 8.6</w:t>
      </w:r>
      <w:r>
        <w:t xml:space="preserve"> per cent </w:t>
      </w:r>
      <w:r w:rsidRPr="004A3666">
        <w:t>and 5.75</w:t>
      </w:r>
      <w:r>
        <w:t> </w:t>
      </w:r>
      <w:r w:rsidRPr="004A3666">
        <w:t>per</w:t>
      </w:r>
      <w:r>
        <w:t> </w:t>
      </w:r>
      <w:r w:rsidRPr="004A3666">
        <w:t>cent respective</w:t>
      </w:r>
      <w:r>
        <w:t>ly</w:t>
      </w:r>
      <w:r w:rsidRPr="004A3666">
        <w:t>.</w:t>
      </w:r>
      <w:bookmarkEnd w:id="10"/>
    </w:p>
    <w:p w14:paraId="59C0AE2B" w14:textId="77777777" w:rsidR="00AB205D" w:rsidRPr="004A3666" w:rsidRDefault="00471A3B">
      <w:pPr>
        <w:pStyle w:val="Heading20"/>
      </w:pPr>
      <w:r w:rsidRPr="004A3666">
        <w:t>Population</w:t>
      </w:r>
    </w:p>
    <w:p w14:paraId="4FE69FF5" w14:textId="77777777" w:rsidR="00AB205D" w:rsidRDefault="00471A3B">
      <w:r>
        <w:t>Victoria’s p</w:t>
      </w:r>
      <w:r w:rsidRPr="004A3666">
        <w:t xml:space="preserve">opulation growth has continued to rebound strongly </w:t>
      </w:r>
      <w:r>
        <w:t xml:space="preserve">following </w:t>
      </w:r>
      <w:r w:rsidRPr="004A3666">
        <w:t>the COVID</w:t>
      </w:r>
      <w:r>
        <w:noBreakHyphen/>
      </w:r>
      <w:r w:rsidRPr="004A3666">
        <w:t>19 pandemic</w:t>
      </w:r>
      <w:r>
        <w:t xml:space="preserve"> and ending of the associated national border</w:t>
      </w:r>
      <w:r w:rsidRPr="00A85528">
        <w:t xml:space="preserve"> </w:t>
      </w:r>
      <w:r>
        <w:t>restrictions</w:t>
      </w:r>
      <w:r w:rsidRPr="004A3666">
        <w:t>.</w:t>
      </w:r>
      <w:r>
        <w:t xml:space="preserve"> P</w:t>
      </w:r>
      <w:r w:rsidRPr="004A3666">
        <w:t xml:space="preserve">opulation </w:t>
      </w:r>
      <w:r>
        <w:t>growth reached a high</w:t>
      </w:r>
      <w:r w:rsidRPr="004A3666">
        <w:t xml:space="preserve"> 2.4</w:t>
      </w:r>
      <w:r>
        <w:t> </w:t>
      </w:r>
      <w:r w:rsidRPr="004A3666">
        <w:t>per</w:t>
      </w:r>
      <w:r>
        <w:t> </w:t>
      </w:r>
      <w:r w:rsidRPr="004A3666">
        <w:t xml:space="preserve">cent over the year to March </w:t>
      </w:r>
      <w:r>
        <w:t>2023</w:t>
      </w:r>
      <w:r w:rsidRPr="004A3666">
        <w:t xml:space="preserve">. </w:t>
      </w:r>
      <w:r>
        <w:t xml:space="preserve">This was </w:t>
      </w:r>
      <w:r w:rsidRPr="004A3666">
        <w:t xml:space="preserve">driven by net overseas migration, led by a strong rise in </w:t>
      </w:r>
      <w:r>
        <w:t xml:space="preserve">international </w:t>
      </w:r>
      <w:r w:rsidRPr="004A3666">
        <w:t>student</w:t>
      </w:r>
      <w:r>
        <w:t>s. Net overseas migration is</w:t>
      </w:r>
      <w:r w:rsidRPr="004A3666">
        <w:t xml:space="preserve"> significantly above pre-pandemic peaks</w:t>
      </w:r>
      <w:r>
        <w:t xml:space="preserve">. </w:t>
      </w:r>
    </w:p>
    <w:p w14:paraId="5D9348E7" w14:textId="77777777" w:rsidR="00AB205D" w:rsidRPr="004A3666" w:rsidRDefault="00471A3B">
      <w:r w:rsidRPr="004A3666">
        <w:t xml:space="preserve">Population growth is </w:t>
      </w:r>
      <w:r>
        <w:t>expected</w:t>
      </w:r>
      <w:r w:rsidRPr="004A3666">
        <w:t xml:space="preserve"> to remain strong in</w:t>
      </w:r>
      <w:r>
        <w:t xml:space="preserve"> 2023</w:t>
      </w:r>
      <w:r>
        <w:noBreakHyphen/>
        <w:t>24, rising</w:t>
      </w:r>
      <w:r w:rsidRPr="00DF2311">
        <w:t xml:space="preserve"> </w:t>
      </w:r>
      <w:r w:rsidRPr="004A3666">
        <w:t>by 2.</w:t>
      </w:r>
      <w:r>
        <w:t>2 per cent</w:t>
      </w:r>
      <w:r w:rsidRPr="004A3666">
        <w:t xml:space="preserve">. </w:t>
      </w:r>
      <w:r>
        <w:t xml:space="preserve">International students are expected to continue to drive much of this growth, with the </w:t>
      </w:r>
      <w:r w:rsidRPr="00CD2054">
        <w:t>lodgement of student visa applications</w:t>
      </w:r>
      <w:r>
        <w:t xml:space="preserve"> </w:t>
      </w:r>
      <w:r w:rsidRPr="004A3666">
        <w:t>reach</w:t>
      </w:r>
      <w:r>
        <w:t>ing</w:t>
      </w:r>
      <w:r w:rsidRPr="004A3666">
        <w:t xml:space="preserve"> a record </w:t>
      </w:r>
      <w:r>
        <w:t xml:space="preserve">level </w:t>
      </w:r>
      <w:r w:rsidRPr="004A3666">
        <w:t>in June 2023</w:t>
      </w:r>
      <w:r>
        <w:t xml:space="preserve">. </w:t>
      </w:r>
    </w:p>
    <w:p w14:paraId="7660AA05" w14:textId="77777777" w:rsidR="00AB205D" w:rsidRPr="004A3666" w:rsidRDefault="00471A3B">
      <w:pPr>
        <w:pStyle w:val="Heading10"/>
      </w:pPr>
      <w:bookmarkStart w:id="11" w:name="_Toc152933021"/>
      <w:bookmarkStart w:id="12" w:name="_Hlk149804356"/>
      <w:r w:rsidRPr="004A3666">
        <w:lastRenderedPageBreak/>
        <w:t>Australian economic conditions and outlook</w:t>
      </w:r>
      <w:bookmarkEnd w:id="11"/>
    </w:p>
    <w:p w14:paraId="7567756E" w14:textId="77777777" w:rsidR="00AB205D" w:rsidRPr="004A3666" w:rsidRDefault="00471A3B">
      <w:pPr>
        <w:keepNext/>
      </w:pPr>
      <w:bookmarkStart w:id="13" w:name="_Hlk146796820"/>
      <w:r w:rsidRPr="004A3666">
        <w:t xml:space="preserve">The </w:t>
      </w:r>
      <w:r>
        <w:t>Australian</w:t>
      </w:r>
      <w:r w:rsidRPr="004A3666">
        <w:t xml:space="preserve"> economy recorded growth in 2022-</w:t>
      </w:r>
      <w:r>
        <w:t xml:space="preserve">23 of </w:t>
      </w:r>
      <w:r w:rsidRPr="0020632F">
        <w:t>3.0</w:t>
      </w:r>
      <w:r>
        <w:t> </w:t>
      </w:r>
      <w:r w:rsidRPr="0020632F">
        <w:t>per</w:t>
      </w:r>
      <w:r>
        <w:t> </w:t>
      </w:r>
      <w:r w:rsidRPr="0020632F">
        <w:t>cent</w:t>
      </w:r>
      <w:r w:rsidRPr="004A3666">
        <w:t xml:space="preserve">. </w:t>
      </w:r>
      <w:r>
        <w:t>However, the rate of g</w:t>
      </w:r>
      <w:r w:rsidRPr="004A3666">
        <w:t xml:space="preserve">rowth </w:t>
      </w:r>
      <w:r>
        <w:t xml:space="preserve">slowed </w:t>
      </w:r>
      <w:r w:rsidRPr="004A3666">
        <w:t>over the second half of the year</w:t>
      </w:r>
      <w:r>
        <w:t>,</w:t>
      </w:r>
      <w:r w:rsidRPr="004A3666">
        <w:t xml:space="preserve"> </w:t>
      </w:r>
      <w:r>
        <w:t>as rising</w:t>
      </w:r>
      <w:r w:rsidRPr="003D3557">
        <w:t xml:space="preserve"> interest rates and </w:t>
      </w:r>
      <w:r>
        <w:t xml:space="preserve">ongoing </w:t>
      </w:r>
      <w:r w:rsidRPr="003D3557">
        <w:t>cost</w:t>
      </w:r>
      <w:r>
        <w:noBreakHyphen/>
      </w:r>
      <w:r w:rsidRPr="003D3557">
        <w:t>of</w:t>
      </w:r>
      <w:r>
        <w:noBreakHyphen/>
      </w:r>
      <w:r w:rsidRPr="003D3557">
        <w:t>living pressures</w:t>
      </w:r>
      <w:r>
        <w:t xml:space="preserve"> weighed on demand</w:t>
      </w:r>
      <w:r w:rsidRPr="004A3666">
        <w:t>. Despite this</w:t>
      </w:r>
      <w:r>
        <w:t>,</w:t>
      </w:r>
      <w:r w:rsidRPr="004A3666">
        <w:t xml:space="preserve"> employment growth has been strong and</w:t>
      </w:r>
      <w:r>
        <w:t xml:space="preserve"> the</w:t>
      </w:r>
      <w:r w:rsidRPr="004A3666">
        <w:t xml:space="preserve"> </w:t>
      </w:r>
      <w:r>
        <w:t xml:space="preserve">national </w:t>
      </w:r>
      <w:r w:rsidRPr="004A3666">
        <w:t>unemployment rate remains low</w:t>
      </w:r>
      <w:r>
        <w:t>, currently</w:t>
      </w:r>
      <w:r w:rsidRPr="004A3666">
        <w:t xml:space="preserve"> at 3.</w:t>
      </w:r>
      <w:r>
        <w:t>7 </w:t>
      </w:r>
      <w:r w:rsidRPr="004A3666">
        <w:t>per</w:t>
      </w:r>
      <w:r>
        <w:t> </w:t>
      </w:r>
      <w:r w:rsidRPr="004A3666">
        <w:t>cent.</w:t>
      </w:r>
    </w:p>
    <w:bookmarkEnd w:id="13"/>
    <w:p w14:paraId="1D10E14B" w14:textId="77777777" w:rsidR="00AB205D" w:rsidRPr="004A3666" w:rsidRDefault="00471A3B">
      <w:r>
        <w:t xml:space="preserve">In its November 2023 </w:t>
      </w:r>
      <w:r w:rsidRPr="00961A41">
        <w:rPr>
          <w:i/>
          <w:iCs/>
        </w:rPr>
        <w:t>Statement on Monetary Policy</w:t>
      </w:r>
      <w:r w:rsidRPr="004A3666">
        <w:t xml:space="preserve">, </w:t>
      </w:r>
      <w:r>
        <w:t xml:space="preserve">the RBA forecast </w:t>
      </w:r>
      <w:r w:rsidRPr="004A3666">
        <w:t xml:space="preserve">growth in </w:t>
      </w:r>
      <w:r>
        <w:t>gross domestic product (</w:t>
      </w:r>
      <w:r w:rsidRPr="004A3666">
        <w:t>GDP</w:t>
      </w:r>
      <w:r>
        <w:t>)</w:t>
      </w:r>
      <w:r w:rsidRPr="004A3666">
        <w:t xml:space="preserve"> </w:t>
      </w:r>
      <w:r>
        <w:t xml:space="preserve">to slow markedly to 1.75 per cent in </w:t>
      </w:r>
      <w:r w:rsidRPr="004A3666">
        <w:t>2023</w:t>
      </w:r>
      <w:r>
        <w:noBreakHyphen/>
      </w:r>
      <w:r w:rsidRPr="004A3666">
        <w:t>24</w:t>
      </w:r>
      <w:r>
        <w:t>, although this is an upgrade from its May forecast of 1.25 per cent. This s</w:t>
      </w:r>
      <w:r w:rsidRPr="004A3666">
        <w:t xml:space="preserve">ubdued growth </w:t>
      </w:r>
      <w:r>
        <w:t xml:space="preserve">outlook </w:t>
      </w:r>
      <w:r w:rsidRPr="00F30139">
        <w:t xml:space="preserve">reflects a </w:t>
      </w:r>
      <w:r>
        <w:t>restrained</w:t>
      </w:r>
      <w:r w:rsidRPr="00F30139">
        <w:t xml:space="preserve"> outlook for household consumption, while ongoing capacity constraints and lower demand </w:t>
      </w:r>
      <w:r>
        <w:t>are forecast to continue to limit</w:t>
      </w:r>
      <w:r w:rsidRPr="00F30139">
        <w:t xml:space="preserve"> </w:t>
      </w:r>
      <w:r>
        <w:t>national</w:t>
      </w:r>
      <w:r w:rsidRPr="00F30139">
        <w:t xml:space="preserve"> dwelling investment. </w:t>
      </w:r>
      <w:r>
        <w:t>However, the RBA expects non-mining business investment and public investment to support growth, along with the continued recovery of tourists and international students.</w:t>
      </w:r>
      <w:r w:rsidRPr="00D672A2">
        <w:rPr>
          <w:i/>
          <w:highlight w:val="yellow"/>
        </w:rPr>
        <w:t xml:space="preserve"> </w:t>
      </w:r>
    </w:p>
    <w:p w14:paraId="2B9FB61E" w14:textId="77777777" w:rsidR="00AB205D" w:rsidRDefault="00471A3B">
      <w:r w:rsidRPr="004A3666">
        <w:t xml:space="preserve">Employment growth is </w:t>
      </w:r>
      <w:r>
        <w:t>forecast</w:t>
      </w:r>
      <w:r w:rsidRPr="004A3666">
        <w:t xml:space="preserve"> to </w:t>
      </w:r>
      <w:r>
        <w:t>ease</w:t>
      </w:r>
      <w:r w:rsidRPr="004A3666">
        <w:t xml:space="preserve"> alongside </w:t>
      </w:r>
      <w:r>
        <w:t xml:space="preserve">this </w:t>
      </w:r>
      <w:r w:rsidRPr="004A3666">
        <w:t>subdued economic growth</w:t>
      </w:r>
      <w:r>
        <w:t>, and the unemployment rate is expected to rise modestly</w:t>
      </w:r>
      <w:r w:rsidRPr="004A3666">
        <w:t xml:space="preserve">. </w:t>
      </w:r>
      <w:r>
        <w:t xml:space="preserve">The </w:t>
      </w:r>
      <w:r w:rsidRPr="00033621">
        <w:t>RBA</w:t>
      </w:r>
      <w:r>
        <w:t xml:space="preserve"> forecasts the </w:t>
      </w:r>
      <w:r w:rsidRPr="004A3666">
        <w:t xml:space="preserve">unemployment rate </w:t>
      </w:r>
      <w:r>
        <w:t>will</w:t>
      </w:r>
      <w:r w:rsidRPr="004A3666">
        <w:t xml:space="preserve"> rise to </w:t>
      </w:r>
      <w:r w:rsidRPr="003F2AC0">
        <w:t>4.0</w:t>
      </w:r>
      <w:r>
        <w:t> </w:t>
      </w:r>
      <w:r w:rsidRPr="004A3666">
        <w:t>per</w:t>
      </w:r>
      <w:r>
        <w:t> </w:t>
      </w:r>
      <w:r w:rsidRPr="004A3666">
        <w:t xml:space="preserve">cent </w:t>
      </w:r>
      <w:r>
        <w:t>by</w:t>
      </w:r>
      <w:r w:rsidRPr="004A3666">
        <w:t xml:space="preserve"> the June quarter 2024</w:t>
      </w:r>
      <w:r>
        <w:t xml:space="preserve">, although this would </w:t>
      </w:r>
      <w:r w:rsidRPr="004A3666">
        <w:t xml:space="preserve">remain below pre-pandemic levels. National wage growth is expected to </w:t>
      </w:r>
      <w:r>
        <w:t>rise, with</w:t>
      </w:r>
      <w:r w:rsidRPr="004A3666">
        <w:t xml:space="preserve"> </w:t>
      </w:r>
      <w:r>
        <w:t>increases</w:t>
      </w:r>
      <w:r w:rsidRPr="004A3666">
        <w:t xml:space="preserve"> </w:t>
      </w:r>
      <w:r>
        <w:t>to</w:t>
      </w:r>
      <w:r w:rsidRPr="004A3666">
        <w:t xml:space="preserve"> the modern awards and minimum wage </w:t>
      </w:r>
      <w:r>
        <w:t xml:space="preserve">rate </w:t>
      </w:r>
      <w:r w:rsidRPr="004A3666">
        <w:t xml:space="preserve">by the Fair Work Commission </w:t>
      </w:r>
      <w:r>
        <w:t>contributing</w:t>
      </w:r>
      <w:r w:rsidRPr="004A3666">
        <w:t>. In</w:t>
      </w:r>
      <w:r>
        <w:t> </w:t>
      </w:r>
      <w:r w:rsidRPr="004A3666">
        <w:t>year</w:t>
      </w:r>
      <w:r>
        <w:t>-</w:t>
      </w:r>
      <w:r w:rsidRPr="004A3666">
        <w:t xml:space="preserve">ended terms, the </w:t>
      </w:r>
      <w:r w:rsidRPr="00033621">
        <w:t>RBA</w:t>
      </w:r>
      <w:r w:rsidRPr="004A3666">
        <w:t xml:space="preserve"> expect</w:t>
      </w:r>
      <w:r>
        <w:t>s</w:t>
      </w:r>
      <w:r w:rsidRPr="004A3666">
        <w:t xml:space="preserve"> wage growth to increase from 3.</w:t>
      </w:r>
      <w:r>
        <w:t>6 </w:t>
      </w:r>
      <w:r w:rsidRPr="004A3666">
        <w:t>per</w:t>
      </w:r>
      <w:r>
        <w:t> </w:t>
      </w:r>
      <w:r w:rsidRPr="004A3666">
        <w:t>cent in June</w:t>
      </w:r>
      <w:r>
        <w:t> </w:t>
      </w:r>
      <w:r w:rsidRPr="004A3666">
        <w:t xml:space="preserve">2023 </w:t>
      </w:r>
      <w:r w:rsidRPr="00A051BD">
        <w:t xml:space="preserve">to </w:t>
      </w:r>
      <w:r w:rsidRPr="003F2AC0">
        <w:t>4.0</w:t>
      </w:r>
      <w:r>
        <w:t> </w:t>
      </w:r>
      <w:r w:rsidRPr="004A3666">
        <w:t>per</w:t>
      </w:r>
      <w:r>
        <w:t> </w:t>
      </w:r>
      <w:r w:rsidRPr="004A3666">
        <w:t>cent in June 2024</w:t>
      </w:r>
      <w:r>
        <w:t>.</w:t>
      </w:r>
    </w:p>
    <w:p w14:paraId="291A5565" w14:textId="77777777" w:rsidR="00AB205D" w:rsidRDefault="00471A3B">
      <w:r>
        <w:t>I</w:t>
      </w:r>
      <w:r w:rsidRPr="004A3666">
        <w:t xml:space="preserve">nflation </w:t>
      </w:r>
      <w:r>
        <w:t xml:space="preserve">in Australia </w:t>
      </w:r>
      <w:r w:rsidRPr="004A3666">
        <w:t>peaked in December 2022 at 7.8</w:t>
      </w:r>
      <w:r>
        <w:t> </w:t>
      </w:r>
      <w:r w:rsidRPr="004A3666">
        <w:t>per</w:t>
      </w:r>
      <w:r>
        <w:t> </w:t>
      </w:r>
      <w:r w:rsidRPr="004A3666">
        <w:t xml:space="preserve">cent. </w:t>
      </w:r>
      <w:r>
        <w:t xml:space="preserve">It </w:t>
      </w:r>
      <w:r w:rsidRPr="004A3666">
        <w:t xml:space="preserve">has since moderated to </w:t>
      </w:r>
      <w:r>
        <w:t>5.4 </w:t>
      </w:r>
      <w:r w:rsidRPr="004A3666">
        <w:t>per</w:t>
      </w:r>
      <w:r>
        <w:t> </w:t>
      </w:r>
      <w:r w:rsidRPr="004A3666">
        <w:t xml:space="preserve">cent in </w:t>
      </w:r>
      <w:r>
        <w:t>September</w:t>
      </w:r>
      <w:r w:rsidRPr="004A3666">
        <w:t xml:space="preserve"> 2023, </w:t>
      </w:r>
      <w:r>
        <w:t xml:space="preserve">although this is </w:t>
      </w:r>
      <w:r w:rsidRPr="004A3666">
        <w:t>still well above the RBA’s target band of 2</w:t>
      </w:r>
      <w:r>
        <w:t> </w:t>
      </w:r>
      <w:r>
        <w:rPr>
          <w:rFonts w:cstheme="minorHAnsi"/>
        </w:rPr>
        <w:t>to </w:t>
      </w:r>
      <w:r w:rsidRPr="004A3666">
        <w:t>3</w:t>
      </w:r>
      <w:r>
        <w:t> </w:t>
      </w:r>
      <w:r w:rsidRPr="004A3666">
        <w:t>per</w:t>
      </w:r>
      <w:r>
        <w:t> </w:t>
      </w:r>
      <w:r w:rsidRPr="004A3666">
        <w:t>cent.</w:t>
      </w:r>
      <w:r>
        <w:t xml:space="preserve"> The </w:t>
      </w:r>
      <w:r w:rsidRPr="00033621">
        <w:t>RBA</w:t>
      </w:r>
      <w:r>
        <w:t xml:space="preserve"> expects inflation to decline to </w:t>
      </w:r>
      <w:r w:rsidRPr="003F2AC0">
        <w:t>4.0</w:t>
      </w:r>
      <w:r>
        <w:t> per cent in year-ended terms by June 2024. Energy prices and labour costs are expected to contribute to price growth in the period ahead, although this is expected to be tempered by further easing of goods inflation.</w:t>
      </w:r>
    </w:p>
    <w:p w14:paraId="724ADBE1" w14:textId="77777777" w:rsidR="00AB205D" w:rsidRDefault="00471A3B">
      <w:pPr>
        <w:pStyle w:val="Heading10"/>
      </w:pPr>
      <w:bookmarkStart w:id="14" w:name="_Toc152933022"/>
      <w:r w:rsidRPr="004A3666">
        <w:t>International economic conditions and outlook</w:t>
      </w:r>
      <w:bookmarkEnd w:id="14"/>
    </w:p>
    <w:p w14:paraId="3CE23EEC" w14:textId="77777777" w:rsidR="00AB205D" w:rsidRPr="004A3666" w:rsidRDefault="00471A3B">
      <w:r w:rsidRPr="004A3666">
        <w:t xml:space="preserve">The global </w:t>
      </w:r>
      <w:r>
        <w:t xml:space="preserve">economy continues to </w:t>
      </w:r>
      <w:r w:rsidRPr="004A3666">
        <w:t>recover from the</w:t>
      </w:r>
      <w:r>
        <w:t xml:space="preserve"> effects of the</w:t>
      </w:r>
      <w:r w:rsidRPr="004A3666">
        <w:t xml:space="preserve"> COVID-19 pandemic and Russia’s invasion of Ukraine</w:t>
      </w:r>
      <w:r>
        <w:t>. However, growth remains relatively</w:t>
      </w:r>
      <w:r w:rsidRPr="004A3666">
        <w:t xml:space="preserve"> slow</w:t>
      </w:r>
      <w:r>
        <w:t xml:space="preserve"> and there are growing divergences among major economies</w:t>
      </w:r>
      <w:r w:rsidRPr="004A3666">
        <w:t>. The International Monetary Fund (IMF) forecast</w:t>
      </w:r>
      <w:r>
        <w:t>s</w:t>
      </w:r>
      <w:r w:rsidRPr="004A3666">
        <w:t xml:space="preserve"> the global economy </w:t>
      </w:r>
      <w:r>
        <w:t>will</w:t>
      </w:r>
      <w:r w:rsidRPr="004A3666">
        <w:t xml:space="preserve"> expand by </w:t>
      </w:r>
      <w:r>
        <w:t>2.9 </w:t>
      </w:r>
      <w:r w:rsidRPr="004A3666">
        <w:t>per</w:t>
      </w:r>
      <w:r>
        <w:t> </w:t>
      </w:r>
      <w:r w:rsidRPr="004A3666">
        <w:t>cent in 202</w:t>
      </w:r>
      <w:r>
        <w:t>4,</w:t>
      </w:r>
      <w:r w:rsidRPr="004A3666">
        <w:t xml:space="preserve"> </w:t>
      </w:r>
      <w:r>
        <w:t>slightly below its estimate for</w:t>
      </w:r>
      <w:r w:rsidRPr="004A3666">
        <w:t xml:space="preserve"> </w:t>
      </w:r>
      <w:r>
        <w:t xml:space="preserve">2023 </w:t>
      </w:r>
      <w:r w:rsidRPr="004A3666">
        <w:t>of 3.</w:t>
      </w:r>
      <w:r>
        <w:t>0 </w:t>
      </w:r>
      <w:r w:rsidRPr="004A3666">
        <w:t>per</w:t>
      </w:r>
      <w:r>
        <w:t> </w:t>
      </w:r>
      <w:r w:rsidRPr="004A3666">
        <w:t>cent.</w:t>
      </w:r>
      <w:r>
        <w:t xml:space="preserve"> Overall, these forecasts are little changed </w:t>
      </w:r>
      <w:r w:rsidRPr="004A3666">
        <w:t xml:space="preserve">since the </w:t>
      </w:r>
      <w:r w:rsidRPr="004A3666">
        <w:rPr>
          <w:i/>
          <w:iCs/>
        </w:rPr>
        <w:t>2023</w:t>
      </w:r>
      <w:r>
        <w:rPr>
          <w:i/>
          <w:iCs/>
        </w:rPr>
        <w:noBreakHyphen/>
      </w:r>
      <w:r w:rsidRPr="004A3666">
        <w:rPr>
          <w:i/>
          <w:iCs/>
        </w:rPr>
        <w:t>24 Budget,</w:t>
      </w:r>
      <w:r w:rsidRPr="004A3666">
        <w:t xml:space="preserve"> a</w:t>
      </w:r>
      <w:r>
        <w:t>lthough</w:t>
      </w:r>
      <w:r w:rsidRPr="004A3666">
        <w:t xml:space="preserve"> </w:t>
      </w:r>
      <w:r>
        <w:t>global</w:t>
      </w:r>
      <w:r w:rsidRPr="004A3666">
        <w:t xml:space="preserve"> growth </w:t>
      </w:r>
      <w:r>
        <w:t xml:space="preserve">of around 3 per cent </w:t>
      </w:r>
      <w:r w:rsidRPr="004A3666">
        <w:t xml:space="preserve">is low by historical standards. Policy tightening by </w:t>
      </w:r>
      <w:r>
        <w:t xml:space="preserve">major </w:t>
      </w:r>
      <w:r w:rsidRPr="004A3666">
        <w:t>central banks</w:t>
      </w:r>
      <w:r>
        <w:t>, to contain high inflation,</w:t>
      </w:r>
      <w:r w:rsidRPr="004A3666">
        <w:t xml:space="preserve"> </w:t>
      </w:r>
      <w:r>
        <w:t>is a key reason for the relatively subdued growth outlook.</w:t>
      </w:r>
      <w:r w:rsidRPr="004A3666">
        <w:t xml:space="preserve"> </w:t>
      </w:r>
    </w:p>
    <w:p w14:paraId="4E94CB0F" w14:textId="77777777" w:rsidR="00AB205D" w:rsidRPr="004A3666" w:rsidRDefault="00471A3B">
      <w:r>
        <w:t>At the country level, forecasts for growth in China have been downgraded in both 2023 and 2024, as China continues to encounter challenges in its property sector, including falling dwelling investment, falling prices and declining confidence. The IMF suggests that problems in China’s residential construction sector remain a major risk for the global outlook. By contrast, growth forecasts for the United States have been revised higher for both 2023 and 2024, reflecting resilient consumer spending and a tight labour market.</w:t>
      </w:r>
    </w:p>
    <w:p w14:paraId="3D3EEACC" w14:textId="77777777" w:rsidR="00AB205D" w:rsidRDefault="00471A3B">
      <w:r w:rsidRPr="004A3666">
        <w:lastRenderedPageBreak/>
        <w:t xml:space="preserve">Inflation remains high </w:t>
      </w:r>
      <w:r>
        <w:t>globally</w:t>
      </w:r>
      <w:r w:rsidRPr="004A3666">
        <w:t xml:space="preserve"> but is easing</w:t>
      </w:r>
      <w:r>
        <w:t xml:space="preserve">, with inflation in 2023 forecast to be 6.9 per cent, down from a peak of </w:t>
      </w:r>
      <w:r w:rsidRPr="00DF6EF9">
        <w:t>8.7</w:t>
      </w:r>
      <w:r>
        <w:t> per cent in 20</w:t>
      </w:r>
      <w:r w:rsidRPr="006700D7">
        <w:t>22</w:t>
      </w:r>
      <w:r w:rsidRPr="004A3666">
        <w:t xml:space="preserve">. </w:t>
      </w:r>
      <w:r>
        <w:t>A f</w:t>
      </w:r>
      <w:r w:rsidRPr="004A3666">
        <w:t>all in food and energy prices from their 2022 peaks</w:t>
      </w:r>
      <w:r>
        <w:t>,</w:t>
      </w:r>
      <w:r w:rsidRPr="004A3666">
        <w:t xml:space="preserve"> along with</w:t>
      </w:r>
      <w:r>
        <w:t xml:space="preserve"> a recovery in global</w:t>
      </w:r>
      <w:r w:rsidRPr="004A3666">
        <w:t xml:space="preserve"> supply chains</w:t>
      </w:r>
      <w:r>
        <w:t xml:space="preserve">, </w:t>
      </w:r>
      <w:r w:rsidRPr="004A3666">
        <w:t>ha</w:t>
      </w:r>
      <w:r>
        <w:t>s</w:t>
      </w:r>
      <w:r w:rsidRPr="004A3666">
        <w:t xml:space="preserve"> contributed to a decline in headline inflation in most countries. </w:t>
      </w:r>
      <w:r>
        <w:t xml:space="preserve">Nevertheless, the IMF has upgraded its forecast for global inflation in 2024 to 5.8 per cent, up from 4.9 per cent in its April forecasts. This upgrade largely reflects </w:t>
      </w:r>
      <w:r w:rsidRPr="004A3666">
        <w:t xml:space="preserve">tight labour markets </w:t>
      </w:r>
      <w:r>
        <w:t xml:space="preserve">which have resulted in </w:t>
      </w:r>
      <w:r w:rsidRPr="004A3666">
        <w:t>strong wage</w:t>
      </w:r>
      <w:r>
        <w:t>s</w:t>
      </w:r>
      <w:r w:rsidRPr="004A3666">
        <w:t xml:space="preserve"> growth</w:t>
      </w:r>
      <w:r>
        <w:t xml:space="preserve"> and higher services inflation</w:t>
      </w:r>
      <w:r w:rsidRPr="004A3666">
        <w:t xml:space="preserve">. </w:t>
      </w:r>
    </w:p>
    <w:p w14:paraId="31C2609D" w14:textId="77777777" w:rsidR="00AB205D" w:rsidRPr="004A3666" w:rsidRDefault="00471A3B">
      <w:pPr>
        <w:pStyle w:val="Heading10"/>
      </w:pPr>
      <w:bookmarkStart w:id="15" w:name="_Toc152933023"/>
      <w:r w:rsidRPr="004A3666">
        <w:t>Risks to the Victorian outlook</w:t>
      </w:r>
      <w:bookmarkEnd w:id="15"/>
    </w:p>
    <w:p w14:paraId="09012BF9" w14:textId="77777777" w:rsidR="00AB205D" w:rsidRDefault="00471A3B">
      <w:pPr>
        <w:keepNext/>
      </w:pPr>
      <w:r w:rsidRPr="004A3666">
        <w:t xml:space="preserve">The risks to Victoria’s economic outlook </w:t>
      </w:r>
      <w:r>
        <w:t xml:space="preserve">are </w:t>
      </w:r>
      <w:r w:rsidRPr="004A3666">
        <w:t xml:space="preserve">greater than normal. In terms of upside risks, </w:t>
      </w:r>
      <w:r>
        <w:t xml:space="preserve">there could be further </w:t>
      </w:r>
      <w:r w:rsidRPr="004A3666">
        <w:t>strength in population growth</w:t>
      </w:r>
      <w:r>
        <w:t xml:space="preserve"> in the near term</w:t>
      </w:r>
      <w:r w:rsidRPr="004A3666">
        <w:t>, driven by a larger than anticipated increase in net overseas migration</w:t>
      </w:r>
      <w:r>
        <w:t>. This</w:t>
      </w:r>
      <w:r w:rsidRPr="004A3666">
        <w:t xml:space="preserve"> would support economic </w:t>
      </w:r>
      <w:r>
        <w:t xml:space="preserve">activity and employment </w:t>
      </w:r>
      <w:r w:rsidRPr="004A3666">
        <w:t>growth.</w:t>
      </w:r>
      <w:r>
        <w:t xml:space="preserve"> </w:t>
      </w:r>
    </w:p>
    <w:p w14:paraId="0D00A722" w14:textId="77777777" w:rsidR="00AB205D" w:rsidRDefault="00471A3B">
      <w:r>
        <w:t>The outlook for consumer spending remains a significant source of uncertainty. S</w:t>
      </w:r>
      <w:r w:rsidRPr="004A3666">
        <w:t xml:space="preserve">pending </w:t>
      </w:r>
      <w:r>
        <w:t>has been fairly resilient to date, despite higher interest rates. Consumer spending could</w:t>
      </w:r>
      <w:r w:rsidRPr="004A3666">
        <w:t xml:space="preserve"> be </w:t>
      </w:r>
      <w:r>
        <w:t xml:space="preserve">stronger than expected over the coming year, </w:t>
      </w:r>
      <w:r w:rsidRPr="004A3666">
        <w:t xml:space="preserve">supported by rising </w:t>
      </w:r>
      <w:r>
        <w:t>dwelling</w:t>
      </w:r>
      <w:r w:rsidRPr="004A3666">
        <w:t xml:space="preserve"> prices, </w:t>
      </w:r>
      <w:r>
        <w:t xml:space="preserve">a strong </w:t>
      </w:r>
      <w:r w:rsidRPr="004A3666">
        <w:t xml:space="preserve">labour market and </w:t>
      </w:r>
      <w:r>
        <w:t>still-</w:t>
      </w:r>
      <w:r w:rsidRPr="004A3666">
        <w:t xml:space="preserve">elevated </w:t>
      </w:r>
      <w:r>
        <w:t xml:space="preserve">levels of household </w:t>
      </w:r>
      <w:r w:rsidRPr="004A3666">
        <w:t>savings</w:t>
      </w:r>
      <w:r>
        <w:t>.</w:t>
      </w:r>
      <w:r w:rsidRPr="004A3666">
        <w:t xml:space="preserve"> </w:t>
      </w:r>
      <w:r>
        <w:t xml:space="preserve">On the downside, rises in interest rates, combined with ongoing high growth in consumer prices, could weigh on consumers more than expected, partly as these rises are </w:t>
      </w:r>
      <w:r w:rsidRPr="004A3666">
        <w:t>yet to fully flow th</w:t>
      </w:r>
      <w:r>
        <w:t>r</w:t>
      </w:r>
      <w:r w:rsidRPr="004A3666">
        <w:t xml:space="preserve">ough </w:t>
      </w:r>
      <w:r>
        <w:t>to mortgage repayments. There are many</w:t>
      </w:r>
      <w:r w:rsidRPr="004A3666">
        <w:t xml:space="preserve"> borrowers with low fixed-rate mortgages still to roll over onto much higher variable rates </w:t>
      </w:r>
      <w:r>
        <w:t>over coming months</w:t>
      </w:r>
      <w:r w:rsidRPr="004A3666">
        <w:t>. This could reduce spending among these cohorts</w:t>
      </w:r>
      <w:r>
        <w:t xml:space="preserve">, and </w:t>
      </w:r>
      <w:r w:rsidRPr="004A3666">
        <w:t xml:space="preserve">an </w:t>
      </w:r>
      <w:r>
        <w:t xml:space="preserve">increased number of </w:t>
      </w:r>
      <w:r w:rsidRPr="004A3666">
        <w:t>household</w:t>
      </w:r>
      <w:r>
        <w:t xml:space="preserve">s may experience financial stress. More generally, as the economy slows and uncertainty about the economy and labour market increases, households may increase their precautionary savings and reduce their spending by more than expected. Appendix D </w:t>
      </w:r>
      <w:r>
        <w:rPr>
          <w:i/>
          <w:iCs/>
        </w:rPr>
        <w:t xml:space="preserve">Sensitivity analysis </w:t>
      </w:r>
      <w:r>
        <w:t>quantifies the economic and fiscal impacts of a downturn in the Victorian and Australian economies, driven by a greater than expected slowdown in consumer spending and weaker investment.</w:t>
      </w:r>
    </w:p>
    <w:p w14:paraId="6D187540" w14:textId="77777777" w:rsidR="00AB205D" w:rsidRDefault="00471A3B">
      <w:r>
        <w:t>A further downside risk relates to the outlook for inflation. If inflation remains higher for longer than currently anticipated, this could lead to</w:t>
      </w:r>
      <w:r w:rsidRPr="00D90C4D">
        <w:t xml:space="preserve"> workers and businesses </w:t>
      </w:r>
      <w:r w:rsidRPr="00C8655E">
        <w:t>build</w:t>
      </w:r>
      <w:r>
        <w:t>ing</w:t>
      </w:r>
      <w:r w:rsidRPr="00C8655E">
        <w:t xml:space="preserve"> </w:t>
      </w:r>
      <w:r>
        <w:t xml:space="preserve">higher inflation </w:t>
      </w:r>
      <w:r w:rsidRPr="00C8655E">
        <w:t>expectations into wage</w:t>
      </w:r>
      <w:r>
        <w:t>-</w:t>
      </w:r>
      <w:r w:rsidRPr="00C8655E">
        <w:t>bargaining and price-setting decisions</w:t>
      </w:r>
      <w:r>
        <w:t xml:space="preserve">. Such a scenario could lead the RBA to raise interest rates further or keep interest rates elevated for longer than expected. This would weigh on economic activity and employment growth. </w:t>
      </w:r>
    </w:p>
    <w:p w14:paraId="5E571767" w14:textId="77777777" w:rsidR="00AB205D" w:rsidRDefault="00471A3B">
      <w:pPr>
        <w:rPr>
          <w:rFonts w:ascii="Garamond" w:hAnsi="Garamond"/>
        </w:rPr>
      </w:pPr>
      <w:r>
        <w:t>Meanwhile, risks to the global economic outlook also appear tilted to the downside. In China, weaker than expected consumer spending and investment would weigh on the global economy and would likely lead to a decline in demand for Victorian exports</w:t>
      </w:r>
      <w:r w:rsidRPr="009A6B1D">
        <w:t xml:space="preserve">. The ongoing conflict </w:t>
      </w:r>
      <w:r>
        <w:t xml:space="preserve">between </w:t>
      </w:r>
      <w:r w:rsidRPr="009A6B1D">
        <w:t>Russia</w:t>
      </w:r>
      <w:r>
        <w:t xml:space="preserve"> and</w:t>
      </w:r>
      <w:r w:rsidRPr="009A6B1D">
        <w:t xml:space="preserve"> Ukraine</w:t>
      </w:r>
      <w:r>
        <w:t>, and the conflict in the Middle East,</w:t>
      </w:r>
      <w:r w:rsidRPr="009A6B1D">
        <w:t xml:space="preserve"> ha</w:t>
      </w:r>
      <w:r>
        <w:t>ve</w:t>
      </w:r>
      <w:r w:rsidRPr="009A6B1D">
        <w:t xml:space="preserve"> the potential </w:t>
      </w:r>
      <w:r>
        <w:t>to</w:t>
      </w:r>
      <w:r w:rsidRPr="009A6B1D">
        <w:t xml:space="preserve"> further </w:t>
      </w:r>
      <w:r>
        <w:t xml:space="preserve">destabilise global </w:t>
      </w:r>
      <w:r w:rsidRPr="009A6B1D">
        <w:t>energy price</w:t>
      </w:r>
      <w:r>
        <w:t>s.</w:t>
      </w:r>
      <w:bookmarkEnd w:id="12"/>
    </w:p>
    <w:p w14:paraId="5C1F2F42" w14:textId="5994E5C3" w:rsidR="005F294E" w:rsidRDefault="005F294E">
      <w:pPr>
        <w:keepLines w:val="0"/>
      </w:pPr>
    </w:p>
    <w:p w14:paraId="3F1DB21F" w14:textId="77777777" w:rsidR="00F21FD1" w:rsidRDefault="00F21FD1" w:rsidP="00E43802"/>
    <w:p w14:paraId="555CB4B8" w14:textId="608DE882" w:rsidR="005F294E" w:rsidRDefault="005F294E" w:rsidP="00E43802">
      <w:pPr>
        <w:sectPr w:rsidR="005F294E" w:rsidSect="00570639">
          <w:headerReference w:type="even" r:id="rId23"/>
          <w:headerReference w:type="default" r:id="rId24"/>
          <w:footerReference w:type="even" r:id="rId25"/>
          <w:footerReference w:type="default" r:id="rId26"/>
          <w:headerReference w:type="first" r:id="rId27"/>
          <w:footerReference w:type="first" r:id="rId28"/>
          <w:pgSz w:w="9979" w:h="14175" w:code="34"/>
          <w:pgMar w:top="1134" w:right="1134" w:bottom="1134" w:left="1134" w:header="624" w:footer="567" w:gutter="0"/>
          <w:cols w:space="708"/>
          <w:docGrid w:linePitch="360"/>
        </w:sectPr>
      </w:pPr>
    </w:p>
    <w:p w14:paraId="4F20E463" w14:textId="77777777" w:rsidR="00AB205D" w:rsidRDefault="00471A3B">
      <w:pPr>
        <w:pStyle w:val="ChapterHeading"/>
      </w:pPr>
      <w:bookmarkStart w:id="16" w:name="_Toc472072539"/>
      <w:bookmarkStart w:id="17" w:name="_Toc152933024"/>
      <w:r>
        <w:lastRenderedPageBreak/>
        <w:t>Chapter 3 – Budget position and outlook</w:t>
      </w:r>
      <w:bookmarkEnd w:id="16"/>
      <w:bookmarkEnd w:id="17"/>
    </w:p>
    <w:p w14:paraId="3BE68D95" w14:textId="77777777" w:rsidR="00AB205D" w:rsidRDefault="00471A3B" w:rsidP="00570639">
      <w:pPr>
        <w:pStyle w:val="ShadedBoxBullet"/>
        <w:numPr>
          <w:ilvl w:val="0"/>
          <w:numId w:val="10"/>
        </w:numPr>
        <w:pBdr>
          <w:top w:val="single" w:sz="6" w:space="1" w:color="auto"/>
          <w:bottom w:val="single" w:sz="6" w:space="1" w:color="auto"/>
        </w:pBdr>
      </w:pPr>
      <w:r>
        <w:t xml:space="preserve">The </w:t>
      </w:r>
      <w:r w:rsidRPr="00C3313F">
        <w:rPr>
          <w:i/>
          <w:iCs/>
        </w:rPr>
        <w:t>2023</w:t>
      </w:r>
      <w:r>
        <w:rPr>
          <w:i/>
          <w:iCs/>
        </w:rPr>
        <w:noBreakHyphen/>
      </w:r>
      <w:r w:rsidRPr="00C3313F">
        <w:rPr>
          <w:i/>
          <w:iCs/>
        </w:rPr>
        <w:t>24 Budget Update</w:t>
      </w:r>
      <w:r>
        <w:t xml:space="preserve"> outlines the changes in the Government’s fiscal position by the end of the forward estimates compared with the </w:t>
      </w:r>
      <w:r w:rsidRPr="00C3313F">
        <w:rPr>
          <w:i/>
          <w:iCs/>
        </w:rPr>
        <w:t>2023</w:t>
      </w:r>
      <w:r>
        <w:rPr>
          <w:i/>
          <w:iCs/>
        </w:rPr>
        <w:noBreakHyphen/>
      </w:r>
      <w:r w:rsidRPr="00C3313F">
        <w:rPr>
          <w:i/>
          <w:iCs/>
        </w:rPr>
        <w:t>24 Budget</w:t>
      </w:r>
      <w:r>
        <w:t>.</w:t>
      </w:r>
    </w:p>
    <w:p w14:paraId="16D26699" w14:textId="77777777" w:rsidR="00AB205D" w:rsidRDefault="00471A3B" w:rsidP="00570639">
      <w:pPr>
        <w:pStyle w:val="ShadedBoxBullet"/>
        <w:numPr>
          <w:ilvl w:val="0"/>
          <w:numId w:val="10"/>
        </w:numPr>
        <w:pBdr>
          <w:top w:val="single" w:sz="6" w:space="1" w:color="auto"/>
          <w:bottom w:val="single" w:sz="6" w:space="1" w:color="auto"/>
        </w:pBdr>
      </w:pPr>
      <w:r w:rsidRPr="00B65E87">
        <w:t xml:space="preserve">The Government continues to deliver on </w:t>
      </w:r>
      <w:r>
        <w:t>its</w:t>
      </w:r>
      <w:r w:rsidRPr="00B65E87">
        <w:t xml:space="preserve"> four-step fiscal strategy to restore the </w:t>
      </w:r>
      <w:r>
        <w:t>s</w:t>
      </w:r>
      <w:r w:rsidRPr="00B65E87">
        <w:t>tate’s finances following the COVID-19 pandemic</w:t>
      </w:r>
      <w:r>
        <w:t>,</w:t>
      </w:r>
      <w:r w:rsidRPr="00B65E87">
        <w:t xml:space="preserve"> with employment well above its pre-pandemic levels</w:t>
      </w:r>
      <w:r>
        <w:t xml:space="preserve"> and</w:t>
      </w:r>
      <w:r w:rsidRPr="00B65E87" w:rsidDel="00143994">
        <w:t xml:space="preserve"> </w:t>
      </w:r>
      <w:r w:rsidRPr="00B65E87">
        <w:t>workforce participation rate</w:t>
      </w:r>
      <w:r>
        <w:t>s</w:t>
      </w:r>
      <w:r w:rsidRPr="00B65E87">
        <w:t xml:space="preserve"> at a near record high</w:t>
      </w:r>
      <w:r>
        <w:t>.</w:t>
      </w:r>
    </w:p>
    <w:p w14:paraId="20B6AA6A" w14:textId="77777777" w:rsidR="00AB205D" w:rsidRDefault="00471A3B" w:rsidP="00570639">
      <w:pPr>
        <w:pStyle w:val="ShadedBoxBullet"/>
        <w:numPr>
          <w:ilvl w:val="0"/>
          <w:numId w:val="10"/>
        </w:numPr>
        <w:pBdr>
          <w:top w:val="single" w:sz="6" w:space="1" w:color="auto"/>
          <w:bottom w:val="single" w:sz="6" w:space="1" w:color="auto"/>
        </w:pBdr>
      </w:pPr>
      <w:r>
        <w:t>The net cash flow from operating activities for the general government sector is forecast to be in surplus by $0.3 billion in 2023</w:t>
      </w:r>
      <w:r>
        <w:noBreakHyphen/>
        <w:t>24, increasing to $5.9 billion in 2026</w:t>
      </w:r>
      <w:r>
        <w:noBreakHyphen/>
        <w:t>27, demonstrating the Government’s commitment to strong financial management.</w:t>
      </w:r>
    </w:p>
    <w:p w14:paraId="1AB46C24" w14:textId="77777777" w:rsidR="00AB205D" w:rsidRDefault="00471A3B" w:rsidP="00570639">
      <w:pPr>
        <w:pStyle w:val="ShadedBoxBullet"/>
        <w:numPr>
          <w:ilvl w:val="0"/>
          <w:numId w:val="10"/>
        </w:numPr>
        <w:pBdr>
          <w:top w:val="single" w:sz="6" w:space="1" w:color="auto"/>
          <w:bottom w:val="single" w:sz="6" w:space="1" w:color="auto"/>
        </w:pBdr>
      </w:pPr>
      <w:r>
        <w:t>The net result from transactions for the general government sector is forecast to be in deficit by $3.5 billion in 2023</w:t>
      </w:r>
      <w:r>
        <w:noBreakHyphen/>
        <w:t>24, before improving to an estimated surplus of $1.1 billion in 2025-26. The operating surplus is then forecast to increase to $1.2 billion in 2026-27.</w:t>
      </w:r>
    </w:p>
    <w:p w14:paraId="16A56D6F" w14:textId="1228F294" w:rsidR="00AB205D" w:rsidRDefault="00471A3B" w:rsidP="00570639">
      <w:pPr>
        <w:pStyle w:val="ShadedBoxBullet"/>
        <w:numPr>
          <w:ilvl w:val="0"/>
          <w:numId w:val="10"/>
        </w:numPr>
        <w:pBdr>
          <w:top w:val="single" w:sz="6" w:space="1" w:color="auto"/>
          <w:bottom w:val="single" w:sz="6" w:space="1" w:color="auto"/>
        </w:pBdr>
      </w:pPr>
      <w:r>
        <w:t xml:space="preserve">Government infrastructure investment (GII) is expected to average $21.3 billion a year over the budget and forward estimates. This is an increase compared with an average of $19.6 billion in the </w:t>
      </w:r>
      <w:r w:rsidRPr="00BA6A5C">
        <w:rPr>
          <w:i/>
          <w:iCs/>
        </w:rPr>
        <w:t>2023-24 Budget</w:t>
      </w:r>
      <w:r>
        <w:t xml:space="preserve"> and</w:t>
      </w:r>
      <w:r w:rsidRPr="004337DD">
        <w:t xml:space="preserve"> reflects an update in estimated investment </w:t>
      </w:r>
      <w:r>
        <w:t>largely due to</w:t>
      </w:r>
      <w:r w:rsidRPr="004337DD">
        <w:t xml:space="preserve"> </w:t>
      </w:r>
      <w:r>
        <w:t>additional funding for</w:t>
      </w:r>
      <w:r w:rsidRPr="004337DD">
        <w:t xml:space="preserve"> the North East Link</w:t>
      </w:r>
      <w:r w:rsidR="006B1CAA">
        <w:t xml:space="preserve"> program and associated</w:t>
      </w:r>
      <w:r>
        <w:t xml:space="preserve"> </w:t>
      </w:r>
      <w:r w:rsidRPr="000F4FE7">
        <w:t>Eastern Freeway Upgrade and M80 Ring Road Upgrade</w:t>
      </w:r>
      <w:r w:rsidRPr="004337DD">
        <w:t xml:space="preserve"> projects</w:t>
      </w:r>
      <w:r>
        <w:t>.</w:t>
      </w:r>
    </w:p>
    <w:p w14:paraId="6363F252" w14:textId="77777777" w:rsidR="00AB205D" w:rsidRDefault="00471A3B" w:rsidP="00570639">
      <w:pPr>
        <w:pStyle w:val="ShadedBoxBullet"/>
        <w:numPr>
          <w:ilvl w:val="0"/>
          <w:numId w:val="10"/>
        </w:numPr>
        <w:pBdr>
          <w:top w:val="single" w:sz="6" w:space="1" w:color="auto"/>
          <w:bottom w:val="single" w:sz="6" w:space="1" w:color="auto"/>
        </w:pBdr>
      </w:pPr>
      <w:r>
        <w:t>Net debt is expected to be $135.5 billion at June 2024. Net debt is then forecast to be</w:t>
      </w:r>
      <w:r w:rsidDel="003C208F">
        <w:t xml:space="preserve"> </w:t>
      </w:r>
      <w:r>
        <w:t xml:space="preserve">$177.8 billion by June 2027, an increase of $6.4 billion compared with the </w:t>
      </w:r>
      <w:r w:rsidRPr="003F6B29">
        <w:rPr>
          <w:i/>
          <w:iCs/>
        </w:rPr>
        <w:t>2023</w:t>
      </w:r>
      <w:r w:rsidRPr="003F6B29">
        <w:rPr>
          <w:i/>
          <w:iCs/>
        </w:rPr>
        <w:noBreakHyphen/>
        <w:t>24 Budget</w:t>
      </w:r>
      <w:r>
        <w:t>. The increase is largely driven by the increase in GII. As a proportion of GSP, net debt is projected to be 22.3 per cent at June 2024 and 25.1 per cent by June 2027.</w:t>
      </w:r>
    </w:p>
    <w:p w14:paraId="0C541A12" w14:textId="77777777" w:rsidR="00AB205D" w:rsidRDefault="00471A3B" w:rsidP="00570639">
      <w:pPr>
        <w:pStyle w:val="ShadedBoxBullet"/>
        <w:numPr>
          <w:ilvl w:val="0"/>
          <w:numId w:val="10"/>
        </w:numPr>
        <w:pBdr>
          <w:top w:val="single" w:sz="6" w:space="1" w:color="auto"/>
          <w:bottom w:val="single" w:sz="6" w:space="1" w:color="auto"/>
        </w:pBdr>
      </w:pPr>
      <w:r w:rsidRPr="004C5582">
        <w:t xml:space="preserve">As outlined in the </w:t>
      </w:r>
      <w:r w:rsidRPr="004C5582">
        <w:rPr>
          <w:i/>
          <w:iCs/>
        </w:rPr>
        <w:t>2023</w:t>
      </w:r>
      <w:r>
        <w:rPr>
          <w:i/>
          <w:iCs/>
        </w:rPr>
        <w:noBreakHyphen/>
      </w:r>
      <w:r w:rsidRPr="004C5582">
        <w:rPr>
          <w:i/>
          <w:iCs/>
        </w:rPr>
        <w:t>24 Budget</w:t>
      </w:r>
      <w:r w:rsidRPr="004C5582">
        <w:t xml:space="preserve">, a COVID Debt Repayment Plan, including a </w:t>
      </w:r>
      <w:r>
        <w:t xml:space="preserve">temporary </w:t>
      </w:r>
      <w:r w:rsidRPr="004C5582">
        <w:t xml:space="preserve">COVID Debt Levy, has been established to offset the impact of COVID debt over </w:t>
      </w:r>
      <w:r>
        <w:t xml:space="preserve">the next </w:t>
      </w:r>
      <w:r w:rsidRPr="004C5582">
        <w:t>10</w:t>
      </w:r>
      <w:r>
        <w:t> </w:t>
      </w:r>
      <w:r w:rsidRPr="004C5582">
        <w:t>years</w:t>
      </w:r>
      <w:r>
        <w:t>.</w:t>
      </w:r>
    </w:p>
    <w:p w14:paraId="1178D5B2" w14:textId="77777777" w:rsidR="00AB205D" w:rsidRDefault="00471A3B" w:rsidP="00570639">
      <w:pPr>
        <w:pStyle w:val="ShadedBoxBullet"/>
        <w:numPr>
          <w:ilvl w:val="0"/>
          <w:numId w:val="10"/>
        </w:numPr>
        <w:pBdr>
          <w:top w:val="single" w:sz="6" w:space="1" w:color="auto"/>
          <w:bottom w:val="single" w:sz="6" w:space="1" w:color="auto"/>
        </w:pBdr>
      </w:pPr>
      <w:r>
        <w:t>Interest expense as a share of total revenue is expected to average 7.4 per cent a year over the budget and forward estimates.</w:t>
      </w:r>
    </w:p>
    <w:p w14:paraId="63AAC722" w14:textId="77777777" w:rsidR="00AB205D" w:rsidRDefault="00471A3B" w:rsidP="00570639">
      <w:pPr>
        <w:pStyle w:val="ShadedBoxBullet"/>
        <w:numPr>
          <w:ilvl w:val="0"/>
          <w:numId w:val="10"/>
        </w:numPr>
        <w:pBdr>
          <w:top w:val="single" w:sz="6" w:space="1" w:color="auto"/>
          <w:bottom w:val="single" w:sz="6" w:space="1" w:color="auto"/>
        </w:pBdr>
      </w:pPr>
      <w:r>
        <w:t>The Government is on track to fully fund the state’s unfunded superannuation liability by 2035.</w:t>
      </w:r>
    </w:p>
    <w:p w14:paraId="29A64968" w14:textId="77777777" w:rsidR="00AB205D" w:rsidRPr="00C734D9" w:rsidRDefault="00471A3B">
      <w:r w:rsidRPr="00C734D9">
        <w:t>This chapter presents the revised budget position of the Victorian public sector, incorporating the general government sector, the public non-financial corporations (PNFC) sector and the public financial corporations (PFC) sector for the budget year and forward estimates.</w:t>
      </w:r>
    </w:p>
    <w:p w14:paraId="6B5ADD64" w14:textId="77777777" w:rsidR="00AB205D" w:rsidRPr="00C734D9" w:rsidRDefault="00471A3B">
      <w:r w:rsidRPr="00C734D9">
        <w:lastRenderedPageBreak/>
        <w:t xml:space="preserve">It takes into account the financial impacts as at </w:t>
      </w:r>
      <w:r w:rsidRPr="00A848BB">
        <w:t>22</w:t>
      </w:r>
      <w:r w:rsidRPr="00C734D9">
        <w:t xml:space="preserve"> November 2023 of all decisions that affect the financial statements, unless otherwise stated. This chapter also reconciles and explains any movements since the </w:t>
      </w:r>
      <w:r w:rsidRPr="00236765">
        <w:rPr>
          <w:i/>
          <w:iCs/>
        </w:rPr>
        <w:t>2023</w:t>
      </w:r>
      <w:r w:rsidRPr="00236765">
        <w:rPr>
          <w:i/>
          <w:iCs/>
        </w:rPr>
        <w:noBreakHyphen/>
        <w:t>24 Budget</w:t>
      </w:r>
      <w:r w:rsidRPr="00C734D9">
        <w:t xml:space="preserve"> that affect the estimated net result from transactions. </w:t>
      </w:r>
    </w:p>
    <w:p w14:paraId="17EC3187" w14:textId="77777777" w:rsidR="00AB205D" w:rsidRPr="00C734D9" w:rsidRDefault="00471A3B">
      <w:pPr>
        <w:pStyle w:val="Heading10"/>
      </w:pPr>
      <w:bookmarkStart w:id="18" w:name="_Toc152933025"/>
      <w:r w:rsidRPr="00C734D9">
        <w:t>General government sector</w:t>
      </w:r>
      <w:bookmarkEnd w:id="18"/>
    </w:p>
    <w:p w14:paraId="5B34C69B" w14:textId="77777777" w:rsidR="00AB205D" w:rsidRPr="00C734D9" w:rsidRDefault="00471A3B">
      <w:pPr>
        <w:pStyle w:val="Heading20"/>
      </w:pPr>
      <w:r w:rsidRPr="00C734D9">
        <w:t>Overview</w:t>
      </w:r>
    </w:p>
    <w:p w14:paraId="12B41BDA" w14:textId="77777777" w:rsidR="00AB205D" w:rsidRDefault="00471A3B">
      <w:r>
        <w:t xml:space="preserve">As first outlined in the </w:t>
      </w:r>
      <w:r w:rsidRPr="00F14BF1">
        <w:rPr>
          <w:i/>
          <w:iCs/>
        </w:rPr>
        <w:t>2020-21 Budget</w:t>
      </w:r>
      <w:r>
        <w:t>, the Government developed a fiscal strategy to manage the extreme circumstances the state was facing and provide the foundations for recovery. It involved a four</w:t>
      </w:r>
      <w:r>
        <w:noBreakHyphen/>
        <w:t>step plan to support Victorians through the pandemic and to restore the budget over the medium term. The four</w:t>
      </w:r>
      <w:r>
        <w:noBreakHyphen/>
        <w:t xml:space="preserve">step plan provided a clear framework: </w:t>
      </w:r>
    </w:p>
    <w:p w14:paraId="229D311F" w14:textId="77777777" w:rsidR="00AB205D" w:rsidRDefault="00471A3B" w:rsidP="00570639">
      <w:pPr>
        <w:pStyle w:val="ListBullet"/>
        <w:numPr>
          <w:ilvl w:val="0"/>
          <w:numId w:val="10"/>
        </w:numPr>
      </w:pPr>
      <w:r w:rsidRPr="004E7909">
        <w:rPr>
          <w:b/>
        </w:rPr>
        <w:t>Step 1:</w:t>
      </w:r>
      <w:r>
        <w:t xml:space="preserve"> creating jobs, reducing unemployment and restoring economic growth</w:t>
      </w:r>
    </w:p>
    <w:p w14:paraId="03722B36" w14:textId="77777777" w:rsidR="00AB205D" w:rsidRDefault="00471A3B" w:rsidP="00570639">
      <w:pPr>
        <w:pStyle w:val="ListBullet"/>
        <w:numPr>
          <w:ilvl w:val="0"/>
          <w:numId w:val="10"/>
        </w:numPr>
      </w:pPr>
      <w:r w:rsidRPr="004E7909">
        <w:rPr>
          <w:b/>
        </w:rPr>
        <w:t>Step 2:</w:t>
      </w:r>
      <w:r>
        <w:t xml:space="preserve"> returning to an operating cash surplus</w:t>
      </w:r>
    </w:p>
    <w:p w14:paraId="4DF06BE4" w14:textId="77777777" w:rsidR="00AB205D" w:rsidRDefault="00471A3B" w:rsidP="00570639">
      <w:pPr>
        <w:pStyle w:val="ListBullet"/>
        <w:numPr>
          <w:ilvl w:val="0"/>
          <w:numId w:val="10"/>
        </w:numPr>
      </w:pPr>
      <w:r w:rsidRPr="004E7909">
        <w:rPr>
          <w:b/>
        </w:rPr>
        <w:t>Step 3:</w:t>
      </w:r>
      <w:r>
        <w:t xml:space="preserve"> returning to operating surpluses</w:t>
      </w:r>
    </w:p>
    <w:p w14:paraId="1B67E94A" w14:textId="77777777" w:rsidR="00AB205D" w:rsidRPr="00F14BF1" w:rsidRDefault="00471A3B" w:rsidP="00570639">
      <w:pPr>
        <w:pStyle w:val="ListBullet"/>
        <w:numPr>
          <w:ilvl w:val="0"/>
          <w:numId w:val="10"/>
        </w:numPr>
      </w:pPr>
      <w:r w:rsidRPr="004E7909">
        <w:rPr>
          <w:b/>
        </w:rPr>
        <w:t>Step 4:</w:t>
      </w:r>
      <w:r w:rsidRPr="00F14BF1">
        <w:t xml:space="preserve"> stabilising debt levels.</w:t>
      </w:r>
    </w:p>
    <w:p w14:paraId="7C6D7F17" w14:textId="77777777" w:rsidR="00AB205D" w:rsidRDefault="00471A3B">
      <w:r w:rsidRPr="0044143A">
        <w:t xml:space="preserve">Recent economic indicators have shown </w:t>
      </w:r>
      <w:r>
        <w:t>the</w:t>
      </w:r>
      <w:r w:rsidRPr="0044143A">
        <w:t xml:space="preserve"> strategy is working. The Victorian economy has continued to perform well, with economic activity </w:t>
      </w:r>
      <w:r>
        <w:t>now</w:t>
      </w:r>
      <w:r w:rsidRPr="0044143A">
        <w:t xml:space="preserve"> above pre</w:t>
      </w:r>
      <w:r>
        <w:noBreakHyphen/>
      </w:r>
      <w:r w:rsidRPr="0044143A">
        <w:t xml:space="preserve">pandemic levels. </w:t>
      </w:r>
    </w:p>
    <w:p w14:paraId="0FB192F0" w14:textId="77777777" w:rsidR="00AB205D" w:rsidRPr="00CA500C" w:rsidRDefault="00471A3B" w:rsidP="00205A06">
      <w:pPr>
        <w:ind w:right="-227"/>
      </w:pPr>
      <w:r>
        <w:t xml:space="preserve">As outlined in the </w:t>
      </w:r>
      <w:r w:rsidRPr="001F1AAA">
        <w:rPr>
          <w:i/>
          <w:iCs/>
        </w:rPr>
        <w:t>2022-23 Financial Report</w:t>
      </w:r>
      <w:r>
        <w:t>, t</w:t>
      </w:r>
      <w:r w:rsidRPr="0044143A">
        <w:t xml:space="preserve">he Government achieved </w:t>
      </w:r>
      <w:r>
        <w:t>s</w:t>
      </w:r>
      <w:r w:rsidRPr="0044143A">
        <w:t xml:space="preserve">tep </w:t>
      </w:r>
      <w:r>
        <w:t>two</w:t>
      </w:r>
      <w:r w:rsidRPr="0044143A">
        <w:t xml:space="preserve"> of the</w:t>
      </w:r>
      <w:r>
        <w:t xml:space="preserve"> fiscal</w:t>
      </w:r>
      <w:r w:rsidRPr="0044143A">
        <w:t xml:space="preserve"> strategy with an operating</w:t>
      </w:r>
      <w:r>
        <w:t xml:space="preserve"> cash surplus of $4.3 billion in 2022-23. </w:t>
      </w:r>
      <w:r w:rsidRPr="00D9471C">
        <w:t>This was an improvement of $1.4</w:t>
      </w:r>
      <w:r>
        <w:t> </w:t>
      </w:r>
      <w:r w:rsidRPr="00D9471C">
        <w:t>billion compared with the $2.9</w:t>
      </w:r>
      <w:r>
        <w:t> </w:t>
      </w:r>
      <w:r w:rsidRPr="00D9471C">
        <w:t xml:space="preserve">billion operating cash surplus forecast in the </w:t>
      </w:r>
      <w:r w:rsidRPr="004E7909">
        <w:rPr>
          <w:i/>
        </w:rPr>
        <w:t>2023</w:t>
      </w:r>
      <w:r>
        <w:rPr>
          <w:i/>
        </w:rPr>
        <w:noBreakHyphen/>
      </w:r>
      <w:r w:rsidRPr="004E7909">
        <w:rPr>
          <w:i/>
        </w:rPr>
        <w:t>24 Budget</w:t>
      </w:r>
      <w:r w:rsidRPr="00D9471C">
        <w:t>. The Government continues to forecast operating cash surpluses across the forward estimates with $0.</w:t>
      </w:r>
      <w:r>
        <w:t>3 </w:t>
      </w:r>
      <w:r w:rsidRPr="00D9471C">
        <w:t>billion in 2023</w:t>
      </w:r>
      <w:r>
        <w:noBreakHyphen/>
      </w:r>
      <w:r w:rsidRPr="00D9471C">
        <w:t>24 increasing to $</w:t>
      </w:r>
      <w:r>
        <w:t>5.9 </w:t>
      </w:r>
      <w:r w:rsidRPr="00D9471C">
        <w:t>billion in 2026-27.</w:t>
      </w:r>
    </w:p>
    <w:p w14:paraId="2A5EC526" w14:textId="77777777" w:rsidR="00AB205D" w:rsidRDefault="00471A3B">
      <w:r>
        <w:t>The net result from transactions for the general government sector is forecast to be in deficit by $3.5 billion in 2023</w:t>
      </w:r>
      <w:r>
        <w:noBreakHyphen/>
        <w:t xml:space="preserve">24, before improving to an estimated surplus of $1.1 billion in 2025-26. The operating surplus is then forecast to increase to $1.2 billion in 2026-27. </w:t>
      </w:r>
    </w:p>
    <w:p w14:paraId="10BE12FB" w14:textId="77777777" w:rsidR="00AB205D" w:rsidRDefault="00471A3B">
      <w:r w:rsidRPr="00CB0D94">
        <w:t>Total revenue for the general government sector is expected to be $90.</w:t>
      </w:r>
      <w:r>
        <w:t>3 </w:t>
      </w:r>
      <w:r w:rsidRPr="00CB0D94">
        <w:t>billion in 2023</w:t>
      </w:r>
      <w:r w:rsidRPr="00CB0D94">
        <w:rPr>
          <w:rFonts w:ascii="Times New Roman" w:hAnsi="Times New Roman"/>
        </w:rPr>
        <w:t>‑</w:t>
      </w:r>
      <w:r w:rsidRPr="00CB0D94">
        <w:t>24, before increasing to $9</w:t>
      </w:r>
      <w:r>
        <w:t>3</w:t>
      </w:r>
      <w:r w:rsidRPr="00CB0D94">
        <w:t>.5</w:t>
      </w:r>
      <w:r>
        <w:t> </w:t>
      </w:r>
      <w:r w:rsidRPr="00CB0D94">
        <w:t>billion in 2024-25. Revenue growth is expected to average 4.</w:t>
      </w:r>
      <w:r>
        <w:t>3 </w:t>
      </w:r>
      <w:r w:rsidRPr="00CB0D94">
        <w:t>per</w:t>
      </w:r>
      <w:r>
        <w:t> </w:t>
      </w:r>
      <w:r w:rsidRPr="00CB0D94">
        <w:t>cent a year over the forward estimates, reaching $102.</w:t>
      </w:r>
      <w:r>
        <w:t>6 </w:t>
      </w:r>
      <w:r w:rsidRPr="00CB0D94">
        <w:t>billion in 2026-27</w:t>
      </w:r>
      <w:r>
        <w:t xml:space="preserve">. </w:t>
      </w:r>
    </w:p>
    <w:p w14:paraId="66EAE84B" w14:textId="77777777" w:rsidR="00AB205D" w:rsidRDefault="00471A3B">
      <w:r>
        <w:t>General government sector expenditure in 2023</w:t>
      </w:r>
      <w:r>
        <w:noBreakHyphen/>
        <w:t xml:space="preserve">24 is expected to be $93.8 billion </w:t>
      </w:r>
      <w:r w:rsidRPr="0073659A">
        <w:t>and grow by an average of 2.</w:t>
      </w:r>
      <w:r>
        <w:t>6 </w:t>
      </w:r>
      <w:r w:rsidRPr="0073659A">
        <w:t>per</w:t>
      </w:r>
      <w:r>
        <w:t> </w:t>
      </w:r>
      <w:r w:rsidRPr="0073659A">
        <w:t>cent a year over the forward estimates, reaching $101.</w:t>
      </w:r>
      <w:r>
        <w:t>4 </w:t>
      </w:r>
      <w:r w:rsidRPr="0073659A">
        <w:t>billion in 2026</w:t>
      </w:r>
      <w:r>
        <w:noBreakHyphen/>
      </w:r>
      <w:r w:rsidRPr="0073659A">
        <w:t>27</w:t>
      </w:r>
      <w:r>
        <w:t>.</w:t>
      </w:r>
    </w:p>
    <w:p w14:paraId="5CDE7F87" w14:textId="77777777" w:rsidR="00AB205D" w:rsidRDefault="00AB205D"/>
    <w:p w14:paraId="5ECF48AA" w14:textId="77777777" w:rsidR="00AB205D" w:rsidRDefault="00471A3B">
      <w:pPr>
        <w:keepLines w:val="0"/>
        <w:rPr>
          <w:rFonts w:asciiTheme="majorHAnsi" w:hAnsiTheme="majorHAnsi" w:cstheme="minorBidi"/>
          <w:b/>
          <w:iCs/>
          <w:sz w:val="20"/>
          <w:szCs w:val="18"/>
        </w:rPr>
      </w:pPr>
      <w:r>
        <w:br w:type="page"/>
      </w:r>
    </w:p>
    <w:p w14:paraId="51238DCE" w14:textId="77777777" w:rsidR="00AB205D" w:rsidRPr="004E7909" w:rsidRDefault="00471A3B">
      <w:pPr>
        <w:pStyle w:val="TableHeading"/>
      </w:pPr>
      <w:r w:rsidRPr="004E7909">
        <w:lastRenderedPageBreak/>
        <w:t xml:space="preserve">Table 3.1: </w:t>
      </w:r>
      <w:r w:rsidRPr="004E7909">
        <w:tab/>
        <w:t>General government fiscal aggregates</w:t>
      </w:r>
    </w:p>
    <w:tbl>
      <w:tblPr>
        <w:tblStyle w:val="DTFTableNumeric"/>
        <w:tblW w:w="7710" w:type="dxa"/>
        <w:tblLayout w:type="fixed"/>
        <w:tblLook w:val="06A0" w:firstRow="1" w:lastRow="0" w:firstColumn="1" w:lastColumn="0" w:noHBand="1" w:noVBand="1"/>
        <w:tblDescription w:val="Type:DtfTable|Workbook:https://vicgov.sharepoint.com/sites/VG002735/Budget%20Update/Chapter%203/Link_Chapter%203%20Budget%20Position%20and%20Outlook.xlsx|Table:GG_FiscalAggregates|MergedHeadingRow:1"/>
      </w:tblPr>
      <w:tblGrid>
        <w:gridCol w:w="3686"/>
        <w:gridCol w:w="848"/>
        <w:gridCol w:w="794"/>
        <w:gridCol w:w="794"/>
        <w:gridCol w:w="794"/>
        <w:gridCol w:w="794"/>
      </w:tblGrid>
      <w:tr w:rsidR="009C6724" w14:paraId="025EAC46"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6" w:type="dxa"/>
          </w:tcPr>
          <w:p w14:paraId="5C03EED4" w14:textId="77777777" w:rsidR="00AB205D" w:rsidRDefault="00AB205D">
            <w:pPr>
              <w:keepNext/>
              <w:spacing w:after="0"/>
            </w:pPr>
          </w:p>
        </w:tc>
        <w:tc>
          <w:tcPr>
            <w:tcW w:w="848" w:type="dxa"/>
          </w:tcPr>
          <w:p w14:paraId="1DEE1070" w14:textId="77777777" w:rsidR="00AB205D" w:rsidRDefault="00471A3B">
            <w:pPr>
              <w:keepNext/>
              <w:spacing w:after="0"/>
              <w:jc w:val="center"/>
              <w:cnfStyle w:val="100000000000" w:firstRow="1" w:lastRow="0" w:firstColumn="0" w:lastColumn="0" w:oddVBand="0" w:evenVBand="0" w:oddHBand="0" w:evenHBand="0" w:firstRowFirstColumn="0" w:firstRowLastColumn="0" w:lastRowFirstColumn="0" w:lastRowLastColumn="0"/>
            </w:pPr>
            <w:r>
              <w:t>Unit of</w:t>
            </w:r>
            <w:r>
              <w:br/>
              <w:t>measure</w:t>
            </w:r>
          </w:p>
        </w:tc>
        <w:tc>
          <w:tcPr>
            <w:tcW w:w="794" w:type="dxa"/>
          </w:tcPr>
          <w:p w14:paraId="50F94EDC"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2023</w:t>
            </w:r>
            <w:r>
              <w:noBreakHyphen/>
              <w:t>24</w:t>
            </w:r>
            <w:r>
              <w:br/>
              <w:t>revised</w:t>
            </w:r>
          </w:p>
        </w:tc>
        <w:tc>
          <w:tcPr>
            <w:tcW w:w="794" w:type="dxa"/>
          </w:tcPr>
          <w:p w14:paraId="07533447"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2024</w:t>
            </w:r>
            <w:r>
              <w:noBreakHyphen/>
              <w:t>25</w:t>
            </w:r>
            <w:r>
              <w:br/>
              <w:t>estimate</w:t>
            </w:r>
          </w:p>
        </w:tc>
        <w:tc>
          <w:tcPr>
            <w:tcW w:w="794" w:type="dxa"/>
          </w:tcPr>
          <w:p w14:paraId="1E093FEB"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63E5CFB8"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r>
      <w:tr w:rsidR="009C6724" w14:paraId="03E1A055" w14:textId="77777777" w:rsidTr="009C6724">
        <w:tc>
          <w:tcPr>
            <w:cnfStyle w:val="001000000000" w:firstRow="0" w:lastRow="0" w:firstColumn="1" w:lastColumn="0" w:oddVBand="0" w:evenVBand="0" w:oddHBand="0" w:evenHBand="0" w:firstRowFirstColumn="0" w:firstRowLastColumn="0" w:lastRowFirstColumn="0" w:lastRowLastColumn="0"/>
            <w:tcW w:w="3686" w:type="dxa"/>
          </w:tcPr>
          <w:p w14:paraId="0503B886" w14:textId="77777777" w:rsidR="00AB205D" w:rsidRDefault="00471A3B">
            <w:pPr>
              <w:spacing w:after="0"/>
            </w:pPr>
            <w:r>
              <w:t>Net result from transactions</w:t>
            </w:r>
          </w:p>
        </w:tc>
        <w:tc>
          <w:tcPr>
            <w:tcW w:w="848" w:type="dxa"/>
          </w:tcPr>
          <w:p w14:paraId="7ACA9DE8" w14:textId="77777777" w:rsidR="00AB205D" w:rsidRDefault="00471A3B">
            <w:pPr>
              <w:spacing w:after="0"/>
              <w:jc w:val="center"/>
              <w:cnfStyle w:val="000000000000" w:firstRow="0" w:lastRow="0" w:firstColumn="0" w:lastColumn="0" w:oddVBand="0" w:evenVBand="0" w:oddHBand="0" w:evenHBand="0" w:firstRowFirstColumn="0" w:firstRowLastColumn="0" w:lastRowFirstColumn="0" w:lastRowLastColumn="0"/>
            </w:pPr>
            <w:r>
              <w:t>$ billion</w:t>
            </w:r>
          </w:p>
        </w:tc>
        <w:tc>
          <w:tcPr>
            <w:tcW w:w="794" w:type="dxa"/>
          </w:tcPr>
          <w:p w14:paraId="4A18CB14"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(3.5)</w:t>
            </w:r>
          </w:p>
        </w:tc>
        <w:tc>
          <w:tcPr>
            <w:tcW w:w="794" w:type="dxa"/>
          </w:tcPr>
          <w:p w14:paraId="343387EC"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(1.0)</w:t>
            </w:r>
          </w:p>
        </w:tc>
        <w:tc>
          <w:tcPr>
            <w:tcW w:w="794" w:type="dxa"/>
          </w:tcPr>
          <w:p w14:paraId="37F2316A"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1.1</w:t>
            </w:r>
          </w:p>
        </w:tc>
        <w:tc>
          <w:tcPr>
            <w:tcW w:w="794" w:type="dxa"/>
          </w:tcPr>
          <w:p w14:paraId="615E90B0"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1.2</w:t>
            </w:r>
          </w:p>
        </w:tc>
      </w:tr>
      <w:tr w:rsidR="009C6724" w14:paraId="3D6763D5" w14:textId="77777777" w:rsidTr="009C6724">
        <w:tc>
          <w:tcPr>
            <w:cnfStyle w:val="001000000000" w:firstRow="0" w:lastRow="0" w:firstColumn="1" w:lastColumn="0" w:oddVBand="0" w:evenVBand="0" w:oddHBand="0" w:evenHBand="0" w:firstRowFirstColumn="0" w:firstRowLastColumn="0" w:lastRowFirstColumn="0" w:lastRowLastColumn="0"/>
            <w:tcW w:w="3686" w:type="dxa"/>
          </w:tcPr>
          <w:p w14:paraId="01D0A20B" w14:textId="77777777" w:rsidR="00AB205D" w:rsidRDefault="00471A3B">
            <w:pPr>
              <w:spacing w:after="0"/>
            </w:pPr>
            <w:r>
              <w:t>Net cash flows from operating activities</w:t>
            </w:r>
          </w:p>
        </w:tc>
        <w:tc>
          <w:tcPr>
            <w:tcW w:w="848" w:type="dxa"/>
          </w:tcPr>
          <w:p w14:paraId="3BE52636" w14:textId="77777777" w:rsidR="00AB205D" w:rsidRDefault="00471A3B">
            <w:pPr>
              <w:spacing w:after="0"/>
              <w:jc w:val="center"/>
              <w:cnfStyle w:val="000000000000" w:firstRow="0" w:lastRow="0" w:firstColumn="0" w:lastColumn="0" w:oddVBand="0" w:evenVBand="0" w:oddHBand="0" w:evenHBand="0" w:firstRowFirstColumn="0" w:firstRowLastColumn="0" w:lastRowFirstColumn="0" w:lastRowLastColumn="0"/>
            </w:pPr>
            <w:r>
              <w:t>$ billion</w:t>
            </w:r>
          </w:p>
        </w:tc>
        <w:tc>
          <w:tcPr>
            <w:tcW w:w="794" w:type="dxa"/>
          </w:tcPr>
          <w:p w14:paraId="60F7B185"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0.3</w:t>
            </w:r>
          </w:p>
        </w:tc>
        <w:tc>
          <w:tcPr>
            <w:tcW w:w="794" w:type="dxa"/>
          </w:tcPr>
          <w:p w14:paraId="19622C3C"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3.6</w:t>
            </w:r>
          </w:p>
        </w:tc>
        <w:tc>
          <w:tcPr>
            <w:tcW w:w="794" w:type="dxa"/>
          </w:tcPr>
          <w:p w14:paraId="6647C95E"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6.1</w:t>
            </w:r>
          </w:p>
        </w:tc>
        <w:tc>
          <w:tcPr>
            <w:tcW w:w="794" w:type="dxa"/>
          </w:tcPr>
          <w:p w14:paraId="6B05179A"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5.9</w:t>
            </w:r>
          </w:p>
        </w:tc>
      </w:tr>
      <w:tr w:rsidR="009C6724" w14:paraId="317CE602" w14:textId="77777777" w:rsidTr="009C6724">
        <w:tc>
          <w:tcPr>
            <w:cnfStyle w:val="001000000000" w:firstRow="0" w:lastRow="0" w:firstColumn="1" w:lastColumn="0" w:oddVBand="0" w:evenVBand="0" w:oddHBand="0" w:evenHBand="0" w:firstRowFirstColumn="0" w:firstRowLastColumn="0" w:lastRowFirstColumn="0" w:lastRowLastColumn="0"/>
            <w:tcW w:w="3686" w:type="dxa"/>
          </w:tcPr>
          <w:p w14:paraId="426DCA01" w14:textId="77777777" w:rsidR="00AB205D" w:rsidRDefault="00471A3B">
            <w:pPr>
              <w:spacing w:after="0"/>
            </w:pPr>
            <w:r>
              <w:t xml:space="preserve">Government infrastructure investment </w:t>
            </w:r>
            <w:r>
              <w:rPr>
                <w:vertAlign w:val="superscript"/>
              </w:rPr>
              <w:t>(a)(b)</w:t>
            </w:r>
          </w:p>
        </w:tc>
        <w:tc>
          <w:tcPr>
            <w:tcW w:w="848" w:type="dxa"/>
          </w:tcPr>
          <w:p w14:paraId="08EB6A39" w14:textId="77777777" w:rsidR="00AB205D" w:rsidRDefault="00471A3B">
            <w:pPr>
              <w:spacing w:after="0"/>
              <w:jc w:val="center"/>
              <w:cnfStyle w:val="000000000000" w:firstRow="0" w:lastRow="0" w:firstColumn="0" w:lastColumn="0" w:oddVBand="0" w:evenVBand="0" w:oddHBand="0" w:evenHBand="0" w:firstRowFirstColumn="0" w:firstRowLastColumn="0" w:lastRowFirstColumn="0" w:lastRowLastColumn="0"/>
            </w:pPr>
            <w:r>
              <w:t>$ billion</w:t>
            </w:r>
          </w:p>
        </w:tc>
        <w:tc>
          <w:tcPr>
            <w:tcW w:w="794" w:type="dxa"/>
          </w:tcPr>
          <w:p w14:paraId="4A56C8B9"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23.3</w:t>
            </w:r>
          </w:p>
        </w:tc>
        <w:tc>
          <w:tcPr>
            <w:tcW w:w="794" w:type="dxa"/>
          </w:tcPr>
          <w:p w14:paraId="7E5F4E00"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22.2</w:t>
            </w:r>
          </w:p>
        </w:tc>
        <w:tc>
          <w:tcPr>
            <w:tcW w:w="794" w:type="dxa"/>
          </w:tcPr>
          <w:p w14:paraId="29404C50"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20.8</w:t>
            </w:r>
          </w:p>
        </w:tc>
        <w:tc>
          <w:tcPr>
            <w:tcW w:w="794" w:type="dxa"/>
          </w:tcPr>
          <w:p w14:paraId="22BC6BB6"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19.0</w:t>
            </w:r>
          </w:p>
        </w:tc>
      </w:tr>
      <w:tr w:rsidR="009C6724" w14:paraId="0FFAC31D" w14:textId="77777777" w:rsidTr="009C6724">
        <w:tc>
          <w:tcPr>
            <w:cnfStyle w:val="001000000000" w:firstRow="0" w:lastRow="0" w:firstColumn="1" w:lastColumn="0" w:oddVBand="0" w:evenVBand="0" w:oddHBand="0" w:evenHBand="0" w:firstRowFirstColumn="0" w:firstRowLastColumn="0" w:lastRowFirstColumn="0" w:lastRowLastColumn="0"/>
            <w:tcW w:w="3686" w:type="dxa"/>
          </w:tcPr>
          <w:p w14:paraId="1F9099BE" w14:textId="77777777" w:rsidR="00AB205D" w:rsidRDefault="00471A3B">
            <w:pPr>
              <w:spacing w:after="0"/>
            </w:pPr>
            <w:r>
              <w:t>Net debt</w:t>
            </w:r>
          </w:p>
        </w:tc>
        <w:tc>
          <w:tcPr>
            <w:tcW w:w="848" w:type="dxa"/>
          </w:tcPr>
          <w:p w14:paraId="0966DEA6" w14:textId="77777777" w:rsidR="00AB205D" w:rsidRDefault="00471A3B">
            <w:pPr>
              <w:spacing w:after="0"/>
              <w:jc w:val="center"/>
              <w:cnfStyle w:val="000000000000" w:firstRow="0" w:lastRow="0" w:firstColumn="0" w:lastColumn="0" w:oddVBand="0" w:evenVBand="0" w:oddHBand="0" w:evenHBand="0" w:firstRowFirstColumn="0" w:firstRowLastColumn="0" w:lastRowFirstColumn="0" w:lastRowLastColumn="0"/>
            </w:pPr>
            <w:r>
              <w:t>$ billion</w:t>
            </w:r>
          </w:p>
        </w:tc>
        <w:tc>
          <w:tcPr>
            <w:tcW w:w="794" w:type="dxa"/>
          </w:tcPr>
          <w:p w14:paraId="4A784ADD"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135.5</w:t>
            </w:r>
          </w:p>
        </w:tc>
        <w:tc>
          <w:tcPr>
            <w:tcW w:w="794" w:type="dxa"/>
          </w:tcPr>
          <w:p w14:paraId="03DCE1D9"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152.9</w:t>
            </w:r>
          </w:p>
        </w:tc>
        <w:tc>
          <w:tcPr>
            <w:tcW w:w="794" w:type="dxa"/>
          </w:tcPr>
          <w:p w14:paraId="4BD0E1FA"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166.1</w:t>
            </w:r>
          </w:p>
        </w:tc>
        <w:tc>
          <w:tcPr>
            <w:tcW w:w="794" w:type="dxa"/>
          </w:tcPr>
          <w:p w14:paraId="277A0ABD"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177.8</w:t>
            </w:r>
          </w:p>
        </w:tc>
      </w:tr>
      <w:tr w:rsidR="009C6724" w14:paraId="3DEDF198" w14:textId="77777777" w:rsidTr="009C6724">
        <w:tc>
          <w:tcPr>
            <w:cnfStyle w:val="001000000000" w:firstRow="0" w:lastRow="0" w:firstColumn="1" w:lastColumn="0" w:oddVBand="0" w:evenVBand="0" w:oddHBand="0" w:evenHBand="0" w:firstRowFirstColumn="0" w:firstRowLastColumn="0" w:lastRowFirstColumn="0" w:lastRowLastColumn="0"/>
            <w:tcW w:w="3686" w:type="dxa"/>
            <w:tcBorders>
              <w:bottom w:val="single" w:sz="12" w:space="0" w:color="auto"/>
            </w:tcBorders>
          </w:tcPr>
          <w:p w14:paraId="221BE9D5" w14:textId="77777777" w:rsidR="00AB205D" w:rsidRDefault="00471A3B">
            <w:pPr>
              <w:spacing w:after="0"/>
            </w:pPr>
            <w:r>
              <w:t xml:space="preserve">Net debt to GSP </w:t>
            </w:r>
            <w:r>
              <w:rPr>
                <w:vertAlign w:val="superscript"/>
              </w:rPr>
              <w:t>(c)</w:t>
            </w:r>
          </w:p>
        </w:tc>
        <w:tc>
          <w:tcPr>
            <w:tcW w:w="848" w:type="dxa"/>
            <w:tcBorders>
              <w:bottom w:val="single" w:sz="12" w:space="0" w:color="auto"/>
            </w:tcBorders>
          </w:tcPr>
          <w:p w14:paraId="23E64FFF" w14:textId="77777777" w:rsidR="00AB205D" w:rsidRDefault="00471A3B">
            <w:pPr>
              <w:spacing w:after="0"/>
              <w:jc w:val="center"/>
              <w:cnfStyle w:val="000000000000" w:firstRow="0" w:lastRow="0" w:firstColumn="0" w:lastColumn="0" w:oddVBand="0" w:evenVBand="0" w:oddHBand="0" w:evenHBand="0" w:firstRowFirstColumn="0" w:firstRowLastColumn="0" w:lastRowFirstColumn="0" w:lastRowLastColumn="0"/>
            </w:pPr>
            <w:r>
              <w:t>per cent</w:t>
            </w:r>
          </w:p>
        </w:tc>
        <w:tc>
          <w:tcPr>
            <w:tcW w:w="794" w:type="dxa"/>
            <w:tcBorders>
              <w:bottom w:val="single" w:sz="12" w:space="0" w:color="auto"/>
            </w:tcBorders>
          </w:tcPr>
          <w:p w14:paraId="5597A547"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22.3</w:t>
            </w:r>
          </w:p>
        </w:tc>
        <w:tc>
          <w:tcPr>
            <w:tcW w:w="794" w:type="dxa"/>
            <w:tcBorders>
              <w:bottom w:val="single" w:sz="12" w:space="0" w:color="auto"/>
            </w:tcBorders>
          </w:tcPr>
          <w:p w14:paraId="35AC851D"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23.9</w:t>
            </w:r>
          </w:p>
        </w:tc>
        <w:tc>
          <w:tcPr>
            <w:tcW w:w="794" w:type="dxa"/>
            <w:tcBorders>
              <w:bottom w:val="single" w:sz="12" w:space="0" w:color="auto"/>
            </w:tcBorders>
          </w:tcPr>
          <w:p w14:paraId="367B67BA"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24.7</w:t>
            </w:r>
          </w:p>
        </w:tc>
        <w:tc>
          <w:tcPr>
            <w:tcW w:w="794" w:type="dxa"/>
            <w:tcBorders>
              <w:bottom w:val="single" w:sz="12" w:space="0" w:color="auto"/>
            </w:tcBorders>
          </w:tcPr>
          <w:p w14:paraId="37471B45"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25.1</w:t>
            </w:r>
          </w:p>
        </w:tc>
      </w:tr>
    </w:tbl>
    <w:p w14:paraId="6C5A31A7" w14:textId="77777777" w:rsidR="00AB205D" w:rsidRDefault="00471A3B">
      <w:pPr>
        <w:pStyle w:val="Note"/>
      </w:pPr>
      <w:bookmarkStart w:id="19" w:name="_Toc117586245"/>
      <w:r>
        <w:t>Notes:</w:t>
      </w:r>
    </w:p>
    <w:p w14:paraId="5B2FC0E9" w14:textId="77777777" w:rsidR="00AB205D" w:rsidRDefault="00471A3B">
      <w:pPr>
        <w:pStyle w:val="Note"/>
      </w:pPr>
      <w:r>
        <w:t>(a)</w:t>
      </w:r>
      <w:r>
        <w:tab/>
        <w:t>Includes general government net infrastructure investment and estimated construction costs of public private partnership projects.</w:t>
      </w:r>
    </w:p>
    <w:p w14:paraId="5208A48D" w14:textId="77777777" w:rsidR="00AB205D" w:rsidRDefault="00471A3B">
      <w:pPr>
        <w:pStyle w:val="Note"/>
      </w:pPr>
      <w:r>
        <w:t>(b)</w:t>
      </w:r>
      <w:r>
        <w:tab/>
        <w:t>Includes the estimated private sector construction-related expenditure associated with the North East Link held in the public non</w:t>
      </w:r>
      <w:r>
        <w:noBreakHyphen/>
        <w:t>financial corporations (PNFC) sector.</w:t>
      </w:r>
    </w:p>
    <w:p w14:paraId="309DA35E" w14:textId="77777777" w:rsidR="00AB205D" w:rsidRDefault="00471A3B">
      <w:pPr>
        <w:pStyle w:val="Note"/>
      </w:pPr>
      <w:r>
        <w:t>(c)</w:t>
      </w:r>
      <w:r>
        <w:tab/>
        <w:t>The ratios to gross state product (GSP) may vary from publications year to year due to revisions to the Australian Bureau of Statistics GSP data.</w:t>
      </w:r>
    </w:p>
    <w:p w14:paraId="2A912770" w14:textId="77777777" w:rsidR="00AB205D" w:rsidRDefault="00471A3B">
      <w:r w:rsidRPr="00980393">
        <w:t xml:space="preserve">As outlined in the </w:t>
      </w:r>
      <w:r w:rsidRPr="00980393">
        <w:rPr>
          <w:i/>
          <w:iCs/>
        </w:rPr>
        <w:t>2023</w:t>
      </w:r>
      <w:r>
        <w:rPr>
          <w:i/>
          <w:iCs/>
        </w:rPr>
        <w:noBreakHyphen/>
      </w:r>
      <w:r w:rsidRPr="00980393">
        <w:rPr>
          <w:i/>
          <w:iCs/>
        </w:rPr>
        <w:t>24 Budget</w:t>
      </w:r>
      <w:r>
        <w:t xml:space="preserve">, </w:t>
      </w:r>
      <w:r w:rsidRPr="005F0862">
        <w:t>the Government is implementing strategies to improve the state’s financial position and manage the increase in debt in a sustain</w:t>
      </w:r>
      <w:r>
        <w:t>able</w:t>
      </w:r>
      <w:r w:rsidRPr="005F0862">
        <w:t xml:space="preserve"> manner.</w:t>
      </w:r>
      <w:r w:rsidRPr="00A210C6">
        <w:t xml:space="preserve"> </w:t>
      </w:r>
      <w:r>
        <w:t xml:space="preserve">This </w:t>
      </w:r>
      <w:r w:rsidRPr="005F0862">
        <w:t xml:space="preserve">includes </w:t>
      </w:r>
      <w:r>
        <w:t>the</w:t>
      </w:r>
      <w:r w:rsidRPr="005F0862">
        <w:t xml:space="preserve"> </w:t>
      </w:r>
      <w:r>
        <w:t>temporary</w:t>
      </w:r>
      <w:r w:rsidRPr="005F0862">
        <w:t xml:space="preserve"> </w:t>
      </w:r>
      <w:r w:rsidRPr="0068382F">
        <w:t>COVID Debt Levy to</w:t>
      </w:r>
      <w:r w:rsidRPr="005F0862">
        <w:t xml:space="preserve"> offset the cost of measures introduced by the Government in response to the pandemic</w:t>
      </w:r>
      <w:r>
        <w:t>, and taking steps to improve the efficiency and effectiveness of departmental spending and ensure expenditure is directed to key service delivery priorities.</w:t>
      </w:r>
    </w:p>
    <w:p w14:paraId="1DA2C8CF" w14:textId="2EDDFC5C" w:rsidR="00AB205D" w:rsidRDefault="00471A3B">
      <w:r>
        <w:t xml:space="preserve">Government infrastructure investment (GII) is expected to average $21.3 billion a year over the budget and </w:t>
      </w:r>
      <w:r w:rsidRPr="0044143A">
        <w:t>forward estimates, reflecting the continuation of Victoria’s Big Build.</w:t>
      </w:r>
      <w:r>
        <w:t xml:space="preserve"> This is an increase compared with an average of $19.6 billion in the </w:t>
      </w:r>
      <w:r w:rsidRPr="00472E5A">
        <w:rPr>
          <w:i/>
          <w:iCs/>
        </w:rPr>
        <w:t>2023-24 Budget</w:t>
      </w:r>
      <w:r>
        <w:t xml:space="preserve">. </w:t>
      </w:r>
      <w:r w:rsidRPr="004337DD">
        <w:t xml:space="preserve">The increase in GII reflects an update in estimated investment </w:t>
      </w:r>
      <w:r>
        <w:t>largely due to additional funding for</w:t>
      </w:r>
      <w:r w:rsidRPr="004337DD">
        <w:t xml:space="preserve"> the North East</w:t>
      </w:r>
      <w:r>
        <w:t xml:space="preserve"> Link</w:t>
      </w:r>
      <w:r w:rsidR="00615384">
        <w:t xml:space="preserve"> program and associated</w:t>
      </w:r>
      <w:r>
        <w:t xml:space="preserve"> </w:t>
      </w:r>
      <w:r w:rsidRPr="000F4FE7">
        <w:t>Eastern Freeway Upgrade and M80 Ring Road Upgrade</w:t>
      </w:r>
      <w:r w:rsidRPr="004337DD">
        <w:t xml:space="preserve"> projects as set out in Appendix A</w:t>
      </w:r>
      <w:r w:rsidRPr="003F42BB">
        <w:rPr>
          <w:i/>
          <w:iCs/>
        </w:rPr>
        <w:t xml:space="preserve"> </w:t>
      </w:r>
      <w:r w:rsidRPr="00A93E10">
        <w:rPr>
          <w:i/>
          <w:iCs/>
        </w:rPr>
        <w:t>Specific policy initiatives affecting the budget position</w:t>
      </w:r>
      <w:r w:rsidRPr="004337DD">
        <w:t>.</w:t>
      </w:r>
    </w:p>
    <w:p w14:paraId="08FE6DDE" w14:textId="77777777" w:rsidR="00AB205D" w:rsidRDefault="00471A3B">
      <w:r>
        <w:t>Net debt is expected to be $135.5 billion at June 2024. Net debt is then forecast to be</w:t>
      </w:r>
      <w:r w:rsidDel="00514A96">
        <w:t xml:space="preserve"> </w:t>
      </w:r>
      <w:r>
        <w:t xml:space="preserve">$177.8 billion by June 2027, an increase of $6.4 billion compared with the </w:t>
      </w:r>
      <w:r w:rsidRPr="003362AB">
        <w:rPr>
          <w:i/>
        </w:rPr>
        <w:t>2023</w:t>
      </w:r>
      <w:r w:rsidRPr="003362AB">
        <w:rPr>
          <w:i/>
        </w:rPr>
        <w:noBreakHyphen/>
        <w:t>24 Budget</w:t>
      </w:r>
      <w:r>
        <w:t>. The increase is largely driven by the increase in GII. As a proportion of GSP, net debt is projected to be 22.3 per cent at June 2024 and 25.1 per cent by June 2027.</w:t>
      </w:r>
    </w:p>
    <w:p w14:paraId="23C987C3" w14:textId="77777777" w:rsidR="00AB205D" w:rsidRDefault="00471A3B">
      <w:r w:rsidRPr="00323F15">
        <w:t>Interest expense as a share of total revenue remains manageable and is expected to average 7.</w:t>
      </w:r>
      <w:r>
        <w:t>4 </w:t>
      </w:r>
      <w:r w:rsidRPr="00323F15">
        <w:t>per</w:t>
      </w:r>
      <w:r>
        <w:t> </w:t>
      </w:r>
      <w:r w:rsidRPr="00323F15">
        <w:t>cent a year</w:t>
      </w:r>
      <w:r>
        <w:t xml:space="preserve"> over the budget and forward estimates. </w:t>
      </w:r>
    </w:p>
    <w:p w14:paraId="0569FA77" w14:textId="77777777" w:rsidR="00AB205D" w:rsidRDefault="00AB205D"/>
    <w:p w14:paraId="4DBA6AAA" w14:textId="77777777" w:rsidR="00AB205D" w:rsidRDefault="00471A3B">
      <w:pPr>
        <w:pStyle w:val="Heading10"/>
        <w:pageBreakBefore/>
      </w:pPr>
      <w:bookmarkStart w:id="20" w:name="_Toc152933026"/>
      <w:r>
        <w:lastRenderedPageBreak/>
        <w:t>Budget and forward estimates outlook</w:t>
      </w:r>
      <w:bookmarkEnd w:id="20"/>
    </w:p>
    <w:p w14:paraId="039AE7E2" w14:textId="77777777" w:rsidR="00AB205D" w:rsidRDefault="00471A3B">
      <w:r>
        <w:t xml:space="preserve">Table 3.2 summarises the operating statement for the general government sector. A comprehensive operating statement is presented in Chapter 4 </w:t>
      </w:r>
      <w:r w:rsidRPr="00B8772B">
        <w:rPr>
          <w:i/>
          <w:iCs/>
        </w:rPr>
        <w:t>Estimated financial statements and notes</w:t>
      </w:r>
      <w:r>
        <w:t>.</w:t>
      </w:r>
    </w:p>
    <w:bookmarkEnd w:id="19"/>
    <w:p w14:paraId="68BE80B2" w14:textId="77777777" w:rsidR="00AB205D" w:rsidRDefault="00471A3B">
      <w:pPr>
        <w:pStyle w:val="TableHeading"/>
      </w:pPr>
      <w:r w:rsidRPr="00C203E5">
        <w:t xml:space="preserve">Table </w:t>
      </w:r>
      <w:r>
        <w:t>3.2</w:t>
      </w:r>
      <w:r w:rsidRPr="00C203E5">
        <w:t xml:space="preserve">: </w:t>
      </w:r>
      <w:r w:rsidRPr="00C203E5">
        <w:tab/>
        <w:t>Summary operating statement for the general government sector</w:t>
      </w:r>
      <w:r>
        <w:t xml:space="preserve"> </w:t>
      </w:r>
      <w:r w:rsidRPr="00C203E5">
        <w:rPr>
          <w:vertAlign w:val="superscript"/>
        </w:rPr>
        <w:t>(a)</w:t>
      </w:r>
      <w:r w:rsidRPr="00C203E5">
        <w:rPr>
          <w:vertAlign w:val="superscript"/>
        </w:rPr>
        <w:tab/>
      </w:r>
      <w:r w:rsidRPr="00C203E5">
        <w:t>($</w:t>
      </w:r>
      <w:r>
        <w:t> million</w:t>
      </w:r>
      <w:r w:rsidRPr="00C203E5">
        <w:t>)</w:t>
      </w:r>
    </w:p>
    <w:tbl>
      <w:tblPr>
        <w:tblStyle w:val="DTFTableNumeric"/>
        <w:tblW w:w="7711" w:type="dxa"/>
        <w:tblLayout w:type="fixed"/>
        <w:tblLook w:val="06A0" w:firstRow="1" w:lastRow="0" w:firstColumn="1" w:lastColumn="0" w:noHBand="1" w:noVBand="1"/>
        <w:tblDescription w:val="Type:DtfTable|Workbook:https://vicgov.sharepoint.com/sites/VG002735/Budget%20Update/Chapter%203/Link_Chapter%203%20Budget%20Position%20and%20Outlook.xlsx|Table:GG_SummaryOS|MergedHeadingRow:1"/>
      </w:tblPr>
      <w:tblGrid>
        <w:gridCol w:w="4163"/>
        <w:gridCol w:w="887"/>
        <w:gridCol w:w="887"/>
        <w:gridCol w:w="887"/>
        <w:gridCol w:w="887"/>
      </w:tblGrid>
      <w:tr w:rsidR="009C6724" w14:paraId="45FEBB45"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63" w:type="dxa"/>
          </w:tcPr>
          <w:p w14:paraId="6F5C2452" w14:textId="77777777" w:rsidR="00AB205D" w:rsidRDefault="00AB205D">
            <w:pPr>
              <w:keepNext/>
              <w:spacing w:after="0"/>
            </w:pPr>
          </w:p>
        </w:tc>
        <w:tc>
          <w:tcPr>
            <w:tcW w:w="887" w:type="dxa"/>
          </w:tcPr>
          <w:p w14:paraId="3CEA6110"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2023</w:t>
            </w:r>
            <w:r>
              <w:noBreakHyphen/>
              <w:t>24</w:t>
            </w:r>
            <w:r>
              <w:br/>
              <w:t>revised</w:t>
            </w:r>
          </w:p>
        </w:tc>
        <w:tc>
          <w:tcPr>
            <w:tcW w:w="887" w:type="dxa"/>
          </w:tcPr>
          <w:p w14:paraId="069A85A6"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2024</w:t>
            </w:r>
            <w:r>
              <w:noBreakHyphen/>
              <w:t>25</w:t>
            </w:r>
            <w:r>
              <w:br/>
              <w:t>estimate</w:t>
            </w:r>
          </w:p>
        </w:tc>
        <w:tc>
          <w:tcPr>
            <w:tcW w:w="887" w:type="dxa"/>
          </w:tcPr>
          <w:p w14:paraId="7105D4D1"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887" w:type="dxa"/>
          </w:tcPr>
          <w:p w14:paraId="07C259E1"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r>
      <w:tr w:rsidR="009C6724" w14:paraId="4FA6C734" w14:textId="77777777" w:rsidTr="009C6724">
        <w:tc>
          <w:tcPr>
            <w:cnfStyle w:val="001000000000" w:firstRow="0" w:lastRow="0" w:firstColumn="1" w:lastColumn="0" w:oddVBand="0" w:evenVBand="0" w:oddHBand="0" w:evenHBand="0" w:firstRowFirstColumn="0" w:firstRowLastColumn="0" w:lastRowFirstColumn="0" w:lastRowLastColumn="0"/>
            <w:tcW w:w="4163" w:type="dxa"/>
          </w:tcPr>
          <w:p w14:paraId="58631830" w14:textId="77777777" w:rsidR="00AB205D" w:rsidRDefault="00471A3B">
            <w:pPr>
              <w:spacing w:after="0"/>
            </w:pPr>
            <w:r>
              <w:rPr>
                <w:b/>
              </w:rPr>
              <w:t>Revenue and income from transactions</w:t>
            </w:r>
          </w:p>
        </w:tc>
        <w:tc>
          <w:tcPr>
            <w:tcW w:w="887" w:type="dxa"/>
          </w:tcPr>
          <w:p w14:paraId="6CA3C645"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887" w:type="dxa"/>
          </w:tcPr>
          <w:p w14:paraId="61FA474A"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887" w:type="dxa"/>
          </w:tcPr>
          <w:p w14:paraId="598DD665"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887" w:type="dxa"/>
          </w:tcPr>
          <w:p w14:paraId="3166CBD7"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r>
      <w:tr w:rsidR="009C6724" w14:paraId="62127BCC" w14:textId="77777777" w:rsidTr="009C6724">
        <w:tc>
          <w:tcPr>
            <w:cnfStyle w:val="001000000000" w:firstRow="0" w:lastRow="0" w:firstColumn="1" w:lastColumn="0" w:oddVBand="0" w:evenVBand="0" w:oddHBand="0" w:evenHBand="0" w:firstRowFirstColumn="0" w:firstRowLastColumn="0" w:lastRowFirstColumn="0" w:lastRowLastColumn="0"/>
            <w:tcW w:w="4163" w:type="dxa"/>
          </w:tcPr>
          <w:p w14:paraId="4C34F666" w14:textId="77777777" w:rsidR="00AB205D" w:rsidRDefault="00471A3B">
            <w:pPr>
              <w:spacing w:after="0"/>
            </w:pPr>
            <w:r>
              <w:t>Taxation</w:t>
            </w:r>
          </w:p>
        </w:tc>
        <w:tc>
          <w:tcPr>
            <w:tcW w:w="887" w:type="dxa"/>
          </w:tcPr>
          <w:p w14:paraId="26DD7F19"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35 774</w:t>
            </w:r>
          </w:p>
        </w:tc>
        <w:tc>
          <w:tcPr>
            <w:tcW w:w="887" w:type="dxa"/>
          </w:tcPr>
          <w:p w14:paraId="1A61A5F8"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37 855</w:t>
            </w:r>
          </w:p>
        </w:tc>
        <w:tc>
          <w:tcPr>
            <w:tcW w:w="887" w:type="dxa"/>
          </w:tcPr>
          <w:p w14:paraId="2F28E44D"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39 645</w:t>
            </w:r>
          </w:p>
        </w:tc>
        <w:tc>
          <w:tcPr>
            <w:tcW w:w="887" w:type="dxa"/>
          </w:tcPr>
          <w:p w14:paraId="4ECB2335"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41 562</w:t>
            </w:r>
          </w:p>
        </w:tc>
      </w:tr>
      <w:tr w:rsidR="009C6724" w14:paraId="204A7FD2" w14:textId="77777777" w:rsidTr="009C6724">
        <w:tc>
          <w:tcPr>
            <w:cnfStyle w:val="001000000000" w:firstRow="0" w:lastRow="0" w:firstColumn="1" w:lastColumn="0" w:oddVBand="0" w:evenVBand="0" w:oddHBand="0" w:evenHBand="0" w:firstRowFirstColumn="0" w:firstRowLastColumn="0" w:lastRowFirstColumn="0" w:lastRowLastColumn="0"/>
            <w:tcW w:w="4163" w:type="dxa"/>
          </w:tcPr>
          <w:p w14:paraId="7A242F40" w14:textId="77777777" w:rsidR="00AB205D" w:rsidRDefault="00471A3B">
            <w:pPr>
              <w:spacing w:after="0"/>
            </w:pPr>
            <w:r>
              <w:t xml:space="preserve">Dividends, TER and interest </w:t>
            </w:r>
            <w:r>
              <w:rPr>
                <w:vertAlign w:val="superscript"/>
              </w:rPr>
              <w:t>(b)</w:t>
            </w:r>
          </w:p>
        </w:tc>
        <w:tc>
          <w:tcPr>
            <w:tcW w:w="887" w:type="dxa"/>
          </w:tcPr>
          <w:p w14:paraId="5935AAE7"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4 011</w:t>
            </w:r>
          </w:p>
        </w:tc>
        <w:tc>
          <w:tcPr>
            <w:tcW w:w="887" w:type="dxa"/>
          </w:tcPr>
          <w:p w14:paraId="7AEA351C"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2 535</w:t>
            </w:r>
          </w:p>
        </w:tc>
        <w:tc>
          <w:tcPr>
            <w:tcW w:w="887" w:type="dxa"/>
          </w:tcPr>
          <w:p w14:paraId="0604612C"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2 355</w:t>
            </w:r>
          </w:p>
        </w:tc>
        <w:tc>
          <w:tcPr>
            <w:tcW w:w="887" w:type="dxa"/>
          </w:tcPr>
          <w:p w14:paraId="71107AF8"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2 412</w:t>
            </w:r>
          </w:p>
        </w:tc>
      </w:tr>
      <w:tr w:rsidR="009C6724" w14:paraId="252EB8BE" w14:textId="77777777" w:rsidTr="009C6724">
        <w:tc>
          <w:tcPr>
            <w:cnfStyle w:val="001000000000" w:firstRow="0" w:lastRow="0" w:firstColumn="1" w:lastColumn="0" w:oddVBand="0" w:evenVBand="0" w:oddHBand="0" w:evenHBand="0" w:firstRowFirstColumn="0" w:firstRowLastColumn="0" w:lastRowFirstColumn="0" w:lastRowLastColumn="0"/>
            <w:tcW w:w="4163" w:type="dxa"/>
          </w:tcPr>
          <w:p w14:paraId="65165B5A" w14:textId="77777777" w:rsidR="00AB205D" w:rsidRDefault="00471A3B">
            <w:pPr>
              <w:spacing w:after="0"/>
            </w:pPr>
            <w:r>
              <w:t>Sales of goods and services</w:t>
            </w:r>
          </w:p>
        </w:tc>
        <w:tc>
          <w:tcPr>
            <w:tcW w:w="887" w:type="dxa"/>
          </w:tcPr>
          <w:p w14:paraId="25BB7126"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6 408</w:t>
            </w:r>
          </w:p>
        </w:tc>
        <w:tc>
          <w:tcPr>
            <w:tcW w:w="887" w:type="dxa"/>
          </w:tcPr>
          <w:p w14:paraId="22F09666"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6 675</w:t>
            </w:r>
          </w:p>
        </w:tc>
        <w:tc>
          <w:tcPr>
            <w:tcW w:w="887" w:type="dxa"/>
          </w:tcPr>
          <w:p w14:paraId="02C6877F"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6 664</w:t>
            </w:r>
          </w:p>
        </w:tc>
        <w:tc>
          <w:tcPr>
            <w:tcW w:w="887" w:type="dxa"/>
          </w:tcPr>
          <w:p w14:paraId="1548CEB5"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6 753</w:t>
            </w:r>
          </w:p>
        </w:tc>
      </w:tr>
      <w:tr w:rsidR="009C6724" w14:paraId="7EF21B41" w14:textId="77777777" w:rsidTr="009C6724">
        <w:tc>
          <w:tcPr>
            <w:cnfStyle w:val="001000000000" w:firstRow="0" w:lastRow="0" w:firstColumn="1" w:lastColumn="0" w:oddVBand="0" w:evenVBand="0" w:oddHBand="0" w:evenHBand="0" w:firstRowFirstColumn="0" w:firstRowLastColumn="0" w:lastRowFirstColumn="0" w:lastRowLastColumn="0"/>
            <w:tcW w:w="4163" w:type="dxa"/>
          </w:tcPr>
          <w:p w14:paraId="0C722A57" w14:textId="77777777" w:rsidR="00AB205D" w:rsidRDefault="00471A3B">
            <w:pPr>
              <w:spacing w:after="0"/>
            </w:pPr>
            <w:r>
              <w:t>Grants</w:t>
            </w:r>
          </w:p>
        </w:tc>
        <w:tc>
          <w:tcPr>
            <w:tcW w:w="887" w:type="dxa"/>
          </w:tcPr>
          <w:p w14:paraId="12CF12DE"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40 533</w:t>
            </w:r>
          </w:p>
        </w:tc>
        <w:tc>
          <w:tcPr>
            <w:tcW w:w="887" w:type="dxa"/>
          </w:tcPr>
          <w:p w14:paraId="2D137829"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43 241</w:t>
            </w:r>
          </w:p>
        </w:tc>
        <w:tc>
          <w:tcPr>
            <w:tcW w:w="887" w:type="dxa"/>
          </w:tcPr>
          <w:p w14:paraId="5EF5887F"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46 228</w:t>
            </w:r>
          </w:p>
        </w:tc>
        <w:tc>
          <w:tcPr>
            <w:tcW w:w="887" w:type="dxa"/>
          </w:tcPr>
          <w:p w14:paraId="0C82548B"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48 062</w:t>
            </w:r>
          </w:p>
        </w:tc>
      </w:tr>
      <w:tr w:rsidR="009C6724" w14:paraId="015851D0" w14:textId="77777777" w:rsidTr="009C6724">
        <w:tc>
          <w:tcPr>
            <w:cnfStyle w:val="001000000000" w:firstRow="0" w:lastRow="0" w:firstColumn="1" w:lastColumn="0" w:oddVBand="0" w:evenVBand="0" w:oddHBand="0" w:evenHBand="0" w:firstRowFirstColumn="0" w:firstRowLastColumn="0" w:lastRowFirstColumn="0" w:lastRowLastColumn="0"/>
            <w:tcW w:w="4163" w:type="dxa"/>
            <w:tcBorders>
              <w:bottom w:val="single" w:sz="6" w:space="0" w:color="auto"/>
            </w:tcBorders>
          </w:tcPr>
          <w:p w14:paraId="290C86C0" w14:textId="77777777" w:rsidR="00AB205D" w:rsidRDefault="00471A3B">
            <w:pPr>
              <w:spacing w:after="0"/>
            </w:pPr>
            <w:r>
              <w:t>Other revenue and income</w:t>
            </w:r>
          </w:p>
        </w:tc>
        <w:tc>
          <w:tcPr>
            <w:tcW w:w="887" w:type="dxa"/>
            <w:tcBorders>
              <w:bottom w:val="single" w:sz="6" w:space="0" w:color="auto"/>
            </w:tcBorders>
          </w:tcPr>
          <w:p w14:paraId="609A2A39"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3 619</w:t>
            </w:r>
          </w:p>
        </w:tc>
        <w:tc>
          <w:tcPr>
            <w:tcW w:w="887" w:type="dxa"/>
            <w:tcBorders>
              <w:bottom w:val="single" w:sz="6" w:space="0" w:color="auto"/>
            </w:tcBorders>
          </w:tcPr>
          <w:p w14:paraId="1552A892"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3 214</w:t>
            </w:r>
          </w:p>
        </w:tc>
        <w:tc>
          <w:tcPr>
            <w:tcW w:w="887" w:type="dxa"/>
            <w:tcBorders>
              <w:bottom w:val="single" w:sz="6" w:space="0" w:color="auto"/>
            </w:tcBorders>
          </w:tcPr>
          <w:p w14:paraId="1F19B70B"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3 327</w:t>
            </w:r>
          </w:p>
        </w:tc>
        <w:tc>
          <w:tcPr>
            <w:tcW w:w="887" w:type="dxa"/>
            <w:tcBorders>
              <w:bottom w:val="single" w:sz="6" w:space="0" w:color="auto"/>
            </w:tcBorders>
          </w:tcPr>
          <w:p w14:paraId="388FD7D8"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3 846</w:t>
            </w:r>
          </w:p>
        </w:tc>
      </w:tr>
      <w:tr w:rsidR="009C6724" w14:paraId="69D5BECD" w14:textId="77777777" w:rsidTr="009C6724">
        <w:tc>
          <w:tcPr>
            <w:cnfStyle w:val="001000000000" w:firstRow="0" w:lastRow="0" w:firstColumn="1" w:lastColumn="0" w:oddVBand="0" w:evenVBand="0" w:oddHBand="0" w:evenHBand="0" w:firstRowFirstColumn="0" w:firstRowLastColumn="0" w:lastRowFirstColumn="0" w:lastRowLastColumn="0"/>
            <w:tcW w:w="4163" w:type="dxa"/>
            <w:tcBorders>
              <w:top w:val="single" w:sz="6" w:space="0" w:color="auto"/>
            </w:tcBorders>
          </w:tcPr>
          <w:p w14:paraId="344751F5" w14:textId="77777777" w:rsidR="00AB205D" w:rsidRDefault="00471A3B">
            <w:pPr>
              <w:spacing w:after="0"/>
            </w:pPr>
            <w:r>
              <w:rPr>
                <w:b/>
              </w:rPr>
              <w:t>Total revenue and income from transactions</w:t>
            </w:r>
          </w:p>
        </w:tc>
        <w:tc>
          <w:tcPr>
            <w:tcW w:w="887" w:type="dxa"/>
            <w:tcBorders>
              <w:top w:val="single" w:sz="6" w:space="0" w:color="auto"/>
            </w:tcBorders>
          </w:tcPr>
          <w:p w14:paraId="2F200317"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90 346</w:t>
            </w:r>
          </w:p>
        </w:tc>
        <w:tc>
          <w:tcPr>
            <w:tcW w:w="887" w:type="dxa"/>
            <w:tcBorders>
              <w:top w:val="single" w:sz="6" w:space="0" w:color="auto"/>
            </w:tcBorders>
          </w:tcPr>
          <w:p w14:paraId="7A235B96"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93 519</w:t>
            </w:r>
          </w:p>
        </w:tc>
        <w:tc>
          <w:tcPr>
            <w:tcW w:w="887" w:type="dxa"/>
            <w:tcBorders>
              <w:top w:val="single" w:sz="6" w:space="0" w:color="auto"/>
            </w:tcBorders>
          </w:tcPr>
          <w:p w14:paraId="397D83F7"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98 220</w:t>
            </w:r>
          </w:p>
        </w:tc>
        <w:tc>
          <w:tcPr>
            <w:tcW w:w="887" w:type="dxa"/>
            <w:tcBorders>
              <w:top w:val="single" w:sz="6" w:space="0" w:color="auto"/>
            </w:tcBorders>
          </w:tcPr>
          <w:p w14:paraId="1F3C5D58"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102 635</w:t>
            </w:r>
          </w:p>
        </w:tc>
      </w:tr>
      <w:tr w:rsidR="009C6724" w14:paraId="57E36538" w14:textId="77777777" w:rsidTr="009C6724">
        <w:tc>
          <w:tcPr>
            <w:cnfStyle w:val="001000000000" w:firstRow="0" w:lastRow="0" w:firstColumn="1" w:lastColumn="0" w:oddVBand="0" w:evenVBand="0" w:oddHBand="0" w:evenHBand="0" w:firstRowFirstColumn="0" w:firstRowLastColumn="0" w:lastRowFirstColumn="0" w:lastRowLastColumn="0"/>
            <w:tcW w:w="4163" w:type="dxa"/>
          </w:tcPr>
          <w:p w14:paraId="4805A367" w14:textId="77777777" w:rsidR="00AB205D" w:rsidRDefault="00471A3B">
            <w:pPr>
              <w:spacing w:after="0"/>
            </w:pPr>
            <w:r>
              <w:rPr>
                <w:i/>
              </w:rPr>
              <w:t>% change</w:t>
            </w:r>
          </w:p>
        </w:tc>
        <w:tc>
          <w:tcPr>
            <w:tcW w:w="887" w:type="dxa"/>
          </w:tcPr>
          <w:p w14:paraId="1B5A7399"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i/>
              </w:rPr>
              <w:t>6.6</w:t>
            </w:r>
          </w:p>
        </w:tc>
        <w:tc>
          <w:tcPr>
            <w:tcW w:w="887" w:type="dxa"/>
          </w:tcPr>
          <w:p w14:paraId="78116B80"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i/>
              </w:rPr>
              <w:t>3.5</w:t>
            </w:r>
          </w:p>
        </w:tc>
        <w:tc>
          <w:tcPr>
            <w:tcW w:w="887" w:type="dxa"/>
          </w:tcPr>
          <w:p w14:paraId="4F56132C"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i/>
              </w:rPr>
              <w:t>5.0</w:t>
            </w:r>
          </w:p>
        </w:tc>
        <w:tc>
          <w:tcPr>
            <w:tcW w:w="887" w:type="dxa"/>
          </w:tcPr>
          <w:p w14:paraId="342A5A9F"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i/>
              </w:rPr>
              <w:t>4.5</w:t>
            </w:r>
          </w:p>
        </w:tc>
      </w:tr>
      <w:tr w:rsidR="009C6724" w14:paraId="70CAC9F1" w14:textId="77777777" w:rsidTr="009C6724">
        <w:tc>
          <w:tcPr>
            <w:cnfStyle w:val="001000000000" w:firstRow="0" w:lastRow="0" w:firstColumn="1" w:lastColumn="0" w:oddVBand="0" w:evenVBand="0" w:oddHBand="0" w:evenHBand="0" w:firstRowFirstColumn="0" w:firstRowLastColumn="0" w:lastRowFirstColumn="0" w:lastRowLastColumn="0"/>
            <w:tcW w:w="4163" w:type="dxa"/>
          </w:tcPr>
          <w:p w14:paraId="49AEFEEB" w14:textId="77777777" w:rsidR="00AB205D" w:rsidRDefault="00471A3B">
            <w:pPr>
              <w:spacing w:after="0"/>
            </w:pPr>
            <w:r>
              <w:rPr>
                <w:b/>
              </w:rPr>
              <w:t>Expenses from transactions</w:t>
            </w:r>
          </w:p>
        </w:tc>
        <w:tc>
          <w:tcPr>
            <w:tcW w:w="887" w:type="dxa"/>
          </w:tcPr>
          <w:p w14:paraId="59765496"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887" w:type="dxa"/>
          </w:tcPr>
          <w:p w14:paraId="2B97E8D1"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887" w:type="dxa"/>
          </w:tcPr>
          <w:p w14:paraId="7DCB6A18"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887" w:type="dxa"/>
          </w:tcPr>
          <w:p w14:paraId="7FB2288E"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r>
      <w:tr w:rsidR="009C6724" w14:paraId="34D53D59" w14:textId="77777777" w:rsidTr="009C6724">
        <w:tc>
          <w:tcPr>
            <w:cnfStyle w:val="001000000000" w:firstRow="0" w:lastRow="0" w:firstColumn="1" w:lastColumn="0" w:oddVBand="0" w:evenVBand="0" w:oddHBand="0" w:evenHBand="0" w:firstRowFirstColumn="0" w:firstRowLastColumn="0" w:lastRowFirstColumn="0" w:lastRowLastColumn="0"/>
            <w:tcW w:w="4163" w:type="dxa"/>
          </w:tcPr>
          <w:p w14:paraId="2EB21438" w14:textId="77777777" w:rsidR="00AB205D" w:rsidRDefault="00471A3B">
            <w:pPr>
              <w:spacing w:after="0"/>
            </w:pPr>
            <w:r>
              <w:t>Employee expenses</w:t>
            </w:r>
          </w:p>
        </w:tc>
        <w:tc>
          <w:tcPr>
            <w:tcW w:w="887" w:type="dxa"/>
          </w:tcPr>
          <w:p w14:paraId="00BE70F4"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34 816</w:t>
            </w:r>
          </w:p>
        </w:tc>
        <w:tc>
          <w:tcPr>
            <w:tcW w:w="887" w:type="dxa"/>
          </w:tcPr>
          <w:p w14:paraId="24FFF47E"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35 966</w:t>
            </w:r>
          </w:p>
        </w:tc>
        <w:tc>
          <w:tcPr>
            <w:tcW w:w="887" w:type="dxa"/>
          </w:tcPr>
          <w:p w14:paraId="0A5353EE"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37 035</w:t>
            </w:r>
          </w:p>
        </w:tc>
        <w:tc>
          <w:tcPr>
            <w:tcW w:w="887" w:type="dxa"/>
          </w:tcPr>
          <w:p w14:paraId="39C77B62"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38 653</w:t>
            </w:r>
          </w:p>
        </w:tc>
      </w:tr>
      <w:tr w:rsidR="009C6724" w14:paraId="1684F70E" w14:textId="77777777" w:rsidTr="009C6724">
        <w:tc>
          <w:tcPr>
            <w:cnfStyle w:val="001000000000" w:firstRow="0" w:lastRow="0" w:firstColumn="1" w:lastColumn="0" w:oddVBand="0" w:evenVBand="0" w:oddHBand="0" w:evenHBand="0" w:firstRowFirstColumn="0" w:firstRowLastColumn="0" w:lastRowFirstColumn="0" w:lastRowLastColumn="0"/>
            <w:tcW w:w="4163" w:type="dxa"/>
          </w:tcPr>
          <w:p w14:paraId="739F6049" w14:textId="77777777" w:rsidR="00AB205D" w:rsidRDefault="00471A3B">
            <w:pPr>
              <w:spacing w:after="0"/>
            </w:pPr>
            <w:r>
              <w:t xml:space="preserve">Superannuation </w:t>
            </w:r>
            <w:r>
              <w:rPr>
                <w:vertAlign w:val="superscript"/>
              </w:rPr>
              <w:t>(c)</w:t>
            </w:r>
          </w:p>
        </w:tc>
        <w:tc>
          <w:tcPr>
            <w:tcW w:w="887" w:type="dxa"/>
          </w:tcPr>
          <w:p w14:paraId="443DD25F"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4 391</w:t>
            </w:r>
          </w:p>
        </w:tc>
        <w:tc>
          <w:tcPr>
            <w:tcW w:w="887" w:type="dxa"/>
          </w:tcPr>
          <w:p w14:paraId="12BC581D"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4 389</w:t>
            </w:r>
          </w:p>
        </w:tc>
        <w:tc>
          <w:tcPr>
            <w:tcW w:w="887" w:type="dxa"/>
          </w:tcPr>
          <w:p w14:paraId="5E8CFC97"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4 433</w:t>
            </w:r>
          </w:p>
        </w:tc>
        <w:tc>
          <w:tcPr>
            <w:tcW w:w="887" w:type="dxa"/>
          </w:tcPr>
          <w:p w14:paraId="61C32590"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4 510</w:t>
            </w:r>
          </w:p>
        </w:tc>
      </w:tr>
      <w:tr w:rsidR="009C6724" w14:paraId="3640B411" w14:textId="77777777" w:rsidTr="009C6724">
        <w:tc>
          <w:tcPr>
            <w:cnfStyle w:val="001000000000" w:firstRow="0" w:lastRow="0" w:firstColumn="1" w:lastColumn="0" w:oddVBand="0" w:evenVBand="0" w:oddHBand="0" w:evenHBand="0" w:firstRowFirstColumn="0" w:firstRowLastColumn="0" w:lastRowFirstColumn="0" w:lastRowLastColumn="0"/>
            <w:tcW w:w="4163" w:type="dxa"/>
          </w:tcPr>
          <w:p w14:paraId="0606A397" w14:textId="77777777" w:rsidR="00AB205D" w:rsidRDefault="00471A3B">
            <w:pPr>
              <w:spacing w:after="0"/>
            </w:pPr>
            <w:r>
              <w:t>Depreciation</w:t>
            </w:r>
          </w:p>
        </w:tc>
        <w:tc>
          <w:tcPr>
            <w:tcW w:w="887" w:type="dxa"/>
          </w:tcPr>
          <w:p w14:paraId="47BE809E"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4 897</w:t>
            </w:r>
          </w:p>
        </w:tc>
        <w:tc>
          <w:tcPr>
            <w:tcW w:w="887" w:type="dxa"/>
          </w:tcPr>
          <w:p w14:paraId="7259000B"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5 037</w:t>
            </w:r>
          </w:p>
        </w:tc>
        <w:tc>
          <w:tcPr>
            <w:tcW w:w="887" w:type="dxa"/>
          </w:tcPr>
          <w:p w14:paraId="5B638D3F"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5 348</w:t>
            </w:r>
          </w:p>
        </w:tc>
        <w:tc>
          <w:tcPr>
            <w:tcW w:w="887" w:type="dxa"/>
          </w:tcPr>
          <w:p w14:paraId="152E8F6B"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5 557</w:t>
            </w:r>
          </w:p>
        </w:tc>
      </w:tr>
      <w:tr w:rsidR="009C6724" w14:paraId="55FA8169" w14:textId="77777777" w:rsidTr="009C6724">
        <w:tc>
          <w:tcPr>
            <w:cnfStyle w:val="001000000000" w:firstRow="0" w:lastRow="0" w:firstColumn="1" w:lastColumn="0" w:oddVBand="0" w:evenVBand="0" w:oddHBand="0" w:evenHBand="0" w:firstRowFirstColumn="0" w:firstRowLastColumn="0" w:lastRowFirstColumn="0" w:lastRowLastColumn="0"/>
            <w:tcW w:w="4163" w:type="dxa"/>
          </w:tcPr>
          <w:p w14:paraId="6B48D2DB" w14:textId="77777777" w:rsidR="00AB205D" w:rsidRDefault="00471A3B">
            <w:pPr>
              <w:spacing w:after="0"/>
            </w:pPr>
            <w:r>
              <w:t>Interest expense</w:t>
            </w:r>
          </w:p>
        </w:tc>
        <w:tc>
          <w:tcPr>
            <w:tcW w:w="887" w:type="dxa"/>
          </w:tcPr>
          <w:p w14:paraId="63CDFDDD"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5 662</w:t>
            </w:r>
          </w:p>
        </w:tc>
        <w:tc>
          <w:tcPr>
            <w:tcW w:w="887" w:type="dxa"/>
          </w:tcPr>
          <w:p w14:paraId="7090ED1C"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6 580</w:t>
            </w:r>
          </w:p>
        </w:tc>
        <w:tc>
          <w:tcPr>
            <w:tcW w:w="887" w:type="dxa"/>
          </w:tcPr>
          <w:p w14:paraId="02E5459C"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7 741</w:t>
            </w:r>
          </w:p>
        </w:tc>
        <w:tc>
          <w:tcPr>
            <w:tcW w:w="887" w:type="dxa"/>
          </w:tcPr>
          <w:p w14:paraId="30AC1DA8"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8 793</w:t>
            </w:r>
          </w:p>
        </w:tc>
      </w:tr>
      <w:tr w:rsidR="009C6724" w14:paraId="2108A37E" w14:textId="77777777" w:rsidTr="009C6724">
        <w:tc>
          <w:tcPr>
            <w:cnfStyle w:val="001000000000" w:firstRow="0" w:lastRow="0" w:firstColumn="1" w:lastColumn="0" w:oddVBand="0" w:evenVBand="0" w:oddHBand="0" w:evenHBand="0" w:firstRowFirstColumn="0" w:firstRowLastColumn="0" w:lastRowFirstColumn="0" w:lastRowLastColumn="0"/>
            <w:tcW w:w="4163" w:type="dxa"/>
          </w:tcPr>
          <w:p w14:paraId="06437FA6" w14:textId="77777777" w:rsidR="00AB205D" w:rsidRDefault="00471A3B">
            <w:pPr>
              <w:spacing w:after="0"/>
            </w:pPr>
            <w:r>
              <w:t>Grant expense</w:t>
            </w:r>
          </w:p>
        </w:tc>
        <w:tc>
          <w:tcPr>
            <w:tcW w:w="887" w:type="dxa"/>
          </w:tcPr>
          <w:p w14:paraId="6684C95C"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16 995</w:t>
            </w:r>
          </w:p>
        </w:tc>
        <w:tc>
          <w:tcPr>
            <w:tcW w:w="887" w:type="dxa"/>
          </w:tcPr>
          <w:p w14:paraId="0F2DC842"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17 124</w:t>
            </w:r>
          </w:p>
        </w:tc>
        <w:tc>
          <w:tcPr>
            <w:tcW w:w="887" w:type="dxa"/>
          </w:tcPr>
          <w:p w14:paraId="6A684CCA"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16 880</w:t>
            </w:r>
          </w:p>
        </w:tc>
        <w:tc>
          <w:tcPr>
            <w:tcW w:w="887" w:type="dxa"/>
          </w:tcPr>
          <w:p w14:paraId="3E56BFCB"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16 900</w:t>
            </w:r>
          </w:p>
        </w:tc>
      </w:tr>
      <w:tr w:rsidR="009C6724" w14:paraId="5B105464" w14:textId="77777777" w:rsidTr="009C6724">
        <w:tc>
          <w:tcPr>
            <w:cnfStyle w:val="001000000000" w:firstRow="0" w:lastRow="0" w:firstColumn="1" w:lastColumn="0" w:oddVBand="0" w:evenVBand="0" w:oddHBand="0" w:evenHBand="0" w:firstRowFirstColumn="0" w:firstRowLastColumn="0" w:lastRowFirstColumn="0" w:lastRowLastColumn="0"/>
            <w:tcW w:w="4163" w:type="dxa"/>
            <w:tcBorders>
              <w:bottom w:val="single" w:sz="6" w:space="0" w:color="auto"/>
            </w:tcBorders>
          </w:tcPr>
          <w:p w14:paraId="6374DCF5" w14:textId="77777777" w:rsidR="00AB205D" w:rsidRDefault="00471A3B">
            <w:pPr>
              <w:spacing w:after="0"/>
            </w:pPr>
            <w:r>
              <w:t>Other operating expenses</w:t>
            </w:r>
          </w:p>
        </w:tc>
        <w:tc>
          <w:tcPr>
            <w:tcW w:w="887" w:type="dxa"/>
            <w:tcBorders>
              <w:bottom w:val="single" w:sz="6" w:space="0" w:color="auto"/>
            </w:tcBorders>
          </w:tcPr>
          <w:p w14:paraId="154D8816"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27 055</w:t>
            </w:r>
          </w:p>
        </w:tc>
        <w:tc>
          <w:tcPr>
            <w:tcW w:w="887" w:type="dxa"/>
            <w:tcBorders>
              <w:bottom w:val="single" w:sz="6" w:space="0" w:color="auto"/>
            </w:tcBorders>
          </w:tcPr>
          <w:p w14:paraId="5A6A68BE"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25 445</w:t>
            </w:r>
          </w:p>
        </w:tc>
        <w:tc>
          <w:tcPr>
            <w:tcW w:w="887" w:type="dxa"/>
            <w:tcBorders>
              <w:bottom w:val="single" w:sz="6" w:space="0" w:color="auto"/>
            </w:tcBorders>
          </w:tcPr>
          <w:p w14:paraId="3F411611"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25 720</w:t>
            </w:r>
          </w:p>
        </w:tc>
        <w:tc>
          <w:tcPr>
            <w:tcW w:w="887" w:type="dxa"/>
            <w:tcBorders>
              <w:bottom w:val="single" w:sz="6" w:space="0" w:color="auto"/>
            </w:tcBorders>
          </w:tcPr>
          <w:p w14:paraId="3EF86A3C"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26 991</w:t>
            </w:r>
          </w:p>
        </w:tc>
      </w:tr>
      <w:tr w:rsidR="009C6724" w14:paraId="2742C559" w14:textId="77777777" w:rsidTr="009C6724">
        <w:tc>
          <w:tcPr>
            <w:cnfStyle w:val="001000000000" w:firstRow="0" w:lastRow="0" w:firstColumn="1" w:lastColumn="0" w:oddVBand="0" w:evenVBand="0" w:oddHBand="0" w:evenHBand="0" w:firstRowFirstColumn="0" w:firstRowLastColumn="0" w:lastRowFirstColumn="0" w:lastRowLastColumn="0"/>
            <w:tcW w:w="4163" w:type="dxa"/>
            <w:tcBorders>
              <w:top w:val="single" w:sz="6" w:space="0" w:color="auto"/>
            </w:tcBorders>
          </w:tcPr>
          <w:p w14:paraId="1C825CF1" w14:textId="77777777" w:rsidR="00AB205D" w:rsidRDefault="00471A3B">
            <w:pPr>
              <w:spacing w:after="0"/>
            </w:pPr>
            <w:r>
              <w:rPr>
                <w:b/>
              </w:rPr>
              <w:t>Total expenses from transactions</w:t>
            </w:r>
          </w:p>
        </w:tc>
        <w:tc>
          <w:tcPr>
            <w:tcW w:w="887" w:type="dxa"/>
            <w:tcBorders>
              <w:top w:val="single" w:sz="6" w:space="0" w:color="auto"/>
            </w:tcBorders>
          </w:tcPr>
          <w:p w14:paraId="50345082"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93 816</w:t>
            </w:r>
          </w:p>
        </w:tc>
        <w:tc>
          <w:tcPr>
            <w:tcW w:w="887" w:type="dxa"/>
            <w:tcBorders>
              <w:top w:val="single" w:sz="6" w:space="0" w:color="auto"/>
            </w:tcBorders>
          </w:tcPr>
          <w:p w14:paraId="02016598"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94 541</w:t>
            </w:r>
          </w:p>
        </w:tc>
        <w:tc>
          <w:tcPr>
            <w:tcW w:w="887" w:type="dxa"/>
            <w:tcBorders>
              <w:top w:val="single" w:sz="6" w:space="0" w:color="auto"/>
            </w:tcBorders>
          </w:tcPr>
          <w:p w14:paraId="0AA32DF2"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97 158</w:t>
            </w:r>
          </w:p>
        </w:tc>
        <w:tc>
          <w:tcPr>
            <w:tcW w:w="887" w:type="dxa"/>
            <w:tcBorders>
              <w:top w:val="single" w:sz="6" w:space="0" w:color="auto"/>
            </w:tcBorders>
          </w:tcPr>
          <w:p w14:paraId="31265976"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101 403</w:t>
            </w:r>
          </w:p>
        </w:tc>
      </w:tr>
      <w:tr w:rsidR="009C6724" w14:paraId="1A7F252C" w14:textId="77777777" w:rsidTr="009C6724">
        <w:tc>
          <w:tcPr>
            <w:cnfStyle w:val="001000000000" w:firstRow="0" w:lastRow="0" w:firstColumn="1" w:lastColumn="0" w:oddVBand="0" w:evenVBand="0" w:oddHBand="0" w:evenHBand="0" w:firstRowFirstColumn="0" w:firstRowLastColumn="0" w:lastRowFirstColumn="0" w:lastRowLastColumn="0"/>
            <w:tcW w:w="4163" w:type="dxa"/>
            <w:tcBorders>
              <w:bottom w:val="single" w:sz="6" w:space="0" w:color="auto"/>
            </w:tcBorders>
          </w:tcPr>
          <w:p w14:paraId="4799A87B" w14:textId="77777777" w:rsidR="00AB205D" w:rsidRDefault="00471A3B">
            <w:pPr>
              <w:spacing w:after="0"/>
            </w:pPr>
            <w:r>
              <w:rPr>
                <w:i/>
              </w:rPr>
              <w:t>% change</w:t>
            </w:r>
          </w:p>
        </w:tc>
        <w:tc>
          <w:tcPr>
            <w:tcW w:w="887" w:type="dxa"/>
            <w:tcBorders>
              <w:bottom w:val="single" w:sz="6" w:space="0" w:color="auto"/>
            </w:tcBorders>
          </w:tcPr>
          <w:p w14:paraId="6CE16144"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i/>
              </w:rPr>
              <w:t>0.3</w:t>
            </w:r>
          </w:p>
        </w:tc>
        <w:tc>
          <w:tcPr>
            <w:tcW w:w="887" w:type="dxa"/>
            <w:tcBorders>
              <w:bottom w:val="single" w:sz="6" w:space="0" w:color="auto"/>
            </w:tcBorders>
          </w:tcPr>
          <w:p w14:paraId="1D5D697D"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i/>
              </w:rPr>
              <w:t>0.8</w:t>
            </w:r>
          </w:p>
        </w:tc>
        <w:tc>
          <w:tcPr>
            <w:tcW w:w="887" w:type="dxa"/>
            <w:tcBorders>
              <w:bottom w:val="single" w:sz="6" w:space="0" w:color="auto"/>
            </w:tcBorders>
          </w:tcPr>
          <w:p w14:paraId="23A49696"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i/>
              </w:rPr>
              <w:t>2.8</w:t>
            </w:r>
          </w:p>
        </w:tc>
        <w:tc>
          <w:tcPr>
            <w:tcW w:w="887" w:type="dxa"/>
            <w:tcBorders>
              <w:bottom w:val="single" w:sz="6" w:space="0" w:color="auto"/>
            </w:tcBorders>
          </w:tcPr>
          <w:p w14:paraId="7C31B87A"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i/>
              </w:rPr>
              <w:t>4.4</w:t>
            </w:r>
          </w:p>
        </w:tc>
      </w:tr>
      <w:tr w:rsidR="009C6724" w14:paraId="51BAA18E" w14:textId="77777777" w:rsidTr="009C6724">
        <w:tc>
          <w:tcPr>
            <w:cnfStyle w:val="001000000000" w:firstRow="0" w:lastRow="0" w:firstColumn="1" w:lastColumn="0" w:oddVBand="0" w:evenVBand="0" w:oddHBand="0" w:evenHBand="0" w:firstRowFirstColumn="0" w:firstRowLastColumn="0" w:lastRowFirstColumn="0" w:lastRowLastColumn="0"/>
            <w:tcW w:w="4163" w:type="dxa"/>
            <w:tcBorders>
              <w:top w:val="single" w:sz="6" w:space="0" w:color="auto"/>
              <w:bottom w:val="single" w:sz="6" w:space="0" w:color="auto"/>
            </w:tcBorders>
          </w:tcPr>
          <w:p w14:paraId="1AC1BE69" w14:textId="63B38DAF" w:rsidR="00AB205D" w:rsidRDefault="00471A3B">
            <w:pPr>
              <w:spacing w:after="0"/>
            </w:pPr>
            <w:r>
              <w:rPr>
                <w:b/>
              </w:rPr>
              <w:t xml:space="preserve">Net result from transactions – </w:t>
            </w:r>
            <w:r w:rsidR="00326F9D">
              <w:rPr>
                <w:b/>
              </w:rPr>
              <w:t xml:space="preserve">Net </w:t>
            </w:r>
            <w:r>
              <w:rPr>
                <w:b/>
              </w:rPr>
              <w:t>operating balance</w:t>
            </w:r>
          </w:p>
        </w:tc>
        <w:tc>
          <w:tcPr>
            <w:tcW w:w="887" w:type="dxa"/>
            <w:tcBorders>
              <w:top w:val="single" w:sz="6" w:space="0" w:color="auto"/>
              <w:bottom w:val="single" w:sz="6" w:space="0" w:color="auto"/>
            </w:tcBorders>
          </w:tcPr>
          <w:p w14:paraId="15B2892E"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(3 470)</w:t>
            </w:r>
          </w:p>
        </w:tc>
        <w:tc>
          <w:tcPr>
            <w:tcW w:w="887" w:type="dxa"/>
            <w:tcBorders>
              <w:top w:val="single" w:sz="6" w:space="0" w:color="auto"/>
              <w:bottom w:val="single" w:sz="6" w:space="0" w:color="auto"/>
            </w:tcBorders>
          </w:tcPr>
          <w:p w14:paraId="7D4564AD"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(1 022)</w:t>
            </w:r>
          </w:p>
        </w:tc>
        <w:tc>
          <w:tcPr>
            <w:tcW w:w="887" w:type="dxa"/>
            <w:tcBorders>
              <w:top w:val="single" w:sz="6" w:space="0" w:color="auto"/>
              <w:bottom w:val="single" w:sz="6" w:space="0" w:color="auto"/>
            </w:tcBorders>
          </w:tcPr>
          <w:p w14:paraId="6A343F2D"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1 062</w:t>
            </w:r>
          </w:p>
        </w:tc>
        <w:tc>
          <w:tcPr>
            <w:tcW w:w="887" w:type="dxa"/>
            <w:tcBorders>
              <w:top w:val="single" w:sz="6" w:space="0" w:color="auto"/>
              <w:bottom w:val="single" w:sz="6" w:space="0" w:color="auto"/>
            </w:tcBorders>
          </w:tcPr>
          <w:p w14:paraId="716884C6"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1 232</w:t>
            </w:r>
          </w:p>
        </w:tc>
      </w:tr>
      <w:tr w:rsidR="009C6724" w14:paraId="4CC77476" w14:textId="77777777" w:rsidTr="009C6724">
        <w:tc>
          <w:tcPr>
            <w:cnfStyle w:val="001000000000" w:firstRow="0" w:lastRow="0" w:firstColumn="1" w:lastColumn="0" w:oddVBand="0" w:evenVBand="0" w:oddHBand="0" w:evenHBand="0" w:firstRowFirstColumn="0" w:firstRowLastColumn="0" w:lastRowFirstColumn="0" w:lastRowLastColumn="0"/>
            <w:tcW w:w="4163" w:type="dxa"/>
            <w:tcBorders>
              <w:top w:val="single" w:sz="6" w:space="0" w:color="auto"/>
              <w:bottom w:val="single" w:sz="6" w:space="0" w:color="auto"/>
            </w:tcBorders>
          </w:tcPr>
          <w:p w14:paraId="7FD4A7B6" w14:textId="77777777" w:rsidR="00AB205D" w:rsidRDefault="00471A3B">
            <w:pPr>
              <w:spacing w:after="0"/>
            </w:pPr>
            <w:r>
              <w:rPr>
                <w:b/>
              </w:rPr>
              <w:t xml:space="preserve">Total other economic flows included in net result </w:t>
            </w:r>
            <w:r>
              <w:rPr>
                <w:b/>
                <w:vertAlign w:val="superscript"/>
              </w:rPr>
              <w:t>(d)</w:t>
            </w:r>
          </w:p>
        </w:tc>
        <w:tc>
          <w:tcPr>
            <w:tcW w:w="887" w:type="dxa"/>
            <w:tcBorders>
              <w:top w:val="single" w:sz="6" w:space="0" w:color="auto"/>
              <w:bottom w:val="single" w:sz="6" w:space="0" w:color="auto"/>
            </w:tcBorders>
          </w:tcPr>
          <w:p w14:paraId="1C32FD3C"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(567)</w:t>
            </w:r>
          </w:p>
        </w:tc>
        <w:tc>
          <w:tcPr>
            <w:tcW w:w="887" w:type="dxa"/>
            <w:tcBorders>
              <w:top w:val="single" w:sz="6" w:space="0" w:color="auto"/>
              <w:bottom w:val="single" w:sz="6" w:space="0" w:color="auto"/>
            </w:tcBorders>
          </w:tcPr>
          <w:p w14:paraId="6B29B40C"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(329)</w:t>
            </w:r>
          </w:p>
        </w:tc>
        <w:tc>
          <w:tcPr>
            <w:tcW w:w="887" w:type="dxa"/>
            <w:tcBorders>
              <w:top w:val="single" w:sz="6" w:space="0" w:color="auto"/>
              <w:bottom w:val="single" w:sz="6" w:space="0" w:color="auto"/>
            </w:tcBorders>
          </w:tcPr>
          <w:p w14:paraId="39ED149D"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(209)</w:t>
            </w:r>
          </w:p>
        </w:tc>
        <w:tc>
          <w:tcPr>
            <w:tcW w:w="887" w:type="dxa"/>
            <w:tcBorders>
              <w:top w:val="single" w:sz="6" w:space="0" w:color="auto"/>
              <w:bottom w:val="single" w:sz="6" w:space="0" w:color="auto"/>
            </w:tcBorders>
          </w:tcPr>
          <w:p w14:paraId="573CA65F"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(262)</w:t>
            </w:r>
          </w:p>
        </w:tc>
      </w:tr>
      <w:tr w:rsidR="009C6724" w14:paraId="6604563E" w14:textId="77777777" w:rsidTr="009C6724">
        <w:tc>
          <w:tcPr>
            <w:cnfStyle w:val="001000000000" w:firstRow="0" w:lastRow="0" w:firstColumn="1" w:lastColumn="0" w:oddVBand="0" w:evenVBand="0" w:oddHBand="0" w:evenHBand="0" w:firstRowFirstColumn="0" w:firstRowLastColumn="0" w:lastRowFirstColumn="0" w:lastRowLastColumn="0"/>
            <w:tcW w:w="4163" w:type="dxa"/>
            <w:tcBorders>
              <w:top w:val="single" w:sz="6" w:space="0" w:color="auto"/>
              <w:bottom w:val="single" w:sz="12" w:space="0" w:color="auto"/>
            </w:tcBorders>
          </w:tcPr>
          <w:p w14:paraId="1ACBA691" w14:textId="77777777" w:rsidR="00AB205D" w:rsidRDefault="00471A3B">
            <w:pPr>
              <w:spacing w:after="0"/>
            </w:pPr>
            <w:r>
              <w:rPr>
                <w:b/>
              </w:rPr>
              <w:t>Net result</w:t>
            </w:r>
          </w:p>
        </w:tc>
        <w:tc>
          <w:tcPr>
            <w:tcW w:w="887" w:type="dxa"/>
            <w:tcBorders>
              <w:top w:val="single" w:sz="6" w:space="0" w:color="auto"/>
              <w:bottom w:val="single" w:sz="12" w:space="0" w:color="auto"/>
            </w:tcBorders>
          </w:tcPr>
          <w:p w14:paraId="11C1B809"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(4 037)</w:t>
            </w:r>
          </w:p>
        </w:tc>
        <w:tc>
          <w:tcPr>
            <w:tcW w:w="887" w:type="dxa"/>
            <w:tcBorders>
              <w:top w:val="single" w:sz="6" w:space="0" w:color="auto"/>
              <w:bottom w:val="single" w:sz="12" w:space="0" w:color="auto"/>
            </w:tcBorders>
          </w:tcPr>
          <w:p w14:paraId="4FBDDCF4"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(1 351)</w:t>
            </w:r>
          </w:p>
        </w:tc>
        <w:tc>
          <w:tcPr>
            <w:tcW w:w="887" w:type="dxa"/>
            <w:tcBorders>
              <w:top w:val="single" w:sz="6" w:space="0" w:color="auto"/>
              <w:bottom w:val="single" w:sz="12" w:space="0" w:color="auto"/>
            </w:tcBorders>
          </w:tcPr>
          <w:p w14:paraId="41D25282"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853</w:t>
            </w:r>
          </w:p>
        </w:tc>
        <w:tc>
          <w:tcPr>
            <w:tcW w:w="887" w:type="dxa"/>
            <w:tcBorders>
              <w:top w:val="single" w:sz="6" w:space="0" w:color="auto"/>
              <w:bottom w:val="single" w:sz="12" w:space="0" w:color="auto"/>
            </w:tcBorders>
          </w:tcPr>
          <w:p w14:paraId="3CB42536"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970</w:t>
            </w:r>
          </w:p>
        </w:tc>
      </w:tr>
    </w:tbl>
    <w:p w14:paraId="4F6D6941" w14:textId="77777777" w:rsidR="00AB205D" w:rsidRPr="00C734D9" w:rsidRDefault="00471A3B">
      <w:pPr>
        <w:pStyle w:val="Note"/>
      </w:pPr>
      <w:r w:rsidRPr="00C734D9">
        <w:t>Notes:</w:t>
      </w:r>
    </w:p>
    <w:p w14:paraId="336BCF8F" w14:textId="77777777" w:rsidR="00AB205D" w:rsidRPr="00C734D9" w:rsidRDefault="00471A3B">
      <w:pPr>
        <w:pStyle w:val="Note"/>
      </w:pPr>
      <w:r w:rsidRPr="00C734D9">
        <w:t>(a)</w:t>
      </w:r>
      <w:r w:rsidRPr="00C734D9">
        <w:tab/>
        <w:t>Figures in this table are subject to rounding to the nearest</w:t>
      </w:r>
      <w:r>
        <w:t> </w:t>
      </w:r>
      <w:r w:rsidRPr="00C734D9">
        <w:t>million and may not add up to totals.</w:t>
      </w:r>
    </w:p>
    <w:p w14:paraId="4A067ED6" w14:textId="77777777" w:rsidR="00AB205D" w:rsidRPr="00C734D9" w:rsidRDefault="00471A3B">
      <w:pPr>
        <w:pStyle w:val="Note"/>
      </w:pPr>
      <w:r w:rsidRPr="00C734D9">
        <w:t>(b)</w:t>
      </w:r>
      <w:r w:rsidRPr="00C734D9">
        <w:tab/>
        <w:t xml:space="preserve">Comprises dividends, income tax and rate equivalent revenue </w:t>
      </w:r>
      <w:r>
        <w:t xml:space="preserve">(TER) </w:t>
      </w:r>
      <w:r w:rsidRPr="00C734D9">
        <w:t>and interest.</w:t>
      </w:r>
    </w:p>
    <w:p w14:paraId="763CA211" w14:textId="77777777" w:rsidR="00AB205D" w:rsidRPr="00C734D9" w:rsidRDefault="00471A3B">
      <w:pPr>
        <w:pStyle w:val="Note"/>
      </w:pPr>
      <w:r w:rsidRPr="00C734D9">
        <w:t>(c)</w:t>
      </w:r>
      <w:r w:rsidRPr="00C734D9">
        <w:tab/>
        <w:t>Comprises superannuation interest expense and other superannuation expenses.</w:t>
      </w:r>
    </w:p>
    <w:p w14:paraId="0F226D93" w14:textId="77777777" w:rsidR="00AB205D" w:rsidRPr="00C734D9" w:rsidRDefault="00471A3B">
      <w:pPr>
        <w:pStyle w:val="Note"/>
      </w:pPr>
      <w:r w:rsidRPr="00C734D9">
        <w:t>(d)</w:t>
      </w:r>
      <w:r w:rsidRPr="00C734D9">
        <w:tab/>
        <w:t>This typically includes gains and losses from the disposal of non-financial assets, adjustments for bad and doubtful debts and revaluations of financial assets and liabilities.</w:t>
      </w:r>
    </w:p>
    <w:p w14:paraId="36D25C92" w14:textId="77777777" w:rsidR="00AB205D" w:rsidRPr="00C734D9" w:rsidRDefault="00AB205D"/>
    <w:p w14:paraId="3F362169" w14:textId="77777777" w:rsidR="00AB205D" w:rsidRPr="00C734D9" w:rsidRDefault="00471A3B">
      <w:pPr>
        <w:pStyle w:val="Heading20"/>
        <w:pageBreakBefore/>
      </w:pPr>
      <w:r w:rsidRPr="00C734D9">
        <w:lastRenderedPageBreak/>
        <w:t>Revenue outlook</w:t>
      </w:r>
    </w:p>
    <w:p w14:paraId="1AAC80DA" w14:textId="77777777" w:rsidR="00AB205D" w:rsidRPr="00C734D9" w:rsidRDefault="00471A3B">
      <w:r w:rsidRPr="00C734D9">
        <w:t>Total revenue for the general government sector is forecast to reach $90.3</w:t>
      </w:r>
      <w:r>
        <w:t> </w:t>
      </w:r>
      <w:r w:rsidRPr="00C734D9">
        <w:t>billion in 2023</w:t>
      </w:r>
      <w:r>
        <w:noBreakHyphen/>
      </w:r>
      <w:r w:rsidRPr="00C734D9">
        <w:t>24 and grow by an average of 4.3</w:t>
      </w:r>
      <w:r>
        <w:t> </w:t>
      </w:r>
      <w:r w:rsidRPr="00C734D9">
        <w:t>per</w:t>
      </w:r>
      <w:r>
        <w:t> </w:t>
      </w:r>
      <w:r w:rsidRPr="00C734D9">
        <w:t>cent per year over the forward estimates, reaching $102.6</w:t>
      </w:r>
      <w:r>
        <w:t> </w:t>
      </w:r>
      <w:r w:rsidRPr="00C734D9">
        <w:t>billion in 2026-27.</w:t>
      </w:r>
    </w:p>
    <w:p w14:paraId="66D7FE83" w14:textId="77777777" w:rsidR="00AB205D" w:rsidRPr="00C734D9" w:rsidRDefault="00471A3B">
      <w:pPr>
        <w:pStyle w:val="Heading30"/>
      </w:pPr>
      <w:r w:rsidRPr="00C734D9">
        <w:t>Taxation</w:t>
      </w:r>
    </w:p>
    <w:p w14:paraId="074BE732" w14:textId="77777777" w:rsidR="00AB205D" w:rsidRPr="00C734D9" w:rsidRDefault="00471A3B">
      <w:r w:rsidRPr="00C734D9">
        <w:t>Taxation revenue is forecast to be $35.8</w:t>
      </w:r>
      <w:r>
        <w:t> </w:t>
      </w:r>
      <w:r w:rsidRPr="00C734D9">
        <w:t>billion in 2023</w:t>
      </w:r>
      <w:r>
        <w:noBreakHyphen/>
      </w:r>
      <w:r w:rsidRPr="00C734D9">
        <w:t>24 and grow by an average of 5.1 per</w:t>
      </w:r>
      <w:r>
        <w:t> </w:t>
      </w:r>
      <w:r w:rsidRPr="00C734D9">
        <w:t>cent per year over the forward estimates. Growth in taxation revenue is primarily driven by growth in the state’s three largest tax lines – payroll tax, land tax and land transfer duty.</w:t>
      </w:r>
    </w:p>
    <w:p w14:paraId="05F12975" w14:textId="77777777" w:rsidR="00AB205D" w:rsidRPr="00C734D9" w:rsidRDefault="00471A3B" w:rsidP="00570639">
      <w:pPr>
        <w:pStyle w:val="ListBullet"/>
        <w:numPr>
          <w:ilvl w:val="0"/>
          <w:numId w:val="10"/>
        </w:numPr>
      </w:pPr>
      <w:r w:rsidRPr="00C734D9">
        <w:t xml:space="preserve">Revenue from taxes on employers’ payroll and labour force, inclusive of </w:t>
      </w:r>
      <w:r>
        <w:t>p</w:t>
      </w:r>
      <w:r w:rsidRPr="00C734D9">
        <w:t>ayroll tax, the COVID Debt Levy – Payroll 10m+, and the Mental Health and Wellbeing Levy, is</w:t>
      </w:r>
      <w:r>
        <w:t> </w:t>
      </w:r>
      <w:r w:rsidRPr="00C734D9">
        <w:t>forecast to be $10.3</w:t>
      </w:r>
      <w:r>
        <w:t> </w:t>
      </w:r>
      <w:r w:rsidRPr="00C734D9">
        <w:t>billion in 2023</w:t>
      </w:r>
      <w:r>
        <w:noBreakHyphen/>
      </w:r>
      <w:r w:rsidRPr="00C734D9">
        <w:t>24, and is expected to grow by an average of 4.9</w:t>
      </w:r>
      <w:r>
        <w:t> </w:t>
      </w:r>
      <w:r w:rsidRPr="00C734D9">
        <w:t>per</w:t>
      </w:r>
      <w:r>
        <w:t> </w:t>
      </w:r>
      <w:r w:rsidRPr="00C734D9">
        <w:t xml:space="preserve">cent per year over the forward estimates. </w:t>
      </w:r>
      <w:r>
        <w:t>A</w:t>
      </w:r>
      <w:r w:rsidRPr="00C734D9">
        <w:t xml:space="preserve">ggregate employment and hours worked </w:t>
      </w:r>
      <w:r>
        <w:t>remain healthy, supported by a strong labour market and population growth</w:t>
      </w:r>
      <w:r w:rsidRPr="00C734D9">
        <w:t>. Workforce participation and the share of the population with a job have both remained high, and above-trend nominal wages growth is providing further support to the near-term outlook.</w:t>
      </w:r>
    </w:p>
    <w:p w14:paraId="0FD01B23" w14:textId="77777777" w:rsidR="00AB205D" w:rsidRPr="00C734D9" w:rsidRDefault="00471A3B" w:rsidP="00570639">
      <w:pPr>
        <w:pStyle w:val="ListBullet"/>
        <w:numPr>
          <w:ilvl w:val="0"/>
          <w:numId w:val="10"/>
        </w:numPr>
        <w:spacing w:before="40" w:after="40"/>
        <w:ind w:right="-142"/>
      </w:pPr>
      <w:r w:rsidRPr="00C734D9">
        <w:t xml:space="preserve">Revenue from land taxes, comprising </w:t>
      </w:r>
      <w:r>
        <w:t>l</w:t>
      </w:r>
      <w:r w:rsidRPr="00C734D9">
        <w:t>and tax and the COVID Debt Levy – Landholdings, is expected to be $7.5</w:t>
      </w:r>
      <w:r>
        <w:t> </w:t>
      </w:r>
      <w:r w:rsidRPr="00C734D9">
        <w:t>billion in 2023</w:t>
      </w:r>
      <w:r>
        <w:noBreakHyphen/>
      </w:r>
      <w:r w:rsidRPr="00C734D9">
        <w:t xml:space="preserve">24. Land tax revenue in </w:t>
      </w:r>
      <w:r>
        <w:t>20</w:t>
      </w:r>
      <w:r w:rsidRPr="00C734D9">
        <w:t>23</w:t>
      </w:r>
      <w:r>
        <w:noBreakHyphen/>
      </w:r>
      <w:r w:rsidRPr="00C734D9">
        <w:t xml:space="preserve">24 reflects an expected moderation in the growth of land values, consistent with the </w:t>
      </w:r>
      <w:r w:rsidRPr="00D9100B">
        <w:t xml:space="preserve">Valuer-General </w:t>
      </w:r>
      <w:r>
        <w:t>of Victoria’s (</w:t>
      </w:r>
      <w:r w:rsidRPr="00C734D9">
        <w:t>VGV’s</w:t>
      </w:r>
      <w:r>
        <w:t>)</w:t>
      </w:r>
      <w:r w:rsidRPr="00C734D9">
        <w:t xml:space="preserve"> revaluation outcomes for 2022. Land taxes are expected to grow by an average of 5.0</w:t>
      </w:r>
      <w:r>
        <w:t> </w:t>
      </w:r>
      <w:r w:rsidRPr="00C734D9">
        <w:t>per</w:t>
      </w:r>
      <w:r>
        <w:t> </w:t>
      </w:r>
      <w:r w:rsidRPr="00C734D9">
        <w:t>cent per year over the forward estimates, with</w:t>
      </w:r>
      <w:r>
        <w:t> </w:t>
      </w:r>
      <w:r w:rsidRPr="00C734D9">
        <w:t>the rebound in residential property values and cooling of commercial and industrial property market conditions across 2023 flowing through to land tax revenue in 2024-25.</w:t>
      </w:r>
    </w:p>
    <w:p w14:paraId="3DADD8F1" w14:textId="77777777" w:rsidR="00AB205D" w:rsidRPr="00C734D9" w:rsidRDefault="00471A3B" w:rsidP="00570639">
      <w:pPr>
        <w:pStyle w:val="ListBullet"/>
        <w:numPr>
          <w:ilvl w:val="0"/>
          <w:numId w:val="10"/>
        </w:numPr>
        <w:spacing w:before="40" w:after="40"/>
      </w:pPr>
      <w:r w:rsidRPr="00C734D9">
        <w:t>Revenue from land transfer duty is forecast to be $7.5</w:t>
      </w:r>
      <w:r w:rsidRPr="00B8730F">
        <w:t> </w:t>
      </w:r>
      <w:r w:rsidRPr="00C734D9">
        <w:t>billion in 2023</w:t>
      </w:r>
      <w:r w:rsidRPr="00B8730F">
        <w:noBreakHyphen/>
      </w:r>
      <w:r w:rsidRPr="00C734D9">
        <w:t>24, which is a 14.6</w:t>
      </w:r>
      <w:r w:rsidRPr="00B8730F">
        <w:t> </w:t>
      </w:r>
      <w:r w:rsidRPr="00C734D9">
        <w:t>per</w:t>
      </w:r>
      <w:r w:rsidRPr="00B8730F">
        <w:t> </w:t>
      </w:r>
      <w:r w:rsidRPr="00C734D9">
        <w:t xml:space="preserve">cent </w:t>
      </w:r>
      <w:r>
        <w:t xml:space="preserve">year-on-year </w:t>
      </w:r>
      <w:r w:rsidRPr="00C734D9">
        <w:t>decline following a 15.7</w:t>
      </w:r>
      <w:r w:rsidRPr="00B8730F">
        <w:t> </w:t>
      </w:r>
      <w:r w:rsidRPr="00C734D9">
        <w:t>per</w:t>
      </w:r>
      <w:r w:rsidRPr="00B8730F">
        <w:t> </w:t>
      </w:r>
      <w:r w:rsidRPr="00C734D9">
        <w:t>cent fall in 2022-23. The forecast decline in revenue is driven by a fall in both settlement volumes and average duty per transaction, which are impacted by higher borrowing costs and subdued sentiment. Victorian dwelling prices are expected to grow at below trend rates over 2023 and 2024, as transaction activity also remains below historical averages. Land transfer duty revenue is forecast to increase by an average of 7.9</w:t>
      </w:r>
      <w:r w:rsidRPr="00B8730F">
        <w:t> </w:t>
      </w:r>
      <w:r w:rsidRPr="00C734D9">
        <w:t>per</w:t>
      </w:r>
      <w:r w:rsidRPr="00B8730F">
        <w:t> </w:t>
      </w:r>
      <w:r w:rsidRPr="00C734D9">
        <w:t>cent per year over the forward estimates, reflecting strong longer-term fundamental growth drivers.</w:t>
      </w:r>
    </w:p>
    <w:p w14:paraId="51687D7A" w14:textId="77777777" w:rsidR="00AB205D" w:rsidRPr="00C734D9" w:rsidRDefault="00471A3B" w:rsidP="00570639">
      <w:pPr>
        <w:pStyle w:val="ListBullet"/>
        <w:numPr>
          <w:ilvl w:val="0"/>
          <w:numId w:val="10"/>
        </w:numPr>
        <w:spacing w:before="40" w:after="40"/>
      </w:pPr>
      <w:r w:rsidRPr="00C734D9">
        <w:t>Revenue from gambling taxes is forecast to be $2.6</w:t>
      </w:r>
      <w:r>
        <w:t> </w:t>
      </w:r>
      <w:r w:rsidRPr="00C734D9">
        <w:t>billion in 2023</w:t>
      </w:r>
      <w:r>
        <w:noBreakHyphen/>
      </w:r>
      <w:r w:rsidRPr="00C734D9">
        <w:t>24, with revenue expected to grow by an average of 0.9</w:t>
      </w:r>
      <w:r>
        <w:t> </w:t>
      </w:r>
      <w:r w:rsidRPr="00C734D9">
        <w:t>per</w:t>
      </w:r>
      <w:r>
        <w:t> </w:t>
      </w:r>
      <w:r w:rsidRPr="00C734D9">
        <w:t>cent per year</w:t>
      </w:r>
      <w:r>
        <w:t xml:space="preserve"> over the forward estimates</w:t>
      </w:r>
      <w:r w:rsidRPr="00C734D9">
        <w:t>.</w:t>
      </w:r>
    </w:p>
    <w:p w14:paraId="30A288B0" w14:textId="77777777" w:rsidR="00AB205D" w:rsidRPr="00C734D9" w:rsidRDefault="00471A3B" w:rsidP="00570639">
      <w:pPr>
        <w:pStyle w:val="ListBullet"/>
        <w:numPr>
          <w:ilvl w:val="0"/>
          <w:numId w:val="10"/>
        </w:numPr>
        <w:spacing w:before="40" w:after="40"/>
        <w:ind w:right="-128"/>
      </w:pPr>
      <w:r w:rsidRPr="00C734D9">
        <w:t>Motor vehicle tax revenue is forecast to grow to $3.4</w:t>
      </w:r>
      <w:r>
        <w:t> </w:t>
      </w:r>
      <w:r w:rsidRPr="00C734D9">
        <w:t>billion in 2023</w:t>
      </w:r>
      <w:r>
        <w:noBreakHyphen/>
      </w:r>
      <w:r w:rsidRPr="00C734D9">
        <w:t>24, reflecting indexation of registration fees and continued strength in new vehicle sales in the near term. Motor vehicle tax revenue is expected to increase by an average of 5.5</w:t>
      </w:r>
      <w:r>
        <w:t> </w:t>
      </w:r>
      <w:r w:rsidRPr="00C734D9">
        <w:t>per</w:t>
      </w:r>
      <w:r>
        <w:t> </w:t>
      </w:r>
      <w:r w:rsidRPr="00C734D9">
        <w:t xml:space="preserve">cent per year over the forward estimates. As a result of the recent High Court decision in </w:t>
      </w:r>
      <w:r w:rsidRPr="00BD37F0">
        <w:rPr>
          <w:i/>
          <w:iCs/>
        </w:rPr>
        <w:t>Vanderstock &amp; Anor v State of Victoria</w:t>
      </w:r>
      <w:r w:rsidRPr="00C734D9">
        <w:t xml:space="preserve"> [2023], forecast revenue relating to the Victorian zero </w:t>
      </w:r>
      <w:r>
        <w:t>and</w:t>
      </w:r>
      <w:r w:rsidRPr="00C734D9">
        <w:t xml:space="preserve"> low emission vehicles road-user charge has been removed from the estimates.</w:t>
      </w:r>
    </w:p>
    <w:p w14:paraId="666299D5" w14:textId="77777777" w:rsidR="00AB205D" w:rsidRPr="00C734D9" w:rsidRDefault="00471A3B" w:rsidP="00570639">
      <w:pPr>
        <w:pStyle w:val="ListBullet"/>
        <w:numPr>
          <w:ilvl w:val="0"/>
          <w:numId w:val="10"/>
        </w:numPr>
        <w:spacing w:before="40" w:after="40"/>
      </w:pPr>
      <w:r w:rsidRPr="00C734D9">
        <w:t>Insurance tax revenue is expected to grow to $2.0</w:t>
      </w:r>
      <w:r w:rsidRPr="00B8730F">
        <w:t> </w:t>
      </w:r>
      <w:r w:rsidRPr="00C734D9">
        <w:t>billion in 2023</w:t>
      </w:r>
      <w:r w:rsidRPr="00B8730F">
        <w:noBreakHyphen/>
      </w:r>
      <w:r w:rsidRPr="00C734D9">
        <w:t>24, reflecting strong premium growth across most insurance products. Over the forward estimates, growth is expected to average 4.9</w:t>
      </w:r>
      <w:r w:rsidRPr="00B8730F">
        <w:t> </w:t>
      </w:r>
      <w:r w:rsidRPr="00C734D9">
        <w:t>per</w:t>
      </w:r>
      <w:r w:rsidRPr="00B8730F">
        <w:t> </w:t>
      </w:r>
      <w:r w:rsidRPr="00C734D9">
        <w:t>cent per year.</w:t>
      </w:r>
    </w:p>
    <w:p w14:paraId="6FB46EAC" w14:textId="77777777" w:rsidR="00AB205D" w:rsidRPr="00C734D9" w:rsidRDefault="00471A3B">
      <w:pPr>
        <w:pStyle w:val="Heading30"/>
      </w:pPr>
      <w:r w:rsidRPr="00C734D9">
        <w:lastRenderedPageBreak/>
        <w:t>Dividends, income tax equivalent and interest</w:t>
      </w:r>
    </w:p>
    <w:p w14:paraId="7806A4B5" w14:textId="77777777" w:rsidR="00AB205D" w:rsidRPr="00C734D9" w:rsidRDefault="00471A3B">
      <w:r w:rsidRPr="00C734D9">
        <w:t>Dividends and income tax equivalent revenue is projected to be $2.2</w:t>
      </w:r>
      <w:r>
        <w:t> </w:t>
      </w:r>
      <w:r w:rsidRPr="00C734D9">
        <w:t>billion in 2023</w:t>
      </w:r>
      <w:r>
        <w:noBreakHyphen/>
      </w:r>
      <w:r w:rsidRPr="00C734D9">
        <w:t>24 and reduce to $1.</w:t>
      </w:r>
      <w:r>
        <w:t>3 </w:t>
      </w:r>
      <w:r w:rsidRPr="00C734D9">
        <w:t xml:space="preserve">billion by 2026-27. </w:t>
      </w:r>
    </w:p>
    <w:p w14:paraId="31E9A712" w14:textId="77777777" w:rsidR="00AB205D" w:rsidRPr="00C734D9" w:rsidRDefault="00471A3B">
      <w:r w:rsidRPr="00C734D9">
        <w:t xml:space="preserve">Note 4.2.2 of Chapter 4 </w:t>
      </w:r>
      <w:r w:rsidRPr="00BD37F0">
        <w:rPr>
          <w:i/>
          <w:iCs/>
        </w:rPr>
        <w:t>Estimated Financial Statements and notes</w:t>
      </w:r>
      <w:r w:rsidRPr="00C734D9">
        <w:t xml:space="preserve"> contains further details of dividends and income tax equivalent revenue by sector.</w:t>
      </w:r>
      <w:r>
        <w:t xml:space="preserve"> </w:t>
      </w:r>
    </w:p>
    <w:p w14:paraId="6BBB25FE" w14:textId="77777777" w:rsidR="00AB205D" w:rsidRPr="00C734D9" w:rsidRDefault="00471A3B">
      <w:bookmarkStart w:id="21" w:name="_Hlk151117845"/>
      <w:r w:rsidRPr="00C734D9">
        <w:t>Interest revenue is received on the cash and deposits held by the Government. Total interest is expected to increase to $1.8</w:t>
      </w:r>
      <w:r>
        <w:t> </w:t>
      </w:r>
      <w:r w:rsidRPr="00C734D9">
        <w:t>billion in 2023</w:t>
      </w:r>
      <w:r>
        <w:noBreakHyphen/>
      </w:r>
      <w:r w:rsidRPr="00C734D9">
        <w:t xml:space="preserve">24 due to </w:t>
      </w:r>
      <w:r w:rsidRPr="007D27FA">
        <w:t xml:space="preserve">higher </w:t>
      </w:r>
      <w:r>
        <w:t>balances</w:t>
      </w:r>
      <w:r w:rsidRPr="007D27FA">
        <w:t xml:space="preserve"> estimated to be maintained in the Centralised Banking System</w:t>
      </w:r>
      <w:r>
        <w:t>,</w:t>
      </w:r>
      <w:r w:rsidRPr="007D27FA" w:rsidDel="007F4A6A">
        <w:t xml:space="preserve"> </w:t>
      </w:r>
      <w:r w:rsidRPr="007D27FA">
        <w:t>increased interest rate assumptions</w:t>
      </w:r>
      <w:r>
        <w:t>, and estimated interest revenue from the Victorian Future Fund</w:t>
      </w:r>
      <w:r w:rsidRPr="007D27FA">
        <w:t>.</w:t>
      </w:r>
      <w:r w:rsidRPr="00C734D9">
        <w:t xml:space="preserve"> Interest revenue is then forecast to moderate to $1.2</w:t>
      </w:r>
      <w:r>
        <w:t> </w:t>
      </w:r>
      <w:r w:rsidRPr="00C734D9">
        <w:t xml:space="preserve">billion by 2026-27. </w:t>
      </w:r>
    </w:p>
    <w:bookmarkEnd w:id="21"/>
    <w:p w14:paraId="05AD73EB" w14:textId="77777777" w:rsidR="00AB205D" w:rsidRPr="00C734D9" w:rsidRDefault="00471A3B">
      <w:pPr>
        <w:pStyle w:val="Heading30"/>
      </w:pPr>
      <w:r w:rsidRPr="00C734D9">
        <w:t>Sales of goods and services</w:t>
      </w:r>
    </w:p>
    <w:p w14:paraId="6A44AE8C" w14:textId="77777777" w:rsidR="00AB205D" w:rsidRPr="00C734D9" w:rsidRDefault="00471A3B">
      <w:pPr>
        <w:ind w:right="-86"/>
      </w:pPr>
      <w:r w:rsidRPr="00C734D9">
        <w:t>Revenue generated by the sales of goods and services is expected to increase to $6.4</w:t>
      </w:r>
      <w:r>
        <w:t> </w:t>
      </w:r>
      <w:r w:rsidRPr="00C734D9">
        <w:t>billion in 2023</w:t>
      </w:r>
      <w:r>
        <w:noBreakHyphen/>
      </w:r>
      <w:r w:rsidRPr="00C734D9">
        <w:t>24 and grow by an average of 1.</w:t>
      </w:r>
      <w:r>
        <w:t>8 </w:t>
      </w:r>
      <w:r w:rsidRPr="00C734D9">
        <w:t>per</w:t>
      </w:r>
      <w:r>
        <w:t> </w:t>
      </w:r>
      <w:r w:rsidRPr="00C734D9">
        <w:t>cent a year over the forward estimates, reaching $6.</w:t>
      </w:r>
      <w:r>
        <w:t>8 </w:t>
      </w:r>
      <w:r w:rsidRPr="00C734D9">
        <w:t>billion in 2026-27.</w:t>
      </w:r>
    </w:p>
    <w:p w14:paraId="67E92931" w14:textId="77777777" w:rsidR="00AB205D" w:rsidRPr="00C734D9" w:rsidRDefault="00471A3B">
      <w:pPr>
        <w:pStyle w:val="Heading30"/>
      </w:pPr>
      <w:r w:rsidRPr="00C734D9">
        <w:t>Grants</w:t>
      </w:r>
    </w:p>
    <w:p w14:paraId="76DE320F" w14:textId="77777777" w:rsidR="00AB205D" w:rsidRPr="00C734D9" w:rsidRDefault="00471A3B">
      <w:r w:rsidRPr="00C734D9">
        <w:t>Total grant revenue is expected to be $40.5</w:t>
      </w:r>
      <w:r>
        <w:t> </w:t>
      </w:r>
      <w:r w:rsidRPr="00C734D9">
        <w:t>billion in 2023</w:t>
      </w:r>
      <w:r>
        <w:noBreakHyphen/>
      </w:r>
      <w:r w:rsidRPr="00C734D9">
        <w:t>24 and increase by an average of 5.</w:t>
      </w:r>
      <w:r>
        <w:t>8 </w:t>
      </w:r>
      <w:r w:rsidRPr="00C734D9">
        <w:t>per</w:t>
      </w:r>
      <w:r>
        <w:t> </w:t>
      </w:r>
      <w:r w:rsidRPr="00C734D9">
        <w:t>cent a year over the forward estimates, reaching $48.1</w:t>
      </w:r>
      <w:r>
        <w:t> </w:t>
      </w:r>
      <w:r w:rsidRPr="00C734D9">
        <w:t>billion in 2026-27.</w:t>
      </w:r>
    </w:p>
    <w:p w14:paraId="453373EB" w14:textId="77777777" w:rsidR="00AB205D" w:rsidRDefault="00471A3B">
      <w:r w:rsidRPr="00C734D9">
        <w:t>Victoria’s GST revenue is forecast to be $19.9</w:t>
      </w:r>
      <w:r>
        <w:t> </w:t>
      </w:r>
      <w:r w:rsidRPr="00C734D9">
        <w:t>billion in 2023</w:t>
      </w:r>
      <w:r>
        <w:noBreakHyphen/>
      </w:r>
      <w:r w:rsidRPr="00C734D9">
        <w:t>24, reflecting forecast growth in the national GST pool following strong growth in 2022-23. Over the forward estimates, GST revenue is expected to grow by an average 6.9</w:t>
      </w:r>
      <w:r>
        <w:t> </w:t>
      </w:r>
      <w:r w:rsidRPr="00C734D9">
        <w:t>per</w:t>
      </w:r>
      <w:r>
        <w:t> </w:t>
      </w:r>
      <w:r w:rsidRPr="00C734D9">
        <w:t>cent per year, driven largely by increases in Victoria’s no-worse-off relativity. This reflects ongoing strength in commodity prices and expected population share growth from an increase in net overseas migration.</w:t>
      </w:r>
      <w:r>
        <w:t xml:space="preserve"> </w:t>
      </w:r>
    </w:p>
    <w:p w14:paraId="61F2CB9F" w14:textId="77777777" w:rsidR="00AB205D" w:rsidRPr="00C734D9" w:rsidRDefault="00471A3B">
      <w:pPr>
        <w:pStyle w:val="Heading30"/>
      </w:pPr>
      <w:r w:rsidRPr="00C734D9">
        <w:t>Other revenue and income</w:t>
      </w:r>
    </w:p>
    <w:p w14:paraId="3A7A7704" w14:textId="77777777" w:rsidR="00AB205D" w:rsidRPr="00C734D9" w:rsidRDefault="00471A3B">
      <w:r w:rsidRPr="00C734D9">
        <w:t>Other revenue and income includes fines, royalties, donations and gifts, assets received free-of-charge and other miscellaneous revenues. Other revenue is expected to be $3.6</w:t>
      </w:r>
      <w:r>
        <w:t> </w:t>
      </w:r>
      <w:r w:rsidRPr="00C734D9">
        <w:t>billion in 2023</w:t>
      </w:r>
      <w:r>
        <w:noBreakHyphen/>
      </w:r>
      <w:r w:rsidRPr="00C734D9">
        <w:t>24 and is forecast to grow by an average of 2.0</w:t>
      </w:r>
      <w:r>
        <w:t> </w:t>
      </w:r>
      <w:r w:rsidRPr="00C734D9">
        <w:t>per</w:t>
      </w:r>
      <w:r>
        <w:t> </w:t>
      </w:r>
      <w:r w:rsidRPr="00C734D9">
        <w:t>cent a year over the</w:t>
      </w:r>
      <w:r>
        <w:t> </w:t>
      </w:r>
      <w:r w:rsidRPr="00C734D9">
        <w:t>forward estimates.</w:t>
      </w:r>
    </w:p>
    <w:p w14:paraId="0734AFA5" w14:textId="77777777" w:rsidR="00AB205D" w:rsidRDefault="00471A3B">
      <w:pPr>
        <w:keepLines w:val="0"/>
      </w:pPr>
      <w:r>
        <w:t xml:space="preserve">Chapter 4 </w:t>
      </w:r>
      <w:r w:rsidRPr="00EE622F">
        <w:rPr>
          <w:i/>
          <w:iCs/>
        </w:rPr>
        <w:t>Estimated financial statements and notes</w:t>
      </w:r>
      <w:r>
        <w:t xml:space="preserve"> contains further details of expected movements in the major categories of general government revenue.</w:t>
      </w:r>
    </w:p>
    <w:p w14:paraId="0B430298" w14:textId="77777777" w:rsidR="00AB205D" w:rsidRDefault="00471A3B">
      <w:pPr>
        <w:keepLines w:val="0"/>
        <w:rPr>
          <w:rFonts w:asciiTheme="majorHAnsi" w:eastAsiaTheme="majorEastAsia" w:hAnsiTheme="majorHAnsi" w:cstheme="majorBidi"/>
          <w:b/>
          <w:sz w:val="26"/>
          <w:szCs w:val="26"/>
        </w:rPr>
      </w:pPr>
      <w:r>
        <w:rPr>
          <w:sz w:val="26"/>
        </w:rPr>
        <w:br w:type="page"/>
      </w:r>
    </w:p>
    <w:p w14:paraId="24C736CB" w14:textId="77777777" w:rsidR="00AB205D" w:rsidRPr="00B0152A" w:rsidRDefault="00471A3B">
      <w:pPr>
        <w:pStyle w:val="Heading20"/>
        <w:rPr>
          <w:sz w:val="26"/>
        </w:rPr>
      </w:pPr>
      <w:r w:rsidRPr="00B0152A">
        <w:rPr>
          <w:sz w:val="26"/>
        </w:rPr>
        <w:lastRenderedPageBreak/>
        <w:t>Expenses outlook</w:t>
      </w:r>
    </w:p>
    <w:p w14:paraId="098DDEB8" w14:textId="77777777" w:rsidR="00AB205D" w:rsidRDefault="00471A3B">
      <w:pPr>
        <w:keepLines w:val="0"/>
      </w:pPr>
      <w:r>
        <w:t>Total expenses for the general government sector are forecast to reach $93.8 billion in 2023</w:t>
      </w:r>
      <w:r>
        <w:noBreakHyphen/>
        <w:t xml:space="preserve">24 and increase by an average of 2.6 per cent a year over the forward estimates to $101.4 billion in 2026-27. </w:t>
      </w:r>
    </w:p>
    <w:p w14:paraId="22A5EB93" w14:textId="77777777" w:rsidR="00AB205D" w:rsidRDefault="00471A3B">
      <w:r>
        <w:t>Moderation of expenditure growth over the forward estimates supports the Government’s fiscal strategy to achieve an operating surplus by 2025-26 and beyond.</w:t>
      </w:r>
    </w:p>
    <w:p w14:paraId="524B18C1" w14:textId="77777777" w:rsidR="00AB205D" w:rsidRDefault="00471A3B" w:rsidP="00570639">
      <w:pPr>
        <w:pStyle w:val="ListBullet"/>
        <w:numPr>
          <w:ilvl w:val="0"/>
          <w:numId w:val="10"/>
        </w:numPr>
      </w:pPr>
      <w:r>
        <w:t>Employee expenses (including superannuation) are forecast to be $39.2 billion in 2023</w:t>
      </w:r>
      <w:r>
        <w:noBreakHyphen/>
        <w:t>24. Average growth over the forward estimates of 3.3 per cent a year is forecast, consistent with the requirements of service delivery and enterprise bargaining agreements.</w:t>
      </w:r>
    </w:p>
    <w:p w14:paraId="2601805A" w14:textId="77777777" w:rsidR="00AB205D" w:rsidRDefault="00471A3B" w:rsidP="00570639">
      <w:pPr>
        <w:pStyle w:val="ListBullet"/>
        <w:numPr>
          <w:ilvl w:val="0"/>
          <w:numId w:val="10"/>
        </w:numPr>
      </w:pPr>
      <w:r>
        <w:t>Depreciation expense is forecast to grow to $4.9 billion in 2023</w:t>
      </w:r>
      <w:r>
        <w:noBreakHyphen/>
        <w:t xml:space="preserve">24 and by an average </w:t>
      </w:r>
      <w:r w:rsidRPr="008E08F0">
        <w:t xml:space="preserve">of </w:t>
      </w:r>
      <w:r w:rsidRPr="00110EEC">
        <w:t>4.3</w:t>
      </w:r>
      <w:r>
        <w:t> </w:t>
      </w:r>
      <w:r w:rsidRPr="008E08F0">
        <w:t>per</w:t>
      </w:r>
      <w:r>
        <w:t> cent a year over the forward estimates to $5.</w:t>
      </w:r>
      <w:r w:rsidRPr="00110EEC">
        <w:t>6</w:t>
      </w:r>
      <w:r>
        <w:t> billion by 2026-27. Growth in depreciation is broadly in line with continuing high levels of investment in infrastructure.</w:t>
      </w:r>
    </w:p>
    <w:p w14:paraId="22A5C72D" w14:textId="77777777" w:rsidR="00AB205D" w:rsidRDefault="00471A3B" w:rsidP="00570639">
      <w:pPr>
        <w:pStyle w:val="ListBullet"/>
        <w:numPr>
          <w:ilvl w:val="0"/>
          <w:numId w:val="10"/>
        </w:numPr>
      </w:pPr>
      <w:r>
        <w:t>Interest expense is forecast to grow to $5.7 billion in 2023</w:t>
      </w:r>
      <w:r>
        <w:noBreakHyphen/>
        <w:t>24, and to $8.8 billion by 2026</w:t>
      </w:r>
      <w:r>
        <w:noBreakHyphen/>
        <w:t>27, as the Government increases borrowings to continue significant levels of infrastructure investment under Victoria’s Big Build. Interest expense as a share of total revenue is expected to average 7.4 per cent a year over the budget and forward estimates.</w:t>
      </w:r>
    </w:p>
    <w:p w14:paraId="4CD6D1F4" w14:textId="77777777" w:rsidR="00AB205D" w:rsidRDefault="00471A3B" w:rsidP="00570639">
      <w:pPr>
        <w:pStyle w:val="ListBullet"/>
        <w:numPr>
          <w:ilvl w:val="0"/>
          <w:numId w:val="10"/>
        </w:numPr>
      </w:pPr>
      <w:r>
        <w:t>Grant expenses are forecast to fall to $17.0 billion in 2023</w:t>
      </w:r>
      <w:r>
        <w:noBreakHyphen/>
        <w:t>24</w:t>
      </w:r>
      <w:r w:rsidRPr="00110EEC">
        <w:t xml:space="preserve">, </w:t>
      </w:r>
      <w:r>
        <w:t>partly due to</w:t>
      </w:r>
      <w:r w:rsidRPr="007C3C44">
        <w:t xml:space="preserve"> </w:t>
      </w:r>
      <w:r>
        <w:t>the bring forward from 2023</w:t>
      </w:r>
      <w:r>
        <w:noBreakHyphen/>
        <w:t>24 into 2022</w:t>
      </w:r>
      <w:r>
        <w:noBreakHyphen/>
        <w:t>23 of Commonwealth grants to local governments, as well as</w:t>
      </w:r>
      <w:r w:rsidRPr="00110EEC">
        <w:t xml:space="preserve"> reflecting the tapering of pandemic support initiatives.</w:t>
      </w:r>
      <w:r>
        <w:t xml:space="preserve"> Grant expenses are then expected to decline by an average of 0.2 per cent per year across the forward estimates.</w:t>
      </w:r>
    </w:p>
    <w:p w14:paraId="684157DA" w14:textId="77777777" w:rsidR="00AB205D" w:rsidRDefault="00471A3B" w:rsidP="00570639">
      <w:pPr>
        <w:pStyle w:val="ListBullet"/>
        <w:numPr>
          <w:ilvl w:val="0"/>
          <w:numId w:val="10"/>
        </w:numPr>
      </w:pPr>
      <w:r>
        <w:t>Other operating expenses are forecast to fall to $27.1 billion in 2023</w:t>
      </w:r>
      <w:r>
        <w:noBreakHyphen/>
        <w:t>24 as expenditure commitments attributable to the pandemic response reduce.</w:t>
      </w:r>
      <w:r w:rsidRPr="00110EEC">
        <w:t xml:space="preserve"> </w:t>
      </w:r>
      <w:r>
        <w:t>Other operating expenses are then expected to decline by an average of 0.1 per cent per year across the forward estimates</w:t>
      </w:r>
      <w:r w:rsidRPr="00110EEC">
        <w:t>.</w:t>
      </w:r>
    </w:p>
    <w:p w14:paraId="2DD43AB6" w14:textId="77777777" w:rsidR="00AB205D" w:rsidRDefault="00471A3B">
      <w:r>
        <w:t xml:space="preserve">Chapter 4 </w:t>
      </w:r>
      <w:r w:rsidRPr="00EE622F">
        <w:rPr>
          <w:i/>
          <w:iCs/>
        </w:rPr>
        <w:t>Estimated financial statements and notes</w:t>
      </w:r>
      <w:r>
        <w:t xml:space="preserve"> contains further details of </w:t>
      </w:r>
      <w:r w:rsidRPr="00A36F5E">
        <w:t xml:space="preserve">major components of expenditure incurred by the </w:t>
      </w:r>
      <w:r>
        <w:t>s</w:t>
      </w:r>
      <w:r w:rsidRPr="00A36F5E">
        <w:t>tate towards the delivery of services</w:t>
      </w:r>
      <w:r>
        <w:t>.</w:t>
      </w:r>
    </w:p>
    <w:p w14:paraId="41DD1CE7" w14:textId="77777777" w:rsidR="00AB205D" w:rsidRPr="00C734D9" w:rsidRDefault="00471A3B">
      <w:pPr>
        <w:pStyle w:val="Heading20"/>
        <w:pageBreakBefore/>
      </w:pPr>
      <w:r w:rsidRPr="00C734D9">
        <w:lastRenderedPageBreak/>
        <w:t xml:space="preserve">Reconciliation of estimates to the </w:t>
      </w:r>
      <w:r w:rsidRPr="00505247">
        <w:rPr>
          <w:i/>
        </w:rPr>
        <w:t>2023</w:t>
      </w:r>
      <w:r w:rsidRPr="00505247">
        <w:rPr>
          <w:i/>
        </w:rPr>
        <w:noBreakHyphen/>
        <w:t>24 Budget</w:t>
      </w:r>
    </w:p>
    <w:p w14:paraId="5AAA9A04" w14:textId="77777777" w:rsidR="00AB205D" w:rsidRDefault="00471A3B">
      <w:r w:rsidRPr="00C734D9">
        <w:t xml:space="preserve">Relative to the </w:t>
      </w:r>
      <w:r w:rsidRPr="00DB6526">
        <w:rPr>
          <w:i/>
        </w:rPr>
        <w:t>2023</w:t>
      </w:r>
      <w:r w:rsidRPr="00DB6526">
        <w:rPr>
          <w:i/>
        </w:rPr>
        <w:noBreakHyphen/>
        <w:t>24 Budget</w:t>
      </w:r>
      <w:r w:rsidRPr="00C734D9">
        <w:t xml:space="preserve">, the net result from transactions has been revised up by </w:t>
      </w:r>
      <w:r w:rsidRPr="00A57749">
        <w:t>$0.5 billion</w:t>
      </w:r>
      <w:r w:rsidRPr="00256F0F">
        <w:t xml:space="preserve"> in 2023</w:t>
      </w:r>
      <w:r w:rsidRPr="00256F0F">
        <w:noBreakHyphen/>
        <w:t>24 (Table 3.3).</w:t>
      </w:r>
    </w:p>
    <w:p w14:paraId="5DE36BF6" w14:textId="77777777" w:rsidR="00AB205D" w:rsidRDefault="00471A3B">
      <w:pPr>
        <w:pStyle w:val="TableHeading"/>
      </w:pPr>
      <w:r w:rsidRPr="00CC473C">
        <w:t>Table 3.3:</w:t>
      </w:r>
      <w:r w:rsidRPr="00CC473C">
        <w:tab/>
      </w:r>
      <w:r w:rsidRPr="00505247">
        <w:t xml:space="preserve">Reconciliation of estimates to the </w:t>
      </w:r>
      <w:r w:rsidRPr="00B24051">
        <w:rPr>
          <w:i/>
          <w:iCs w:val="0"/>
        </w:rPr>
        <w:t>2023</w:t>
      </w:r>
      <w:r>
        <w:rPr>
          <w:i/>
          <w:iCs w:val="0"/>
        </w:rPr>
        <w:noBreakHyphen/>
      </w:r>
      <w:r w:rsidRPr="00B24051">
        <w:rPr>
          <w:i/>
          <w:iCs w:val="0"/>
        </w:rPr>
        <w:t>24 Budget</w:t>
      </w:r>
      <w:r w:rsidRPr="00CC473C">
        <w:t xml:space="preserve"> </w:t>
      </w:r>
      <w:r w:rsidRPr="00CC473C">
        <w:rPr>
          <w:vertAlign w:val="superscript"/>
        </w:rPr>
        <w:t>(a)</w:t>
      </w:r>
      <w:r>
        <w:tab/>
      </w:r>
      <w:r w:rsidRPr="00CC473C">
        <w:t>($</w:t>
      </w:r>
      <w:r>
        <w:t> </w:t>
      </w:r>
      <w:r w:rsidRPr="00CC473C">
        <w:t>million)</w:t>
      </w:r>
    </w:p>
    <w:tbl>
      <w:tblPr>
        <w:tblStyle w:val="DTFTableNumeric"/>
        <w:tblW w:w="7710" w:type="dxa"/>
        <w:tblLayout w:type="fixed"/>
        <w:tblLook w:val="06A0" w:firstRow="1" w:lastRow="0" w:firstColumn="1" w:lastColumn="0" w:noHBand="1" w:noVBand="1"/>
        <w:tblDescription w:val="Type:DtfTable|Workbook:https://vicgov.sharepoint.com/sites/VG002735/Budget%20Update/Chapter%203/Link_Chapter%203%20Budget%20Position%20and%20Outlook.xlsx|Table:ReconciliationOfEstimates"/>
      </w:tblPr>
      <w:tblGrid>
        <w:gridCol w:w="4534"/>
        <w:gridCol w:w="794"/>
        <w:gridCol w:w="794"/>
        <w:gridCol w:w="794"/>
        <w:gridCol w:w="794"/>
      </w:tblGrid>
      <w:tr w:rsidR="009C6724" w14:paraId="4E210A76"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4" w:type="dxa"/>
            <w:tcBorders>
              <w:top w:val="single" w:sz="0" w:space="0" w:color="auto"/>
              <w:bottom w:val="single" w:sz="12" w:space="0" w:color="auto"/>
            </w:tcBorders>
          </w:tcPr>
          <w:p w14:paraId="78B19468" w14:textId="77777777" w:rsidR="00AB205D" w:rsidRDefault="00AB205D">
            <w:pPr>
              <w:keepNext/>
            </w:pPr>
          </w:p>
        </w:tc>
        <w:tc>
          <w:tcPr>
            <w:tcW w:w="794" w:type="dxa"/>
            <w:tcBorders>
              <w:top w:val="single" w:sz="0" w:space="0" w:color="auto"/>
              <w:bottom w:val="single" w:sz="12" w:space="0" w:color="auto"/>
            </w:tcBorders>
          </w:tcPr>
          <w:p w14:paraId="4F974407"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Borders>
              <w:top w:val="single" w:sz="0" w:space="0" w:color="auto"/>
              <w:bottom w:val="single" w:sz="12" w:space="0" w:color="auto"/>
            </w:tcBorders>
          </w:tcPr>
          <w:p w14:paraId="7919B042"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Borders>
              <w:top w:val="single" w:sz="0" w:space="0" w:color="auto"/>
              <w:bottom w:val="single" w:sz="12" w:space="0" w:color="auto"/>
            </w:tcBorders>
          </w:tcPr>
          <w:p w14:paraId="698BCD82"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p>
        </w:tc>
        <w:tc>
          <w:tcPr>
            <w:tcW w:w="794" w:type="dxa"/>
            <w:tcBorders>
              <w:top w:val="single" w:sz="0" w:space="0" w:color="auto"/>
              <w:bottom w:val="single" w:sz="12" w:space="0" w:color="auto"/>
            </w:tcBorders>
          </w:tcPr>
          <w:p w14:paraId="3357E60B"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p>
        </w:tc>
      </w:tr>
      <w:tr w:rsidR="009C6724" w14:paraId="3DD37B32"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4" w:type="dxa"/>
            <w:tcBorders>
              <w:top w:val="single" w:sz="0" w:space="0" w:color="auto"/>
            </w:tcBorders>
          </w:tcPr>
          <w:p w14:paraId="649B423B" w14:textId="77777777" w:rsidR="00AB205D" w:rsidRDefault="00AB205D">
            <w:pPr>
              <w:keepNext/>
            </w:pPr>
          </w:p>
        </w:tc>
        <w:tc>
          <w:tcPr>
            <w:tcW w:w="794" w:type="dxa"/>
            <w:tcBorders>
              <w:top w:val="single" w:sz="0" w:space="0" w:color="auto"/>
            </w:tcBorders>
          </w:tcPr>
          <w:p w14:paraId="3348CAD2"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revised</w:t>
            </w:r>
          </w:p>
        </w:tc>
        <w:tc>
          <w:tcPr>
            <w:tcW w:w="794" w:type="dxa"/>
            <w:tcBorders>
              <w:top w:val="single" w:sz="0" w:space="0" w:color="auto"/>
            </w:tcBorders>
          </w:tcPr>
          <w:p w14:paraId="0A9997A9"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estimate</w:t>
            </w:r>
          </w:p>
        </w:tc>
        <w:tc>
          <w:tcPr>
            <w:tcW w:w="794" w:type="dxa"/>
            <w:tcBorders>
              <w:top w:val="single" w:sz="0" w:space="0" w:color="auto"/>
            </w:tcBorders>
          </w:tcPr>
          <w:p w14:paraId="415BD8CE"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estimate</w:t>
            </w:r>
          </w:p>
        </w:tc>
        <w:tc>
          <w:tcPr>
            <w:tcW w:w="794" w:type="dxa"/>
            <w:tcBorders>
              <w:top w:val="single" w:sz="0" w:space="0" w:color="auto"/>
            </w:tcBorders>
          </w:tcPr>
          <w:p w14:paraId="7B992954"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estimate</w:t>
            </w:r>
          </w:p>
        </w:tc>
      </w:tr>
      <w:tr w:rsidR="009C6724" w14:paraId="199EFC8B"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7529F46B" w14:textId="77777777" w:rsidR="00AB205D" w:rsidRDefault="00471A3B">
            <w:r>
              <w:rPr>
                <w:b/>
              </w:rPr>
              <w:t xml:space="preserve">Net result from transactions: </w:t>
            </w:r>
            <w:r>
              <w:rPr>
                <w:b/>
                <w:i/>
              </w:rPr>
              <w:t>2023</w:t>
            </w:r>
            <w:r>
              <w:rPr>
                <w:b/>
                <w:i/>
              </w:rPr>
              <w:noBreakHyphen/>
              <w:t>24 Budget</w:t>
            </w:r>
          </w:p>
        </w:tc>
        <w:tc>
          <w:tcPr>
            <w:tcW w:w="794" w:type="dxa"/>
          </w:tcPr>
          <w:p w14:paraId="6592A31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(4 017)</w:t>
            </w:r>
          </w:p>
        </w:tc>
        <w:tc>
          <w:tcPr>
            <w:tcW w:w="794" w:type="dxa"/>
          </w:tcPr>
          <w:p w14:paraId="458834E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(1 060)</w:t>
            </w:r>
          </w:p>
        </w:tc>
        <w:tc>
          <w:tcPr>
            <w:tcW w:w="794" w:type="dxa"/>
          </w:tcPr>
          <w:p w14:paraId="1563341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1 039</w:t>
            </w:r>
          </w:p>
        </w:tc>
        <w:tc>
          <w:tcPr>
            <w:tcW w:w="794" w:type="dxa"/>
          </w:tcPr>
          <w:p w14:paraId="19D19DC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1 204</w:t>
            </w:r>
          </w:p>
        </w:tc>
      </w:tr>
      <w:tr w:rsidR="009C6724" w14:paraId="40DB8825"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034B0FC8" w14:textId="77777777" w:rsidR="00AB205D" w:rsidRDefault="00471A3B">
            <w:r>
              <w:rPr>
                <w:b/>
              </w:rPr>
              <w:t>Policy variations</w:t>
            </w:r>
          </w:p>
        </w:tc>
        <w:tc>
          <w:tcPr>
            <w:tcW w:w="794" w:type="dxa"/>
          </w:tcPr>
          <w:p w14:paraId="71A9105E"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7DE5E680"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77C8B31C"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698C27B0"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20C9B875"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4102BAEC" w14:textId="77777777" w:rsidR="00AB205D" w:rsidRDefault="00471A3B">
            <w:r>
              <w:t xml:space="preserve">   Revenue policy initiatives</w:t>
            </w:r>
          </w:p>
        </w:tc>
        <w:tc>
          <w:tcPr>
            <w:tcW w:w="794" w:type="dxa"/>
          </w:tcPr>
          <w:p w14:paraId="20C9D484"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79EA8B30" w14:textId="77777777" w:rsidR="00AB205D" w:rsidRDefault="00471A3B">
            <w:pPr>
              <w:cnfStyle w:val="000000000000" w:firstRow="0" w:lastRow="0" w:firstColumn="0" w:lastColumn="0" w:oddVBand="0" w:evenVBand="0" w:oddHBand="0" w:evenHBand="0" w:firstRowFirstColumn="0" w:firstRowLastColumn="0" w:lastRowFirstColumn="0" w:lastRowLastColumn="0"/>
            </w:pPr>
            <w:r>
              <w:t>44</w:t>
            </w:r>
          </w:p>
        </w:tc>
        <w:tc>
          <w:tcPr>
            <w:tcW w:w="794" w:type="dxa"/>
          </w:tcPr>
          <w:p w14:paraId="35EABC54" w14:textId="77777777" w:rsidR="00AB205D" w:rsidRDefault="00471A3B">
            <w:pPr>
              <w:cnfStyle w:val="000000000000" w:firstRow="0" w:lastRow="0" w:firstColumn="0" w:lastColumn="0" w:oddVBand="0" w:evenVBand="0" w:oddHBand="0" w:evenHBand="0" w:firstRowFirstColumn="0" w:firstRowLastColumn="0" w:lastRowFirstColumn="0" w:lastRowLastColumn="0"/>
            </w:pPr>
            <w:r>
              <w:t>111</w:t>
            </w:r>
          </w:p>
        </w:tc>
        <w:tc>
          <w:tcPr>
            <w:tcW w:w="794" w:type="dxa"/>
          </w:tcPr>
          <w:p w14:paraId="0947C127" w14:textId="77777777" w:rsidR="00AB205D" w:rsidRDefault="00471A3B">
            <w:pPr>
              <w:cnfStyle w:val="000000000000" w:firstRow="0" w:lastRow="0" w:firstColumn="0" w:lastColumn="0" w:oddVBand="0" w:evenVBand="0" w:oddHBand="0" w:evenHBand="0" w:firstRowFirstColumn="0" w:firstRowLastColumn="0" w:lastRowFirstColumn="0" w:lastRowLastColumn="0"/>
            </w:pPr>
            <w:r>
              <w:t>111</w:t>
            </w:r>
          </w:p>
        </w:tc>
      </w:tr>
      <w:tr w:rsidR="009C6724" w14:paraId="4463B0B1"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bottom w:val="single" w:sz="6" w:space="0" w:color="auto"/>
            </w:tcBorders>
          </w:tcPr>
          <w:p w14:paraId="75B61853" w14:textId="77777777" w:rsidR="00AB205D" w:rsidRDefault="00471A3B">
            <w:r>
              <w:t xml:space="preserve">   Output policy initiatives </w:t>
            </w:r>
            <w:r>
              <w:rPr>
                <w:vertAlign w:val="superscript"/>
              </w:rPr>
              <w:t>(b)</w:t>
            </w:r>
          </w:p>
        </w:tc>
        <w:tc>
          <w:tcPr>
            <w:tcW w:w="794" w:type="dxa"/>
            <w:tcBorders>
              <w:bottom w:val="single" w:sz="6" w:space="0" w:color="auto"/>
            </w:tcBorders>
          </w:tcPr>
          <w:p w14:paraId="65D00E5A" w14:textId="77777777" w:rsidR="00AB205D" w:rsidRDefault="00471A3B">
            <w:pPr>
              <w:cnfStyle w:val="000000000000" w:firstRow="0" w:lastRow="0" w:firstColumn="0" w:lastColumn="0" w:oddVBand="0" w:evenVBand="0" w:oddHBand="0" w:evenHBand="0" w:firstRowFirstColumn="0" w:firstRowLastColumn="0" w:lastRowFirstColumn="0" w:lastRowLastColumn="0"/>
            </w:pPr>
            <w:r>
              <w:t>(1 049)</w:t>
            </w:r>
          </w:p>
        </w:tc>
        <w:tc>
          <w:tcPr>
            <w:tcW w:w="794" w:type="dxa"/>
            <w:tcBorders>
              <w:bottom w:val="single" w:sz="6" w:space="0" w:color="auto"/>
            </w:tcBorders>
          </w:tcPr>
          <w:p w14:paraId="79C3899A" w14:textId="77777777" w:rsidR="00AB205D" w:rsidRDefault="00471A3B">
            <w:pPr>
              <w:cnfStyle w:val="000000000000" w:firstRow="0" w:lastRow="0" w:firstColumn="0" w:lastColumn="0" w:oddVBand="0" w:evenVBand="0" w:oddHBand="0" w:evenHBand="0" w:firstRowFirstColumn="0" w:firstRowLastColumn="0" w:lastRowFirstColumn="0" w:lastRowLastColumn="0"/>
            </w:pPr>
            <w:r>
              <w:t>(787)</w:t>
            </w:r>
          </w:p>
        </w:tc>
        <w:tc>
          <w:tcPr>
            <w:tcW w:w="794" w:type="dxa"/>
            <w:tcBorders>
              <w:bottom w:val="single" w:sz="6" w:space="0" w:color="auto"/>
            </w:tcBorders>
          </w:tcPr>
          <w:p w14:paraId="5D82E343" w14:textId="77777777" w:rsidR="00AB205D" w:rsidRDefault="00471A3B">
            <w:pPr>
              <w:cnfStyle w:val="000000000000" w:firstRow="0" w:lastRow="0" w:firstColumn="0" w:lastColumn="0" w:oddVBand="0" w:evenVBand="0" w:oddHBand="0" w:evenHBand="0" w:firstRowFirstColumn="0" w:firstRowLastColumn="0" w:lastRowFirstColumn="0" w:lastRowLastColumn="0"/>
            </w:pPr>
            <w:r>
              <w:t>(664)</w:t>
            </w:r>
          </w:p>
        </w:tc>
        <w:tc>
          <w:tcPr>
            <w:tcW w:w="794" w:type="dxa"/>
            <w:tcBorders>
              <w:bottom w:val="single" w:sz="6" w:space="0" w:color="auto"/>
            </w:tcBorders>
          </w:tcPr>
          <w:p w14:paraId="0155672C" w14:textId="77777777" w:rsidR="00AB205D" w:rsidRDefault="00471A3B">
            <w:pPr>
              <w:cnfStyle w:val="000000000000" w:firstRow="0" w:lastRow="0" w:firstColumn="0" w:lastColumn="0" w:oddVBand="0" w:evenVBand="0" w:oddHBand="0" w:evenHBand="0" w:firstRowFirstColumn="0" w:firstRowLastColumn="0" w:lastRowFirstColumn="0" w:lastRowLastColumn="0"/>
            </w:pPr>
            <w:r>
              <w:t>(474)</w:t>
            </w:r>
          </w:p>
        </w:tc>
      </w:tr>
      <w:tr w:rsidR="009C6724" w14:paraId="2200BC56"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tcBorders>
          </w:tcPr>
          <w:p w14:paraId="3F7E4880" w14:textId="77777777" w:rsidR="00AB205D" w:rsidRDefault="00AB205D"/>
        </w:tc>
        <w:tc>
          <w:tcPr>
            <w:tcW w:w="794" w:type="dxa"/>
            <w:tcBorders>
              <w:top w:val="single" w:sz="6" w:space="0" w:color="auto"/>
            </w:tcBorders>
          </w:tcPr>
          <w:p w14:paraId="6AB01F6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(1 049)</w:t>
            </w:r>
          </w:p>
        </w:tc>
        <w:tc>
          <w:tcPr>
            <w:tcW w:w="794" w:type="dxa"/>
            <w:tcBorders>
              <w:top w:val="single" w:sz="6" w:space="0" w:color="auto"/>
            </w:tcBorders>
          </w:tcPr>
          <w:p w14:paraId="01B1A88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(743)</w:t>
            </w:r>
          </w:p>
        </w:tc>
        <w:tc>
          <w:tcPr>
            <w:tcW w:w="794" w:type="dxa"/>
            <w:tcBorders>
              <w:top w:val="single" w:sz="6" w:space="0" w:color="auto"/>
            </w:tcBorders>
          </w:tcPr>
          <w:p w14:paraId="179A40E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(553)</w:t>
            </w:r>
          </w:p>
        </w:tc>
        <w:tc>
          <w:tcPr>
            <w:tcW w:w="794" w:type="dxa"/>
            <w:tcBorders>
              <w:top w:val="single" w:sz="6" w:space="0" w:color="auto"/>
            </w:tcBorders>
          </w:tcPr>
          <w:p w14:paraId="13B8577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(363)</w:t>
            </w:r>
          </w:p>
        </w:tc>
      </w:tr>
      <w:tr w:rsidR="009C6724" w14:paraId="3FFF8FA0"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114600FE" w14:textId="77777777" w:rsidR="00AB205D" w:rsidRDefault="00471A3B">
            <w:r>
              <w:rPr>
                <w:b/>
              </w:rPr>
              <w:t>Economic/demographic variations</w:t>
            </w:r>
          </w:p>
        </w:tc>
        <w:tc>
          <w:tcPr>
            <w:tcW w:w="794" w:type="dxa"/>
          </w:tcPr>
          <w:p w14:paraId="45A0CA45"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447C832C"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77C0FB1C"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416E4FFE"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4CEAD46D"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4A35CA7C" w14:textId="77777777" w:rsidR="00AB205D" w:rsidRDefault="00471A3B">
            <w:r>
              <w:t xml:space="preserve">   Taxation</w:t>
            </w:r>
          </w:p>
        </w:tc>
        <w:tc>
          <w:tcPr>
            <w:tcW w:w="794" w:type="dxa"/>
          </w:tcPr>
          <w:p w14:paraId="0CA5DD54" w14:textId="77777777" w:rsidR="00AB205D" w:rsidRDefault="00471A3B">
            <w:pPr>
              <w:cnfStyle w:val="000000000000" w:firstRow="0" w:lastRow="0" w:firstColumn="0" w:lastColumn="0" w:oddVBand="0" w:evenVBand="0" w:oddHBand="0" w:evenHBand="0" w:firstRowFirstColumn="0" w:firstRowLastColumn="0" w:lastRowFirstColumn="0" w:lastRowLastColumn="0"/>
            </w:pPr>
            <w:r>
              <w:t>903</w:t>
            </w:r>
          </w:p>
        </w:tc>
        <w:tc>
          <w:tcPr>
            <w:tcW w:w="794" w:type="dxa"/>
          </w:tcPr>
          <w:p w14:paraId="522890AB" w14:textId="77777777" w:rsidR="00AB205D" w:rsidRDefault="00471A3B">
            <w:pPr>
              <w:cnfStyle w:val="000000000000" w:firstRow="0" w:lastRow="0" w:firstColumn="0" w:lastColumn="0" w:oddVBand="0" w:evenVBand="0" w:oddHBand="0" w:evenHBand="0" w:firstRowFirstColumn="0" w:firstRowLastColumn="0" w:lastRowFirstColumn="0" w:lastRowLastColumn="0"/>
            </w:pPr>
            <w:r>
              <w:t>1 133</w:t>
            </w:r>
          </w:p>
        </w:tc>
        <w:tc>
          <w:tcPr>
            <w:tcW w:w="794" w:type="dxa"/>
          </w:tcPr>
          <w:p w14:paraId="7942CFF4" w14:textId="77777777" w:rsidR="00AB205D" w:rsidRDefault="00471A3B">
            <w:pPr>
              <w:cnfStyle w:val="000000000000" w:firstRow="0" w:lastRow="0" w:firstColumn="0" w:lastColumn="0" w:oddVBand="0" w:evenVBand="0" w:oddHBand="0" w:evenHBand="0" w:firstRowFirstColumn="0" w:firstRowLastColumn="0" w:lastRowFirstColumn="0" w:lastRowLastColumn="0"/>
            </w:pPr>
            <w:r>
              <w:t>1 037</w:t>
            </w:r>
          </w:p>
        </w:tc>
        <w:tc>
          <w:tcPr>
            <w:tcW w:w="794" w:type="dxa"/>
          </w:tcPr>
          <w:p w14:paraId="1330A9B2" w14:textId="77777777" w:rsidR="00AB205D" w:rsidRDefault="00471A3B">
            <w:pPr>
              <w:cnfStyle w:val="000000000000" w:firstRow="0" w:lastRow="0" w:firstColumn="0" w:lastColumn="0" w:oddVBand="0" w:evenVBand="0" w:oddHBand="0" w:evenHBand="0" w:firstRowFirstColumn="0" w:firstRowLastColumn="0" w:lastRowFirstColumn="0" w:lastRowLastColumn="0"/>
            </w:pPr>
            <w:r>
              <w:t>1 038</w:t>
            </w:r>
          </w:p>
        </w:tc>
      </w:tr>
      <w:tr w:rsidR="009C6724" w14:paraId="1F2AA846"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bottom w:val="single" w:sz="6" w:space="0" w:color="auto"/>
            </w:tcBorders>
          </w:tcPr>
          <w:p w14:paraId="67E42D5E" w14:textId="77777777" w:rsidR="00AB205D" w:rsidRDefault="00471A3B">
            <w:r>
              <w:t xml:space="preserve">   Investment income </w:t>
            </w:r>
            <w:r>
              <w:rPr>
                <w:vertAlign w:val="superscript"/>
              </w:rPr>
              <w:t>(c)</w:t>
            </w:r>
          </w:p>
        </w:tc>
        <w:tc>
          <w:tcPr>
            <w:tcW w:w="794" w:type="dxa"/>
            <w:tcBorders>
              <w:bottom w:val="single" w:sz="6" w:space="0" w:color="auto"/>
            </w:tcBorders>
          </w:tcPr>
          <w:p w14:paraId="37AD4BD6" w14:textId="77777777" w:rsidR="00AB205D" w:rsidRDefault="00471A3B">
            <w:pPr>
              <w:cnfStyle w:val="000000000000" w:firstRow="0" w:lastRow="0" w:firstColumn="0" w:lastColumn="0" w:oddVBand="0" w:evenVBand="0" w:oddHBand="0" w:evenHBand="0" w:firstRowFirstColumn="0" w:firstRowLastColumn="0" w:lastRowFirstColumn="0" w:lastRowLastColumn="0"/>
            </w:pPr>
            <w:r>
              <w:t>910</w:t>
            </w:r>
          </w:p>
        </w:tc>
        <w:tc>
          <w:tcPr>
            <w:tcW w:w="794" w:type="dxa"/>
            <w:tcBorders>
              <w:bottom w:val="single" w:sz="6" w:space="0" w:color="auto"/>
            </w:tcBorders>
          </w:tcPr>
          <w:p w14:paraId="0E431EAC" w14:textId="77777777" w:rsidR="00AB205D" w:rsidRDefault="00471A3B">
            <w:pPr>
              <w:cnfStyle w:val="000000000000" w:firstRow="0" w:lastRow="0" w:firstColumn="0" w:lastColumn="0" w:oddVBand="0" w:evenVBand="0" w:oddHBand="0" w:evenHBand="0" w:firstRowFirstColumn="0" w:firstRowLastColumn="0" w:lastRowFirstColumn="0" w:lastRowLastColumn="0"/>
            </w:pPr>
            <w:r>
              <w:t>366</w:t>
            </w:r>
          </w:p>
        </w:tc>
        <w:tc>
          <w:tcPr>
            <w:tcW w:w="794" w:type="dxa"/>
            <w:tcBorders>
              <w:bottom w:val="single" w:sz="6" w:space="0" w:color="auto"/>
            </w:tcBorders>
          </w:tcPr>
          <w:p w14:paraId="3FFC5C5D" w14:textId="77777777" w:rsidR="00AB205D" w:rsidRDefault="00471A3B">
            <w:pPr>
              <w:cnfStyle w:val="000000000000" w:firstRow="0" w:lastRow="0" w:firstColumn="0" w:lastColumn="0" w:oddVBand="0" w:evenVBand="0" w:oddHBand="0" w:evenHBand="0" w:firstRowFirstColumn="0" w:firstRowLastColumn="0" w:lastRowFirstColumn="0" w:lastRowLastColumn="0"/>
            </w:pPr>
            <w:r>
              <w:t>37</w:t>
            </w:r>
          </w:p>
        </w:tc>
        <w:tc>
          <w:tcPr>
            <w:tcW w:w="794" w:type="dxa"/>
            <w:tcBorders>
              <w:bottom w:val="single" w:sz="6" w:space="0" w:color="auto"/>
            </w:tcBorders>
          </w:tcPr>
          <w:p w14:paraId="4F70383F" w14:textId="77777777" w:rsidR="00AB205D" w:rsidRDefault="00471A3B">
            <w:pPr>
              <w:cnfStyle w:val="000000000000" w:firstRow="0" w:lastRow="0" w:firstColumn="0" w:lastColumn="0" w:oddVBand="0" w:evenVBand="0" w:oddHBand="0" w:evenHBand="0" w:firstRowFirstColumn="0" w:firstRowLastColumn="0" w:lastRowFirstColumn="0" w:lastRowLastColumn="0"/>
            </w:pPr>
            <w:r>
              <w:t>35</w:t>
            </w:r>
          </w:p>
        </w:tc>
      </w:tr>
      <w:tr w:rsidR="009C6724" w14:paraId="31D597D7"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tcBorders>
          </w:tcPr>
          <w:p w14:paraId="428641AC" w14:textId="77777777" w:rsidR="00AB205D" w:rsidRDefault="00AB205D"/>
        </w:tc>
        <w:tc>
          <w:tcPr>
            <w:tcW w:w="794" w:type="dxa"/>
            <w:tcBorders>
              <w:top w:val="single" w:sz="6" w:space="0" w:color="auto"/>
            </w:tcBorders>
          </w:tcPr>
          <w:p w14:paraId="33923ED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1 813</w:t>
            </w:r>
          </w:p>
        </w:tc>
        <w:tc>
          <w:tcPr>
            <w:tcW w:w="794" w:type="dxa"/>
            <w:tcBorders>
              <w:top w:val="single" w:sz="6" w:space="0" w:color="auto"/>
            </w:tcBorders>
          </w:tcPr>
          <w:p w14:paraId="0C80E83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1 499</w:t>
            </w:r>
          </w:p>
        </w:tc>
        <w:tc>
          <w:tcPr>
            <w:tcW w:w="794" w:type="dxa"/>
            <w:tcBorders>
              <w:top w:val="single" w:sz="6" w:space="0" w:color="auto"/>
            </w:tcBorders>
          </w:tcPr>
          <w:p w14:paraId="485A3FD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1 073</w:t>
            </w:r>
          </w:p>
        </w:tc>
        <w:tc>
          <w:tcPr>
            <w:tcW w:w="794" w:type="dxa"/>
            <w:tcBorders>
              <w:top w:val="single" w:sz="6" w:space="0" w:color="auto"/>
            </w:tcBorders>
          </w:tcPr>
          <w:p w14:paraId="49508A4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1 073</w:t>
            </w:r>
          </w:p>
        </w:tc>
      </w:tr>
      <w:tr w:rsidR="009C6724" w14:paraId="221F2F01"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6A2EE8F9" w14:textId="77777777" w:rsidR="00AB205D" w:rsidRDefault="00471A3B">
            <w:r>
              <w:rPr>
                <w:b/>
              </w:rPr>
              <w:t>Commonwealth grant variations</w:t>
            </w:r>
          </w:p>
        </w:tc>
        <w:tc>
          <w:tcPr>
            <w:tcW w:w="794" w:type="dxa"/>
          </w:tcPr>
          <w:p w14:paraId="24AC7871"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79554AE"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6DE5195"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19EC87B7"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5771B262"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215B03B2" w14:textId="77777777" w:rsidR="00AB205D" w:rsidRDefault="00471A3B">
            <w:r>
              <w:t xml:space="preserve">   General purpose grants</w:t>
            </w:r>
          </w:p>
        </w:tc>
        <w:tc>
          <w:tcPr>
            <w:tcW w:w="794" w:type="dxa"/>
          </w:tcPr>
          <w:p w14:paraId="3BA97E55" w14:textId="77777777" w:rsidR="00AB205D" w:rsidRDefault="00471A3B">
            <w:pPr>
              <w:cnfStyle w:val="000000000000" w:firstRow="0" w:lastRow="0" w:firstColumn="0" w:lastColumn="0" w:oddVBand="0" w:evenVBand="0" w:oddHBand="0" w:evenHBand="0" w:firstRowFirstColumn="0" w:firstRowLastColumn="0" w:lastRowFirstColumn="0" w:lastRowLastColumn="0"/>
            </w:pPr>
            <w:r>
              <w:t>29</w:t>
            </w:r>
          </w:p>
        </w:tc>
        <w:tc>
          <w:tcPr>
            <w:tcW w:w="794" w:type="dxa"/>
          </w:tcPr>
          <w:p w14:paraId="70606555" w14:textId="77777777" w:rsidR="00AB205D" w:rsidRDefault="00471A3B">
            <w:pPr>
              <w:cnfStyle w:val="000000000000" w:firstRow="0" w:lastRow="0" w:firstColumn="0" w:lastColumn="0" w:oddVBand="0" w:evenVBand="0" w:oddHBand="0" w:evenHBand="0" w:firstRowFirstColumn="0" w:firstRowLastColumn="0" w:lastRowFirstColumn="0" w:lastRowLastColumn="0"/>
            </w:pPr>
            <w:r>
              <w:t>549</w:t>
            </w:r>
          </w:p>
        </w:tc>
        <w:tc>
          <w:tcPr>
            <w:tcW w:w="794" w:type="dxa"/>
          </w:tcPr>
          <w:p w14:paraId="3D1C61A5" w14:textId="77777777" w:rsidR="00AB205D" w:rsidRDefault="00471A3B">
            <w:pPr>
              <w:cnfStyle w:val="000000000000" w:firstRow="0" w:lastRow="0" w:firstColumn="0" w:lastColumn="0" w:oddVBand="0" w:evenVBand="0" w:oddHBand="0" w:evenHBand="0" w:firstRowFirstColumn="0" w:firstRowLastColumn="0" w:lastRowFirstColumn="0" w:lastRowLastColumn="0"/>
            </w:pPr>
            <w:r>
              <w:t>956</w:t>
            </w:r>
          </w:p>
        </w:tc>
        <w:tc>
          <w:tcPr>
            <w:tcW w:w="794" w:type="dxa"/>
          </w:tcPr>
          <w:p w14:paraId="04DAC2D9" w14:textId="77777777" w:rsidR="00AB205D" w:rsidRDefault="00471A3B">
            <w:pPr>
              <w:cnfStyle w:val="000000000000" w:firstRow="0" w:lastRow="0" w:firstColumn="0" w:lastColumn="0" w:oddVBand="0" w:evenVBand="0" w:oddHBand="0" w:evenHBand="0" w:firstRowFirstColumn="0" w:firstRowLastColumn="0" w:lastRowFirstColumn="0" w:lastRowLastColumn="0"/>
            </w:pPr>
            <w:r>
              <w:t>936</w:t>
            </w:r>
          </w:p>
        </w:tc>
      </w:tr>
      <w:tr w:rsidR="009C6724" w14:paraId="1733CC02"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bottom w:val="single" w:sz="6" w:space="0" w:color="auto"/>
            </w:tcBorders>
          </w:tcPr>
          <w:p w14:paraId="3FD5323E" w14:textId="77777777" w:rsidR="00AB205D" w:rsidRDefault="00471A3B">
            <w:r>
              <w:t xml:space="preserve">   Specific purpose grants </w:t>
            </w:r>
            <w:r>
              <w:rPr>
                <w:vertAlign w:val="superscript"/>
              </w:rPr>
              <w:t>(d)</w:t>
            </w:r>
          </w:p>
        </w:tc>
        <w:tc>
          <w:tcPr>
            <w:tcW w:w="794" w:type="dxa"/>
            <w:tcBorders>
              <w:bottom w:val="single" w:sz="6" w:space="0" w:color="auto"/>
            </w:tcBorders>
          </w:tcPr>
          <w:p w14:paraId="70F549CA" w14:textId="77777777" w:rsidR="00AB205D" w:rsidRDefault="00471A3B">
            <w:pPr>
              <w:cnfStyle w:val="000000000000" w:firstRow="0" w:lastRow="0" w:firstColumn="0" w:lastColumn="0" w:oddVBand="0" w:evenVBand="0" w:oddHBand="0" w:evenHBand="0" w:firstRowFirstColumn="0" w:firstRowLastColumn="0" w:lastRowFirstColumn="0" w:lastRowLastColumn="0"/>
            </w:pPr>
            <w:r>
              <w:t>224</w:t>
            </w:r>
          </w:p>
        </w:tc>
        <w:tc>
          <w:tcPr>
            <w:tcW w:w="794" w:type="dxa"/>
            <w:tcBorders>
              <w:bottom w:val="single" w:sz="6" w:space="0" w:color="auto"/>
            </w:tcBorders>
          </w:tcPr>
          <w:p w14:paraId="0D1CBF59" w14:textId="77777777" w:rsidR="00AB205D" w:rsidRDefault="00471A3B">
            <w:pPr>
              <w:cnfStyle w:val="000000000000" w:firstRow="0" w:lastRow="0" w:firstColumn="0" w:lastColumn="0" w:oddVBand="0" w:evenVBand="0" w:oddHBand="0" w:evenHBand="0" w:firstRowFirstColumn="0" w:firstRowLastColumn="0" w:lastRowFirstColumn="0" w:lastRowLastColumn="0"/>
            </w:pPr>
            <w:r>
              <w:t>(391)</w:t>
            </w:r>
          </w:p>
        </w:tc>
        <w:tc>
          <w:tcPr>
            <w:tcW w:w="794" w:type="dxa"/>
            <w:tcBorders>
              <w:bottom w:val="single" w:sz="6" w:space="0" w:color="auto"/>
            </w:tcBorders>
          </w:tcPr>
          <w:p w14:paraId="22E581A4" w14:textId="77777777" w:rsidR="00AB205D" w:rsidRDefault="00471A3B">
            <w:pPr>
              <w:cnfStyle w:val="000000000000" w:firstRow="0" w:lastRow="0" w:firstColumn="0" w:lastColumn="0" w:oddVBand="0" w:evenVBand="0" w:oddHBand="0" w:evenHBand="0" w:firstRowFirstColumn="0" w:firstRowLastColumn="0" w:lastRowFirstColumn="0" w:lastRowLastColumn="0"/>
            </w:pPr>
            <w:r>
              <w:t>(182)</w:t>
            </w:r>
          </w:p>
        </w:tc>
        <w:tc>
          <w:tcPr>
            <w:tcW w:w="794" w:type="dxa"/>
            <w:tcBorders>
              <w:bottom w:val="single" w:sz="6" w:space="0" w:color="auto"/>
            </w:tcBorders>
          </w:tcPr>
          <w:p w14:paraId="59AB2EEB" w14:textId="77777777" w:rsidR="00AB205D" w:rsidRDefault="00471A3B">
            <w:pPr>
              <w:cnfStyle w:val="000000000000" w:firstRow="0" w:lastRow="0" w:firstColumn="0" w:lastColumn="0" w:oddVBand="0" w:evenVBand="0" w:oddHBand="0" w:evenHBand="0" w:firstRowFirstColumn="0" w:firstRowLastColumn="0" w:lastRowFirstColumn="0" w:lastRowLastColumn="0"/>
            </w:pPr>
            <w:r>
              <w:t>406</w:t>
            </w:r>
          </w:p>
        </w:tc>
      </w:tr>
      <w:tr w:rsidR="009C6724" w14:paraId="4DFB6667"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tcBorders>
          </w:tcPr>
          <w:p w14:paraId="39262C03" w14:textId="77777777" w:rsidR="00AB205D" w:rsidRDefault="00AB205D"/>
        </w:tc>
        <w:tc>
          <w:tcPr>
            <w:tcW w:w="794" w:type="dxa"/>
            <w:tcBorders>
              <w:top w:val="single" w:sz="6" w:space="0" w:color="auto"/>
            </w:tcBorders>
          </w:tcPr>
          <w:p w14:paraId="08734D4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253</w:t>
            </w:r>
          </w:p>
        </w:tc>
        <w:tc>
          <w:tcPr>
            <w:tcW w:w="794" w:type="dxa"/>
            <w:tcBorders>
              <w:top w:val="single" w:sz="6" w:space="0" w:color="auto"/>
            </w:tcBorders>
          </w:tcPr>
          <w:p w14:paraId="4A685CA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158</w:t>
            </w:r>
          </w:p>
        </w:tc>
        <w:tc>
          <w:tcPr>
            <w:tcW w:w="794" w:type="dxa"/>
            <w:tcBorders>
              <w:top w:val="single" w:sz="6" w:space="0" w:color="auto"/>
            </w:tcBorders>
          </w:tcPr>
          <w:p w14:paraId="20B6836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774</w:t>
            </w:r>
          </w:p>
        </w:tc>
        <w:tc>
          <w:tcPr>
            <w:tcW w:w="794" w:type="dxa"/>
            <w:tcBorders>
              <w:top w:val="single" w:sz="6" w:space="0" w:color="auto"/>
            </w:tcBorders>
          </w:tcPr>
          <w:p w14:paraId="14DBC40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1 342</w:t>
            </w:r>
          </w:p>
        </w:tc>
      </w:tr>
      <w:tr w:rsidR="009C6724" w14:paraId="131848D0"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409469EA" w14:textId="77777777" w:rsidR="00AB205D" w:rsidRDefault="00471A3B">
            <w:r>
              <w:rPr>
                <w:b/>
              </w:rPr>
              <w:t>Administrative variations</w:t>
            </w:r>
          </w:p>
        </w:tc>
        <w:tc>
          <w:tcPr>
            <w:tcW w:w="794" w:type="dxa"/>
          </w:tcPr>
          <w:p w14:paraId="18B01073"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573C878"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5DE8261"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43C9476"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5D578DE3"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25AE1427" w14:textId="77777777" w:rsidR="00AB205D" w:rsidRDefault="00471A3B">
            <w:r>
              <w:t xml:space="preserve">   Contingency offset for new policy initiatives </w:t>
            </w:r>
            <w:r>
              <w:rPr>
                <w:vertAlign w:val="superscript"/>
              </w:rPr>
              <w:t>(e)</w:t>
            </w:r>
          </w:p>
        </w:tc>
        <w:tc>
          <w:tcPr>
            <w:tcW w:w="794" w:type="dxa"/>
          </w:tcPr>
          <w:p w14:paraId="2247E5AD"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3B42D898"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0E7C0248"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46704D70"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r>
      <w:tr w:rsidR="009C6724" w14:paraId="169248C1"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bottom w:val="single" w:sz="6" w:space="0" w:color="auto"/>
            </w:tcBorders>
          </w:tcPr>
          <w:p w14:paraId="02EB3342" w14:textId="77777777" w:rsidR="00AB205D" w:rsidRDefault="00471A3B">
            <w:r>
              <w:t xml:space="preserve">   Other administrative variations</w:t>
            </w:r>
          </w:p>
        </w:tc>
        <w:tc>
          <w:tcPr>
            <w:tcW w:w="794" w:type="dxa"/>
            <w:tcBorders>
              <w:bottom w:val="single" w:sz="6" w:space="0" w:color="auto"/>
            </w:tcBorders>
          </w:tcPr>
          <w:p w14:paraId="141A0CC6" w14:textId="77777777" w:rsidR="00AB205D" w:rsidRDefault="00471A3B">
            <w:pPr>
              <w:cnfStyle w:val="000000000000" w:firstRow="0" w:lastRow="0" w:firstColumn="0" w:lastColumn="0" w:oddVBand="0" w:evenVBand="0" w:oddHBand="0" w:evenHBand="0" w:firstRowFirstColumn="0" w:firstRowLastColumn="0" w:lastRowFirstColumn="0" w:lastRowLastColumn="0"/>
            </w:pPr>
            <w:r>
              <w:t>(470)</w:t>
            </w:r>
          </w:p>
        </w:tc>
        <w:tc>
          <w:tcPr>
            <w:tcW w:w="794" w:type="dxa"/>
            <w:tcBorders>
              <w:bottom w:val="single" w:sz="6" w:space="0" w:color="auto"/>
            </w:tcBorders>
          </w:tcPr>
          <w:p w14:paraId="4668B856" w14:textId="77777777" w:rsidR="00AB205D" w:rsidRDefault="00471A3B">
            <w:pPr>
              <w:cnfStyle w:val="000000000000" w:firstRow="0" w:lastRow="0" w:firstColumn="0" w:lastColumn="0" w:oddVBand="0" w:evenVBand="0" w:oddHBand="0" w:evenHBand="0" w:firstRowFirstColumn="0" w:firstRowLastColumn="0" w:lastRowFirstColumn="0" w:lastRowLastColumn="0"/>
            </w:pPr>
            <w:r>
              <w:t>(875)</w:t>
            </w:r>
          </w:p>
        </w:tc>
        <w:tc>
          <w:tcPr>
            <w:tcW w:w="794" w:type="dxa"/>
            <w:tcBorders>
              <w:bottom w:val="single" w:sz="6" w:space="0" w:color="auto"/>
            </w:tcBorders>
          </w:tcPr>
          <w:p w14:paraId="3A7492C2" w14:textId="77777777" w:rsidR="00AB205D" w:rsidRDefault="00471A3B">
            <w:pPr>
              <w:cnfStyle w:val="000000000000" w:firstRow="0" w:lastRow="0" w:firstColumn="0" w:lastColumn="0" w:oddVBand="0" w:evenVBand="0" w:oddHBand="0" w:evenHBand="0" w:firstRowFirstColumn="0" w:firstRowLastColumn="0" w:lastRowFirstColumn="0" w:lastRowLastColumn="0"/>
            </w:pPr>
            <w:r>
              <w:t>(1 271)</w:t>
            </w:r>
          </w:p>
        </w:tc>
        <w:tc>
          <w:tcPr>
            <w:tcW w:w="794" w:type="dxa"/>
            <w:tcBorders>
              <w:bottom w:val="single" w:sz="6" w:space="0" w:color="auto"/>
            </w:tcBorders>
          </w:tcPr>
          <w:p w14:paraId="252EFC50" w14:textId="77777777" w:rsidR="00AB205D" w:rsidRDefault="00471A3B">
            <w:pPr>
              <w:cnfStyle w:val="000000000000" w:firstRow="0" w:lastRow="0" w:firstColumn="0" w:lastColumn="0" w:oddVBand="0" w:evenVBand="0" w:oddHBand="0" w:evenHBand="0" w:firstRowFirstColumn="0" w:firstRowLastColumn="0" w:lastRowFirstColumn="0" w:lastRowLastColumn="0"/>
            </w:pPr>
            <w:r>
              <w:t>(2 024)</w:t>
            </w:r>
          </w:p>
        </w:tc>
      </w:tr>
      <w:tr w:rsidR="009C6724" w14:paraId="7B392AA3"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tcBorders>
          </w:tcPr>
          <w:p w14:paraId="04FDD6BA" w14:textId="77777777" w:rsidR="00AB205D" w:rsidRDefault="00AB205D"/>
        </w:tc>
        <w:tc>
          <w:tcPr>
            <w:tcW w:w="794" w:type="dxa"/>
            <w:tcBorders>
              <w:top w:val="single" w:sz="6" w:space="0" w:color="auto"/>
            </w:tcBorders>
          </w:tcPr>
          <w:p w14:paraId="1923636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(470)</w:t>
            </w:r>
          </w:p>
        </w:tc>
        <w:tc>
          <w:tcPr>
            <w:tcW w:w="794" w:type="dxa"/>
            <w:tcBorders>
              <w:top w:val="single" w:sz="6" w:space="0" w:color="auto"/>
            </w:tcBorders>
          </w:tcPr>
          <w:p w14:paraId="7DA94B5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(875)</w:t>
            </w:r>
          </w:p>
        </w:tc>
        <w:tc>
          <w:tcPr>
            <w:tcW w:w="794" w:type="dxa"/>
            <w:tcBorders>
              <w:top w:val="single" w:sz="6" w:space="0" w:color="auto"/>
            </w:tcBorders>
          </w:tcPr>
          <w:p w14:paraId="62BC628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(1 271)</w:t>
            </w:r>
          </w:p>
        </w:tc>
        <w:tc>
          <w:tcPr>
            <w:tcW w:w="794" w:type="dxa"/>
            <w:tcBorders>
              <w:top w:val="single" w:sz="6" w:space="0" w:color="auto"/>
            </w:tcBorders>
          </w:tcPr>
          <w:p w14:paraId="701BF2A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(2 024)</w:t>
            </w:r>
          </w:p>
        </w:tc>
      </w:tr>
      <w:tr w:rsidR="009C6724" w14:paraId="16DEE94B" w14:textId="77777777" w:rsidTr="009C6724">
        <w:trPr>
          <w:trHeight w:hRule="exact" w:val="113"/>
        </w:trPr>
        <w:tc>
          <w:tcPr>
            <w:cnfStyle w:val="001000000000" w:firstRow="0" w:lastRow="0" w:firstColumn="1" w:lastColumn="0" w:oddVBand="0" w:evenVBand="0" w:oddHBand="0" w:evenHBand="0" w:firstRowFirstColumn="0" w:firstRowLastColumn="0" w:lastRowFirstColumn="0" w:lastRowLastColumn="0"/>
            <w:tcW w:w="4534" w:type="dxa"/>
          </w:tcPr>
          <w:p w14:paraId="5B25A91F" w14:textId="77777777" w:rsidR="00AB205D" w:rsidRDefault="00AB205D"/>
        </w:tc>
        <w:tc>
          <w:tcPr>
            <w:tcW w:w="794" w:type="dxa"/>
          </w:tcPr>
          <w:p w14:paraId="4ED5F87B"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1AA67F2"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162598D"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5123744"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1066701E"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bottom w:val="single" w:sz="6" w:space="0" w:color="auto"/>
            </w:tcBorders>
          </w:tcPr>
          <w:p w14:paraId="00A88E6C" w14:textId="77777777" w:rsidR="00AB205D" w:rsidRDefault="00471A3B">
            <w:r>
              <w:rPr>
                <w:b/>
              </w:rPr>
              <w:t xml:space="preserve">Total variation since </w:t>
            </w:r>
            <w:r>
              <w:rPr>
                <w:b/>
                <w:i/>
              </w:rPr>
              <w:t>2023</w:t>
            </w:r>
            <w:r>
              <w:rPr>
                <w:b/>
                <w:i/>
              </w:rPr>
              <w:noBreakHyphen/>
              <w:t>24 Budget</w:t>
            </w:r>
          </w:p>
        </w:tc>
        <w:tc>
          <w:tcPr>
            <w:tcW w:w="794" w:type="dxa"/>
            <w:tcBorders>
              <w:bottom w:val="single" w:sz="6" w:space="0" w:color="auto"/>
            </w:tcBorders>
          </w:tcPr>
          <w:p w14:paraId="5D6C687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547</w:t>
            </w:r>
          </w:p>
        </w:tc>
        <w:tc>
          <w:tcPr>
            <w:tcW w:w="794" w:type="dxa"/>
            <w:tcBorders>
              <w:bottom w:val="single" w:sz="6" w:space="0" w:color="auto"/>
            </w:tcBorders>
          </w:tcPr>
          <w:p w14:paraId="22F15BC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38</w:t>
            </w:r>
          </w:p>
        </w:tc>
        <w:tc>
          <w:tcPr>
            <w:tcW w:w="794" w:type="dxa"/>
            <w:tcBorders>
              <w:bottom w:val="single" w:sz="6" w:space="0" w:color="auto"/>
            </w:tcBorders>
          </w:tcPr>
          <w:p w14:paraId="205B2FF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23</w:t>
            </w:r>
          </w:p>
        </w:tc>
        <w:tc>
          <w:tcPr>
            <w:tcW w:w="794" w:type="dxa"/>
            <w:tcBorders>
              <w:bottom w:val="single" w:sz="6" w:space="0" w:color="auto"/>
            </w:tcBorders>
          </w:tcPr>
          <w:p w14:paraId="654B2F6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28</w:t>
            </w:r>
          </w:p>
        </w:tc>
      </w:tr>
      <w:tr w:rsidR="009C6724" w14:paraId="5F8C939F"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bottom w:val="single" w:sz="12" w:space="0" w:color="auto"/>
            </w:tcBorders>
          </w:tcPr>
          <w:p w14:paraId="44E7DF61" w14:textId="77777777" w:rsidR="00AB205D" w:rsidRDefault="00471A3B">
            <w:r>
              <w:rPr>
                <w:b/>
              </w:rPr>
              <w:t xml:space="preserve">Net result from transactions: </w:t>
            </w:r>
            <w:r>
              <w:rPr>
                <w:b/>
                <w:i/>
              </w:rPr>
              <w:t>2023</w:t>
            </w:r>
            <w:r>
              <w:rPr>
                <w:b/>
                <w:i/>
              </w:rPr>
              <w:noBreakHyphen/>
              <w:t>24 Budget Update</w:t>
            </w:r>
          </w:p>
        </w:tc>
        <w:tc>
          <w:tcPr>
            <w:tcW w:w="794" w:type="dxa"/>
            <w:tcBorders>
              <w:top w:val="single" w:sz="6" w:space="0" w:color="auto"/>
              <w:bottom w:val="single" w:sz="12" w:space="0" w:color="auto"/>
            </w:tcBorders>
          </w:tcPr>
          <w:p w14:paraId="0E7153B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(3 470)</w:t>
            </w:r>
          </w:p>
        </w:tc>
        <w:tc>
          <w:tcPr>
            <w:tcW w:w="794" w:type="dxa"/>
            <w:tcBorders>
              <w:top w:val="single" w:sz="6" w:space="0" w:color="auto"/>
              <w:bottom w:val="single" w:sz="12" w:space="0" w:color="auto"/>
            </w:tcBorders>
          </w:tcPr>
          <w:p w14:paraId="2CA59EA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(1 022)</w:t>
            </w:r>
          </w:p>
        </w:tc>
        <w:tc>
          <w:tcPr>
            <w:tcW w:w="794" w:type="dxa"/>
            <w:tcBorders>
              <w:top w:val="single" w:sz="6" w:space="0" w:color="auto"/>
              <w:bottom w:val="single" w:sz="12" w:space="0" w:color="auto"/>
            </w:tcBorders>
          </w:tcPr>
          <w:p w14:paraId="68C31F5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1 062</w:t>
            </w:r>
          </w:p>
        </w:tc>
        <w:tc>
          <w:tcPr>
            <w:tcW w:w="794" w:type="dxa"/>
            <w:tcBorders>
              <w:top w:val="single" w:sz="6" w:space="0" w:color="auto"/>
              <w:bottom w:val="single" w:sz="12" w:space="0" w:color="auto"/>
            </w:tcBorders>
          </w:tcPr>
          <w:p w14:paraId="2097185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1 232</w:t>
            </w:r>
          </w:p>
        </w:tc>
      </w:tr>
    </w:tbl>
    <w:p w14:paraId="2F081D72" w14:textId="77777777" w:rsidR="00AB205D" w:rsidRPr="001D55A6" w:rsidRDefault="00471A3B">
      <w:pPr>
        <w:pStyle w:val="Note"/>
      </w:pPr>
      <w:r w:rsidRPr="001D55A6">
        <w:t>Notes:</w:t>
      </w:r>
    </w:p>
    <w:p w14:paraId="655E5A5B" w14:textId="77777777" w:rsidR="00AB205D" w:rsidRPr="001D55A6" w:rsidRDefault="00471A3B">
      <w:pPr>
        <w:pStyle w:val="Note"/>
      </w:pPr>
      <w:r w:rsidRPr="001D55A6">
        <w:t>(a)</w:t>
      </w:r>
      <w:r w:rsidRPr="001D55A6">
        <w:tab/>
        <w:t>Figures in this table are subject to rounding to the nearest</w:t>
      </w:r>
      <w:r>
        <w:t> </w:t>
      </w:r>
      <w:r w:rsidRPr="001D55A6">
        <w:t>million and may not add up to totals.</w:t>
      </w:r>
    </w:p>
    <w:p w14:paraId="6FBD3AE2" w14:textId="77777777" w:rsidR="00AB205D" w:rsidRPr="001D55A6" w:rsidRDefault="00471A3B">
      <w:pPr>
        <w:pStyle w:val="Note"/>
      </w:pPr>
      <w:r w:rsidRPr="001D55A6">
        <w:t>(b)</w:t>
      </w:r>
      <w:r w:rsidRPr="001D55A6">
        <w:tab/>
        <w:t xml:space="preserve">This is represented in Table 3.4 as the </w:t>
      </w:r>
      <w:r w:rsidRPr="00072CED">
        <w:rPr>
          <w:i w:val="0"/>
          <w:iCs/>
        </w:rPr>
        <w:t>2023</w:t>
      </w:r>
      <w:r>
        <w:rPr>
          <w:i w:val="0"/>
          <w:iCs/>
        </w:rPr>
        <w:noBreakHyphen/>
      </w:r>
      <w:r w:rsidRPr="00072CED">
        <w:rPr>
          <w:i w:val="0"/>
          <w:iCs/>
        </w:rPr>
        <w:t>24 Budget Update</w:t>
      </w:r>
      <w:r w:rsidRPr="001D55A6">
        <w:t xml:space="preserve"> output policy initiatives.</w:t>
      </w:r>
    </w:p>
    <w:p w14:paraId="4988EA89" w14:textId="77777777" w:rsidR="00AB205D" w:rsidRPr="001D55A6" w:rsidRDefault="00471A3B">
      <w:pPr>
        <w:pStyle w:val="Note"/>
      </w:pPr>
      <w:r w:rsidRPr="001D55A6">
        <w:t>(c)</w:t>
      </w:r>
      <w:r w:rsidRPr="001D55A6">
        <w:tab/>
        <w:t>Comprises dividends and income tax and rate equivalent revenue.</w:t>
      </w:r>
    </w:p>
    <w:p w14:paraId="249A5C1E" w14:textId="77777777" w:rsidR="00AB205D" w:rsidRPr="001D55A6" w:rsidRDefault="00471A3B">
      <w:pPr>
        <w:pStyle w:val="Note"/>
      </w:pPr>
      <w:r w:rsidRPr="001D55A6">
        <w:t>(d)</w:t>
      </w:r>
      <w:r w:rsidRPr="001D55A6">
        <w:tab/>
        <w:t>Reflects the change in grant revenue as per Note 4.2.4 of Chapter 4 less associated expense movements.</w:t>
      </w:r>
    </w:p>
    <w:p w14:paraId="50CCB647" w14:textId="77777777" w:rsidR="00AB205D" w:rsidRDefault="00471A3B">
      <w:pPr>
        <w:pStyle w:val="Note"/>
      </w:pPr>
      <w:r w:rsidRPr="001D55A6">
        <w:t>(e)</w:t>
      </w:r>
      <w:r w:rsidRPr="001D55A6">
        <w:tab/>
        <w:t xml:space="preserve">Represents releases from the funding not allocated to specific purposes contingency included in the </w:t>
      </w:r>
      <w:r w:rsidRPr="00072CED">
        <w:rPr>
          <w:i w:val="0"/>
          <w:iCs/>
        </w:rPr>
        <w:t>2023</w:t>
      </w:r>
      <w:r>
        <w:rPr>
          <w:i w:val="0"/>
          <w:iCs/>
        </w:rPr>
        <w:noBreakHyphen/>
      </w:r>
      <w:r w:rsidRPr="00072CED">
        <w:rPr>
          <w:i w:val="0"/>
          <w:iCs/>
        </w:rPr>
        <w:t>24 Budget Update</w:t>
      </w:r>
      <w:r w:rsidRPr="001D55A6">
        <w:t>. Further information on total output contingencies can be found at Note 4.3.5 of Chapter 4</w:t>
      </w:r>
      <w:r w:rsidRPr="00054374">
        <w:t xml:space="preserve"> </w:t>
      </w:r>
      <w:r w:rsidRPr="005B272D">
        <w:rPr>
          <w:i w:val="0"/>
        </w:rPr>
        <w:t>Estimated Financial Statements and notes</w:t>
      </w:r>
      <w:r w:rsidRPr="001D55A6">
        <w:t>.</w:t>
      </w:r>
    </w:p>
    <w:p w14:paraId="5879914A" w14:textId="77777777" w:rsidR="00AB205D" w:rsidRPr="001D55A6" w:rsidRDefault="00471A3B">
      <w:pPr>
        <w:pStyle w:val="Heading30"/>
        <w:pageBreakBefore/>
      </w:pPr>
      <w:r w:rsidRPr="001D55A6">
        <w:lastRenderedPageBreak/>
        <w:t>Policy variations</w:t>
      </w:r>
    </w:p>
    <w:p w14:paraId="4AC7B95F" w14:textId="77777777" w:rsidR="00AB205D" w:rsidRDefault="00471A3B">
      <w:pPr>
        <w:keepLines w:val="0"/>
      </w:pPr>
      <w:r>
        <w:t xml:space="preserve">Policy variations reflect specific initiatives by the Government that will have a fiscal impact over the next four years and are related to a new policy or represent a change in the Government’s existing policy position since the </w:t>
      </w:r>
      <w:r w:rsidRPr="0003276F">
        <w:rPr>
          <w:i/>
          <w:iCs/>
        </w:rPr>
        <w:t>2023</w:t>
      </w:r>
      <w:r w:rsidRPr="0003276F">
        <w:rPr>
          <w:i/>
          <w:iCs/>
        </w:rPr>
        <w:noBreakHyphen/>
        <w:t>24 Budget</w:t>
      </w:r>
      <w:r w:rsidRPr="00C26B16">
        <w:t>.</w:t>
      </w:r>
      <w:r>
        <w:t xml:space="preserve"> </w:t>
      </w:r>
    </w:p>
    <w:p w14:paraId="6B1F4428" w14:textId="77777777" w:rsidR="00AB205D" w:rsidRDefault="00471A3B">
      <w:pPr>
        <w:keepLines w:val="0"/>
      </w:pPr>
      <w:r w:rsidRPr="00A0784E">
        <w:t xml:space="preserve">The </w:t>
      </w:r>
      <w:r w:rsidRPr="00A0784E">
        <w:rPr>
          <w:i/>
        </w:rPr>
        <w:t>2023</w:t>
      </w:r>
      <w:r w:rsidRPr="00A0784E">
        <w:rPr>
          <w:i/>
        </w:rPr>
        <w:noBreakHyphen/>
        <w:t>24 Budget Update</w:t>
      </w:r>
      <w:r w:rsidRPr="00A0784E">
        <w:t xml:space="preserve"> funds </w:t>
      </w:r>
      <w:r w:rsidRPr="0020381D">
        <w:t>$2.</w:t>
      </w:r>
      <w:r>
        <w:t>6</w:t>
      </w:r>
      <w:r w:rsidRPr="00A0784E">
        <w:t> billion in output initiatives over the four years to</w:t>
      </w:r>
      <w:r>
        <w:t xml:space="preserve"> 2026-27. Table 3.4 shows the impact of the new output initiatives since the previous publication.</w:t>
      </w:r>
    </w:p>
    <w:p w14:paraId="298699C9" w14:textId="77777777" w:rsidR="00AB205D" w:rsidRDefault="00471A3B">
      <w:pPr>
        <w:keepLines w:val="0"/>
      </w:pPr>
      <w:r>
        <w:t xml:space="preserve">Details of specific new output and revenue policy initiatives are contained in </w:t>
      </w:r>
      <w:r w:rsidRPr="001D71DF">
        <w:t xml:space="preserve">Appendix A </w:t>
      </w:r>
      <w:r w:rsidRPr="001D71DF">
        <w:rPr>
          <w:i/>
          <w:iCs/>
        </w:rPr>
        <w:t>Specific policy initiatives affecting the budget position</w:t>
      </w:r>
      <w:r w:rsidRPr="001D71DF">
        <w:t>.</w:t>
      </w:r>
    </w:p>
    <w:p w14:paraId="2BC67330" w14:textId="77777777" w:rsidR="00AB205D" w:rsidRPr="001D55A6" w:rsidRDefault="00471A3B">
      <w:pPr>
        <w:pStyle w:val="TableHeading"/>
      </w:pPr>
      <w:r w:rsidRPr="001D55A6">
        <w:t>Table 3.4:</w:t>
      </w:r>
      <w:r w:rsidRPr="001D55A6">
        <w:tab/>
        <w:t xml:space="preserve">Net impact of new output initiatives since the </w:t>
      </w:r>
      <w:r w:rsidRPr="0057555C">
        <w:rPr>
          <w:i/>
          <w:iCs w:val="0"/>
        </w:rPr>
        <w:t>2023</w:t>
      </w:r>
      <w:r>
        <w:rPr>
          <w:i/>
          <w:iCs w:val="0"/>
        </w:rPr>
        <w:noBreakHyphen/>
      </w:r>
      <w:r w:rsidRPr="0057555C">
        <w:rPr>
          <w:i/>
          <w:iCs w:val="0"/>
        </w:rPr>
        <w:t>24 Budget</w:t>
      </w:r>
      <w:r w:rsidRPr="001D55A6">
        <w:t xml:space="preserve"> </w:t>
      </w:r>
      <w:r w:rsidRPr="0057555C">
        <w:rPr>
          <w:vertAlign w:val="superscript"/>
        </w:rPr>
        <w:t>(a)</w:t>
      </w:r>
      <w:r>
        <w:tab/>
      </w:r>
      <w:r w:rsidRPr="001D55A6">
        <w:t>($</w:t>
      </w:r>
      <w:r>
        <w:t> </w:t>
      </w:r>
      <w:r w:rsidRPr="001D55A6">
        <w:t>million)</w:t>
      </w:r>
    </w:p>
    <w:tbl>
      <w:tblPr>
        <w:tblStyle w:val="DTFTableNumeric"/>
        <w:tblW w:w="7710" w:type="dxa"/>
        <w:tblLayout w:type="fixed"/>
        <w:tblLook w:val="04A0" w:firstRow="1" w:lastRow="0" w:firstColumn="1" w:lastColumn="0" w:noHBand="0" w:noVBand="1"/>
        <w:tblDescription w:val="Type:DtfTable|Workbook:https://vicgov.sharepoint.com/sites/VG002735/Budget%20Update/Chapter%203/Link_Chapter%203%20Budget%20Position%20and%20Outlook.xlsx|Table:NetImpactOfNewInitiatives|MergedHeadingRow:1"/>
      </w:tblPr>
      <w:tblGrid>
        <w:gridCol w:w="4534"/>
        <w:gridCol w:w="794"/>
        <w:gridCol w:w="794"/>
        <w:gridCol w:w="794"/>
        <w:gridCol w:w="794"/>
      </w:tblGrid>
      <w:tr w:rsidR="009C6724" w14:paraId="2336BBF3"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4" w:type="dxa"/>
          </w:tcPr>
          <w:p w14:paraId="773DB0A1" w14:textId="77777777" w:rsidR="00AB205D" w:rsidRDefault="00AB205D">
            <w:pPr>
              <w:keepNext/>
            </w:pPr>
          </w:p>
        </w:tc>
        <w:tc>
          <w:tcPr>
            <w:tcW w:w="794" w:type="dxa"/>
          </w:tcPr>
          <w:p w14:paraId="14AE1989"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revised</w:t>
            </w:r>
          </w:p>
        </w:tc>
        <w:tc>
          <w:tcPr>
            <w:tcW w:w="794" w:type="dxa"/>
          </w:tcPr>
          <w:p w14:paraId="761658C9"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r>
              <w:br/>
              <w:t>estimate</w:t>
            </w:r>
          </w:p>
        </w:tc>
        <w:tc>
          <w:tcPr>
            <w:tcW w:w="794" w:type="dxa"/>
          </w:tcPr>
          <w:p w14:paraId="525903D1"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3BF438E0"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r>
      <w:tr w:rsidR="009C6724" w14:paraId="377EF9A3"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05D51333" w14:textId="77777777" w:rsidR="00AB205D" w:rsidRDefault="00471A3B">
            <w:r>
              <w:rPr>
                <w:b/>
              </w:rPr>
              <w:t>New output initiatives</w:t>
            </w:r>
          </w:p>
        </w:tc>
        <w:tc>
          <w:tcPr>
            <w:tcW w:w="794" w:type="dxa"/>
          </w:tcPr>
          <w:p w14:paraId="5A4E4EA9" w14:textId="62C27FE9" w:rsidR="00AB205D" w:rsidRDefault="00471A3B">
            <w:pPr>
              <w:cnfStyle w:val="000000000000" w:firstRow="0" w:lastRow="0" w:firstColumn="0" w:lastColumn="0" w:oddVBand="0" w:evenVBand="0" w:oddHBand="0" w:evenHBand="0" w:firstRowFirstColumn="0" w:firstRowLastColumn="0" w:lastRowFirstColumn="0" w:lastRowLastColumn="0"/>
            </w:pPr>
            <w:r>
              <w:rPr>
                <w:b/>
              </w:rPr>
              <w:t xml:space="preserve">1 </w:t>
            </w:r>
            <w:r w:rsidR="00ED2604">
              <w:rPr>
                <w:b/>
              </w:rPr>
              <w:t>079</w:t>
            </w:r>
          </w:p>
        </w:tc>
        <w:tc>
          <w:tcPr>
            <w:tcW w:w="794" w:type="dxa"/>
          </w:tcPr>
          <w:p w14:paraId="092CA00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704</w:t>
            </w:r>
          </w:p>
        </w:tc>
        <w:tc>
          <w:tcPr>
            <w:tcW w:w="794" w:type="dxa"/>
          </w:tcPr>
          <w:p w14:paraId="100334D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540</w:t>
            </w:r>
          </w:p>
        </w:tc>
        <w:tc>
          <w:tcPr>
            <w:tcW w:w="794" w:type="dxa"/>
          </w:tcPr>
          <w:p w14:paraId="660DB8F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257</w:t>
            </w:r>
          </w:p>
        </w:tc>
      </w:tr>
      <w:tr w:rsidR="009C6724" w14:paraId="4D0CBF88"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1D3BA461" w14:textId="77777777" w:rsidR="00AB205D" w:rsidRDefault="00471A3B">
            <w:r>
              <w:t>Less:</w:t>
            </w:r>
          </w:p>
        </w:tc>
        <w:tc>
          <w:tcPr>
            <w:tcW w:w="794" w:type="dxa"/>
          </w:tcPr>
          <w:p w14:paraId="141DDFA1"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5918D46A"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2899D7CD"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0F89F87"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208DCB1F"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7D1C94CD" w14:textId="4C96DE48" w:rsidR="00AB205D" w:rsidRDefault="00471A3B">
            <w:r>
              <w:t xml:space="preserve">   Reprioritisations and revenue offsets </w:t>
            </w:r>
            <w:r>
              <w:rPr>
                <w:vertAlign w:val="superscript"/>
              </w:rPr>
              <w:t>(b)</w:t>
            </w:r>
          </w:p>
        </w:tc>
        <w:tc>
          <w:tcPr>
            <w:tcW w:w="794" w:type="dxa"/>
          </w:tcPr>
          <w:p w14:paraId="4C8578DA"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377A311E" w14:textId="77777777" w:rsidR="00AB205D" w:rsidRDefault="00471A3B">
            <w:pPr>
              <w:cnfStyle w:val="000000000000" w:firstRow="0" w:lastRow="0" w:firstColumn="0" w:lastColumn="0" w:oddVBand="0" w:evenVBand="0" w:oddHBand="0" w:evenHBand="0" w:firstRowFirstColumn="0" w:firstRowLastColumn="0" w:lastRowFirstColumn="0" w:lastRowLastColumn="0"/>
            </w:pPr>
            <w:r>
              <w:t>38</w:t>
            </w:r>
          </w:p>
        </w:tc>
        <w:tc>
          <w:tcPr>
            <w:tcW w:w="794" w:type="dxa"/>
          </w:tcPr>
          <w:p w14:paraId="65BB1148" w14:textId="77777777" w:rsidR="00AB205D" w:rsidRDefault="00471A3B">
            <w:pPr>
              <w:cnfStyle w:val="000000000000" w:firstRow="0" w:lastRow="0" w:firstColumn="0" w:lastColumn="0" w:oddVBand="0" w:evenVBand="0" w:oddHBand="0" w:evenHBand="0" w:firstRowFirstColumn="0" w:firstRowLastColumn="0" w:lastRowFirstColumn="0" w:lastRowLastColumn="0"/>
            </w:pPr>
            <w:r>
              <w:t>76</w:t>
            </w:r>
          </w:p>
        </w:tc>
        <w:tc>
          <w:tcPr>
            <w:tcW w:w="794" w:type="dxa"/>
          </w:tcPr>
          <w:p w14:paraId="5492D8A3" w14:textId="77777777" w:rsidR="00AB205D" w:rsidRDefault="00471A3B">
            <w:pPr>
              <w:cnfStyle w:val="000000000000" w:firstRow="0" w:lastRow="0" w:firstColumn="0" w:lastColumn="0" w:oddVBand="0" w:evenVBand="0" w:oddHBand="0" w:evenHBand="0" w:firstRowFirstColumn="0" w:firstRowLastColumn="0" w:lastRowFirstColumn="0" w:lastRowLastColumn="0"/>
            </w:pPr>
            <w:r>
              <w:t>76</w:t>
            </w:r>
          </w:p>
        </w:tc>
      </w:tr>
      <w:tr w:rsidR="009C6724" w14:paraId="5DD189E2"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7AB618EF" w14:textId="60BCF885" w:rsidR="00AB205D" w:rsidRDefault="00471A3B">
            <w:r>
              <w:t xml:space="preserve">   Adjustments </w:t>
            </w:r>
            <w:r>
              <w:rPr>
                <w:vertAlign w:val="superscript"/>
              </w:rPr>
              <w:t>(c)</w:t>
            </w:r>
          </w:p>
        </w:tc>
        <w:tc>
          <w:tcPr>
            <w:tcW w:w="794" w:type="dxa"/>
          </w:tcPr>
          <w:p w14:paraId="36E77D44" w14:textId="5AB1E72F" w:rsidR="00AB205D" w:rsidRDefault="00ED2604">
            <w:pPr>
              <w:cnfStyle w:val="000000000000" w:firstRow="0" w:lastRow="0" w:firstColumn="0" w:lastColumn="0" w:oddVBand="0" w:evenVBand="0" w:oddHBand="0" w:evenHBand="0" w:firstRowFirstColumn="0" w:firstRowLastColumn="0" w:lastRowFirstColumn="0" w:lastRowLastColumn="0"/>
            </w:pPr>
            <w:r>
              <w:t>30</w:t>
            </w:r>
          </w:p>
        </w:tc>
        <w:tc>
          <w:tcPr>
            <w:tcW w:w="794" w:type="dxa"/>
          </w:tcPr>
          <w:p w14:paraId="69BD57AB" w14:textId="77777777" w:rsidR="00AB205D" w:rsidRDefault="00471A3B">
            <w:pPr>
              <w:cnfStyle w:val="000000000000" w:firstRow="0" w:lastRow="0" w:firstColumn="0" w:lastColumn="0" w:oddVBand="0" w:evenVBand="0" w:oddHBand="0" w:evenHBand="0" w:firstRowFirstColumn="0" w:firstRowLastColumn="0" w:lastRowFirstColumn="0" w:lastRowLastColumn="0"/>
            </w:pPr>
            <w:r>
              <w:t>(121)</w:t>
            </w:r>
          </w:p>
        </w:tc>
        <w:tc>
          <w:tcPr>
            <w:tcW w:w="794" w:type="dxa"/>
          </w:tcPr>
          <w:p w14:paraId="1FD91D48" w14:textId="77777777" w:rsidR="00AB205D" w:rsidRDefault="00471A3B">
            <w:pPr>
              <w:cnfStyle w:val="000000000000" w:firstRow="0" w:lastRow="0" w:firstColumn="0" w:lastColumn="0" w:oddVBand="0" w:evenVBand="0" w:oddHBand="0" w:evenHBand="0" w:firstRowFirstColumn="0" w:firstRowLastColumn="0" w:lastRowFirstColumn="0" w:lastRowLastColumn="0"/>
            </w:pPr>
            <w:r>
              <w:t>(200)</w:t>
            </w:r>
          </w:p>
        </w:tc>
        <w:tc>
          <w:tcPr>
            <w:tcW w:w="794" w:type="dxa"/>
          </w:tcPr>
          <w:p w14:paraId="674504AF" w14:textId="77777777" w:rsidR="00AB205D" w:rsidRDefault="00471A3B">
            <w:pPr>
              <w:cnfStyle w:val="000000000000" w:firstRow="0" w:lastRow="0" w:firstColumn="0" w:lastColumn="0" w:oddVBand="0" w:evenVBand="0" w:oddHBand="0" w:evenHBand="0" w:firstRowFirstColumn="0" w:firstRowLastColumn="0" w:lastRowFirstColumn="0" w:lastRowLastColumn="0"/>
            </w:pPr>
            <w:r>
              <w:t>(292)</w:t>
            </w:r>
          </w:p>
        </w:tc>
      </w:tr>
      <w:tr w:rsidR="009C6724" w14:paraId="44C5F2E8"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bottom w:val="single" w:sz="6" w:space="0" w:color="auto"/>
            </w:tcBorders>
          </w:tcPr>
          <w:p w14:paraId="4AA39AE9" w14:textId="26BAA0F1" w:rsidR="00AB205D" w:rsidRDefault="00471A3B">
            <w:r>
              <w:t xml:space="preserve">   Savings </w:t>
            </w:r>
            <w:r>
              <w:rPr>
                <w:vertAlign w:val="superscript"/>
              </w:rPr>
              <w:t>(d)</w:t>
            </w:r>
          </w:p>
        </w:tc>
        <w:tc>
          <w:tcPr>
            <w:tcW w:w="794" w:type="dxa"/>
            <w:tcBorders>
              <w:bottom w:val="single" w:sz="6" w:space="0" w:color="auto"/>
            </w:tcBorders>
          </w:tcPr>
          <w:p w14:paraId="017AC77F"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5E44075C"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72DB456A"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6102D583"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r>
      <w:tr w:rsidR="009C6724" w14:paraId="13026D88"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bottom w:val="single" w:sz="6" w:space="0" w:color="auto"/>
            </w:tcBorders>
          </w:tcPr>
          <w:p w14:paraId="790492D5" w14:textId="77777777" w:rsidR="00AB205D" w:rsidRDefault="00471A3B">
            <w:r>
              <w:rPr>
                <w:b/>
              </w:rPr>
              <w:t>New net output policy initiatives</w:t>
            </w:r>
          </w:p>
        </w:tc>
        <w:tc>
          <w:tcPr>
            <w:tcW w:w="794" w:type="dxa"/>
            <w:tcBorders>
              <w:top w:val="single" w:sz="6" w:space="0" w:color="auto"/>
              <w:bottom w:val="single" w:sz="6" w:space="0" w:color="auto"/>
            </w:tcBorders>
          </w:tcPr>
          <w:p w14:paraId="3F81EC7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1 049</w:t>
            </w:r>
          </w:p>
        </w:tc>
        <w:tc>
          <w:tcPr>
            <w:tcW w:w="794" w:type="dxa"/>
            <w:tcBorders>
              <w:top w:val="single" w:sz="6" w:space="0" w:color="auto"/>
              <w:bottom w:val="single" w:sz="6" w:space="0" w:color="auto"/>
            </w:tcBorders>
          </w:tcPr>
          <w:p w14:paraId="765876A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787</w:t>
            </w:r>
          </w:p>
        </w:tc>
        <w:tc>
          <w:tcPr>
            <w:tcW w:w="794" w:type="dxa"/>
            <w:tcBorders>
              <w:top w:val="single" w:sz="6" w:space="0" w:color="auto"/>
              <w:bottom w:val="single" w:sz="6" w:space="0" w:color="auto"/>
            </w:tcBorders>
          </w:tcPr>
          <w:p w14:paraId="3ACCC91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664</w:t>
            </w:r>
          </w:p>
        </w:tc>
        <w:tc>
          <w:tcPr>
            <w:tcW w:w="794" w:type="dxa"/>
            <w:tcBorders>
              <w:top w:val="single" w:sz="6" w:space="0" w:color="auto"/>
              <w:bottom w:val="single" w:sz="6" w:space="0" w:color="auto"/>
            </w:tcBorders>
          </w:tcPr>
          <w:p w14:paraId="5D4AA0A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474</w:t>
            </w:r>
          </w:p>
        </w:tc>
      </w:tr>
      <w:tr w:rsidR="009C6724" w14:paraId="0DE8D5AE"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bottom w:val="single" w:sz="6" w:space="0" w:color="auto"/>
            </w:tcBorders>
          </w:tcPr>
          <w:p w14:paraId="5F30B0BA" w14:textId="77777777" w:rsidR="00AB205D" w:rsidRDefault="00471A3B">
            <w:r>
              <w:t xml:space="preserve">Less: Contingency offset for new policy </w:t>
            </w:r>
            <w:r>
              <w:rPr>
                <w:vertAlign w:val="superscript"/>
              </w:rPr>
              <w:t>(e)</w:t>
            </w:r>
          </w:p>
        </w:tc>
        <w:tc>
          <w:tcPr>
            <w:tcW w:w="794" w:type="dxa"/>
            <w:tcBorders>
              <w:top w:val="single" w:sz="6" w:space="0" w:color="auto"/>
              <w:bottom w:val="single" w:sz="6" w:space="0" w:color="auto"/>
            </w:tcBorders>
          </w:tcPr>
          <w:p w14:paraId="69F8C3DB"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Borders>
              <w:top w:val="single" w:sz="6" w:space="0" w:color="auto"/>
              <w:bottom w:val="single" w:sz="6" w:space="0" w:color="auto"/>
            </w:tcBorders>
          </w:tcPr>
          <w:p w14:paraId="077EA52B"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Borders>
              <w:top w:val="single" w:sz="6" w:space="0" w:color="auto"/>
              <w:bottom w:val="single" w:sz="6" w:space="0" w:color="auto"/>
            </w:tcBorders>
          </w:tcPr>
          <w:p w14:paraId="209318B9"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Borders>
              <w:top w:val="single" w:sz="6" w:space="0" w:color="auto"/>
              <w:bottom w:val="single" w:sz="6" w:space="0" w:color="auto"/>
            </w:tcBorders>
          </w:tcPr>
          <w:p w14:paraId="46282A3A"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r>
      <w:tr w:rsidR="009C6724" w14:paraId="7DDB96F5"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bottom w:val="single" w:sz="12" w:space="0" w:color="auto"/>
            </w:tcBorders>
          </w:tcPr>
          <w:p w14:paraId="385A2930" w14:textId="77777777" w:rsidR="00AB205D" w:rsidRDefault="00471A3B">
            <w:r>
              <w:rPr>
                <w:b/>
              </w:rPr>
              <w:t>Net impact</w:t>
            </w:r>
          </w:p>
        </w:tc>
        <w:tc>
          <w:tcPr>
            <w:tcW w:w="794" w:type="dxa"/>
            <w:tcBorders>
              <w:top w:val="single" w:sz="6" w:space="0" w:color="auto"/>
              <w:bottom w:val="single" w:sz="12" w:space="0" w:color="auto"/>
            </w:tcBorders>
          </w:tcPr>
          <w:p w14:paraId="75EADA0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1 049</w:t>
            </w:r>
          </w:p>
        </w:tc>
        <w:tc>
          <w:tcPr>
            <w:tcW w:w="794" w:type="dxa"/>
            <w:tcBorders>
              <w:top w:val="single" w:sz="6" w:space="0" w:color="auto"/>
              <w:bottom w:val="single" w:sz="12" w:space="0" w:color="auto"/>
            </w:tcBorders>
          </w:tcPr>
          <w:p w14:paraId="4DBAEBE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787</w:t>
            </w:r>
          </w:p>
        </w:tc>
        <w:tc>
          <w:tcPr>
            <w:tcW w:w="794" w:type="dxa"/>
            <w:tcBorders>
              <w:top w:val="single" w:sz="6" w:space="0" w:color="auto"/>
              <w:bottom w:val="single" w:sz="12" w:space="0" w:color="auto"/>
            </w:tcBorders>
          </w:tcPr>
          <w:p w14:paraId="16F7C62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664</w:t>
            </w:r>
          </w:p>
        </w:tc>
        <w:tc>
          <w:tcPr>
            <w:tcW w:w="794" w:type="dxa"/>
            <w:tcBorders>
              <w:top w:val="single" w:sz="6" w:space="0" w:color="auto"/>
              <w:bottom w:val="single" w:sz="12" w:space="0" w:color="auto"/>
            </w:tcBorders>
          </w:tcPr>
          <w:p w14:paraId="3A7A38A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474</w:t>
            </w:r>
          </w:p>
        </w:tc>
      </w:tr>
    </w:tbl>
    <w:p w14:paraId="6C3B3BB9" w14:textId="77777777" w:rsidR="00AB205D" w:rsidRDefault="00471A3B">
      <w:pPr>
        <w:pStyle w:val="Note"/>
      </w:pPr>
      <w:r>
        <w:t>Notes:</w:t>
      </w:r>
    </w:p>
    <w:p w14:paraId="376F18D3" w14:textId="77777777" w:rsidR="00AB205D" w:rsidRDefault="00471A3B">
      <w:pPr>
        <w:pStyle w:val="Note"/>
      </w:pPr>
      <w:r>
        <w:t>(a)</w:t>
      </w:r>
      <w:r>
        <w:tab/>
        <w:t>Figures in this table are subject to rounding to the nearest million and may not add up to totals.</w:t>
      </w:r>
    </w:p>
    <w:p w14:paraId="3C1830CB" w14:textId="77777777" w:rsidR="00AB205D" w:rsidRDefault="00471A3B">
      <w:pPr>
        <w:pStyle w:val="Note"/>
      </w:pPr>
      <w:r>
        <w:t>(b)</w:t>
      </w:r>
      <w:r>
        <w:tab/>
        <w:t>This includes the reprioritisation of resources previously allocated to departments and revenue offsets.</w:t>
      </w:r>
    </w:p>
    <w:p w14:paraId="0714A2EF" w14:textId="77777777" w:rsidR="00AB205D" w:rsidRDefault="00471A3B">
      <w:pPr>
        <w:pStyle w:val="Note"/>
      </w:pPr>
      <w:r>
        <w:t>(c)</w:t>
      </w:r>
      <w:r>
        <w:tab/>
        <w:t>Primarily incorporates the net impact of the specific creation and release of contingencies held for decisions made but not yet allocated.</w:t>
      </w:r>
    </w:p>
    <w:p w14:paraId="3DBB4D5E" w14:textId="77777777" w:rsidR="00AB205D" w:rsidRDefault="00471A3B">
      <w:pPr>
        <w:pStyle w:val="Note"/>
      </w:pPr>
      <w:r>
        <w:t>(d)</w:t>
      </w:r>
      <w:r>
        <w:tab/>
        <w:t>Includes output savings only.</w:t>
      </w:r>
    </w:p>
    <w:p w14:paraId="5593DEDF" w14:textId="77777777" w:rsidR="00AB205D" w:rsidRDefault="00471A3B">
      <w:pPr>
        <w:pStyle w:val="Note"/>
      </w:pPr>
      <w:r>
        <w:t>(e)</w:t>
      </w:r>
      <w:r>
        <w:tab/>
        <w:t>Represents releases from the funding not allocated to specific purposes contingency associated with 2023</w:t>
      </w:r>
      <w:r>
        <w:noBreakHyphen/>
        <w:t xml:space="preserve">24 Budget Update new output initiatives. Further information on total output contingencies can be found at Note 4.3.5 of Chapter 4 </w:t>
      </w:r>
      <w:r w:rsidRPr="001A5CA7">
        <w:rPr>
          <w:i w:val="0"/>
          <w:iCs/>
        </w:rPr>
        <w:t xml:space="preserve">Estimated Financial Statements </w:t>
      </w:r>
      <w:r>
        <w:rPr>
          <w:i w:val="0"/>
          <w:iCs/>
        </w:rPr>
        <w:t>and notes</w:t>
      </w:r>
      <w:r>
        <w:t>.</w:t>
      </w:r>
    </w:p>
    <w:p w14:paraId="24D9F50B" w14:textId="77777777" w:rsidR="00AB205D" w:rsidRDefault="00471A3B">
      <w:pPr>
        <w:pStyle w:val="Heading30"/>
      </w:pPr>
      <w:r>
        <w:t>Economic and demographic variations</w:t>
      </w:r>
    </w:p>
    <w:p w14:paraId="589A6D47" w14:textId="77777777" w:rsidR="00AB205D" w:rsidRDefault="00471A3B">
      <w:r w:rsidRPr="00145FC9">
        <w:t xml:space="preserve">Since the </w:t>
      </w:r>
      <w:r w:rsidRPr="00145FC9">
        <w:rPr>
          <w:i/>
          <w:iCs/>
        </w:rPr>
        <w:t>2023</w:t>
      </w:r>
      <w:r w:rsidRPr="00145FC9">
        <w:rPr>
          <w:i/>
          <w:iCs/>
        </w:rPr>
        <w:noBreakHyphen/>
        <w:t>24 Budget</w:t>
      </w:r>
      <w:r w:rsidRPr="00145FC9">
        <w:t xml:space="preserve">, Victoria’s taxation revenue has been revised up by </w:t>
      </w:r>
      <w:r w:rsidRPr="00CC7A68">
        <w:t>$0.9</w:t>
      </w:r>
      <w:r w:rsidRPr="00145FC9">
        <w:t> billion in 2023</w:t>
      </w:r>
      <w:r w:rsidRPr="00145FC9">
        <w:noBreakHyphen/>
        <w:t xml:space="preserve">24, and up by </w:t>
      </w:r>
      <w:r w:rsidRPr="00CC7A68">
        <w:t>$1.1</w:t>
      </w:r>
      <w:r w:rsidRPr="00145FC9">
        <w:t xml:space="preserve"> billion in 2024-25 and </w:t>
      </w:r>
      <w:r w:rsidRPr="00CC7A68">
        <w:t>$1.0</w:t>
      </w:r>
      <w:r w:rsidRPr="00145FC9">
        <w:t> billion in 2025-26 and 2026-27</w:t>
      </w:r>
      <w:r>
        <w:t xml:space="preserve"> respectively, largely due to increases to payroll tax and land tax, reflecting Victoria’s strong labour market and upgrades to land revaluation rates. </w:t>
      </w:r>
    </w:p>
    <w:p w14:paraId="375F252B" w14:textId="77777777" w:rsidR="00AB205D" w:rsidRDefault="00471A3B">
      <w:r>
        <w:t>Investment income has also been revised upwards by $0.9 billion in 2023</w:t>
      </w:r>
      <w:r>
        <w:noBreakHyphen/>
        <w:t>24 and $0.4 billion in 2024-25, mainly driven by a reclassification of payments from the Transport Accident Commission (TAC) from grants to dividends.</w:t>
      </w:r>
    </w:p>
    <w:p w14:paraId="5821BD6F" w14:textId="77777777" w:rsidR="00AB205D" w:rsidRDefault="00471A3B">
      <w:pPr>
        <w:pStyle w:val="Heading30"/>
      </w:pPr>
      <w:r>
        <w:lastRenderedPageBreak/>
        <w:t>Commonwealth grants variations</w:t>
      </w:r>
    </w:p>
    <w:p w14:paraId="216D2ADC" w14:textId="77777777" w:rsidR="00AB205D" w:rsidRDefault="00471A3B">
      <w:r w:rsidRPr="00F043CE">
        <w:t xml:space="preserve">Commonwealth general purpose grants (or GST grants) have been revised up by </w:t>
      </w:r>
      <w:r w:rsidRPr="00323D07">
        <w:t>$</w:t>
      </w:r>
      <w:r>
        <w:t>0.</w:t>
      </w:r>
      <w:r w:rsidRPr="00CC7A68">
        <w:t>5</w:t>
      </w:r>
      <w:r w:rsidRPr="00323D07">
        <w:t> </w:t>
      </w:r>
      <w:r>
        <w:t>b</w:t>
      </w:r>
      <w:r w:rsidRPr="00323D07">
        <w:t>illion in 2024-25, $</w:t>
      </w:r>
      <w:r>
        <w:t>1.0</w:t>
      </w:r>
      <w:r w:rsidRPr="00323D07">
        <w:t> </w:t>
      </w:r>
      <w:r>
        <w:t>b</w:t>
      </w:r>
      <w:r w:rsidRPr="00323D07">
        <w:t xml:space="preserve">illion in 2025-26, and </w:t>
      </w:r>
      <w:r w:rsidRPr="00CC7A68">
        <w:t>$</w:t>
      </w:r>
      <w:r>
        <w:t>0.</w:t>
      </w:r>
      <w:r w:rsidRPr="00CC7A68">
        <w:t>9</w:t>
      </w:r>
      <w:r w:rsidRPr="00323D07">
        <w:t> </w:t>
      </w:r>
      <w:r>
        <w:t>b</w:t>
      </w:r>
      <w:r w:rsidRPr="00323D07">
        <w:t>illion</w:t>
      </w:r>
      <w:r w:rsidRPr="00F043CE">
        <w:t xml:space="preserve"> in 2026-27 compared with</w:t>
      </w:r>
      <w:r>
        <w:t xml:space="preserve"> the</w:t>
      </w:r>
      <w:r w:rsidRPr="00F043CE">
        <w:t xml:space="preserve"> </w:t>
      </w:r>
      <w:r w:rsidRPr="00F043CE">
        <w:rPr>
          <w:i/>
          <w:iCs/>
        </w:rPr>
        <w:t>2023</w:t>
      </w:r>
      <w:r>
        <w:rPr>
          <w:i/>
          <w:iCs/>
        </w:rPr>
        <w:noBreakHyphen/>
      </w:r>
      <w:r w:rsidRPr="00F043CE">
        <w:rPr>
          <w:i/>
          <w:iCs/>
        </w:rPr>
        <w:t>24 Budget</w:t>
      </w:r>
      <w:r w:rsidRPr="00F043CE">
        <w:t>. These changes largely reflect an improved outlook for Victoria’s no</w:t>
      </w:r>
      <w:r>
        <w:noBreakHyphen/>
      </w:r>
      <w:r w:rsidRPr="00F043CE">
        <w:t>worse-off GST sharing relativity driven by increases in other states’ revenue raising capacities, including ongoing strength in commodities prices leading to elevated royalty revenues in mining states. This was supported by a minor upgrade to forecast population share growth</w:t>
      </w:r>
      <w:r>
        <w:t>.</w:t>
      </w:r>
    </w:p>
    <w:p w14:paraId="74120419" w14:textId="77777777" w:rsidR="00AB205D" w:rsidRDefault="00471A3B">
      <w:r>
        <w:t xml:space="preserve">Net changes to specific purpose grants have improved the operating result by $0.2 billion </w:t>
      </w:r>
      <w:r w:rsidRPr="003C3183">
        <w:t>in 2023</w:t>
      </w:r>
      <w:r>
        <w:noBreakHyphen/>
      </w:r>
      <w:r w:rsidRPr="003C3183">
        <w:t>24, and then decreased the operating result by $</w:t>
      </w:r>
      <w:r>
        <w:t>0.4</w:t>
      </w:r>
      <w:r w:rsidRPr="003C3183">
        <w:t> </w:t>
      </w:r>
      <w:r>
        <w:t>b</w:t>
      </w:r>
      <w:r w:rsidRPr="003C3183">
        <w:t>illion in 2024-25 and $</w:t>
      </w:r>
      <w:r>
        <w:t>0.</w:t>
      </w:r>
      <w:r w:rsidRPr="003C3183">
        <w:t>2 </w:t>
      </w:r>
      <w:r>
        <w:t>b</w:t>
      </w:r>
      <w:r w:rsidRPr="003C3183">
        <w:t>illion in 2025-26 before improving the operating result again by $</w:t>
      </w:r>
      <w:r>
        <w:t>0.</w:t>
      </w:r>
      <w:r w:rsidRPr="003C3183">
        <w:t>4 </w:t>
      </w:r>
      <w:r>
        <w:t>b</w:t>
      </w:r>
      <w:r w:rsidRPr="003C3183">
        <w:t>illion in 2026</w:t>
      </w:r>
      <w:r>
        <w:noBreakHyphen/>
      </w:r>
      <w:r w:rsidRPr="003C3183">
        <w:t xml:space="preserve">27 compared with the </w:t>
      </w:r>
      <w:r w:rsidRPr="003C3183">
        <w:rPr>
          <w:i/>
          <w:iCs/>
        </w:rPr>
        <w:t>2023</w:t>
      </w:r>
      <w:r w:rsidRPr="003C3183">
        <w:rPr>
          <w:i/>
          <w:iCs/>
        </w:rPr>
        <w:noBreakHyphen/>
        <w:t>24 Budget</w:t>
      </w:r>
      <w:r w:rsidRPr="003C3183">
        <w:t>. The movements primarily</w:t>
      </w:r>
      <w:r>
        <w:t xml:space="preserve"> reflect the state’s rephasing of infrastructure grant revenue expected from the Commonwealth based on the Commonwealth Infrastructure Investment Program review.</w:t>
      </w:r>
    </w:p>
    <w:p w14:paraId="72342C8A" w14:textId="77777777" w:rsidR="00AB205D" w:rsidRDefault="00471A3B">
      <w:pPr>
        <w:pStyle w:val="Heading30"/>
      </w:pPr>
      <w:r>
        <w:t>Administrative variations</w:t>
      </w:r>
    </w:p>
    <w:p w14:paraId="569D94E8" w14:textId="77777777" w:rsidR="00AB205D" w:rsidRDefault="00471A3B" w:rsidP="00205A06">
      <w:pPr>
        <w:ind w:right="340"/>
      </w:pPr>
      <w:r>
        <w:t xml:space="preserve">Other administrative variations are expected to decrease the operating result by </w:t>
      </w:r>
      <w:r w:rsidRPr="003C3183">
        <w:t>$0.</w:t>
      </w:r>
      <w:r>
        <w:t>5</w:t>
      </w:r>
      <w:r w:rsidRPr="003C3183">
        <w:t> billion in 2023</w:t>
      </w:r>
      <w:r w:rsidRPr="003C3183">
        <w:noBreakHyphen/>
        <w:t xml:space="preserve">24, </w:t>
      </w:r>
      <w:r w:rsidRPr="00CC7A68">
        <w:t>$</w:t>
      </w:r>
      <w:r>
        <w:t>0.9</w:t>
      </w:r>
      <w:r w:rsidRPr="003C3183">
        <w:t xml:space="preserve"> billion in 2024-25, </w:t>
      </w:r>
      <w:r w:rsidRPr="00CC7A68">
        <w:t>$1.3</w:t>
      </w:r>
      <w:r w:rsidRPr="003C3183">
        <w:t> billion in 2025-26 and $2.</w:t>
      </w:r>
      <w:r>
        <w:t>0</w:t>
      </w:r>
      <w:r w:rsidRPr="003C3183">
        <w:t xml:space="preserve"> billion in 2026-27 compared with the </w:t>
      </w:r>
      <w:r w:rsidRPr="003C3183">
        <w:rPr>
          <w:i/>
          <w:iCs/>
        </w:rPr>
        <w:t>2023</w:t>
      </w:r>
      <w:r w:rsidRPr="003C3183">
        <w:rPr>
          <w:i/>
          <w:iCs/>
        </w:rPr>
        <w:noBreakHyphen/>
        <w:t>24 Budget</w:t>
      </w:r>
      <w:r w:rsidRPr="003C3183">
        <w:t>. The variations since the</w:t>
      </w:r>
      <w:r>
        <w:t xml:space="preserve"> </w:t>
      </w:r>
      <w:r w:rsidRPr="00923CC0">
        <w:rPr>
          <w:i/>
          <w:iCs/>
        </w:rPr>
        <w:t>2023</w:t>
      </w:r>
      <w:r>
        <w:rPr>
          <w:i/>
          <w:iCs/>
        </w:rPr>
        <w:noBreakHyphen/>
      </w:r>
      <w:r w:rsidRPr="00923CC0">
        <w:rPr>
          <w:i/>
          <w:iCs/>
        </w:rPr>
        <w:t>24 Budget</w:t>
      </w:r>
      <w:r>
        <w:t xml:space="preserve"> include:</w:t>
      </w:r>
    </w:p>
    <w:p w14:paraId="76665BF9" w14:textId="77777777" w:rsidR="00AB205D" w:rsidRDefault="00471A3B" w:rsidP="00570639">
      <w:pPr>
        <w:pStyle w:val="ListBullet"/>
        <w:numPr>
          <w:ilvl w:val="0"/>
          <w:numId w:val="10"/>
        </w:numPr>
      </w:pPr>
      <w:r>
        <w:t xml:space="preserve">an increase in interest expense since the </w:t>
      </w:r>
      <w:r w:rsidRPr="00DB1192">
        <w:rPr>
          <w:i/>
          <w:iCs/>
        </w:rPr>
        <w:t>2023</w:t>
      </w:r>
      <w:r>
        <w:rPr>
          <w:i/>
          <w:iCs/>
        </w:rPr>
        <w:noBreakHyphen/>
      </w:r>
      <w:r w:rsidRPr="00DB1192">
        <w:rPr>
          <w:i/>
          <w:iCs/>
        </w:rPr>
        <w:t>24 Budget</w:t>
      </w:r>
      <w:r>
        <w:t xml:space="preserve"> mainly due to the</w:t>
      </w:r>
      <w:r w:rsidRPr="00513AE4">
        <w:t xml:space="preserve"> broader increase in the Treasury Corporation of Victoria (TCV) bond yields</w:t>
      </w:r>
    </w:p>
    <w:p w14:paraId="4FE35B8A" w14:textId="77777777" w:rsidR="00AB205D" w:rsidRDefault="00471A3B" w:rsidP="00570639">
      <w:pPr>
        <w:pStyle w:val="ListBullet"/>
        <w:numPr>
          <w:ilvl w:val="0"/>
          <w:numId w:val="10"/>
        </w:numPr>
      </w:pPr>
      <w:r>
        <w:t xml:space="preserve">adjustments to the provisions for decisions made but not yet allocated that are outlined in Note 4.3.5 in Chapter 4 </w:t>
      </w:r>
      <w:r w:rsidRPr="00923CC0">
        <w:rPr>
          <w:i/>
          <w:iCs/>
        </w:rPr>
        <w:t>Estimated Financial Statements and notes</w:t>
      </w:r>
    </w:p>
    <w:p w14:paraId="603B8F2D" w14:textId="77777777" w:rsidR="00AB205D" w:rsidRDefault="00471A3B" w:rsidP="00570639">
      <w:pPr>
        <w:pStyle w:val="ListBullet"/>
        <w:numPr>
          <w:ilvl w:val="0"/>
          <w:numId w:val="10"/>
        </w:numPr>
      </w:pPr>
      <w:r>
        <w:t>reclassifying a portion of grant revenue from the TAC as dividends.</w:t>
      </w:r>
    </w:p>
    <w:p w14:paraId="67F0AD94" w14:textId="77777777" w:rsidR="00AB205D" w:rsidRDefault="00471A3B">
      <w:pPr>
        <w:pStyle w:val="Heading20"/>
      </w:pPr>
      <w:r>
        <w:t>Capital expenditure</w:t>
      </w:r>
    </w:p>
    <w:p w14:paraId="173FE6C0" w14:textId="77777777" w:rsidR="00AB205D" w:rsidRDefault="00471A3B">
      <w:r>
        <w:t xml:space="preserve">Government infrastructure investment (GII), which measures investment funded by the Government and estimated private sector construction related expenditure on public private partnership projects, is expected to average $21.3 billion a year over the budget and forward estimates. </w:t>
      </w:r>
    </w:p>
    <w:p w14:paraId="09842161" w14:textId="77777777" w:rsidR="00AB205D" w:rsidRDefault="00471A3B">
      <w:r>
        <w:t>This includes investments in health, housing, education, transport and cultural precincts, as well as major productivity-enhancing projects such as the North East Link, the Metro Tunnel, the West Gate Tunnel, the Suburban Rail Loop and the Level Crossing Removal Program.</w:t>
      </w:r>
    </w:p>
    <w:p w14:paraId="2D01409C" w14:textId="77777777" w:rsidR="00AB205D" w:rsidRDefault="00471A3B">
      <w:r>
        <w:lastRenderedPageBreak/>
        <w:t xml:space="preserve">The Commonwealth review of the Infrastructure Investment Program resulted in uncertainty in the </w:t>
      </w:r>
      <w:r>
        <w:rPr>
          <w:i/>
          <w:iCs/>
        </w:rPr>
        <w:t>2023-24 Budget</w:t>
      </w:r>
      <w:r>
        <w:t xml:space="preserve"> for projects that may have been subject to review. In some cases, procurement for projects was paused pending the review outcomes. As a result of this uncertainty, the </w:t>
      </w:r>
      <w:r>
        <w:rPr>
          <w:i/>
          <w:iCs/>
        </w:rPr>
        <w:t>2023-24 Budget</w:t>
      </w:r>
      <w:r>
        <w:t xml:space="preserve"> revised the expected capital expenditure of certain projects. This meant that the state could not recognise Commonwealth infrastructure grant revenue in line with the Commonwealth schedule for projects subject to the review. As a result, the state revised down the expected Commonwealth grants for some projects in the budget and forward estimates in line with accounting standards. Final outcomes will be subject to confirmation from the Commonwealth following release of their </w:t>
      </w:r>
      <w:r>
        <w:rPr>
          <w:i/>
          <w:iCs/>
        </w:rPr>
        <w:t>2023-24 Mid-Year Economic and Fiscal Outlook</w:t>
      </w:r>
      <w:r>
        <w:t>.</w:t>
      </w:r>
    </w:p>
    <w:p w14:paraId="24186742" w14:textId="4BD431AC" w:rsidR="00AB205D" w:rsidRPr="004337DD" w:rsidRDefault="00471A3B">
      <w:r w:rsidRPr="004337DD">
        <w:t>The</w:t>
      </w:r>
      <w:r>
        <w:t> </w:t>
      </w:r>
      <w:r w:rsidRPr="004337DD">
        <w:t xml:space="preserve">increase in GII </w:t>
      </w:r>
      <w:r>
        <w:t xml:space="preserve">compared with the </w:t>
      </w:r>
      <w:r w:rsidRPr="00424F5D">
        <w:rPr>
          <w:i/>
          <w:iCs/>
        </w:rPr>
        <w:t>2023-24 Budget</w:t>
      </w:r>
      <w:r>
        <w:t xml:space="preserve"> </w:t>
      </w:r>
      <w:r w:rsidRPr="004337DD">
        <w:t xml:space="preserve">reflects an update in estimated investment to reflect </w:t>
      </w:r>
      <w:r>
        <w:t>additional funding for</w:t>
      </w:r>
      <w:r w:rsidRPr="004337DD">
        <w:t xml:space="preserve"> the North East Link</w:t>
      </w:r>
      <w:r w:rsidR="00615384">
        <w:t xml:space="preserve"> program and associated</w:t>
      </w:r>
      <w:r>
        <w:t xml:space="preserve"> </w:t>
      </w:r>
      <w:r w:rsidRPr="000F4FE7">
        <w:t>Eastern Freeway Upgrade and M80 Ring Road Upgrade</w:t>
      </w:r>
      <w:r w:rsidRPr="004337DD">
        <w:t xml:space="preserve"> projects as set out in Appendix A</w:t>
      </w:r>
      <w:r w:rsidRPr="002A22AF">
        <w:rPr>
          <w:i/>
          <w:iCs/>
        </w:rPr>
        <w:t xml:space="preserve"> </w:t>
      </w:r>
      <w:r w:rsidRPr="00A93E10">
        <w:rPr>
          <w:i/>
          <w:iCs/>
        </w:rPr>
        <w:t>Specific policy initiatives affecting the budget position</w:t>
      </w:r>
      <w:r w:rsidRPr="004337DD">
        <w:t>.</w:t>
      </w:r>
    </w:p>
    <w:p w14:paraId="573E067F" w14:textId="77777777" w:rsidR="00AB205D" w:rsidRDefault="00471A3B">
      <w:r w:rsidRPr="004337DD">
        <w:t xml:space="preserve">The Government continues to deliver capital investments aimed at supporting jobs and </w:t>
      </w:r>
      <w:r>
        <w:t>improving productivity and the quality of public service delivery. New investment focuses on delivering the Government’s election commitments alongside existing projects.</w:t>
      </w:r>
    </w:p>
    <w:p w14:paraId="018C26D5" w14:textId="77777777" w:rsidR="00AB205D" w:rsidRDefault="00471A3B">
      <w:r>
        <w:t xml:space="preserve">Appendix A </w:t>
      </w:r>
      <w:r w:rsidRPr="00A93E10">
        <w:rPr>
          <w:i/>
          <w:iCs/>
        </w:rPr>
        <w:t>Specific policy initiatives affecting the budget position</w:t>
      </w:r>
      <w:r>
        <w:t xml:space="preserve"> details the specific new asset initiatives.</w:t>
      </w:r>
    </w:p>
    <w:p w14:paraId="78BA740B" w14:textId="77777777" w:rsidR="00AB205D" w:rsidRDefault="00471A3B">
      <w:pPr>
        <w:pStyle w:val="TableHeading"/>
        <w:rPr>
          <w:vertAlign w:val="superscript"/>
        </w:rPr>
      </w:pPr>
      <w:r w:rsidRPr="00EF1AF0">
        <w:t>Chart 3.1:</w:t>
      </w:r>
      <w:r w:rsidRPr="00EF1AF0">
        <w:tab/>
        <w:t xml:space="preserve">Government infrastructure investment </w:t>
      </w:r>
      <w:r w:rsidRPr="00EF1AF0">
        <w:rPr>
          <w:vertAlign w:val="superscript"/>
        </w:rPr>
        <w:t>(a)(b)(c)</w:t>
      </w:r>
      <w:bookmarkStart w:id="22" w:name="_1761648025"/>
      <w:bookmarkEnd w:id="22"/>
    </w:p>
    <w:p w14:paraId="2402D2D1" w14:textId="33756AE4" w:rsidR="00AB205D" w:rsidRDefault="00000000">
      <w:pPr>
        <w:rPr>
          <w:vertAlign w:val="superscript"/>
        </w:rPr>
      </w:pPr>
      <w:r>
        <w:rPr>
          <w:vertAlign w:val="superscript"/>
        </w:rPr>
        <w:pict w14:anchorId="04726410">
          <v:shape id="_x0000_i1028" type="#_x0000_t75" style="width:385.05pt;height:205.85pt">
            <v:imagedata r:id="rId29" o:title=""/>
          </v:shape>
        </w:pict>
      </w:r>
    </w:p>
    <w:p w14:paraId="1B5E74DE" w14:textId="77777777" w:rsidR="00AB205D" w:rsidRPr="001D55A6" w:rsidRDefault="00471A3B">
      <w:pPr>
        <w:pStyle w:val="Note"/>
      </w:pPr>
      <w:r w:rsidRPr="001D55A6">
        <w:t>Notes:</w:t>
      </w:r>
    </w:p>
    <w:p w14:paraId="11B6336E" w14:textId="77777777" w:rsidR="00AB205D" w:rsidRPr="001D55A6" w:rsidRDefault="00471A3B">
      <w:pPr>
        <w:pStyle w:val="Note"/>
      </w:pPr>
      <w:r w:rsidRPr="001D55A6">
        <w:t>(a)</w:t>
      </w:r>
      <w:r w:rsidRPr="001D55A6">
        <w:tab/>
        <w:t>Includes general government net infrastructure investment and the estimated cash flows for public private partnership projects.</w:t>
      </w:r>
    </w:p>
    <w:p w14:paraId="15DFC114" w14:textId="77777777" w:rsidR="00AB205D" w:rsidRPr="001D55A6" w:rsidRDefault="00471A3B">
      <w:pPr>
        <w:pStyle w:val="Note"/>
      </w:pPr>
      <w:r w:rsidRPr="001D55A6">
        <w:t>(b)</w:t>
      </w:r>
      <w:r w:rsidRPr="001D55A6">
        <w:tab/>
        <w:t>Includes the estimated private sector construction-related expenditure associated with the North East Link held in the PNFC sector.</w:t>
      </w:r>
    </w:p>
    <w:p w14:paraId="43FEE5FF" w14:textId="77777777" w:rsidR="00AB205D" w:rsidRPr="001D55A6" w:rsidRDefault="00471A3B">
      <w:pPr>
        <w:pStyle w:val="Note"/>
      </w:pPr>
      <w:r w:rsidRPr="001D55A6">
        <w:t>(c)</w:t>
      </w:r>
      <w:r w:rsidRPr="001D55A6">
        <w:tab/>
        <w:t>Excludes the impact of the medium-term lease over the operations of the Port of Melbourne and the divestment of Victoria’s share of Snowy Hydro Limited</w:t>
      </w:r>
      <w:r>
        <w:t>.</w:t>
      </w:r>
    </w:p>
    <w:p w14:paraId="24CA374A" w14:textId="77777777" w:rsidR="00AB205D" w:rsidRPr="001D55A6" w:rsidRDefault="00471A3B">
      <w:pPr>
        <w:pStyle w:val="Heading20"/>
        <w:pageBreakBefore/>
      </w:pPr>
      <w:r w:rsidRPr="001D55A6">
        <w:lastRenderedPageBreak/>
        <w:t>Net debt</w:t>
      </w:r>
    </w:p>
    <w:p w14:paraId="7CB7C894" w14:textId="77777777" w:rsidR="00AB205D" w:rsidRDefault="00471A3B">
      <w:pPr>
        <w:keepLines w:val="0"/>
      </w:pPr>
      <w:r>
        <w:t>Net debt is projected to be $135.5 billion at June 2024. Net debt is then</w:t>
      </w:r>
      <w:r w:rsidDel="00330992">
        <w:t xml:space="preserve"> </w:t>
      </w:r>
      <w:r>
        <w:t xml:space="preserve">forecast to be $177.8 billion by June 2027, an increase of $6.4 billion compared with the </w:t>
      </w:r>
      <w:r w:rsidRPr="00767715">
        <w:rPr>
          <w:i/>
        </w:rPr>
        <w:t>2023</w:t>
      </w:r>
      <w:r w:rsidRPr="00767715">
        <w:rPr>
          <w:i/>
        </w:rPr>
        <w:noBreakHyphen/>
        <w:t>24 Budget</w:t>
      </w:r>
      <w:r>
        <w:rPr>
          <w:i/>
          <w:iCs/>
        </w:rPr>
        <w:t>,</w:t>
      </w:r>
      <w:r w:rsidDel="00330992">
        <w:t xml:space="preserve"> </w:t>
      </w:r>
      <w:r>
        <w:t xml:space="preserve">largely driven by the increase in GII. </w:t>
      </w:r>
    </w:p>
    <w:p w14:paraId="3196C689" w14:textId="77777777" w:rsidR="00AB205D" w:rsidRDefault="00471A3B">
      <w:pPr>
        <w:keepLines w:val="0"/>
      </w:pPr>
      <w:r>
        <w:t xml:space="preserve">As a proportion of </w:t>
      </w:r>
      <w:r w:rsidRPr="00A94847">
        <w:t>GSP</w:t>
      </w:r>
      <w:r>
        <w:t>, net debt is projected to increase from 22.3 per cent in June 2024 to 25.1 per cent by June 2027.</w:t>
      </w:r>
    </w:p>
    <w:p w14:paraId="004B377C" w14:textId="77777777" w:rsidR="00AB205D" w:rsidRDefault="00471A3B">
      <w:r>
        <w:t xml:space="preserve">Expenditure in response to the COVID-19 pandemic was targeted to allow required services and economic support to assist recovery while maintaining steps two and three of the fiscal strategy. </w:t>
      </w:r>
    </w:p>
    <w:p w14:paraId="609C4EFC" w14:textId="77777777" w:rsidR="00AB205D" w:rsidRDefault="00471A3B">
      <w:r>
        <w:t>Throughout the pandemic, the Government prioritised the use of its balance sheet to support the Victorian community and economy. This approach was consistent with stimulus approaches elsewhere in Australia and around the world.</w:t>
      </w:r>
    </w:p>
    <w:p w14:paraId="678F0990" w14:textId="77777777" w:rsidR="00AB205D" w:rsidRDefault="00471A3B">
      <w:pPr>
        <w:keepLines w:val="0"/>
      </w:pPr>
      <w:r>
        <w:t xml:space="preserve">Stabilising net debt as a percentage of GSP – the last step in the Government’s fiscal strategy – is an important medium-term objective for the Government. Chart 3.2 outlines the movements in general government net debt </w:t>
      </w:r>
      <w:r w:rsidRPr="00CB0D94">
        <w:t>levels and the net debt to GSP ratio since 2010-11. It highlights the impact of the pandemic with debt rising across the three years from 2019-20.</w:t>
      </w:r>
    </w:p>
    <w:p w14:paraId="756ED6BD" w14:textId="77777777" w:rsidR="00AB205D" w:rsidRDefault="00471A3B">
      <w:pPr>
        <w:pStyle w:val="TableHeading"/>
      </w:pPr>
      <w:r w:rsidRPr="00EF1AF0">
        <w:t>Chart 3.2:</w:t>
      </w:r>
      <w:r w:rsidRPr="00EF1AF0">
        <w:tab/>
        <w:t>General government net debt to GSP</w:t>
      </w:r>
    </w:p>
    <w:p w14:paraId="38311369" w14:textId="7C37927E" w:rsidR="00AB205D" w:rsidRDefault="00000000">
      <w:bookmarkStart w:id="23" w:name="_1761648027"/>
      <w:bookmarkEnd w:id="23"/>
      <w:r>
        <w:pict w14:anchorId="313C9547">
          <v:shape id="_x0000_i1029" type="#_x0000_t75" style="width:385.05pt;height:207.45pt">
            <v:imagedata r:id="rId30" o:title=""/>
          </v:shape>
        </w:pict>
      </w:r>
    </w:p>
    <w:p w14:paraId="4DC27BA2" w14:textId="77777777" w:rsidR="00AB205D" w:rsidRDefault="00AB205D">
      <w:pPr>
        <w:keepLines w:val="0"/>
      </w:pPr>
    </w:p>
    <w:p w14:paraId="390DE38C" w14:textId="77777777" w:rsidR="00AB205D" w:rsidRPr="00DC25CF" w:rsidRDefault="00471A3B">
      <w:pPr>
        <w:ind w:right="198"/>
      </w:pPr>
      <w:r>
        <w:lastRenderedPageBreak/>
        <w:t>T</w:t>
      </w:r>
      <w:r w:rsidRPr="00DC25CF">
        <w:t xml:space="preserve">he implementation of the COVID Debt Repayment Plan </w:t>
      </w:r>
      <w:r>
        <w:t xml:space="preserve">in the </w:t>
      </w:r>
      <w:r w:rsidRPr="00213483">
        <w:rPr>
          <w:i/>
          <w:iCs/>
        </w:rPr>
        <w:t>2023</w:t>
      </w:r>
      <w:r>
        <w:rPr>
          <w:i/>
          <w:iCs/>
        </w:rPr>
        <w:noBreakHyphen/>
      </w:r>
      <w:r w:rsidRPr="00213483">
        <w:rPr>
          <w:i/>
          <w:iCs/>
        </w:rPr>
        <w:t>24 Budget</w:t>
      </w:r>
      <w:r>
        <w:t xml:space="preserve"> </w:t>
      </w:r>
      <w:r w:rsidRPr="00DC25CF">
        <w:t>is designed to take the next step in improving the state’s financial position. The plan recognises that the COVID debt was incurred for essential short term emergency response measures that involved one-off expenditure. By offsetting the impact of COVID debt, the plan ensures the budgetary impact of such one-off expenditures will be balanced over the longer-term budgetary and economic cycle. Once completed, the plan will mean that the state’s balance sheet is returned to investments that generate productive capacity enhancing infrastructure and programs, which produce long-term economic and financial benefits to the state.</w:t>
      </w:r>
    </w:p>
    <w:p w14:paraId="64DF48B3" w14:textId="77777777" w:rsidR="00AB205D" w:rsidRPr="00DC25CF" w:rsidRDefault="00471A3B" w:rsidP="00205A06">
      <w:pPr>
        <w:ind w:right="-227"/>
      </w:pPr>
      <w:r w:rsidRPr="00DC25CF">
        <w:t xml:space="preserve">The Victorian Future Fund (the Fund) was established by the Government to support the state’s debt stabilisation strategy. It was established using proceeds from the VicRoads Modernisation </w:t>
      </w:r>
      <w:r>
        <w:t>j</w:t>
      </w:r>
      <w:r w:rsidRPr="00DC25CF">
        <w:t xml:space="preserve">oint </w:t>
      </w:r>
      <w:r>
        <w:t>v</w:t>
      </w:r>
      <w:r w:rsidRPr="00DC25CF">
        <w:t xml:space="preserve">enture and will initially serve to offset the impact of the COVID debt. </w:t>
      </w:r>
    </w:p>
    <w:p w14:paraId="64F4E8DF" w14:textId="77777777" w:rsidR="00AB205D" w:rsidRPr="00DC25CF" w:rsidRDefault="00471A3B" w:rsidP="00205A06">
      <w:pPr>
        <w:ind w:right="-227"/>
      </w:pPr>
      <w:r w:rsidRPr="00DC25CF">
        <w:t xml:space="preserve">The Fund is managed by the </w:t>
      </w:r>
      <w:r>
        <w:t>Victorian Funds Management Corporation</w:t>
      </w:r>
      <w:r w:rsidRPr="00DC25CF">
        <w:t>, the state’s specialist investment agency, by implementing a diversified investment strategy designed to deliver returns that exceed the savings that would otherwise have been achieved. These excess returns are expected to, over time, improve the state’s operating result and net debt position.</w:t>
      </w:r>
    </w:p>
    <w:p w14:paraId="064A05FD" w14:textId="77777777" w:rsidR="00AB205D" w:rsidRPr="001F48DC" w:rsidRDefault="00471A3B">
      <w:pPr>
        <w:ind w:right="-227"/>
      </w:pPr>
      <w:r w:rsidRPr="00CF283D">
        <w:t xml:space="preserve">The application of cash resources for the general government sector (as shown in Table </w:t>
      </w:r>
      <w:r>
        <w:t>3</w:t>
      </w:r>
      <w:r w:rsidRPr="00CF283D">
        <w:t>.5) outlines the annual movements in net debt</w:t>
      </w:r>
      <w:r w:rsidRPr="001D55A6">
        <w:t>.</w:t>
      </w:r>
    </w:p>
    <w:p w14:paraId="60D47A13" w14:textId="77777777" w:rsidR="00AB205D" w:rsidRDefault="00471A3B">
      <w:pPr>
        <w:pStyle w:val="TableHeading"/>
      </w:pPr>
      <w:r w:rsidRPr="00C203E5">
        <w:t xml:space="preserve">Table </w:t>
      </w:r>
      <w:r>
        <w:t>3</w:t>
      </w:r>
      <w:r w:rsidRPr="00C203E5">
        <w:t>.</w:t>
      </w:r>
      <w:r>
        <w:t>5</w:t>
      </w:r>
      <w:r w:rsidRPr="00C203E5">
        <w:t>:</w:t>
      </w:r>
      <w:r w:rsidRPr="00C203E5">
        <w:tab/>
        <w:t xml:space="preserve">Application of cash resources for the general government sector </w:t>
      </w:r>
      <w:r w:rsidRPr="00C203E5">
        <w:rPr>
          <w:vertAlign w:val="superscript"/>
        </w:rPr>
        <w:t>(a)</w:t>
      </w:r>
      <w:r w:rsidRPr="00C203E5">
        <w:tab/>
        <w:t>($</w:t>
      </w:r>
      <w:r>
        <w:t> million</w:t>
      </w:r>
      <w:r w:rsidRPr="00C203E5">
        <w:t>)</w:t>
      </w:r>
    </w:p>
    <w:tbl>
      <w:tblPr>
        <w:tblStyle w:val="DTFTableNumeric"/>
        <w:tblW w:w="7711" w:type="dxa"/>
        <w:tblLayout w:type="fixed"/>
        <w:tblLook w:val="06A0" w:firstRow="1" w:lastRow="0" w:firstColumn="1" w:lastColumn="0" w:noHBand="1" w:noVBand="1"/>
        <w:tblDescription w:val="Type:DtfTable|Workbook:https://vicgov.sharepoint.com/sites/VG002735/Budget%20Update/Chapter%203/Link_Chapter%203%20Budget%20Position%20and%20Outlook.xlsx|Table:GG_ApplicationOfCashResources|MergedHeadingRow:1"/>
      </w:tblPr>
      <w:tblGrid>
        <w:gridCol w:w="4168"/>
        <w:gridCol w:w="885"/>
        <w:gridCol w:w="886"/>
        <w:gridCol w:w="886"/>
        <w:gridCol w:w="886"/>
      </w:tblGrid>
      <w:tr w:rsidR="009C6724" w14:paraId="78565828"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68" w:type="dxa"/>
          </w:tcPr>
          <w:p w14:paraId="525C0976" w14:textId="77777777" w:rsidR="00AB205D" w:rsidRDefault="00AB205D">
            <w:pPr>
              <w:keepNext/>
            </w:pPr>
          </w:p>
        </w:tc>
        <w:tc>
          <w:tcPr>
            <w:tcW w:w="885" w:type="dxa"/>
          </w:tcPr>
          <w:p w14:paraId="2FE3D68D"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revised</w:t>
            </w:r>
          </w:p>
        </w:tc>
        <w:tc>
          <w:tcPr>
            <w:tcW w:w="886" w:type="dxa"/>
          </w:tcPr>
          <w:p w14:paraId="52AA9B2A"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r>
              <w:br/>
              <w:t>estimate</w:t>
            </w:r>
          </w:p>
        </w:tc>
        <w:tc>
          <w:tcPr>
            <w:tcW w:w="886" w:type="dxa"/>
          </w:tcPr>
          <w:p w14:paraId="760F8015"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886" w:type="dxa"/>
          </w:tcPr>
          <w:p w14:paraId="4BB1A010"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r>
      <w:tr w:rsidR="009C6724" w14:paraId="58E3AED8" w14:textId="77777777" w:rsidTr="009C6724">
        <w:tc>
          <w:tcPr>
            <w:cnfStyle w:val="001000000000" w:firstRow="0" w:lastRow="0" w:firstColumn="1" w:lastColumn="0" w:oddVBand="0" w:evenVBand="0" w:oddHBand="0" w:evenHBand="0" w:firstRowFirstColumn="0" w:firstRowLastColumn="0" w:lastRowFirstColumn="0" w:lastRowLastColumn="0"/>
            <w:tcW w:w="4168" w:type="dxa"/>
          </w:tcPr>
          <w:p w14:paraId="2380E846" w14:textId="77777777" w:rsidR="00AB205D" w:rsidRDefault="00471A3B">
            <w:r>
              <w:rPr>
                <w:b/>
              </w:rPr>
              <w:t>Net result from transactions</w:t>
            </w:r>
          </w:p>
        </w:tc>
        <w:tc>
          <w:tcPr>
            <w:tcW w:w="885" w:type="dxa"/>
          </w:tcPr>
          <w:p w14:paraId="235B951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(3 470)</w:t>
            </w:r>
          </w:p>
        </w:tc>
        <w:tc>
          <w:tcPr>
            <w:tcW w:w="886" w:type="dxa"/>
          </w:tcPr>
          <w:p w14:paraId="0B72FD5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(1 022)</w:t>
            </w:r>
          </w:p>
        </w:tc>
        <w:tc>
          <w:tcPr>
            <w:tcW w:w="886" w:type="dxa"/>
          </w:tcPr>
          <w:p w14:paraId="556D49E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1 062</w:t>
            </w:r>
          </w:p>
        </w:tc>
        <w:tc>
          <w:tcPr>
            <w:tcW w:w="886" w:type="dxa"/>
          </w:tcPr>
          <w:p w14:paraId="5CB9A45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1 232</w:t>
            </w:r>
          </w:p>
        </w:tc>
      </w:tr>
      <w:tr w:rsidR="009C6724" w14:paraId="6616D44D" w14:textId="77777777" w:rsidTr="009C6724">
        <w:tc>
          <w:tcPr>
            <w:cnfStyle w:val="001000000000" w:firstRow="0" w:lastRow="0" w:firstColumn="1" w:lastColumn="0" w:oddVBand="0" w:evenVBand="0" w:oddHBand="0" w:evenHBand="0" w:firstRowFirstColumn="0" w:firstRowLastColumn="0" w:lastRowFirstColumn="0" w:lastRowLastColumn="0"/>
            <w:tcW w:w="4168" w:type="dxa"/>
            <w:tcBorders>
              <w:bottom w:val="single" w:sz="6" w:space="0" w:color="auto"/>
            </w:tcBorders>
          </w:tcPr>
          <w:p w14:paraId="31B7889C" w14:textId="77777777" w:rsidR="00AB205D" w:rsidRDefault="00471A3B">
            <w:r>
              <w:t xml:space="preserve">Add back: Operating cash flows not recognised in the net operating balance </w:t>
            </w:r>
            <w:r>
              <w:rPr>
                <w:vertAlign w:val="superscript"/>
              </w:rPr>
              <w:t>(b)</w:t>
            </w:r>
          </w:p>
        </w:tc>
        <w:tc>
          <w:tcPr>
            <w:tcW w:w="885" w:type="dxa"/>
            <w:tcBorders>
              <w:bottom w:val="single" w:sz="6" w:space="0" w:color="auto"/>
            </w:tcBorders>
          </w:tcPr>
          <w:p w14:paraId="690090FA" w14:textId="77777777" w:rsidR="00AB205D" w:rsidRDefault="00471A3B">
            <w:pPr>
              <w:cnfStyle w:val="000000000000" w:firstRow="0" w:lastRow="0" w:firstColumn="0" w:lastColumn="0" w:oddVBand="0" w:evenVBand="0" w:oddHBand="0" w:evenHBand="0" w:firstRowFirstColumn="0" w:firstRowLastColumn="0" w:lastRowFirstColumn="0" w:lastRowLastColumn="0"/>
            </w:pPr>
            <w:r>
              <w:t>3 779</w:t>
            </w:r>
          </w:p>
        </w:tc>
        <w:tc>
          <w:tcPr>
            <w:tcW w:w="886" w:type="dxa"/>
            <w:tcBorders>
              <w:bottom w:val="single" w:sz="6" w:space="0" w:color="auto"/>
            </w:tcBorders>
          </w:tcPr>
          <w:p w14:paraId="55C6AB86" w14:textId="77777777" w:rsidR="00AB205D" w:rsidRDefault="00471A3B">
            <w:pPr>
              <w:cnfStyle w:val="000000000000" w:firstRow="0" w:lastRow="0" w:firstColumn="0" w:lastColumn="0" w:oddVBand="0" w:evenVBand="0" w:oddHBand="0" w:evenHBand="0" w:firstRowFirstColumn="0" w:firstRowLastColumn="0" w:lastRowFirstColumn="0" w:lastRowLastColumn="0"/>
            </w:pPr>
            <w:r>
              <w:t>4 664</w:t>
            </w:r>
          </w:p>
        </w:tc>
        <w:tc>
          <w:tcPr>
            <w:tcW w:w="886" w:type="dxa"/>
            <w:tcBorders>
              <w:bottom w:val="single" w:sz="6" w:space="0" w:color="auto"/>
            </w:tcBorders>
          </w:tcPr>
          <w:p w14:paraId="41AF1250" w14:textId="77777777" w:rsidR="00AB205D" w:rsidRDefault="00471A3B">
            <w:pPr>
              <w:cnfStyle w:val="000000000000" w:firstRow="0" w:lastRow="0" w:firstColumn="0" w:lastColumn="0" w:oddVBand="0" w:evenVBand="0" w:oddHBand="0" w:evenHBand="0" w:firstRowFirstColumn="0" w:firstRowLastColumn="0" w:lastRowFirstColumn="0" w:lastRowLastColumn="0"/>
            </w:pPr>
            <w:r>
              <w:t>5 004</w:t>
            </w:r>
          </w:p>
        </w:tc>
        <w:tc>
          <w:tcPr>
            <w:tcW w:w="886" w:type="dxa"/>
            <w:tcBorders>
              <w:bottom w:val="single" w:sz="6" w:space="0" w:color="auto"/>
            </w:tcBorders>
          </w:tcPr>
          <w:p w14:paraId="745E70B5" w14:textId="77777777" w:rsidR="00AB205D" w:rsidRDefault="00471A3B">
            <w:pPr>
              <w:cnfStyle w:val="000000000000" w:firstRow="0" w:lastRow="0" w:firstColumn="0" w:lastColumn="0" w:oddVBand="0" w:evenVBand="0" w:oddHBand="0" w:evenHBand="0" w:firstRowFirstColumn="0" w:firstRowLastColumn="0" w:lastRowFirstColumn="0" w:lastRowLastColumn="0"/>
            </w:pPr>
            <w:r>
              <w:t>4 670</w:t>
            </w:r>
          </w:p>
        </w:tc>
      </w:tr>
      <w:tr w:rsidR="009C6724" w14:paraId="1E67330A" w14:textId="77777777" w:rsidTr="009C6724">
        <w:tc>
          <w:tcPr>
            <w:cnfStyle w:val="001000000000" w:firstRow="0" w:lastRow="0" w:firstColumn="1" w:lastColumn="0" w:oddVBand="0" w:evenVBand="0" w:oddHBand="0" w:evenHBand="0" w:firstRowFirstColumn="0" w:firstRowLastColumn="0" w:lastRowFirstColumn="0" w:lastRowLastColumn="0"/>
            <w:tcW w:w="4168" w:type="dxa"/>
            <w:tcBorders>
              <w:top w:val="single" w:sz="6" w:space="0" w:color="auto"/>
              <w:bottom w:val="single" w:sz="6" w:space="0" w:color="auto"/>
            </w:tcBorders>
          </w:tcPr>
          <w:p w14:paraId="14DB7441" w14:textId="77777777" w:rsidR="00AB205D" w:rsidRDefault="00471A3B">
            <w:r>
              <w:rPr>
                <w:b/>
              </w:rPr>
              <w:t>Net cash flows from operating activities</w:t>
            </w:r>
          </w:p>
        </w:tc>
        <w:tc>
          <w:tcPr>
            <w:tcW w:w="885" w:type="dxa"/>
            <w:tcBorders>
              <w:top w:val="single" w:sz="6" w:space="0" w:color="auto"/>
              <w:bottom w:val="single" w:sz="6" w:space="0" w:color="auto"/>
            </w:tcBorders>
          </w:tcPr>
          <w:p w14:paraId="420792C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309</w:t>
            </w:r>
          </w:p>
        </w:tc>
        <w:tc>
          <w:tcPr>
            <w:tcW w:w="886" w:type="dxa"/>
            <w:tcBorders>
              <w:top w:val="single" w:sz="6" w:space="0" w:color="auto"/>
              <w:bottom w:val="single" w:sz="6" w:space="0" w:color="auto"/>
            </w:tcBorders>
          </w:tcPr>
          <w:p w14:paraId="3796490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3 642</w:t>
            </w:r>
          </w:p>
        </w:tc>
        <w:tc>
          <w:tcPr>
            <w:tcW w:w="886" w:type="dxa"/>
            <w:tcBorders>
              <w:top w:val="single" w:sz="6" w:space="0" w:color="auto"/>
              <w:bottom w:val="single" w:sz="6" w:space="0" w:color="auto"/>
            </w:tcBorders>
          </w:tcPr>
          <w:p w14:paraId="1B7CC45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6 066</w:t>
            </w:r>
          </w:p>
        </w:tc>
        <w:tc>
          <w:tcPr>
            <w:tcW w:w="886" w:type="dxa"/>
            <w:tcBorders>
              <w:top w:val="single" w:sz="6" w:space="0" w:color="auto"/>
              <w:bottom w:val="single" w:sz="6" w:space="0" w:color="auto"/>
            </w:tcBorders>
          </w:tcPr>
          <w:p w14:paraId="1C8466C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5 902</w:t>
            </w:r>
          </w:p>
        </w:tc>
      </w:tr>
      <w:tr w:rsidR="009C6724" w14:paraId="624D1F7C" w14:textId="77777777" w:rsidTr="009C6724">
        <w:tc>
          <w:tcPr>
            <w:cnfStyle w:val="001000000000" w:firstRow="0" w:lastRow="0" w:firstColumn="1" w:lastColumn="0" w:oddVBand="0" w:evenVBand="0" w:oddHBand="0" w:evenHBand="0" w:firstRowFirstColumn="0" w:firstRowLastColumn="0" w:lastRowFirstColumn="0" w:lastRowLastColumn="0"/>
            <w:tcW w:w="4168" w:type="dxa"/>
            <w:tcBorders>
              <w:top w:val="single" w:sz="6" w:space="0" w:color="auto"/>
              <w:bottom w:val="single" w:sz="6" w:space="0" w:color="auto"/>
            </w:tcBorders>
          </w:tcPr>
          <w:p w14:paraId="781DC532" w14:textId="77777777" w:rsidR="00AB205D" w:rsidRDefault="00471A3B">
            <w:r>
              <w:rPr>
                <w:b/>
              </w:rPr>
              <w:t xml:space="preserve">Less: Total net investment in fixed assets </w:t>
            </w:r>
            <w:r>
              <w:rPr>
                <w:b/>
                <w:vertAlign w:val="superscript"/>
              </w:rPr>
              <w:t>(c)</w:t>
            </w:r>
          </w:p>
        </w:tc>
        <w:tc>
          <w:tcPr>
            <w:tcW w:w="885" w:type="dxa"/>
            <w:tcBorders>
              <w:top w:val="single" w:sz="6" w:space="0" w:color="auto"/>
              <w:bottom w:val="single" w:sz="6" w:space="0" w:color="auto"/>
            </w:tcBorders>
          </w:tcPr>
          <w:p w14:paraId="292302B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19 250</w:t>
            </w:r>
          </w:p>
        </w:tc>
        <w:tc>
          <w:tcPr>
            <w:tcW w:w="886" w:type="dxa"/>
            <w:tcBorders>
              <w:top w:val="single" w:sz="6" w:space="0" w:color="auto"/>
              <w:bottom w:val="single" w:sz="6" w:space="0" w:color="auto"/>
            </w:tcBorders>
          </w:tcPr>
          <w:p w14:paraId="3F2B90D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20 066</w:t>
            </w:r>
          </w:p>
        </w:tc>
        <w:tc>
          <w:tcPr>
            <w:tcW w:w="886" w:type="dxa"/>
            <w:tcBorders>
              <w:top w:val="single" w:sz="6" w:space="0" w:color="auto"/>
              <w:bottom w:val="single" w:sz="6" w:space="0" w:color="auto"/>
            </w:tcBorders>
          </w:tcPr>
          <w:p w14:paraId="055FDBE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18 688</w:t>
            </w:r>
          </w:p>
        </w:tc>
        <w:tc>
          <w:tcPr>
            <w:tcW w:w="886" w:type="dxa"/>
            <w:tcBorders>
              <w:top w:val="single" w:sz="6" w:space="0" w:color="auto"/>
              <w:bottom w:val="single" w:sz="6" w:space="0" w:color="auto"/>
            </w:tcBorders>
          </w:tcPr>
          <w:p w14:paraId="4983D9F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17 359</w:t>
            </w:r>
          </w:p>
        </w:tc>
      </w:tr>
      <w:tr w:rsidR="009C6724" w14:paraId="3C3CA94E" w14:textId="77777777" w:rsidTr="009C6724">
        <w:tc>
          <w:tcPr>
            <w:cnfStyle w:val="001000000000" w:firstRow="0" w:lastRow="0" w:firstColumn="1" w:lastColumn="0" w:oddVBand="0" w:evenVBand="0" w:oddHBand="0" w:evenHBand="0" w:firstRowFirstColumn="0" w:firstRowLastColumn="0" w:lastRowFirstColumn="0" w:lastRowLastColumn="0"/>
            <w:tcW w:w="4168" w:type="dxa"/>
            <w:tcBorders>
              <w:top w:val="single" w:sz="6" w:space="0" w:color="auto"/>
              <w:bottom w:val="single" w:sz="6" w:space="0" w:color="auto"/>
            </w:tcBorders>
          </w:tcPr>
          <w:p w14:paraId="43BDBA94" w14:textId="77777777" w:rsidR="00AB205D" w:rsidRDefault="00471A3B">
            <w:r>
              <w:rPr>
                <w:b/>
              </w:rPr>
              <w:t>Surplus/(deficit) of cash from operations after funding net investment in fixed assets</w:t>
            </w:r>
          </w:p>
        </w:tc>
        <w:tc>
          <w:tcPr>
            <w:tcW w:w="885" w:type="dxa"/>
            <w:tcBorders>
              <w:top w:val="single" w:sz="6" w:space="0" w:color="auto"/>
              <w:bottom w:val="single" w:sz="6" w:space="0" w:color="auto"/>
            </w:tcBorders>
          </w:tcPr>
          <w:p w14:paraId="60AB942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(18 941)</w:t>
            </w:r>
          </w:p>
        </w:tc>
        <w:tc>
          <w:tcPr>
            <w:tcW w:w="886" w:type="dxa"/>
            <w:tcBorders>
              <w:top w:val="single" w:sz="6" w:space="0" w:color="auto"/>
              <w:bottom w:val="single" w:sz="6" w:space="0" w:color="auto"/>
            </w:tcBorders>
          </w:tcPr>
          <w:p w14:paraId="315ECA6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(16 424)</w:t>
            </w:r>
          </w:p>
        </w:tc>
        <w:tc>
          <w:tcPr>
            <w:tcW w:w="886" w:type="dxa"/>
            <w:tcBorders>
              <w:top w:val="single" w:sz="6" w:space="0" w:color="auto"/>
              <w:bottom w:val="single" w:sz="6" w:space="0" w:color="auto"/>
            </w:tcBorders>
          </w:tcPr>
          <w:p w14:paraId="1C88648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(12 622)</w:t>
            </w:r>
          </w:p>
        </w:tc>
        <w:tc>
          <w:tcPr>
            <w:tcW w:w="886" w:type="dxa"/>
            <w:tcBorders>
              <w:top w:val="single" w:sz="6" w:space="0" w:color="auto"/>
              <w:bottom w:val="single" w:sz="6" w:space="0" w:color="auto"/>
            </w:tcBorders>
          </w:tcPr>
          <w:p w14:paraId="378674D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(11 458)</w:t>
            </w:r>
          </w:p>
        </w:tc>
      </w:tr>
      <w:tr w:rsidR="009C6724" w14:paraId="393CCAB4" w14:textId="77777777" w:rsidTr="009C6724">
        <w:tc>
          <w:tcPr>
            <w:cnfStyle w:val="001000000000" w:firstRow="0" w:lastRow="0" w:firstColumn="1" w:lastColumn="0" w:oddVBand="0" w:evenVBand="0" w:oddHBand="0" w:evenHBand="0" w:firstRowFirstColumn="0" w:firstRowLastColumn="0" w:lastRowFirstColumn="0" w:lastRowLastColumn="0"/>
            <w:tcW w:w="4168" w:type="dxa"/>
            <w:tcBorders>
              <w:top w:val="single" w:sz="6" w:space="0" w:color="auto"/>
            </w:tcBorders>
          </w:tcPr>
          <w:p w14:paraId="7E37E954" w14:textId="77777777" w:rsidR="00AB205D" w:rsidRDefault="00471A3B">
            <w:r>
              <w:t>Less:</w:t>
            </w:r>
          </w:p>
        </w:tc>
        <w:tc>
          <w:tcPr>
            <w:tcW w:w="885" w:type="dxa"/>
            <w:tcBorders>
              <w:top w:val="single" w:sz="6" w:space="0" w:color="auto"/>
            </w:tcBorders>
          </w:tcPr>
          <w:p w14:paraId="41FF2D1B"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886" w:type="dxa"/>
            <w:tcBorders>
              <w:top w:val="single" w:sz="6" w:space="0" w:color="auto"/>
            </w:tcBorders>
          </w:tcPr>
          <w:p w14:paraId="75724CBB"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886" w:type="dxa"/>
            <w:tcBorders>
              <w:top w:val="single" w:sz="6" w:space="0" w:color="auto"/>
            </w:tcBorders>
          </w:tcPr>
          <w:p w14:paraId="3CF69FAA"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886" w:type="dxa"/>
            <w:tcBorders>
              <w:top w:val="single" w:sz="6" w:space="0" w:color="auto"/>
            </w:tcBorders>
          </w:tcPr>
          <w:p w14:paraId="5C580ECE"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6B44FEF4" w14:textId="77777777" w:rsidTr="009C6724">
        <w:tc>
          <w:tcPr>
            <w:cnfStyle w:val="001000000000" w:firstRow="0" w:lastRow="0" w:firstColumn="1" w:lastColumn="0" w:oddVBand="0" w:evenVBand="0" w:oddHBand="0" w:evenHBand="0" w:firstRowFirstColumn="0" w:firstRowLastColumn="0" w:lastRowFirstColumn="0" w:lastRowLastColumn="0"/>
            <w:tcW w:w="4168" w:type="dxa"/>
          </w:tcPr>
          <w:p w14:paraId="6C393B5F" w14:textId="77777777" w:rsidR="00AB205D" w:rsidRDefault="00471A3B">
            <w:r>
              <w:t xml:space="preserve">   Leases and service concession arrangements </w:t>
            </w:r>
            <w:r>
              <w:rPr>
                <w:vertAlign w:val="superscript"/>
              </w:rPr>
              <w:t>(d)</w:t>
            </w:r>
          </w:p>
        </w:tc>
        <w:tc>
          <w:tcPr>
            <w:tcW w:w="885" w:type="dxa"/>
          </w:tcPr>
          <w:p w14:paraId="6AA79F80" w14:textId="77777777" w:rsidR="00AB205D" w:rsidRDefault="00471A3B">
            <w:pPr>
              <w:cnfStyle w:val="000000000000" w:firstRow="0" w:lastRow="0" w:firstColumn="0" w:lastColumn="0" w:oddVBand="0" w:evenVBand="0" w:oddHBand="0" w:evenHBand="0" w:firstRowFirstColumn="0" w:firstRowLastColumn="0" w:lastRowFirstColumn="0" w:lastRowLastColumn="0"/>
            </w:pPr>
            <w:r>
              <w:t>2 684</w:t>
            </w:r>
          </w:p>
        </w:tc>
        <w:tc>
          <w:tcPr>
            <w:tcW w:w="886" w:type="dxa"/>
          </w:tcPr>
          <w:p w14:paraId="3B9ED23C" w14:textId="77777777" w:rsidR="00AB205D" w:rsidRDefault="00471A3B">
            <w:pPr>
              <w:cnfStyle w:val="000000000000" w:firstRow="0" w:lastRow="0" w:firstColumn="0" w:lastColumn="0" w:oddVBand="0" w:evenVBand="0" w:oddHBand="0" w:evenHBand="0" w:firstRowFirstColumn="0" w:firstRowLastColumn="0" w:lastRowFirstColumn="0" w:lastRowLastColumn="0"/>
            </w:pPr>
            <w:r>
              <w:t>1 215</w:t>
            </w:r>
          </w:p>
        </w:tc>
        <w:tc>
          <w:tcPr>
            <w:tcW w:w="886" w:type="dxa"/>
          </w:tcPr>
          <w:p w14:paraId="56F40E61" w14:textId="77777777" w:rsidR="00AB205D" w:rsidRDefault="00471A3B">
            <w:pPr>
              <w:cnfStyle w:val="000000000000" w:firstRow="0" w:lastRow="0" w:firstColumn="0" w:lastColumn="0" w:oddVBand="0" w:evenVBand="0" w:oddHBand="0" w:evenHBand="0" w:firstRowFirstColumn="0" w:firstRowLastColumn="0" w:lastRowFirstColumn="0" w:lastRowLastColumn="0"/>
            </w:pPr>
            <w:r>
              <w:t>775</w:t>
            </w:r>
          </w:p>
        </w:tc>
        <w:tc>
          <w:tcPr>
            <w:tcW w:w="886" w:type="dxa"/>
          </w:tcPr>
          <w:p w14:paraId="6BD87D1F" w14:textId="77777777" w:rsidR="00AB205D" w:rsidRDefault="00471A3B">
            <w:pPr>
              <w:cnfStyle w:val="000000000000" w:firstRow="0" w:lastRow="0" w:firstColumn="0" w:lastColumn="0" w:oddVBand="0" w:evenVBand="0" w:oddHBand="0" w:evenHBand="0" w:firstRowFirstColumn="0" w:firstRowLastColumn="0" w:lastRowFirstColumn="0" w:lastRowLastColumn="0"/>
            </w:pPr>
            <w:r>
              <w:t>531</w:t>
            </w:r>
          </w:p>
        </w:tc>
      </w:tr>
      <w:tr w:rsidR="009C6724" w14:paraId="768B6D0B" w14:textId="77777777" w:rsidTr="009C6724">
        <w:tc>
          <w:tcPr>
            <w:cnfStyle w:val="001000000000" w:firstRow="0" w:lastRow="0" w:firstColumn="1" w:lastColumn="0" w:oddVBand="0" w:evenVBand="0" w:oddHBand="0" w:evenHBand="0" w:firstRowFirstColumn="0" w:firstRowLastColumn="0" w:lastRowFirstColumn="0" w:lastRowLastColumn="0"/>
            <w:tcW w:w="4168" w:type="dxa"/>
            <w:tcBorders>
              <w:bottom w:val="single" w:sz="6" w:space="0" w:color="auto"/>
            </w:tcBorders>
          </w:tcPr>
          <w:p w14:paraId="50F5B7AC" w14:textId="77777777" w:rsidR="00AB205D" w:rsidRDefault="00471A3B">
            <w:r>
              <w:t xml:space="preserve">   Other movements</w:t>
            </w:r>
          </w:p>
        </w:tc>
        <w:tc>
          <w:tcPr>
            <w:tcW w:w="885" w:type="dxa"/>
            <w:tcBorders>
              <w:bottom w:val="single" w:sz="6" w:space="0" w:color="auto"/>
            </w:tcBorders>
          </w:tcPr>
          <w:p w14:paraId="7D942403" w14:textId="77777777" w:rsidR="00AB205D" w:rsidRDefault="00471A3B">
            <w:pPr>
              <w:cnfStyle w:val="000000000000" w:firstRow="0" w:lastRow="0" w:firstColumn="0" w:lastColumn="0" w:oddVBand="0" w:evenVBand="0" w:oddHBand="0" w:evenHBand="0" w:firstRowFirstColumn="0" w:firstRowLastColumn="0" w:lastRowFirstColumn="0" w:lastRowLastColumn="0"/>
            </w:pPr>
            <w:r>
              <w:t>(1 202)</w:t>
            </w:r>
          </w:p>
        </w:tc>
        <w:tc>
          <w:tcPr>
            <w:tcW w:w="886" w:type="dxa"/>
            <w:tcBorders>
              <w:bottom w:val="single" w:sz="6" w:space="0" w:color="auto"/>
            </w:tcBorders>
          </w:tcPr>
          <w:p w14:paraId="373681D3" w14:textId="77777777" w:rsidR="00AB205D" w:rsidRDefault="00471A3B">
            <w:pPr>
              <w:cnfStyle w:val="000000000000" w:firstRow="0" w:lastRow="0" w:firstColumn="0" w:lastColumn="0" w:oddVBand="0" w:evenVBand="0" w:oddHBand="0" w:evenHBand="0" w:firstRowFirstColumn="0" w:firstRowLastColumn="0" w:lastRowFirstColumn="0" w:lastRowLastColumn="0"/>
            </w:pPr>
            <w:r>
              <w:t>(161)</w:t>
            </w:r>
          </w:p>
        </w:tc>
        <w:tc>
          <w:tcPr>
            <w:tcW w:w="886" w:type="dxa"/>
            <w:tcBorders>
              <w:bottom w:val="single" w:sz="6" w:space="0" w:color="auto"/>
            </w:tcBorders>
          </w:tcPr>
          <w:p w14:paraId="411F4382" w14:textId="77777777" w:rsidR="00AB205D" w:rsidRDefault="00471A3B">
            <w:pPr>
              <w:cnfStyle w:val="000000000000" w:firstRow="0" w:lastRow="0" w:firstColumn="0" w:lastColumn="0" w:oddVBand="0" w:evenVBand="0" w:oddHBand="0" w:evenHBand="0" w:firstRowFirstColumn="0" w:firstRowLastColumn="0" w:lastRowFirstColumn="0" w:lastRowLastColumn="0"/>
            </w:pPr>
            <w:r>
              <w:t>(202)</w:t>
            </w:r>
          </w:p>
        </w:tc>
        <w:tc>
          <w:tcPr>
            <w:tcW w:w="886" w:type="dxa"/>
            <w:tcBorders>
              <w:bottom w:val="single" w:sz="6" w:space="0" w:color="auto"/>
            </w:tcBorders>
          </w:tcPr>
          <w:p w14:paraId="676DB37B" w14:textId="77777777" w:rsidR="00AB205D" w:rsidRDefault="00471A3B">
            <w:pPr>
              <w:cnfStyle w:val="000000000000" w:firstRow="0" w:lastRow="0" w:firstColumn="0" w:lastColumn="0" w:oddVBand="0" w:evenVBand="0" w:oddHBand="0" w:evenHBand="0" w:firstRowFirstColumn="0" w:firstRowLastColumn="0" w:lastRowFirstColumn="0" w:lastRowLastColumn="0"/>
            </w:pPr>
            <w:r>
              <w:t>(315)</w:t>
            </w:r>
          </w:p>
        </w:tc>
      </w:tr>
      <w:tr w:rsidR="009C6724" w14:paraId="53253D1E" w14:textId="77777777" w:rsidTr="009C6724">
        <w:tc>
          <w:tcPr>
            <w:cnfStyle w:val="001000000000" w:firstRow="0" w:lastRow="0" w:firstColumn="1" w:lastColumn="0" w:oddVBand="0" w:evenVBand="0" w:oddHBand="0" w:evenHBand="0" w:firstRowFirstColumn="0" w:firstRowLastColumn="0" w:lastRowFirstColumn="0" w:lastRowLastColumn="0"/>
            <w:tcW w:w="4168" w:type="dxa"/>
            <w:tcBorders>
              <w:top w:val="single" w:sz="6" w:space="0" w:color="auto"/>
              <w:bottom w:val="single" w:sz="12" w:space="0" w:color="auto"/>
            </w:tcBorders>
          </w:tcPr>
          <w:p w14:paraId="5DE32665" w14:textId="77777777" w:rsidR="00AB205D" w:rsidRDefault="00471A3B">
            <w:r>
              <w:rPr>
                <w:b/>
              </w:rPr>
              <w:t>Decrease/(increase) in net debt</w:t>
            </w:r>
          </w:p>
        </w:tc>
        <w:tc>
          <w:tcPr>
            <w:tcW w:w="885" w:type="dxa"/>
            <w:tcBorders>
              <w:top w:val="single" w:sz="6" w:space="0" w:color="auto"/>
              <w:bottom w:val="single" w:sz="12" w:space="0" w:color="auto"/>
            </w:tcBorders>
          </w:tcPr>
          <w:p w14:paraId="6E44E40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(20 423)</w:t>
            </w:r>
          </w:p>
        </w:tc>
        <w:tc>
          <w:tcPr>
            <w:tcW w:w="886" w:type="dxa"/>
            <w:tcBorders>
              <w:top w:val="single" w:sz="6" w:space="0" w:color="auto"/>
              <w:bottom w:val="single" w:sz="12" w:space="0" w:color="auto"/>
            </w:tcBorders>
          </w:tcPr>
          <w:p w14:paraId="63EBE91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(17 478)</w:t>
            </w:r>
          </w:p>
        </w:tc>
        <w:tc>
          <w:tcPr>
            <w:tcW w:w="886" w:type="dxa"/>
            <w:tcBorders>
              <w:top w:val="single" w:sz="6" w:space="0" w:color="auto"/>
              <w:bottom w:val="single" w:sz="12" w:space="0" w:color="auto"/>
            </w:tcBorders>
          </w:tcPr>
          <w:p w14:paraId="6C5A9CA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(13 196)</w:t>
            </w:r>
          </w:p>
        </w:tc>
        <w:tc>
          <w:tcPr>
            <w:tcW w:w="886" w:type="dxa"/>
            <w:tcBorders>
              <w:top w:val="single" w:sz="6" w:space="0" w:color="auto"/>
              <w:bottom w:val="single" w:sz="12" w:space="0" w:color="auto"/>
            </w:tcBorders>
          </w:tcPr>
          <w:p w14:paraId="6B37B4F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(11 673)</w:t>
            </w:r>
          </w:p>
        </w:tc>
      </w:tr>
    </w:tbl>
    <w:p w14:paraId="56A69152" w14:textId="77777777" w:rsidR="00AB205D" w:rsidRPr="001D55A6" w:rsidRDefault="00471A3B">
      <w:pPr>
        <w:pStyle w:val="Note"/>
      </w:pPr>
      <w:r w:rsidRPr="001D55A6">
        <w:t>Notes:</w:t>
      </w:r>
    </w:p>
    <w:p w14:paraId="4F21E66E" w14:textId="77777777" w:rsidR="00AB205D" w:rsidRPr="001D55A6" w:rsidRDefault="00471A3B">
      <w:pPr>
        <w:pStyle w:val="Note"/>
      </w:pPr>
      <w:r w:rsidRPr="001D55A6">
        <w:t xml:space="preserve">(a) </w:t>
      </w:r>
      <w:r w:rsidRPr="001D55A6">
        <w:tab/>
        <w:t>Figures in this table are subject to rounding to the nearest</w:t>
      </w:r>
      <w:r>
        <w:t> </w:t>
      </w:r>
      <w:r w:rsidRPr="001D55A6">
        <w:t>million and may not add up to totals.</w:t>
      </w:r>
    </w:p>
    <w:p w14:paraId="6291FC86" w14:textId="77777777" w:rsidR="00AB205D" w:rsidRPr="001D55A6" w:rsidRDefault="00471A3B">
      <w:pPr>
        <w:pStyle w:val="Note"/>
      </w:pPr>
      <w:r w:rsidRPr="001D55A6">
        <w:t xml:space="preserve">(b) </w:t>
      </w:r>
      <w:r w:rsidRPr="001D55A6">
        <w:tab/>
        <w:t>Includes depreciation, prepayments and movements in the superannuation liability and liability of employee benefits for the year, and the progressive unwinding of the grant of a right to the operator liability.</w:t>
      </w:r>
    </w:p>
    <w:p w14:paraId="15919678" w14:textId="77777777" w:rsidR="00AB205D" w:rsidRPr="001D55A6" w:rsidRDefault="00471A3B">
      <w:pPr>
        <w:pStyle w:val="Note"/>
      </w:pPr>
      <w:r w:rsidRPr="001D55A6">
        <w:t xml:space="preserve">(c) </w:t>
      </w:r>
      <w:r w:rsidRPr="001D55A6">
        <w:tab/>
        <w:t>Includes total purchases of plant, property and equipment, and net capital contributions to other sectors of government net of proceeds from asset sales.</w:t>
      </w:r>
    </w:p>
    <w:p w14:paraId="0D4641C1" w14:textId="77777777" w:rsidR="00AB205D" w:rsidRPr="001D55A6" w:rsidRDefault="00471A3B">
      <w:pPr>
        <w:pStyle w:val="Note"/>
      </w:pPr>
      <w:r w:rsidRPr="001D55A6">
        <w:t>(d)</w:t>
      </w:r>
      <w:r w:rsidRPr="001D55A6">
        <w:tab/>
        <w:t>Includes most operating leases which are now required to be recognised as lease liabilities. It also includes the financial liabilities relating to public private partnership projects including the High Capacity Metro Trains, the Metro Tunnel, the new Footscray Hospital, the new Melton Hospital and the Frankston Hospital Redevelopment.</w:t>
      </w:r>
    </w:p>
    <w:p w14:paraId="6F8C63D4" w14:textId="77777777" w:rsidR="00AB205D" w:rsidRPr="001D55A6" w:rsidRDefault="00471A3B" w:rsidP="00205A06">
      <w:pPr>
        <w:pStyle w:val="Heading20"/>
      </w:pPr>
      <w:r w:rsidRPr="001D55A6">
        <w:t>Unfunded superannuation liability</w:t>
      </w:r>
    </w:p>
    <w:p w14:paraId="77DEA4EA" w14:textId="77777777" w:rsidR="00AB205D" w:rsidRPr="001D55A6" w:rsidRDefault="00471A3B">
      <w:r w:rsidRPr="001D55A6">
        <w:t xml:space="preserve">The Government is on track to fully fund the state’s unfunded superannuation liability by 2035. Note 4.6.3 of Chapter 4 </w:t>
      </w:r>
      <w:r w:rsidRPr="006F0A82">
        <w:rPr>
          <w:i/>
          <w:iCs/>
        </w:rPr>
        <w:t>Estimated financial statements and notes</w:t>
      </w:r>
      <w:r w:rsidRPr="001D55A6">
        <w:t xml:space="preserve"> shows information on the reported superannuation liability.</w:t>
      </w:r>
    </w:p>
    <w:p w14:paraId="33698A3D" w14:textId="77777777" w:rsidR="00AB205D" w:rsidRPr="001D55A6" w:rsidRDefault="00471A3B">
      <w:pPr>
        <w:pStyle w:val="Heading10"/>
        <w:pageBreakBefore/>
      </w:pPr>
      <w:bookmarkStart w:id="24" w:name="_Toc152933027"/>
      <w:r w:rsidRPr="001D55A6">
        <w:lastRenderedPageBreak/>
        <w:t>Fiscal risks</w:t>
      </w:r>
      <w:bookmarkEnd w:id="24"/>
    </w:p>
    <w:p w14:paraId="72E908EB" w14:textId="77777777" w:rsidR="00AB205D" w:rsidRPr="001D55A6" w:rsidRDefault="00471A3B">
      <w:r w:rsidRPr="001D55A6">
        <w:t>This section discusses a number of risks which, if realised, are likely to impact on the state’s financial position and budget outcomes.</w:t>
      </w:r>
    </w:p>
    <w:p w14:paraId="71081980" w14:textId="77777777" w:rsidR="00AB205D" w:rsidRPr="001D55A6" w:rsidRDefault="00471A3B">
      <w:r w:rsidRPr="001D55A6">
        <w:t xml:space="preserve">Details of specific contingent assets and liabilities, defined as possible assets or liabilities that arise from past events whose existence will be confirmed only by the occurrence or non-occurrence of one or more uncertain future events not wholly within the control of the entity, are contained within Chapter 6 </w:t>
      </w:r>
      <w:r w:rsidRPr="00017DB5">
        <w:rPr>
          <w:i/>
        </w:rPr>
        <w:t>Contingent assets and contingent liabilities</w:t>
      </w:r>
      <w:r w:rsidRPr="001D55A6">
        <w:t>.</w:t>
      </w:r>
    </w:p>
    <w:p w14:paraId="5EC746B3" w14:textId="77777777" w:rsidR="00AB205D" w:rsidRPr="001D55A6" w:rsidRDefault="00471A3B">
      <w:pPr>
        <w:pStyle w:val="Heading20"/>
      </w:pPr>
      <w:r w:rsidRPr="001D55A6">
        <w:t>General fiscal risks</w:t>
      </w:r>
    </w:p>
    <w:p w14:paraId="1DF01CF7" w14:textId="77777777" w:rsidR="00AB205D" w:rsidRDefault="00471A3B">
      <w:r>
        <w:t>The risks to Victoria’s economic outlook are greater than normal. In terms of upside risks, there could be further strength in population growth in the near term, driven by a larger than anticipated increase in net overseas migration. This would support economic activity and employment growth.</w:t>
      </w:r>
    </w:p>
    <w:p w14:paraId="1F9404B4" w14:textId="77777777" w:rsidR="00AB205D" w:rsidRDefault="00471A3B">
      <w:r>
        <w:t xml:space="preserve">The outlook for consumer spending remains a significant source of uncertainty. Spending has been fairly resilient to date, despite higher interest rates. Consumer spending could be stronger than expected over the coming year, supported by rising house prices, a strong labour market and still-elevated levels of household savings. On the downside, the rise in interest rates, combined with ongoing high growth in consumer prices, could weigh on consumers more than is expected, partly as these rises are yet to fully flow through to mortgage repayments. There are many borrowers with low fixed-rate mortgages still to roll over onto much higher variable rates over coming months. This could reduce spending among these cohorts, and an increased number of households may experience financial stress. More generally, as the economy slows and uncertainty about the economy and labour market increases, households may increase their precautionary savings and reduce their spending by more than expected. Appendix D </w:t>
      </w:r>
      <w:r w:rsidRPr="0073650F">
        <w:rPr>
          <w:i/>
          <w:iCs/>
        </w:rPr>
        <w:t>Sensitivity analysis</w:t>
      </w:r>
      <w:r>
        <w:t xml:space="preserve"> quantifies the economic and fiscal impacts of a downturn in the Victorian and Australian economies, driven by a greater than expected slowdown in consumer spending and weaker investment.</w:t>
      </w:r>
    </w:p>
    <w:p w14:paraId="0C85201F" w14:textId="77777777" w:rsidR="00AB205D" w:rsidRDefault="00471A3B">
      <w:r>
        <w:t>A further downside risk relates to the outlook for inflation. If inflation remains higher for longer than currently anticipated, this could lead to workers and businesses building higher inflation expectations into wage-bargaining and price-setting decisions. Such a scenario could lead the RBA to raise interest rates further or keep interest rates elevated for longer than expected. This would weigh on economic activity and employment growth.</w:t>
      </w:r>
    </w:p>
    <w:p w14:paraId="6A2DF79C" w14:textId="77777777" w:rsidR="00AB205D" w:rsidRPr="001D55A6" w:rsidRDefault="00471A3B">
      <w:r>
        <w:t>Meanwhile, risks to the global economic outlook also appear tilted to the downside. In China, weaker than expected consumer spending and investment would weigh on the global economy and would likely lead to a decline in demand for Victorian exports. The ongoing conflict between Russia and Ukraine, and the conflict in the Middle East, have the potential to further destabilise global energy prices</w:t>
      </w:r>
      <w:r w:rsidRPr="001D55A6">
        <w:t>.</w:t>
      </w:r>
    </w:p>
    <w:p w14:paraId="00811E47" w14:textId="77777777" w:rsidR="00AB205D" w:rsidRPr="001D55A6" w:rsidRDefault="00471A3B">
      <w:pPr>
        <w:pStyle w:val="Heading30"/>
      </w:pPr>
      <w:r w:rsidRPr="001D55A6">
        <w:lastRenderedPageBreak/>
        <w:t>State taxes</w:t>
      </w:r>
    </w:p>
    <w:p w14:paraId="74732DE8" w14:textId="77777777" w:rsidR="00AB205D" w:rsidRPr="001D55A6" w:rsidRDefault="00471A3B">
      <w:pPr>
        <w:keepNext/>
      </w:pPr>
      <w:r w:rsidRPr="001D55A6">
        <w:t>State tax forecasts are primarily modelled on the relationships between taxation revenue and projected economic variables. As a result, the main source of uncertainty to state taxation estimates is unforeseen changes in the economic outlook.</w:t>
      </w:r>
    </w:p>
    <w:p w14:paraId="01B50C41" w14:textId="77777777" w:rsidR="00AB205D" w:rsidRPr="001D55A6" w:rsidRDefault="00471A3B">
      <w:r>
        <w:t>As outlined above, t</w:t>
      </w:r>
      <w:r w:rsidRPr="001D55A6">
        <w:t xml:space="preserve">he outlook for consumer spending remains a significant source of uncertainty. </w:t>
      </w:r>
      <w:r>
        <w:t>R</w:t>
      </w:r>
      <w:r w:rsidRPr="001D55A6">
        <w:t xml:space="preserve">isks remain heightened that further downward pressure on </w:t>
      </w:r>
      <w:r>
        <w:t xml:space="preserve">household </w:t>
      </w:r>
      <w:r w:rsidRPr="001D55A6">
        <w:t xml:space="preserve">consumption could impact state taxation revenue. </w:t>
      </w:r>
    </w:p>
    <w:p w14:paraId="19A3D915" w14:textId="77777777" w:rsidR="00AB205D" w:rsidRPr="001D55A6" w:rsidRDefault="00471A3B">
      <w:r w:rsidRPr="001D55A6">
        <w:t xml:space="preserve">In contrast, Victoria’s tight labour market, with elevated population and wage growth </w:t>
      </w:r>
      <w:r>
        <w:t xml:space="preserve">may </w:t>
      </w:r>
      <w:r w:rsidRPr="001D55A6">
        <w:t xml:space="preserve">bolster the outlook for taxes on employers’ payroll and labour force. Employment conditions have remained strong, and unemployment remains </w:t>
      </w:r>
      <w:r>
        <w:t>below 4 per cent, which hasn’t happened</w:t>
      </w:r>
      <w:r w:rsidRPr="001D55A6">
        <w:t xml:space="preserve"> in nearly 50 years. Stronger employment and higher than expected wages growth could bolster household income</w:t>
      </w:r>
      <w:r>
        <w:t>,</w:t>
      </w:r>
      <w:r w:rsidRPr="001D55A6">
        <w:t xml:space="preserve"> and </w:t>
      </w:r>
      <w:r>
        <w:t>household</w:t>
      </w:r>
      <w:r w:rsidRPr="001D55A6">
        <w:t xml:space="preserve"> savings buffers provide an upside risk that consumer spending, in aggregate, holds up better than expected over the coming year.</w:t>
      </w:r>
    </w:p>
    <w:p w14:paraId="3DCBA857" w14:textId="77777777" w:rsidR="00AB205D" w:rsidRPr="001D55A6" w:rsidRDefault="00471A3B">
      <w:pPr>
        <w:pStyle w:val="Heading30"/>
      </w:pPr>
      <w:r w:rsidRPr="001D55A6">
        <w:t>Property-related taxes</w:t>
      </w:r>
    </w:p>
    <w:p w14:paraId="4905D471" w14:textId="77777777" w:rsidR="00AB205D" w:rsidRPr="001D55A6" w:rsidRDefault="00471A3B">
      <w:r w:rsidRPr="001D55A6">
        <w:t xml:space="preserve">Revenue from property-based taxes, is subject to unique risks and </w:t>
      </w:r>
      <w:r>
        <w:t xml:space="preserve">has </w:t>
      </w:r>
      <w:r w:rsidRPr="001D55A6">
        <w:t xml:space="preserve">historically been volatile as property markets can exhibit large cycles typically related to changes in interest rates and sentiment. </w:t>
      </w:r>
    </w:p>
    <w:p w14:paraId="7FB3CDC9" w14:textId="77777777" w:rsidR="00AB205D" w:rsidRPr="001D55A6" w:rsidRDefault="00471A3B">
      <w:r w:rsidRPr="001D55A6">
        <w:t>Property prices and transaction volumes continue to face pressure from restrictive monetary policy, as high borrowing costs limit housing lending and suppress sentiment. Strong population growth and a tight labour market have supported the property market, contributing to a gradual recovery that began in early 2023. However, tight credit conditions are expected to persist throughout 2023</w:t>
      </w:r>
      <w:r>
        <w:noBreakHyphen/>
      </w:r>
      <w:r w:rsidRPr="001D55A6">
        <w:t xml:space="preserve">24, presenting a risk to revenue from land transfer duty in the near term and land tax in the medium term. </w:t>
      </w:r>
      <w:r>
        <w:t>Elevated interest rates could also have greater impacts than expected on the labour market, and in turn</w:t>
      </w:r>
      <w:r w:rsidRPr="001D55A6">
        <w:t xml:space="preserve"> pose risk</w:t>
      </w:r>
      <w:r>
        <w:t>s</w:t>
      </w:r>
      <w:r w:rsidRPr="001D55A6">
        <w:t xml:space="preserve"> to buyer demand. </w:t>
      </w:r>
    </w:p>
    <w:p w14:paraId="2FEA96F3" w14:textId="77777777" w:rsidR="00AB205D" w:rsidRPr="001D55A6" w:rsidRDefault="00471A3B">
      <w:r w:rsidRPr="001D55A6">
        <w:t>In non-residential land valuations, the tightening credit conditions have depressed sales volumes, with the subdued sentiment causing delays to large transactions throughout 2023. There is uncertainty about how prices for non-residential properties will evolve while transaction volumes remain low, which will affect the trajectory of future land valuations and land taxes. Commercial property conditions present a further risk to the revenue outlook, with the office sector facing the largest threat of devaluation given high vacancy rates, particularly in the Melbourne CBD.</w:t>
      </w:r>
    </w:p>
    <w:p w14:paraId="55ADB6BA" w14:textId="77777777" w:rsidR="00AB205D" w:rsidRPr="001D55A6" w:rsidRDefault="00471A3B">
      <w:pPr>
        <w:pStyle w:val="Heading30"/>
      </w:pPr>
      <w:r w:rsidRPr="001D55A6">
        <w:lastRenderedPageBreak/>
        <w:t>Interest expenses</w:t>
      </w:r>
    </w:p>
    <w:p w14:paraId="0447DE3B" w14:textId="77777777" w:rsidR="00AB205D" w:rsidRPr="001D55A6" w:rsidRDefault="00471A3B">
      <w:pPr>
        <w:keepNext/>
      </w:pPr>
      <w:r w:rsidRPr="001D55A6">
        <w:t>The state’s debt portfolio is made up predominantly of fixed interest debt which means most of the interest expense on existing debt is not exposed to movements in interest rates. However, approximately 10</w:t>
      </w:r>
      <w:r>
        <w:t> </w:t>
      </w:r>
      <w:r w:rsidRPr="001D55A6">
        <w:t>per</w:t>
      </w:r>
      <w:r>
        <w:t> </w:t>
      </w:r>
      <w:r w:rsidRPr="001D55A6">
        <w:t>cent of this debt matures each year and must be refinanced at the current market interest rate. The interest expense on the refinancing along with new borrowings and a small proportion of floating rate notes in the portfolio are subject to changes in interest rates.</w:t>
      </w:r>
    </w:p>
    <w:p w14:paraId="54253D0C" w14:textId="77777777" w:rsidR="00AB205D" w:rsidRPr="001D55A6" w:rsidRDefault="00471A3B">
      <w:r w:rsidRPr="001D55A6">
        <w:t>The interest rate forecasts used in the estimates for interest expenses are based on the forward interest rates that are derived from the yield curve for the TCV bonds that are traded in financial markets. Currently the TCV yield curve is upward sloping, implying that future interest rates will be higher than current interest rates. Consequently, the interest expense estimates assume that the average interest rate on new and refinanced borrowings will increase over time.</w:t>
      </w:r>
    </w:p>
    <w:p w14:paraId="33A3D75E" w14:textId="77777777" w:rsidR="00AB205D" w:rsidRPr="001D55A6" w:rsidRDefault="00471A3B">
      <w:pPr>
        <w:pStyle w:val="Heading30"/>
      </w:pPr>
      <w:r w:rsidRPr="001D55A6">
        <w:t>Employee expenses</w:t>
      </w:r>
    </w:p>
    <w:p w14:paraId="2F89FB1B" w14:textId="77777777" w:rsidR="00AB205D" w:rsidRPr="001D55A6" w:rsidRDefault="00471A3B">
      <w:r w:rsidRPr="001D55A6">
        <w:t xml:space="preserve">Employee expenses are the state’s largest expense. Two important determinants of employee expenses are wages growth and the number of employees. Wages growth is primarily driven by enterprise bargaining agreements, which are subject to the Government’s Wages Policy. This was adjusted </w:t>
      </w:r>
      <w:r>
        <w:t xml:space="preserve">in the </w:t>
      </w:r>
      <w:r w:rsidRPr="00770FF6">
        <w:rPr>
          <w:i/>
          <w:iCs/>
        </w:rPr>
        <w:t>2023</w:t>
      </w:r>
      <w:r>
        <w:rPr>
          <w:i/>
          <w:iCs/>
        </w:rPr>
        <w:noBreakHyphen/>
      </w:r>
      <w:r w:rsidRPr="00770FF6">
        <w:rPr>
          <w:i/>
          <w:iCs/>
        </w:rPr>
        <w:t>24</w:t>
      </w:r>
      <w:r w:rsidRPr="00770FF6">
        <w:rPr>
          <w:i/>
        </w:rPr>
        <w:t xml:space="preserve"> Budget</w:t>
      </w:r>
      <w:r w:rsidRPr="001D55A6">
        <w:t xml:space="preserve"> to better reflect the current economic context, allowing a 3</w:t>
      </w:r>
      <w:r>
        <w:t> </w:t>
      </w:r>
      <w:r w:rsidRPr="001D55A6">
        <w:t>per</w:t>
      </w:r>
      <w:r>
        <w:t> </w:t>
      </w:r>
      <w:r w:rsidRPr="001D55A6">
        <w:t>cent per annum increase to wages (up from 1.5</w:t>
      </w:r>
      <w:r>
        <w:t> </w:t>
      </w:r>
      <w:r w:rsidRPr="001D55A6">
        <w:t>per</w:t>
      </w:r>
      <w:r>
        <w:t> </w:t>
      </w:r>
      <w:r w:rsidRPr="001D55A6">
        <w:t xml:space="preserve">cent), plus a limited cash payment. Other factors contributing to projected employee expenses include the anticipated composition and profile of the workforce. </w:t>
      </w:r>
    </w:p>
    <w:p w14:paraId="5B72F8FF" w14:textId="77777777" w:rsidR="00AB205D" w:rsidRPr="001D55A6" w:rsidRDefault="00471A3B">
      <w:pPr>
        <w:pStyle w:val="Heading30"/>
      </w:pPr>
      <w:r w:rsidRPr="001D55A6">
        <w:t>Demand for government services</w:t>
      </w:r>
    </w:p>
    <w:p w14:paraId="64C745B2" w14:textId="77777777" w:rsidR="00AB205D" w:rsidRPr="001D55A6" w:rsidRDefault="00471A3B">
      <w:r w:rsidRPr="001D55A6">
        <w:t>Another key uncertainty is whether growth in demand for government services will exceed or be lower than current projections. This can occur, for example, as a result of higher than forecast population growth or expenditure in response to unforeseen events such as natural disasters, including bushfires and floods.</w:t>
      </w:r>
    </w:p>
    <w:p w14:paraId="4BC9AF8E" w14:textId="77777777" w:rsidR="00AB205D" w:rsidRPr="001D55A6" w:rsidRDefault="00471A3B">
      <w:r w:rsidRPr="001D55A6">
        <w:t xml:space="preserve">The estimates incorporate contingency provisions to mitigate the impact of expenditure risks that may be realised during the next four years. The contingency provisions are sized to allow for the likely growth in Victoria’s population and the derived increased demand for </w:t>
      </w:r>
      <w:r>
        <w:t xml:space="preserve">core </w:t>
      </w:r>
      <w:r w:rsidRPr="001D55A6">
        <w:t>government services.</w:t>
      </w:r>
    </w:p>
    <w:p w14:paraId="1360B806" w14:textId="269744A1" w:rsidR="00AB205D" w:rsidRPr="001D55A6" w:rsidRDefault="00471A3B">
      <w:r w:rsidRPr="001D55A6">
        <w:t xml:space="preserve">Note </w:t>
      </w:r>
      <w:r>
        <w:t>4</w:t>
      </w:r>
      <w:r w:rsidRPr="001D55A6">
        <w:t xml:space="preserve">.3.5 and Note </w:t>
      </w:r>
      <w:r>
        <w:t>4</w:t>
      </w:r>
      <w:r w:rsidRPr="001D55A6">
        <w:t xml:space="preserve">.3.6 of Chapter </w:t>
      </w:r>
      <w:r>
        <w:t>4</w:t>
      </w:r>
      <w:r w:rsidRPr="001D55A6">
        <w:t xml:space="preserve"> </w:t>
      </w:r>
      <w:r w:rsidRPr="00DF3308">
        <w:rPr>
          <w:i/>
          <w:iCs/>
        </w:rPr>
        <w:t>Estimated financial statements and notes</w:t>
      </w:r>
      <w:r w:rsidRPr="001D55A6">
        <w:t xml:space="preserve"> discloses general government output and asset contingencies not allocated to departments.</w:t>
      </w:r>
    </w:p>
    <w:p w14:paraId="00808511" w14:textId="77777777" w:rsidR="00AB205D" w:rsidRPr="001D55A6" w:rsidRDefault="00471A3B">
      <w:pPr>
        <w:pStyle w:val="Heading30"/>
      </w:pPr>
      <w:r w:rsidRPr="001D55A6">
        <w:lastRenderedPageBreak/>
        <w:t>Capital program risks</w:t>
      </w:r>
    </w:p>
    <w:p w14:paraId="5D7D8A35" w14:textId="77777777" w:rsidR="00AB205D" w:rsidRDefault="00471A3B">
      <w:pPr>
        <w:keepNext/>
      </w:pPr>
      <w:r w:rsidRPr="001D55A6">
        <w:t xml:space="preserve">The Government continues to deliver capital investments aimed at supporting jobs and improving productivity and the quality of public service delivery. New investments focus on the Government’s election commitments alongside existing projects in delivery. </w:t>
      </w:r>
    </w:p>
    <w:p w14:paraId="342BF377" w14:textId="77777777" w:rsidR="00AB205D" w:rsidRPr="001D55A6" w:rsidRDefault="00471A3B">
      <w:pPr>
        <w:keepNext/>
        <w:ind w:right="340"/>
      </w:pPr>
      <w:r w:rsidRPr="00BC71E3">
        <w:t>The Commonwealth Government announced a review of its Infrastructure Investment Program. The Commonwealth Government is engaging the states and territories on the outcomes and next steps as a result of the review</w:t>
      </w:r>
      <w:r w:rsidRPr="0012770D">
        <w:t>.</w:t>
      </w:r>
      <w:r>
        <w:t xml:space="preserve"> </w:t>
      </w:r>
      <w:r w:rsidRPr="0012770D">
        <w:t xml:space="preserve">Movements since the </w:t>
      </w:r>
      <w:r w:rsidRPr="0012770D">
        <w:rPr>
          <w:i/>
          <w:iCs/>
        </w:rPr>
        <w:t>2023</w:t>
      </w:r>
      <w:r>
        <w:rPr>
          <w:i/>
          <w:iCs/>
        </w:rPr>
        <w:noBreakHyphen/>
      </w:r>
      <w:r w:rsidRPr="0012770D">
        <w:rPr>
          <w:i/>
          <w:iCs/>
        </w:rPr>
        <w:t>24 Budget</w:t>
      </w:r>
      <w:r w:rsidRPr="0012770D">
        <w:t xml:space="preserve"> reflect the state’s </w:t>
      </w:r>
      <w:r>
        <w:t>rephasing</w:t>
      </w:r>
      <w:r w:rsidRPr="0012770D">
        <w:t xml:space="preserve"> of infrastructure grant</w:t>
      </w:r>
      <w:r w:rsidRPr="00576AAC">
        <w:t xml:space="preserve"> revenue expected from the Commonwealth</w:t>
      </w:r>
      <w:r>
        <w:t>.</w:t>
      </w:r>
      <w:r w:rsidRPr="00576AAC">
        <w:t xml:space="preserve"> </w:t>
      </w:r>
      <w:r>
        <w:t xml:space="preserve">Final outcomes will be subject to confirmation from the Commonwealth following release of their </w:t>
      </w:r>
      <w:r>
        <w:rPr>
          <w:i/>
          <w:iCs/>
        </w:rPr>
        <w:t>2023</w:t>
      </w:r>
      <w:r>
        <w:rPr>
          <w:i/>
          <w:iCs/>
        </w:rPr>
        <w:noBreakHyphen/>
        <w:t>24 Mid</w:t>
      </w:r>
      <w:r>
        <w:rPr>
          <w:i/>
          <w:iCs/>
        </w:rPr>
        <w:noBreakHyphen/>
        <w:t>Year Economic and Fiscal Outlook</w:t>
      </w:r>
      <w:r w:rsidRPr="001D55A6">
        <w:t>.</w:t>
      </w:r>
    </w:p>
    <w:p w14:paraId="1527E3DD" w14:textId="77777777" w:rsidR="00AB205D" w:rsidRPr="001D55A6" w:rsidRDefault="00471A3B">
      <w:r w:rsidRPr="001D55A6">
        <w:t>Victoria’s Big Build coincides with a period of unprecedented growth in construction across Victoria and nationally. The high level of demand for skills and resources is placing significant pressure on the construction market and supply chain, resulting in capacity challenges and escalation in the price of materials and labour. The Government is implementing strategies to respond to market constraints. Initiatives such as free TAFE, Big Build apprenticeships and wider use of modern construction methods such as offsite and modular construction seek to improve productivity and address skills shortages.</w:t>
      </w:r>
    </w:p>
    <w:p w14:paraId="365D61A3" w14:textId="77777777" w:rsidR="00AB205D" w:rsidRPr="001D55A6" w:rsidRDefault="00471A3B" w:rsidP="005F294E">
      <w:pPr>
        <w:pStyle w:val="Heading20"/>
        <w:pageBreakBefore/>
      </w:pPr>
      <w:r w:rsidRPr="001D55A6">
        <w:lastRenderedPageBreak/>
        <w:t>Specific fiscal risks</w:t>
      </w:r>
    </w:p>
    <w:p w14:paraId="37778794" w14:textId="77777777" w:rsidR="00AB205D" w:rsidRPr="001D55A6" w:rsidRDefault="00471A3B" w:rsidP="005F294E">
      <w:pPr>
        <w:pStyle w:val="Heading30"/>
        <w:spacing w:before="200"/>
      </w:pPr>
      <w:r w:rsidRPr="001D55A6">
        <w:t>Commonwealth schools funding</w:t>
      </w:r>
    </w:p>
    <w:p w14:paraId="7F98F8AD" w14:textId="77777777" w:rsidR="00AB205D" w:rsidRPr="001D55A6" w:rsidRDefault="00471A3B" w:rsidP="005F294E">
      <w:pPr>
        <w:spacing w:before="80"/>
      </w:pPr>
      <w:r w:rsidRPr="001D55A6">
        <w:t xml:space="preserve">In June 2017, the Commonwealth Government passed amendments to the </w:t>
      </w:r>
      <w:r w:rsidRPr="006057B6">
        <w:rPr>
          <w:i/>
          <w:iCs/>
        </w:rPr>
        <w:t>Australian Education Act 2013</w:t>
      </w:r>
      <w:r w:rsidRPr="001D55A6">
        <w:t xml:space="preserve"> to implement a new national school funding model. In mid-2019, Victoria signed the National School Reform Agreement and an accompanying bilateral agreement, which will nominally expire on 31 December 2024 following a one-year extension. Estimates of funding required to acquit the Schooling Resource Standard target each year are subject to indexation and based on student number and profile projections.</w:t>
      </w:r>
    </w:p>
    <w:p w14:paraId="2A8902BB" w14:textId="77777777" w:rsidR="00AB205D" w:rsidRPr="001D55A6" w:rsidRDefault="00471A3B" w:rsidP="005F294E">
      <w:pPr>
        <w:spacing w:before="80"/>
      </w:pPr>
      <w:r w:rsidRPr="001D55A6">
        <w:t>Expenditure targets are finalised towards the end of, or after, each school year based on actual student data, plus national price indexes, creating a risk that the Victorian and Commonwealth targets differ from the funding allocated that year.</w:t>
      </w:r>
    </w:p>
    <w:p w14:paraId="653A7967" w14:textId="77777777" w:rsidR="00AB205D" w:rsidRPr="001D55A6" w:rsidRDefault="00471A3B" w:rsidP="005F294E">
      <w:pPr>
        <w:pStyle w:val="Heading30"/>
        <w:spacing w:before="200"/>
      </w:pPr>
      <w:r w:rsidRPr="001D55A6">
        <w:t>Commonwealth health funding</w:t>
      </w:r>
    </w:p>
    <w:p w14:paraId="0F504A79" w14:textId="77777777" w:rsidR="00AB205D" w:rsidRPr="001D55A6" w:rsidRDefault="00471A3B" w:rsidP="005F294E">
      <w:pPr>
        <w:spacing w:before="80"/>
      </w:pPr>
      <w:r w:rsidRPr="001D55A6">
        <w:t>Under the 2020-25 Addendum to the National Health Reform Agreement (NHRA), the</w:t>
      </w:r>
      <w:r>
        <w:t> </w:t>
      </w:r>
      <w:r w:rsidRPr="001D55A6">
        <w:t>Commonwealth co-funds public hospitals by contributing 45</w:t>
      </w:r>
      <w:r>
        <w:t> </w:t>
      </w:r>
      <w:r w:rsidRPr="001D55A6">
        <w:t>per</w:t>
      </w:r>
      <w:r>
        <w:t> </w:t>
      </w:r>
      <w:r w:rsidRPr="001D55A6">
        <w:t xml:space="preserve">cent of the cost of eligible activity, with the Commonwealth’s contribution </w:t>
      </w:r>
      <w:r>
        <w:t xml:space="preserve">currently </w:t>
      </w:r>
      <w:r w:rsidRPr="001D55A6">
        <w:t>capped at a growth rate of 6.5</w:t>
      </w:r>
      <w:r>
        <w:t> </w:t>
      </w:r>
      <w:r w:rsidRPr="001D55A6">
        <w:t>per</w:t>
      </w:r>
      <w:r>
        <w:t> </w:t>
      </w:r>
      <w:r w:rsidRPr="001D55A6">
        <w:t>cent compared with the previous year’s contribution.</w:t>
      </w:r>
    </w:p>
    <w:p w14:paraId="1645C692" w14:textId="77777777" w:rsidR="00AB205D" w:rsidRPr="001D55A6" w:rsidRDefault="00471A3B" w:rsidP="005F294E">
      <w:pPr>
        <w:spacing w:before="80"/>
      </w:pPr>
      <w:r w:rsidRPr="001D55A6">
        <w:t>Victoria’s public hospitals continue to experience significant cost pressures related to ongoing impacts of COVID</w:t>
      </w:r>
      <w:r w:rsidRPr="001D55A6">
        <w:noBreakHyphen/>
        <w:t>19, including the costs of furloughing staff, personal protective equipment, and broad infection control measures. Previously, additional costs related to COVID-19 were shared between the Commonwealth and states and territories under the National Partnership on COVID-19 Response.</w:t>
      </w:r>
    </w:p>
    <w:p w14:paraId="0DDF94E0" w14:textId="77777777" w:rsidR="00AB205D" w:rsidRPr="001D55A6" w:rsidRDefault="00471A3B" w:rsidP="005F294E">
      <w:pPr>
        <w:spacing w:before="80"/>
        <w:ind w:right="26"/>
      </w:pPr>
      <w:r w:rsidRPr="001D55A6">
        <w:t>With the ceasing of the National Partnership agreement on 31 December 2022, the Commonwealth’s contributions to COVID-19 cost pressures are limited to annual price increases as determined by the Independent Health and Aged Care Pricing Authority (IHACPA). IHACPA has made assumptions to determine the National Efficient Price (NEP). These assumptions may dampen the true costs of healthcare delivery, increasing the risk that Commonwealth funding will not be sufficient to meet the 45</w:t>
      </w:r>
      <w:r>
        <w:t> </w:t>
      </w:r>
      <w:r w:rsidRPr="001D55A6">
        <w:t>per</w:t>
      </w:r>
      <w:r>
        <w:t> </w:t>
      </w:r>
      <w:r w:rsidRPr="001D55A6">
        <w:t>cent share of COVID</w:t>
      </w:r>
      <w:r w:rsidRPr="001D55A6">
        <w:noBreakHyphen/>
        <w:t>19 costs. Further, should any large-scale public health response be required for a future COVID-19 outbreak, there is currently no funding mechanism for the Commonwealth to contribute to the response.</w:t>
      </w:r>
    </w:p>
    <w:p w14:paraId="555F13F0" w14:textId="77777777" w:rsidR="00AB205D" w:rsidRPr="001D55A6" w:rsidRDefault="00471A3B" w:rsidP="005F294E">
      <w:pPr>
        <w:pStyle w:val="Heading30"/>
        <w:spacing w:before="200"/>
      </w:pPr>
      <w:bookmarkStart w:id="25" w:name="_Hlk151135786"/>
      <w:r w:rsidRPr="001D55A6">
        <w:t>Victorian contribution to disability funding</w:t>
      </w:r>
    </w:p>
    <w:p w14:paraId="2C94B7BE" w14:textId="32B3DAAE" w:rsidR="00A93943" w:rsidRDefault="00471A3B" w:rsidP="005F294E">
      <w:pPr>
        <w:spacing w:before="80"/>
      </w:pPr>
      <w:r w:rsidRPr="001D55A6">
        <w:t xml:space="preserve">The bilateral agreement outlining Victoria’s contribution to the National Disability Insurance Scheme (NDIS) </w:t>
      </w:r>
      <w:r w:rsidRPr="00266165">
        <w:t>nominally expired in June 2023</w:t>
      </w:r>
      <w:r w:rsidRPr="001D55A6">
        <w:t>. Under the agreement, Victoria’s contributions have been indexed at 4</w:t>
      </w:r>
      <w:r w:rsidRPr="00266165">
        <w:t> </w:t>
      </w:r>
      <w:r w:rsidRPr="001D55A6">
        <w:t>per</w:t>
      </w:r>
      <w:r w:rsidRPr="00266165">
        <w:t> </w:t>
      </w:r>
      <w:r w:rsidRPr="001D55A6">
        <w:t xml:space="preserve">cent annually since the agreement commenced in July 2019, with a </w:t>
      </w:r>
      <w:r w:rsidRPr="00266165">
        <w:t>total contribution of $2.9 billion in 2022-23</w:t>
      </w:r>
      <w:r w:rsidRPr="001D55A6">
        <w:t xml:space="preserve">. </w:t>
      </w:r>
      <w:r w:rsidR="008D2C87">
        <w:t xml:space="preserve">Funding continues to be indexed at 4 per cent. </w:t>
      </w:r>
      <w:r w:rsidR="00A93943">
        <w:t xml:space="preserve"> </w:t>
      </w:r>
    </w:p>
    <w:p w14:paraId="64E572C3" w14:textId="4C7AC20E" w:rsidR="009D6EBE" w:rsidRDefault="00CA45C2" w:rsidP="005F294E">
      <w:pPr>
        <w:spacing w:before="80"/>
      </w:pPr>
      <w:r>
        <w:t>O</w:t>
      </w:r>
      <w:r w:rsidR="00D04B89">
        <w:t xml:space="preserve">n 6 December 2023, </w:t>
      </w:r>
      <w:r w:rsidR="00471A3B" w:rsidRPr="00327699">
        <w:t>National Cabinet</w:t>
      </w:r>
      <w:r w:rsidR="007C34AF">
        <w:t xml:space="preserve"> agreed to ad</w:t>
      </w:r>
      <w:r w:rsidR="007A2364">
        <w:t xml:space="preserve">just state and territory </w:t>
      </w:r>
      <w:r w:rsidR="009C6A5A">
        <w:t>NDIS</w:t>
      </w:r>
      <w:r w:rsidR="008D2C87">
        <w:t xml:space="preserve"> </w:t>
      </w:r>
      <w:r w:rsidR="009C6A5A">
        <w:t xml:space="preserve">escalation rates </w:t>
      </w:r>
      <w:r w:rsidR="008D2C87">
        <w:t xml:space="preserve">increasing </w:t>
      </w:r>
      <w:r w:rsidR="009C6A5A">
        <w:t>from 4</w:t>
      </w:r>
      <w:r w:rsidR="00B44A57">
        <w:t> </w:t>
      </w:r>
      <w:r w:rsidR="009C6A5A">
        <w:t>per cent</w:t>
      </w:r>
      <w:r w:rsidR="007E24B1">
        <w:t xml:space="preserve"> </w:t>
      </w:r>
      <w:r w:rsidR="008D2C87">
        <w:t xml:space="preserve">in line with scheme growth, </w:t>
      </w:r>
      <w:r w:rsidR="007E24B1">
        <w:t>capped</w:t>
      </w:r>
      <w:r w:rsidR="008D2C87">
        <w:t xml:space="preserve"> at 8</w:t>
      </w:r>
      <w:r w:rsidR="009757D1">
        <w:t> </w:t>
      </w:r>
      <w:r w:rsidR="008D2C87">
        <w:t>per</w:t>
      </w:r>
      <w:r w:rsidR="009757D1">
        <w:t> </w:t>
      </w:r>
      <w:r w:rsidR="008D2C87">
        <w:t xml:space="preserve">cent, </w:t>
      </w:r>
      <w:r w:rsidR="007E24B1">
        <w:t>commencing 1</w:t>
      </w:r>
      <w:r w:rsidR="009F6B7F">
        <w:t> </w:t>
      </w:r>
      <w:r w:rsidR="000B3D9B">
        <w:t>July</w:t>
      </w:r>
      <w:r w:rsidR="009F6B7F">
        <w:t> </w:t>
      </w:r>
      <w:r w:rsidR="000B3D9B">
        <w:t>2028</w:t>
      </w:r>
      <w:r w:rsidR="00471A3B" w:rsidRPr="00327699">
        <w:t>.</w:t>
      </w:r>
      <w:r w:rsidR="00471A3B" w:rsidRPr="001D55A6">
        <w:t xml:space="preserve"> </w:t>
      </w:r>
      <w:r w:rsidR="000B3D9B">
        <w:t>National Cabinet</w:t>
      </w:r>
      <w:r w:rsidR="00481C12">
        <w:t xml:space="preserve"> </w:t>
      </w:r>
      <w:r w:rsidR="00D03043">
        <w:t xml:space="preserve">also </w:t>
      </w:r>
      <w:r w:rsidR="00481C12">
        <w:t>agr</w:t>
      </w:r>
      <w:r w:rsidR="00D03043">
        <w:t>eed to design and fund</w:t>
      </w:r>
      <w:r w:rsidR="008D2C87">
        <w:t xml:space="preserve"> new</w:t>
      </w:r>
      <w:r w:rsidR="00E01706">
        <w:t xml:space="preserve"> </w:t>
      </w:r>
      <w:r w:rsidR="00D0567B">
        <w:t>f</w:t>
      </w:r>
      <w:r w:rsidR="00E01706">
        <w:t xml:space="preserve">oundational </w:t>
      </w:r>
      <w:r w:rsidR="00D0567B">
        <w:t>s</w:t>
      </w:r>
      <w:r w:rsidR="00E01706">
        <w:t>upports</w:t>
      </w:r>
      <w:r w:rsidR="00D03FE3">
        <w:t xml:space="preserve"> for </w:t>
      </w:r>
      <w:r w:rsidR="00457FE9">
        <w:t>people with a disability through funding agreements</w:t>
      </w:r>
      <w:r w:rsidR="00F44816">
        <w:t xml:space="preserve"> with additional costs</w:t>
      </w:r>
      <w:r w:rsidR="007A0299">
        <w:t xml:space="preserve"> yet to be determined</w:t>
      </w:r>
      <w:r w:rsidR="008D2C87">
        <w:t xml:space="preserve"> </w:t>
      </w:r>
      <w:r w:rsidR="002B12E6">
        <w:t>and</w:t>
      </w:r>
      <w:r w:rsidR="008D2C87">
        <w:t xml:space="preserve"> shared 50-50</w:t>
      </w:r>
      <w:r w:rsidR="00FE0847">
        <w:t>.</w:t>
      </w:r>
      <w:r w:rsidR="00D03043">
        <w:t xml:space="preserve"> </w:t>
      </w:r>
    </w:p>
    <w:p w14:paraId="2456A9DC" w14:textId="0363031F" w:rsidR="00AB205D" w:rsidRPr="001D55A6" w:rsidRDefault="00471A3B" w:rsidP="005F294E">
      <w:pPr>
        <w:spacing w:before="80"/>
      </w:pPr>
      <w:r w:rsidRPr="001D55A6">
        <w:lastRenderedPageBreak/>
        <w:t>Further, the Commonwealth has indicated that it may not continue reimbursing states and territories from 2024-25 for their NDIS costs under the National Partnership on DisabilityCare Australia Fund (DCAF) Payments.</w:t>
      </w:r>
      <w:r w:rsidR="00206DAE" w:rsidRPr="00206DAE">
        <w:t xml:space="preserve"> </w:t>
      </w:r>
      <w:r w:rsidR="00206DAE" w:rsidRPr="001D55A6">
        <w:t xml:space="preserve">Victoria’s payment from the Commonwealth will be </w:t>
      </w:r>
      <w:r w:rsidR="00206DAE" w:rsidRPr="00266165">
        <w:t>$280 </w:t>
      </w:r>
      <w:r w:rsidR="00206DAE" w:rsidRPr="001D55A6">
        <w:t>million in 2023</w:t>
      </w:r>
      <w:r w:rsidR="00206DAE" w:rsidRPr="00266165">
        <w:noBreakHyphen/>
      </w:r>
      <w:r w:rsidR="00206DAE" w:rsidRPr="001D55A6">
        <w:t>24. Both the bilateral agreement and continuation of the DCAF payments are contingent on the outcomes of the NDIS Review</w:t>
      </w:r>
      <w:r w:rsidR="00206DAE">
        <w:t>.</w:t>
      </w:r>
    </w:p>
    <w:bookmarkEnd w:id="25"/>
    <w:p w14:paraId="2BBF15DE" w14:textId="77777777" w:rsidR="00AB205D" w:rsidRPr="001D55A6" w:rsidRDefault="00471A3B" w:rsidP="005F294E">
      <w:pPr>
        <w:pStyle w:val="Heading30"/>
        <w:spacing w:before="200"/>
      </w:pPr>
      <w:r w:rsidRPr="001D55A6">
        <w:t>Victoria’s GST revenue</w:t>
      </w:r>
    </w:p>
    <w:p w14:paraId="5CB6C149" w14:textId="77777777" w:rsidR="00AB205D" w:rsidRPr="001D55A6" w:rsidRDefault="00471A3B">
      <w:r w:rsidRPr="001D55A6">
        <w:t>Victoria’s GST revenue is broadly determined by three key factors:</w:t>
      </w:r>
    </w:p>
    <w:p w14:paraId="6A21ECFA" w14:textId="77777777" w:rsidR="00AB205D" w:rsidRPr="00AC0EFF" w:rsidRDefault="00471A3B" w:rsidP="00570639">
      <w:pPr>
        <w:pStyle w:val="ListBullet"/>
        <w:numPr>
          <w:ilvl w:val="0"/>
          <w:numId w:val="10"/>
        </w:numPr>
      </w:pPr>
      <w:r w:rsidRPr="00AC0EFF">
        <w:t>the amount of GST collected by the Commonwealth (the national GST pool)</w:t>
      </w:r>
    </w:p>
    <w:p w14:paraId="328D1C65" w14:textId="77777777" w:rsidR="00AB205D" w:rsidRPr="00AC0EFF" w:rsidRDefault="00471A3B" w:rsidP="00570639">
      <w:pPr>
        <w:pStyle w:val="ListBullet"/>
        <w:numPr>
          <w:ilvl w:val="0"/>
          <w:numId w:val="10"/>
        </w:numPr>
      </w:pPr>
      <w:r w:rsidRPr="00AC0EFF">
        <w:t>Victoria’s GST relativity</w:t>
      </w:r>
    </w:p>
    <w:p w14:paraId="6A8725E8" w14:textId="77777777" w:rsidR="00AB205D" w:rsidRPr="00AC0EFF" w:rsidRDefault="00471A3B" w:rsidP="00570639">
      <w:pPr>
        <w:pStyle w:val="ListBullet"/>
        <w:numPr>
          <w:ilvl w:val="0"/>
          <w:numId w:val="10"/>
        </w:numPr>
      </w:pPr>
      <w:r w:rsidRPr="00AC0EFF">
        <w:t>Victoria’s share of the national population.</w:t>
      </w:r>
    </w:p>
    <w:p w14:paraId="5DC61F9A" w14:textId="4A3AF78D" w:rsidR="00AB205D" w:rsidRPr="001D55A6" w:rsidRDefault="00471A3B">
      <w:r w:rsidRPr="001D55A6">
        <w:t xml:space="preserve">The outlook for the national GST pool has improved moderately due to resilience in nominal consumption activity, despite interest rate rises. </w:t>
      </w:r>
      <w:r>
        <w:t>Nominal c</w:t>
      </w:r>
      <w:r w:rsidRPr="001D55A6">
        <w:t>onsumption has been supported by strong labour market outcomes, an elevated population and price growth. Key risks to the profile include uncertainty about the extent to which these factors can continue to bolster nominal consumption against the impact of higher interest rates. Further uncertainty in the national GST pool forecast is driven by the evolution of post</w:t>
      </w:r>
      <w:r w:rsidR="00005615">
        <w:noBreakHyphen/>
      </w:r>
      <w:r w:rsidRPr="001D55A6">
        <w:t xml:space="preserve">pandemic spending patterns, which also influence the proportion of consumption subject to GST. </w:t>
      </w:r>
    </w:p>
    <w:p w14:paraId="14B74D7C" w14:textId="77777777" w:rsidR="00AB205D" w:rsidRPr="001D55A6" w:rsidRDefault="00471A3B">
      <w:r w:rsidRPr="001D55A6">
        <w:t>The national GST pool is shared between states and territories based on relativities determined annually by the Commonwealth Treasurer, which are informed by the recommendations of the Commonwealth Grants Commission. These relativities are sensitive to a broad range of factors, including demographics, infrastructure needs, developments in property markets and global commodity prices (particularly for iron ore, thermal coal and coking coal). Uncertainty in these factors remains heightened as state economies continue to recover from the pandemic, posing a risk to Victoria’s GST revenue.</w:t>
      </w:r>
    </w:p>
    <w:p w14:paraId="57244F29" w14:textId="77777777" w:rsidR="00AB205D" w:rsidRDefault="00471A3B">
      <w:pPr>
        <w:rPr>
          <w:rFonts w:asciiTheme="majorHAnsi" w:eastAsiaTheme="majorEastAsia" w:hAnsiTheme="majorHAnsi" w:cstheme="majorBidi"/>
          <w:i/>
          <w:iCs/>
          <w:szCs w:val="24"/>
        </w:rPr>
      </w:pPr>
      <w:r w:rsidRPr="001D55A6">
        <w:t>There is further uncertainty in population share as net international migration</w:t>
      </w:r>
      <w:r w:rsidRPr="000D238F">
        <w:t xml:space="preserve"> </w:t>
      </w:r>
      <w:r w:rsidRPr="001D55A6">
        <w:t>into Australia is at elevated levels. Victoria has traditionally received a greater share of international migration than its population share and this is likely to increase Victoria’s population growth compared with other states, thus increasing Victoria’s share of GST.</w:t>
      </w:r>
    </w:p>
    <w:p w14:paraId="26FDABD1" w14:textId="77777777" w:rsidR="00AB205D" w:rsidRPr="001D55A6" w:rsidRDefault="00471A3B">
      <w:pPr>
        <w:pStyle w:val="Heading4"/>
      </w:pPr>
      <w:r w:rsidRPr="001D55A6">
        <w:t>Commonwealth no-worse-off guarantee for GST entitlement</w:t>
      </w:r>
    </w:p>
    <w:p w14:paraId="6CB5352F" w14:textId="77777777" w:rsidR="00AB205D" w:rsidRDefault="00471A3B">
      <w:r w:rsidRPr="001D55A6">
        <w:t xml:space="preserve">In 2018, the Commonwealth </w:t>
      </w:r>
      <w:r>
        <w:t xml:space="preserve">Government unilaterally </w:t>
      </w:r>
      <w:r w:rsidRPr="001D55A6">
        <w:t>changed the GST distribution system</w:t>
      </w:r>
      <w:r>
        <w:t xml:space="preserve"> by legislating to end full equalisation of GST entitlements for states and territories</w:t>
      </w:r>
      <w:r w:rsidRPr="001D55A6">
        <w:t xml:space="preserve">. </w:t>
      </w:r>
      <w:r>
        <w:t>The Commonwealth legislation provided that</w:t>
      </w:r>
      <w:r w:rsidRPr="001D55A6">
        <w:t xml:space="preserve"> each state and territory </w:t>
      </w:r>
      <w:r>
        <w:t xml:space="preserve">is </w:t>
      </w:r>
      <w:r w:rsidRPr="001D55A6">
        <w:t xml:space="preserve">entitled to receive additional Commonwealth financial assistance to ensure it is no worse off compared </w:t>
      </w:r>
      <w:r>
        <w:t>with</w:t>
      </w:r>
      <w:r w:rsidRPr="001D55A6">
        <w:t xml:space="preserve"> its GST entitlement </w:t>
      </w:r>
      <w:r>
        <w:t>had full equalisation been maintained</w:t>
      </w:r>
      <w:r w:rsidRPr="001D55A6">
        <w:t>. Th</w:t>
      </w:r>
      <w:r>
        <w:t>is</w:t>
      </w:r>
      <w:r w:rsidRPr="001D55A6">
        <w:t xml:space="preserve"> no-worse-off guarantee is only legislated until the end of 2026-27, posing a fiscal risk to states and territories. </w:t>
      </w:r>
      <w:r>
        <w:t>On 6 December 2023, National Cabinet agreed to extend the no</w:t>
      </w:r>
      <w:r>
        <w:noBreakHyphen/>
        <w:t>worse</w:t>
      </w:r>
      <w:r>
        <w:noBreakHyphen/>
        <w:t>off guarantee for three years until 2029-30.</w:t>
      </w:r>
    </w:p>
    <w:p w14:paraId="7EC6381E" w14:textId="77777777" w:rsidR="00AB205D" w:rsidRDefault="00471A3B">
      <w:r w:rsidRPr="00D2028E">
        <w:lastRenderedPageBreak/>
        <w:t>In its 2023</w:t>
      </w:r>
      <w:r>
        <w:noBreakHyphen/>
      </w:r>
      <w:r w:rsidRPr="00D2028E">
        <w:t>34 Budget,</w:t>
      </w:r>
      <w:r>
        <w:t xml:space="preserve"> </w:t>
      </w:r>
      <w:r w:rsidRPr="00D2028E">
        <w:t>the Commonwealth estimated that Victoria would be $1.4 billion worse off in 2023-24 without the guarantee</w:t>
      </w:r>
      <w:r>
        <w:t>. Victoria is, like most states, likely to be worse off unless the Commonwealth Government makes the no-worse-off guarantee permanent.</w:t>
      </w:r>
    </w:p>
    <w:p w14:paraId="1563D468" w14:textId="77777777" w:rsidR="00AB205D" w:rsidRPr="001D55A6" w:rsidRDefault="00471A3B">
      <w:r w:rsidRPr="001D55A6">
        <w:t>Victoria continues to work with other state governments and the Commonwealth to ensure Victoria receives its fair share of GST.</w:t>
      </w:r>
    </w:p>
    <w:p w14:paraId="31D856D9" w14:textId="77777777" w:rsidR="00AB205D" w:rsidRPr="00D93BD5" w:rsidRDefault="00AB205D"/>
    <w:p w14:paraId="53889E18" w14:textId="77777777" w:rsidR="00AB205D" w:rsidRDefault="00471A3B">
      <w:pPr>
        <w:pStyle w:val="Heading10"/>
        <w:pageBreakBefore/>
      </w:pPr>
      <w:bookmarkStart w:id="26" w:name="_Toc152933028"/>
      <w:r>
        <w:lastRenderedPageBreak/>
        <w:t>Non</w:t>
      </w:r>
      <w:r>
        <w:noBreakHyphen/>
        <w:t>financial public sector</w:t>
      </w:r>
      <w:bookmarkEnd w:id="26"/>
    </w:p>
    <w:p w14:paraId="3B25E1B3" w14:textId="77777777" w:rsidR="00AB205D" w:rsidRDefault="00471A3B">
      <w:r>
        <w:t xml:space="preserve">The non-financial public sector (NFPS) consolidates the public non-financial corporation (PNFC) and general government sectors. The PNFC sector is comprised of entities providing services that are primarily funded from user charges and fees. The largest PNFCs provide water, housing, and transport services. </w:t>
      </w:r>
    </w:p>
    <w:p w14:paraId="375067D8" w14:textId="77777777" w:rsidR="00AB205D" w:rsidRDefault="00471A3B">
      <w:r>
        <w:t>Please note that the sum of the general government sector and PNFC sector results may not equal the results shown for the NFPS due to inter-sector transfers.</w:t>
      </w:r>
    </w:p>
    <w:p w14:paraId="22AC9ED0" w14:textId="77777777" w:rsidR="00AB205D" w:rsidRDefault="00471A3B">
      <w:pPr>
        <w:pStyle w:val="Heading20"/>
      </w:pPr>
      <w:r>
        <w:t>Summary operating statement</w:t>
      </w:r>
    </w:p>
    <w:p w14:paraId="53556721" w14:textId="77777777" w:rsidR="00AB205D" w:rsidRDefault="00471A3B">
      <w:pPr>
        <w:pStyle w:val="TableHeading"/>
      </w:pPr>
      <w:r>
        <w:t>Table 3.6:</w:t>
      </w:r>
      <w:r>
        <w:tab/>
        <w:t>Summary operating statement for the non</w:t>
      </w:r>
      <w:r>
        <w:noBreakHyphen/>
        <w:t xml:space="preserve">financial public sector </w:t>
      </w:r>
      <w:r w:rsidRPr="005E6479">
        <w:rPr>
          <w:vertAlign w:val="superscript"/>
        </w:rPr>
        <w:t>(a)</w:t>
      </w:r>
      <w:r>
        <w:tab/>
        <w:t>($ million)</w:t>
      </w:r>
    </w:p>
    <w:tbl>
      <w:tblPr>
        <w:tblStyle w:val="DTFTableNumeric"/>
        <w:tblW w:w="7710" w:type="dxa"/>
        <w:tblLayout w:type="fixed"/>
        <w:tblLook w:val="06A0" w:firstRow="1" w:lastRow="0" w:firstColumn="1" w:lastColumn="0" w:noHBand="1" w:noVBand="1"/>
        <w:tblDescription w:val="Type:DtfTable|Workbook:Budget\BudgetUpdate\Chapter3\Link_Chapter3_NFPS_WoG.xlsx|Table:NFPS_Op_St"/>
      </w:tblPr>
      <w:tblGrid>
        <w:gridCol w:w="4534"/>
        <w:gridCol w:w="794"/>
        <w:gridCol w:w="794"/>
        <w:gridCol w:w="794"/>
        <w:gridCol w:w="794"/>
      </w:tblGrid>
      <w:tr w:rsidR="009C6724" w14:paraId="1D98D665"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4" w:type="dxa"/>
          </w:tcPr>
          <w:p w14:paraId="0E624777" w14:textId="77777777" w:rsidR="00AB205D" w:rsidRDefault="00AB205D">
            <w:pPr>
              <w:keepNext/>
            </w:pPr>
          </w:p>
        </w:tc>
        <w:tc>
          <w:tcPr>
            <w:tcW w:w="794" w:type="dxa"/>
          </w:tcPr>
          <w:p w14:paraId="6B5C57FA"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50A7F10E"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55D77AD4"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p>
        </w:tc>
        <w:tc>
          <w:tcPr>
            <w:tcW w:w="794" w:type="dxa"/>
          </w:tcPr>
          <w:p w14:paraId="46900190"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p>
        </w:tc>
      </w:tr>
      <w:tr w:rsidR="009C6724" w14:paraId="723D0617"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4" w:type="dxa"/>
          </w:tcPr>
          <w:p w14:paraId="0B659572" w14:textId="77777777" w:rsidR="00AB205D" w:rsidRDefault="00AB205D">
            <w:pPr>
              <w:keepNext/>
            </w:pPr>
          </w:p>
        </w:tc>
        <w:tc>
          <w:tcPr>
            <w:tcW w:w="794" w:type="dxa"/>
          </w:tcPr>
          <w:p w14:paraId="5322E518"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revised</w:t>
            </w:r>
          </w:p>
        </w:tc>
        <w:tc>
          <w:tcPr>
            <w:tcW w:w="794" w:type="dxa"/>
          </w:tcPr>
          <w:p w14:paraId="7CBBA9C6"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466D0BE3"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606DE026"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estimate</w:t>
            </w:r>
          </w:p>
        </w:tc>
      </w:tr>
      <w:tr w:rsidR="009C6724" w14:paraId="7A32E93F"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2A1F9CF6" w14:textId="77777777" w:rsidR="00AB205D" w:rsidRDefault="00471A3B">
            <w:r>
              <w:rPr>
                <w:b/>
              </w:rPr>
              <w:t>Revenue and income from transactions</w:t>
            </w:r>
          </w:p>
        </w:tc>
        <w:tc>
          <w:tcPr>
            <w:tcW w:w="794" w:type="dxa"/>
          </w:tcPr>
          <w:p w14:paraId="19D565E8"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2AB33546"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80F768D"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4443DAEF"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5D495D7A"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0E2B21B5" w14:textId="77777777" w:rsidR="00AB205D" w:rsidRDefault="00471A3B">
            <w:r>
              <w:t>Taxation</w:t>
            </w:r>
          </w:p>
        </w:tc>
        <w:tc>
          <w:tcPr>
            <w:tcW w:w="794" w:type="dxa"/>
          </w:tcPr>
          <w:p w14:paraId="27B8CE22"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B679A8">
              <w:t>35 287</w:t>
            </w:r>
          </w:p>
        </w:tc>
        <w:tc>
          <w:tcPr>
            <w:tcW w:w="794" w:type="dxa"/>
          </w:tcPr>
          <w:p w14:paraId="77C8BCB9"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B679A8">
              <w:t>37 529</w:t>
            </w:r>
          </w:p>
        </w:tc>
        <w:tc>
          <w:tcPr>
            <w:tcW w:w="794" w:type="dxa"/>
          </w:tcPr>
          <w:p w14:paraId="6AFD0542"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B679A8">
              <w:t>39 311</w:t>
            </w:r>
          </w:p>
        </w:tc>
        <w:tc>
          <w:tcPr>
            <w:tcW w:w="794" w:type="dxa"/>
          </w:tcPr>
          <w:p w14:paraId="07BF9F27"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B679A8">
              <w:t>41 219</w:t>
            </w:r>
          </w:p>
        </w:tc>
      </w:tr>
      <w:tr w:rsidR="009C6724" w14:paraId="61A764F1"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62940801" w14:textId="77777777" w:rsidR="00AB205D" w:rsidRDefault="00471A3B">
            <w:r>
              <w:t xml:space="preserve">Dividends, income tax equivalent and interest </w:t>
            </w:r>
            <w:r>
              <w:rPr>
                <w:vertAlign w:val="superscript"/>
              </w:rPr>
              <w:t>(b)</w:t>
            </w:r>
          </w:p>
        </w:tc>
        <w:tc>
          <w:tcPr>
            <w:tcW w:w="794" w:type="dxa"/>
          </w:tcPr>
          <w:p w14:paraId="640403C6"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B679A8">
              <w:t>3 164</w:t>
            </w:r>
          </w:p>
        </w:tc>
        <w:tc>
          <w:tcPr>
            <w:tcW w:w="794" w:type="dxa"/>
          </w:tcPr>
          <w:p w14:paraId="0911B4F9"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B679A8">
              <w:t>1 661</w:t>
            </w:r>
          </w:p>
        </w:tc>
        <w:tc>
          <w:tcPr>
            <w:tcW w:w="794" w:type="dxa"/>
          </w:tcPr>
          <w:p w14:paraId="07587978"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B679A8">
              <w:t>1 434</w:t>
            </w:r>
          </w:p>
        </w:tc>
        <w:tc>
          <w:tcPr>
            <w:tcW w:w="794" w:type="dxa"/>
          </w:tcPr>
          <w:p w14:paraId="6838AF3B"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B679A8">
              <w:t>1 498</w:t>
            </w:r>
          </w:p>
        </w:tc>
      </w:tr>
      <w:tr w:rsidR="009C6724" w14:paraId="7FA326A0"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6DD84AB7" w14:textId="77777777" w:rsidR="00AB205D" w:rsidRDefault="00471A3B">
            <w:r>
              <w:t>Sales of goods and services</w:t>
            </w:r>
          </w:p>
        </w:tc>
        <w:tc>
          <w:tcPr>
            <w:tcW w:w="794" w:type="dxa"/>
          </w:tcPr>
          <w:p w14:paraId="1DB72E2B"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B679A8">
              <w:t>13 500</w:t>
            </w:r>
          </w:p>
        </w:tc>
        <w:tc>
          <w:tcPr>
            <w:tcW w:w="794" w:type="dxa"/>
          </w:tcPr>
          <w:p w14:paraId="1772D974"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B679A8">
              <w:t>14 215</w:t>
            </w:r>
          </w:p>
        </w:tc>
        <w:tc>
          <w:tcPr>
            <w:tcW w:w="794" w:type="dxa"/>
          </w:tcPr>
          <w:p w14:paraId="2C0CE29A"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B679A8">
              <w:t>14 331</w:t>
            </w:r>
          </w:p>
        </w:tc>
        <w:tc>
          <w:tcPr>
            <w:tcW w:w="794" w:type="dxa"/>
          </w:tcPr>
          <w:p w14:paraId="055DEEE9"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B679A8">
              <w:t>15 331</w:t>
            </w:r>
          </w:p>
        </w:tc>
      </w:tr>
      <w:tr w:rsidR="009C6724" w14:paraId="12DD4CAB"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310DBAFE" w14:textId="77777777" w:rsidR="00AB205D" w:rsidRDefault="00471A3B">
            <w:r>
              <w:t>Grants</w:t>
            </w:r>
          </w:p>
        </w:tc>
        <w:tc>
          <w:tcPr>
            <w:tcW w:w="794" w:type="dxa"/>
          </w:tcPr>
          <w:p w14:paraId="76CB6748"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B679A8">
              <w:t>40 600</w:t>
            </w:r>
          </w:p>
        </w:tc>
        <w:tc>
          <w:tcPr>
            <w:tcW w:w="794" w:type="dxa"/>
          </w:tcPr>
          <w:p w14:paraId="74461A28"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B679A8">
              <w:t>43 282</w:t>
            </w:r>
          </w:p>
        </w:tc>
        <w:tc>
          <w:tcPr>
            <w:tcW w:w="794" w:type="dxa"/>
          </w:tcPr>
          <w:p w14:paraId="40666B0A"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B679A8">
              <w:t>46 261</w:t>
            </w:r>
          </w:p>
        </w:tc>
        <w:tc>
          <w:tcPr>
            <w:tcW w:w="794" w:type="dxa"/>
          </w:tcPr>
          <w:p w14:paraId="342537E0"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B679A8">
              <w:t>48 093</w:t>
            </w:r>
          </w:p>
        </w:tc>
      </w:tr>
      <w:tr w:rsidR="009C6724" w14:paraId="626DBEF2"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bottom w:val="single" w:sz="6" w:space="0" w:color="auto"/>
            </w:tcBorders>
          </w:tcPr>
          <w:p w14:paraId="4ED2E9C0" w14:textId="77777777" w:rsidR="00AB205D" w:rsidRDefault="00471A3B">
            <w:r>
              <w:t>Other revenue and income</w:t>
            </w:r>
          </w:p>
        </w:tc>
        <w:tc>
          <w:tcPr>
            <w:tcW w:w="794" w:type="dxa"/>
            <w:tcBorders>
              <w:bottom w:val="single" w:sz="6" w:space="0" w:color="auto"/>
            </w:tcBorders>
          </w:tcPr>
          <w:p w14:paraId="0C5E5C58"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B679A8">
              <w:t>4 354</w:t>
            </w:r>
          </w:p>
        </w:tc>
        <w:tc>
          <w:tcPr>
            <w:tcW w:w="794" w:type="dxa"/>
            <w:tcBorders>
              <w:bottom w:val="single" w:sz="6" w:space="0" w:color="auto"/>
            </w:tcBorders>
          </w:tcPr>
          <w:p w14:paraId="1B095D89"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B679A8">
              <w:t>3 993</w:t>
            </w:r>
          </w:p>
        </w:tc>
        <w:tc>
          <w:tcPr>
            <w:tcW w:w="794" w:type="dxa"/>
            <w:tcBorders>
              <w:bottom w:val="single" w:sz="6" w:space="0" w:color="auto"/>
            </w:tcBorders>
          </w:tcPr>
          <w:p w14:paraId="515601C6"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B679A8">
              <w:t>4 147</w:t>
            </w:r>
          </w:p>
        </w:tc>
        <w:tc>
          <w:tcPr>
            <w:tcW w:w="794" w:type="dxa"/>
            <w:tcBorders>
              <w:bottom w:val="single" w:sz="6" w:space="0" w:color="auto"/>
            </w:tcBorders>
          </w:tcPr>
          <w:p w14:paraId="6B8EDAD3"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B679A8">
              <w:t>4 713</w:t>
            </w:r>
          </w:p>
        </w:tc>
      </w:tr>
      <w:tr w:rsidR="009C6724" w14:paraId="1FA5F8B8"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tcBorders>
          </w:tcPr>
          <w:p w14:paraId="27433224" w14:textId="77777777" w:rsidR="00AB205D" w:rsidRDefault="00471A3B">
            <w:r>
              <w:rPr>
                <w:b/>
              </w:rPr>
              <w:t>Total revenue and income from transactions</w:t>
            </w:r>
          </w:p>
        </w:tc>
        <w:tc>
          <w:tcPr>
            <w:tcW w:w="794" w:type="dxa"/>
            <w:tcBorders>
              <w:top w:val="single" w:sz="6" w:space="0" w:color="auto"/>
            </w:tcBorders>
          </w:tcPr>
          <w:p w14:paraId="57E75BF4"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0119D5">
              <w:rPr>
                <w:b/>
                <w:bCs/>
              </w:rPr>
              <w:t>96 904</w:t>
            </w:r>
          </w:p>
        </w:tc>
        <w:tc>
          <w:tcPr>
            <w:tcW w:w="794" w:type="dxa"/>
            <w:tcBorders>
              <w:top w:val="single" w:sz="6" w:space="0" w:color="auto"/>
            </w:tcBorders>
          </w:tcPr>
          <w:p w14:paraId="61BF876A"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0119D5">
              <w:rPr>
                <w:b/>
                <w:bCs/>
              </w:rPr>
              <w:t>100 680</w:t>
            </w:r>
          </w:p>
        </w:tc>
        <w:tc>
          <w:tcPr>
            <w:tcW w:w="794" w:type="dxa"/>
            <w:tcBorders>
              <w:top w:val="single" w:sz="6" w:space="0" w:color="auto"/>
            </w:tcBorders>
          </w:tcPr>
          <w:p w14:paraId="0BBADD4E"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0119D5">
              <w:rPr>
                <w:b/>
                <w:bCs/>
              </w:rPr>
              <w:t>105 484</w:t>
            </w:r>
          </w:p>
        </w:tc>
        <w:tc>
          <w:tcPr>
            <w:tcW w:w="794" w:type="dxa"/>
            <w:tcBorders>
              <w:top w:val="single" w:sz="6" w:space="0" w:color="auto"/>
            </w:tcBorders>
          </w:tcPr>
          <w:p w14:paraId="1AC8AD1D"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0119D5">
              <w:rPr>
                <w:b/>
                <w:bCs/>
              </w:rPr>
              <w:t>110 855</w:t>
            </w:r>
          </w:p>
        </w:tc>
      </w:tr>
      <w:tr w:rsidR="009C6724" w14:paraId="5DF93E3C"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3D4373C0" w14:textId="77777777" w:rsidR="00AB205D" w:rsidRDefault="00471A3B">
            <w:r>
              <w:rPr>
                <w:i/>
              </w:rPr>
              <w:t xml:space="preserve">% change </w:t>
            </w:r>
            <w:r>
              <w:rPr>
                <w:i/>
                <w:vertAlign w:val="superscript"/>
              </w:rPr>
              <w:t>(c)</w:t>
            </w:r>
          </w:p>
        </w:tc>
        <w:tc>
          <w:tcPr>
            <w:tcW w:w="794" w:type="dxa"/>
          </w:tcPr>
          <w:p w14:paraId="5FBC5C79"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3E0B4E">
              <w:rPr>
                <w:i/>
                <w:iCs/>
              </w:rPr>
              <w:t>6.2</w:t>
            </w:r>
          </w:p>
        </w:tc>
        <w:tc>
          <w:tcPr>
            <w:tcW w:w="794" w:type="dxa"/>
          </w:tcPr>
          <w:p w14:paraId="583471FC"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0119D5">
              <w:rPr>
                <w:i/>
                <w:iCs/>
              </w:rPr>
              <w:t>3.9</w:t>
            </w:r>
          </w:p>
        </w:tc>
        <w:tc>
          <w:tcPr>
            <w:tcW w:w="794" w:type="dxa"/>
          </w:tcPr>
          <w:p w14:paraId="6F05BD31"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0119D5">
              <w:rPr>
                <w:i/>
                <w:iCs/>
              </w:rPr>
              <w:t>4.8</w:t>
            </w:r>
          </w:p>
        </w:tc>
        <w:tc>
          <w:tcPr>
            <w:tcW w:w="794" w:type="dxa"/>
          </w:tcPr>
          <w:p w14:paraId="4A37E92D"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0119D5">
              <w:rPr>
                <w:i/>
                <w:iCs/>
              </w:rPr>
              <w:t>5.1</w:t>
            </w:r>
          </w:p>
        </w:tc>
      </w:tr>
      <w:tr w:rsidR="009C6724" w14:paraId="1FF38419"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3DD56A4D" w14:textId="77777777" w:rsidR="00AB205D" w:rsidRDefault="00471A3B">
            <w:r>
              <w:rPr>
                <w:b/>
              </w:rPr>
              <w:t>Expenses from transactions</w:t>
            </w:r>
          </w:p>
        </w:tc>
        <w:tc>
          <w:tcPr>
            <w:tcW w:w="794" w:type="dxa"/>
          </w:tcPr>
          <w:p w14:paraId="3F5BD208"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3E0B4E">
              <w:t xml:space="preserve"> </w:t>
            </w:r>
          </w:p>
        </w:tc>
        <w:tc>
          <w:tcPr>
            <w:tcW w:w="794" w:type="dxa"/>
          </w:tcPr>
          <w:p w14:paraId="40955060"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B679A8">
              <w:t xml:space="preserve"> </w:t>
            </w:r>
          </w:p>
        </w:tc>
        <w:tc>
          <w:tcPr>
            <w:tcW w:w="794" w:type="dxa"/>
          </w:tcPr>
          <w:p w14:paraId="3B395A0D"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B679A8">
              <w:t xml:space="preserve"> </w:t>
            </w:r>
          </w:p>
        </w:tc>
        <w:tc>
          <w:tcPr>
            <w:tcW w:w="794" w:type="dxa"/>
          </w:tcPr>
          <w:p w14:paraId="22408322"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B679A8">
              <w:t xml:space="preserve"> </w:t>
            </w:r>
          </w:p>
        </w:tc>
      </w:tr>
      <w:tr w:rsidR="009C6724" w14:paraId="4B053387"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5C1F7744" w14:textId="77777777" w:rsidR="00AB205D" w:rsidRDefault="00471A3B">
            <w:r>
              <w:t>Employee expenses</w:t>
            </w:r>
          </w:p>
        </w:tc>
        <w:tc>
          <w:tcPr>
            <w:tcW w:w="794" w:type="dxa"/>
          </w:tcPr>
          <w:p w14:paraId="3E2F50C8"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3E0B4E">
              <w:t>36 611</w:t>
            </w:r>
          </w:p>
        </w:tc>
        <w:tc>
          <w:tcPr>
            <w:tcW w:w="794" w:type="dxa"/>
          </w:tcPr>
          <w:p w14:paraId="383AE3C5"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B679A8">
              <w:t>37 701</w:t>
            </w:r>
          </w:p>
        </w:tc>
        <w:tc>
          <w:tcPr>
            <w:tcW w:w="794" w:type="dxa"/>
          </w:tcPr>
          <w:p w14:paraId="4640D19C"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B679A8">
              <w:t>38 739</w:t>
            </w:r>
          </w:p>
        </w:tc>
        <w:tc>
          <w:tcPr>
            <w:tcW w:w="794" w:type="dxa"/>
          </w:tcPr>
          <w:p w14:paraId="3FB62DBB"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B679A8">
              <w:t>40 409</w:t>
            </w:r>
          </w:p>
        </w:tc>
      </w:tr>
      <w:tr w:rsidR="009C6724" w14:paraId="5CA7E8C5"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21969EA8" w14:textId="77777777" w:rsidR="00AB205D" w:rsidRDefault="00471A3B">
            <w:r>
              <w:t xml:space="preserve">Superannuation </w:t>
            </w:r>
            <w:r>
              <w:rPr>
                <w:vertAlign w:val="superscript"/>
              </w:rPr>
              <w:t>(d)</w:t>
            </w:r>
          </w:p>
        </w:tc>
        <w:tc>
          <w:tcPr>
            <w:tcW w:w="794" w:type="dxa"/>
          </w:tcPr>
          <w:p w14:paraId="2A5159FD"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3E0B4E">
              <w:t>4 591</w:t>
            </w:r>
          </w:p>
        </w:tc>
        <w:tc>
          <w:tcPr>
            <w:tcW w:w="794" w:type="dxa"/>
          </w:tcPr>
          <w:p w14:paraId="0DF61947"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B679A8">
              <w:t>4 599</w:t>
            </w:r>
          </w:p>
        </w:tc>
        <w:tc>
          <w:tcPr>
            <w:tcW w:w="794" w:type="dxa"/>
          </w:tcPr>
          <w:p w14:paraId="35346E84"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B679A8">
              <w:t>4 652</w:t>
            </w:r>
          </w:p>
        </w:tc>
        <w:tc>
          <w:tcPr>
            <w:tcW w:w="794" w:type="dxa"/>
          </w:tcPr>
          <w:p w14:paraId="3780A0DC"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B679A8">
              <w:t>4 736</w:t>
            </w:r>
          </w:p>
        </w:tc>
      </w:tr>
      <w:tr w:rsidR="009C6724" w14:paraId="793D01C0"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3099A708" w14:textId="77777777" w:rsidR="00AB205D" w:rsidRDefault="00471A3B">
            <w:r>
              <w:t>Depreciation</w:t>
            </w:r>
          </w:p>
        </w:tc>
        <w:tc>
          <w:tcPr>
            <w:tcW w:w="794" w:type="dxa"/>
          </w:tcPr>
          <w:p w14:paraId="11A9B31A"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3E0B4E">
              <w:t>8 040</w:t>
            </w:r>
          </w:p>
        </w:tc>
        <w:tc>
          <w:tcPr>
            <w:tcW w:w="794" w:type="dxa"/>
          </w:tcPr>
          <w:p w14:paraId="3648B414"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B679A8">
              <w:t>8 535</w:t>
            </w:r>
          </w:p>
        </w:tc>
        <w:tc>
          <w:tcPr>
            <w:tcW w:w="794" w:type="dxa"/>
          </w:tcPr>
          <w:p w14:paraId="1E312F9F"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B679A8">
              <w:t>8 925</w:t>
            </w:r>
          </w:p>
        </w:tc>
        <w:tc>
          <w:tcPr>
            <w:tcW w:w="794" w:type="dxa"/>
          </w:tcPr>
          <w:p w14:paraId="5FFC9DC2"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B679A8">
              <w:t>9 472</w:t>
            </w:r>
          </w:p>
        </w:tc>
      </w:tr>
      <w:tr w:rsidR="009C6724" w14:paraId="58A546AA"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347920A1" w14:textId="77777777" w:rsidR="00AB205D" w:rsidRDefault="00471A3B">
            <w:r>
              <w:t>Interest expense</w:t>
            </w:r>
          </w:p>
        </w:tc>
        <w:tc>
          <w:tcPr>
            <w:tcW w:w="794" w:type="dxa"/>
          </w:tcPr>
          <w:p w14:paraId="25E5A053"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3E0B4E">
              <w:t>6 202</w:t>
            </w:r>
          </w:p>
        </w:tc>
        <w:tc>
          <w:tcPr>
            <w:tcW w:w="794" w:type="dxa"/>
          </w:tcPr>
          <w:p w14:paraId="75444FD7"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B679A8">
              <w:t>7 245</w:t>
            </w:r>
          </w:p>
        </w:tc>
        <w:tc>
          <w:tcPr>
            <w:tcW w:w="794" w:type="dxa"/>
          </w:tcPr>
          <w:p w14:paraId="58B7D414"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B679A8">
              <w:t>8 510</w:t>
            </w:r>
          </w:p>
        </w:tc>
        <w:tc>
          <w:tcPr>
            <w:tcW w:w="794" w:type="dxa"/>
          </w:tcPr>
          <w:p w14:paraId="1F4FEF8A"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B679A8">
              <w:t>9 676</w:t>
            </w:r>
          </w:p>
        </w:tc>
      </w:tr>
      <w:tr w:rsidR="009C6724" w14:paraId="1248D0B5"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5794D72D" w14:textId="77777777" w:rsidR="00AB205D" w:rsidRDefault="00471A3B">
            <w:r>
              <w:t>Grant expense</w:t>
            </w:r>
          </w:p>
        </w:tc>
        <w:tc>
          <w:tcPr>
            <w:tcW w:w="794" w:type="dxa"/>
          </w:tcPr>
          <w:p w14:paraId="040FB703"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3E0B4E">
              <w:t>15 346</w:t>
            </w:r>
          </w:p>
        </w:tc>
        <w:tc>
          <w:tcPr>
            <w:tcW w:w="794" w:type="dxa"/>
          </w:tcPr>
          <w:p w14:paraId="69ECA383"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B679A8">
              <w:t>15 512</w:t>
            </w:r>
          </w:p>
        </w:tc>
        <w:tc>
          <w:tcPr>
            <w:tcW w:w="794" w:type="dxa"/>
          </w:tcPr>
          <w:p w14:paraId="3649C5FC"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B679A8">
              <w:t>15 374</w:t>
            </w:r>
          </w:p>
        </w:tc>
        <w:tc>
          <w:tcPr>
            <w:tcW w:w="794" w:type="dxa"/>
          </w:tcPr>
          <w:p w14:paraId="473D35E1"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B679A8">
              <w:t>15 441</w:t>
            </w:r>
          </w:p>
        </w:tc>
      </w:tr>
      <w:tr w:rsidR="009C6724" w14:paraId="71E514D6"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0E7B6CAD" w14:textId="77777777" w:rsidR="00AB205D" w:rsidRDefault="00471A3B">
            <w:r>
              <w:t>Other operating expenses</w:t>
            </w:r>
          </w:p>
        </w:tc>
        <w:tc>
          <w:tcPr>
            <w:tcW w:w="794" w:type="dxa"/>
          </w:tcPr>
          <w:p w14:paraId="3004CFD0"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3E0B4E">
              <w:t>31 371</w:t>
            </w:r>
          </w:p>
        </w:tc>
        <w:tc>
          <w:tcPr>
            <w:tcW w:w="794" w:type="dxa"/>
          </w:tcPr>
          <w:p w14:paraId="43A5236C"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B679A8">
              <w:t>29 562</w:t>
            </w:r>
          </w:p>
        </w:tc>
        <w:tc>
          <w:tcPr>
            <w:tcW w:w="794" w:type="dxa"/>
          </w:tcPr>
          <w:p w14:paraId="314CBD4D"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B679A8">
              <w:t>29 673</w:t>
            </w:r>
          </w:p>
        </w:tc>
        <w:tc>
          <w:tcPr>
            <w:tcW w:w="794" w:type="dxa"/>
          </w:tcPr>
          <w:p w14:paraId="68070F5B"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B679A8">
              <w:t>31 596</w:t>
            </w:r>
          </w:p>
        </w:tc>
      </w:tr>
      <w:tr w:rsidR="009C6724" w14:paraId="497A896D"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7C5D3C77" w14:textId="77777777" w:rsidR="00AB205D" w:rsidRDefault="00471A3B">
            <w:r>
              <w:rPr>
                <w:b/>
              </w:rPr>
              <w:t>Total expenses from transactions</w:t>
            </w:r>
          </w:p>
        </w:tc>
        <w:tc>
          <w:tcPr>
            <w:tcW w:w="794" w:type="dxa"/>
          </w:tcPr>
          <w:p w14:paraId="1FE5A2A2"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3E0B4E">
              <w:rPr>
                <w:b/>
                <w:bCs/>
              </w:rPr>
              <w:t>102 162</w:t>
            </w:r>
          </w:p>
        </w:tc>
        <w:tc>
          <w:tcPr>
            <w:tcW w:w="794" w:type="dxa"/>
          </w:tcPr>
          <w:p w14:paraId="479CEF00"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0119D5">
              <w:rPr>
                <w:b/>
                <w:bCs/>
              </w:rPr>
              <w:t>103 155</w:t>
            </w:r>
          </w:p>
        </w:tc>
        <w:tc>
          <w:tcPr>
            <w:tcW w:w="794" w:type="dxa"/>
          </w:tcPr>
          <w:p w14:paraId="6A89BE25"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0119D5">
              <w:rPr>
                <w:b/>
                <w:bCs/>
              </w:rPr>
              <w:t>105 873</w:t>
            </w:r>
          </w:p>
        </w:tc>
        <w:tc>
          <w:tcPr>
            <w:tcW w:w="794" w:type="dxa"/>
          </w:tcPr>
          <w:p w14:paraId="415087E7"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0119D5">
              <w:rPr>
                <w:b/>
                <w:bCs/>
              </w:rPr>
              <w:t>111 331</w:t>
            </w:r>
          </w:p>
        </w:tc>
      </w:tr>
      <w:tr w:rsidR="009C6724" w14:paraId="3AA69B16"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bottom w:val="single" w:sz="6" w:space="0" w:color="auto"/>
            </w:tcBorders>
          </w:tcPr>
          <w:p w14:paraId="7CF6F2A3" w14:textId="77777777" w:rsidR="00AB205D" w:rsidRDefault="00471A3B">
            <w:r>
              <w:rPr>
                <w:i/>
              </w:rPr>
              <w:t xml:space="preserve">% change </w:t>
            </w:r>
            <w:r>
              <w:rPr>
                <w:i/>
                <w:vertAlign w:val="superscript"/>
              </w:rPr>
              <w:t>(c)</w:t>
            </w:r>
          </w:p>
        </w:tc>
        <w:tc>
          <w:tcPr>
            <w:tcW w:w="794" w:type="dxa"/>
            <w:tcBorders>
              <w:bottom w:val="single" w:sz="6" w:space="0" w:color="auto"/>
            </w:tcBorders>
          </w:tcPr>
          <w:p w14:paraId="28C74177"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3E0B4E">
              <w:rPr>
                <w:i/>
                <w:iCs/>
              </w:rPr>
              <w:t>1.1</w:t>
            </w:r>
          </w:p>
        </w:tc>
        <w:tc>
          <w:tcPr>
            <w:tcW w:w="794" w:type="dxa"/>
            <w:tcBorders>
              <w:bottom w:val="single" w:sz="6" w:space="0" w:color="auto"/>
            </w:tcBorders>
          </w:tcPr>
          <w:p w14:paraId="7F273B95"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0119D5">
              <w:rPr>
                <w:i/>
                <w:iCs/>
              </w:rPr>
              <w:t>1.0</w:t>
            </w:r>
          </w:p>
        </w:tc>
        <w:tc>
          <w:tcPr>
            <w:tcW w:w="794" w:type="dxa"/>
            <w:tcBorders>
              <w:bottom w:val="single" w:sz="6" w:space="0" w:color="auto"/>
            </w:tcBorders>
          </w:tcPr>
          <w:p w14:paraId="1F25BCAA"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0119D5">
              <w:rPr>
                <w:i/>
                <w:iCs/>
              </w:rPr>
              <w:t>2.6</w:t>
            </w:r>
          </w:p>
        </w:tc>
        <w:tc>
          <w:tcPr>
            <w:tcW w:w="794" w:type="dxa"/>
            <w:tcBorders>
              <w:bottom w:val="single" w:sz="6" w:space="0" w:color="auto"/>
            </w:tcBorders>
          </w:tcPr>
          <w:p w14:paraId="05C39137"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0119D5">
              <w:rPr>
                <w:i/>
                <w:iCs/>
              </w:rPr>
              <w:t>5.2</w:t>
            </w:r>
          </w:p>
        </w:tc>
      </w:tr>
      <w:tr w:rsidR="009C6724" w14:paraId="32FACAB9"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bottom w:val="single" w:sz="6" w:space="0" w:color="auto"/>
            </w:tcBorders>
          </w:tcPr>
          <w:p w14:paraId="249865FF" w14:textId="77777777" w:rsidR="00AB205D" w:rsidRDefault="00471A3B">
            <w:r>
              <w:rPr>
                <w:b/>
              </w:rPr>
              <w:t>Net result from transactions</w:t>
            </w:r>
          </w:p>
        </w:tc>
        <w:tc>
          <w:tcPr>
            <w:tcW w:w="794" w:type="dxa"/>
            <w:tcBorders>
              <w:top w:val="single" w:sz="6" w:space="0" w:color="auto"/>
              <w:bottom w:val="single" w:sz="6" w:space="0" w:color="auto"/>
            </w:tcBorders>
          </w:tcPr>
          <w:p w14:paraId="058DBAA9"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0119D5">
              <w:rPr>
                <w:b/>
                <w:bCs/>
              </w:rPr>
              <w:t xml:space="preserve"> (5 258)</w:t>
            </w:r>
          </w:p>
        </w:tc>
        <w:tc>
          <w:tcPr>
            <w:tcW w:w="794" w:type="dxa"/>
            <w:tcBorders>
              <w:top w:val="single" w:sz="6" w:space="0" w:color="auto"/>
              <w:bottom w:val="single" w:sz="6" w:space="0" w:color="auto"/>
            </w:tcBorders>
          </w:tcPr>
          <w:p w14:paraId="293EA2C3"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0119D5">
              <w:rPr>
                <w:b/>
                <w:bCs/>
              </w:rPr>
              <w:t xml:space="preserve"> (2 474)</w:t>
            </w:r>
          </w:p>
        </w:tc>
        <w:tc>
          <w:tcPr>
            <w:tcW w:w="794" w:type="dxa"/>
            <w:tcBorders>
              <w:top w:val="single" w:sz="6" w:space="0" w:color="auto"/>
              <w:bottom w:val="single" w:sz="6" w:space="0" w:color="auto"/>
            </w:tcBorders>
          </w:tcPr>
          <w:p w14:paraId="62F6E39C"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0119D5">
              <w:rPr>
                <w:b/>
                <w:bCs/>
              </w:rPr>
              <w:t xml:space="preserve"> (389)</w:t>
            </w:r>
          </w:p>
        </w:tc>
        <w:tc>
          <w:tcPr>
            <w:tcW w:w="794" w:type="dxa"/>
            <w:tcBorders>
              <w:top w:val="single" w:sz="6" w:space="0" w:color="auto"/>
              <w:bottom w:val="single" w:sz="6" w:space="0" w:color="auto"/>
            </w:tcBorders>
          </w:tcPr>
          <w:p w14:paraId="3486D088"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0119D5">
              <w:rPr>
                <w:b/>
                <w:bCs/>
              </w:rPr>
              <w:t xml:space="preserve"> (476)</w:t>
            </w:r>
          </w:p>
        </w:tc>
      </w:tr>
      <w:tr w:rsidR="009C6724" w14:paraId="599DD051"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bottom w:val="single" w:sz="6" w:space="0" w:color="auto"/>
            </w:tcBorders>
          </w:tcPr>
          <w:p w14:paraId="5A3FE276" w14:textId="77777777" w:rsidR="00AB205D" w:rsidRDefault="00471A3B">
            <w:r>
              <w:t>Total other economic flows included in net result</w:t>
            </w:r>
          </w:p>
        </w:tc>
        <w:tc>
          <w:tcPr>
            <w:tcW w:w="794" w:type="dxa"/>
            <w:tcBorders>
              <w:top w:val="single" w:sz="6" w:space="0" w:color="auto"/>
              <w:bottom w:val="single" w:sz="6" w:space="0" w:color="auto"/>
            </w:tcBorders>
          </w:tcPr>
          <w:p w14:paraId="5FDFBF1A"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B679A8">
              <w:t xml:space="preserve"> (585)</w:t>
            </w:r>
          </w:p>
        </w:tc>
        <w:tc>
          <w:tcPr>
            <w:tcW w:w="794" w:type="dxa"/>
            <w:tcBorders>
              <w:top w:val="single" w:sz="6" w:space="0" w:color="auto"/>
              <w:bottom w:val="single" w:sz="6" w:space="0" w:color="auto"/>
            </w:tcBorders>
          </w:tcPr>
          <w:p w14:paraId="25B33A6A"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B679A8">
              <w:t xml:space="preserve"> (337)</w:t>
            </w:r>
          </w:p>
        </w:tc>
        <w:tc>
          <w:tcPr>
            <w:tcW w:w="794" w:type="dxa"/>
            <w:tcBorders>
              <w:top w:val="single" w:sz="6" w:space="0" w:color="auto"/>
              <w:bottom w:val="single" w:sz="6" w:space="0" w:color="auto"/>
            </w:tcBorders>
          </w:tcPr>
          <w:p w14:paraId="67D4B28C"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B679A8">
              <w:t xml:space="preserve"> 18</w:t>
            </w:r>
          </w:p>
        </w:tc>
        <w:tc>
          <w:tcPr>
            <w:tcW w:w="794" w:type="dxa"/>
            <w:tcBorders>
              <w:top w:val="single" w:sz="6" w:space="0" w:color="auto"/>
              <w:bottom w:val="single" w:sz="6" w:space="0" w:color="auto"/>
            </w:tcBorders>
          </w:tcPr>
          <w:p w14:paraId="65D28DFB"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B679A8">
              <w:t xml:space="preserve"> (288)</w:t>
            </w:r>
          </w:p>
        </w:tc>
      </w:tr>
      <w:tr w:rsidR="009C6724" w14:paraId="7E4B9B79"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bottom w:val="single" w:sz="12" w:space="0" w:color="auto"/>
            </w:tcBorders>
          </w:tcPr>
          <w:p w14:paraId="164D901D" w14:textId="77777777" w:rsidR="00AB205D" w:rsidRDefault="00471A3B">
            <w:r>
              <w:rPr>
                <w:b/>
              </w:rPr>
              <w:t>Net result</w:t>
            </w:r>
          </w:p>
        </w:tc>
        <w:tc>
          <w:tcPr>
            <w:tcW w:w="794" w:type="dxa"/>
            <w:tcBorders>
              <w:top w:val="single" w:sz="6" w:space="0" w:color="auto"/>
              <w:bottom w:val="single" w:sz="12" w:space="0" w:color="auto"/>
            </w:tcBorders>
          </w:tcPr>
          <w:p w14:paraId="389E7676"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0119D5">
              <w:rPr>
                <w:b/>
                <w:bCs/>
              </w:rPr>
              <w:t xml:space="preserve"> (5 843)</w:t>
            </w:r>
          </w:p>
        </w:tc>
        <w:tc>
          <w:tcPr>
            <w:tcW w:w="794" w:type="dxa"/>
            <w:tcBorders>
              <w:top w:val="single" w:sz="6" w:space="0" w:color="auto"/>
              <w:bottom w:val="single" w:sz="12" w:space="0" w:color="auto"/>
            </w:tcBorders>
          </w:tcPr>
          <w:p w14:paraId="3233631C"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0119D5">
              <w:rPr>
                <w:b/>
                <w:bCs/>
              </w:rPr>
              <w:t xml:space="preserve"> (2 812)</w:t>
            </w:r>
          </w:p>
        </w:tc>
        <w:tc>
          <w:tcPr>
            <w:tcW w:w="794" w:type="dxa"/>
            <w:tcBorders>
              <w:top w:val="single" w:sz="6" w:space="0" w:color="auto"/>
              <w:bottom w:val="single" w:sz="12" w:space="0" w:color="auto"/>
            </w:tcBorders>
          </w:tcPr>
          <w:p w14:paraId="786E05A1"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0119D5">
              <w:rPr>
                <w:b/>
                <w:bCs/>
              </w:rPr>
              <w:t xml:space="preserve"> (371)</w:t>
            </w:r>
          </w:p>
        </w:tc>
        <w:tc>
          <w:tcPr>
            <w:tcW w:w="794" w:type="dxa"/>
            <w:tcBorders>
              <w:top w:val="single" w:sz="6" w:space="0" w:color="auto"/>
              <w:bottom w:val="single" w:sz="12" w:space="0" w:color="auto"/>
            </w:tcBorders>
          </w:tcPr>
          <w:p w14:paraId="2FDAF73D"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0119D5">
              <w:rPr>
                <w:b/>
                <w:bCs/>
              </w:rPr>
              <w:t xml:space="preserve"> (764)</w:t>
            </w:r>
          </w:p>
        </w:tc>
      </w:tr>
    </w:tbl>
    <w:p w14:paraId="359879A1" w14:textId="77777777" w:rsidR="00AB205D" w:rsidRPr="00584F3A" w:rsidRDefault="00471A3B">
      <w:pPr>
        <w:pStyle w:val="Note"/>
      </w:pPr>
      <w:r w:rsidRPr="00584F3A">
        <w:t>Notes:</w:t>
      </w:r>
    </w:p>
    <w:p w14:paraId="357ED4F4" w14:textId="77777777" w:rsidR="00AB205D" w:rsidRPr="00584F3A" w:rsidRDefault="00471A3B">
      <w:pPr>
        <w:pStyle w:val="Note"/>
      </w:pPr>
      <w:r w:rsidRPr="00584F3A">
        <w:t>(a)</w:t>
      </w:r>
      <w:r w:rsidRPr="00584F3A">
        <w:tab/>
        <w:t xml:space="preserve">This is a summary operating statement. The comprehensive operating statement is presented in Chapter 5. Figures in this table are subject to rounding to the nearest million and may not add up to totals. </w:t>
      </w:r>
    </w:p>
    <w:p w14:paraId="5DBC68B5" w14:textId="77777777" w:rsidR="00AB205D" w:rsidRPr="00584F3A" w:rsidRDefault="00471A3B">
      <w:pPr>
        <w:pStyle w:val="Note"/>
      </w:pPr>
      <w:r w:rsidRPr="00584F3A">
        <w:t>(b)</w:t>
      </w:r>
      <w:r w:rsidRPr="00584F3A">
        <w:tab/>
        <w:t>Comprises dividends, income tax and rate equivalent revenue and interest.</w:t>
      </w:r>
    </w:p>
    <w:p w14:paraId="2009E051" w14:textId="77777777" w:rsidR="00AB205D" w:rsidRPr="00584F3A" w:rsidRDefault="00471A3B">
      <w:pPr>
        <w:pStyle w:val="Note"/>
      </w:pPr>
      <w:r w:rsidRPr="00584F3A">
        <w:t>(c)</w:t>
      </w:r>
      <w:r w:rsidRPr="00584F3A">
        <w:tab/>
        <w:t xml:space="preserve">The revenue and expense growth for 2023-24 is based on published figures in the </w:t>
      </w:r>
      <w:r w:rsidRPr="00CB630A">
        <w:rPr>
          <w:i w:val="0"/>
          <w:iCs/>
        </w:rPr>
        <w:t>2022-23 Financial Report</w:t>
      </w:r>
      <w:r w:rsidRPr="00584F3A">
        <w:t>.</w:t>
      </w:r>
    </w:p>
    <w:p w14:paraId="35EF40DE" w14:textId="77777777" w:rsidR="00AB205D" w:rsidRDefault="00471A3B">
      <w:pPr>
        <w:pStyle w:val="Note"/>
      </w:pPr>
      <w:r w:rsidRPr="00584F3A">
        <w:t>(d)</w:t>
      </w:r>
      <w:r w:rsidRPr="00584F3A">
        <w:tab/>
        <w:t>Comprises superannuation interest expense and other superannuation expenses.</w:t>
      </w:r>
    </w:p>
    <w:p w14:paraId="36985C64" w14:textId="77777777" w:rsidR="00AB205D" w:rsidRPr="00633128" w:rsidRDefault="00471A3B">
      <w:pPr>
        <w:pStyle w:val="Heading20"/>
        <w:keepNext w:val="0"/>
        <w:rPr>
          <w:rFonts w:asciiTheme="minorHAnsi" w:eastAsiaTheme="minorHAnsi" w:hAnsiTheme="minorHAnsi" w:cs="Times New Roman"/>
          <w:b w:val="0"/>
          <w:sz w:val="22"/>
          <w:szCs w:val="22"/>
        </w:rPr>
      </w:pPr>
      <w:r w:rsidRPr="00633128">
        <w:rPr>
          <w:rFonts w:asciiTheme="minorHAnsi" w:eastAsiaTheme="minorHAnsi" w:hAnsiTheme="minorHAnsi" w:cs="Times New Roman"/>
          <w:b w:val="0"/>
          <w:sz w:val="22"/>
          <w:szCs w:val="22"/>
        </w:rPr>
        <w:t>The net result from transactions of the NFPS is projected to improve from a deficit of $5.3 billion in 2023-24 to a deficit of $476 million by 2026-27. This is largely driven by the net result from transactions for the general government sector which is projected to improve, from a deficit of $3.5 billion in 2023-24 to a surplus of $1.2 billion by 2026-27, due to revenue, on average, growing at a faster rate than expenditure over the budget and forward estimates.</w:t>
      </w:r>
    </w:p>
    <w:p w14:paraId="0E1D36B5" w14:textId="77777777" w:rsidR="00AB205D" w:rsidRPr="00633128" w:rsidRDefault="00471A3B">
      <w:pPr>
        <w:pStyle w:val="Heading20"/>
        <w:rPr>
          <w:rFonts w:asciiTheme="minorHAnsi" w:eastAsiaTheme="minorHAnsi" w:hAnsiTheme="minorHAnsi" w:cs="Times New Roman"/>
          <w:b w:val="0"/>
          <w:sz w:val="22"/>
          <w:szCs w:val="22"/>
        </w:rPr>
      </w:pPr>
      <w:r w:rsidRPr="00633128">
        <w:rPr>
          <w:rFonts w:asciiTheme="minorHAnsi" w:eastAsiaTheme="minorHAnsi" w:hAnsiTheme="minorHAnsi" w:cs="Times New Roman"/>
          <w:b w:val="0"/>
          <w:sz w:val="22"/>
          <w:szCs w:val="22"/>
        </w:rPr>
        <w:lastRenderedPageBreak/>
        <w:t>The net result from transactions of the PNFC sector is projected to improve, from a deficit of $394 million in 2023-24 to a surplus of $332 million in 2026-27. This reflects the sector’s, and broader economy’s, recovery from the adverse impact of the COVID-19 pandemic. On average, over the budget and forward estimates, metropolitan water authorities are projected to report an average surplus of $246 million a year.</w:t>
      </w:r>
    </w:p>
    <w:p w14:paraId="11C87115" w14:textId="77777777" w:rsidR="00AB205D" w:rsidRPr="00633128" w:rsidRDefault="00471A3B">
      <w:pPr>
        <w:pStyle w:val="Heading20"/>
      </w:pPr>
      <w:r w:rsidRPr="00633128">
        <w:t>Application of cash resources</w:t>
      </w:r>
    </w:p>
    <w:p w14:paraId="51A6F65D" w14:textId="77777777" w:rsidR="00AB205D" w:rsidRPr="00633128" w:rsidRDefault="00471A3B">
      <w:r w:rsidRPr="00633128">
        <w:t>The NFPS is forecast to record an operating cash flow surplus of $1 billion in 2023-24 before increasing to $8 billion in 2025</w:t>
      </w:r>
      <w:r>
        <w:t>-</w:t>
      </w:r>
      <w:r w:rsidRPr="00633128">
        <w:t>26 and then falling slightly to $7.7 billion in 2026</w:t>
      </w:r>
      <w:r w:rsidRPr="00633128">
        <w:noBreakHyphen/>
        <w:t>27. By 2026-27, the NFPS operating cash flow surplus is projected to fund 36.9 per cent of the NFPS infrastructure program with the remainder funded by borrowings.</w:t>
      </w:r>
    </w:p>
    <w:p w14:paraId="0D462F6C" w14:textId="77777777" w:rsidR="00AB205D" w:rsidRPr="00633128" w:rsidRDefault="00471A3B">
      <w:pPr>
        <w:pStyle w:val="TableHeading"/>
      </w:pPr>
      <w:r w:rsidRPr="00633128">
        <w:t>Table 3.</w:t>
      </w:r>
      <w:r>
        <w:t>7</w:t>
      </w:r>
      <w:r w:rsidRPr="00633128">
        <w:t xml:space="preserve">: </w:t>
      </w:r>
      <w:r w:rsidRPr="00633128">
        <w:tab/>
        <w:t>Application of cash resources for the non</w:t>
      </w:r>
      <w:r w:rsidRPr="00633128">
        <w:noBreakHyphen/>
        <w:t xml:space="preserve">financial public sector </w:t>
      </w:r>
      <w:r w:rsidRPr="00633128">
        <w:rPr>
          <w:vertAlign w:val="superscript"/>
        </w:rPr>
        <w:t>(a)</w:t>
      </w:r>
      <w:r w:rsidRPr="00633128">
        <w:tab/>
        <w:t>($ million)</w:t>
      </w:r>
    </w:p>
    <w:tbl>
      <w:tblPr>
        <w:tblStyle w:val="DTFTableNumeric"/>
        <w:tblW w:w="7710" w:type="dxa"/>
        <w:tblLayout w:type="fixed"/>
        <w:tblLook w:val="06A0" w:firstRow="1" w:lastRow="0" w:firstColumn="1" w:lastColumn="0" w:noHBand="1" w:noVBand="1"/>
        <w:tblDescription w:val="Type:DtfTable|Workbook:Budget\BudgetUpdate\Chapter3\Link_Chapter3_NFPS_WoG.xlsx|Table:NFPS_AppCash"/>
      </w:tblPr>
      <w:tblGrid>
        <w:gridCol w:w="4534"/>
        <w:gridCol w:w="794"/>
        <w:gridCol w:w="794"/>
        <w:gridCol w:w="794"/>
        <w:gridCol w:w="794"/>
      </w:tblGrid>
      <w:tr w:rsidR="009C6724" w14:paraId="0E6CF6F0"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tcBorders>
          </w:tcPr>
          <w:p w14:paraId="5895E959" w14:textId="77777777" w:rsidR="00AB205D" w:rsidRDefault="00AB205D">
            <w:pPr>
              <w:keepNext/>
              <w:spacing w:after="0"/>
            </w:pPr>
          </w:p>
        </w:tc>
        <w:tc>
          <w:tcPr>
            <w:tcW w:w="794" w:type="dxa"/>
            <w:tcBorders>
              <w:top w:val="single" w:sz="6" w:space="0" w:color="auto"/>
            </w:tcBorders>
          </w:tcPr>
          <w:p w14:paraId="0A25CE22"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Borders>
              <w:top w:val="single" w:sz="6" w:space="0" w:color="auto"/>
            </w:tcBorders>
          </w:tcPr>
          <w:p w14:paraId="676196D0"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Borders>
              <w:top w:val="single" w:sz="6" w:space="0" w:color="auto"/>
            </w:tcBorders>
          </w:tcPr>
          <w:p w14:paraId="25E386B3"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2025</w:t>
            </w:r>
            <w:r>
              <w:noBreakHyphen/>
              <w:t>26</w:t>
            </w:r>
          </w:p>
        </w:tc>
        <w:tc>
          <w:tcPr>
            <w:tcW w:w="794" w:type="dxa"/>
            <w:tcBorders>
              <w:top w:val="single" w:sz="6" w:space="0" w:color="auto"/>
            </w:tcBorders>
          </w:tcPr>
          <w:p w14:paraId="24B35267"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2026</w:t>
            </w:r>
            <w:r>
              <w:noBreakHyphen/>
              <w:t>27</w:t>
            </w:r>
          </w:p>
        </w:tc>
      </w:tr>
      <w:tr w:rsidR="009C6724" w14:paraId="10C8AF2E"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4" w:type="dxa"/>
          </w:tcPr>
          <w:p w14:paraId="054A0D8A" w14:textId="77777777" w:rsidR="00AB205D" w:rsidRDefault="00AB205D">
            <w:pPr>
              <w:keepNext/>
              <w:spacing w:after="0"/>
            </w:pPr>
          </w:p>
        </w:tc>
        <w:tc>
          <w:tcPr>
            <w:tcW w:w="794" w:type="dxa"/>
          </w:tcPr>
          <w:p w14:paraId="04F60B07"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revised</w:t>
            </w:r>
          </w:p>
        </w:tc>
        <w:tc>
          <w:tcPr>
            <w:tcW w:w="794" w:type="dxa"/>
          </w:tcPr>
          <w:p w14:paraId="6E11BF3E"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39E2941A"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4458768C"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estimate</w:t>
            </w:r>
          </w:p>
        </w:tc>
      </w:tr>
      <w:tr w:rsidR="009C6724" w14:paraId="496644DF"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7DF534C6" w14:textId="77777777" w:rsidR="00AB205D" w:rsidRDefault="00471A3B">
            <w:pPr>
              <w:spacing w:after="0"/>
            </w:pPr>
            <w:r>
              <w:t>Net result from transactions</w:t>
            </w:r>
          </w:p>
        </w:tc>
        <w:tc>
          <w:tcPr>
            <w:tcW w:w="794" w:type="dxa"/>
          </w:tcPr>
          <w:p w14:paraId="42F6918E"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A23297">
              <w:t xml:space="preserve"> (5 258)</w:t>
            </w:r>
          </w:p>
        </w:tc>
        <w:tc>
          <w:tcPr>
            <w:tcW w:w="794" w:type="dxa"/>
          </w:tcPr>
          <w:p w14:paraId="083AD7B8"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A23297">
              <w:t xml:space="preserve"> (2 474)</w:t>
            </w:r>
          </w:p>
        </w:tc>
        <w:tc>
          <w:tcPr>
            <w:tcW w:w="794" w:type="dxa"/>
          </w:tcPr>
          <w:p w14:paraId="54726D3B"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A23297">
              <w:t xml:space="preserve"> (389)</w:t>
            </w:r>
          </w:p>
        </w:tc>
        <w:tc>
          <w:tcPr>
            <w:tcW w:w="794" w:type="dxa"/>
          </w:tcPr>
          <w:p w14:paraId="44D563E6"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A23297">
              <w:t xml:space="preserve"> (476)</w:t>
            </w:r>
          </w:p>
        </w:tc>
      </w:tr>
      <w:tr w:rsidR="009C6724" w14:paraId="77EA42FE"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bottom w:val="single" w:sz="6" w:space="0" w:color="auto"/>
            </w:tcBorders>
          </w:tcPr>
          <w:p w14:paraId="736D0270" w14:textId="77777777" w:rsidR="00AB205D" w:rsidRDefault="00471A3B">
            <w:pPr>
              <w:spacing w:after="0"/>
            </w:pPr>
            <w:r>
              <w:t xml:space="preserve">Add back: operating cash flows not recognised in the net operating balance </w:t>
            </w:r>
            <w:r>
              <w:rPr>
                <w:vertAlign w:val="superscript"/>
              </w:rPr>
              <w:t>(b)</w:t>
            </w:r>
          </w:p>
        </w:tc>
        <w:tc>
          <w:tcPr>
            <w:tcW w:w="794" w:type="dxa"/>
            <w:tcBorders>
              <w:bottom w:val="single" w:sz="6" w:space="0" w:color="auto"/>
            </w:tcBorders>
          </w:tcPr>
          <w:p w14:paraId="38038450"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A23297">
              <w:t>6 270</w:t>
            </w:r>
          </w:p>
        </w:tc>
        <w:tc>
          <w:tcPr>
            <w:tcW w:w="794" w:type="dxa"/>
            <w:tcBorders>
              <w:bottom w:val="single" w:sz="6" w:space="0" w:color="auto"/>
            </w:tcBorders>
          </w:tcPr>
          <w:p w14:paraId="79F7D430"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A23297">
              <w:t>7 533</w:t>
            </w:r>
          </w:p>
        </w:tc>
        <w:tc>
          <w:tcPr>
            <w:tcW w:w="794" w:type="dxa"/>
            <w:tcBorders>
              <w:bottom w:val="single" w:sz="6" w:space="0" w:color="auto"/>
            </w:tcBorders>
          </w:tcPr>
          <w:p w14:paraId="3394418E"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A23297">
              <w:t>8 379</w:t>
            </w:r>
          </w:p>
        </w:tc>
        <w:tc>
          <w:tcPr>
            <w:tcW w:w="794" w:type="dxa"/>
            <w:tcBorders>
              <w:bottom w:val="single" w:sz="6" w:space="0" w:color="auto"/>
            </w:tcBorders>
          </w:tcPr>
          <w:p w14:paraId="59A3B1D6"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A23297">
              <w:t>8 174</w:t>
            </w:r>
          </w:p>
        </w:tc>
      </w:tr>
      <w:tr w:rsidR="009C6724" w14:paraId="2F461BD7"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bottom w:val="single" w:sz="6" w:space="0" w:color="auto"/>
            </w:tcBorders>
          </w:tcPr>
          <w:p w14:paraId="71190BD2" w14:textId="77777777" w:rsidR="00AB205D" w:rsidRDefault="00471A3B">
            <w:pPr>
              <w:spacing w:after="0"/>
            </w:pPr>
            <w:r>
              <w:rPr>
                <w:b/>
              </w:rPr>
              <w:t>Net cash flows from operating activities</w:t>
            </w:r>
          </w:p>
        </w:tc>
        <w:tc>
          <w:tcPr>
            <w:tcW w:w="794" w:type="dxa"/>
            <w:tcBorders>
              <w:top w:val="single" w:sz="6" w:space="0" w:color="auto"/>
              <w:bottom w:val="single" w:sz="6" w:space="0" w:color="auto"/>
            </w:tcBorders>
          </w:tcPr>
          <w:p w14:paraId="68E779BD"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C362E1">
              <w:rPr>
                <w:b/>
                <w:bCs/>
              </w:rPr>
              <w:t>1 012</w:t>
            </w:r>
          </w:p>
        </w:tc>
        <w:tc>
          <w:tcPr>
            <w:tcW w:w="794" w:type="dxa"/>
            <w:tcBorders>
              <w:top w:val="single" w:sz="6" w:space="0" w:color="auto"/>
              <w:bottom w:val="single" w:sz="6" w:space="0" w:color="auto"/>
            </w:tcBorders>
          </w:tcPr>
          <w:p w14:paraId="13362AA5"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C362E1">
              <w:rPr>
                <w:b/>
                <w:bCs/>
              </w:rPr>
              <w:t>5 058</w:t>
            </w:r>
          </w:p>
        </w:tc>
        <w:tc>
          <w:tcPr>
            <w:tcW w:w="794" w:type="dxa"/>
            <w:tcBorders>
              <w:top w:val="single" w:sz="6" w:space="0" w:color="auto"/>
              <w:bottom w:val="single" w:sz="6" w:space="0" w:color="auto"/>
            </w:tcBorders>
          </w:tcPr>
          <w:p w14:paraId="200EAD65"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C362E1">
              <w:rPr>
                <w:b/>
                <w:bCs/>
              </w:rPr>
              <w:t>7 990</w:t>
            </w:r>
          </w:p>
        </w:tc>
        <w:tc>
          <w:tcPr>
            <w:tcW w:w="794" w:type="dxa"/>
            <w:tcBorders>
              <w:top w:val="single" w:sz="6" w:space="0" w:color="auto"/>
              <w:bottom w:val="single" w:sz="6" w:space="0" w:color="auto"/>
            </w:tcBorders>
          </w:tcPr>
          <w:p w14:paraId="6E1ED108"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C362E1">
              <w:rPr>
                <w:b/>
                <w:bCs/>
              </w:rPr>
              <w:t>7 698</w:t>
            </w:r>
          </w:p>
        </w:tc>
      </w:tr>
      <w:tr w:rsidR="009C6724" w14:paraId="6B7CA7FD"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bottom w:val="single" w:sz="6" w:space="0" w:color="auto"/>
            </w:tcBorders>
          </w:tcPr>
          <w:p w14:paraId="2FA6CB5E" w14:textId="77777777" w:rsidR="00AB205D" w:rsidRDefault="00471A3B">
            <w:pPr>
              <w:spacing w:after="0"/>
            </w:pPr>
            <w:r>
              <w:rPr>
                <w:b/>
              </w:rPr>
              <w:t xml:space="preserve">Less: Total net investment in fixed assets </w:t>
            </w:r>
            <w:r>
              <w:rPr>
                <w:b/>
                <w:vertAlign w:val="superscript"/>
              </w:rPr>
              <w:t>(c)</w:t>
            </w:r>
          </w:p>
        </w:tc>
        <w:tc>
          <w:tcPr>
            <w:tcW w:w="794" w:type="dxa"/>
            <w:tcBorders>
              <w:bottom w:val="single" w:sz="6" w:space="0" w:color="auto"/>
            </w:tcBorders>
          </w:tcPr>
          <w:p w14:paraId="2CD49AD5"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C362E1">
              <w:rPr>
                <w:b/>
                <w:bCs/>
              </w:rPr>
              <w:t>24 376</w:t>
            </w:r>
          </w:p>
        </w:tc>
        <w:tc>
          <w:tcPr>
            <w:tcW w:w="794" w:type="dxa"/>
            <w:tcBorders>
              <w:bottom w:val="single" w:sz="6" w:space="0" w:color="auto"/>
            </w:tcBorders>
          </w:tcPr>
          <w:p w14:paraId="7344B45E"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C362E1">
              <w:rPr>
                <w:b/>
                <w:bCs/>
              </w:rPr>
              <w:t>23 523</w:t>
            </w:r>
          </w:p>
        </w:tc>
        <w:tc>
          <w:tcPr>
            <w:tcW w:w="794" w:type="dxa"/>
            <w:tcBorders>
              <w:bottom w:val="single" w:sz="6" w:space="0" w:color="auto"/>
            </w:tcBorders>
          </w:tcPr>
          <w:p w14:paraId="2DC875EE"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C362E1">
              <w:rPr>
                <w:b/>
                <w:bCs/>
              </w:rPr>
              <w:t>22 532</w:t>
            </w:r>
          </w:p>
        </w:tc>
        <w:tc>
          <w:tcPr>
            <w:tcW w:w="794" w:type="dxa"/>
            <w:tcBorders>
              <w:bottom w:val="single" w:sz="6" w:space="0" w:color="auto"/>
            </w:tcBorders>
          </w:tcPr>
          <w:p w14:paraId="7E6107FE"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C362E1">
              <w:rPr>
                <w:b/>
                <w:bCs/>
              </w:rPr>
              <w:t>20 844</w:t>
            </w:r>
          </w:p>
        </w:tc>
      </w:tr>
      <w:tr w:rsidR="009C6724" w14:paraId="49AA0E23"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bottom w:val="single" w:sz="6" w:space="0" w:color="auto"/>
            </w:tcBorders>
          </w:tcPr>
          <w:p w14:paraId="2845738C" w14:textId="77777777" w:rsidR="00AB205D" w:rsidRDefault="00471A3B">
            <w:pPr>
              <w:spacing w:after="0"/>
            </w:pPr>
            <w:r>
              <w:rPr>
                <w:b/>
              </w:rPr>
              <w:t>Surplus/(deficit) of cash from operations after funding net investments in fixed assets</w:t>
            </w:r>
          </w:p>
        </w:tc>
        <w:tc>
          <w:tcPr>
            <w:tcW w:w="794" w:type="dxa"/>
            <w:tcBorders>
              <w:top w:val="single" w:sz="6" w:space="0" w:color="auto"/>
              <w:bottom w:val="single" w:sz="6" w:space="0" w:color="auto"/>
            </w:tcBorders>
          </w:tcPr>
          <w:p w14:paraId="0B6E8539"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C362E1">
              <w:rPr>
                <w:b/>
                <w:bCs/>
              </w:rPr>
              <w:t xml:space="preserve"> (23 364)</w:t>
            </w:r>
          </w:p>
        </w:tc>
        <w:tc>
          <w:tcPr>
            <w:tcW w:w="794" w:type="dxa"/>
            <w:tcBorders>
              <w:top w:val="single" w:sz="6" w:space="0" w:color="auto"/>
              <w:bottom w:val="single" w:sz="6" w:space="0" w:color="auto"/>
            </w:tcBorders>
          </w:tcPr>
          <w:p w14:paraId="29F99A80"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C362E1">
              <w:rPr>
                <w:b/>
                <w:bCs/>
              </w:rPr>
              <w:t xml:space="preserve"> (18 465)</w:t>
            </w:r>
          </w:p>
        </w:tc>
        <w:tc>
          <w:tcPr>
            <w:tcW w:w="794" w:type="dxa"/>
            <w:tcBorders>
              <w:top w:val="single" w:sz="6" w:space="0" w:color="auto"/>
              <w:bottom w:val="single" w:sz="6" w:space="0" w:color="auto"/>
            </w:tcBorders>
          </w:tcPr>
          <w:p w14:paraId="67A8DC37"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C362E1">
              <w:rPr>
                <w:b/>
                <w:bCs/>
              </w:rPr>
              <w:t xml:space="preserve"> (14 542)</w:t>
            </w:r>
          </w:p>
        </w:tc>
        <w:tc>
          <w:tcPr>
            <w:tcW w:w="794" w:type="dxa"/>
            <w:tcBorders>
              <w:top w:val="single" w:sz="6" w:space="0" w:color="auto"/>
              <w:bottom w:val="single" w:sz="6" w:space="0" w:color="auto"/>
            </w:tcBorders>
          </w:tcPr>
          <w:p w14:paraId="54152144"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C362E1">
              <w:rPr>
                <w:b/>
                <w:bCs/>
              </w:rPr>
              <w:t xml:space="preserve"> (13 146)</w:t>
            </w:r>
          </w:p>
        </w:tc>
      </w:tr>
      <w:tr w:rsidR="009C6724" w14:paraId="01EAA249"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tcBorders>
          </w:tcPr>
          <w:p w14:paraId="1BED25CA" w14:textId="77777777" w:rsidR="00AB205D" w:rsidRDefault="00471A3B">
            <w:pPr>
              <w:spacing w:after="0"/>
            </w:pPr>
            <w:r>
              <w:t>Less:</w:t>
            </w:r>
          </w:p>
        </w:tc>
        <w:tc>
          <w:tcPr>
            <w:tcW w:w="794" w:type="dxa"/>
            <w:tcBorders>
              <w:top w:val="single" w:sz="6" w:space="0" w:color="auto"/>
            </w:tcBorders>
          </w:tcPr>
          <w:p w14:paraId="73CF7E63"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A308B28"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3576CA7"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BF00488"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r>
      <w:tr w:rsidR="009C6724" w14:paraId="115AA8EE"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21608BEF" w14:textId="77777777" w:rsidR="00AB205D" w:rsidRDefault="00471A3B">
            <w:pPr>
              <w:spacing w:after="0"/>
            </w:pPr>
            <w:r>
              <w:t xml:space="preserve">Leases and service concession arrangements </w:t>
            </w:r>
            <w:r>
              <w:rPr>
                <w:vertAlign w:val="superscript"/>
              </w:rPr>
              <w:t>(d)</w:t>
            </w:r>
          </w:p>
        </w:tc>
        <w:tc>
          <w:tcPr>
            <w:tcW w:w="794" w:type="dxa"/>
          </w:tcPr>
          <w:p w14:paraId="0FE51942"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A23297">
              <w:t>3 082</w:t>
            </w:r>
          </w:p>
        </w:tc>
        <w:tc>
          <w:tcPr>
            <w:tcW w:w="794" w:type="dxa"/>
          </w:tcPr>
          <w:p w14:paraId="6306C3C1"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A23297">
              <w:t>2 051</w:t>
            </w:r>
          </w:p>
        </w:tc>
        <w:tc>
          <w:tcPr>
            <w:tcW w:w="794" w:type="dxa"/>
          </w:tcPr>
          <w:p w14:paraId="1590A798"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A23297">
              <w:t>1 326</w:t>
            </w:r>
          </w:p>
        </w:tc>
        <w:tc>
          <w:tcPr>
            <w:tcW w:w="794" w:type="dxa"/>
          </w:tcPr>
          <w:p w14:paraId="697A3BF2"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A23297">
              <w:t>1 612</w:t>
            </w:r>
          </w:p>
        </w:tc>
      </w:tr>
      <w:tr w:rsidR="009C6724" w14:paraId="22C6D12C"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bottom w:val="single" w:sz="6" w:space="0" w:color="auto"/>
            </w:tcBorders>
          </w:tcPr>
          <w:p w14:paraId="5E0F6928" w14:textId="77777777" w:rsidR="00AB205D" w:rsidRDefault="00471A3B">
            <w:pPr>
              <w:spacing w:after="0"/>
            </w:pPr>
            <w:r>
              <w:t>Other movements</w:t>
            </w:r>
          </w:p>
        </w:tc>
        <w:tc>
          <w:tcPr>
            <w:tcW w:w="794" w:type="dxa"/>
            <w:tcBorders>
              <w:bottom w:val="single" w:sz="6" w:space="0" w:color="auto"/>
            </w:tcBorders>
          </w:tcPr>
          <w:p w14:paraId="1042144D"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A23297">
              <w:t xml:space="preserve"> 572</w:t>
            </w:r>
          </w:p>
        </w:tc>
        <w:tc>
          <w:tcPr>
            <w:tcW w:w="794" w:type="dxa"/>
            <w:tcBorders>
              <w:bottom w:val="single" w:sz="6" w:space="0" w:color="auto"/>
            </w:tcBorders>
          </w:tcPr>
          <w:p w14:paraId="52118F9C"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A23297">
              <w:t xml:space="preserve"> 91</w:t>
            </w:r>
          </w:p>
        </w:tc>
        <w:tc>
          <w:tcPr>
            <w:tcW w:w="794" w:type="dxa"/>
            <w:tcBorders>
              <w:bottom w:val="single" w:sz="6" w:space="0" w:color="auto"/>
            </w:tcBorders>
          </w:tcPr>
          <w:p w14:paraId="06BF3203"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A23297">
              <w:t xml:space="preserve"> (115)</w:t>
            </w:r>
          </w:p>
        </w:tc>
        <w:tc>
          <w:tcPr>
            <w:tcW w:w="794" w:type="dxa"/>
            <w:tcBorders>
              <w:bottom w:val="single" w:sz="6" w:space="0" w:color="auto"/>
            </w:tcBorders>
          </w:tcPr>
          <w:p w14:paraId="6FEE4480"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A23297">
              <w:t xml:space="preserve"> (263)</w:t>
            </w:r>
          </w:p>
        </w:tc>
      </w:tr>
      <w:tr w:rsidR="009C6724" w14:paraId="28640A97"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bottom w:val="single" w:sz="12" w:space="0" w:color="auto"/>
            </w:tcBorders>
          </w:tcPr>
          <w:p w14:paraId="40534366" w14:textId="77777777" w:rsidR="00AB205D" w:rsidRDefault="00471A3B">
            <w:pPr>
              <w:spacing w:after="0"/>
            </w:pPr>
            <w:r>
              <w:rPr>
                <w:b/>
              </w:rPr>
              <w:t>Decrease/(increase) in net debt</w:t>
            </w:r>
          </w:p>
        </w:tc>
        <w:tc>
          <w:tcPr>
            <w:tcW w:w="794" w:type="dxa"/>
            <w:tcBorders>
              <w:top w:val="single" w:sz="6" w:space="0" w:color="auto"/>
              <w:bottom w:val="single" w:sz="12" w:space="0" w:color="auto"/>
            </w:tcBorders>
          </w:tcPr>
          <w:p w14:paraId="554D85A8"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C362E1">
              <w:rPr>
                <w:b/>
                <w:bCs/>
              </w:rPr>
              <w:t xml:space="preserve"> (27 018)</w:t>
            </w:r>
          </w:p>
        </w:tc>
        <w:tc>
          <w:tcPr>
            <w:tcW w:w="794" w:type="dxa"/>
            <w:tcBorders>
              <w:top w:val="single" w:sz="6" w:space="0" w:color="auto"/>
              <w:bottom w:val="single" w:sz="12" w:space="0" w:color="auto"/>
            </w:tcBorders>
          </w:tcPr>
          <w:p w14:paraId="1A0D6390"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C362E1">
              <w:rPr>
                <w:b/>
                <w:bCs/>
              </w:rPr>
              <w:t xml:space="preserve"> (20 607)</w:t>
            </w:r>
          </w:p>
        </w:tc>
        <w:tc>
          <w:tcPr>
            <w:tcW w:w="794" w:type="dxa"/>
            <w:tcBorders>
              <w:top w:val="single" w:sz="6" w:space="0" w:color="auto"/>
              <w:bottom w:val="single" w:sz="12" w:space="0" w:color="auto"/>
            </w:tcBorders>
          </w:tcPr>
          <w:p w14:paraId="0EB14383"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C362E1">
              <w:rPr>
                <w:b/>
                <w:bCs/>
              </w:rPr>
              <w:t xml:space="preserve"> (15 753)</w:t>
            </w:r>
          </w:p>
        </w:tc>
        <w:tc>
          <w:tcPr>
            <w:tcW w:w="794" w:type="dxa"/>
            <w:tcBorders>
              <w:top w:val="single" w:sz="6" w:space="0" w:color="auto"/>
              <w:bottom w:val="single" w:sz="12" w:space="0" w:color="auto"/>
            </w:tcBorders>
          </w:tcPr>
          <w:p w14:paraId="4177B4E8"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C362E1">
              <w:rPr>
                <w:b/>
                <w:bCs/>
              </w:rPr>
              <w:t xml:space="preserve"> (14 495)</w:t>
            </w:r>
          </w:p>
        </w:tc>
      </w:tr>
    </w:tbl>
    <w:p w14:paraId="20F70252" w14:textId="77777777" w:rsidR="00AB205D" w:rsidRPr="00633128" w:rsidRDefault="00471A3B">
      <w:pPr>
        <w:pStyle w:val="Note"/>
      </w:pPr>
      <w:r w:rsidRPr="00633128">
        <w:t>Notes:</w:t>
      </w:r>
    </w:p>
    <w:p w14:paraId="3F20D7DC" w14:textId="77777777" w:rsidR="00AB205D" w:rsidRPr="00633128" w:rsidRDefault="00471A3B">
      <w:pPr>
        <w:pStyle w:val="Note"/>
      </w:pPr>
      <w:r w:rsidRPr="00633128">
        <w:t>(a)</w:t>
      </w:r>
      <w:r w:rsidRPr="00633128">
        <w:tab/>
        <w:t>Figures in this table are subject to rounding to the nearest million and may not add up to totals.</w:t>
      </w:r>
    </w:p>
    <w:p w14:paraId="6A05E51E" w14:textId="77777777" w:rsidR="00AB205D" w:rsidRPr="00633128" w:rsidRDefault="00471A3B">
      <w:pPr>
        <w:pStyle w:val="Note"/>
      </w:pPr>
      <w:r w:rsidRPr="00633128">
        <w:t xml:space="preserve">(b) </w:t>
      </w:r>
      <w:r w:rsidRPr="00633128">
        <w:tab/>
        <w:t>Includes depreciation, prepayments, movements in the superannuation liability and liability of employee benefits, and the progressive unwinding of the grant of a right to the operator liability.</w:t>
      </w:r>
    </w:p>
    <w:p w14:paraId="7F3393B3" w14:textId="77777777" w:rsidR="00AB205D" w:rsidRPr="00633128" w:rsidRDefault="00471A3B">
      <w:pPr>
        <w:pStyle w:val="Note"/>
      </w:pPr>
      <w:r w:rsidRPr="00633128">
        <w:t xml:space="preserve">(c) </w:t>
      </w:r>
      <w:r w:rsidRPr="00633128">
        <w:tab/>
        <w:t>Includes total purchases of plant, property and equipment, and capital contributions to other sectors of government net of proceeds from asset sales.</w:t>
      </w:r>
    </w:p>
    <w:p w14:paraId="78B63821" w14:textId="77777777" w:rsidR="00AB205D" w:rsidRPr="00633128" w:rsidRDefault="00471A3B">
      <w:pPr>
        <w:pStyle w:val="Note"/>
      </w:pPr>
      <w:r w:rsidRPr="00633128">
        <w:t>(d)</w:t>
      </w:r>
      <w:r w:rsidRPr="00633128">
        <w:tab/>
        <w:t>Includes most operating leases which are now required to be recognised as lease liabilities. This also includes financial liabilities relating to public private partnerships including the High Capacity Metro Trains, the Metro Tunnel, the new Footscray Hospital, the</w:t>
      </w:r>
      <w:r>
        <w:t xml:space="preserve"> new Melton Hospital, </w:t>
      </w:r>
      <w:r w:rsidRPr="00633128">
        <w:t xml:space="preserve">the Frankston Hospital Redevelopment, North East Link – Primary Package (Tunnels), and the Homes Victoria Ground Lease Model Projects 1 and 2. </w:t>
      </w:r>
    </w:p>
    <w:p w14:paraId="01943ECE" w14:textId="77777777" w:rsidR="00AB205D" w:rsidRPr="00633128" w:rsidRDefault="00471A3B">
      <w:pPr>
        <w:keepNext/>
      </w:pPr>
      <w:bookmarkStart w:id="27" w:name="_Hlk87365304"/>
      <w:r w:rsidRPr="00633128">
        <w:t>For the NFPS, the total net investment in fixed assets is projected to average $22.8 billion a year over the budget and forward estimates and includes:</w:t>
      </w:r>
    </w:p>
    <w:p w14:paraId="2F3A1F35" w14:textId="77777777" w:rsidR="00AB205D" w:rsidRPr="00633128" w:rsidRDefault="00471A3B" w:rsidP="00570639">
      <w:pPr>
        <w:pStyle w:val="ListBullet"/>
      </w:pPr>
      <w:r w:rsidRPr="00633128">
        <w:t>investment in transport infrastructure and rolling stock to meet patronage growth and improve network performance such as the new regional and metropolitan trains, Next Generation Trams, Metro Tunnel infrastructure works and stabling and maintenance facilities for rolling stock</w:t>
      </w:r>
    </w:p>
    <w:p w14:paraId="63CBFAD6" w14:textId="77777777" w:rsidR="00AB205D" w:rsidRPr="00633128" w:rsidRDefault="00471A3B" w:rsidP="00570639">
      <w:pPr>
        <w:pStyle w:val="ListBullet"/>
      </w:pPr>
      <w:r w:rsidRPr="00633128">
        <w:t>investment to deliver the North East Link – Primary Package (Tunnels) by the State Tolling Corporation</w:t>
      </w:r>
    </w:p>
    <w:p w14:paraId="2362CD22" w14:textId="77777777" w:rsidR="00AB205D" w:rsidRPr="00546068" w:rsidRDefault="00471A3B" w:rsidP="00570639">
      <w:pPr>
        <w:pStyle w:val="ListBullet"/>
      </w:pPr>
      <w:r w:rsidRPr="00633128">
        <w:t>various water and sewer related infrastructure projects, such as the Western Treatment Plant 5W NRP Project, Water for a growing North, rollout of digital water meters, South Melbourne Sewerage Capacity Upgrade, an upgrade of the Gisborne Recycled Water Plant and the Goulburn Murray Water’s</w:t>
      </w:r>
      <w:r>
        <w:t xml:space="preserve"> Water Efficiency project.</w:t>
      </w:r>
      <w:bookmarkEnd w:id="27"/>
    </w:p>
    <w:p w14:paraId="20644401" w14:textId="77777777" w:rsidR="00AB205D" w:rsidRDefault="00471A3B">
      <w:pPr>
        <w:pStyle w:val="Heading10"/>
      </w:pPr>
      <w:bookmarkStart w:id="28" w:name="_Toc152933029"/>
      <w:r>
        <w:lastRenderedPageBreak/>
        <w:t>Non</w:t>
      </w:r>
      <w:r>
        <w:noBreakHyphen/>
        <w:t>financial public sector net debt and net financial liabilities</w:t>
      </w:r>
      <w:bookmarkEnd w:id="28"/>
    </w:p>
    <w:p w14:paraId="4191AC1C" w14:textId="77777777" w:rsidR="00AB205D" w:rsidRPr="00633128" w:rsidRDefault="00471A3B">
      <w:r>
        <w:t xml:space="preserve">Table 3.8 details NFPS net debt and </w:t>
      </w:r>
      <w:r w:rsidRPr="00633128">
        <w:t>financial liabilities.</w:t>
      </w:r>
    </w:p>
    <w:p w14:paraId="0C848E88" w14:textId="77777777" w:rsidR="00AB205D" w:rsidRPr="00633128" w:rsidRDefault="00471A3B">
      <w:pPr>
        <w:pStyle w:val="TableHeading"/>
      </w:pPr>
      <w:r w:rsidRPr="00633128">
        <w:t>Table 3.</w:t>
      </w:r>
      <w:r>
        <w:t>8</w:t>
      </w:r>
      <w:r w:rsidRPr="00633128">
        <w:t>:</w:t>
      </w:r>
      <w:r w:rsidRPr="00633128">
        <w:tab/>
        <w:t>Non</w:t>
      </w:r>
      <w:r w:rsidRPr="00633128">
        <w:noBreakHyphen/>
        <w:t xml:space="preserve">financial public sector net debt and financial liabilities </w:t>
      </w:r>
      <w:r w:rsidRPr="00633128">
        <w:rPr>
          <w:vertAlign w:val="superscript"/>
        </w:rPr>
        <w:t>(a)</w:t>
      </w:r>
      <w:r w:rsidRPr="00633128">
        <w:tab/>
        <w:t>($ billion)</w:t>
      </w:r>
    </w:p>
    <w:tbl>
      <w:tblPr>
        <w:tblStyle w:val="DTFTableNumeric"/>
        <w:tblW w:w="7711" w:type="dxa"/>
        <w:tblLayout w:type="fixed"/>
        <w:tblLook w:val="06A0" w:firstRow="1" w:lastRow="0" w:firstColumn="1" w:lastColumn="0" w:noHBand="1" w:noVBand="1"/>
        <w:tblDescription w:val="Type:DtfTable|Workbook:Budget\BudgetUpdate\Chapter3\Link_Chapter3_NFPS_WoG.xlsx|Table:NFPS_Ndebt_NFLi"/>
      </w:tblPr>
      <w:tblGrid>
        <w:gridCol w:w="4515"/>
        <w:gridCol w:w="798"/>
        <w:gridCol w:w="799"/>
        <w:gridCol w:w="798"/>
        <w:gridCol w:w="801"/>
      </w:tblGrid>
      <w:tr w:rsidR="009C6724" w14:paraId="74E8CDB7"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15" w:type="dxa"/>
          </w:tcPr>
          <w:p w14:paraId="545CC182" w14:textId="77777777" w:rsidR="00AB205D" w:rsidRDefault="00AB205D">
            <w:pPr>
              <w:keepNext/>
            </w:pPr>
          </w:p>
        </w:tc>
        <w:tc>
          <w:tcPr>
            <w:tcW w:w="798" w:type="dxa"/>
          </w:tcPr>
          <w:p w14:paraId="05788AB9"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9" w:type="dxa"/>
          </w:tcPr>
          <w:p w14:paraId="7C6E7D4C"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8" w:type="dxa"/>
          </w:tcPr>
          <w:p w14:paraId="35C9BF40"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p>
        </w:tc>
        <w:tc>
          <w:tcPr>
            <w:tcW w:w="801" w:type="dxa"/>
          </w:tcPr>
          <w:p w14:paraId="17BAD0CC"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p>
        </w:tc>
      </w:tr>
      <w:tr w:rsidR="009C6724" w14:paraId="4E25CB0B"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15" w:type="dxa"/>
          </w:tcPr>
          <w:p w14:paraId="2228DABF" w14:textId="77777777" w:rsidR="00AB205D" w:rsidRDefault="00AB205D">
            <w:pPr>
              <w:keepNext/>
            </w:pPr>
          </w:p>
        </w:tc>
        <w:tc>
          <w:tcPr>
            <w:tcW w:w="798" w:type="dxa"/>
          </w:tcPr>
          <w:p w14:paraId="145C8F35"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revised</w:t>
            </w:r>
          </w:p>
        </w:tc>
        <w:tc>
          <w:tcPr>
            <w:tcW w:w="799" w:type="dxa"/>
          </w:tcPr>
          <w:p w14:paraId="3DEE921C"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estimate</w:t>
            </w:r>
          </w:p>
        </w:tc>
        <w:tc>
          <w:tcPr>
            <w:tcW w:w="798" w:type="dxa"/>
          </w:tcPr>
          <w:p w14:paraId="04681C4F"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estimate</w:t>
            </w:r>
          </w:p>
        </w:tc>
        <w:tc>
          <w:tcPr>
            <w:tcW w:w="801" w:type="dxa"/>
          </w:tcPr>
          <w:p w14:paraId="2912B7E6"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estimate</w:t>
            </w:r>
          </w:p>
        </w:tc>
      </w:tr>
      <w:tr w:rsidR="009C6724" w14:paraId="08998B55" w14:textId="77777777" w:rsidTr="009C6724">
        <w:tc>
          <w:tcPr>
            <w:cnfStyle w:val="001000000000" w:firstRow="0" w:lastRow="0" w:firstColumn="1" w:lastColumn="0" w:oddVBand="0" w:evenVBand="0" w:oddHBand="0" w:evenHBand="0" w:firstRowFirstColumn="0" w:firstRowLastColumn="0" w:lastRowFirstColumn="0" w:lastRowLastColumn="0"/>
            <w:tcW w:w="4515" w:type="dxa"/>
          </w:tcPr>
          <w:p w14:paraId="1AEB52B2" w14:textId="77777777" w:rsidR="00AB205D" w:rsidRDefault="00471A3B">
            <w:r>
              <w:rPr>
                <w:b/>
              </w:rPr>
              <w:t>Assets</w:t>
            </w:r>
          </w:p>
        </w:tc>
        <w:tc>
          <w:tcPr>
            <w:tcW w:w="798" w:type="dxa"/>
          </w:tcPr>
          <w:p w14:paraId="50D02724"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9" w:type="dxa"/>
          </w:tcPr>
          <w:p w14:paraId="5C7A7DEC"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8" w:type="dxa"/>
          </w:tcPr>
          <w:p w14:paraId="623DAB83"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801" w:type="dxa"/>
          </w:tcPr>
          <w:p w14:paraId="72E9A631"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03C51A44" w14:textId="77777777" w:rsidTr="009C6724">
        <w:tc>
          <w:tcPr>
            <w:cnfStyle w:val="001000000000" w:firstRow="0" w:lastRow="0" w:firstColumn="1" w:lastColumn="0" w:oddVBand="0" w:evenVBand="0" w:oddHBand="0" w:evenHBand="0" w:firstRowFirstColumn="0" w:firstRowLastColumn="0" w:lastRowFirstColumn="0" w:lastRowLastColumn="0"/>
            <w:tcW w:w="4515" w:type="dxa"/>
          </w:tcPr>
          <w:p w14:paraId="0582F427" w14:textId="77777777" w:rsidR="00AB205D" w:rsidRDefault="00471A3B">
            <w:r>
              <w:t>Cash and deposits</w:t>
            </w:r>
          </w:p>
        </w:tc>
        <w:tc>
          <w:tcPr>
            <w:tcW w:w="798" w:type="dxa"/>
          </w:tcPr>
          <w:p w14:paraId="0BDD3F75"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230EF5">
              <w:t>13.4</w:t>
            </w:r>
          </w:p>
        </w:tc>
        <w:tc>
          <w:tcPr>
            <w:tcW w:w="799" w:type="dxa"/>
          </w:tcPr>
          <w:p w14:paraId="41D82353"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230EF5">
              <w:t>13.9</w:t>
            </w:r>
          </w:p>
        </w:tc>
        <w:tc>
          <w:tcPr>
            <w:tcW w:w="798" w:type="dxa"/>
          </w:tcPr>
          <w:p w14:paraId="1BD00D5B"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230EF5">
              <w:t>14.8</w:t>
            </w:r>
          </w:p>
        </w:tc>
        <w:tc>
          <w:tcPr>
            <w:tcW w:w="801" w:type="dxa"/>
          </w:tcPr>
          <w:p w14:paraId="179D2C9C"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230EF5">
              <w:t>15.5</w:t>
            </w:r>
          </w:p>
        </w:tc>
      </w:tr>
      <w:tr w:rsidR="009C6724" w14:paraId="3ADFD0CF" w14:textId="77777777" w:rsidTr="009C6724">
        <w:tc>
          <w:tcPr>
            <w:cnfStyle w:val="001000000000" w:firstRow="0" w:lastRow="0" w:firstColumn="1" w:lastColumn="0" w:oddVBand="0" w:evenVBand="0" w:oddHBand="0" w:evenHBand="0" w:firstRowFirstColumn="0" w:firstRowLastColumn="0" w:lastRowFirstColumn="0" w:lastRowLastColumn="0"/>
            <w:tcW w:w="4515" w:type="dxa"/>
          </w:tcPr>
          <w:p w14:paraId="3B8D6205" w14:textId="77777777" w:rsidR="00AB205D" w:rsidRDefault="00471A3B">
            <w:r>
              <w:t>Advances paid</w:t>
            </w:r>
          </w:p>
        </w:tc>
        <w:tc>
          <w:tcPr>
            <w:tcW w:w="798" w:type="dxa"/>
          </w:tcPr>
          <w:p w14:paraId="39F61FF3"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230EF5">
              <w:t>0.4</w:t>
            </w:r>
          </w:p>
        </w:tc>
        <w:tc>
          <w:tcPr>
            <w:tcW w:w="799" w:type="dxa"/>
          </w:tcPr>
          <w:p w14:paraId="323487B8"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230EF5">
              <w:t>0.3</w:t>
            </w:r>
          </w:p>
        </w:tc>
        <w:tc>
          <w:tcPr>
            <w:tcW w:w="798" w:type="dxa"/>
          </w:tcPr>
          <w:p w14:paraId="24475A8A"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230EF5">
              <w:t>0.3</w:t>
            </w:r>
          </w:p>
        </w:tc>
        <w:tc>
          <w:tcPr>
            <w:tcW w:w="801" w:type="dxa"/>
          </w:tcPr>
          <w:p w14:paraId="6069188D"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230EF5">
              <w:t>0.3</w:t>
            </w:r>
          </w:p>
        </w:tc>
      </w:tr>
      <w:tr w:rsidR="009C6724" w14:paraId="53A68220" w14:textId="77777777" w:rsidTr="009C6724">
        <w:tc>
          <w:tcPr>
            <w:cnfStyle w:val="001000000000" w:firstRow="0" w:lastRow="0" w:firstColumn="1" w:lastColumn="0" w:oddVBand="0" w:evenVBand="0" w:oddHBand="0" w:evenHBand="0" w:firstRowFirstColumn="0" w:firstRowLastColumn="0" w:lastRowFirstColumn="0" w:lastRowLastColumn="0"/>
            <w:tcW w:w="4515" w:type="dxa"/>
            <w:tcBorders>
              <w:bottom w:val="single" w:sz="6" w:space="0" w:color="auto"/>
            </w:tcBorders>
          </w:tcPr>
          <w:p w14:paraId="375A6B25" w14:textId="77777777" w:rsidR="00AB205D" w:rsidRDefault="00471A3B">
            <w:r>
              <w:t>Investments, loans and placements</w:t>
            </w:r>
          </w:p>
        </w:tc>
        <w:tc>
          <w:tcPr>
            <w:tcW w:w="798" w:type="dxa"/>
            <w:tcBorders>
              <w:bottom w:val="single" w:sz="6" w:space="0" w:color="auto"/>
            </w:tcBorders>
          </w:tcPr>
          <w:p w14:paraId="22CD2B08"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230EF5">
              <w:t>14.4</w:t>
            </w:r>
          </w:p>
        </w:tc>
        <w:tc>
          <w:tcPr>
            <w:tcW w:w="799" w:type="dxa"/>
            <w:tcBorders>
              <w:bottom w:val="single" w:sz="6" w:space="0" w:color="auto"/>
            </w:tcBorders>
          </w:tcPr>
          <w:p w14:paraId="33F89B69"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230EF5">
              <w:t>16.0</w:t>
            </w:r>
          </w:p>
        </w:tc>
        <w:tc>
          <w:tcPr>
            <w:tcW w:w="798" w:type="dxa"/>
            <w:tcBorders>
              <w:bottom w:val="single" w:sz="6" w:space="0" w:color="auto"/>
            </w:tcBorders>
          </w:tcPr>
          <w:p w14:paraId="636EEC40"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230EF5">
              <w:t>17.8</w:t>
            </w:r>
          </w:p>
        </w:tc>
        <w:tc>
          <w:tcPr>
            <w:tcW w:w="801" w:type="dxa"/>
            <w:tcBorders>
              <w:bottom w:val="single" w:sz="6" w:space="0" w:color="auto"/>
            </w:tcBorders>
          </w:tcPr>
          <w:p w14:paraId="316A3CAD"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230EF5">
              <w:t>20.0</w:t>
            </w:r>
          </w:p>
        </w:tc>
      </w:tr>
      <w:tr w:rsidR="009C6724" w14:paraId="62CC794C" w14:textId="77777777" w:rsidTr="009C6724">
        <w:tc>
          <w:tcPr>
            <w:cnfStyle w:val="001000000000" w:firstRow="0" w:lastRow="0" w:firstColumn="1" w:lastColumn="0" w:oddVBand="0" w:evenVBand="0" w:oddHBand="0" w:evenHBand="0" w:firstRowFirstColumn="0" w:firstRowLastColumn="0" w:lastRowFirstColumn="0" w:lastRowLastColumn="0"/>
            <w:tcW w:w="4515" w:type="dxa"/>
            <w:tcBorders>
              <w:top w:val="single" w:sz="6" w:space="0" w:color="auto"/>
            </w:tcBorders>
          </w:tcPr>
          <w:p w14:paraId="35DAF831" w14:textId="77777777" w:rsidR="00AB205D" w:rsidRDefault="00471A3B">
            <w:r>
              <w:rPr>
                <w:b/>
              </w:rPr>
              <w:t>Total</w:t>
            </w:r>
          </w:p>
        </w:tc>
        <w:tc>
          <w:tcPr>
            <w:tcW w:w="798" w:type="dxa"/>
            <w:tcBorders>
              <w:top w:val="single" w:sz="6" w:space="0" w:color="auto"/>
            </w:tcBorders>
          </w:tcPr>
          <w:p w14:paraId="2C703F3A"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A76F0B">
              <w:rPr>
                <w:b/>
                <w:bCs/>
              </w:rPr>
              <w:t>28.2</w:t>
            </w:r>
          </w:p>
        </w:tc>
        <w:tc>
          <w:tcPr>
            <w:tcW w:w="799" w:type="dxa"/>
            <w:tcBorders>
              <w:top w:val="single" w:sz="6" w:space="0" w:color="auto"/>
            </w:tcBorders>
          </w:tcPr>
          <w:p w14:paraId="69365C39"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A76F0B">
              <w:rPr>
                <w:b/>
                <w:bCs/>
              </w:rPr>
              <w:t>30.2</w:t>
            </w:r>
          </w:p>
        </w:tc>
        <w:tc>
          <w:tcPr>
            <w:tcW w:w="798" w:type="dxa"/>
            <w:tcBorders>
              <w:top w:val="single" w:sz="6" w:space="0" w:color="auto"/>
            </w:tcBorders>
          </w:tcPr>
          <w:p w14:paraId="657CF3D6"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A76F0B">
              <w:rPr>
                <w:b/>
                <w:bCs/>
              </w:rPr>
              <w:t>32.9</w:t>
            </w:r>
          </w:p>
        </w:tc>
        <w:tc>
          <w:tcPr>
            <w:tcW w:w="801" w:type="dxa"/>
            <w:tcBorders>
              <w:top w:val="single" w:sz="6" w:space="0" w:color="auto"/>
            </w:tcBorders>
          </w:tcPr>
          <w:p w14:paraId="05A33F9F"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A76F0B">
              <w:rPr>
                <w:b/>
                <w:bCs/>
              </w:rPr>
              <w:t>35.8</w:t>
            </w:r>
          </w:p>
        </w:tc>
      </w:tr>
      <w:tr w:rsidR="009C6724" w14:paraId="5916D73F" w14:textId="77777777" w:rsidTr="009C6724">
        <w:tc>
          <w:tcPr>
            <w:cnfStyle w:val="001000000000" w:firstRow="0" w:lastRow="0" w:firstColumn="1" w:lastColumn="0" w:oddVBand="0" w:evenVBand="0" w:oddHBand="0" w:evenHBand="0" w:firstRowFirstColumn="0" w:firstRowLastColumn="0" w:lastRowFirstColumn="0" w:lastRowLastColumn="0"/>
            <w:tcW w:w="4515" w:type="dxa"/>
          </w:tcPr>
          <w:p w14:paraId="59563DD6" w14:textId="77777777" w:rsidR="00AB205D" w:rsidRDefault="00471A3B">
            <w:r>
              <w:rPr>
                <w:b/>
              </w:rPr>
              <w:t>Liabilities</w:t>
            </w:r>
          </w:p>
        </w:tc>
        <w:tc>
          <w:tcPr>
            <w:tcW w:w="798" w:type="dxa"/>
          </w:tcPr>
          <w:p w14:paraId="5C8F23CA"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230EF5">
              <w:t xml:space="preserve"> </w:t>
            </w:r>
          </w:p>
        </w:tc>
        <w:tc>
          <w:tcPr>
            <w:tcW w:w="799" w:type="dxa"/>
          </w:tcPr>
          <w:p w14:paraId="7A5CEF8B"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230EF5">
              <w:t xml:space="preserve"> </w:t>
            </w:r>
          </w:p>
        </w:tc>
        <w:tc>
          <w:tcPr>
            <w:tcW w:w="798" w:type="dxa"/>
          </w:tcPr>
          <w:p w14:paraId="5A5EAEAA"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230EF5">
              <w:t xml:space="preserve"> </w:t>
            </w:r>
          </w:p>
        </w:tc>
        <w:tc>
          <w:tcPr>
            <w:tcW w:w="801" w:type="dxa"/>
          </w:tcPr>
          <w:p w14:paraId="7D5FA3AB"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230EF5">
              <w:t xml:space="preserve"> </w:t>
            </w:r>
          </w:p>
        </w:tc>
      </w:tr>
      <w:tr w:rsidR="009C6724" w14:paraId="741EAEE6" w14:textId="77777777" w:rsidTr="009C6724">
        <w:tc>
          <w:tcPr>
            <w:cnfStyle w:val="001000000000" w:firstRow="0" w:lastRow="0" w:firstColumn="1" w:lastColumn="0" w:oddVBand="0" w:evenVBand="0" w:oddHBand="0" w:evenHBand="0" w:firstRowFirstColumn="0" w:firstRowLastColumn="0" w:lastRowFirstColumn="0" w:lastRowLastColumn="0"/>
            <w:tcW w:w="4515" w:type="dxa"/>
          </w:tcPr>
          <w:p w14:paraId="5C4C7D1A" w14:textId="77777777" w:rsidR="00AB205D" w:rsidRDefault="00471A3B">
            <w:r>
              <w:t>Deposits held and advances received</w:t>
            </w:r>
          </w:p>
        </w:tc>
        <w:tc>
          <w:tcPr>
            <w:tcW w:w="798" w:type="dxa"/>
          </w:tcPr>
          <w:p w14:paraId="7D6839E4"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230EF5">
              <w:t>1.6</w:t>
            </w:r>
          </w:p>
        </w:tc>
        <w:tc>
          <w:tcPr>
            <w:tcW w:w="799" w:type="dxa"/>
          </w:tcPr>
          <w:p w14:paraId="2281CBCD"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230EF5">
              <w:t>1.6</w:t>
            </w:r>
          </w:p>
        </w:tc>
        <w:tc>
          <w:tcPr>
            <w:tcW w:w="798" w:type="dxa"/>
          </w:tcPr>
          <w:p w14:paraId="68744792"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230EF5">
              <w:t>1.6</w:t>
            </w:r>
          </w:p>
        </w:tc>
        <w:tc>
          <w:tcPr>
            <w:tcW w:w="801" w:type="dxa"/>
          </w:tcPr>
          <w:p w14:paraId="4FEA8C8C"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230EF5">
              <w:t>1.5</w:t>
            </w:r>
          </w:p>
        </w:tc>
      </w:tr>
      <w:tr w:rsidR="009C6724" w14:paraId="66B264C1" w14:textId="77777777" w:rsidTr="009C6724">
        <w:tc>
          <w:tcPr>
            <w:cnfStyle w:val="001000000000" w:firstRow="0" w:lastRow="0" w:firstColumn="1" w:lastColumn="0" w:oddVBand="0" w:evenVBand="0" w:oddHBand="0" w:evenHBand="0" w:firstRowFirstColumn="0" w:firstRowLastColumn="0" w:lastRowFirstColumn="0" w:lastRowLastColumn="0"/>
            <w:tcW w:w="4515" w:type="dxa"/>
            <w:tcBorders>
              <w:bottom w:val="single" w:sz="6" w:space="0" w:color="auto"/>
            </w:tcBorders>
          </w:tcPr>
          <w:p w14:paraId="582897CD" w14:textId="77777777" w:rsidR="00AB205D" w:rsidRDefault="00471A3B">
            <w:r>
              <w:t>Borrowings</w:t>
            </w:r>
          </w:p>
        </w:tc>
        <w:tc>
          <w:tcPr>
            <w:tcW w:w="798" w:type="dxa"/>
            <w:tcBorders>
              <w:bottom w:val="single" w:sz="6" w:space="0" w:color="auto"/>
            </w:tcBorders>
          </w:tcPr>
          <w:p w14:paraId="28548331"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230EF5">
              <w:t>187.2</w:t>
            </w:r>
          </w:p>
        </w:tc>
        <w:tc>
          <w:tcPr>
            <w:tcW w:w="799" w:type="dxa"/>
            <w:tcBorders>
              <w:bottom w:val="single" w:sz="6" w:space="0" w:color="auto"/>
            </w:tcBorders>
          </w:tcPr>
          <w:p w14:paraId="4D39C1F9"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230EF5">
              <w:t>209.8</w:t>
            </w:r>
          </w:p>
        </w:tc>
        <w:tc>
          <w:tcPr>
            <w:tcW w:w="798" w:type="dxa"/>
            <w:tcBorders>
              <w:bottom w:val="single" w:sz="6" w:space="0" w:color="auto"/>
            </w:tcBorders>
          </w:tcPr>
          <w:p w14:paraId="3BD338C3"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230EF5">
              <w:t>228.2</w:t>
            </w:r>
          </w:p>
        </w:tc>
        <w:tc>
          <w:tcPr>
            <w:tcW w:w="801" w:type="dxa"/>
            <w:tcBorders>
              <w:bottom w:val="single" w:sz="6" w:space="0" w:color="auto"/>
            </w:tcBorders>
          </w:tcPr>
          <w:p w14:paraId="3135595F"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230EF5">
              <w:t>245.7</w:t>
            </w:r>
          </w:p>
        </w:tc>
      </w:tr>
      <w:tr w:rsidR="009C6724" w14:paraId="59189672" w14:textId="77777777" w:rsidTr="009C6724">
        <w:tc>
          <w:tcPr>
            <w:cnfStyle w:val="001000000000" w:firstRow="0" w:lastRow="0" w:firstColumn="1" w:lastColumn="0" w:oddVBand="0" w:evenVBand="0" w:oddHBand="0" w:evenHBand="0" w:firstRowFirstColumn="0" w:firstRowLastColumn="0" w:lastRowFirstColumn="0" w:lastRowLastColumn="0"/>
            <w:tcW w:w="4515" w:type="dxa"/>
            <w:tcBorders>
              <w:top w:val="single" w:sz="6" w:space="0" w:color="auto"/>
            </w:tcBorders>
          </w:tcPr>
          <w:p w14:paraId="64D038BF" w14:textId="77777777" w:rsidR="00AB205D" w:rsidRDefault="00471A3B">
            <w:r>
              <w:rPr>
                <w:b/>
              </w:rPr>
              <w:t>Total</w:t>
            </w:r>
          </w:p>
        </w:tc>
        <w:tc>
          <w:tcPr>
            <w:tcW w:w="798" w:type="dxa"/>
            <w:tcBorders>
              <w:top w:val="single" w:sz="6" w:space="0" w:color="auto"/>
            </w:tcBorders>
          </w:tcPr>
          <w:p w14:paraId="231DE229"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A76F0B">
              <w:rPr>
                <w:b/>
                <w:bCs/>
              </w:rPr>
              <w:t>188.8</w:t>
            </w:r>
          </w:p>
        </w:tc>
        <w:tc>
          <w:tcPr>
            <w:tcW w:w="799" w:type="dxa"/>
            <w:tcBorders>
              <w:top w:val="single" w:sz="6" w:space="0" w:color="auto"/>
            </w:tcBorders>
          </w:tcPr>
          <w:p w14:paraId="4C7A1284"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A76F0B">
              <w:rPr>
                <w:b/>
                <w:bCs/>
              </w:rPr>
              <w:t>211.4</w:t>
            </w:r>
          </w:p>
        </w:tc>
        <w:tc>
          <w:tcPr>
            <w:tcW w:w="798" w:type="dxa"/>
            <w:tcBorders>
              <w:top w:val="single" w:sz="6" w:space="0" w:color="auto"/>
            </w:tcBorders>
          </w:tcPr>
          <w:p w14:paraId="022520B5"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A76F0B">
              <w:rPr>
                <w:b/>
                <w:bCs/>
              </w:rPr>
              <w:t>229.8</w:t>
            </w:r>
          </w:p>
        </w:tc>
        <w:tc>
          <w:tcPr>
            <w:tcW w:w="801" w:type="dxa"/>
            <w:tcBorders>
              <w:top w:val="single" w:sz="6" w:space="0" w:color="auto"/>
            </w:tcBorders>
          </w:tcPr>
          <w:p w14:paraId="65646F8E"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A76F0B">
              <w:rPr>
                <w:b/>
                <w:bCs/>
              </w:rPr>
              <w:t>247.2</w:t>
            </w:r>
          </w:p>
        </w:tc>
      </w:tr>
      <w:tr w:rsidR="009C6724" w14:paraId="2FDEF94B" w14:textId="77777777" w:rsidTr="009C6724">
        <w:tc>
          <w:tcPr>
            <w:cnfStyle w:val="001000000000" w:firstRow="0" w:lastRow="0" w:firstColumn="1" w:lastColumn="0" w:oddVBand="0" w:evenVBand="0" w:oddHBand="0" w:evenHBand="0" w:firstRowFirstColumn="0" w:firstRowLastColumn="0" w:lastRowFirstColumn="0" w:lastRowLastColumn="0"/>
            <w:tcW w:w="4515" w:type="dxa"/>
          </w:tcPr>
          <w:p w14:paraId="1F506790" w14:textId="77777777" w:rsidR="00AB205D" w:rsidRDefault="00471A3B">
            <w:r>
              <w:rPr>
                <w:b/>
              </w:rPr>
              <w:t xml:space="preserve">Net debt </w:t>
            </w:r>
            <w:r>
              <w:rPr>
                <w:b/>
                <w:vertAlign w:val="superscript"/>
              </w:rPr>
              <w:t>(b)</w:t>
            </w:r>
          </w:p>
        </w:tc>
        <w:tc>
          <w:tcPr>
            <w:tcW w:w="798" w:type="dxa"/>
          </w:tcPr>
          <w:p w14:paraId="6AA1B21D"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A76F0B">
              <w:rPr>
                <w:b/>
                <w:bCs/>
              </w:rPr>
              <w:t>160.5</w:t>
            </w:r>
          </w:p>
        </w:tc>
        <w:tc>
          <w:tcPr>
            <w:tcW w:w="799" w:type="dxa"/>
          </w:tcPr>
          <w:p w14:paraId="583AE238"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A76F0B">
              <w:rPr>
                <w:b/>
                <w:bCs/>
              </w:rPr>
              <w:t>181.1</w:t>
            </w:r>
          </w:p>
        </w:tc>
        <w:tc>
          <w:tcPr>
            <w:tcW w:w="798" w:type="dxa"/>
          </w:tcPr>
          <w:p w14:paraId="66055675"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A76F0B">
              <w:rPr>
                <w:b/>
                <w:bCs/>
              </w:rPr>
              <w:t>196.9</w:t>
            </w:r>
          </w:p>
        </w:tc>
        <w:tc>
          <w:tcPr>
            <w:tcW w:w="801" w:type="dxa"/>
          </w:tcPr>
          <w:p w14:paraId="75D2B7B8"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A76F0B">
              <w:rPr>
                <w:b/>
                <w:bCs/>
              </w:rPr>
              <w:t>211.4</w:t>
            </w:r>
          </w:p>
        </w:tc>
      </w:tr>
      <w:tr w:rsidR="009C6724" w14:paraId="41E30C35" w14:textId="77777777" w:rsidTr="009C6724">
        <w:tc>
          <w:tcPr>
            <w:cnfStyle w:val="001000000000" w:firstRow="0" w:lastRow="0" w:firstColumn="1" w:lastColumn="0" w:oddVBand="0" w:evenVBand="0" w:oddHBand="0" w:evenHBand="0" w:firstRowFirstColumn="0" w:firstRowLastColumn="0" w:lastRowFirstColumn="0" w:lastRowLastColumn="0"/>
            <w:tcW w:w="4515" w:type="dxa"/>
            <w:tcBorders>
              <w:bottom w:val="single" w:sz="6" w:space="0" w:color="auto"/>
            </w:tcBorders>
          </w:tcPr>
          <w:p w14:paraId="180E7802" w14:textId="77777777" w:rsidR="00AB205D" w:rsidRDefault="00471A3B">
            <w:r>
              <w:t>Superannuation liability</w:t>
            </w:r>
          </w:p>
        </w:tc>
        <w:tc>
          <w:tcPr>
            <w:tcW w:w="798" w:type="dxa"/>
            <w:tcBorders>
              <w:bottom w:val="single" w:sz="6" w:space="0" w:color="auto"/>
            </w:tcBorders>
          </w:tcPr>
          <w:p w14:paraId="7E1E9C52"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230EF5">
              <w:t>17.2</w:t>
            </w:r>
          </w:p>
        </w:tc>
        <w:tc>
          <w:tcPr>
            <w:tcW w:w="799" w:type="dxa"/>
            <w:tcBorders>
              <w:bottom w:val="single" w:sz="6" w:space="0" w:color="auto"/>
            </w:tcBorders>
          </w:tcPr>
          <w:p w14:paraId="775FED72"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230EF5">
              <w:t>17.3</w:t>
            </w:r>
          </w:p>
        </w:tc>
        <w:tc>
          <w:tcPr>
            <w:tcW w:w="798" w:type="dxa"/>
            <w:tcBorders>
              <w:bottom w:val="single" w:sz="6" w:space="0" w:color="auto"/>
            </w:tcBorders>
          </w:tcPr>
          <w:p w14:paraId="362531C4"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230EF5">
              <w:t>17.6</w:t>
            </w:r>
          </w:p>
        </w:tc>
        <w:tc>
          <w:tcPr>
            <w:tcW w:w="801" w:type="dxa"/>
            <w:tcBorders>
              <w:bottom w:val="single" w:sz="6" w:space="0" w:color="auto"/>
            </w:tcBorders>
          </w:tcPr>
          <w:p w14:paraId="4BF2EFB7"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230EF5">
              <w:t>17.7</w:t>
            </w:r>
          </w:p>
        </w:tc>
      </w:tr>
      <w:tr w:rsidR="009C6724" w14:paraId="7BFDD1AF" w14:textId="77777777" w:rsidTr="009C6724">
        <w:tc>
          <w:tcPr>
            <w:cnfStyle w:val="001000000000" w:firstRow="0" w:lastRow="0" w:firstColumn="1" w:lastColumn="0" w:oddVBand="0" w:evenVBand="0" w:oddHBand="0" w:evenHBand="0" w:firstRowFirstColumn="0" w:firstRowLastColumn="0" w:lastRowFirstColumn="0" w:lastRowLastColumn="0"/>
            <w:tcW w:w="4515" w:type="dxa"/>
            <w:tcBorders>
              <w:top w:val="single" w:sz="6" w:space="0" w:color="auto"/>
            </w:tcBorders>
          </w:tcPr>
          <w:p w14:paraId="3E582718" w14:textId="77777777" w:rsidR="00AB205D" w:rsidRDefault="00471A3B">
            <w:r>
              <w:rPr>
                <w:b/>
              </w:rPr>
              <w:t>Net debt plus superannuation liability</w:t>
            </w:r>
          </w:p>
        </w:tc>
        <w:tc>
          <w:tcPr>
            <w:tcW w:w="798" w:type="dxa"/>
            <w:tcBorders>
              <w:top w:val="single" w:sz="6" w:space="0" w:color="auto"/>
            </w:tcBorders>
          </w:tcPr>
          <w:p w14:paraId="56E09564"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A76F0B">
              <w:rPr>
                <w:b/>
                <w:bCs/>
              </w:rPr>
              <w:t>177.7</w:t>
            </w:r>
          </w:p>
        </w:tc>
        <w:tc>
          <w:tcPr>
            <w:tcW w:w="799" w:type="dxa"/>
            <w:tcBorders>
              <w:top w:val="single" w:sz="6" w:space="0" w:color="auto"/>
            </w:tcBorders>
          </w:tcPr>
          <w:p w14:paraId="00CFF6B9"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A76F0B">
              <w:rPr>
                <w:b/>
                <w:bCs/>
              </w:rPr>
              <w:t>198.4</w:t>
            </w:r>
          </w:p>
        </w:tc>
        <w:tc>
          <w:tcPr>
            <w:tcW w:w="798" w:type="dxa"/>
            <w:tcBorders>
              <w:top w:val="single" w:sz="6" w:space="0" w:color="auto"/>
            </w:tcBorders>
          </w:tcPr>
          <w:p w14:paraId="4538BF12"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A76F0B">
              <w:rPr>
                <w:b/>
                <w:bCs/>
              </w:rPr>
              <w:t>214.5</w:t>
            </w:r>
          </w:p>
        </w:tc>
        <w:tc>
          <w:tcPr>
            <w:tcW w:w="801" w:type="dxa"/>
            <w:tcBorders>
              <w:top w:val="single" w:sz="6" w:space="0" w:color="auto"/>
            </w:tcBorders>
          </w:tcPr>
          <w:p w14:paraId="2D06E14B"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A76F0B">
              <w:rPr>
                <w:b/>
                <w:bCs/>
              </w:rPr>
              <w:t>229.1</w:t>
            </w:r>
          </w:p>
        </w:tc>
      </w:tr>
      <w:tr w:rsidR="009C6724" w14:paraId="4295FBD7" w14:textId="77777777" w:rsidTr="009C6724">
        <w:tc>
          <w:tcPr>
            <w:cnfStyle w:val="001000000000" w:firstRow="0" w:lastRow="0" w:firstColumn="1" w:lastColumn="0" w:oddVBand="0" w:evenVBand="0" w:oddHBand="0" w:evenHBand="0" w:firstRowFirstColumn="0" w:firstRowLastColumn="0" w:lastRowFirstColumn="0" w:lastRowLastColumn="0"/>
            <w:tcW w:w="4515" w:type="dxa"/>
            <w:tcBorders>
              <w:bottom w:val="single" w:sz="6" w:space="0" w:color="auto"/>
            </w:tcBorders>
          </w:tcPr>
          <w:p w14:paraId="536225CD" w14:textId="77777777" w:rsidR="00AB205D" w:rsidRDefault="00471A3B">
            <w:r>
              <w:t xml:space="preserve">Other liabilities (net) </w:t>
            </w:r>
            <w:r>
              <w:rPr>
                <w:vertAlign w:val="superscript"/>
              </w:rPr>
              <w:t>(c)</w:t>
            </w:r>
          </w:p>
        </w:tc>
        <w:tc>
          <w:tcPr>
            <w:tcW w:w="798" w:type="dxa"/>
            <w:tcBorders>
              <w:bottom w:val="single" w:sz="6" w:space="0" w:color="auto"/>
            </w:tcBorders>
          </w:tcPr>
          <w:p w14:paraId="775113CB"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230EF5">
              <w:t>40.2</w:t>
            </w:r>
          </w:p>
        </w:tc>
        <w:tc>
          <w:tcPr>
            <w:tcW w:w="799" w:type="dxa"/>
            <w:tcBorders>
              <w:bottom w:val="single" w:sz="6" w:space="0" w:color="auto"/>
            </w:tcBorders>
          </w:tcPr>
          <w:p w14:paraId="7C714948"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230EF5">
              <w:t>39.0</w:t>
            </w:r>
          </w:p>
        </w:tc>
        <w:tc>
          <w:tcPr>
            <w:tcW w:w="798" w:type="dxa"/>
            <w:tcBorders>
              <w:bottom w:val="single" w:sz="6" w:space="0" w:color="auto"/>
            </w:tcBorders>
          </w:tcPr>
          <w:p w14:paraId="211536C9"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230EF5">
              <w:t>38.4</w:t>
            </w:r>
          </w:p>
        </w:tc>
        <w:tc>
          <w:tcPr>
            <w:tcW w:w="801" w:type="dxa"/>
            <w:tcBorders>
              <w:bottom w:val="single" w:sz="6" w:space="0" w:color="auto"/>
            </w:tcBorders>
          </w:tcPr>
          <w:p w14:paraId="45E37896"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230EF5">
              <w:t>37.3</w:t>
            </w:r>
          </w:p>
        </w:tc>
      </w:tr>
      <w:tr w:rsidR="009C6724" w14:paraId="74B2F668" w14:textId="77777777" w:rsidTr="009C6724">
        <w:tc>
          <w:tcPr>
            <w:cnfStyle w:val="001000000000" w:firstRow="0" w:lastRow="0" w:firstColumn="1" w:lastColumn="0" w:oddVBand="0" w:evenVBand="0" w:oddHBand="0" w:evenHBand="0" w:firstRowFirstColumn="0" w:firstRowLastColumn="0" w:lastRowFirstColumn="0" w:lastRowLastColumn="0"/>
            <w:tcW w:w="4515" w:type="dxa"/>
            <w:tcBorders>
              <w:top w:val="single" w:sz="6" w:space="0" w:color="auto"/>
              <w:bottom w:val="single" w:sz="6" w:space="0" w:color="auto"/>
            </w:tcBorders>
          </w:tcPr>
          <w:p w14:paraId="0EEB4FC9" w14:textId="77777777" w:rsidR="00AB205D" w:rsidRDefault="00471A3B">
            <w:r>
              <w:rPr>
                <w:b/>
              </w:rPr>
              <w:t xml:space="preserve">Net financial liabilities </w:t>
            </w:r>
            <w:r>
              <w:rPr>
                <w:b/>
                <w:vertAlign w:val="superscript"/>
              </w:rPr>
              <w:t>(d)</w:t>
            </w:r>
          </w:p>
        </w:tc>
        <w:tc>
          <w:tcPr>
            <w:tcW w:w="798" w:type="dxa"/>
            <w:tcBorders>
              <w:top w:val="single" w:sz="6" w:space="0" w:color="auto"/>
              <w:bottom w:val="single" w:sz="6" w:space="0" w:color="auto"/>
            </w:tcBorders>
          </w:tcPr>
          <w:p w14:paraId="74607BFA"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BA515C">
              <w:rPr>
                <w:b/>
                <w:bCs/>
              </w:rPr>
              <w:t>217.9</w:t>
            </w:r>
          </w:p>
        </w:tc>
        <w:tc>
          <w:tcPr>
            <w:tcW w:w="799" w:type="dxa"/>
            <w:tcBorders>
              <w:top w:val="single" w:sz="6" w:space="0" w:color="auto"/>
              <w:bottom w:val="single" w:sz="6" w:space="0" w:color="auto"/>
            </w:tcBorders>
          </w:tcPr>
          <w:p w14:paraId="34811B3C"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BA515C">
              <w:rPr>
                <w:b/>
                <w:bCs/>
              </w:rPr>
              <w:t>237.4</w:t>
            </w:r>
          </w:p>
        </w:tc>
        <w:tc>
          <w:tcPr>
            <w:tcW w:w="798" w:type="dxa"/>
            <w:tcBorders>
              <w:top w:val="single" w:sz="6" w:space="0" w:color="auto"/>
              <w:bottom w:val="single" w:sz="6" w:space="0" w:color="auto"/>
            </w:tcBorders>
          </w:tcPr>
          <w:p w14:paraId="57FE988C"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BA515C">
              <w:rPr>
                <w:b/>
                <w:bCs/>
              </w:rPr>
              <w:t>252.9</w:t>
            </w:r>
          </w:p>
        </w:tc>
        <w:tc>
          <w:tcPr>
            <w:tcW w:w="801" w:type="dxa"/>
            <w:tcBorders>
              <w:top w:val="single" w:sz="6" w:space="0" w:color="auto"/>
              <w:bottom w:val="single" w:sz="6" w:space="0" w:color="auto"/>
            </w:tcBorders>
          </w:tcPr>
          <w:p w14:paraId="5D2F2533"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BA515C">
              <w:rPr>
                <w:b/>
                <w:bCs/>
              </w:rPr>
              <w:t>266.4</w:t>
            </w:r>
          </w:p>
        </w:tc>
      </w:tr>
      <w:tr w:rsidR="009C6724" w:rsidRPr="00F70422" w14:paraId="512CCB7F" w14:textId="77777777" w:rsidTr="00F70422">
        <w:tc>
          <w:tcPr>
            <w:cnfStyle w:val="001000000000" w:firstRow="0" w:lastRow="0" w:firstColumn="1" w:lastColumn="0" w:oddVBand="0" w:evenVBand="0" w:oddHBand="0" w:evenHBand="0" w:firstRowFirstColumn="0" w:firstRowLastColumn="0" w:lastRowFirstColumn="0" w:lastRowLastColumn="0"/>
            <w:tcW w:w="4515" w:type="dxa"/>
            <w:tcBorders>
              <w:top w:val="single" w:sz="6" w:space="0" w:color="auto"/>
            </w:tcBorders>
            <w:vAlign w:val="bottom"/>
          </w:tcPr>
          <w:p w14:paraId="10A3EEAB" w14:textId="77777777" w:rsidR="00AB205D" w:rsidRPr="00F70422" w:rsidRDefault="00AB205D" w:rsidP="00F70422">
            <w:pPr>
              <w:pStyle w:val="TableHeading"/>
              <w:jc w:val="right"/>
            </w:pPr>
          </w:p>
        </w:tc>
        <w:tc>
          <w:tcPr>
            <w:tcW w:w="3196" w:type="dxa"/>
            <w:gridSpan w:val="4"/>
            <w:tcBorders>
              <w:top w:val="single" w:sz="6" w:space="0" w:color="auto"/>
            </w:tcBorders>
            <w:vAlign w:val="bottom"/>
          </w:tcPr>
          <w:p w14:paraId="7C07C566" w14:textId="77777777" w:rsidR="00AB205D" w:rsidRPr="00F70422" w:rsidRDefault="00471A3B" w:rsidP="00F70422">
            <w:pPr>
              <w:pStyle w:val="TableHeading"/>
              <w:spacing w:before="180"/>
              <w:cnfStyle w:val="000000000000" w:firstRow="0" w:lastRow="0" w:firstColumn="0" w:lastColumn="0" w:oddVBand="0" w:evenVBand="0" w:oddHBand="0" w:evenHBand="0" w:firstRowFirstColumn="0" w:firstRowLastColumn="0" w:lastRowFirstColumn="0" w:lastRowLastColumn="0"/>
            </w:pPr>
            <w:r w:rsidRPr="00F70422">
              <w:t>(per cent)</w:t>
            </w:r>
          </w:p>
        </w:tc>
      </w:tr>
      <w:tr w:rsidR="009C6724" w14:paraId="4EEF09F7" w14:textId="77777777" w:rsidTr="009C6724">
        <w:tc>
          <w:tcPr>
            <w:cnfStyle w:val="001000000000" w:firstRow="0" w:lastRow="0" w:firstColumn="1" w:lastColumn="0" w:oddVBand="0" w:evenVBand="0" w:oddHBand="0" w:evenHBand="0" w:firstRowFirstColumn="0" w:firstRowLastColumn="0" w:lastRowFirstColumn="0" w:lastRowLastColumn="0"/>
            <w:tcW w:w="4515" w:type="dxa"/>
          </w:tcPr>
          <w:p w14:paraId="3E87A147" w14:textId="77777777" w:rsidR="00AB205D" w:rsidRDefault="00471A3B">
            <w:r>
              <w:t xml:space="preserve">Net debt to GSP </w:t>
            </w:r>
            <w:r>
              <w:rPr>
                <w:vertAlign w:val="superscript"/>
              </w:rPr>
              <w:t>(e)</w:t>
            </w:r>
          </w:p>
        </w:tc>
        <w:tc>
          <w:tcPr>
            <w:tcW w:w="798" w:type="dxa"/>
          </w:tcPr>
          <w:p w14:paraId="7442E7F9"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3D5915">
              <w:t>26.5</w:t>
            </w:r>
          </w:p>
        </w:tc>
        <w:tc>
          <w:tcPr>
            <w:tcW w:w="799" w:type="dxa"/>
          </w:tcPr>
          <w:p w14:paraId="45CA2ABA"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3D5915">
              <w:t>28.3</w:t>
            </w:r>
          </w:p>
        </w:tc>
        <w:tc>
          <w:tcPr>
            <w:tcW w:w="798" w:type="dxa"/>
          </w:tcPr>
          <w:p w14:paraId="77D5F15E"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3D5915">
              <w:t>29.3</w:t>
            </w:r>
          </w:p>
        </w:tc>
        <w:tc>
          <w:tcPr>
            <w:tcW w:w="801" w:type="dxa"/>
          </w:tcPr>
          <w:p w14:paraId="65998E25"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3D5915">
              <w:t>29.8</w:t>
            </w:r>
          </w:p>
        </w:tc>
      </w:tr>
      <w:tr w:rsidR="009C6724" w14:paraId="359F308D" w14:textId="77777777" w:rsidTr="009C6724">
        <w:tc>
          <w:tcPr>
            <w:cnfStyle w:val="001000000000" w:firstRow="0" w:lastRow="0" w:firstColumn="1" w:lastColumn="0" w:oddVBand="0" w:evenVBand="0" w:oddHBand="0" w:evenHBand="0" w:firstRowFirstColumn="0" w:firstRowLastColumn="0" w:lastRowFirstColumn="0" w:lastRowLastColumn="0"/>
            <w:tcW w:w="4515" w:type="dxa"/>
          </w:tcPr>
          <w:p w14:paraId="435E317B" w14:textId="77777777" w:rsidR="00AB205D" w:rsidRDefault="00471A3B">
            <w:r>
              <w:t xml:space="preserve">Net debt plus superannuation liability to GSP </w:t>
            </w:r>
            <w:r>
              <w:rPr>
                <w:vertAlign w:val="superscript"/>
              </w:rPr>
              <w:t>(e)</w:t>
            </w:r>
          </w:p>
        </w:tc>
        <w:tc>
          <w:tcPr>
            <w:tcW w:w="798" w:type="dxa"/>
          </w:tcPr>
          <w:p w14:paraId="0F9D12FA"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3D5915">
              <w:t>29.3</w:t>
            </w:r>
          </w:p>
        </w:tc>
        <w:tc>
          <w:tcPr>
            <w:tcW w:w="799" w:type="dxa"/>
          </w:tcPr>
          <w:p w14:paraId="17EDCBC0"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3D5915">
              <w:t>31.0</w:t>
            </w:r>
          </w:p>
        </w:tc>
        <w:tc>
          <w:tcPr>
            <w:tcW w:w="798" w:type="dxa"/>
          </w:tcPr>
          <w:p w14:paraId="18AE50CE"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3D5915">
              <w:t>31.9</w:t>
            </w:r>
          </w:p>
        </w:tc>
        <w:tc>
          <w:tcPr>
            <w:tcW w:w="801" w:type="dxa"/>
          </w:tcPr>
          <w:p w14:paraId="725EB052"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3D5915">
              <w:t>32.3</w:t>
            </w:r>
          </w:p>
        </w:tc>
      </w:tr>
      <w:tr w:rsidR="009C6724" w14:paraId="72EA2B62" w14:textId="77777777" w:rsidTr="009C6724">
        <w:tc>
          <w:tcPr>
            <w:cnfStyle w:val="001000000000" w:firstRow="0" w:lastRow="0" w:firstColumn="1" w:lastColumn="0" w:oddVBand="0" w:evenVBand="0" w:oddHBand="0" w:evenHBand="0" w:firstRowFirstColumn="0" w:firstRowLastColumn="0" w:lastRowFirstColumn="0" w:lastRowLastColumn="0"/>
            <w:tcW w:w="4515" w:type="dxa"/>
          </w:tcPr>
          <w:p w14:paraId="37166751" w14:textId="77777777" w:rsidR="00AB205D" w:rsidRDefault="00471A3B">
            <w:r>
              <w:t xml:space="preserve">Net financial liabilities to GSP </w:t>
            </w:r>
            <w:r>
              <w:rPr>
                <w:vertAlign w:val="superscript"/>
              </w:rPr>
              <w:t>(e)</w:t>
            </w:r>
          </w:p>
        </w:tc>
        <w:tc>
          <w:tcPr>
            <w:tcW w:w="798" w:type="dxa"/>
          </w:tcPr>
          <w:p w14:paraId="71865CF3"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3D5915">
              <w:t>35.9</w:t>
            </w:r>
          </w:p>
        </w:tc>
        <w:tc>
          <w:tcPr>
            <w:tcW w:w="799" w:type="dxa"/>
          </w:tcPr>
          <w:p w14:paraId="4AA8BDE7"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3D5915">
              <w:t>37.1</w:t>
            </w:r>
          </w:p>
        </w:tc>
        <w:tc>
          <w:tcPr>
            <w:tcW w:w="798" w:type="dxa"/>
          </w:tcPr>
          <w:p w14:paraId="468A28D9"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3D5915">
              <w:t>37.6</w:t>
            </w:r>
          </w:p>
        </w:tc>
        <w:tc>
          <w:tcPr>
            <w:tcW w:w="801" w:type="dxa"/>
          </w:tcPr>
          <w:p w14:paraId="3D4DF62F"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3D5915">
              <w:t>37.5</w:t>
            </w:r>
          </w:p>
        </w:tc>
      </w:tr>
      <w:tr w:rsidR="009C6724" w14:paraId="7F300098" w14:textId="77777777" w:rsidTr="009C6724">
        <w:tc>
          <w:tcPr>
            <w:cnfStyle w:val="001000000000" w:firstRow="0" w:lastRow="0" w:firstColumn="1" w:lastColumn="0" w:oddVBand="0" w:evenVBand="0" w:oddHBand="0" w:evenHBand="0" w:firstRowFirstColumn="0" w:firstRowLastColumn="0" w:lastRowFirstColumn="0" w:lastRowLastColumn="0"/>
            <w:tcW w:w="4515" w:type="dxa"/>
            <w:tcBorders>
              <w:bottom w:val="single" w:sz="12" w:space="0" w:color="auto"/>
            </w:tcBorders>
          </w:tcPr>
          <w:p w14:paraId="1C8F454A" w14:textId="77777777" w:rsidR="00AB205D" w:rsidRDefault="00471A3B">
            <w:r>
              <w:t xml:space="preserve">Net debt plus superannuation liability to revenue </w:t>
            </w:r>
            <w:r>
              <w:rPr>
                <w:vertAlign w:val="superscript"/>
              </w:rPr>
              <w:t>(f)</w:t>
            </w:r>
          </w:p>
        </w:tc>
        <w:tc>
          <w:tcPr>
            <w:tcW w:w="798" w:type="dxa"/>
            <w:tcBorders>
              <w:bottom w:val="single" w:sz="12" w:space="0" w:color="auto"/>
            </w:tcBorders>
          </w:tcPr>
          <w:p w14:paraId="3F61F6EF"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3D5915">
              <w:t>183.4</w:t>
            </w:r>
          </w:p>
        </w:tc>
        <w:tc>
          <w:tcPr>
            <w:tcW w:w="799" w:type="dxa"/>
            <w:tcBorders>
              <w:bottom w:val="single" w:sz="12" w:space="0" w:color="auto"/>
            </w:tcBorders>
          </w:tcPr>
          <w:p w14:paraId="2C4AFA81"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3D5915">
              <w:t>197.1</w:t>
            </w:r>
          </w:p>
        </w:tc>
        <w:tc>
          <w:tcPr>
            <w:tcW w:w="798" w:type="dxa"/>
            <w:tcBorders>
              <w:bottom w:val="single" w:sz="12" w:space="0" w:color="auto"/>
            </w:tcBorders>
          </w:tcPr>
          <w:p w14:paraId="5378EBDF"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3D5915">
              <w:t>203.3</w:t>
            </w:r>
          </w:p>
        </w:tc>
        <w:tc>
          <w:tcPr>
            <w:tcW w:w="801" w:type="dxa"/>
            <w:tcBorders>
              <w:bottom w:val="single" w:sz="12" w:space="0" w:color="auto"/>
            </w:tcBorders>
          </w:tcPr>
          <w:p w14:paraId="60FDAF03"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3D5915">
              <w:t>206.6</w:t>
            </w:r>
          </w:p>
        </w:tc>
      </w:tr>
    </w:tbl>
    <w:p w14:paraId="6F93C6BE" w14:textId="77777777" w:rsidR="00AB205D" w:rsidRPr="00633128" w:rsidRDefault="00471A3B">
      <w:pPr>
        <w:pStyle w:val="Note"/>
      </w:pPr>
      <w:r w:rsidRPr="00633128">
        <w:t>Notes:</w:t>
      </w:r>
    </w:p>
    <w:p w14:paraId="133C6D39" w14:textId="77777777" w:rsidR="00AB205D" w:rsidRPr="00633128" w:rsidRDefault="00471A3B">
      <w:pPr>
        <w:pStyle w:val="Note"/>
      </w:pPr>
      <w:r w:rsidRPr="00633128">
        <w:t>(a)</w:t>
      </w:r>
      <w:r w:rsidRPr="00633128">
        <w:tab/>
        <w:t>Figures in this table are subject to rounding to the nearest million and may not add up to totals.</w:t>
      </w:r>
    </w:p>
    <w:p w14:paraId="1036E379" w14:textId="77777777" w:rsidR="00AB205D" w:rsidRPr="00633128" w:rsidRDefault="00471A3B">
      <w:pPr>
        <w:pStyle w:val="Note"/>
      </w:pPr>
      <w:r w:rsidRPr="00633128">
        <w:t>(b)</w:t>
      </w:r>
      <w:r w:rsidRPr="00633128">
        <w:tab/>
        <w:t>Net debt is the sum of borrowings, deposits held and advances received less the sum of cash and deposits, advances paid, and investments, loans and placements.</w:t>
      </w:r>
    </w:p>
    <w:p w14:paraId="24C1628A" w14:textId="77777777" w:rsidR="00AB205D" w:rsidRPr="00633128" w:rsidRDefault="00471A3B">
      <w:pPr>
        <w:pStyle w:val="Note"/>
      </w:pPr>
      <w:r w:rsidRPr="00633128">
        <w:t>(c)</w:t>
      </w:r>
      <w:r w:rsidRPr="00633128">
        <w:tab/>
        <w:t>Other liabilities include other employee entitlements and provisions and other non-equity liabilities, less other non-equity financial assets.</w:t>
      </w:r>
    </w:p>
    <w:p w14:paraId="29EE09D9" w14:textId="77777777" w:rsidR="00AB205D" w:rsidRPr="00633128" w:rsidRDefault="00471A3B">
      <w:pPr>
        <w:pStyle w:val="Note"/>
      </w:pPr>
      <w:r w:rsidRPr="00633128">
        <w:t>(d)</w:t>
      </w:r>
      <w:r w:rsidRPr="00633128">
        <w:tab/>
        <w:t>Net financial liabilities is total liabilities less financial assets (excluding investments in other sector entities).</w:t>
      </w:r>
    </w:p>
    <w:p w14:paraId="2BFC88C6" w14:textId="77777777" w:rsidR="00AB205D" w:rsidRPr="00633128" w:rsidRDefault="00471A3B">
      <w:pPr>
        <w:pStyle w:val="Note"/>
      </w:pPr>
      <w:r w:rsidRPr="00633128">
        <w:t>(e)</w:t>
      </w:r>
      <w:r w:rsidRPr="00633128">
        <w:tab/>
        <w:t>The ratios to GSP may vary over time due to revisions to the Australian Bureau of Statistics GSP data.</w:t>
      </w:r>
    </w:p>
    <w:p w14:paraId="1217DD96" w14:textId="77777777" w:rsidR="00AB205D" w:rsidRPr="00633128" w:rsidRDefault="00471A3B">
      <w:pPr>
        <w:pStyle w:val="Note"/>
      </w:pPr>
      <w:r w:rsidRPr="00633128">
        <w:t>(f)</w:t>
      </w:r>
      <w:r w:rsidRPr="00633128">
        <w:tab/>
        <w:t>The sum of NFPS net debt plus the superannuation liability as a proportion of NFPS total operating revenue.</w:t>
      </w:r>
    </w:p>
    <w:p w14:paraId="389C8C2C" w14:textId="77777777" w:rsidR="00AB205D" w:rsidRPr="00633128" w:rsidRDefault="00AB205D"/>
    <w:p w14:paraId="68BA552A" w14:textId="77777777" w:rsidR="00AB205D" w:rsidRPr="00633128" w:rsidRDefault="00471A3B">
      <w:r w:rsidRPr="00633128">
        <w:t>Due to ongoing investments in infrastructure projects over the budget and forward estimates, primarily in the general government sector, NFPS net debt is projected to increase to $211.4 billion by 2026-27. Given this, the NFPS net debt to GSP ratio is projected to increase from 26.5 per cent in 2023-24 to 29.8 per cent in 2026-27.</w:t>
      </w:r>
    </w:p>
    <w:p w14:paraId="4F621CA6" w14:textId="77777777" w:rsidR="00AB205D" w:rsidRPr="00633128" w:rsidRDefault="00471A3B">
      <w:pPr>
        <w:pageBreakBefore/>
      </w:pPr>
      <w:r w:rsidRPr="00633128">
        <w:lastRenderedPageBreak/>
        <w:t>Table 3.</w:t>
      </w:r>
      <w:r>
        <w:t>9</w:t>
      </w:r>
      <w:r w:rsidRPr="00633128">
        <w:t xml:space="preserve"> provides projections of several additional indicators of financial sustainability for the NFPS.</w:t>
      </w:r>
    </w:p>
    <w:p w14:paraId="01F1F7D5" w14:textId="77777777" w:rsidR="00AB205D" w:rsidRPr="00633128" w:rsidRDefault="00471A3B">
      <w:pPr>
        <w:pStyle w:val="TableHeading"/>
      </w:pPr>
      <w:r w:rsidRPr="00633128">
        <w:t>Table 3.</w:t>
      </w:r>
      <w:r>
        <w:t>9</w:t>
      </w:r>
      <w:r w:rsidRPr="00633128">
        <w:t>:</w:t>
      </w:r>
      <w:r w:rsidRPr="00633128">
        <w:tab/>
        <w:t>Indicators of financial sustainability of non</w:t>
      </w:r>
      <w:r w:rsidRPr="00633128">
        <w:noBreakHyphen/>
        <w:t>financial public sector</w:t>
      </w:r>
      <w:r w:rsidRPr="00633128">
        <w:tab/>
        <w:t>(per cent)</w:t>
      </w:r>
    </w:p>
    <w:tbl>
      <w:tblPr>
        <w:tblStyle w:val="DTFTableNumeric"/>
        <w:tblW w:w="7710" w:type="dxa"/>
        <w:tblLayout w:type="fixed"/>
        <w:tblLook w:val="06A0" w:firstRow="1" w:lastRow="0" w:firstColumn="1" w:lastColumn="0" w:noHBand="1" w:noVBand="1"/>
        <w:tblDescription w:val="Type:DtfTable|Workbook:Budget\BudgetUpdate\Chapter3\Link_Chapter3_NFPS_WoG.xlsx|Table:Ind_FSustainability"/>
      </w:tblPr>
      <w:tblGrid>
        <w:gridCol w:w="4534"/>
        <w:gridCol w:w="794"/>
        <w:gridCol w:w="794"/>
        <w:gridCol w:w="794"/>
        <w:gridCol w:w="794"/>
      </w:tblGrid>
      <w:tr w:rsidR="009C6724" w14:paraId="604EE4A2"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4" w:type="dxa"/>
          </w:tcPr>
          <w:p w14:paraId="3ABD4C98" w14:textId="77777777" w:rsidR="00AB205D" w:rsidRDefault="00AB205D">
            <w:pPr>
              <w:keepNext/>
            </w:pPr>
          </w:p>
        </w:tc>
        <w:tc>
          <w:tcPr>
            <w:tcW w:w="794" w:type="dxa"/>
          </w:tcPr>
          <w:p w14:paraId="0B302F21"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528CA92E"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79431948"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p>
        </w:tc>
        <w:tc>
          <w:tcPr>
            <w:tcW w:w="794" w:type="dxa"/>
          </w:tcPr>
          <w:p w14:paraId="1E2DDB9D"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p>
        </w:tc>
      </w:tr>
      <w:tr w:rsidR="009C6724" w14:paraId="1432B1BD"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4" w:type="dxa"/>
            <w:tcBorders>
              <w:bottom w:val="single" w:sz="6" w:space="0" w:color="auto"/>
            </w:tcBorders>
          </w:tcPr>
          <w:p w14:paraId="4DA60972" w14:textId="77777777" w:rsidR="00AB205D" w:rsidRDefault="00AB205D">
            <w:pPr>
              <w:keepNext/>
            </w:pPr>
          </w:p>
        </w:tc>
        <w:tc>
          <w:tcPr>
            <w:tcW w:w="794" w:type="dxa"/>
            <w:tcBorders>
              <w:bottom w:val="single" w:sz="6" w:space="0" w:color="auto"/>
            </w:tcBorders>
          </w:tcPr>
          <w:p w14:paraId="75C53825"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revised</w:t>
            </w:r>
          </w:p>
        </w:tc>
        <w:tc>
          <w:tcPr>
            <w:tcW w:w="794" w:type="dxa"/>
            <w:tcBorders>
              <w:bottom w:val="single" w:sz="6" w:space="0" w:color="auto"/>
            </w:tcBorders>
          </w:tcPr>
          <w:p w14:paraId="2A07EC90"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estimate</w:t>
            </w:r>
          </w:p>
        </w:tc>
        <w:tc>
          <w:tcPr>
            <w:tcW w:w="794" w:type="dxa"/>
            <w:tcBorders>
              <w:bottom w:val="single" w:sz="6" w:space="0" w:color="auto"/>
            </w:tcBorders>
          </w:tcPr>
          <w:p w14:paraId="0D0B1360"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estimate</w:t>
            </w:r>
          </w:p>
        </w:tc>
        <w:tc>
          <w:tcPr>
            <w:tcW w:w="794" w:type="dxa"/>
            <w:tcBorders>
              <w:bottom w:val="single" w:sz="6" w:space="0" w:color="auto"/>
            </w:tcBorders>
          </w:tcPr>
          <w:p w14:paraId="7CF31327"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estimate</w:t>
            </w:r>
          </w:p>
        </w:tc>
      </w:tr>
      <w:tr w:rsidR="009C6724" w14:paraId="48458F51"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77D948CB" w14:textId="77777777" w:rsidR="00AB205D" w:rsidRDefault="00471A3B">
            <w:r>
              <w:t>Operating cash flow surplus / (deficit) to revenue</w:t>
            </w:r>
          </w:p>
        </w:tc>
        <w:tc>
          <w:tcPr>
            <w:tcW w:w="794" w:type="dxa"/>
          </w:tcPr>
          <w:p w14:paraId="65CA893B"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3E0B4E">
              <w:t>1.0</w:t>
            </w:r>
          </w:p>
        </w:tc>
        <w:tc>
          <w:tcPr>
            <w:tcW w:w="794" w:type="dxa"/>
          </w:tcPr>
          <w:p w14:paraId="25FF9572"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3E0B4E">
              <w:t>5.0</w:t>
            </w:r>
          </w:p>
        </w:tc>
        <w:tc>
          <w:tcPr>
            <w:tcW w:w="794" w:type="dxa"/>
          </w:tcPr>
          <w:p w14:paraId="5914F74D"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3E0B4E">
              <w:t>7.6</w:t>
            </w:r>
          </w:p>
        </w:tc>
        <w:tc>
          <w:tcPr>
            <w:tcW w:w="794" w:type="dxa"/>
          </w:tcPr>
          <w:p w14:paraId="14602A5B"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3E0B4E">
              <w:t>6.9</w:t>
            </w:r>
          </w:p>
        </w:tc>
      </w:tr>
      <w:tr w:rsidR="009C6724" w14:paraId="7D095483"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2F98015A" w14:textId="77777777" w:rsidR="00AB205D" w:rsidRDefault="00471A3B">
            <w:r>
              <w:t xml:space="preserve">Gross debt to revenue </w:t>
            </w:r>
            <w:r>
              <w:rPr>
                <w:vertAlign w:val="superscript"/>
              </w:rPr>
              <w:t>(a)</w:t>
            </w:r>
          </w:p>
        </w:tc>
        <w:tc>
          <w:tcPr>
            <w:tcW w:w="794" w:type="dxa"/>
          </w:tcPr>
          <w:p w14:paraId="757894E3"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3E0B4E">
              <w:t>194.8</w:t>
            </w:r>
          </w:p>
        </w:tc>
        <w:tc>
          <w:tcPr>
            <w:tcW w:w="794" w:type="dxa"/>
          </w:tcPr>
          <w:p w14:paraId="2DF4B556"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3E0B4E">
              <w:t>209.9</w:t>
            </w:r>
          </w:p>
        </w:tc>
        <w:tc>
          <w:tcPr>
            <w:tcW w:w="794" w:type="dxa"/>
          </w:tcPr>
          <w:p w14:paraId="1FDD7B3C"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3E0B4E">
              <w:t>217.8</w:t>
            </w:r>
          </w:p>
        </w:tc>
        <w:tc>
          <w:tcPr>
            <w:tcW w:w="794" w:type="dxa"/>
          </w:tcPr>
          <w:p w14:paraId="0ECD8238"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3E0B4E">
              <w:t>223.0</w:t>
            </w:r>
          </w:p>
        </w:tc>
      </w:tr>
      <w:tr w:rsidR="009C6724" w14:paraId="2A7D5A0E"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bottom w:val="single" w:sz="12" w:space="0" w:color="auto"/>
            </w:tcBorders>
          </w:tcPr>
          <w:p w14:paraId="69FC324E" w14:textId="77777777" w:rsidR="00AB205D" w:rsidRDefault="00471A3B">
            <w:r>
              <w:t>Interest expense to revenue</w:t>
            </w:r>
          </w:p>
        </w:tc>
        <w:tc>
          <w:tcPr>
            <w:tcW w:w="794" w:type="dxa"/>
            <w:tcBorders>
              <w:bottom w:val="single" w:sz="12" w:space="0" w:color="auto"/>
            </w:tcBorders>
          </w:tcPr>
          <w:p w14:paraId="0B22B8F9"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3E0B4E">
              <w:t>6.4</w:t>
            </w:r>
          </w:p>
        </w:tc>
        <w:tc>
          <w:tcPr>
            <w:tcW w:w="794" w:type="dxa"/>
            <w:tcBorders>
              <w:bottom w:val="single" w:sz="12" w:space="0" w:color="auto"/>
            </w:tcBorders>
          </w:tcPr>
          <w:p w14:paraId="4E1EEBBE"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3E0B4E">
              <w:t>7.2</w:t>
            </w:r>
          </w:p>
        </w:tc>
        <w:tc>
          <w:tcPr>
            <w:tcW w:w="794" w:type="dxa"/>
            <w:tcBorders>
              <w:bottom w:val="single" w:sz="12" w:space="0" w:color="auto"/>
            </w:tcBorders>
          </w:tcPr>
          <w:p w14:paraId="1346B636"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3E0B4E">
              <w:t>8.1</w:t>
            </w:r>
          </w:p>
        </w:tc>
        <w:tc>
          <w:tcPr>
            <w:tcW w:w="794" w:type="dxa"/>
            <w:tcBorders>
              <w:bottom w:val="single" w:sz="12" w:space="0" w:color="auto"/>
            </w:tcBorders>
          </w:tcPr>
          <w:p w14:paraId="1AC8F575" w14:textId="77777777" w:rsidR="00AB205D" w:rsidRDefault="00471A3B">
            <w:pPr>
              <w:cnfStyle w:val="000000000000" w:firstRow="0" w:lastRow="0" w:firstColumn="0" w:lastColumn="0" w:oddVBand="0" w:evenVBand="0" w:oddHBand="0" w:evenHBand="0" w:firstRowFirstColumn="0" w:firstRowLastColumn="0" w:lastRowFirstColumn="0" w:lastRowLastColumn="0"/>
            </w:pPr>
            <w:r w:rsidRPr="003E0B4E">
              <w:t>8.7</w:t>
            </w:r>
          </w:p>
        </w:tc>
      </w:tr>
    </w:tbl>
    <w:p w14:paraId="25F488AE" w14:textId="77777777" w:rsidR="00AB205D" w:rsidRPr="00633128" w:rsidRDefault="00471A3B">
      <w:pPr>
        <w:pStyle w:val="Note"/>
      </w:pPr>
      <w:r w:rsidRPr="00633128">
        <w:t>Note:</w:t>
      </w:r>
    </w:p>
    <w:p w14:paraId="312C3A87" w14:textId="77777777" w:rsidR="00AB205D" w:rsidRPr="00633128" w:rsidRDefault="00471A3B">
      <w:pPr>
        <w:pStyle w:val="Note"/>
      </w:pPr>
      <w:r w:rsidRPr="00633128">
        <w:t>(a)</w:t>
      </w:r>
      <w:r w:rsidRPr="00633128">
        <w:tab/>
        <w:t>Gross debt includes borrowings, deposits held, and advances received.</w:t>
      </w:r>
    </w:p>
    <w:p w14:paraId="08CE132E" w14:textId="77777777" w:rsidR="00AB205D" w:rsidRPr="00633128" w:rsidRDefault="00AB205D"/>
    <w:p w14:paraId="64C27FC9" w14:textId="77777777" w:rsidR="00AB205D" w:rsidRPr="00633128" w:rsidRDefault="00471A3B">
      <w:r w:rsidRPr="00633128">
        <w:t>The operating cash flow surplus to revenue ratio indicates the proportion of cash generated from operations that can be used to fund infrastructure. Due to improvements in the general government sector operating cash position, this ratio is forecast to increase from 1 per cent in 2023-24 to 6.9 per cent by 2026-27.</w:t>
      </w:r>
    </w:p>
    <w:p w14:paraId="14AD2514" w14:textId="77777777" w:rsidR="00AB205D" w:rsidRPr="00633128" w:rsidRDefault="00471A3B">
      <w:r w:rsidRPr="00633128">
        <w:t>The ratio of gross debt to revenue, which indicates the overall debt burden, is estimated to be 194.8 per cent in 2023-24 and increase to 223 per cent in 2026-27.</w:t>
      </w:r>
    </w:p>
    <w:p w14:paraId="517428B0" w14:textId="77777777" w:rsidR="00AB205D" w:rsidRPr="007460D2" w:rsidRDefault="00471A3B">
      <w:r w:rsidRPr="00633128">
        <w:t>The NFPS interest expense to revenue ratio, which is a measure of the state’s debt service burden, is also expected to increase over the budget and forward estimates period. This increase is driven by increases in debt and the higher interest rate environment</w:t>
      </w:r>
      <w:r>
        <w:t>.</w:t>
      </w:r>
    </w:p>
    <w:p w14:paraId="7049B928" w14:textId="77777777" w:rsidR="00AB205D" w:rsidRDefault="00471A3B">
      <w:pPr>
        <w:pStyle w:val="Heading10"/>
        <w:pageBreakBefore/>
      </w:pPr>
      <w:bookmarkStart w:id="29" w:name="_Toc152933030"/>
      <w:r>
        <w:lastRenderedPageBreak/>
        <w:t>State of Victoria</w:t>
      </w:r>
      <w:bookmarkEnd w:id="29"/>
    </w:p>
    <w:p w14:paraId="57512FD6" w14:textId="77777777" w:rsidR="00AB205D" w:rsidRDefault="00471A3B">
      <w:r w:rsidRPr="009013AB">
        <w:t>The State of Victoria financial results are obtained by consolidating the public financial corporations (PFC) sector with the NFPS. PFCs can be categorised into two broad types: those that provide services to the general public and businesses (such as WorkSafe Victoria, the Transport Accident Commission, Breakthrough Victoria and State Trustees Limited), and those that predominantly provide financial services to other government entities (such as the Victorian Funds Management Corporation, Treasury Corporation of Victoria and the Victorian Managed Insurance Authority).</w:t>
      </w:r>
    </w:p>
    <w:p w14:paraId="60A50BC4" w14:textId="77777777" w:rsidR="00AB205D" w:rsidRDefault="00471A3B">
      <w:pPr>
        <w:pStyle w:val="TableHeading"/>
      </w:pPr>
      <w:r>
        <w:t xml:space="preserve">Table 3.10: </w:t>
      </w:r>
      <w:r>
        <w:tab/>
        <w:t xml:space="preserve">Summary operating statement of the State of Victoria </w:t>
      </w:r>
      <w:r w:rsidRPr="005E6479">
        <w:rPr>
          <w:vertAlign w:val="superscript"/>
        </w:rPr>
        <w:t>(a)</w:t>
      </w:r>
      <w:r>
        <w:tab/>
        <w:t>($ million)</w:t>
      </w:r>
    </w:p>
    <w:tbl>
      <w:tblPr>
        <w:tblStyle w:val="DTFTableNumeric"/>
        <w:tblW w:w="7710" w:type="dxa"/>
        <w:tblLayout w:type="fixed"/>
        <w:tblLook w:val="06A0" w:firstRow="1" w:lastRow="0" w:firstColumn="1" w:lastColumn="0" w:noHBand="1" w:noVBand="1"/>
        <w:tblDescription w:val="Type:DtfTable|Workbook:Budget\BudgetUpdate\Chapter3\Link_Chapter3_NFPS_WoG.xlsx|Table:VIC_OpSt"/>
      </w:tblPr>
      <w:tblGrid>
        <w:gridCol w:w="4534"/>
        <w:gridCol w:w="794"/>
        <w:gridCol w:w="794"/>
        <w:gridCol w:w="794"/>
        <w:gridCol w:w="794"/>
      </w:tblGrid>
      <w:tr w:rsidR="009C6724" w14:paraId="48760FFB"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4" w:type="dxa"/>
          </w:tcPr>
          <w:p w14:paraId="36C1550A" w14:textId="77777777" w:rsidR="00AB205D" w:rsidRDefault="00AB205D">
            <w:pPr>
              <w:keepNext/>
              <w:spacing w:after="0"/>
            </w:pPr>
          </w:p>
        </w:tc>
        <w:tc>
          <w:tcPr>
            <w:tcW w:w="794" w:type="dxa"/>
          </w:tcPr>
          <w:p w14:paraId="31E83D9F"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3590C033"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0D2A2A4A"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2025</w:t>
            </w:r>
            <w:r>
              <w:noBreakHyphen/>
              <w:t>26</w:t>
            </w:r>
          </w:p>
        </w:tc>
        <w:tc>
          <w:tcPr>
            <w:tcW w:w="794" w:type="dxa"/>
          </w:tcPr>
          <w:p w14:paraId="25A5107B"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2026</w:t>
            </w:r>
            <w:r>
              <w:noBreakHyphen/>
              <w:t>27</w:t>
            </w:r>
          </w:p>
        </w:tc>
      </w:tr>
      <w:tr w:rsidR="009C6724" w14:paraId="6CF50BEC"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4" w:type="dxa"/>
          </w:tcPr>
          <w:p w14:paraId="744FED18" w14:textId="77777777" w:rsidR="00AB205D" w:rsidRDefault="00AB205D">
            <w:pPr>
              <w:keepNext/>
              <w:spacing w:after="0"/>
            </w:pPr>
          </w:p>
        </w:tc>
        <w:tc>
          <w:tcPr>
            <w:tcW w:w="794" w:type="dxa"/>
          </w:tcPr>
          <w:p w14:paraId="3947948D"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revised</w:t>
            </w:r>
          </w:p>
        </w:tc>
        <w:tc>
          <w:tcPr>
            <w:tcW w:w="794" w:type="dxa"/>
          </w:tcPr>
          <w:p w14:paraId="0A1AAF2E"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3CBF35E7"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0E83AF9E"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estimate</w:t>
            </w:r>
          </w:p>
        </w:tc>
      </w:tr>
      <w:tr w:rsidR="009C6724" w14:paraId="64ED81F0"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0FD76089" w14:textId="77777777" w:rsidR="00AB205D" w:rsidRDefault="00471A3B">
            <w:pPr>
              <w:spacing w:after="0"/>
            </w:pPr>
            <w:r>
              <w:rPr>
                <w:b/>
              </w:rPr>
              <w:t>Revenue and income from transactions</w:t>
            </w:r>
          </w:p>
        </w:tc>
        <w:tc>
          <w:tcPr>
            <w:tcW w:w="794" w:type="dxa"/>
          </w:tcPr>
          <w:p w14:paraId="549F2EBA"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79D06FEE"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4C62FFE9"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0D0070A1"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r>
      <w:tr w:rsidR="009C6724" w14:paraId="6A605732"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069ECFE6" w14:textId="77777777" w:rsidR="00AB205D" w:rsidRDefault="00471A3B">
            <w:pPr>
              <w:spacing w:after="0"/>
            </w:pPr>
            <w:r>
              <w:t>Taxation</w:t>
            </w:r>
          </w:p>
        </w:tc>
        <w:tc>
          <w:tcPr>
            <w:tcW w:w="794" w:type="dxa"/>
          </w:tcPr>
          <w:p w14:paraId="159A59C3"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B66450">
              <w:t>35 258</w:t>
            </w:r>
          </w:p>
        </w:tc>
        <w:tc>
          <w:tcPr>
            <w:tcW w:w="794" w:type="dxa"/>
          </w:tcPr>
          <w:p w14:paraId="5D7251F3"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B66450">
              <w:t>37 499</w:t>
            </w:r>
          </w:p>
        </w:tc>
        <w:tc>
          <w:tcPr>
            <w:tcW w:w="794" w:type="dxa"/>
          </w:tcPr>
          <w:p w14:paraId="05BEB564"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B66450">
              <w:t>39 280</w:t>
            </w:r>
          </w:p>
        </w:tc>
        <w:tc>
          <w:tcPr>
            <w:tcW w:w="794" w:type="dxa"/>
          </w:tcPr>
          <w:p w14:paraId="00417634"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B66450">
              <w:t>41 188</w:t>
            </w:r>
          </w:p>
        </w:tc>
      </w:tr>
      <w:tr w:rsidR="009C6724" w14:paraId="0B28299E"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0CFDFCC0" w14:textId="77777777" w:rsidR="00AB205D" w:rsidRDefault="00471A3B">
            <w:pPr>
              <w:spacing w:after="0"/>
            </w:pPr>
            <w:r>
              <w:t>Dividends and interest</w:t>
            </w:r>
          </w:p>
        </w:tc>
        <w:tc>
          <w:tcPr>
            <w:tcW w:w="794" w:type="dxa"/>
          </w:tcPr>
          <w:p w14:paraId="06D5FC9D"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B66450">
              <w:t>4 551</w:t>
            </w:r>
          </w:p>
        </w:tc>
        <w:tc>
          <w:tcPr>
            <w:tcW w:w="794" w:type="dxa"/>
          </w:tcPr>
          <w:p w14:paraId="5A48C29D"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B66450">
              <w:t>4 152</w:t>
            </w:r>
          </w:p>
        </w:tc>
        <w:tc>
          <w:tcPr>
            <w:tcW w:w="794" w:type="dxa"/>
          </w:tcPr>
          <w:p w14:paraId="345EE7FD"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B66450">
              <w:t>4 380</w:t>
            </w:r>
          </w:p>
        </w:tc>
        <w:tc>
          <w:tcPr>
            <w:tcW w:w="794" w:type="dxa"/>
          </w:tcPr>
          <w:p w14:paraId="37F69E6A"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B66450">
              <w:t>5 028</w:t>
            </w:r>
          </w:p>
        </w:tc>
      </w:tr>
      <w:tr w:rsidR="009C6724" w14:paraId="45C081EB"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1ED15576" w14:textId="77777777" w:rsidR="00AB205D" w:rsidRDefault="00471A3B">
            <w:pPr>
              <w:spacing w:after="0"/>
            </w:pPr>
            <w:r>
              <w:t>Sales of goods and services</w:t>
            </w:r>
          </w:p>
        </w:tc>
        <w:tc>
          <w:tcPr>
            <w:tcW w:w="794" w:type="dxa"/>
          </w:tcPr>
          <w:p w14:paraId="5FC85925"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B66450">
              <w:t>19 632</w:t>
            </w:r>
          </w:p>
        </w:tc>
        <w:tc>
          <w:tcPr>
            <w:tcW w:w="794" w:type="dxa"/>
          </w:tcPr>
          <w:p w14:paraId="2410D302"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B66450">
              <w:t>20 609</w:t>
            </w:r>
          </w:p>
        </w:tc>
        <w:tc>
          <w:tcPr>
            <w:tcW w:w="794" w:type="dxa"/>
          </w:tcPr>
          <w:p w14:paraId="347BC327"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B66450">
              <w:t>21 020</w:t>
            </w:r>
          </w:p>
        </w:tc>
        <w:tc>
          <w:tcPr>
            <w:tcW w:w="794" w:type="dxa"/>
          </w:tcPr>
          <w:p w14:paraId="0AFA7754"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B66450">
              <w:t>22 327</w:t>
            </w:r>
          </w:p>
        </w:tc>
      </w:tr>
      <w:tr w:rsidR="009C6724" w14:paraId="31519EB8"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0544FB40" w14:textId="77777777" w:rsidR="00AB205D" w:rsidRDefault="00471A3B">
            <w:pPr>
              <w:spacing w:after="0"/>
            </w:pPr>
            <w:r>
              <w:t>Grants</w:t>
            </w:r>
          </w:p>
        </w:tc>
        <w:tc>
          <w:tcPr>
            <w:tcW w:w="794" w:type="dxa"/>
          </w:tcPr>
          <w:p w14:paraId="426788C9"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B66450">
              <w:t>40 436</w:t>
            </w:r>
          </w:p>
        </w:tc>
        <w:tc>
          <w:tcPr>
            <w:tcW w:w="794" w:type="dxa"/>
          </w:tcPr>
          <w:p w14:paraId="18F76C40"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B66450">
              <w:t>43 108</w:t>
            </w:r>
          </w:p>
        </w:tc>
        <w:tc>
          <w:tcPr>
            <w:tcW w:w="794" w:type="dxa"/>
          </w:tcPr>
          <w:p w14:paraId="670095EF"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B66450">
              <w:t>46 025</w:t>
            </w:r>
          </w:p>
        </w:tc>
        <w:tc>
          <w:tcPr>
            <w:tcW w:w="794" w:type="dxa"/>
          </w:tcPr>
          <w:p w14:paraId="1C84E4FE"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B66450">
              <w:t>47 205</w:t>
            </w:r>
          </w:p>
        </w:tc>
      </w:tr>
      <w:tr w:rsidR="009C6724" w14:paraId="5560A86F"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bottom w:val="single" w:sz="6" w:space="0" w:color="auto"/>
            </w:tcBorders>
          </w:tcPr>
          <w:p w14:paraId="2342C666" w14:textId="77777777" w:rsidR="00AB205D" w:rsidRDefault="00471A3B">
            <w:pPr>
              <w:spacing w:after="0"/>
            </w:pPr>
            <w:r>
              <w:t>Other revenue and income</w:t>
            </w:r>
          </w:p>
        </w:tc>
        <w:tc>
          <w:tcPr>
            <w:tcW w:w="794" w:type="dxa"/>
            <w:tcBorders>
              <w:bottom w:val="single" w:sz="6" w:space="0" w:color="auto"/>
            </w:tcBorders>
          </w:tcPr>
          <w:p w14:paraId="53C1EA74"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B66450">
              <w:t>4 377</w:t>
            </w:r>
          </w:p>
        </w:tc>
        <w:tc>
          <w:tcPr>
            <w:tcW w:w="794" w:type="dxa"/>
            <w:tcBorders>
              <w:bottom w:val="single" w:sz="6" w:space="0" w:color="auto"/>
            </w:tcBorders>
          </w:tcPr>
          <w:p w14:paraId="514C5535"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B66450">
              <w:t>4 016</w:t>
            </w:r>
          </w:p>
        </w:tc>
        <w:tc>
          <w:tcPr>
            <w:tcW w:w="794" w:type="dxa"/>
            <w:tcBorders>
              <w:bottom w:val="single" w:sz="6" w:space="0" w:color="auto"/>
            </w:tcBorders>
          </w:tcPr>
          <w:p w14:paraId="786DAFC3"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B66450">
              <w:t>4 171</w:t>
            </w:r>
          </w:p>
        </w:tc>
        <w:tc>
          <w:tcPr>
            <w:tcW w:w="794" w:type="dxa"/>
            <w:tcBorders>
              <w:bottom w:val="single" w:sz="6" w:space="0" w:color="auto"/>
            </w:tcBorders>
          </w:tcPr>
          <w:p w14:paraId="22FCC00E"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B66450">
              <w:t>4 737</w:t>
            </w:r>
          </w:p>
        </w:tc>
      </w:tr>
      <w:tr w:rsidR="009C6724" w14:paraId="18B94BF9"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tcBorders>
          </w:tcPr>
          <w:p w14:paraId="782A91DF" w14:textId="77777777" w:rsidR="00AB205D" w:rsidRDefault="00471A3B">
            <w:pPr>
              <w:spacing w:after="0"/>
            </w:pPr>
            <w:r>
              <w:rPr>
                <w:b/>
              </w:rPr>
              <w:t>Total revenue and income from transactions</w:t>
            </w:r>
          </w:p>
        </w:tc>
        <w:tc>
          <w:tcPr>
            <w:tcW w:w="794" w:type="dxa"/>
            <w:tcBorders>
              <w:top w:val="single" w:sz="6" w:space="0" w:color="auto"/>
            </w:tcBorders>
          </w:tcPr>
          <w:p w14:paraId="142B1944"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EF12D7">
              <w:rPr>
                <w:b/>
                <w:bCs/>
              </w:rPr>
              <w:t>104 254</w:t>
            </w:r>
          </w:p>
        </w:tc>
        <w:tc>
          <w:tcPr>
            <w:tcW w:w="794" w:type="dxa"/>
            <w:tcBorders>
              <w:top w:val="single" w:sz="6" w:space="0" w:color="auto"/>
            </w:tcBorders>
          </w:tcPr>
          <w:p w14:paraId="547505EA"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EF12D7">
              <w:rPr>
                <w:b/>
                <w:bCs/>
              </w:rPr>
              <w:t>109 384</w:t>
            </w:r>
          </w:p>
        </w:tc>
        <w:tc>
          <w:tcPr>
            <w:tcW w:w="794" w:type="dxa"/>
            <w:tcBorders>
              <w:top w:val="single" w:sz="6" w:space="0" w:color="auto"/>
            </w:tcBorders>
          </w:tcPr>
          <w:p w14:paraId="2870D566"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EF12D7">
              <w:rPr>
                <w:b/>
                <w:bCs/>
              </w:rPr>
              <w:t>114 876</w:t>
            </w:r>
          </w:p>
        </w:tc>
        <w:tc>
          <w:tcPr>
            <w:tcW w:w="794" w:type="dxa"/>
            <w:tcBorders>
              <w:top w:val="single" w:sz="6" w:space="0" w:color="auto"/>
            </w:tcBorders>
          </w:tcPr>
          <w:p w14:paraId="0BB77968"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EF12D7">
              <w:rPr>
                <w:b/>
                <w:bCs/>
              </w:rPr>
              <w:t>120 486</w:t>
            </w:r>
          </w:p>
        </w:tc>
      </w:tr>
      <w:tr w:rsidR="009C6724" w14:paraId="049F18F6"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17A443FC" w14:textId="77777777" w:rsidR="00AB205D" w:rsidRDefault="00471A3B">
            <w:pPr>
              <w:spacing w:after="0"/>
            </w:pPr>
            <w:r>
              <w:rPr>
                <w:i/>
              </w:rPr>
              <w:t xml:space="preserve">% change </w:t>
            </w:r>
            <w:r>
              <w:rPr>
                <w:i/>
                <w:vertAlign w:val="superscript"/>
              </w:rPr>
              <w:t>(b)</w:t>
            </w:r>
          </w:p>
        </w:tc>
        <w:tc>
          <w:tcPr>
            <w:tcW w:w="794" w:type="dxa"/>
          </w:tcPr>
          <w:p w14:paraId="13D0DAB0"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3E0B4E">
              <w:rPr>
                <w:i/>
                <w:iCs/>
              </w:rPr>
              <w:t>5.9</w:t>
            </w:r>
          </w:p>
        </w:tc>
        <w:tc>
          <w:tcPr>
            <w:tcW w:w="794" w:type="dxa"/>
          </w:tcPr>
          <w:p w14:paraId="4E6257FF"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3E0B4E">
              <w:rPr>
                <w:i/>
                <w:iCs/>
              </w:rPr>
              <w:t>4.9</w:t>
            </w:r>
          </w:p>
        </w:tc>
        <w:tc>
          <w:tcPr>
            <w:tcW w:w="794" w:type="dxa"/>
          </w:tcPr>
          <w:p w14:paraId="2DD6A51C"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EF12D7">
              <w:rPr>
                <w:i/>
                <w:iCs/>
              </w:rPr>
              <w:t>5.0</w:t>
            </w:r>
          </w:p>
        </w:tc>
        <w:tc>
          <w:tcPr>
            <w:tcW w:w="794" w:type="dxa"/>
          </w:tcPr>
          <w:p w14:paraId="1E88E3FD"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EF12D7">
              <w:rPr>
                <w:i/>
                <w:iCs/>
              </w:rPr>
              <w:t>4.9</w:t>
            </w:r>
          </w:p>
        </w:tc>
      </w:tr>
      <w:tr w:rsidR="009C6724" w14:paraId="2F4D3F57"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668D43BF" w14:textId="77777777" w:rsidR="00AB205D" w:rsidRDefault="00471A3B">
            <w:pPr>
              <w:spacing w:after="0"/>
            </w:pPr>
            <w:r>
              <w:rPr>
                <w:b/>
              </w:rPr>
              <w:t>Expenses from transactions</w:t>
            </w:r>
          </w:p>
        </w:tc>
        <w:tc>
          <w:tcPr>
            <w:tcW w:w="794" w:type="dxa"/>
          </w:tcPr>
          <w:p w14:paraId="546CE0EF"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3E0B4E">
              <w:t xml:space="preserve"> </w:t>
            </w:r>
          </w:p>
        </w:tc>
        <w:tc>
          <w:tcPr>
            <w:tcW w:w="794" w:type="dxa"/>
          </w:tcPr>
          <w:p w14:paraId="6FFE15E6"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3E0B4E">
              <w:t xml:space="preserve"> </w:t>
            </w:r>
          </w:p>
        </w:tc>
        <w:tc>
          <w:tcPr>
            <w:tcW w:w="794" w:type="dxa"/>
          </w:tcPr>
          <w:p w14:paraId="019B1A09"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B66450">
              <w:t xml:space="preserve"> </w:t>
            </w:r>
          </w:p>
        </w:tc>
        <w:tc>
          <w:tcPr>
            <w:tcW w:w="794" w:type="dxa"/>
          </w:tcPr>
          <w:p w14:paraId="364279F3"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B66450">
              <w:t xml:space="preserve"> </w:t>
            </w:r>
          </w:p>
        </w:tc>
      </w:tr>
      <w:tr w:rsidR="009C6724" w14:paraId="4A3445D5"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4183A64D" w14:textId="77777777" w:rsidR="00AB205D" w:rsidRDefault="00471A3B">
            <w:pPr>
              <w:spacing w:after="0"/>
            </w:pPr>
            <w:r>
              <w:t>Employee expenses</w:t>
            </w:r>
          </w:p>
        </w:tc>
        <w:tc>
          <w:tcPr>
            <w:tcW w:w="794" w:type="dxa"/>
          </w:tcPr>
          <w:p w14:paraId="728FAC90"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B66450">
              <w:t>36 362</w:t>
            </w:r>
          </w:p>
        </w:tc>
        <w:tc>
          <w:tcPr>
            <w:tcW w:w="794" w:type="dxa"/>
          </w:tcPr>
          <w:p w14:paraId="0CDC134A"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B66450">
              <w:t>37 448</w:t>
            </w:r>
          </w:p>
        </w:tc>
        <w:tc>
          <w:tcPr>
            <w:tcW w:w="794" w:type="dxa"/>
          </w:tcPr>
          <w:p w14:paraId="71DCC4D6"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B66450">
              <w:t>38 477</w:t>
            </w:r>
          </w:p>
        </w:tc>
        <w:tc>
          <w:tcPr>
            <w:tcW w:w="794" w:type="dxa"/>
          </w:tcPr>
          <w:p w14:paraId="3D784678"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B66450">
              <w:t>40 143</w:t>
            </w:r>
          </w:p>
        </w:tc>
      </w:tr>
      <w:tr w:rsidR="009C6724" w14:paraId="40FAD307"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5267C6DB" w14:textId="77777777" w:rsidR="00AB205D" w:rsidRDefault="00471A3B">
            <w:pPr>
              <w:spacing w:after="0"/>
            </w:pPr>
            <w:r>
              <w:t xml:space="preserve">Superannuation </w:t>
            </w:r>
            <w:r>
              <w:rPr>
                <w:vertAlign w:val="superscript"/>
              </w:rPr>
              <w:t>(c)</w:t>
            </w:r>
          </w:p>
        </w:tc>
        <w:tc>
          <w:tcPr>
            <w:tcW w:w="794" w:type="dxa"/>
          </w:tcPr>
          <w:p w14:paraId="7244AE86"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E6617E">
              <w:t>4 646</w:t>
            </w:r>
          </w:p>
        </w:tc>
        <w:tc>
          <w:tcPr>
            <w:tcW w:w="794" w:type="dxa"/>
          </w:tcPr>
          <w:p w14:paraId="4FE84B42"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E6617E">
              <w:t>4 656</w:t>
            </w:r>
          </w:p>
        </w:tc>
        <w:tc>
          <w:tcPr>
            <w:tcW w:w="794" w:type="dxa"/>
          </w:tcPr>
          <w:p w14:paraId="1D9BF121"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E6617E">
              <w:t>4 711</w:t>
            </w:r>
          </w:p>
        </w:tc>
        <w:tc>
          <w:tcPr>
            <w:tcW w:w="794" w:type="dxa"/>
          </w:tcPr>
          <w:p w14:paraId="027E43C7"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E6617E">
              <w:t>4 796</w:t>
            </w:r>
          </w:p>
        </w:tc>
      </w:tr>
      <w:tr w:rsidR="009C6724" w14:paraId="7EFCFA2A"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717E940D" w14:textId="77777777" w:rsidR="00AB205D" w:rsidRDefault="00471A3B">
            <w:pPr>
              <w:spacing w:after="0"/>
            </w:pPr>
            <w:r>
              <w:t>Depreciation</w:t>
            </w:r>
          </w:p>
        </w:tc>
        <w:tc>
          <w:tcPr>
            <w:tcW w:w="794" w:type="dxa"/>
          </w:tcPr>
          <w:p w14:paraId="2002A5C5"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B66450">
              <w:t>8 124</w:t>
            </w:r>
          </w:p>
        </w:tc>
        <w:tc>
          <w:tcPr>
            <w:tcW w:w="794" w:type="dxa"/>
          </w:tcPr>
          <w:p w14:paraId="209E318A"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B66450">
              <w:t>8 616</w:t>
            </w:r>
          </w:p>
        </w:tc>
        <w:tc>
          <w:tcPr>
            <w:tcW w:w="794" w:type="dxa"/>
          </w:tcPr>
          <w:p w14:paraId="6FDF2CBC"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B66450">
              <w:t>8 996</w:t>
            </w:r>
          </w:p>
        </w:tc>
        <w:tc>
          <w:tcPr>
            <w:tcW w:w="794" w:type="dxa"/>
          </w:tcPr>
          <w:p w14:paraId="5FC40B93"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B66450">
              <w:t>9 536</w:t>
            </w:r>
          </w:p>
        </w:tc>
      </w:tr>
      <w:tr w:rsidR="009C6724" w14:paraId="4AF903BE"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4A160F73" w14:textId="77777777" w:rsidR="00AB205D" w:rsidRDefault="00471A3B">
            <w:pPr>
              <w:spacing w:after="0"/>
            </w:pPr>
            <w:r>
              <w:t>Interest expense</w:t>
            </w:r>
          </w:p>
        </w:tc>
        <w:tc>
          <w:tcPr>
            <w:tcW w:w="794" w:type="dxa"/>
          </w:tcPr>
          <w:p w14:paraId="4B5B81B9"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B66450">
              <w:t>6 665</w:t>
            </w:r>
          </w:p>
        </w:tc>
        <w:tc>
          <w:tcPr>
            <w:tcW w:w="794" w:type="dxa"/>
          </w:tcPr>
          <w:p w14:paraId="108C72F9"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B66450">
              <w:t>7 704</w:t>
            </w:r>
          </w:p>
        </w:tc>
        <w:tc>
          <w:tcPr>
            <w:tcW w:w="794" w:type="dxa"/>
          </w:tcPr>
          <w:p w14:paraId="772368FC"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B66450">
              <w:t>8 988</w:t>
            </w:r>
          </w:p>
        </w:tc>
        <w:tc>
          <w:tcPr>
            <w:tcW w:w="794" w:type="dxa"/>
          </w:tcPr>
          <w:p w14:paraId="247F8409"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B66450">
              <w:t>10 171</w:t>
            </w:r>
          </w:p>
        </w:tc>
      </w:tr>
      <w:tr w:rsidR="009C6724" w14:paraId="213B3106"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4E116BE3" w14:textId="77777777" w:rsidR="00AB205D" w:rsidRDefault="00471A3B">
            <w:pPr>
              <w:spacing w:after="0"/>
            </w:pPr>
            <w:r>
              <w:t>Grant expense</w:t>
            </w:r>
          </w:p>
        </w:tc>
        <w:tc>
          <w:tcPr>
            <w:tcW w:w="794" w:type="dxa"/>
          </w:tcPr>
          <w:p w14:paraId="0D64B178"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B66450">
              <w:t>15 358</w:t>
            </w:r>
          </w:p>
        </w:tc>
        <w:tc>
          <w:tcPr>
            <w:tcW w:w="794" w:type="dxa"/>
          </w:tcPr>
          <w:p w14:paraId="6AF8FF70"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B66450">
              <w:t>15 609</w:t>
            </w:r>
          </w:p>
        </w:tc>
        <w:tc>
          <w:tcPr>
            <w:tcW w:w="794" w:type="dxa"/>
          </w:tcPr>
          <w:p w14:paraId="6D6C6A64"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B66450">
              <w:t>15 403</w:t>
            </w:r>
          </w:p>
        </w:tc>
        <w:tc>
          <w:tcPr>
            <w:tcW w:w="794" w:type="dxa"/>
          </w:tcPr>
          <w:p w14:paraId="733A5E29"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B66450">
              <w:t>15 464</w:t>
            </w:r>
          </w:p>
        </w:tc>
      </w:tr>
      <w:tr w:rsidR="009C6724" w14:paraId="06685B40"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76D47CD5" w14:textId="77777777" w:rsidR="00AB205D" w:rsidRDefault="00471A3B">
            <w:pPr>
              <w:spacing w:after="0"/>
            </w:pPr>
            <w:r>
              <w:t>Other operating expenses</w:t>
            </w:r>
          </w:p>
        </w:tc>
        <w:tc>
          <w:tcPr>
            <w:tcW w:w="794" w:type="dxa"/>
          </w:tcPr>
          <w:p w14:paraId="50C5E66C"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B66450">
              <w:t>42 616</w:t>
            </w:r>
          </w:p>
        </w:tc>
        <w:tc>
          <w:tcPr>
            <w:tcW w:w="794" w:type="dxa"/>
          </w:tcPr>
          <w:p w14:paraId="53259E91"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B66450">
              <w:t>41 605</w:t>
            </w:r>
          </w:p>
        </w:tc>
        <w:tc>
          <w:tcPr>
            <w:tcW w:w="794" w:type="dxa"/>
          </w:tcPr>
          <w:p w14:paraId="6540F8A4"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B66450">
              <w:t>42 521</w:t>
            </w:r>
          </w:p>
        </w:tc>
        <w:tc>
          <w:tcPr>
            <w:tcW w:w="794" w:type="dxa"/>
          </w:tcPr>
          <w:p w14:paraId="088F8EDD"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B66450">
              <w:t>45 260</w:t>
            </w:r>
          </w:p>
        </w:tc>
      </w:tr>
      <w:tr w:rsidR="009C6724" w14:paraId="28B1E0E7"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6C816B1B" w14:textId="77777777" w:rsidR="00AB205D" w:rsidRDefault="00471A3B">
            <w:pPr>
              <w:spacing w:after="0"/>
            </w:pPr>
            <w:r>
              <w:rPr>
                <w:b/>
              </w:rPr>
              <w:t>Total expenses from transactions</w:t>
            </w:r>
          </w:p>
        </w:tc>
        <w:tc>
          <w:tcPr>
            <w:tcW w:w="794" w:type="dxa"/>
          </w:tcPr>
          <w:p w14:paraId="3BF6E83D"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EF12D7">
              <w:rPr>
                <w:b/>
                <w:bCs/>
              </w:rPr>
              <w:t>113 772</w:t>
            </w:r>
          </w:p>
        </w:tc>
        <w:tc>
          <w:tcPr>
            <w:tcW w:w="794" w:type="dxa"/>
          </w:tcPr>
          <w:p w14:paraId="0A3848B3"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EF12D7">
              <w:rPr>
                <w:b/>
                <w:bCs/>
              </w:rPr>
              <w:t>115 638</w:t>
            </w:r>
          </w:p>
        </w:tc>
        <w:tc>
          <w:tcPr>
            <w:tcW w:w="794" w:type="dxa"/>
          </w:tcPr>
          <w:p w14:paraId="2C49BB05"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EF12D7">
              <w:rPr>
                <w:b/>
                <w:bCs/>
              </w:rPr>
              <w:t>119 096</w:t>
            </w:r>
          </w:p>
        </w:tc>
        <w:tc>
          <w:tcPr>
            <w:tcW w:w="794" w:type="dxa"/>
          </w:tcPr>
          <w:p w14:paraId="239866F1"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EF12D7">
              <w:rPr>
                <w:b/>
                <w:bCs/>
              </w:rPr>
              <w:t>125 370</w:t>
            </w:r>
          </w:p>
        </w:tc>
      </w:tr>
      <w:tr w:rsidR="009C6724" w14:paraId="221143CB"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bottom w:val="single" w:sz="6" w:space="0" w:color="auto"/>
            </w:tcBorders>
          </w:tcPr>
          <w:p w14:paraId="4B0DBDFB" w14:textId="77777777" w:rsidR="00AB205D" w:rsidRDefault="00471A3B">
            <w:pPr>
              <w:spacing w:after="0"/>
            </w:pPr>
            <w:r>
              <w:rPr>
                <w:i/>
              </w:rPr>
              <w:t xml:space="preserve">% change </w:t>
            </w:r>
            <w:r>
              <w:rPr>
                <w:i/>
                <w:vertAlign w:val="superscript"/>
              </w:rPr>
              <w:t>(b)</w:t>
            </w:r>
          </w:p>
        </w:tc>
        <w:tc>
          <w:tcPr>
            <w:tcW w:w="794" w:type="dxa"/>
            <w:tcBorders>
              <w:bottom w:val="single" w:sz="6" w:space="0" w:color="auto"/>
            </w:tcBorders>
          </w:tcPr>
          <w:p w14:paraId="693E2BA2"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EF12D7">
              <w:rPr>
                <w:i/>
                <w:iCs/>
              </w:rPr>
              <w:t>2.3</w:t>
            </w:r>
          </w:p>
        </w:tc>
        <w:tc>
          <w:tcPr>
            <w:tcW w:w="794" w:type="dxa"/>
            <w:tcBorders>
              <w:bottom w:val="single" w:sz="6" w:space="0" w:color="auto"/>
            </w:tcBorders>
          </w:tcPr>
          <w:p w14:paraId="111CE3CF"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EF12D7">
              <w:rPr>
                <w:i/>
                <w:iCs/>
              </w:rPr>
              <w:t>1.6</w:t>
            </w:r>
          </w:p>
        </w:tc>
        <w:tc>
          <w:tcPr>
            <w:tcW w:w="794" w:type="dxa"/>
            <w:tcBorders>
              <w:bottom w:val="single" w:sz="6" w:space="0" w:color="auto"/>
            </w:tcBorders>
          </w:tcPr>
          <w:p w14:paraId="1C5C3CA4"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EF12D7">
              <w:rPr>
                <w:i/>
                <w:iCs/>
              </w:rPr>
              <w:t>3.0</w:t>
            </w:r>
          </w:p>
        </w:tc>
        <w:tc>
          <w:tcPr>
            <w:tcW w:w="794" w:type="dxa"/>
            <w:tcBorders>
              <w:bottom w:val="single" w:sz="6" w:space="0" w:color="auto"/>
            </w:tcBorders>
          </w:tcPr>
          <w:p w14:paraId="198F1B26"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EF12D7">
              <w:rPr>
                <w:i/>
                <w:iCs/>
              </w:rPr>
              <w:t>5.3</w:t>
            </w:r>
          </w:p>
        </w:tc>
      </w:tr>
      <w:tr w:rsidR="009C6724" w14:paraId="092B0341"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bottom w:val="single" w:sz="6" w:space="0" w:color="auto"/>
            </w:tcBorders>
          </w:tcPr>
          <w:p w14:paraId="0B628510" w14:textId="77777777" w:rsidR="00AB205D" w:rsidRDefault="00471A3B">
            <w:pPr>
              <w:spacing w:after="0"/>
            </w:pPr>
            <w:r>
              <w:rPr>
                <w:b/>
              </w:rPr>
              <w:t>Net result from transactions</w:t>
            </w:r>
          </w:p>
        </w:tc>
        <w:tc>
          <w:tcPr>
            <w:tcW w:w="794" w:type="dxa"/>
            <w:tcBorders>
              <w:top w:val="single" w:sz="6" w:space="0" w:color="auto"/>
              <w:bottom w:val="single" w:sz="6" w:space="0" w:color="auto"/>
            </w:tcBorders>
          </w:tcPr>
          <w:p w14:paraId="5D9760C5"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EF12D7">
              <w:rPr>
                <w:b/>
                <w:bCs/>
              </w:rPr>
              <w:t xml:space="preserve"> (9 518)</w:t>
            </w:r>
          </w:p>
        </w:tc>
        <w:tc>
          <w:tcPr>
            <w:tcW w:w="794" w:type="dxa"/>
            <w:tcBorders>
              <w:top w:val="single" w:sz="6" w:space="0" w:color="auto"/>
              <w:bottom w:val="single" w:sz="6" w:space="0" w:color="auto"/>
            </w:tcBorders>
          </w:tcPr>
          <w:p w14:paraId="13685AFB"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EF12D7">
              <w:rPr>
                <w:b/>
                <w:bCs/>
              </w:rPr>
              <w:t xml:space="preserve"> (6 254)</w:t>
            </w:r>
          </w:p>
        </w:tc>
        <w:tc>
          <w:tcPr>
            <w:tcW w:w="794" w:type="dxa"/>
            <w:tcBorders>
              <w:top w:val="single" w:sz="6" w:space="0" w:color="auto"/>
              <w:bottom w:val="single" w:sz="6" w:space="0" w:color="auto"/>
            </w:tcBorders>
          </w:tcPr>
          <w:p w14:paraId="25771ADD"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EF12D7">
              <w:rPr>
                <w:b/>
                <w:bCs/>
              </w:rPr>
              <w:t xml:space="preserve"> (4 221)</w:t>
            </w:r>
          </w:p>
        </w:tc>
        <w:tc>
          <w:tcPr>
            <w:tcW w:w="794" w:type="dxa"/>
            <w:tcBorders>
              <w:top w:val="single" w:sz="6" w:space="0" w:color="auto"/>
              <w:bottom w:val="single" w:sz="6" w:space="0" w:color="auto"/>
            </w:tcBorders>
          </w:tcPr>
          <w:p w14:paraId="654E554B"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EF12D7">
              <w:rPr>
                <w:b/>
                <w:bCs/>
              </w:rPr>
              <w:t xml:space="preserve"> (4 883)</w:t>
            </w:r>
          </w:p>
        </w:tc>
      </w:tr>
      <w:tr w:rsidR="009C6724" w14:paraId="775F634C"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bottom w:val="single" w:sz="6" w:space="0" w:color="auto"/>
            </w:tcBorders>
          </w:tcPr>
          <w:p w14:paraId="52288265" w14:textId="77777777" w:rsidR="00AB205D" w:rsidRDefault="00471A3B">
            <w:pPr>
              <w:spacing w:after="0"/>
            </w:pPr>
            <w:r>
              <w:t>Total other economic flows included in net result</w:t>
            </w:r>
          </w:p>
        </w:tc>
        <w:tc>
          <w:tcPr>
            <w:tcW w:w="794" w:type="dxa"/>
            <w:tcBorders>
              <w:top w:val="single" w:sz="6" w:space="0" w:color="auto"/>
              <w:bottom w:val="single" w:sz="6" w:space="0" w:color="auto"/>
            </w:tcBorders>
          </w:tcPr>
          <w:p w14:paraId="771F35DA"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B66450">
              <w:t>3 678</w:t>
            </w:r>
          </w:p>
        </w:tc>
        <w:tc>
          <w:tcPr>
            <w:tcW w:w="794" w:type="dxa"/>
            <w:tcBorders>
              <w:top w:val="single" w:sz="6" w:space="0" w:color="auto"/>
              <w:bottom w:val="single" w:sz="6" w:space="0" w:color="auto"/>
            </w:tcBorders>
          </w:tcPr>
          <w:p w14:paraId="0361F23F"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B66450">
              <w:t>1 396</w:t>
            </w:r>
          </w:p>
        </w:tc>
        <w:tc>
          <w:tcPr>
            <w:tcW w:w="794" w:type="dxa"/>
            <w:tcBorders>
              <w:top w:val="single" w:sz="6" w:space="0" w:color="auto"/>
              <w:bottom w:val="single" w:sz="6" w:space="0" w:color="auto"/>
            </w:tcBorders>
          </w:tcPr>
          <w:p w14:paraId="5F970CB6"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B66450">
              <w:t>1 956</w:t>
            </w:r>
          </w:p>
        </w:tc>
        <w:tc>
          <w:tcPr>
            <w:tcW w:w="794" w:type="dxa"/>
            <w:tcBorders>
              <w:top w:val="single" w:sz="6" w:space="0" w:color="auto"/>
              <w:bottom w:val="single" w:sz="6" w:space="0" w:color="auto"/>
            </w:tcBorders>
          </w:tcPr>
          <w:p w14:paraId="40CF9A4D"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B66450">
              <w:t>2 218</w:t>
            </w:r>
          </w:p>
        </w:tc>
      </w:tr>
      <w:tr w:rsidR="009C6724" w14:paraId="36C713F8"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bottom w:val="single" w:sz="12" w:space="0" w:color="auto"/>
            </w:tcBorders>
          </w:tcPr>
          <w:p w14:paraId="217146F5" w14:textId="77777777" w:rsidR="00AB205D" w:rsidRDefault="00471A3B">
            <w:pPr>
              <w:spacing w:after="0"/>
            </w:pPr>
            <w:r>
              <w:rPr>
                <w:b/>
              </w:rPr>
              <w:t>Net result</w:t>
            </w:r>
          </w:p>
        </w:tc>
        <w:tc>
          <w:tcPr>
            <w:tcW w:w="794" w:type="dxa"/>
            <w:tcBorders>
              <w:top w:val="single" w:sz="6" w:space="0" w:color="auto"/>
              <w:bottom w:val="single" w:sz="12" w:space="0" w:color="auto"/>
            </w:tcBorders>
          </w:tcPr>
          <w:p w14:paraId="11BBF1A9"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EF12D7">
              <w:rPr>
                <w:b/>
                <w:bCs/>
              </w:rPr>
              <w:t xml:space="preserve"> (5 840)</w:t>
            </w:r>
          </w:p>
        </w:tc>
        <w:tc>
          <w:tcPr>
            <w:tcW w:w="794" w:type="dxa"/>
            <w:tcBorders>
              <w:top w:val="single" w:sz="6" w:space="0" w:color="auto"/>
              <w:bottom w:val="single" w:sz="12" w:space="0" w:color="auto"/>
            </w:tcBorders>
          </w:tcPr>
          <w:p w14:paraId="72328CE6"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EF12D7">
              <w:rPr>
                <w:b/>
                <w:bCs/>
              </w:rPr>
              <w:t xml:space="preserve"> (4 858)</w:t>
            </w:r>
          </w:p>
        </w:tc>
        <w:tc>
          <w:tcPr>
            <w:tcW w:w="794" w:type="dxa"/>
            <w:tcBorders>
              <w:top w:val="single" w:sz="6" w:space="0" w:color="auto"/>
              <w:bottom w:val="single" w:sz="12" w:space="0" w:color="auto"/>
            </w:tcBorders>
          </w:tcPr>
          <w:p w14:paraId="18544FB7"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EF12D7">
              <w:rPr>
                <w:b/>
                <w:bCs/>
              </w:rPr>
              <w:t xml:space="preserve"> (2 265)</w:t>
            </w:r>
          </w:p>
        </w:tc>
        <w:tc>
          <w:tcPr>
            <w:tcW w:w="794" w:type="dxa"/>
            <w:tcBorders>
              <w:top w:val="single" w:sz="6" w:space="0" w:color="auto"/>
              <w:bottom w:val="single" w:sz="12" w:space="0" w:color="auto"/>
            </w:tcBorders>
          </w:tcPr>
          <w:p w14:paraId="7582D234"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EF12D7">
              <w:rPr>
                <w:b/>
                <w:bCs/>
              </w:rPr>
              <w:t xml:space="preserve"> (2 666)</w:t>
            </w:r>
          </w:p>
        </w:tc>
      </w:tr>
    </w:tbl>
    <w:p w14:paraId="0E55ED55" w14:textId="77777777" w:rsidR="00AB205D" w:rsidRDefault="00471A3B">
      <w:pPr>
        <w:pStyle w:val="Note"/>
      </w:pPr>
      <w:r>
        <w:t>Notes:</w:t>
      </w:r>
    </w:p>
    <w:p w14:paraId="117EA05C" w14:textId="77777777" w:rsidR="00AB205D" w:rsidRDefault="00471A3B">
      <w:pPr>
        <w:pStyle w:val="Note"/>
      </w:pPr>
      <w:r>
        <w:t>(a)</w:t>
      </w:r>
      <w:r>
        <w:tab/>
        <w:t xml:space="preserve">This is a summary operating statement. The comprehensive operating statement is presented in Chapter 5. Figures in this table are subject to rounding to the nearest million and may not add up to totals. </w:t>
      </w:r>
    </w:p>
    <w:p w14:paraId="41DAB207" w14:textId="77777777" w:rsidR="00AB205D" w:rsidRDefault="00471A3B">
      <w:pPr>
        <w:pStyle w:val="Note"/>
      </w:pPr>
      <w:r>
        <w:t>(b)</w:t>
      </w:r>
      <w:r>
        <w:tab/>
        <w:t xml:space="preserve">The revenue and expense growth for 2023-24 is based on published figures in the </w:t>
      </w:r>
      <w:r w:rsidRPr="002A1258">
        <w:rPr>
          <w:i w:val="0"/>
          <w:iCs/>
        </w:rPr>
        <w:t>2022-23 Financial Report</w:t>
      </w:r>
      <w:r>
        <w:t>.</w:t>
      </w:r>
    </w:p>
    <w:p w14:paraId="7DEC90C1" w14:textId="77777777" w:rsidR="00AB205D" w:rsidRDefault="00471A3B">
      <w:pPr>
        <w:pStyle w:val="Note"/>
      </w:pPr>
      <w:r>
        <w:t>(c)</w:t>
      </w:r>
      <w:r>
        <w:tab/>
        <w:t>Comprises superannuation interest expense and other superannuation expenses.</w:t>
      </w:r>
    </w:p>
    <w:p w14:paraId="777A30A0" w14:textId="77777777" w:rsidR="00AB205D" w:rsidRPr="00633128" w:rsidRDefault="00471A3B">
      <w:pPr>
        <w:ind w:right="-86"/>
      </w:pPr>
      <w:r w:rsidRPr="00633128">
        <w:t>Table 3.</w:t>
      </w:r>
      <w:r>
        <w:t>10</w:t>
      </w:r>
      <w:r w:rsidRPr="00633128">
        <w:t xml:space="preserve"> shows that the State’s net result from transactions is projected to improve from a deficit of $9.5 billion in 2023-24 to a deficit of $4.9 billion in 2026-27. This improvement is primarily due to general government sector revenues growing faster than expenses over the forward estimates which is explained earlier in this chapter.</w:t>
      </w:r>
    </w:p>
    <w:p w14:paraId="25A85559" w14:textId="77777777" w:rsidR="00AB205D" w:rsidRPr="00633128" w:rsidRDefault="00471A3B">
      <w:r w:rsidRPr="00633128">
        <w:t>The net result from transactions excludes other economic flows such as capital gains on the investments held by the State’s insurance agencies, movements in deferred tax assets, and risk margins and claims handling expenses. Other economic flows are projected to average $2.3 billion a year over the budget and forward estimates noting that the annual figure varies between $1.4 billion and $3.7 billion.</w:t>
      </w:r>
    </w:p>
    <w:p w14:paraId="45DF0E79" w14:textId="77777777" w:rsidR="00AB205D" w:rsidRPr="00633128" w:rsidRDefault="00471A3B">
      <w:r w:rsidRPr="00633128">
        <w:t>When other economic flows are included, the State’s net result improves from a deficit of $5.8 billion in 2023-24 to a deficit of $2.7 billion in 2026-27.</w:t>
      </w:r>
    </w:p>
    <w:p w14:paraId="193B1B51" w14:textId="77777777" w:rsidR="00AB205D" w:rsidRPr="00633128" w:rsidRDefault="00471A3B">
      <w:pPr>
        <w:pStyle w:val="TableHeading"/>
      </w:pPr>
      <w:r w:rsidRPr="00633128">
        <w:lastRenderedPageBreak/>
        <w:t>Table 3.1</w:t>
      </w:r>
      <w:r>
        <w:t>1</w:t>
      </w:r>
      <w:r w:rsidRPr="00633128">
        <w:t xml:space="preserve">: </w:t>
      </w:r>
      <w:r w:rsidRPr="00633128">
        <w:tab/>
        <w:t>Summary balance sheet for the State of Victoria</w:t>
      </w:r>
      <w:r w:rsidRPr="00633128">
        <w:rPr>
          <w:vertAlign w:val="superscript"/>
        </w:rPr>
        <w:t xml:space="preserve"> (a)</w:t>
      </w:r>
      <w:r w:rsidRPr="00633128">
        <w:tab/>
        <w:t>($ billion)</w:t>
      </w:r>
    </w:p>
    <w:tbl>
      <w:tblPr>
        <w:tblStyle w:val="DTFTableNumeric"/>
        <w:tblW w:w="7710" w:type="dxa"/>
        <w:tblLayout w:type="fixed"/>
        <w:tblLook w:val="06A0" w:firstRow="1" w:lastRow="0" w:firstColumn="1" w:lastColumn="0" w:noHBand="1" w:noVBand="1"/>
        <w:tblDescription w:val="Type:DtfTable|Workbook:Budget\BudgetUpdate\Chapter3\Link_Chapter3_NFPS_WoG.xlsx|Table:VIC_BS"/>
      </w:tblPr>
      <w:tblGrid>
        <w:gridCol w:w="4534"/>
        <w:gridCol w:w="794"/>
        <w:gridCol w:w="794"/>
        <w:gridCol w:w="794"/>
        <w:gridCol w:w="794"/>
      </w:tblGrid>
      <w:tr w:rsidR="009C6724" w14:paraId="7F54D8C8"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4" w:type="dxa"/>
          </w:tcPr>
          <w:p w14:paraId="0B93A05C" w14:textId="77777777" w:rsidR="00AB205D" w:rsidRDefault="00AB205D">
            <w:pPr>
              <w:keepNext/>
              <w:spacing w:after="0"/>
            </w:pPr>
          </w:p>
        </w:tc>
        <w:tc>
          <w:tcPr>
            <w:tcW w:w="794" w:type="dxa"/>
          </w:tcPr>
          <w:p w14:paraId="397BAA29"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583BBE56"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0701C21C"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2025</w:t>
            </w:r>
            <w:r>
              <w:noBreakHyphen/>
              <w:t>26</w:t>
            </w:r>
          </w:p>
        </w:tc>
        <w:tc>
          <w:tcPr>
            <w:tcW w:w="794" w:type="dxa"/>
          </w:tcPr>
          <w:p w14:paraId="69806FFB"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2026</w:t>
            </w:r>
            <w:r>
              <w:noBreakHyphen/>
              <w:t>27</w:t>
            </w:r>
          </w:p>
        </w:tc>
      </w:tr>
      <w:tr w:rsidR="009C6724" w14:paraId="7D42A8D4"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4" w:type="dxa"/>
          </w:tcPr>
          <w:p w14:paraId="750D605F" w14:textId="77777777" w:rsidR="00AB205D" w:rsidRDefault="00AB205D">
            <w:pPr>
              <w:keepNext/>
              <w:spacing w:after="0"/>
            </w:pPr>
          </w:p>
        </w:tc>
        <w:tc>
          <w:tcPr>
            <w:tcW w:w="794" w:type="dxa"/>
          </w:tcPr>
          <w:p w14:paraId="1D37161F"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revised</w:t>
            </w:r>
          </w:p>
        </w:tc>
        <w:tc>
          <w:tcPr>
            <w:tcW w:w="794" w:type="dxa"/>
          </w:tcPr>
          <w:p w14:paraId="6558759B"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0DA4AD0E"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018F9B3A"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estimate</w:t>
            </w:r>
          </w:p>
        </w:tc>
      </w:tr>
      <w:tr w:rsidR="009C6724" w14:paraId="4C12EEA6"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0153C608" w14:textId="77777777" w:rsidR="00AB205D" w:rsidRDefault="00471A3B">
            <w:pPr>
              <w:spacing w:after="0"/>
            </w:pPr>
            <w:r>
              <w:rPr>
                <w:b/>
              </w:rPr>
              <w:t>Assets</w:t>
            </w:r>
          </w:p>
        </w:tc>
        <w:tc>
          <w:tcPr>
            <w:tcW w:w="794" w:type="dxa"/>
          </w:tcPr>
          <w:p w14:paraId="05E0C70C"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1B40DC4C"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225012C8"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74ED3B90"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r>
      <w:tr w:rsidR="009C6724" w14:paraId="16A3F97B"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0D5A24C2" w14:textId="77777777" w:rsidR="00AB205D" w:rsidRDefault="00471A3B">
            <w:pPr>
              <w:spacing w:after="0"/>
            </w:pPr>
            <w:r>
              <w:t>Total financial assets</w:t>
            </w:r>
            <w:r>
              <w:rPr>
                <w:vertAlign w:val="superscript"/>
              </w:rPr>
              <w:t xml:space="preserve"> (b)</w:t>
            </w:r>
          </w:p>
        </w:tc>
        <w:tc>
          <w:tcPr>
            <w:tcW w:w="794" w:type="dxa"/>
          </w:tcPr>
          <w:p w14:paraId="5640E0C5"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8264E5">
              <w:t>103.8</w:t>
            </w:r>
          </w:p>
        </w:tc>
        <w:tc>
          <w:tcPr>
            <w:tcW w:w="794" w:type="dxa"/>
          </w:tcPr>
          <w:p w14:paraId="11FBCB8C"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8264E5">
              <w:t>109.6</w:t>
            </w:r>
          </w:p>
        </w:tc>
        <w:tc>
          <w:tcPr>
            <w:tcW w:w="794" w:type="dxa"/>
          </w:tcPr>
          <w:p w14:paraId="03BC7582"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8264E5">
              <w:t>115.5</w:t>
            </w:r>
          </w:p>
        </w:tc>
        <w:tc>
          <w:tcPr>
            <w:tcW w:w="794" w:type="dxa"/>
          </w:tcPr>
          <w:p w14:paraId="6FF49FD1"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8264E5">
              <w:t>122.8</w:t>
            </w:r>
          </w:p>
        </w:tc>
      </w:tr>
      <w:tr w:rsidR="009C6724" w14:paraId="210C754A"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bottom w:val="single" w:sz="6" w:space="0" w:color="auto"/>
            </w:tcBorders>
          </w:tcPr>
          <w:p w14:paraId="2BA6B488" w14:textId="77777777" w:rsidR="00AB205D" w:rsidRDefault="00471A3B">
            <w:pPr>
              <w:spacing w:after="0"/>
            </w:pPr>
            <w:r>
              <w:t>Total non</w:t>
            </w:r>
            <w:r>
              <w:noBreakHyphen/>
              <w:t>financial assets</w:t>
            </w:r>
            <w:r>
              <w:rPr>
                <w:vertAlign w:val="superscript"/>
              </w:rPr>
              <w:t xml:space="preserve"> (c)</w:t>
            </w:r>
          </w:p>
        </w:tc>
        <w:tc>
          <w:tcPr>
            <w:tcW w:w="794" w:type="dxa"/>
            <w:tcBorders>
              <w:bottom w:val="single" w:sz="6" w:space="0" w:color="auto"/>
            </w:tcBorders>
          </w:tcPr>
          <w:p w14:paraId="35689EDF"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8264E5">
              <w:t>439.5</w:t>
            </w:r>
          </w:p>
        </w:tc>
        <w:tc>
          <w:tcPr>
            <w:tcW w:w="794" w:type="dxa"/>
            <w:tcBorders>
              <w:bottom w:val="single" w:sz="6" w:space="0" w:color="auto"/>
            </w:tcBorders>
          </w:tcPr>
          <w:p w14:paraId="09A3A635"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8264E5">
              <w:t>471.5</w:t>
            </w:r>
          </w:p>
        </w:tc>
        <w:tc>
          <w:tcPr>
            <w:tcW w:w="794" w:type="dxa"/>
            <w:tcBorders>
              <w:bottom w:val="single" w:sz="6" w:space="0" w:color="auto"/>
            </w:tcBorders>
          </w:tcPr>
          <w:p w14:paraId="662C06E2"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8264E5">
              <w:t>491.5</w:t>
            </w:r>
          </w:p>
        </w:tc>
        <w:tc>
          <w:tcPr>
            <w:tcW w:w="794" w:type="dxa"/>
            <w:tcBorders>
              <w:bottom w:val="single" w:sz="6" w:space="0" w:color="auto"/>
            </w:tcBorders>
          </w:tcPr>
          <w:p w14:paraId="4210FED1"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8264E5">
              <w:t>514.2</w:t>
            </w:r>
          </w:p>
        </w:tc>
      </w:tr>
      <w:tr w:rsidR="009C6724" w14:paraId="54631589"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tcBorders>
          </w:tcPr>
          <w:p w14:paraId="75FC57CB" w14:textId="77777777" w:rsidR="00AB205D" w:rsidRDefault="00471A3B">
            <w:pPr>
              <w:spacing w:after="0"/>
            </w:pPr>
            <w:r>
              <w:rPr>
                <w:b/>
              </w:rPr>
              <w:t>Total assets</w:t>
            </w:r>
          </w:p>
        </w:tc>
        <w:tc>
          <w:tcPr>
            <w:tcW w:w="794" w:type="dxa"/>
            <w:tcBorders>
              <w:top w:val="single" w:sz="6" w:space="0" w:color="auto"/>
            </w:tcBorders>
          </w:tcPr>
          <w:p w14:paraId="6CC104A0"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AE619A">
              <w:rPr>
                <w:b/>
                <w:bCs/>
              </w:rPr>
              <w:t>543.3</w:t>
            </w:r>
          </w:p>
        </w:tc>
        <w:tc>
          <w:tcPr>
            <w:tcW w:w="794" w:type="dxa"/>
            <w:tcBorders>
              <w:top w:val="single" w:sz="6" w:space="0" w:color="auto"/>
            </w:tcBorders>
          </w:tcPr>
          <w:p w14:paraId="43DB4DF5"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AE619A">
              <w:rPr>
                <w:b/>
                <w:bCs/>
              </w:rPr>
              <w:t>581.1</w:t>
            </w:r>
          </w:p>
        </w:tc>
        <w:tc>
          <w:tcPr>
            <w:tcW w:w="794" w:type="dxa"/>
            <w:tcBorders>
              <w:top w:val="single" w:sz="6" w:space="0" w:color="auto"/>
            </w:tcBorders>
          </w:tcPr>
          <w:p w14:paraId="4F4A9621"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AE619A">
              <w:rPr>
                <w:b/>
                <w:bCs/>
              </w:rPr>
              <w:t>607.0</w:t>
            </w:r>
          </w:p>
        </w:tc>
        <w:tc>
          <w:tcPr>
            <w:tcW w:w="794" w:type="dxa"/>
            <w:tcBorders>
              <w:top w:val="single" w:sz="6" w:space="0" w:color="auto"/>
            </w:tcBorders>
          </w:tcPr>
          <w:p w14:paraId="7B6E5FEE"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AE619A">
              <w:rPr>
                <w:b/>
                <w:bCs/>
              </w:rPr>
              <w:t>636.9</w:t>
            </w:r>
          </w:p>
        </w:tc>
      </w:tr>
      <w:tr w:rsidR="009C6724" w14:paraId="168198E9"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783E0E25" w14:textId="77777777" w:rsidR="00AB205D" w:rsidRDefault="00471A3B">
            <w:pPr>
              <w:spacing w:after="0"/>
            </w:pPr>
            <w:r>
              <w:rPr>
                <w:b/>
              </w:rPr>
              <w:t>Liabilities</w:t>
            </w:r>
          </w:p>
        </w:tc>
        <w:tc>
          <w:tcPr>
            <w:tcW w:w="794" w:type="dxa"/>
          </w:tcPr>
          <w:p w14:paraId="7FB1986D"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8264E5">
              <w:t xml:space="preserve"> </w:t>
            </w:r>
          </w:p>
        </w:tc>
        <w:tc>
          <w:tcPr>
            <w:tcW w:w="794" w:type="dxa"/>
          </w:tcPr>
          <w:p w14:paraId="5B317885"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8264E5">
              <w:t xml:space="preserve"> </w:t>
            </w:r>
          </w:p>
        </w:tc>
        <w:tc>
          <w:tcPr>
            <w:tcW w:w="794" w:type="dxa"/>
          </w:tcPr>
          <w:p w14:paraId="13E967F3"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8264E5">
              <w:t xml:space="preserve"> </w:t>
            </w:r>
          </w:p>
        </w:tc>
        <w:tc>
          <w:tcPr>
            <w:tcW w:w="794" w:type="dxa"/>
          </w:tcPr>
          <w:p w14:paraId="7C45A2C0"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8264E5">
              <w:t xml:space="preserve"> </w:t>
            </w:r>
          </w:p>
        </w:tc>
      </w:tr>
      <w:tr w:rsidR="009C6724" w14:paraId="50FD9B76"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04D3F18C" w14:textId="77777777" w:rsidR="00AB205D" w:rsidRDefault="00471A3B">
            <w:pPr>
              <w:spacing w:after="0"/>
            </w:pPr>
            <w:r>
              <w:t>Superannuation</w:t>
            </w:r>
          </w:p>
        </w:tc>
        <w:tc>
          <w:tcPr>
            <w:tcW w:w="794" w:type="dxa"/>
          </w:tcPr>
          <w:p w14:paraId="51E64599"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8264E5">
              <w:t>17.2</w:t>
            </w:r>
          </w:p>
        </w:tc>
        <w:tc>
          <w:tcPr>
            <w:tcW w:w="794" w:type="dxa"/>
          </w:tcPr>
          <w:p w14:paraId="0A08F233"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8264E5">
              <w:t>17.3</w:t>
            </w:r>
          </w:p>
        </w:tc>
        <w:tc>
          <w:tcPr>
            <w:tcW w:w="794" w:type="dxa"/>
          </w:tcPr>
          <w:p w14:paraId="14404C6C"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8264E5">
              <w:t>17.6</w:t>
            </w:r>
          </w:p>
        </w:tc>
        <w:tc>
          <w:tcPr>
            <w:tcW w:w="794" w:type="dxa"/>
          </w:tcPr>
          <w:p w14:paraId="01C08010"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8264E5">
              <w:t>17.7</w:t>
            </w:r>
          </w:p>
        </w:tc>
      </w:tr>
      <w:tr w:rsidR="009C6724" w14:paraId="20D12B3C"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2C41D9CF" w14:textId="77777777" w:rsidR="00AB205D" w:rsidRDefault="00471A3B">
            <w:pPr>
              <w:spacing w:after="0"/>
            </w:pPr>
            <w:r>
              <w:t>Borrowings</w:t>
            </w:r>
          </w:p>
        </w:tc>
        <w:tc>
          <w:tcPr>
            <w:tcW w:w="794" w:type="dxa"/>
          </w:tcPr>
          <w:p w14:paraId="754D9FCE"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8264E5">
              <w:t>189.2</w:t>
            </w:r>
          </w:p>
        </w:tc>
        <w:tc>
          <w:tcPr>
            <w:tcW w:w="794" w:type="dxa"/>
          </w:tcPr>
          <w:p w14:paraId="3DF89839"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8264E5">
              <w:t>212.3</w:t>
            </w:r>
          </w:p>
        </w:tc>
        <w:tc>
          <w:tcPr>
            <w:tcW w:w="794" w:type="dxa"/>
          </w:tcPr>
          <w:p w14:paraId="04F49C40"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8264E5">
              <w:t>231.2</w:t>
            </w:r>
          </w:p>
        </w:tc>
        <w:tc>
          <w:tcPr>
            <w:tcW w:w="794" w:type="dxa"/>
          </w:tcPr>
          <w:p w14:paraId="371AF90D"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8264E5">
              <w:t>249.0</w:t>
            </w:r>
          </w:p>
        </w:tc>
      </w:tr>
      <w:tr w:rsidR="009C6724" w14:paraId="4BBC9510"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13746987" w14:textId="77777777" w:rsidR="00AB205D" w:rsidRDefault="00471A3B">
            <w:pPr>
              <w:spacing w:after="0"/>
            </w:pPr>
            <w:r>
              <w:t>Deposits held and advances received</w:t>
            </w:r>
          </w:p>
        </w:tc>
        <w:tc>
          <w:tcPr>
            <w:tcW w:w="794" w:type="dxa"/>
          </w:tcPr>
          <w:p w14:paraId="74011384"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8264E5">
              <w:t>1.7</w:t>
            </w:r>
          </w:p>
        </w:tc>
        <w:tc>
          <w:tcPr>
            <w:tcW w:w="794" w:type="dxa"/>
          </w:tcPr>
          <w:p w14:paraId="6856A6FC"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8264E5">
              <w:t>1.7</w:t>
            </w:r>
          </w:p>
        </w:tc>
        <w:tc>
          <w:tcPr>
            <w:tcW w:w="794" w:type="dxa"/>
          </w:tcPr>
          <w:p w14:paraId="5F511173"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8264E5">
              <w:t>1.6</w:t>
            </w:r>
          </w:p>
        </w:tc>
        <w:tc>
          <w:tcPr>
            <w:tcW w:w="794" w:type="dxa"/>
          </w:tcPr>
          <w:p w14:paraId="441744F0"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8264E5">
              <w:t>1.6</w:t>
            </w:r>
          </w:p>
        </w:tc>
      </w:tr>
      <w:tr w:rsidR="009C6724" w14:paraId="514D56FB"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bottom w:val="single" w:sz="6" w:space="0" w:color="auto"/>
            </w:tcBorders>
          </w:tcPr>
          <w:p w14:paraId="1CAF538B" w14:textId="77777777" w:rsidR="00AB205D" w:rsidRDefault="00471A3B">
            <w:pPr>
              <w:spacing w:after="0"/>
            </w:pPr>
            <w:r>
              <w:t xml:space="preserve">Other liabilities </w:t>
            </w:r>
            <w:r>
              <w:rPr>
                <w:vertAlign w:val="superscript"/>
              </w:rPr>
              <w:t>(d)</w:t>
            </w:r>
          </w:p>
        </w:tc>
        <w:tc>
          <w:tcPr>
            <w:tcW w:w="794" w:type="dxa"/>
            <w:tcBorders>
              <w:bottom w:val="single" w:sz="6" w:space="0" w:color="auto"/>
            </w:tcBorders>
          </w:tcPr>
          <w:p w14:paraId="0D24AEFA"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8264E5">
              <w:t>103.5</w:t>
            </w:r>
          </w:p>
        </w:tc>
        <w:tc>
          <w:tcPr>
            <w:tcW w:w="794" w:type="dxa"/>
            <w:tcBorders>
              <w:bottom w:val="single" w:sz="6" w:space="0" w:color="auto"/>
            </w:tcBorders>
          </w:tcPr>
          <w:p w14:paraId="53595821"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8264E5">
              <w:t>107.4</w:t>
            </w:r>
          </w:p>
        </w:tc>
        <w:tc>
          <w:tcPr>
            <w:tcW w:w="794" w:type="dxa"/>
            <w:tcBorders>
              <w:bottom w:val="single" w:sz="6" w:space="0" w:color="auto"/>
            </w:tcBorders>
          </w:tcPr>
          <w:p w14:paraId="2596C361"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8264E5">
              <w:t>111.9</w:t>
            </w:r>
          </w:p>
        </w:tc>
        <w:tc>
          <w:tcPr>
            <w:tcW w:w="794" w:type="dxa"/>
            <w:tcBorders>
              <w:bottom w:val="single" w:sz="6" w:space="0" w:color="auto"/>
            </w:tcBorders>
          </w:tcPr>
          <w:p w14:paraId="23D22E77"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8264E5">
              <w:t>116.4</w:t>
            </w:r>
          </w:p>
        </w:tc>
      </w:tr>
      <w:tr w:rsidR="009C6724" w14:paraId="759D69F6"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bottom w:val="single" w:sz="6" w:space="0" w:color="auto"/>
            </w:tcBorders>
          </w:tcPr>
          <w:p w14:paraId="1F0ECD87" w14:textId="77777777" w:rsidR="00AB205D" w:rsidRDefault="00471A3B">
            <w:pPr>
              <w:spacing w:after="0"/>
            </w:pPr>
            <w:r>
              <w:rPr>
                <w:b/>
              </w:rPr>
              <w:t>Total liabilities</w:t>
            </w:r>
          </w:p>
        </w:tc>
        <w:tc>
          <w:tcPr>
            <w:tcW w:w="794" w:type="dxa"/>
            <w:tcBorders>
              <w:top w:val="single" w:sz="6" w:space="0" w:color="auto"/>
              <w:bottom w:val="single" w:sz="6" w:space="0" w:color="auto"/>
            </w:tcBorders>
          </w:tcPr>
          <w:p w14:paraId="15EF6E91"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AE619A">
              <w:rPr>
                <w:b/>
                <w:bCs/>
              </w:rPr>
              <w:t>311.7</w:t>
            </w:r>
          </w:p>
        </w:tc>
        <w:tc>
          <w:tcPr>
            <w:tcW w:w="794" w:type="dxa"/>
            <w:tcBorders>
              <w:top w:val="single" w:sz="6" w:space="0" w:color="auto"/>
              <w:bottom w:val="single" w:sz="6" w:space="0" w:color="auto"/>
            </w:tcBorders>
          </w:tcPr>
          <w:p w14:paraId="1D715ED6"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AE619A">
              <w:rPr>
                <w:b/>
                <w:bCs/>
              </w:rPr>
              <w:t>338.8</w:t>
            </w:r>
          </w:p>
        </w:tc>
        <w:tc>
          <w:tcPr>
            <w:tcW w:w="794" w:type="dxa"/>
            <w:tcBorders>
              <w:top w:val="single" w:sz="6" w:space="0" w:color="auto"/>
              <w:bottom w:val="single" w:sz="6" w:space="0" w:color="auto"/>
            </w:tcBorders>
          </w:tcPr>
          <w:p w14:paraId="214FE706"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AE619A">
              <w:rPr>
                <w:b/>
                <w:bCs/>
              </w:rPr>
              <w:t>362.3</w:t>
            </w:r>
          </w:p>
        </w:tc>
        <w:tc>
          <w:tcPr>
            <w:tcW w:w="794" w:type="dxa"/>
            <w:tcBorders>
              <w:top w:val="single" w:sz="6" w:space="0" w:color="auto"/>
              <w:bottom w:val="single" w:sz="6" w:space="0" w:color="auto"/>
            </w:tcBorders>
          </w:tcPr>
          <w:p w14:paraId="115E9C43"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AE619A">
              <w:rPr>
                <w:b/>
                <w:bCs/>
              </w:rPr>
              <w:t>384.7</w:t>
            </w:r>
          </w:p>
        </w:tc>
      </w:tr>
      <w:tr w:rsidR="009C6724" w14:paraId="09EAADF8"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bottom w:val="single" w:sz="12" w:space="0" w:color="auto"/>
            </w:tcBorders>
          </w:tcPr>
          <w:p w14:paraId="32F70857" w14:textId="77777777" w:rsidR="00AB205D" w:rsidRDefault="00471A3B">
            <w:pPr>
              <w:spacing w:after="0"/>
            </w:pPr>
            <w:r>
              <w:rPr>
                <w:b/>
              </w:rPr>
              <w:t>Net assets</w:t>
            </w:r>
          </w:p>
        </w:tc>
        <w:tc>
          <w:tcPr>
            <w:tcW w:w="794" w:type="dxa"/>
            <w:tcBorders>
              <w:top w:val="single" w:sz="6" w:space="0" w:color="auto"/>
              <w:bottom w:val="single" w:sz="12" w:space="0" w:color="auto"/>
            </w:tcBorders>
          </w:tcPr>
          <w:p w14:paraId="4A07C2C1"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AE619A">
              <w:rPr>
                <w:b/>
                <w:bCs/>
              </w:rPr>
              <w:t>231.6</w:t>
            </w:r>
          </w:p>
        </w:tc>
        <w:tc>
          <w:tcPr>
            <w:tcW w:w="794" w:type="dxa"/>
            <w:tcBorders>
              <w:top w:val="single" w:sz="6" w:space="0" w:color="auto"/>
              <w:bottom w:val="single" w:sz="12" w:space="0" w:color="auto"/>
            </w:tcBorders>
          </w:tcPr>
          <w:p w14:paraId="26C73517"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AE619A">
              <w:rPr>
                <w:b/>
                <w:bCs/>
              </w:rPr>
              <w:t>242.3</w:t>
            </w:r>
          </w:p>
        </w:tc>
        <w:tc>
          <w:tcPr>
            <w:tcW w:w="794" w:type="dxa"/>
            <w:tcBorders>
              <w:top w:val="single" w:sz="6" w:space="0" w:color="auto"/>
              <w:bottom w:val="single" w:sz="12" w:space="0" w:color="auto"/>
            </w:tcBorders>
          </w:tcPr>
          <w:p w14:paraId="434C7811"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AE619A">
              <w:rPr>
                <w:b/>
                <w:bCs/>
              </w:rPr>
              <w:t>244.7</w:t>
            </w:r>
          </w:p>
        </w:tc>
        <w:tc>
          <w:tcPr>
            <w:tcW w:w="794" w:type="dxa"/>
            <w:tcBorders>
              <w:top w:val="single" w:sz="6" w:space="0" w:color="auto"/>
              <w:bottom w:val="single" w:sz="12" w:space="0" w:color="auto"/>
            </w:tcBorders>
          </w:tcPr>
          <w:p w14:paraId="67A6ED4E"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AE619A">
              <w:rPr>
                <w:b/>
                <w:bCs/>
              </w:rPr>
              <w:t>252.2</w:t>
            </w:r>
          </w:p>
        </w:tc>
      </w:tr>
    </w:tbl>
    <w:p w14:paraId="0B20B466" w14:textId="77777777" w:rsidR="00AB205D" w:rsidRPr="00633128" w:rsidRDefault="00471A3B">
      <w:pPr>
        <w:pStyle w:val="Note"/>
      </w:pPr>
      <w:r w:rsidRPr="00633128">
        <w:t>Notes:</w:t>
      </w:r>
    </w:p>
    <w:p w14:paraId="00B57477" w14:textId="77777777" w:rsidR="00AB205D" w:rsidRPr="00633128" w:rsidRDefault="00471A3B">
      <w:pPr>
        <w:pStyle w:val="Note"/>
      </w:pPr>
      <w:r w:rsidRPr="00633128">
        <w:t>(a)</w:t>
      </w:r>
      <w:r w:rsidRPr="00633128">
        <w:tab/>
        <w:t xml:space="preserve"> This is a summary balance sheet. The comprehensive balance sheet is presented in Chapter 5. Figures in this table are subject to rounding to the nearest billion and may not add up to totals.</w:t>
      </w:r>
    </w:p>
    <w:p w14:paraId="4C41B0AD" w14:textId="77777777" w:rsidR="00AB205D" w:rsidRPr="00633128" w:rsidRDefault="00471A3B">
      <w:pPr>
        <w:pStyle w:val="Note"/>
      </w:pPr>
      <w:r w:rsidRPr="00633128">
        <w:t>(b)</w:t>
      </w:r>
      <w:r w:rsidRPr="00633128">
        <w:tab/>
        <w:t>Financial assets include cash and deposits, advances paid, investments, loans and placements, receivables, and investments accounted for using the equity method.</w:t>
      </w:r>
    </w:p>
    <w:p w14:paraId="0F23C693" w14:textId="77777777" w:rsidR="00AB205D" w:rsidRPr="00633128" w:rsidRDefault="00471A3B">
      <w:pPr>
        <w:pStyle w:val="Note"/>
      </w:pPr>
      <w:r w:rsidRPr="00633128">
        <w:t>(c)</w:t>
      </w:r>
      <w:r w:rsidRPr="00633128">
        <w:tab/>
        <w:t>Non</w:t>
      </w:r>
      <w:r w:rsidRPr="00633128">
        <w:noBreakHyphen/>
        <w:t>financial assets include inventories, non</w:t>
      </w:r>
      <w:r w:rsidRPr="00633128">
        <w:noBreakHyphen/>
        <w:t>financial assets held for sale, land, buildings, infrastructure, plant and equipment, and other non</w:t>
      </w:r>
      <w:r w:rsidRPr="00633128">
        <w:noBreakHyphen/>
        <w:t>financial assets.</w:t>
      </w:r>
    </w:p>
    <w:p w14:paraId="6A85BFA7" w14:textId="77777777" w:rsidR="00AB205D" w:rsidRPr="00633128" w:rsidRDefault="00471A3B">
      <w:pPr>
        <w:pStyle w:val="Note"/>
      </w:pPr>
      <w:r w:rsidRPr="00633128">
        <w:t>(d)</w:t>
      </w:r>
      <w:r w:rsidRPr="00633128">
        <w:tab/>
        <w:t>Other liabilities consist of payables, employee benefits, other provisions and contract liabilities.</w:t>
      </w:r>
    </w:p>
    <w:p w14:paraId="28166A19" w14:textId="77777777" w:rsidR="00AB205D" w:rsidRPr="00633128" w:rsidRDefault="00AB205D"/>
    <w:p w14:paraId="7EF1014B" w14:textId="77777777" w:rsidR="00AB205D" w:rsidRPr="00633128" w:rsidRDefault="00471A3B">
      <w:r w:rsidRPr="00633128">
        <w:t>Table 3.1</w:t>
      </w:r>
      <w:r>
        <w:t>1</w:t>
      </w:r>
      <w:r w:rsidRPr="00633128">
        <w:t xml:space="preserve"> shows that the state’s net assets are projected to increase over the budget and forward estimates, from $231.6 billion in 2023-24 to $252.2 billion by 2026-27. This reflects a forecast increase in total assets of $93.7 billion over this period, partly offset by a $73 billion increase in liabilities.</w:t>
      </w:r>
    </w:p>
    <w:p w14:paraId="7ECB8DA2" w14:textId="77777777" w:rsidR="00AB205D" w:rsidRPr="00633128" w:rsidRDefault="00471A3B">
      <w:r w:rsidRPr="00633128">
        <w:t>The increase in total assets is largely due to the state’s non-financial assets, including infrastructure, being estimated to increase from $439.5 billion in 2023</w:t>
      </w:r>
      <w:r>
        <w:t>-</w:t>
      </w:r>
      <w:r w:rsidRPr="00633128">
        <w:t xml:space="preserve">24 to $514.2 billion by 2026-27. </w:t>
      </w:r>
    </w:p>
    <w:p w14:paraId="62057590" w14:textId="77777777" w:rsidR="00AB205D" w:rsidRPr="00633128" w:rsidRDefault="00471A3B">
      <w:r w:rsidRPr="00633128">
        <w:t>The projected increase in total liabilities, from $311.7 billion in 2023-24 to $384.7 billion by 2026-27, is largely due to borrowings increasing from $189.2 billion in 2023-24 to $249 billion by 2026-27. Other liabilities are also projected to increase, from $103.5 billion in 2023-24 to $116.4 billion by 2026-27, largely due to growth in the value of the outstanding claims liabilities reported by the State’s insurance agencies.</w:t>
      </w:r>
    </w:p>
    <w:p w14:paraId="067BFCF1" w14:textId="77777777" w:rsidR="00AB205D" w:rsidRDefault="00471A3B">
      <w:r w:rsidRPr="00FB7555">
        <w:t xml:space="preserve">The superannuation liability is also projected to increase slightly, from $17.2 billion in 2023-24 to $17.7 billion in 2026-27. This is mainly due to the superannuation expense exceeding employer contributions due to the deferral of $3 billion of top-up payments from the State over this period. The deferral of these contributions reflects the Government’s election commitment ‘Defined benefit liability management’, as published in </w:t>
      </w:r>
      <w:r w:rsidRPr="00FB7555">
        <w:rPr>
          <w:i/>
          <w:iCs/>
        </w:rPr>
        <w:t>Labor’s Financial Statement 2022</w:t>
      </w:r>
      <w:r w:rsidRPr="00FB7555">
        <w:t>, and additional contributions will now be paid beyond the forward estimates period to maintain the 2035 full funding objective.</w:t>
      </w:r>
    </w:p>
    <w:p w14:paraId="60683960" w14:textId="77777777" w:rsidR="00B84BA2" w:rsidRPr="00502202" w:rsidRDefault="00B84BA2"/>
    <w:p w14:paraId="6C6F9E03" w14:textId="77777777" w:rsidR="00341416" w:rsidRDefault="00341416" w:rsidP="00341416">
      <w:pPr>
        <w:keepLines w:val="0"/>
      </w:pPr>
    </w:p>
    <w:p w14:paraId="110DCCB5" w14:textId="77777777" w:rsidR="00341416" w:rsidRDefault="00341416" w:rsidP="00341416">
      <w:pPr>
        <w:sectPr w:rsidR="00341416" w:rsidSect="00570639">
          <w:headerReference w:type="even" r:id="rId31"/>
          <w:headerReference w:type="default" r:id="rId32"/>
          <w:footerReference w:type="even" r:id="rId33"/>
          <w:footerReference w:type="default" r:id="rId34"/>
          <w:headerReference w:type="first" r:id="rId35"/>
          <w:footerReference w:type="first" r:id="rId36"/>
          <w:pgSz w:w="9979" w:h="14175" w:code="34"/>
          <w:pgMar w:top="1134" w:right="1134" w:bottom="1134" w:left="1134" w:header="624" w:footer="567" w:gutter="0"/>
          <w:cols w:space="708"/>
          <w:docGrid w:linePitch="360"/>
        </w:sectPr>
      </w:pPr>
    </w:p>
    <w:p w14:paraId="608909D1" w14:textId="0CC67D78" w:rsidR="00AB205D" w:rsidRDefault="00471A3B">
      <w:pPr>
        <w:pStyle w:val="ChapterHeading"/>
      </w:pPr>
      <w:bookmarkStart w:id="30" w:name="_Toc152933031"/>
      <w:r>
        <w:lastRenderedPageBreak/>
        <w:t xml:space="preserve">Chapter 4 – Estimated </w:t>
      </w:r>
      <w:r w:rsidR="003C40DD">
        <w:t>f</w:t>
      </w:r>
      <w:r>
        <w:t>inancial Statements and Notes</w:t>
      </w:r>
      <w:bookmarkEnd w:id="30"/>
    </w:p>
    <w:p w14:paraId="044A9017" w14:textId="77777777" w:rsidR="00AB205D" w:rsidRDefault="00471A3B">
      <w:pPr>
        <w:pStyle w:val="Heading10"/>
      </w:pPr>
      <w:bookmarkStart w:id="31" w:name="_Toc152933032"/>
      <w:r>
        <w:t>Estimated consolidated general government sector comprehensive operating statement</w:t>
      </w:r>
      <w:bookmarkEnd w:id="31"/>
    </w:p>
    <w:p w14:paraId="3B866AD1" w14:textId="77777777" w:rsidR="00AB205D" w:rsidRDefault="00471A3B">
      <w:pPr>
        <w:pStyle w:val="TableHeading"/>
      </w:pPr>
      <w:r>
        <w:t>For the financial year ended 30 June</w:t>
      </w:r>
      <w:r>
        <w:tab/>
        <w:t>($ million)</w:t>
      </w:r>
    </w:p>
    <w:tbl>
      <w:tblPr>
        <w:tblStyle w:val="DTFTableNumeric"/>
        <w:tblW w:w="7655" w:type="dxa"/>
        <w:tblLayout w:type="fixed"/>
        <w:tblLook w:val="06A0" w:firstRow="1" w:lastRow="0" w:firstColumn="1" w:lastColumn="0" w:noHBand="1" w:noVBand="1"/>
        <w:tblDescription w:val="Type:DtfTable|Workbook:Rawdata\BudgetUpdate\Budget Update\Financial Statements\SRIMS exports\SRIMS_BU_EFS_OS.xlsx|Table:Cons_OS|MergedHeadingRow:1|LastRow:31"/>
      </w:tblPr>
      <w:tblGrid>
        <w:gridCol w:w="3248"/>
        <w:gridCol w:w="546"/>
        <w:gridCol w:w="738"/>
        <w:gridCol w:w="781"/>
        <w:gridCol w:w="780"/>
        <w:gridCol w:w="781"/>
        <w:gridCol w:w="781"/>
      </w:tblGrid>
      <w:tr w:rsidR="009C6724" w14:paraId="15BBA31B"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48" w:type="dxa"/>
          </w:tcPr>
          <w:p w14:paraId="2EBCB110" w14:textId="77777777" w:rsidR="00AB205D" w:rsidRDefault="00AB205D">
            <w:pPr>
              <w:keepNext/>
              <w:spacing w:after="0"/>
            </w:pPr>
          </w:p>
        </w:tc>
        <w:tc>
          <w:tcPr>
            <w:tcW w:w="546" w:type="dxa"/>
          </w:tcPr>
          <w:p w14:paraId="17E18430"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Notes</w:t>
            </w:r>
          </w:p>
        </w:tc>
        <w:tc>
          <w:tcPr>
            <w:tcW w:w="738" w:type="dxa"/>
          </w:tcPr>
          <w:p w14:paraId="4198E2F4"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2023</w:t>
            </w:r>
            <w:r>
              <w:noBreakHyphen/>
              <w:t>24</w:t>
            </w:r>
            <w:r>
              <w:br/>
              <w:t>budget</w:t>
            </w:r>
          </w:p>
        </w:tc>
        <w:tc>
          <w:tcPr>
            <w:tcW w:w="781" w:type="dxa"/>
          </w:tcPr>
          <w:p w14:paraId="2147895A"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2023</w:t>
            </w:r>
            <w:r>
              <w:noBreakHyphen/>
              <w:t>24</w:t>
            </w:r>
            <w:r>
              <w:br/>
              <w:t>revised</w:t>
            </w:r>
          </w:p>
        </w:tc>
        <w:tc>
          <w:tcPr>
            <w:tcW w:w="780" w:type="dxa"/>
          </w:tcPr>
          <w:p w14:paraId="506D0BF3"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2024</w:t>
            </w:r>
            <w:r>
              <w:noBreakHyphen/>
              <w:t>25</w:t>
            </w:r>
            <w:r>
              <w:br/>
              <w:t>estimate</w:t>
            </w:r>
          </w:p>
        </w:tc>
        <w:tc>
          <w:tcPr>
            <w:tcW w:w="781" w:type="dxa"/>
          </w:tcPr>
          <w:p w14:paraId="02704358"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81" w:type="dxa"/>
          </w:tcPr>
          <w:p w14:paraId="27D4472F"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r>
      <w:tr w:rsidR="009C6724" w14:paraId="319AB68E" w14:textId="77777777" w:rsidTr="009C6724">
        <w:tc>
          <w:tcPr>
            <w:cnfStyle w:val="001000000000" w:firstRow="0" w:lastRow="0" w:firstColumn="1" w:lastColumn="0" w:oddVBand="0" w:evenVBand="0" w:oddHBand="0" w:evenHBand="0" w:firstRowFirstColumn="0" w:firstRowLastColumn="0" w:lastRowFirstColumn="0" w:lastRowLastColumn="0"/>
            <w:tcW w:w="3248" w:type="dxa"/>
          </w:tcPr>
          <w:p w14:paraId="5A6D02CC" w14:textId="77777777" w:rsidR="00AB205D" w:rsidRDefault="00471A3B">
            <w:pPr>
              <w:spacing w:after="0"/>
            </w:pPr>
            <w:r>
              <w:rPr>
                <w:b/>
              </w:rPr>
              <w:t>Revenue and income from transactions</w:t>
            </w:r>
          </w:p>
        </w:tc>
        <w:tc>
          <w:tcPr>
            <w:tcW w:w="546" w:type="dxa"/>
          </w:tcPr>
          <w:p w14:paraId="23112A99"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38" w:type="dxa"/>
          </w:tcPr>
          <w:p w14:paraId="649BE4EE"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81" w:type="dxa"/>
          </w:tcPr>
          <w:p w14:paraId="4BAA64E3"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80" w:type="dxa"/>
          </w:tcPr>
          <w:p w14:paraId="62ED3DEA"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81" w:type="dxa"/>
          </w:tcPr>
          <w:p w14:paraId="426D37F6"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81" w:type="dxa"/>
          </w:tcPr>
          <w:p w14:paraId="7308BF2A"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r>
      <w:tr w:rsidR="009C6724" w14:paraId="2D7062F7" w14:textId="77777777" w:rsidTr="009C6724">
        <w:tc>
          <w:tcPr>
            <w:cnfStyle w:val="001000000000" w:firstRow="0" w:lastRow="0" w:firstColumn="1" w:lastColumn="0" w:oddVBand="0" w:evenVBand="0" w:oddHBand="0" w:evenHBand="0" w:firstRowFirstColumn="0" w:firstRowLastColumn="0" w:lastRowFirstColumn="0" w:lastRowLastColumn="0"/>
            <w:tcW w:w="3248" w:type="dxa"/>
          </w:tcPr>
          <w:p w14:paraId="175A28A6" w14:textId="77777777" w:rsidR="00AB205D" w:rsidRDefault="00471A3B">
            <w:pPr>
              <w:spacing w:after="0"/>
            </w:pPr>
            <w:r>
              <w:t>Taxation</w:t>
            </w:r>
          </w:p>
        </w:tc>
        <w:tc>
          <w:tcPr>
            <w:tcW w:w="546" w:type="dxa"/>
          </w:tcPr>
          <w:p w14:paraId="78D63195"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4.2.1</w:t>
            </w:r>
          </w:p>
        </w:tc>
        <w:tc>
          <w:tcPr>
            <w:tcW w:w="738" w:type="dxa"/>
          </w:tcPr>
          <w:p w14:paraId="4C3913B2"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34 877</w:t>
            </w:r>
          </w:p>
        </w:tc>
        <w:tc>
          <w:tcPr>
            <w:tcW w:w="781" w:type="dxa"/>
          </w:tcPr>
          <w:p w14:paraId="44B5632A"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35 774</w:t>
            </w:r>
          </w:p>
        </w:tc>
        <w:tc>
          <w:tcPr>
            <w:tcW w:w="780" w:type="dxa"/>
          </w:tcPr>
          <w:p w14:paraId="7DAA1161"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37 855</w:t>
            </w:r>
          </w:p>
        </w:tc>
        <w:tc>
          <w:tcPr>
            <w:tcW w:w="781" w:type="dxa"/>
          </w:tcPr>
          <w:p w14:paraId="0069AF40"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39 645</w:t>
            </w:r>
          </w:p>
        </w:tc>
        <w:tc>
          <w:tcPr>
            <w:tcW w:w="781" w:type="dxa"/>
          </w:tcPr>
          <w:p w14:paraId="7174EB36"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41 562</w:t>
            </w:r>
          </w:p>
        </w:tc>
      </w:tr>
      <w:tr w:rsidR="009C6724" w14:paraId="36A07F62" w14:textId="77777777" w:rsidTr="009C6724">
        <w:tc>
          <w:tcPr>
            <w:cnfStyle w:val="001000000000" w:firstRow="0" w:lastRow="0" w:firstColumn="1" w:lastColumn="0" w:oddVBand="0" w:evenVBand="0" w:oddHBand="0" w:evenHBand="0" w:firstRowFirstColumn="0" w:firstRowLastColumn="0" w:lastRowFirstColumn="0" w:lastRowLastColumn="0"/>
            <w:tcW w:w="3248" w:type="dxa"/>
          </w:tcPr>
          <w:p w14:paraId="4B91789E" w14:textId="77777777" w:rsidR="00AB205D" w:rsidRDefault="00471A3B">
            <w:pPr>
              <w:spacing w:after="0"/>
            </w:pPr>
            <w:r>
              <w:t>Interest income</w:t>
            </w:r>
          </w:p>
        </w:tc>
        <w:tc>
          <w:tcPr>
            <w:tcW w:w="546" w:type="dxa"/>
          </w:tcPr>
          <w:p w14:paraId="26CD2BE7"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38" w:type="dxa"/>
          </w:tcPr>
          <w:p w14:paraId="281A02FA"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1 629</w:t>
            </w:r>
          </w:p>
        </w:tc>
        <w:tc>
          <w:tcPr>
            <w:tcW w:w="781" w:type="dxa"/>
          </w:tcPr>
          <w:p w14:paraId="08F1044B"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1 827</w:t>
            </w:r>
          </w:p>
        </w:tc>
        <w:tc>
          <w:tcPr>
            <w:tcW w:w="780" w:type="dxa"/>
          </w:tcPr>
          <w:p w14:paraId="213E7210"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1 198</w:t>
            </w:r>
          </w:p>
        </w:tc>
        <w:tc>
          <w:tcPr>
            <w:tcW w:w="781" w:type="dxa"/>
          </w:tcPr>
          <w:p w14:paraId="73AA87DB"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1 153</w:t>
            </w:r>
          </w:p>
        </w:tc>
        <w:tc>
          <w:tcPr>
            <w:tcW w:w="781" w:type="dxa"/>
          </w:tcPr>
          <w:p w14:paraId="702AD7AA"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1 153</w:t>
            </w:r>
          </w:p>
        </w:tc>
      </w:tr>
      <w:tr w:rsidR="009C6724" w14:paraId="3CCB2A49" w14:textId="77777777" w:rsidTr="009C6724">
        <w:tc>
          <w:tcPr>
            <w:cnfStyle w:val="001000000000" w:firstRow="0" w:lastRow="0" w:firstColumn="1" w:lastColumn="0" w:oddVBand="0" w:evenVBand="0" w:oddHBand="0" w:evenHBand="0" w:firstRowFirstColumn="0" w:firstRowLastColumn="0" w:lastRowFirstColumn="0" w:lastRowLastColumn="0"/>
            <w:tcW w:w="3248" w:type="dxa"/>
          </w:tcPr>
          <w:p w14:paraId="4643985C" w14:textId="77777777" w:rsidR="00AB205D" w:rsidRDefault="00471A3B">
            <w:pPr>
              <w:spacing w:after="0"/>
            </w:pPr>
            <w:r>
              <w:t>Dividends, income tax equivalent and rate equivalent income</w:t>
            </w:r>
          </w:p>
        </w:tc>
        <w:tc>
          <w:tcPr>
            <w:tcW w:w="546" w:type="dxa"/>
          </w:tcPr>
          <w:p w14:paraId="2A38DF62"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4.2.2</w:t>
            </w:r>
          </w:p>
        </w:tc>
        <w:tc>
          <w:tcPr>
            <w:tcW w:w="738" w:type="dxa"/>
          </w:tcPr>
          <w:p w14:paraId="62DE83E6"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1 275</w:t>
            </w:r>
          </w:p>
        </w:tc>
        <w:tc>
          <w:tcPr>
            <w:tcW w:w="781" w:type="dxa"/>
          </w:tcPr>
          <w:p w14:paraId="0D76EB78"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2 185</w:t>
            </w:r>
          </w:p>
        </w:tc>
        <w:tc>
          <w:tcPr>
            <w:tcW w:w="780" w:type="dxa"/>
          </w:tcPr>
          <w:p w14:paraId="26341710"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1 337</w:t>
            </w:r>
          </w:p>
        </w:tc>
        <w:tc>
          <w:tcPr>
            <w:tcW w:w="781" w:type="dxa"/>
          </w:tcPr>
          <w:p w14:paraId="37658AB1"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1 203</w:t>
            </w:r>
          </w:p>
        </w:tc>
        <w:tc>
          <w:tcPr>
            <w:tcW w:w="781" w:type="dxa"/>
          </w:tcPr>
          <w:p w14:paraId="4D8685E3"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1 258</w:t>
            </w:r>
          </w:p>
        </w:tc>
      </w:tr>
      <w:tr w:rsidR="009C6724" w14:paraId="1D8B3007" w14:textId="77777777" w:rsidTr="009C6724">
        <w:tc>
          <w:tcPr>
            <w:cnfStyle w:val="001000000000" w:firstRow="0" w:lastRow="0" w:firstColumn="1" w:lastColumn="0" w:oddVBand="0" w:evenVBand="0" w:oddHBand="0" w:evenHBand="0" w:firstRowFirstColumn="0" w:firstRowLastColumn="0" w:lastRowFirstColumn="0" w:lastRowLastColumn="0"/>
            <w:tcW w:w="3248" w:type="dxa"/>
          </w:tcPr>
          <w:p w14:paraId="5921FDAC" w14:textId="77777777" w:rsidR="00AB205D" w:rsidRDefault="00471A3B">
            <w:pPr>
              <w:spacing w:after="0"/>
            </w:pPr>
            <w:r>
              <w:t>Sales of goods and services</w:t>
            </w:r>
          </w:p>
        </w:tc>
        <w:tc>
          <w:tcPr>
            <w:tcW w:w="546" w:type="dxa"/>
          </w:tcPr>
          <w:p w14:paraId="080D9072"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4.2.3</w:t>
            </w:r>
          </w:p>
        </w:tc>
        <w:tc>
          <w:tcPr>
            <w:tcW w:w="738" w:type="dxa"/>
          </w:tcPr>
          <w:p w14:paraId="0B6B1A8B"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6 111</w:t>
            </w:r>
          </w:p>
        </w:tc>
        <w:tc>
          <w:tcPr>
            <w:tcW w:w="781" w:type="dxa"/>
          </w:tcPr>
          <w:p w14:paraId="26E5F1A8"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6 408</w:t>
            </w:r>
          </w:p>
        </w:tc>
        <w:tc>
          <w:tcPr>
            <w:tcW w:w="780" w:type="dxa"/>
          </w:tcPr>
          <w:p w14:paraId="5E74857C"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6 675</w:t>
            </w:r>
          </w:p>
        </w:tc>
        <w:tc>
          <w:tcPr>
            <w:tcW w:w="781" w:type="dxa"/>
          </w:tcPr>
          <w:p w14:paraId="3731BC84"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6 664</w:t>
            </w:r>
          </w:p>
        </w:tc>
        <w:tc>
          <w:tcPr>
            <w:tcW w:w="781" w:type="dxa"/>
          </w:tcPr>
          <w:p w14:paraId="0A19DEF6"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6 753</w:t>
            </w:r>
          </w:p>
        </w:tc>
      </w:tr>
      <w:tr w:rsidR="009C6724" w14:paraId="0803C25F" w14:textId="77777777" w:rsidTr="009C6724">
        <w:tc>
          <w:tcPr>
            <w:cnfStyle w:val="001000000000" w:firstRow="0" w:lastRow="0" w:firstColumn="1" w:lastColumn="0" w:oddVBand="0" w:evenVBand="0" w:oddHBand="0" w:evenHBand="0" w:firstRowFirstColumn="0" w:firstRowLastColumn="0" w:lastRowFirstColumn="0" w:lastRowLastColumn="0"/>
            <w:tcW w:w="3248" w:type="dxa"/>
          </w:tcPr>
          <w:p w14:paraId="7FBE39E8" w14:textId="77777777" w:rsidR="00AB205D" w:rsidRDefault="00471A3B">
            <w:pPr>
              <w:spacing w:after="0"/>
            </w:pPr>
            <w:r>
              <w:t>Grants</w:t>
            </w:r>
          </w:p>
        </w:tc>
        <w:tc>
          <w:tcPr>
            <w:tcW w:w="546" w:type="dxa"/>
          </w:tcPr>
          <w:p w14:paraId="3FC0706B"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4.2.4</w:t>
            </w:r>
          </w:p>
        </w:tc>
        <w:tc>
          <w:tcPr>
            <w:tcW w:w="738" w:type="dxa"/>
          </w:tcPr>
          <w:p w14:paraId="54A58B84"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41 751</w:t>
            </w:r>
          </w:p>
        </w:tc>
        <w:tc>
          <w:tcPr>
            <w:tcW w:w="781" w:type="dxa"/>
          </w:tcPr>
          <w:p w14:paraId="6DE62E34"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40 533</w:t>
            </w:r>
          </w:p>
        </w:tc>
        <w:tc>
          <w:tcPr>
            <w:tcW w:w="780" w:type="dxa"/>
          </w:tcPr>
          <w:p w14:paraId="32876645"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43 241</w:t>
            </w:r>
          </w:p>
        </w:tc>
        <w:tc>
          <w:tcPr>
            <w:tcW w:w="781" w:type="dxa"/>
          </w:tcPr>
          <w:p w14:paraId="0F6B35C4"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46 228</w:t>
            </w:r>
          </w:p>
        </w:tc>
        <w:tc>
          <w:tcPr>
            <w:tcW w:w="781" w:type="dxa"/>
          </w:tcPr>
          <w:p w14:paraId="1EFA6BBC"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48 062</w:t>
            </w:r>
          </w:p>
        </w:tc>
      </w:tr>
      <w:tr w:rsidR="009C6724" w14:paraId="7F9DE53D" w14:textId="77777777" w:rsidTr="009C6724">
        <w:tc>
          <w:tcPr>
            <w:cnfStyle w:val="001000000000" w:firstRow="0" w:lastRow="0" w:firstColumn="1" w:lastColumn="0" w:oddVBand="0" w:evenVBand="0" w:oddHBand="0" w:evenHBand="0" w:firstRowFirstColumn="0" w:firstRowLastColumn="0" w:lastRowFirstColumn="0" w:lastRowLastColumn="0"/>
            <w:tcW w:w="3248" w:type="dxa"/>
            <w:tcBorders>
              <w:bottom w:val="single" w:sz="6" w:space="0" w:color="auto"/>
            </w:tcBorders>
          </w:tcPr>
          <w:p w14:paraId="13447D66" w14:textId="77777777" w:rsidR="00AB205D" w:rsidRDefault="00471A3B">
            <w:pPr>
              <w:spacing w:after="0"/>
            </w:pPr>
            <w:r>
              <w:t>Other revenue and income</w:t>
            </w:r>
          </w:p>
        </w:tc>
        <w:tc>
          <w:tcPr>
            <w:tcW w:w="546" w:type="dxa"/>
            <w:tcBorders>
              <w:bottom w:val="single" w:sz="6" w:space="0" w:color="auto"/>
            </w:tcBorders>
          </w:tcPr>
          <w:p w14:paraId="458B5F16"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4.2.5</w:t>
            </w:r>
          </w:p>
        </w:tc>
        <w:tc>
          <w:tcPr>
            <w:tcW w:w="738" w:type="dxa"/>
            <w:tcBorders>
              <w:bottom w:val="single" w:sz="6" w:space="0" w:color="auto"/>
            </w:tcBorders>
          </w:tcPr>
          <w:p w14:paraId="0ECBAF34"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3 617</w:t>
            </w:r>
          </w:p>
        </w:tc>
        <w:tc>
          <w:tcPr>
            <w:tcW w:w="781" w:type="dxa"/>
            <w:tcBorders>
              <w:bottom w:val="single" w:sz="6" w:space="0" w:color="auto"/>
            </w:tcBorders>
          </w:tcPr>
          <w:p w14:paraId="370D1A0F"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3 619</w:t>
            </w:r>
          </w:p>
        </w:tc>
        <w:tc>
          <w:tcPr>
            <w:tcW w:w="780" w:type="dxa"/>
            <w:tcBorders>
              <w:bottom w:val="single" w:sz="6" w:space="0" w:color="auto"/>
            </w:tcBorders>
          </w:tcPr>
          <w:p w14:paraId="0CAD85D2"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3 214</w:t>
            </w:r>
          </w:p>
        </w:tc>
        <w:tc>
          <w:tcPr>
            <w:tcW w:w="781" w:type="dxa"/>
            <w:tcBorders>
              <w:bottom w:val="single" w:sz="6" w:space="0" w:color="auto"/>
            </w:tcBorders>
          </w:tcPr>
          <w:p w14:paraId="77F390FE"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3 327</w:t>
            </w:r>
          </w:p>
        </w:tc>
        <w:tc>
          <w:tcPr>
            <w:tcW w:w="781" w:type="dxa"/>
            <w:tcBorders>
              <w:bottom w:val="single" w:sz="6" w:space="0" w:color="auto"/>
            </w:tcBorders>
          </w:tcPr>
          <w:p w14:paraId="560E59F5"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3 846</w:t>
            </w:r>
          </w:p>
        </w:tc>
      </w:tr>
      <w:tr w:rsidR="009C6724" w14:paraId="2DA0E332" w14:textId="77777777" w:rsidTr="009C6724">
        <w:tc>
          <w:tcPr>
            <w:cnfStyle w:val="001000000000" w:firstRow="0" w:lastRow="0" w:firstColumn="1" w:lastColumn="0" w:oddVBand="0" w:evenVBand="0" w:oddHBand="0" w:evenHBand="0" w:firstRowFirstColumn="0" w:firstRowLastColumn="0" w:lastRowFirstColumn="0" w:lastRowLastColumn="0"/>
            <w:tcW w:w="3248" w:type="dxa"/>
            <w:tcBorders>
              <w:top w:val="single" w:sz="6" w:space="0" w:color="auto"/>
            </w:tcBorders>
          </w:tcPr>
          <w:p w14:paraId="6770622C" w14:textId="77777777" w:rsidR="00AB205D" w:rsidRDefault="00471A3B">
            <w:pPr>
              <w:spacing w:after="0"/>
            </w:pPr>
            <w:r>
              <w:rPr>
                <w:b/>
              </w:rPr>
              <w:t>Total revenue and income from transactions</w:t>
            </w:r>
          </w:p>
        </w:tc>
        <w:tc>
          <w:tcPr>
            <w:tcW w:w="546" w:type="dxa"/>
            <w:tcBorders>
              <w:top w:val="single" w:sz="6" w:space="0" w:color="auto"/>
            </w:tcBorders>
          </w:tcPr>
          <w:p w14:paraId="5D732C7E"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38" w:type="dxa"/>
            <w:tcBorders>
              <w:top w:val="single" w:sz="6" w:space="0" w:color="auto"/>
            </w:tcBorders>
          </w:tcPr>
          <w:p w14:paraId="267EB6F1"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89 260</w:t>
            </w:r>
          </w:p>
        </w:tc>
        <w:tc>
          <w:tcPr>
            <w:tcW w:w="781" w:type="dxa"/>
            <w:tcBorders>
              <w:top w:val="single" w:sz="6" w:space="0" w:color="auto"/>
            </w:tcBorders>
          </w:tcPr>
          <w:p w14:paraId="663CF4DE"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90 346</w:t>
            </w:r>
          </w:p>
        </w:tc>
        <w:tc>
          <w:tcPr>
            <w:tcW w:w="780" w:type="dxa"/>
            <w:tcBorders>
              <w:top w:val="single" w:sz="6" w:space="0" w:color="auto"/>
            </w:tcBorders>
          </w:tcPr>
          <w:p w14:paraId="4B8AE721"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93 519</w:t>
            </w:r>
          </w:p>
        </w:tc>
        <w:tc>
          <w:tcPr>
            <w:tcW w:w="781" w:type="dxa"/>
            <w:tcBorders>
              <w:top w:val="single" w:sz="6" w:space="0" w:color="auto"/>
            </w:tcBorders>
          </w:tcPr>
          <w:p w14:paraId="2AD1A7D8"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98 220</w:t>
            </w:r>
          </w:p>
        </w:tc>
        <w:tc>
          <w:tcPr>
            <w:tcW w:w="781" w:type="dxa"/>
            <w:tcBorders>
              <w:top w:val="single" w:sz="6" w:space="0" w:color="auto"/>
            </w:tcBorders>
          </w:tcPr>
          <w:p w14:paraId="4820CE8D"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102 635</w:t>
            </w:r>
          </w:p>
        </w:tc>
      </w:tr>
      <w:tr w:rsidR="009C6724" w14:paraId="07A9219A" w14:textId="77777777" w:rsidTr="009C6724">
        <w:tc>
          <w:tcPr>
            <w:cnfStyle w:val="001000000000" w:firstRow="0" w:lastRow="0" w:firstColumn="1" w:lastColumn="0" w:oddVBand="0" w:evenVBand="0" w:oddHBand="0" w:evenHBand="0" w:firstRowFirstColumn="0" w:firstRowLastColumn="0" w:lastRowFirstColumn="0" w:lastRowLastColumn="0"/>
            <w:tcW w:w="3248" w:type="dxa"/>
          </w:tcPr>
          <w:p w14:paraId="1038C531" w14:textId="77777777" w:rsidR="00AB205D" w:rsidRDefault="00471A3B">
            <w:pPr>
              <w:spacing w:after="0"/>
            </w:pPr>
            <w:r>
              <w:rPr>
                <w:b/>
              </w:rPr>
              <w:t>Expenses from transactions</w:t>
            </w:r>
          </w:p>
        </w:tc>
        <w:tc>
          <w:tcPr>
            <w:tcW w:w="546" w:type="dxa"/>
          </w:tcPr>
          <w:p w14:paraId="6CF19BF9"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38" w:type="dxa"/>
          </w:tcPr>
          <w:p w14:paraId="0BF9A1FC"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81" w:type="dxa"/>
          </w:tcPr>
          <w:p w14:paraId="02C80436"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80" w:type="dxa"/>
          </w:tcPr>
          <w:p w14:paraId="4E563FEB"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81" w:type="dxa"/>
          </w:tcPr>
          <w:p w14:paraId="5DDEEBF8"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81" w:type="dxa"/>
          </w:tcPr>
          <w:p w14:paraId="4C0F7284"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r>
      <w:tr w:rsidR="009C6724" w14:paraId="417AAE43" w14:textId="77777777" w:rsidTr="009C6724">
        <w:tc>
          <w:tcPr>
            <w:cnfStyle w:val="001000000000" w:firstRow="0" w:lastRow="0" w:firstColumn="1" w:lastColumn="0" w:oddVBand="0" w:evenVBand="0" w:oddHBand="0" w:evenHBand="0" w:firstRowFirstColumn="0" w:firstRowLastColumn="0" w:lastRowFirstColumn="0" w:lastRowLastColumn="0"/>
            <w:tcW w:w="3248" w:type="dxa"/>
          </w:tcPr>
          <w:p w14:paraId="7E7AB6C8" w14:textId="77777777" w:rsidR="00AB205D" w:rsidRDefault="00471A3B">
            <w:pPr>
              <w:spacing w:after="0"/>
            </w:pPr>
            <w:r>
              <w:t>Employee expenses</w:t>
            </w:r>
          </w:p>
        </w:tc>
        <w:tc>
          <w:tcPr>
            <w:tcW w:w="546" w:type="dxa"/>
          </w:tcPr>
          <w:p w14:paraId="44C30C72"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38" w:type="dxa"/>
          </w:tcPr>
          <w:p w14:paraId="09C13993"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35 280</w:t>
            </w:r>
          </w:p>
        </w:tc>
        <w:tc>
          <w:tcPr>
            <w:tcW w:w="781" w:type="dxa"/>
          </w:tcPr>
          <w:p w14:paraId="54CA6CCE"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34 816</w:t>
            </w:r>
          </w:p>
        </w:tc>
        <w:tc>
          <w:tcPr>
            <w:tcW w:w="780" w:type="dxa"/>
          </w:tcPr>
          <w:p w14:paraId="74BD01B6"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35 966</w:t>
            </w:r>
          </w:p>
        </w:tc>
        <w:tc>
          <w:tcPr>
            <w:tcW w:w="781" w:type="dxa"/>
          </w:tcPr>
          <w:p w14:paraId="11F78C05"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37 035</w:t>
            </w:r>
          </w:p>
        </w:tc>
        <w:tc>
          <w:tcPr>
            <w:tcW w:w="781" w:type="dxa"/>
          </w:tcPr>
          <w:p w14:paraId="60C35AAE"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38 653</w:t>
            </w:r>
          </w:p>
        </w:tc>
      </w:tr>
      <w:tr w:rsidR="009C6724" w14:paraId="428AFC8F" w14:textId="77777777" w:rsidTr="009C6724">
        <w:tc>
          <w:tcPr>
            <w:cnfStyle w:val="001000000000" w:firstRow="0" w:lastRow="0" w:firstColumn="1" w:lastColumn="0" w:oddVBand="0" w:evenVBand="0" w:oddHBand="0" w:evenHBand="0" w:firstRowFirstColumn="0" w:firstRowLastColumn="0" w:lastRowFirstColumn="0" w:lastRowLastColumn="0"/>
            <w:tcW w:w="3248" w:type="dxa"/>
          </w:tcPr>
          <w:p w14:paraId="1A7C0D25" w14:textId="77777777" w:rsidR="00AB205D" w:rsidRDefault="00471A3B">
            <w:pPr>
              <w:spacing w:after="0"/>
            </w:pPr>
            <w:r>
              <w:t>Net superannuation interest expense</w:t>
            </w:r>
          </w:p>
        </w:tc>
        <w:tc>
          <w:tcPr>
            <w:tcW w:w="546" w:type="dxa"/>
          </w:tcPr>
          <w:p w14:paraId="2410FEE3"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4.3.2</w:t>
            </w:r>
          </w:p>
        </w:tc>
        <w:tc>
          <w:tcPr>
            <w:tcW w:w="738" w:type="dxa"/>
          </w:tcPr>
          <w:p w14:paraId="3B0F1804"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718</w:t>
            </w:r>
          </w:p>
        </w:tc>
        <w:tc>
          <w:tcPr>
            <w:tcW w:w="781" w:type="dxa"/>
          </w:tcPr>
          <w:p w14:paraId="4D192B37"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774</w:t>
            </w:r>
          </w:p>
        </w:tc>
        <w:tc>
          <w:tcPr>
            <w:tcW w:w="780" w:type="dxa"/>
          </w:tcPr>
          <w:p w14:paraId="599BCE0C"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790</w:t>
            </w:r>
          </w:p>
        </w:tc>
        <w:tc>
          <w:tcPr>
            <w:tcW w:w="781" w:type="dxa"/>
          </w:tcPr>
          <w:p w14:paraId="493C7FDF"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796</w:t>
            </w:r>
          </w:p>
        </w:tc>
        <w:tc>
          <w:tcPr>
            <w:tcW w:w="781" w:type="dxa"/>
          </w:tcPr>
          <w:p w14:paraId="31025BDD"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806</w:t>
            </w:r>
          </w:p>
        </w:tc>
      </w:tr>
      <w:tr w:rsidR="009C6724" w14:paraId="0B13856E" w14:textId="77777777" w:rsidTr="009C6724">
        <w:tc>
          <w:tcPr>
            <w:cnfStyle w:val="001000000000" w:firstRow="0" w:lastRow="0" w:firstColumn="1" w:lastColumn="0" w:oddVBand="0" w:evenVBand="0" w:oddHBand="0" w:evenHBand="0" w:firstRowFirstColumn="0" w:firstRowLastColumn="0" w:lastRowFirstColumn="0" w:lastRowLastColumn="0"/>
            <w:tcW w:w="3248" w:type="dxa"/>
          </w:tcPr>
          <w:p w14:paraId="6907DA88" w14:textId="77777777" w:rsidR="00AB205D" w:rsidRDefault="00471A3B">
            <w:pPr>
              <w:spacing w:after="0"/>
            </w:pPr>
            <w:r>
              <w:t>Other superannuation</w:t>
            </w:r>
          </w:p>
        </w:tc>
        <w:tc>
          <w:tcPr>
            <w:tcW w:w="546" w:type="dxa"/>
          </w:tcPr>
          <w:p w14:paraId="6D57726A"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4.3.2</w:t>
            </w:r>
          </w:p>
        </w:tc>
        <w:tc>
          <w:tcPr>
            <w:tcW w:w="738" w:type="dxa"/>
          </w:tcPr>
          <w:p w14:paraId="4ECD32A2"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3 771</w:t>
            </w:r>
          </w:p>
        </w:tc>
        <w:tc>
          <w:tcPr>
            <w:tcW w:w="781" w:type="dxa"/>
          </w:tcPr>
          <w:p w14:paraId="311C60DF"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3 617</w:t>
            </w:r>
          </w:p>
        </w:tc>
        <w:tc>
          <w:tcPr>
            <w:tcW w:w="780" w:type="dxa"/>
          </w:tcPr>
          <w:p w14:paraId="28BD13B2"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3 599</w:t>
            </w:r>
          </w:p>
        </w:tc>
        <w:tc>
          <w:tcPr>
            <w:tcW w:w="781" w:type="dxa"/>
          </w:tcPr>
          <w:p w14:paraId="78A94E7B"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3 637</w:t>
            </w:r>
          </w:p>
        </w:tc>
        <w:tc>
          <w:tcPr>
            <w:tcW w:w="781" w:type="dxa"/>
          </w:tcPr>
          <w:p w14:paraId="1234B514"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3 704</w:t>
            </w:r>
          </w:p>
        </w:tc>
      </w:tr>
      <w:tr w:rsidR="009C6724" w14:paraId="03A0B735" w14:textId="77777777" w:rsidTr="009C6724">
        <w:tc>
          <w:tcPr>
            <w:cnfStyle w:val="001000000000" w:firstRow="0" w:lastRow="0" w:firstColumn="1" w:lastColumn="0" w:oddVBand="0" w:evenVBand="0" w:oddHBand="0" w:evenHBand="0" w:firstRowFirstColumn="0" w:firstRowLastColumn="0" w:lastRowFirstColumn="0" w:lastRowLastColumn="0"/>
            <w:tcW w:w="3248" w:type="dxa"/>
          </w:tcPr>
          <w:p w14:paraId="06F2732E" w14:textId="77777777" w:rsidR="00AB205D" w:rsidRDefault="00471A3B">
            <w:pPr>
              <w:spacing w:after="0"/>
            </w:pPr>
            <w:r>
              <w:t>Depreciation</w:t>
            </w:r>
          </w:p>
        </w:tc>
        <w:tc>
          <w:tcPr>
            <w:tcW w:w="546" w:type="dxa"/>
          </w:tcPr>
          <w:p w14:paraId="1E395141"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4.4.2</w:t>
            </w:r>
          </w:p>
        </w:tc>
        <w:tc>
          <w:tcPr>
            <w:tcW w:w="738" w:type="dxa"/>
          </w:tcPr>
          <w:p w14:paraId="17EEDE2B"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4 890</w:t>
            </w:r>
          </w:p>
        </w:tc>
        <w:tc>
          <w:tcPr>
            <w:tcW w:w="781" w:type="dxa"/>
          </w:tcPr>
          <w:p w14:paraId="41CDC9E6"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4 897</w:t>
            </w:r>
          </w:p>
        </w:tc>
        <w:tc>
          <w:tcPr>
            <w:tcW w:w="780" w:type="dxa"/>
          </w:tcPr>
          <w:p w14:paraId="0EC751D4"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5 037</w:t>
            </w:r>
          </w:p>
        </w:tc>
        <w:tc>
          <w:tcPr>
            <w:tcW w:w="781" w:type="dxa"/>
          </w:tcPr>
          <w:p w14:paraId="0F9ADA41"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5 348</w:t>
            </w:r>
          </w:p>
        </w:tc>
        <w:tc>
          <w:tcPr>
            <w:tcW w:w="781" w:type="dxa"/>
          </w:tcPr>
          <w:p w14:paraId="42B3B7D8"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5 557</w:t>
            </w:r>
          </w:p>
        </w:tc>
      </w:tr>
      <w:tr w:rsidR="009C6724" w14:paraId="27BBDE99" w14:textId="77777777" w:rsidTr="009C6724">
        <w:tc>
          <w:tcPr>
            <w:cnfStyle w:val="001000000000" w:firstRow="0" w:lastRow="0" w:firstColumn="1" w:lastColumn="0" w:oddVBand="0" w:evenVBand="0" w:oddHBand="0" w:evenHBand="0" w:firstRowFirstColumn="0" w:firstRowLastColumn="0" w:lastRowFirstColumn="0" w:lastRowLastColumn="0"/>
            <w:tcW w:w="3248" w:type="dxa"/>
          </w:tcPr>
          <w:p w14:paraId="47A128A5" w14:textId="77777777" w:rsidR="00AB205D" w:rsidRDefault="00471A3B">
            <w:pPr>
              <w:spacing w:after="0"/>
            </w:pPr>
            <w:r>
              <w:t>Interest expense</w:t>
            </w:r>
          </w:p>
        </w:tc>
        <w:tc>
          <w:tcPr>
            <w:tcW w:w="546" w:type="dxa"/>
          </w:tcPr>
          <w:p w14:paraId="0CA12B38"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4.5.3</w:t>
            </w:r>
          </w:p>
        </w:tc>
        <w:tc>
          <w:tcPr>
            <w:tcW w:w="738" w:type="dxa"/>
          </w:tcPr>
          <w:p w14:paraId="1E03BEB0"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5 566</w:t>
            </w:r>
          </w:p>
        </w:tc>
        <w:tc>
          <w:tcPr>
            <w:tcW w:w="781" w:type="dxa"/>
          </w:tcPr>
          <w:p w14:paraId="10B73A63"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5 662</w:t>
            </w:r>
          </w:p>
        </w:tc>
        <w:tc>
          <w:tcPr>
            <w:tcW w:w="780" w:type="dxa"/>
          </w:tcPr>
          <w:p w14:paraId="60479046"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6 580</w:t>
            </w:r>
          </w:p>
        </w:tc>
        <w:tc>
          <w:tcPr>
            <w:tcW w:w="781" w:type="dxa"/>
          </w:tcPr>
          <w:p w14:paraId="3476C2FE"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7 741</w:t>
            </w:r>
          </w:p>
        </w:tc>
        <w:tc>
          <w:tcPr>
            <w:tcW w:w="781" w:type="dxa"/>
          </w:tcPr>
          <w:p w14:paraId="4B2363E3"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8 793</w:t>
            </w:r>
          </w:p>
        </w:tc>
      </w:tr>
      <w:tr w:rsidR="009C6724" w14:paraId="04EFB636" w14:textId="77777777" w:rsidTr="009C6724">
        <w:tc>
          <w:tcPr>
            <w:cnfStyle w:val="001000000000" w:firstRow="0" w:lastRow="0" w:firstColumn="1" w:lastColumn="0" w:oddVBand="0" w:evenVBand="0" w:oddHBand="0" w:evenHBand="0" w:firstRowFirstColumn="0" w:firstRowLastColumn="0" w:lastRowFirstColumn="0" w:lastRowLastColumn="0"/>
            <w:tcW w:w="3248" w:type="dxa"/>
          </w:tcPr>
          <w:p w14:paraId="6D5752F8" w14:textId="77777777" w:rsidR="00AB205D" w:rsidRDefault="00471A3B">
            <w:pPr>
              <w:spacing w:after="0"/>
            </w:pPr>
            <w:r>
              <w:t>Grant expense</w:t>
            </w:r>
          </w:p>
        </w:tc>
        <w:tc>
          <w:tcPr>
            <w:tcW w:w="546" w:type="dxa"/>
          </w:tcPr>
          <w:p w14:paraId="4A16E78F"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4.3.3</w:t>
            </w:r>
          </w:p>
        </w:tc>
        <w:tc>
          <w:tcPr>
            <w:tcW w:w="738" w:type="dxa"/>
          </w:tcPr>
          <w:p w14:paraId="6BBE2F57"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16 962</w:t>
            </w:r>
          </w:p>
        </w:tc>
        <w:tc>
          <w:tcPr>
            <w:tcW w:w="781" w:type="dxa"/>
          </w:tcPr>
          <w:p w14:paraId="7A2B0700"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16 995</w:t>
            </w:r>
          </w:p>
        </w:tc>
        <w:tc>
          <w:tcPr>
            <w:tcW w:w="780" w:type="dxa"/>
          </w:tcPr>
          <w:p w14:paraId="5FB88881"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17 124</w:t>
            </w:r>
          </w:p>
        </w:tc>
        <w:tc>
          <w:tcPr>
            <w:tcW w:w="781" w:type="dxa"/>
          </w:tcPr>
          <w:p w14:paraId="4559A04B"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16 880</w:t>
            </w:r>
          </w:p>
        </w:tc>
        <w:tc>
          <w:tcPr>
            <w:tcW w:w="781" w:type="dxa"/>
          </w:tcPr>
          <w:p w14:paraId="1A673883"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16 900</w:t>
            </w:r>
          </w:p>
        </w:tc>
      </w:tr>
      <w:tr w:rsidR="009C6724" w14:paraId="64D432A7" w14:textId="77777777" w:rsidTr="009C6724">
        <w:tc>
          <w:tcPr>
            <w:cnfStyle w:val="001000000000" w:firstRow="0" w:lastRow="0" w:firstColumn="1" w:lastColumn="0" w:oddVBand="0" w:evenVBand="0" w:oddHBand="0" w:evenHBand="0" w:firstRowFirstColumn="0" w:firstRowLastColumn="0" w:lastRowFirstColumn="0" w:lastRowLastColumn="0"/>
            <w:tcW w:w="3248" w:type="dxa"/>
            <w:tcBorders>
              <w:bottom w:val="single" w:sz="6" w:space="0" w:color="auto"/>
            </w:tcBorders>
          </w:tcPr>
          <w:p w14:paraId="7B2DE711" w14:textId="77777777" w:rsidR="00AB205D" w:rsidRDefault="00471A3B">
            <w:pPr>
              <w:spacing w:after="0"/>
            </w:pPr>
            <w:r>
              <w:t>Other operating expenses</w:t>
            </w:r>
          </w:p>
        </w:tc>
        <w:tc>
          <w:tcPr>
            <w:tcW w:w="546" w:type="dxa"/>
            <w:tcBorders>
              <w:bottom w:val="single" w:sz="6" w:space="0" w:color="auto"/>
            </w:tcBorders>
          </w:tcPr>
          <w:p w14:paraId="2B0672E2"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4.3.4</w:t>
            </w:r>
          </w:p>
        </w:tc>
        <w:tc>
          <w:tcPr>
            <w:tcW w:w="738" w:type="dxa"/>
            <w:tcBorders>
              <w:bottom w:val="single" w:sz="6" w:space="0" w:color="auto"/>
            </w:tcBorders>
          </w:tcPr>
          <w:p w14:paraId="31721DBF"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26 091</w:t>
            </w:r>
          </w:p>
        </w:tc>
        <w:tc>
          <w:tcPr>
            <w:tcW w:w="781" w:type="dxa"/>
            <w:tcBorders>
              <w:bottom w:val="single" w:sz="6" w:space="0" w:color="auto"/>
            </w:tcBorders>
          </w:tcPr>
          <w:p w14:paraId="01EBF378"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27 055</w:t>
            </w:r>
          </w:p>
        </w:tc>
        <w:tc>
          <w:tcPr>
            <w:tcW w:w="780" w:type="dxa"/>
            <w:tcBorders>
              <w:bottom w:val="single" w:sz="6" w:space="0" w:color="auto"/>
            </w:tcBorders>
          </w:tcPr>
          <w:p w14:paraId="53E7F638"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25 445</w:t>
            </w:r>
          </w:p>
        </w:tc>
        <w:tc>
          <w:tcPr>
            <w:tcW w:w="781" w:type="dxa"/>
            <w:tcBorders>
              <w:bottom w:val="single" w:sz="6" w:space="0" w:color="auto"/>
            </w:tcBorders>
          </w:tcPr>
          <w:p w14:paraId="04DDA1F5"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25 720</w:t>
            </w:r>
          </w:p>
        </w:tc>
        <w:tc>
          <w:tcPr>
            <w:tcW w:w="781" w:type="dxa"/>
            <w:tcBorders>
              <w:bottom w:val="single" w:sz="6" w:space="0" w:color="auto"/>
            </w:tcBorders>
          </w:tcPr>
          <w:p w14:paraId="459AF5CA"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26 991</w:t>
            </w:r>
          </w:p>
        </w:tc>
      </w:tr>
      <w:tr w:rsidR="009C6724" w14:paraId="5A0542BD" w14:textId="77777777" w:rsidTr="009C6724">
        <w:tc>
          <w:tcPr>
            <w:cnfStyle w:val="001000000000" w:firstRow="0" w:lastRow="0" w:firstColumn="1" w:lastColumn="0" w:oddVBand="0" w:evenVBand="0" w:oddHBand="0" w:evenHBand="0" w:firstRowFirstColumn="0" w:firstRowLastColumn="0" w:lastRowFirstColumn="0" w:lastRowLastColumn="0"/>
            <w:tcW w:w="3248" w:type="dxa"/>
            <w:tcBorders>
              <w:top w:val="single" w:sz="6" w:space="0" w:color="auto"/>
              <w:bottom w:val="single" w:sz="6" w:space="0" w:color="auto"/>
            </w:tcBorders>
          </w:tcPr>
          <w:p w14:paraId="3BA81C91" w14:textId="77777777" w:rsidR="00AB205D" w:rsidRDefault="00471A3B">
            <w:pPr>
              <w:spacing w:after="0"/>
            </w:pPr>
            <w:r>
              <w:rPr>
                <w:b/>
              </w:rPr>
              <w:t>Total expenses from transactions</w:t>
            </w:r>
          </w:p>
        </w:tc>
        <w:tc>
          <w:tcPr>
            <w:tcW w:w="546" w:type="dxa"/>
            <w:tcBorders>
              <w:top w:val="single" w:sz="6" w:space="0" w:color="auto"/>
              <w:bottom w:val="single" w:sz="6" w:space="0" w:color="auto"/>
            </w:tcBorders>
          </w:tcPr>
          <w:p w14:paraId="3B5CAFBB"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4.3.5</w:t>
            </w:r>
          </w:p>
        </w:tc>
        <w:tc>
          <w:tcPr>
            <w:tcW w:w="738" w:type="dxa"/>
            <w:tcBorders>
              <w:top w:val="single" w:sz="6" w:space="0" w:color="auto"/>
              <w:bottom w:val="single" w:sz="6" w:space="0" w:color="auto"/>
            </w:tcBorders>
          </w:tcPr>
          <w:p w14:paraId="6DCE7697"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93 277</w:t>
            </w:r>
          </w:p>
        </w:tc>
        <w:tc>
          <w:tcPr>
            <w:tcW w:w="781" w:type="dxa"/>
            <w:tcBorders>
              <w:top w:val="single" w:sz="6" w:space="0" w:color="auto"/>
              <w:bottom w:val="single" w:sz="6" w:space="0" w:color="auto"/>
            </w:tcBorders>
          </w:tcPr>
          <w:p w14:paraId="24A88102"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93 816</w:t>
            </w:r>
          </w:p>
        </w:tc>
        <w:tc>
          <w:tcPr>
            <w:tcW w:w="780" w:type="dxa"/>
            <w:tcBorders>
              <w:top w:val="single" w:sz="6" w:space="0" w:color="auto"/>
              <w:bottom w:val="single" w:sz="6" w:space="0" w:color="auto"/>
            </w:tcBorders>
          </w:tcPr>
          <w:p w14:paraId="6F69F0D5"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94 541</w:t>
            </w:r>
          </w:p>
        </w:tc>
        <w:tc>
          <w:tcPr>
            <w:tcW w:w="781" w:type="dxa"/>
            <w:tcBorders>
              <w:top w:val="single" w:sz="6" w:space="0" w:color="auto"/>
              <w:bottom w:val="single" w:sz="6" w:space="0" w:color="auto"/>
            </w:tcBorders>
          </w:tcPr>
          <w:p w14:paraId="4E4903AE"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97 158</w:t>
            </w:r>
          </w:p>
        </w:tc>
        <w:tc>
          <w:tcPr>
            <w:tcW w:w="781" w:type="dxa"/>
            <w:tcBorders>
              <w:top w:val="single" w:sz="6" w:space="0" w:color="auto"/>
              <w:bottom w:val="single" w:sz="6" w:space="0" w:color="auto"/>
            </w:tcBorders>
          </w:tcPr>
          <w:p w14:paraId="621EFE0E"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101 403</w:t>
            </w:r>
          </w:p>
        </w:tc>
      </w:tr>
      <w:tr w:rsidR="009C6724" w14:paraId="684A20FD" w14:textId="77777777" w:rsidTr="009C6724">
        <w:tc>
          <w:tcPr>
            <w:cnfStyle w:val="001000000000" w:firstRow="0" w:lastRow="0" w:firstColumn="1" w:lastColumn="0" w:oddVBand="0" w:evenVBand="0" w:oddHBand="0" w:evenHBand="0" w:firstRowFirstColumn="0" w:firstRowLastColumn="0" w:lastRowFirstColumn="0" w:lastRowLastColumn="0"/>
            <w:tcW w:w="3248" w:type="dxa"/>
            <w:tcBorders>
              <w:top w:val="single" w:sz="6" w:space="0" w:color="auto"/>
              <w:bottom w:val="single" w:sz="12" w:space="0" w:color="auto"/>
            </w:tcBorders>
          </w:tcPr>
          <w:p w14:paraId="16DE3CD5" w14:textId="72B2F40F" w:rsidR="00AB205D" w:rsidRDefault="00471A3B">
            <w:pPr>
              <w:spacing w:after="0"/>
            </w:pPr>
            <w:r>
              <w:rPr>
                <w:b/>
              </w:rPr>
              <w:t xml:space="preserve">Net result from transactions – </w:t>
            </w:r>
            <w:r w:rsidR="00117A92">
              <w:rPr>
                <w:b/>
              </w:rPr>
              <w:br/>
            </w:r>
            <w:r w:rsidR="00FA005E">
              <w:rPr>
                <w:b/>
              </w:rPr>
              <w:t xml:space="preserve">Net </w:t>
            </w:r>
            <w:r>
              <w:rPr>
                <w:b/>
              </w:rPr>
              <w:t>operating balance</w:t>
            </w:r>
          </w:p>
        </w:tc>
        <w:tc>
          <w:tcPr>
            <w:tcW w:w="546" w:type="dxa"/>
            <w:tcBorders>
              <w:top w:val="single" w:sz="6" w:space="0" w:color="auto"/>
              <w:bottom w:val="single" w:sz="12" w:space="0" w:color="auto"/>
            </w:tcBorders>
          </w:tcPr>
          <w:p w14:paraId="66D067A1"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38" w:type="dxa"/>
            <w:tcBorders>
              <w:top w:val="single" w:sz="6" w:space="0" w:color="auto"/>
              <w:bottom w:val="single" w:sz="12" w:space="0" w:color="auto"/>
            </w:tcBorders>
          </w:tcPr>
          <w:p w14:paraId="64248ACA"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(4 017)</w:t>
            </w:r>
          </w:p>
        </w:tc>
        <w:tc>
          <w:tcPr>
            <w:tcW w:w="781" w:type="dxa"/>
            <w:tcBorders>
              <w:top w:val="single" w:sz="6" w:space="0" w:color="auto"/>
              <w:bottom w:val="single" w:sz="12" w:space="0" w:color="auto"/>
            </w:tcBorders>
          </w:tcPr>
          <w:p w14:paraId="68ED5886"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(3 470)</w:t>
            </w:r>
          </w:p>
        </w:tc>
        <w:tc>
          <w:tcPr>
            <w:tcW w:w="780" w:type="dxa"/>
            <w:tcBorders>
              <w:top w:val="single" w:sz="6" w:space="0" w:color="auto"/>
              <w:bottom w:val="single" w:sz="12" w:space="0" w:color="auto"/>
            </w:tcBorders>
          </w:tcPr>
          <w:p w14:paraId="7469F128"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(1 022)</w:t>
            </w:r>
          </w:p>
        </w:tc>
        <w:tc>
          <w:tcPr>
            <w:tcW w:w="781" w:type="dxa"/>
            <w:tcBorders>
              <w:top w:val="single" w:sz="6" w:space="0" w:color="auto"/>
              <w:bottom w:val="single" w:sz="12" w:space="0" w:color="auto"/>
            </w:tcBorders>
          </w:tcPr>
          <w:p w14:paraId="1F557BA0"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1 062</w:t>
            </w:r>
          </w:p>
        </w:tc>
        <w:tc>
          <w:tcPr>
            <w:tcW w:w="781" w:type="dxa"/>
            <w:tcBorders>
              <w:top w:val="single" w:sz="6" w:space="0" w:color="auto"/>
              <w:bottom w:val="single" w:sz="12" w:space="0" w:color="auto"/>
            </w:tcBorders>
          </w:tcPr>
          <w:p w14:paraId="2D7478C6"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1 232</w:t>
            </w:r>
          </w:p>
        </w:tc>
      </w:tr>
      <w:tr w:rsidR="009C6724" w14:paraId="59DD4EA0" w14:textId="77777777" w:rsidTr="009C6724">
        <w:tc>
          <w:tcPr>
            <w:cnfStyle w:val="001000000000" w:firstRow="0" w:lastRow="0" w:firstColumn="1" w:lastColumn="0" w:oddVBand="0" w:evenVBand="0" w:oddHBand="0" w:evenHBand="0" w:firstRowFirstColumn="0" w:firstRowLastColumn="0" w:lastRowFirstColumn="0" w:lastRowLastColumn="0"/>
            <w:tcW w:w="3248" w:type="dxa"/>
            <w:tcBorders>
              <w:top w:val="single" w:sz="6" w:space="0" w:color="auto"/>
            </w:tcBorders>
          </w:tcPr>
          <w:p w14:paraId="7EE07AAC" w14:textId="77777777" w:rsidR="00AB205D" w:rsidRDefault="00471A3B">
            <w:pPr>
              <w:spacing w:after="0"/>
            </w:pPr>
            <w:r>
              <w:rPr>
                <w:b/>
              </w:rPr>
              <w:t>Other economic flows included in net result</w:t>
            </w:r>
          </w:p>
        </w:tc>
        <w:tc>
          <w:tcPr>
            <w:tcW w:w="546" w:type="dxa"/>
            <w:tcBorders>
              <w:top w:val="single" w:sz="6" w:space="0" w:color="auto"/>
            </w:tcBorders>
          </w:tcPr>
          <w:p w14:paraId="04CF26DA"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38" w:type="dxa"/>
            <w:tcBorders>
              <w:top w:val="single" w:sz="6" w:space="0" w:color="auto"/>
            </w:tcBorders>
          </w:tcPr>
          <w:p w14:paraId="1A12312B"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81" w:type="dxa"/>
            <w:tcBorders>
              <w:top w:val="single" w:sz="6" w:space="0" w:color="auto"/>
            </w:tcBorders>
          </w:tcPr>
          <w:p w14:paraId="46F50C66"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80" w:type="dxa"/>
            <w:tcBorders>
              <w:top w:val="single" w:sz="6" w:space="0" w:color="auto"/>
            </w:tcBorders>
          </w:tcPr>
          <w:p w14:paraId="41E96D5C"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81" w:type="dxa"/>
            <w:tcBorders>
              <w:top w:val="single" w:sz="6" w:space="0" w:color="auto"/>
            </w:tcBorders>
          </w:tcPr>
          <w:p w14:paraId="33154720"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81" w:type="dxa"/>
            <w:tcBorders>
              <w:top w:val="single" w:sz="6" w:space="0" w:color="auto"/>
            </w:tcBorders>
          </w:tcPr>
          <w:p w14:paraId="52567542"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r>
      <w:tr w:rsidR="009C6724" w14:paraId="596A0535" w14:textId="77777777" w:rsidTr="009C6724">
        <w:tc>
          <w:tcPr>
            <w:cnfStyle w:val="001000000000" w:firstRow="0" w:lastRow="0" w:firstColumn="1" w:lastColumn="0" w:oddVBand="0" w:evenVBand="0" w:oddHBand="0" w:evenHBand="0" w:firstRowFirstColumn="0" w:firstRowLastColumn="0" w:lastRowFirstColumn="0" w:lastRowLastColumn="0"/>
            <w:tcW w:w="3248" w:type="dxa"/>
          </w:tcPr>
          <w:p w14:paraId="1A1E2E50" w14:textId="77777777" w:rsidR="00AB205D" w:rsidRDefault="00471A3B">
            <w:pPr>
              <w:spacing w:after="0"/>
            </w:pPr>
            <w:r>
              <w:t>Net gain/(loss) on disposal of non</w:t>
            </w:r>
            <w:r>
              <w:noBreakHyphen/>
              <w:t>financial assets</w:t>
            </w:r>
          </w:p>
        </w:tc>
        <w:tc>
          <w:tcPr>
            <w:tcW w:w="546" w:type="dxa"/>
          </w:tcPr>
          <w:p w14:paraId="12E372E8"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38" w:type="dxa"/>
          </w:tcPr>
          <w:p w14:paraId="3ABBD877"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13</w:t>
            </w:r>
          </w:p>
        </w:tc>
        <w:tc>
          <w:tcPr>
            <w:tcW w:w="781" w:type="dxa"/>
          </w:tcPr>
          <w:p w14:paraId="536C312F"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13</w:t>
            </w:r>
          </w:p>
        </w:tc>
        <w:tc>
          <w:tcPr>
            <w:tcW w:w="780" w:type="dxa"/>
          </w:tcPr>
          <w:p w14:paraId="78A7BDC0"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4</w:t>
            </w:r>
          </w:p>
        </w:tc>
        <w:tc>
          <w:tcPr>
            <w:tcW w:w="781" w:type="dxa"/>
          </w:tcPr>
          <w:p w14:paraId="56275B3F"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8</w:t>
            </w:r>
          </w:p>
        </w:tc>
        <w:tc>
          <w:tcPr>
            <w:tcW w:w="781" w:type="dxa"/>
          </w:tcPr>
          <w:p w14:paraId="3EE45A53"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5</w:t>
            </w:r>
          </w:p>
        </w:tc>
      </w:tr>
      <w:tr w:rsidR="009C6724" w14:paraId="2840F860" w14:textId="77777777" w:rsidTr="009C6724">
        <w:tc>
          <w:tcPr>
            <w:cnfStyle w:val="001000000000" w:firstRow="0" w:lastRow="0" w:firstColumn="1" w:lastColumn="0" w:oddVBand="0" w:evenVBand="0" w:oddHBand="0" w:evenHBand="0" w:firstRowFirstColumn="0" w:firstRowLastColumn="0" w:lastRowFirstColumn="0" w:lastRowLastColumn="0"/>
            <w:tcW w:w="3248" w:type="dxa"/>
          </w:tcPr>
          <w:p w14:paraId="5356A10A" w14:textId="77777777" w:rsidR="00AB205D" w:rsidRDefault="00471A3B">
            <w:pPr>
              <w:spacing w:after="0"/>
            </w:pPr>
            <w:r>
              <w:t>Net gain/(loss) on financial assets or liabilities at fair value</w:t>
            </w:r>
          </w:p>
        </w:tc>
        <w:tc>
          <w:tcPr>
            <w:tcW w:w="546" w:type="dxa"/>
          </w:tcPr>
          <w:p w14:paraId="3D6CCDDB"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38" w:type="dxa"/>
          </w:tcPr>
          <w:p w14:paraId="12222081"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60</w:t>
            </w:r>
          </w:p>
        </w:tc>
        <w:tc>
          <w:tcPr>
            <w:tcW w:w="781" w:type="dxa"/>
          </w:tcPr>
          <w:p w14:paraId="4245B574"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10</w:t>
            </w:r>
          </w:p>
        </w:tc>
        <w:tc>
          <w:tcPr>
            <w:tcW w:w="780" w:type="dxa"/>
          </w:tcPr>
          <w:p w14:paraId="074EECA6"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82</w:t>
            </w:r>
          </w:p>
        </w:tc>
        <w:tc>
          <w:tcPr>
            <w:tcW w:w="781" w:type="dxa"/>
          </w:tcPr>
          <w:p w14:paraId="79D9570C"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159</w:t>
            </w:r>
          </w:p>
        </w:tc>
        <w:tc>
          <w:tcPr>
            <w:tcW w:w="781" w:type="dxa"/>
          </w:tcPr>
          <w:p w14:paraId="21ED50C9"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175</w:t>
            </w:r>
          </w:p>
        </w:tc>
      </w:tr>
      <w:tr w:rsidR="009C6724" w14:paraId="67117B42" w14:textId="77777777" w:rsidTr="009C6724">
        <w:tc>
          <w:tcPr>
            <w:cnfStyle w:val="001000000000" w:firstRow="0" w:lastRow="0" w:firstColumn="1" w:lastColumn="0" w:oddVBand="0" w:evenVBand="0" w:oddHBand="0" w:evenHBand="0" w:firstRowFirstColumn="0" w:firstRowLastColumn="0" w:lastRowFirstColumn="0" w:lastRowLastColumn="0"/>
            <w:tcW w:w="3248" w:type="dxa"/>
          </w:tcPr>
          <w:p w14:paraId="5F854E0B" w14:textId="77777777" w:rsidR="00AB205D" w:rsidRDefault="00471A3B">
            <w:pPr>
              <w:spacing w:after="0"/>
            </w:pPr>
            <w:r>
              <w:t>Share of net profit/(loss) from associates/joint venture entities</w:t>
            </w:r>
          </w:p>
        </w:tc>
        <w:tc>
          <w:tcPr>
            <w:tcW w:w="546" w:type="dxa"/>
          </w:tcPr>
          <w:p w14:paraId="180FEDAA"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38" w:type="dxa"/>
          </w:tcPr>
          <w:p w14:paraId="361D5B4A"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30</w:t>
            </w:r>
          </w:p>
        </w:tc>
        <w:tc>
          <w:tcPr>
            <w:tcW w:w="781" w:type="dxa"/>
          </w:tcPr>
          <w:p w14:paraId="1F43F921"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30</w:t>
            </w:r>
          </w:p>
        </w:tc>
        <w:tc>
          <w:tcPr>
            <w:tcW w:w="780" w:type="dxa"/>
          </w:tcPr>
          <w:p w14:paraId="0DB93943"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32</w:t>
            </w:r>
          </w:p>
        </w:tc>
        <w:tc>
          <w:tcPr>
            <w:tcW w:w="781" w:type="dxa"/>
          </w:tcPr>
          <w:p w14:paraId="15D683C1"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36</w:t>
            </w:r>
          </w:p>
        </w:tc>
        <w:tc>
          <w:tcPr>
            <w:tcW w:w="781" w:type="dxa"/>
          </w:tcPr>
          <w:p w14:paraId="6189305E"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4</w:t>
            </w:r>
          </w:p>
        </w:tc>
      </w:tr>
      <w:tr w:rsidR="009C6724" w14:paraId="0F0438D2" w14:textId="77777777" w:rsidTr="009C6724">
        <w:tc>
          <w:tcPr>
            <w:cnfStyle w:val="001000000000" w:firstRow="0" w:lastRow="0" w:firstColumn="1" w:lastColumn="0" w:oddVBand="0" w:evenVBand="0" w:oddHBand="0" w:evenHBand="0" w:firstRowFirstColumn="0" w:firstRowLastColumn="0" w:lastRowFirstColumn="0" w:lastRowLastColumn="0"/>
            <w:tcW w:w="3248" w:type="dxa"/>
            <w:tcBorders>
              <w:bottom w:val="single" w:sz="6" w:space="0" w:color="auto"/>
            </w:tcBorders>
          </w:tcPr>
          <w:p w14:paraId="24B28F82" w14:textId="77777777" w:rsidR="00AB205D" w:rsidRDefault="00471A3B">
            <w:pPr>
              <w:spacing w:after="0"/>
            </w:pPr>
            <w:r>
              <w:t>Other gains/(losses) from other economic flows</w:t>
            </w:r>
          </w:p>
        </w:tc>
        <w:tc>
          <w:tcPr>
            <w:tcW w:w="546" w:type="dxa"/>
            <w:tcBorders>
              <w:bottom w:val="single" w:sz="6" w:space="0" w:color="auto"/>
            </w:tcBorders>
          </w:tcPr>
          <w:p w14:paraId="713843B8"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4.7.1</w:t>
            </w:r>
          </w:p>
        </w:tc>
        <w:tc>
          <w:tcPr>
            <w:tcW w:w="738" w:type="dxa"/>
            <w:tcBorders>
              <w:bottom w:val="single" w:sz="6" w:space="0" w:color="auto"/>
            </w:tcBorders>
          </w:tcPr>
          <w:p w14:paraId="168ACD5A"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(473)</w:t>
            </w:r>
          </w:p>
        </w:tc>
        <w:tc>
          <w:tcPr>
            <w:tcW w:w="781" w:type="dxa"/>
            <w:tcBorders>
              <w:bottom w:val="single" w:sz="6" w:space="0" w:color="auto"/>
            </w:tcBorders>
          </w:tcPr>
          <w:p w14:paraId="65F4B190"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(620)</w:t>
            </w:r>
          </w:p>
        </w:tc>
        <w:tc>
          <w:tcPr>
            <w:tcW w:w="780" w:type="dxa"/>
            <w:tcBorders>
              <w:bottom w:val="single" w:sz="6" w:space="0" w:color="auto"/>
            </w:tcBorders>
          </w:tcPr>
          <w:p w14:paraId="774CC02B"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(446)</w:t>
            </w:r>
          </w:p>
        </w:tc>
        <w:tc>
          <w:tcPr>
            <w:tcW w:w="781" w:type="dxa"/>
            <w:tcBorders>
              <w:bottom w:val="single" w:sz="6" w:space="0" w:color="auto"/>
            </w:tcBorders>
          </w:tcPr>
          <w:p w14:paraId="5675302D"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(411)</w:t>
            </w:r>
          </w:p>
        </w:tc>
        <w:tc>
          <w:tcPr>
            <w:tcW w:w="781" w:type="dxa"/>
            <w:tcBorders>
              <w:bottom w:val="single" w:sz="6" w:space="0" w:color="auto"/>
            </w:tcBorders>
          </w:tcPr>
          <w:p w14:paraId="68C6003E"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(447)</w:t>
            </w:r>
          </w:p>
        </w:tc>
      </w:tr>
      <w:tr w:rsidR="009C6724" w14:paraId="40BA29B8" w14:textId="77777777" w:rsidTr="009C6724">
        <w:tc>
          <w:tcPr>
            <w:cnfStyle w:val="001000000000" w:firstRow="0" w:lastRow="0" w:firstColumn="1" w:lastColumn="0" w:oddVBand="0" w:evenVBand="0" w:oddHBand="0" w:evenHBand="0" w:firstRowFirstColumn="0" w:firstRowLastColumn="0" w:lastRowFirstColumn="0" w:lastRowLastColumn="0"/>
            <w:tcW w:w="3248" w:type="dxa"/>
            <w:tcBorders>
              <w:top w:val="single" w:sz="6" w:space="0" w:color="auto"/>
              <w:bottom w:val="single" w:sz="6" w:space="0" w:color="auto"/>
            </w:tcBorders>
          </w:tcPr>
          <w:p w14:paraId="30049227" w14:textId="77777777" w:rsidR="00AB205D" w:rsidRDefault="00471A3B">
            <w:pPr>
              <w:spacing w:after="0"/>
            </w:pPr>
            <w:r>
              <w:rPr>
                <w:b/>
              </w:rPr>
              <w:t>Total other economic flows included in net result</w:t>
            </w:r>
          </w:p>
        </w:tc>
        <w:tc>
          <w:tcPr>
            <w:tcW w:w="546" w:type="dxa"/>
            <w:tcBorders>
              <w:top w:val="single" w:sz="6" w:space="0" w:color="auto"/>
              <w:bottom w:val="single" w:sz="6" w:space="0" w:color="auto"/>
            </w:tcBorders>
          </w:tcPr>
          <w:p w14:paraId="3A67AF0C"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38" w:type="dxa"/>
            <w:tcBorders>
              <w:top w:val="single" w:sz="6" w:space="0" w:color="auto"/>
              <w:bottom w:val="single" w:sz="6" w:space="0" w:color="auto"/>
            </w:tcBorders>
          </w:tcPr>
          <w:p w14:paraId="36B320C6"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(369)</w:t>
            </w:r>
          </w:p>
        </w:tc>
        <w:tc>
          <w:tcPr>
            <w:tcW w:w="781" w:type="dxa"/>
            <w:tcBorders>
              <w:top w:val="single" w:sz="6" w:space="0" w:color="auto"/>
              <w:bottom w:val="single" w:sz="6" w:space="0" w:color="auto"/>
            </w:tcBorders>
          </w:tcPr>
          <w:p w14:paraId="10FD155D"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(567)</w:t>
            </w:r>
          </w:p>
        </w:tc>
        <w:tc>
          <w:tcPr>
            <w:tcW w:w="780" w:type="dxa"/>
            <w:tcBorders>
              <w:top w:val="single" w:sz="6" w:space="0" w:color="auto"/>
              <w:bottom w:val="single" w:sz="6" w:space="0" w:color="auto"/>
            </w:tcBorders>
          </w:tcPr>
          <w:p w14:paraId="5829448F"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(329)</w:t>
            </w:r>
          </w:p>
        </w:tc>
        <w:tc>
          <w:tcPr>
            <w:tcW w:w="781" w:type="dxa"/>
            <w:tcBorders>
              <w:top w:val="single" w:sz="6" w:space="0" w:color="auto"/>
              <w:bottom w:val="single" w:sz="6" w:space="0" w:color="auto"/>
            </w:tcBorders>
          </w:tcPr>
          <w:p w14:paraId="42380F7F"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(209)</w:t>
            </w:r>
          </w:p>
        </w:tc>
        <w:tc>
          <w:tcPr>
            <w:tcW w:w="781" w:type="dxa"/>
            <w:tcBorders>
              <w:top w:val="single" w:sz="6" w:space="0" w:color="auto"/>
              <w:bottom w:val="single" w:sz="6" w:space="0" w:color="auto"/>
            </w:tcBorders>
          </w:tcPr>
          <w:p w14:paraId="7BB7440A"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(262)</w:t>
            </w:r>
          </w:p>
        </w:tc>
      </w:tr>
      <w:tr w:rsidR="009C6724" w14:paraId="55507F0B" w14:textId="77777777" w:rsidTr="009C6724">
        <w:tc>
          <w:tcPr>
            <w:cnfStyle w:val="001000000000" w:firstRow="0" w:lastRow="0" w:firstColumn="1" w:lastColumn="0" w:oddVBand="0" w:evenVBand="0" w:oddHBand="0" w:evenHBand="0" w:firstRowFirstColumn="0" w:firstRowLastColumn="0" w:lastRowFirstColumn="0" w:lastRowLastColumn="0"/>
            <w:tcW w:w="3248" w:type="dxa"/>
            <w:tcBorders>
              <w:top w:val="single" w:sz="6" w:space="0" w:color="auto"/>
              <w:bottom w:val="single" w:sz="12" w:space="0" w:color="auto"/>
            </w:tcBorders>
          </w:tcPr>
          <w:p w14:paraId="40DF5BE0" w14:textId="77777777" w:rsidR="00AB205D" w:rsidRDefault="00471A3B">
            <w:pPr>
              <w:spacing w:after="0"/>
            </w:pPr>
            <w:r>
              <w:rPr>
                <w:b/>
              </w:rPr>
              <w:t>Net result</w:t>
            </w:r>
          </w:p>
        </w:tc>
        <w:tc>
          <w:tcPr>
            <w:tcW w:w="546" w:type="dxa"/>
            <w:tcBorders>
              <w:top w:val="single" w:sz="6" w:space="0" w:color="auto"/>
              <w:bottom w:val="single" w:sz="12" w:space="0" w:color="auto"/>
            </w:tcBorders>
          </w:tcPr>
          <w:p w14:paraId="53D466A8"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38" w:type="dxa"/>
            <w:tcBorders>
              <w:top w:val="single" w:sz="6" w:space="0" w:color="auto"/>
              <w:bottom w:val="single" w:sz="12" w:space="0" w:color="auto"/>
            </w:tcBorders>
          </w:tcPr>
          <w:p w14:paraId="16732369"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(4 387)</w:t>
            </w:r>
          </w:p>
        </w:tc>
        <w:tc>
          <w:tcPr>
            <w:tcW w:w="781" w:type="dxa"/>
            <w:tcBorders>
              <w:top w:val="single" w:sz="6" w:space="0" w:color="auto"/>
              <w:bottom w:val="single" w:sz="12" w:space="0" w:color="auto"/>
            </w:tcBorders>
          </w:tcPr>
          <w:p w14:paraId="5A222798"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(4 037)</w:t>
            </w:r>
          </w:p>
        </w:tc>
        <w:tc>
          <w:tcPr>
            <w:tcW w:w="780" w:type="dxa"/>
            <w:tcBorders>
              <w:top w:val="single" w:sz="6" w:space="0" w:color="auto"/>
              <w:bottom w:val="single" w:sz="12" w:space="0" w:color="auto"/>
            </w:tcBorders>
          </w:tcPr>
          <w:p w14:paraId="6B55D1C0"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(1 351)</w:t>
            </w:r>
          </w:p>
        </w:tc>
        <w:tc>
          <w:tcPr>
            <w:tcW w:w="781" w:type="dxa"/>
            <w:tcBorders>
              <w:top w:val="single" w:sz="6" w:space="0" w:color="auto"/>
              <w:bottom w:val="single" w:sz="12" w:space="0" w:color="auto"/>
            </w:tcBorders>
          </w:tcPr>
          <w:p w14:paraId="565CA34B"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853</w:t>
            </w:r>
          </w:p>
        </w:tc>
        <w:tc>
          <w:tcPr>
            <w:tcW w:w="781" w:type="dxa"/>
            <w:tcBorders>
              <w:top w:val="single" w:sz="6" w:space="0" w:color="auto"/>
              <w:bottom w:val="single" w:sz="12" w:space="0" w:color="auto"/>
            </w:tcBorders>
          </w:tcPr>
          <w:p w14:paraId="3AF1477E"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970</w:t>
            </w:r>
          </w:p>
        </w:tc>
      </w:tr>
    </w:tbl>
    <w:p w14:paraId="0C26B3C6" w14:textId="77777777" w:rsidR="00AB205D" w:rsidRDefault="00AB205D">
      <w:pPr>
        <w:pStyle w:val="Note"/>
      </w:pPr>
    </w:p>
    <w:p w14:paraId="43CB6030" w14:textId="77777777" w:rsidR="00AB205D" w:rsidRDefault="00471A3B">
      <w:pPr>
        <w:pStyle w:val="Heading10"/>
      </w:pPr>
      <w:bookmarkStart w:id="32" w:name="_Toc152933033"/>
      <w:r>
        <w:lastRenderedPageBreak/>
        <w:t xml:space="preserve">Estimated consolidated general government sector comprehensive operating statement </w:t>
      </w:r>
      <w:r w:rsidRPr="000C065E">
        <w:rPr>
          <w:i/>
          <w:iCs/>
          <w:sz w:val="22"/>
          <w:szCs w:val="24"/>
        </w:rPr>
        <w:t>(Continued)</w:t>
      </w:r>
      <w:bookmarkEnd w:id="32"/>
    </w:p>
    <w:p w14:paraId="6C35E02F" w14:textId="77777777" w:rsidR="00AB205D" w:rsidRDefault="00471A3B">
      <w:pPr>
        <w:pStyle w:val="TableHeading"/>
      </w:pPr>
      <w:r>
        <w:t>For the financial year ended 30 June</w:t>
      </w:r>
      <w:r>
        <w:tab/>
        <w:t>($ million)</w:t>
      </w:r>
    </w:p>
    <w:tbl>
      <w:tblPr>
        <w:tblStyle w:val="DTFTableNumeric"/>
        <w:tblW w:w="7655" w:type="dxa"/>
        <w:tblLayout w:type="fixed"/>
        <w:tblLook w:val="06A0" w:firstRow="1" w:lastRow="0" w:firstColumn="1" w:lastColumn="0" w:noHBand="1" w:noVBand="1"/>
        <w:tblDescription w:val="Type:DtfTable|Workbook:Rawdata\BudgetUpdate\Budget Update\Financial Statements\SRIMS exports\SRIMS_BU_EFS_OS.xlsx|Table:Cons_OS|MergedHeadingRow:1|FirstRow:32"/>
      </w:tblPr>
      <w:tblGrid>
        <w:gridCol w:w="3248"/>
        <w:gridCol w:w="546"/>
        <w:gridCol w:w="738"/>
        <w:gridCol w:w="781"/>
        <w:gridCol w:w="780"/>
        <w:gridCol w:w="781"/>
        <w:gridCol w:w="781"/>
      </w:tblGrid>
      <w:tr w:rsidR="009C6724" w14:paraId="3F9B4A4F"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48" w:type="dxa"/>
          </w:tcPr>
          <w:p w14:paraId="69E6679A" w14:textId="77777777" w:rsidR="00AB205D" w:rsidRDefault="00AB205D">
            <w:pPr>
              <w:keepNext/>
              <w:spacing w:after="0"/>
            </w:pPr>
          </w:p>
        </w:tc>
        <w:tc>
          <w:tcPr>
            <w:tcW w:w="546" w:type="dxa"/>
          </w:tcPr>
          <w:p w14:paraId="47217AF4"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Notes</w:t>
            </w:r>
          </w:p>
        </w:tc>
        <w:tc>
          <w:tcPr>
            <w:tcW w:w="738" w:type="dxa"/>
          </w:tcPr>
          <w:p w14:paraId="6A76ADB7"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2023</w:t>
            </w:r>
            <w:r>
              <w:noBreakHyphen/>
              <w:t>24</w:t>
            </w:r>
            <w:r>
              <w:br/>
              <w:t>budget</w:t>
            </w:r>
          </w:p>
        </w:tc>
        <w:tc>
          <w:tcPr>
            <w:tcW w:w="781" w:type="dxa"/>
          </w:tcPr>
          <w:p w14:paraId="65F345D5"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2023</w:t>
            </w:r>
            <w:r>
              <w:noBreakHyphen/>
              <w:t>24</w:t>
            </w:r>
            <w:r>
              <w:br/>
              <w:t>revised</w:t>
            </w:r>
          </w:p>
        </w:tc>
        <w:tc>
          <w:tcPr>
            <w:tcW w:w="780" w:type="dxa"/>
          </w:tcPr>
          <w:p w14:paraId="40CADBFD"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2024</w:t>
            </w:r>
            <w:r>
              <w:noBreakHyphen/>
              <w:t>25</w:t>
            </w:r>
            <w:r>
              <w:br/>
              <w:t>estimate</w:t>
            </w:r>
          </w:p>
        </w:tc>
        <w:tc>
          <w:tcPr>
            <w:tcW w:w="781" w:type="dxa"/>
          </w:tcPr>
          <w:p w14:paraId="41664A0F"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81" w:type="dxa"/>
          </w:tcPr>
          <w:p w14:paraId="0C33F06D"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r>
      <w:tr w:rsidR="009C6724" w14:paraId="6EE326DF" w14:textId="77777777" w:rsidTr="009C6724">
        <w:tc>
          <w:tcPr>
            <w:cnfStyle w:val="001000000000" w:firstRow="0" w:lastRow="0" w:firstColumn="1" w:lastColumn="0" w:oddVBand="0" w:evenVBand="0" w:oddHBand="0" w:evenHBand="0" w:firstRowFirstColumn="0" w:firstRowLastColumn="0" w:lastRowFirstColumn="0" w:lastRowLastColumn="0"/>
            <w:tcW w:w="3248" w:type="dxa"/>
            <w:tcBorders>
              <w:top w:val="single" w:sz="6" w:space="0" w:color="auto"/>
            </w:tcBorders>
          </w:tcPr>
          <w:p w14:paraId="437E81D4" w14:textId="63D058C8" w:rsidR="00AB205D" w:rsidRDefault="00471A3B">
            <w:pPr>
              <w:spacing w:after="0"/>
            </w:pPr>
            <w:r>
              <w:rPr>
                <w:b/>
              </w:rPr>
              <w:t xml:space="preserve">Other economic flows – </w:t>
            </w:r>
            <w:r w:rsidR="00FA005E">
              <w:rPr>
                <w:b/>
              </w:rPr>
              <w:br/>
              <w:t xml:space="preserve">Other </w:t>
            </w:r>
            <w:r>
              <w:rPr>
                <w:b/>
              </w:rPr>
              <w:t>comprehensive income</w:t>
            </w:r>
          </w:p>
        </w:tc>
        <w:tc>
          <w:tcPr>
            <w:tcW w:w="546" w:type="dxa"/>
            <w:tcBorders>
              <w:top w:val="single" w:sz="6" w:space="0" w:color="auto"/>
            </w:tcBorders>
          </w:tcPr>
          <w:p w14:paraId="674786A4"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38" w:type="dxa"/>
            <w:tcBorders>
              <w:top w:val="single" w:sz="6" w:space="0" w:color="auto"/>
            </w:tcBorders>
          </w:tcPr>
          <w:p w14:paraId="3E053F9C"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81" w:type="dxa"/>
            <w:tcBorders>
              <w:top w:val="single" w:sz="6" w:space="0" w:color="auto"/>
            </w:tcBorders>
          </w:tcPr>
          <w:p w14:paraId="6A660B14"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80" w:type="dxa"/>
            <w:tcBorders>
              <w:top w:val="single" w:sz="6" w:space="0" w:color="auto"/>
            </w:tcBorders>
          </w:tcPr>
          <w:p w14:paraId="67C3DC13"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81" w:type="dxa"/>
            <w:tcBorders>
              <w:top w:val="single" w:sz="6" w:space="0" w:color="auto"/>
            </w:tcBorders>
          </w:tcPr>
          <w:p w14:paraId="5FDEAEA0"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81" w:type="dxa"/>
            <w:tcBorders>
              <w:top w:val="single" w:sz="6" w:space="0" w:color="auto"/>
            </w:tcBorders>
          </w:tcPr>
          <w:p w14:paraId="7CDE1546"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r>
      <w:tr w:rsidR="009C6724" w14:paraId="4F1AE325" w14:textId="77777777" w:rsidTr="009C6724">
        <w:tc>
          <w:tcPr>
            <w:cnfStyle w:val="001000000000" w:firstRow="0" w:lastRow="0" w:firstColumn="1" w:lastColumn="0" w:oddVBand="0" w:evenVBand="0" w:oddHBand="0" w:evenHBand="0" w:firstRowFirstColumn="0" w:firstRowLastColumn="0" w:lastRowFirstColumn="0" w:lastRowLastColumn="0"/>
            <w:tcW w:w="3248" w:type="dxa"/>
          </w:tcPr>
          <w:p w14:paraId="1B573060" w14:textId="77777777" w:rsidR="00AB205D" w:rsidRDefault="00471A3B">
            <w:pPr>
              <w:spacing w:after="0"/>
            </w:pPr>
            <w:r>
              <w:rPr>
                <w:b/>
              </w:rPr>
              <w:t>Items that will not be reclassified to net result</w:t>
            </w:r>
          </w:p>
        </w:tc>
        <w:tc>
          <w:tcPr>
            <w:tcW w:w="546" w:type="dxa"/>
          </w:tcPr>
          <w:p w14:paraId="7AE793FC"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38" w:type="dxa"/>
          </w:tcPr>
          <w:p w14:paraId="212524D5"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81" w:type="dxa"/>
          </w:tcPr>
          <w:p w14:paraId="2902C3A4"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80" w:type="dxa"/>
          </w:tcPr>
          <w:p w14:paraId="6A183042"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81" w:type="dxa"/>
          </w:tcPr>
          <w:p w14:paraId="3D005155"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81" w:type="dxa"/>
          </w:tcPr>
          <w:p w14:paraId="503CFF4C"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r>
      <w:tr w:rsidR="009C6724" w14:paraId="369A6C67" w14:textId="77777777" w:rsidTr="009C6724">
        <w:tc>
          <w:tcPr>
            <w:cnfStyle w:val="001000000000" w:firstRow="0" w:lastRow="0" w:firstColumn="1" w:lastColumn="0" w:oddVBand="0" w:evenVBand="0" w:oddHBand="0" w:evenHBand="0" w:firstRowFirstColumn="0" w:firstRowLastColumn="0" w:lastRowFirstColumn="0" w:lastRowLastColumn="0"/>
            <w:tcW w:w="3248" w:type="dxa"/>
          </w:tcPr>
          <w:p w14:paraId="5588E8CB" w14:textId="77777777" w:rsidR="00AB205D" w:rsidRDefault="00471A3B">
            <w:pPr>
              <w:spacing w:after="0"/>
            </w:pPr>
            <w:r>
              <w:t>Changes in non</w:t>
            </w:r>
            <w:r>
              <w:noBreakHyphen/>
              <w:t>financial assets revaluation surplus</w:t>
            </w:r>
          </w:p>
        </w:tc>
        <w:tc>
          <w:tcPr>
            <w:tcW w:w="546" w:type="dxa"/>
          </w:tcPr>
          <w:p w14:paraId="0057923C"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38" w:type="dxa"/>
          </w:tcPr>
          <w:p w14:paraId="3A91BD25"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1 030</w:t>
            </w:r>
          </w:p>
        </w:tc>
        <w:tc>
          <w:tcPr>
            <w:tcW w:w="781" w:type="dxa"/>
          </w:tcPr>
          <w:p w14:paraId="04121AE0"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1 017</w:t>
            </w:r>
          </w:p>
        </w:tc>
        <w:tc>
          <w:tcPr>
            <w:tcW w:w="780" w:type="dxa"/>
          </w:tcPr>
          <w:p w14:paraId="459DAA7D"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15 018</w:t>
            </w:r>
          </w:p>
        </w:tc>
        <w:tc>
          <w:tcPr>
            <w:tcW w:w="781" w:type="dxa"/>
          </w:tcPr>
          <w:p w14:paraId="4CA25035"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2 882</w:t>
            </w:r>
          </w:p>
        </w:tc>
        <w:tc>
          <w:tcPr>
            <w:tcW w:w="781" w:type="dxa"/>
          </w:tcPr>
          <w:p w14:paraId="09EBD015"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9 657</w:t>
            </w:r>
          </w:p>
        </w:tc>
      </w:tr>
      <w:tr w:rsidR="009C6724" w14:paraId="107C75B7" w14:textId="77777777" w:rsidTr="009C6724">
        <w:tc>
          <w:tcPr>
            <w:cnfStyle w:val="001000000000" w:firstRow="0" w:lastRow="0" w:firstColumn="1" w:lastColumn="0" w:oddVBand="0" w:evenVBand="0" w:oddHBand="0" w:evenHBand="0" w:firstRowFirstColumn="0" w:firstRowLastColumn="0" w:lastRowFirstColumn="0" w:lastRowLastColumn="0"/>
            <w:tcW w:w="3248" w:type="dxa"/>
          </w:tcPr>
          <w:p w14:paraId="5D3D7CCA" w14:textId="77777777" w:rsidR="00AB205D" w:rsidRDefault="00471A3B">
            <w:pPr>
              <w:spacing w:after="0"/>
            </w:pPr>
            <w:r>
              <w:t>Remeasurement of superannuation defined benefit plans</w:t>
            </w:r>
          </w:p>
        </w:tc>
        <w:tc>
          <w:tcPr>
            <w:tcW w:w="546" w:type="dxa"/>
          </w:tcPr>
          <w:p w14:paraId="1AE93544"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4.3.2</w:t>
            </w:r>
          </w:p>
        </w:tc>
        <w:tc>
          <w:tcPr>
            <w:tcW w:w="738" w:type="dxa"/>
          </w:tcPr>
          <w:p w14:paraId="7FAD2A0C"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852</w:t>
            </w:r>
          </w:p>
        </w:tc>
        <w:tc>
          <w:tcPr>
            <w:tcW w:w="781" w:type="dxa"/>
          </w:tcPr>
          <w:p w14:paraId="3132FEFA"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2 541</w:t>
            </w:r>
          </w:p>
        </w:tc>
        <w:tc>
          <w:tcPr>
            <w:tcW w:w="780" w:type="dxa"/>
          </w:tcPr>
          <w:p w14:paraId="0C6C96F6"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567</w:t>
            </w:r>
          </w:p>
        </w:tc>
        <w:tc>
          <w:tcPr>
            <w:tcW w:w="781" w:type="dxa"/>
          </w:tcPr>
          <w:p w14:paraId="3CE8228D"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549</w:t>
            </w:r>
          </w:p>
        </w:tc>
        <w:tc>
          <w:tcPr>
            <w:tcW w:w="781" w:type="dxa"/>
          </w:tcPr>
          <w:p w14:paraId="30824421"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528</w:t>
            </w:r>
          </w:p>
        </w:tc>
      </w:tr>
      <w:tr w:rsidR="009C6724" w14:paraId="0A2F43F1" w14:textId="77777777" w:rsidTr="009C6724">
        <w:tc>
          <w:tcPr>
            <w:cnfStyle w:val="001000000000" w:firstRow="0" w:lastRow="0" w:firstColumn="1" w:lastColumn="0" w:oddVBand="0" w:evenVBand="0" w:oddHBand="0" w:evenHBand="0" w:firstRowFirstColumn="0" w:firstRowLastColumn="0" w:lastRowFirstColumn="0" w:lastRowLastColumn="0"/>
            <w:tcW w:w="3248" w:type="dxa"/>
          </w:tcPr>
          <w:p w14:paraId="11BCAB26" w14:textId="77777777" w:rsidR="00AB205D" w:rsidRDefault="00471A3B">
            <w:pPr>
              <w:spacing w:after="0"/>
            </w:pPr>
            <w:r>
              <w:t>Other movements in equity</w:t>
            </w:r>
          </w:p>
        </w:tc>
        <w:tc>
          <w:tcPr>
            <w:tcW w:w="546" w:type="dxa"/>
          </w:tcPr>
          <w:p w14:paraId="0DFE9717"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38" w:type="dxa"/>
          </w:tcPr>
          <w:p w14:paraId="7AF70F5D"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13</w:t>
            </w:r>
          </w:p>
        </w:tc>
        <w:tc>
          <w:tcPr>
            <w:tcW w:w="781" w:type="dxa"/>
          </w:tcPr>
          <w:p w14:paraId="731563F5"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11</w:t>
            </w:r>
          </w:p>
        </w:tc>
        <w:tc>
          <w:tcPr>
            <w:tcW w:w="780" w:type="dxa"/>
          </w:tcPr>
          <w:p w14:paraId="16A8B3E7"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12</w:t>
            </w:r>
          </w:p>
        </w:tc>
        <w:tc>
          <w:tcPr>
            <w:tcW w:w="781" w:type="dxa"/>
          </w:tcPr>
          <w:p w14:paraId="610A6F2C"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(9)</w:t>
            </w:r>
          </w:p>
        </w:tc>
        <w:tc>
          <w:tcPr>
            <w:tcW w:w="781" w:type="dxa"/>
          </w:tcPr>
          <w:p w14:paraId="6857C50C"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(6)</w:t>
            </w:r>
          </w:p>
        </w:tc>
      </w:tr>
      <w:tr w:rsidR="009C6724" w14:paraId="3B078456" w14:textId="77777777" w:rsidTr="009C6724">
        <w:tc>
          <w:tcPr>
            <w:cnfStyle w:val="001000000000" w:firstRow="0" w:lastRow="0" w:firstColumn="1" w:lastColumn="0" w:oddVBand="0" w:evenVBand="0" w:oddHBand="0" w:evenHBand="0" w:firstRowFirstColumn="0" w:firstRowLastColumn="0" w:lastRowFirstColumn="0" w:lastRowLastColumn="0"/>
            <w:tcW w:w="3248" w:type="dxa"/>
          </w:tcPr>
          <w:p w14:paraId="524E1B37" w14:textId="77777777" w:rsidR="00AB205D" w:rsidRDefault="00471A3B">
            <w:pPr>
              <w:spacing w:after="0"/>
            </w:pPr>
            <w:r>
              <w:rPr>
                <w:b/>
              </w:rPr>
              <w:t>Items that may be reclassified subsequently to net result</w:t>
            </w:r>
          </w:p>
        </w:tc>
        <w:tc>
          <w:tcPr>
            <w:tcW w:w="546" w:type="dxa"/>
          </w:tcPr>
          <w:p w14:paraId="1976DC55"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38" w:type="dxa"/>
          </w:tcPr>
          <w:p w14:paraId="7FEF6A10"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81" w:type="dxa"/>
          </w:tcPr>
          <w:p w14:paraId="1EC4E911"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80" w:type="dxa"/>
          </w:tcPr>
          <w:p w14:paraId="032DF165"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81" w:type="dxa"/>
          </w:tcPr>
          <w:p w14:paraId="1492565B"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81" w:type="dxa"/>
          </w:tcPr>
          <w:p w14:paraId="4D07B069"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r>
      <w:tr w:rsidR="009C6724" w14:paraId="6772E85B" w14:textId="77777777" w:rsidTr="009C6724">
        <w:tc>
          <w:tcPr>
            <w:cnfStyle w:val="001000000000" w:firstRow="0" w:lastRow="0" w:firstColumn="1" w:lastColumn="0" w:oddVBand="0" w:evenVBand="0" w:oddHBand="0" w:evenHBand="0" w:firstRowFirstColumn="0" w:firstRowLastColumn="0" w:lastRowFirstColumn="0" w:lastRowLastColumn="0"/>
            <w:tcW w:w="3248" w:type="dxa"/>
          </w:tcPr>
          <w:p w14:paraId="2A6CA911" w14:textId="77777777" w:rsidR="00AB205D" w:rsidRDefault="00471A3B">
            <w:pPr>
              <w:spacing w:after="0"/>
            </w:pPr>
            <w:r>
              <w:t>Net gain/(loss) on financial assets at fair value</w:t>
            </w:r>
          </w:p>
        </w:tc>
        <w:tc>
          <w:tcPr>
            <w:tcW w:w="546" w:type="dxa"/>
          </w:tcPr>
          <w:p w14:paraId="259EB224"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38" w:type="dxa"/>
          </w:tcPr>
          <w:p w14:paraId="5424D50F"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3</w:t>
            </w:r>
          </w:p>
        </w:tc>
        <w:tc>
          <w:tcPr>
            <w:tcW w:w="781" w:type="dxa"/>
          </w:tcPr>
          <w:p w14:paraId="240E9351"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18</w:t>
            </w:r>
          </w:p>
        </w:tc>
        <w:tc>
          <w:tcPr>
            <w:tcW w:w="780" w:type="dxa"/>
          </w:tcPr>
          <w:p w14:paraId="5E364F5C"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18</w:t>
            </w:r>
          </w:p>
        </w:tc>
        <w:tc>
          <w:tcPr>
            <w:tcW w:w="781" w:type="dxa"/>
          </w:tcPr>
          <w:p w14:paraId="648F5A74"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18</w:t>
            </w:r>
          </w:p>
        </w:tc>
        <w:tc>
          <w:tcPr>
            <w:tcW w:w="781" w:type="dxa"/>
          </w:tcPr>
          <w:p w14:paraId="6A8E12C4"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18</w:t>
            </w:r>
          </w:p>
        </w:tc>
      </w:tr>
      <w:tr w:rsidR="009C6724" w14:paraId="5A52BDA9" w14:textId="77777777" w:rsidTr="009C6724">
        <w:tc>
          <w:tcPr>
            <w:cnfStyle w:val="001000000000" w:firstRow="0" w:lastRow="0" w:firstColumn="1" w:lastColumn="0" w:oddVBand="0" w:evenVBand="0" w:oddHBand="0" w:evenHBand="0" w:firstRowFirstColumn="0" w:firstRowLastColumn="0" w:lastRowFirstColumn="0" w:lastRowLastColumn="0"/>
            <w:tcW w:w="3248" w:type="dxa"/>
            <w:tcBorders>
              <w:bottom w:val="single" w:sz="6" w:space="0" w:color="auto"/>
            </w:tcBorders>
          </w:tcPr>
          <w:p w14:paraId="3E48CE44" w14:textId="77777777" w:rsidR="00AB205D" w:rsidRDefault="00471A3B">
            <w:pPr>
              <w:spacing w:after="0"/>
            </w:pPr>
            <w:r>
              <w:t>Net gain/(loss) on equity investments in other sector entities at proportional share of the carrying amount of net assets</w:t>
            </w:r>
          </w:p>
        </w:tc>
        <w:tc>
          <w:tcPr>
            <w:tcW w:w="546" w:type="dxa"/>
            <w:tcBorders>
              <w:bottom w:val="single" w:sz="6" w:space="0" w:color="auto"/>
            </w:tcBorders>
          </w:tcPr>
          <w:p w14:paraId="0A1DCD10"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4.6.1</w:t>
            </w:r>
          </w:p>
        </w:tc>
        <w:tc>
          <w:tcPr>
            <w:tcW w:w="738" w:type="dxa"/>
            <w:tcBorders>
              <w:bottom w:val="single" w:sz="6" w:space="0" w:color="auto"/>
            </w:tcBorders>
          </w:tcPr>
          <w:p w14:paraId="3450A7CB"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(6 330)</w:t>
            </w:r>
          </w:p>
        </w:tc>
        <w:tc>
          <w:tcPr>
            <w:tcW w:w="781" w:type="dxa"/>
            <w:tcBorders>
              <w:bottom w:val="single" w:sz="6" w:space="0" w:color="auto"/>
            </w:tcBorders>
          </w:tcPr>
          <w:p w14:paraId="1541ED71"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(4 489)</w:t>
            </w:r>
          </w:p>
        </w:tc>
        <w:tc>
          <w:tcPr>
            <w:tcW w:w="780" w:type="dxa"/>
            <w:tcBorders>
              <w:bottom w:val="single" w:sz="6" w:space="0" w:color="auto"/>
            </w:tcBorders>
          </w:tcPr>
          <w:p w14:paraId="1D3EC199"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(3 794)</w:t>
            </w:r>
          </w:p>
        </w:tc>
        <w:tc>
          <w:tcPr>
            <w:tcW w:w="781" w:type="dxa"/>
            <w:tcBorders>
              <w:bottom w:val="single" w:sz="6" w:space="0" w:color="auto"/>
            </w:tcBorders>
          </w:tcPr>
          <w:p w14:paraId="0B95D13E"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(16 752)</w:t>
            </w:r>
          </w:p>
        </w:tc>
        <w:tc>
          <w:tcPr>
            <w:tcW w:w="781" w:type="dxa"/>
            <w:tcBorders>
              <w:bottom w:val="single" w:sz="6" w:space="0" w:color="auto"/>
            </w:tcBorders>
          </w:tcPr>
          <w:p w14:paraId="0D88F604"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(2 879)</w:t>
            </w:r>
          </w:p>
        </w:tc>
      </w:tr>
      <w:tr w:rsidR="009C6724" w14:paraId="0903D93B" w14:textId="77777777" w:rsidTr="009C6724">
        <w:tc>
          <w:tcPr>
            <w:cnfStyle w:val="001000000000" w:firstRow="0" w:lastRow="0" w:firstColumn="1" w:lastColumn="0" w:oddVBand="0" w:evenVBand="0" w:oddHBand="0" w:evenHBand="0" w:firstRowFirstColumn="0" w:firstRowLastColumn="0" w:lastRowFirstColumn="0" w:lastRowLastColumn="0"/>
            <w:tcW w:w="3248" w:type="dxa"/>
            <w:tcBorders>
              <w:top w:val="single" w:sz="6" w:space="0" w:color="auto"/>
              <w:bottom w:val="single" w:sz="6" w:space="0" w:color="auto"/>
            </w:tcBorders>
          </w:tcPr>
          <w:p w14:paraId="3342DDCD" w14:textId="2A0B5AC9" w:rsidR="00AB205D" w:rsidRDefault="00471A3B">
            <w:pPr>
              <w:spacing w:after="0"/>
            </w:pPr>
            <w:r>
              <w:rPr>
                <w:b/>
              </w:rPr>
              <w:t xml:space="preserve">Total other economic flows – </w:t>
            </w:r>
            <w:r w:rsidR="00FA005E">
              <w:rPr>
                <w:b/>
              </w:rPr>
              <w:br/>
              <w:t xml:space="preserve">Other </w:t>
            </w:r>
            <w:r>
              <w:rPr>
                <w:b/>
              </w:rPr>
              <w:t>comprehensive income</w:t>
            </w:r>
          </w:p>
        </w:tc>
        <w:tc>
          <w:tcPr>
            <w:tcW w:w="546" w:type="dxa"/>
            <w:tcBorders>
              <w:top w:val="single" w:sz="6" w:space="0" w:color="auto"/>
              <w:bottom w:val="single" w:sz="6" w:space="0" w:color="auto"/>
            </w:tcBorders>
          </w:tcPr>
          <w:p w14:paraId="2743E069"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38" w:type="dxa"/>
            <w:tcBorders>
              <w:top w:val="single" w:sz="6" w:space="0" w:color="auto"/>
              <w:bottom w:val="single" w:sz="6" w:space="0" w:color="auto"/>
            </w:tcBorders>
          </w:tcPr>
          <w:p w14:paraId="7204D4F0"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(4 431)</w:t>
            </w:r>
          </w:p>
        </w:tc>
        <w:tc>
          <w:tcPr>
            <w:tcW w:w="781" w:type="dxa"/>
            <w:tcBorders>
              <w:top w:val="single" w:sz="6" w:space="0" w:color="auto"/>
              <w:bottom w:val="single" w:sz="6" w:space="0" w:color="auto"/>
            </w:tcBorders>
          </w:tcPr>
          <w:p w14:paraId="3E69EF40"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(902)</w:t>
            </w:r>
          </w:p>
        </w:tc>
        <w:tc>
          <w:tcPr>
            <w:tcW w:w="780" w:type="dxa"/>
            <w:tcBorders>
              <w:top w:val="single" w:sz="6" w:space="0" w:color="auto"/>
              <w:bottom w:val="single" w:sz="6" w:space="0" w:color="auto"/>
            </w:tcBorders>
          </w:tcPr>
          <w:p w14:paraId="010C5208"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11 821</w:t>
            </w:r>
          </w:p>
        </w:tc>
        <w:tc>
          <w:tcPr>
            <w:tcW w:w="781" w:type="dxa"/>
            <w:tcBorders>
              <w:top w:val="single" w:sz="6" w:space="0" w:color="auto"/>
              <w:bottom w:val="single" w:sz="6" w:space="0" w:color="auto"/>
            </w:tcBorders>
          </w:tcPr>
          <w:p w14:paraId="50B39FF9"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(13 313)</w:t>
            </w:r>
          </w:p>
        </w:tc>
        <w:tc>
          <w:tcPr>
            <w:tcW w:w="781" w:type="dxa"/>
            <w:tcBorders>
              <w:top w:val="single" w:sz="6" w:space="0" w:color="auto"/>
              <w:bottom w:val="single" w:sz="6" w:space="0" w:color="auto"/>
            </w:tcBorders>
          </w:tcPr>
          <w:p w14:paraId="160CED9A"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7 319</w:t>
            </w:r>
          </w:p>
        </w:tc>
      </w:tr>
      <w:tr w:rsidR="009C6724" w14:paraId="2492F608" w14:textId="77777777" w:rsidTr="009C6724">
        <w:tc>
          <w:tcPr>
            <w:cnfStyle w:val="001000000000" w:firstRow="0" w:lastRow="0" w:firstColumn="1" w:lastColumn="0" w:oddVBand="0" w:evenVBand="0" w:oddHBand="0" w:evenHBand="0" w:firstRowFirstColumn="0" w:firstRowLastColumn="0" w:lastRowFirstColumn="0" w:lastRowLastColumn="0"/>
            <w:tcW w:w="3248" w:type="dxa"/>
            <w:tcBorders>
              <w:top w:val="single" w:sz="6" w:space="0" w:color="auto"/>
              <w:bottom w:val="single" w:sz="12" w:space="0" w:color="auto"/>
            </w:tcBorders>
          </w:tcPr>
          <w:p w14:paraId="73B16D52" w14:textId="10A6A338" w:rsidR="00AB205D" w:rsidRDefault="00471A3B">
            <w:pPr>
              <w:spacing w:after="0"/>
            </w:pPr>
            <w:r>
              <w:rPr>
                <w:b/>
              </w:rPr>
              <w:t xml:space="preserve">Comprehensive result – </w:t>
            </w:r>
            <w:r w:rsidR="00FA005E">
              <w:rPr>
                <w:b/>
              </w:rPr>
              <w:br/>
              <w:t xml:space="preserve">Total </w:t>
            </w:r>
            <w:r>
              <w:rPr>
                <w:b/>
              </w:rPr>
              <w:t>change in net worth</w:t>
            </w:r>
          </w:p>
        </w:tc>
        <w:tc>
          <w:tcPr>
            <w:tcW w:w="546" w:type="dxa"/>
            <w:tcBorders>
              <w:top w:val="single" w:sz="6" w:space="0" w:color="auto"/>
              <w:bottom w:val="single" w:sz="12" w:space="0" w:color="auto"/>
            </w:tcBorders>
          </w:tcPr>
          <w:p w14:paraId="78BBC82A"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38" w:type="dxa"/>
            <w:tcBorders>
              <w:top w:val="single" w:sz="6" w:space="0" w:color="auto"/>
              <w:bottom w:val="single" w:sz="12" w:space="0" w:color="auto"/>
            </w:tcBorders>
          </w:tcPr>
          <w:p w14:paraId="56FAEA51"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(8 818)</w:t>
            </w:r>
          </w:p>
        </w:tc>
        <w:tc>
          <w:tcPr>
            <w:tcW w:w="781" w:type="dxa"/>
            <w:tcBorders>
              <w:top w:val="single" w:sz="6" w:space="0" w:color="auto"/>
              <w:bottom w:val="single" w:sz="12" w:space="0" w:color="auto"/>
            </w:tcBorders>
          </w:tcPr>
          <w:p w14:paraId="72FC1764"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(4 940)</w:t>
            </w:r>
          </w:p>
        </w:tc>
        <w:tc>
          <w:tcPr>
            <w:tcW w:w="780" w:type="dxa"/>
            <w:tcBorders>
              <w:top w:val="single" w:sz="6" w:space="0" w:color="auto"/>
              <w:bottom w:val="single" w:sz="12" w:space="0" w:color="auto"/>
            </w:tcBorders>
          </w:tcPr>
          <w:p w14:paraId="4C1A3BBB"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10 471</w:t>
            </w:r>
          </w:p>
        </w:tc>
        <w:tc>
          <w:tcPr>
            <w:tcW w:w="781" w:type="dxa"/>
            <w:tcBorders>
              <w:top w:val="single" w:sz="6" w:space="0" w:color="auto"/>
              <w:bottom w:val="single" w:sz="12" w:space="0" w:color="auto"/>
            </w:tcBorders>
          </w:tcPr>
          <w:p w14:paraId="25725E0F"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(12 460)</w:t>
            </w:r>
          </w:p>
        </w:tc>
        <w:tc>
          <w:tcPr>
            <w:tcW w:w="781" w:type="dxa"/>
            <w:tcBorders>
              <w:top w:val="single" w:sz="6" w:space="0" w:color="auto"/>
              <w:bottom w:val="single" w:sz="12" w:space="0" w:color="auto"/>
            </w:tcBorders>
          </w:tcPr>
          <w:p w14:paraId="2F8F3938"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8 288</w:t>
            </w:r>
          </w:p>
        </w:tc>
      </w:tr>
      <w:tr w:rsidR="00205A06" w14:paraId="3DF233B5" w14:textId="77777777" w:rsidTr="00205A06">
        <w:trPr>
          <w:trHeight w:hRule="exact" w:val="113"/>
        </w:trPr>
        <w:tc>
          <w:tcPr>
            <w:cnfStyle w:val="001000000000" w:firstRow="0" w:lastRow="0" w:firstColumn="1" w:lastColumn="0" w:oddVBand="0" w:evenVBand="0" w:oddHBand="0" w:evenHBand="0" w:firstRowFirstColumn="0" w:firstRowLastColumn="0" w:lastRowFirstColumn="0" w:lastRowLastColumn="0"/>
            <w:tcW w:w="3248" w:type="dxa"/>
          </w:tcPr>
          <w:p w14:paraId="7500AD68" w14:textId="77777777" w:rsidR="00205A06" w:rsidRDefault="00205A06">
            <w:pPr>
              <w:rPr>
                <w:b/>
              </w:rPr>
            </w:pPr>
          </w:p>
        </w:tc>
        <w:tc>
          <w:tcPr>
            <w:tcW w:w="546" w:type="dxa"/>
          </w:tcPr>
          <w:p w14:paraId="3609573B" w14:textId="77777777" w:rsidR="00205A06" w:rsidRDefault="00205A06">
            <w:pPr>
              <w:cnfStyle w:val="000000000000" w:firstRow="0" w:lastRow="0" w:firstColumn="0" w:lastColumn="0" w:oddVBand="0" w:evenVBand="0" w:oddHBand="0" w:evenHBand="0" w:firstRowFirstColumn="0" w:firstRowLastColumn="0" w:lastRowFirstColumn="0" w:lastRowLastColumn="0"/>
            </w:pPr>
          </w:p>
        </w:tc>
        <w:tc>
          <w:tcPr>
            <w:tcW w:w="738" w:type="dxa"/>
          </w:tcPr>
          <w:p w14:paraId="1F64545E" w14:textId="77777777" w:rsidR="00205A06" w:rsidRDefault="00205A06">
            <w:pPr>
              <w:cnfStyle w:val="000000000000" w:firstRow="0" w:lastRow="0" w:firstColumn="0" w:lastColumn="0" w:oddVBand="0" w:evenVBand="0" w:oddHBand="0" w:evenHBand="0" w:firstRowFirstColumn="0" w:firstRowLastColumn="0" w:lastRowFirstColumn="0" w:lastRowLastColumn="0"/>
            </w:pPr>
          </w:p>
        </w:tc>
        <w:tc>
          <w:tcPr>
            <w:tcW w:w="781" w:type="dxa"/>
          </w:tcPr>
          <w:p w14:paraId="67055D22" w14:textId="77777777" w:rsidR="00205A06" w:rsidRDefault="00205A06">
            <w:pPr>
              <w:cnfStyle w:val="000000000000" w:firstRow="0" w:lastRow="0" w:firstColumn="0" w:lastColumn="0" w:oddVBand="0" w:evenVBand="0" w:oddHBand="0" w:evenHBand="0" w:firstRowFirstColumn="0" w:firstRowLastColumn="0" w:lastRowFirstColumn="0" w:lastRowLastColumn="0"/>
            </w:pPr>
          </w:p>
        </w:tc>
        <w:tc>
          <w:tcPr>
            <w:tcW w:w="780" w:type="dxa"/>
          </w:tcPr>
          <w:p w14:paraId="53D2CA07" w14:textId="77777777" w:rsidR="00205A06" w:rsidRDefault="00205A06">
            <w:pPr>
              <w:cnfStyle w:val="000000000000" w:firstRow="0" w:lastRow="0" w:firstColumn="0" w:lastColumn="0" w:oddVBand="0" w:evenVBand="0" w:oddHBand="0" w:evenHBand="0" w:firstRowFirstColumn="0" w:firstRowLastColumn="0" w:lastRowFirstColumn="0" w:lastRowLastColumn="0"/>
            </w:pPr>
          </w:p>
        </w:tc>
        <w:tc>
          <w:tcPr>
            <w:tcW w:w="781" w:type="dxa"/>
          </w:tcPr>
          <w:p w14:paraId="589D3EDD" w14:textId="77777777" w:rsidR="00205A06" w:rsidRDefault="00205A06">
            <w:pPr>
              <w:cnfStyle w:val="000000000000" w:firstRow="0" w:lastRow="0" w:firstColumn="0" w:lastColumn="0" w:oddVBand="0" w:evenVBand="0" w:oddHBand="0" w:evenHBand="0" w:firstRowFirstColumn="0" w:firstRowLastColumn="0" w:lastRowFirstColumn="0" w:lastRowLastColumn="0"/>
            </w:pPr>
          </w:p>
        </w:tc>
        <w:tc>
          <w:tcPr>
            <w:tcW w:w="781" w:type="dxa"/>
          </w:tcPr>
          <w:p w14:paraId="238199B3" w14:textId="77777777" w:rsidR="00205A06" w:rsidRDefault="00205A06">
            <w:pPr>
              <w:cnfStyle w:val="000000000000" w:firstRow="0" w:lastRow="0" w:firstColumn="0" w:lastColumn="0" w:oddVBand="0" w:evenVBand="0" w:oddHBand="0" w:evenHBand="0" w:firstRowFirstColumn="0" w:firstRowLastColumn="0" w:lastRowFirstColumn="0" w:lastRowLastColumn="0"/>
            </w:pPr>
          </w:p>
        </w:tc>
      </w:tr>
      <w:tr w:rsidR="009C6724" w14:paraId="37593365" w14:textId="77777777" w:rsidTr="009C6724">
        <w:tc>
          <w:tcPr>
            <w:cnfStyle w:val="001000000000" w:firstRow="0" w:lastRow="0" w:firstColumn="1" w:lastColumn="0" w:oddVBand="0" w:evenVBand="0" w:oddHBand="0" w:evenHBand="0" w:firstRowFirstColumn="0" w:firstRowLastColumn="0" w:lastRowFirstColumn="0" w:lastRowLastColumn="0"/>
            <w:tcW w:w="3248" w:type="dxa"/>
          </w:tcPr>
          <w:p w14:paraId="34F55ED5" w14:textId="77777777" w:rsidR="00AB205D" w:rsidRDefault="00471A3B">
            <w:pPr>
              <w:spacing w:after="0"/>
            </w:pPr>
            <w:r>
              <w:rPr>
                <w:b/>
              </w:rPr>
              <w:t>KEY FISCAL AGGREGATES</w:t>
            </w:r>
          </w:p>
        </w:tc>
        <w:tc>
          <w:tcPr>
            <w:tcW w:w="546" w:type="dxa"/>
          </w:tcPr>
          <w:p w14:paraId="4443E79F"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38" w:type="dxa"/>
          </w:tcPr>
          <w:p w14:paraId="7C199B38"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81" w:type="dxa"/>
          </w:tcPr>
          <w:p w14:paraId="7D64B916"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80" w:type="dxa"/>
          </w:tcPr>
          <w:p w14:paraId="1C1D8A0A"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81" w:type="dxa"/>
          </w:tcPr>
          <w:p w14:paraId="34455DA7"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81" w:type="dxa"/>
          </w:tcPr>
          <w:p w14:paraId="64269619"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r>
      <w:tr w:rsidR="009C6724" w14:paraId="6D64642A" w14:textId="77777777" w:rsidTr="009C6724">
        <w:tc>
          <w:tcPr>
            <w:cnfStyle w:val="001000000000" w:firstRow="0" w:lastRow="0" w:firstColumn="1" w:lastColumn="0" w:oddVBand="0" w:evenVBand="0" w:oddHBand="0" w:evenHBand="0" w:firstRowFirstColumn="0" w:firstRowLastColumn="0" w:lastRowFirstColumn="0" w:lastRowLastColumn="0"/>
            <w:tcW w:w="3248" w:type="dxa"/>
          </w:tcPr>
          <w:p w14:paraId="74157C42" w14:textId="77777777" w:rsidR="00AB205D" w:rsidRDefault="00471A3B">
            <w:pPr>
              <w:spacing w:after="0"/>
            </w:pPr>
            <w:r>
              <w:rPr>
                <w:b/>
              </w:rPr>
              <w:t>Net operating balance</w:t>
            </w:r>
          </w:p>
        </w:tc>
        <w:tc>
          <w:tcPr>
            <w:tcW w:w="546" w:type="dxa"/>
          </w:tcPr>
          <w:p w14:paraId="774CF69F"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38" w:type="dxa"/>
          </w:tcPr>
          <w:p w14:paraId="5E9E1B56"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(4 017)</w:t>
            </w:r>
          </w:p>
        </w:tc>
        <w:tc>
          <w:tcPr>
            <w:tcW w:w="781" w:type="dxa"/>
          </w:tcPr>
          <w:p w14:paraId="728B8988"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(3 470)</w:t>
            </w:r>
          </w:p>
        </w:tc>
        <w:tc>
          <w:tcPr>
            <w:tcW w:w="780" w:type="dxa"/>
          </w:tcPr>
          <w:p w14:paraId="6E2817B2"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(1 022)</w:t>
            </w:r>
          </w:p>
        </w:tc>
        <w:tc>
          <w:tcPr>
            <w:tcW w:w="781" w:type="dxa"/>
          </w:tcPr>
          <w:p w14:paraId="1321FA15"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1 062</w:t>
            </w:r>
          </w:p>
        </w:tc>
        <w:tc>
          <w:tcPr>
            <w:tcW w:w="781" w:type="dxa"/>
          </w:tcPr>
          <w:p w14:paraId="1983B932"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1 232</w:t>
            </w:r>
          </w:p>
        </w:tc>
      </w:tr>
      <w:tr w:rsidR="009C6724" w14:paraId="2F78860B" w14:textId="77777777" w:rsidTr="009C6724">
        <w:tc>
          <w:tcPr>
            <w:cnfStyle w:val="001000000000" w:firstRow="0" w:lastRow="0" w:firstColumn="1" w:lastColumn="0" w:oddVBand="0" w:evenVBand="0" w:oddHBand="0" w:evenHBand="0" w:firstRowFirstColumn="0" w:firstRowLastColumn="0" w:lastRowFirstColumn="0" w:lastRowLastColumn="0"/>
            <w:tcW w:w="3248" w:type="dxa"/>
            <w:tcBorders>
              <w:bottom w:val="single" w:sz="6" w:space="0" w:color="auto"/>
            </w:tcBorders>
          </w:tcPr>
          <w:p w14:paraId="3F639785" w14:textId="77777777" w:rsidR="00AB205D" w:rsidRDefault="00471A3B">
            <w:pPr>
              <w:spacing w:after="0"/>
            </w:pPr>
            <w:r>
              <w:t>Less: Net acquisition of non</w:t>
            </w:r>
            <w:r>
              <w:noBreakHyphen/>
              <w:t>financial assets from transactions</w:t>
            </w:r>
          </w:p>
        </w:tc>
        <w:tc>
          <w:tcPr>
            <w:tcW w:w="546" w:type="dxa"/>
            <w:tcBorders>
              <w:bottom w:val="single" w:sz="6" w:space="0" w:color="auto"/>
            </w:tcBorders>
          </w:tcPr>
          <w:p w14:paraId="6AB89152"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4.3.7</w:t>
            </w:r>
          </w:p>
        </w:tc>
        <w:tc>
          <w:tcPr>
            <w:tcW w:w="738" w:type="dxa"/>
            <w:tcBorders>
              <w:bottom w:val="single" w:sz="6" w:space="0" w:color="auto"/>
            </w:tcBorders>
          </w:tcPr>
          <w:p w14:paraId="45ABE5FC"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7 039</w:t>
            </w:r>
          </w:p>
        </w:tc>
        <w:tc>
          <w:tcPr>
            <w:tcW w:w="781" w:type="dxa"/>
            <w:tcBorders>
              <w:bottom w:val="single" w:sz="6" w:space="0" w:color="auto"/>
            </w:tcBorders>
          </w:tcPr>
          <w:p w14:paraId="6EA2BD4D"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9 792</w:t>
            </w:r>
          </w:p>
        </w:tc>
        <w:tc>
          <w:tcPr>
            <w:tcW w:w="780" w:type="dxa"/>
            <w:tcBorders>
              <w:bottom w:val="single" w:sz="6" w:space="0" w:color="auto"/>
            </w:tcBorders>
          </w:tcPr>
          <w:p w14:paraId="74451B1F"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8 840</w:t>
            </w:r>
          </w:p>
        </w:tc>
        <w:tc>
          <w:tcPr>
            <w:tcW w:w="781" w:type="dxa"/>
            <w:tcBorders>
              <w:bottom w:val="single" w:sz="6" w:space="0" w:color="auto"/>
            </w:tcBorders>
          </w:tcPr>
          <w:p w14:paraId="1A2E60B0"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(9 829)</w:t>
            </w:r>
          </w:p>
        </w:tc>
        <w:tc>
          <w:tcPr>
            <w:tcW w:w="781" w:type="dxa"/>
            <w:tcBorders>
              <w:bottom w:val="single" w:sz="6" w:space="0" w:color="auto"/>
            </w:tcBorders>
          </w:tcPr>
          <w:p w14:paraId="003FED20"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5 995</w:t>
            </w:r>
          </w:p>
        </w:tc>
      </w:tr>
      <w:tr w:rsidR="009C6724" w14:paraId="76F6C58F" w14:textId="77777777" w:rsidTr="009C6724">
        <w:tc>
          <w:tcPr>
            <w:cnfStyle w:val="001000000000" w:firstRow="0" w:lastRow="0" w:firstColumn="1" w:lastColumn="0" w:oddVBand="0" w:evenVBand="0" w:oddHBand="0" w:evenHBand="0" w:firstRowFirstColumn="0" w:firstRowLastColumn="0" w:lastRowFirstColumn="0" w:lastRowLastColumn="0"/>
            <w:tcW w:w="3248" w:type="dxa"/>
            <w:tcBorders>
              <w:top w:val="single" w:sz="6" w:space="0" w:color="auto"/>
              <w:bottom w:val="single" w:sz="12" w:space="0" w:color="auto"/>
            </w:tcBorders>
          </w:tcPr>
          <w:p w14:paraId="3DBB2E49" w14:textId="77777777" w:rsidR="00AB205D" w:rsidRDefault="00471A3B">
            <w:pPr>
              <w:spacing w:after="0"/>
            </w:pPr>
            <w:r>
              <w:rPr>
                <w:b/>
              </w:rPr>
              <w:t>Net lending/(borrowing)</w:t>
            </w:r>
          </w:p>
        </w:tc>
        <w:tc>
          <w:tcPr>
            <w:tcW w:w="546" w:type="dxa"/>
            <w:tcBorders>
              <w:top w:val="single" w:sz="6" w:space="0" w:color="auto"/>
              <w:bottom w:val="single" w:sz="12" w:space="0" w:color="auto"/>
            </w:tcBorders>
          </w:tcPr>
          <w:p w14:paraId="50EB8A06"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38" w:type="dxa"/>
            <w:tcBorders>
              <w:top w:val="single" w:sz="6" w:space="0" w:color="auto"/>
              <w:bottom w:val="single" w:sz="12" w:space="0" w:color="auto"/>
            </w:tcBorders>
          </w:tcPr>
          <w:p w14:paraId="771AEA68"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(11 056)</w:t>
            </w:r>
          </w:p>
        </w:tc>
        <w:tc>
          <w:tcPr>
            <w:tcW w:w="781" w:type="dxa"/>
            <w:tcBorders>
              <w:top w:val="single" w:sz="6" w:space="0" w:color="auto"/>
              <w:bottom w:val="single" w:sz="12" w:space="0" w:color="auto"/>
            </w:tcBorders>
          </w:tcPr>
          <w:p w14:paraId="5E9F9D01"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(13 263)</w:t>
            </w:r>
          </w:p>
        </w:tc>
        <w:tc>
          <w:tcPr>
            <w:tcW w:w="780" w:type="dxa"/>
            <w:tcBorders>
              <w:top w:val="single" w:sz="6" w:space="0" w:color="auto"/>
              <w:bottom w:val="single" w:sz="12" w:space="0" w:color="auto"/>
            </w:tcBorders>
          </w:tcPr>
          <w:p w14:paraId="2C5707B5"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(9 862)</w:t>
            </w:r>
          </w:p>
        </w:tc>
        <w:tc>
          <w:tcPr>
            <w:tcW w:w="781" w:type="dxa"/>
            <w:tcBorders>
              <w:top w:val="single" w:sz="6" w:space="0" w:color="auto"/>
              <w:bottom w:val="single" w:sz="12" w:space="0" w:color="auto"/>
            </w:tcBorders>
          </w:tcPr>
          <w:p w14:paraId="21CF6427"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10 890</w:t>
            </w:r>
          </w:p>
        </w:tc>
        <w:tc>
          <w:tcPr>
            <w:tcW w:w="781" w:type="dxa"/>
            <w:tcBorders>
              <w:top w:val="single" w:sz="6" w:space="0" w:color="auto"/>
              <w:bottom w:val="single" w:sz="12" w:space="0" w:color="auto"/>
            </w:tcBorders>
          </w:tcPr>
          <w:p w14:paraId="2C41E4E4"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(4 763)</w:t>
            </w:r>
          </w:p>
        </w:tc>
      </w:tr>
    </w:tbl>
    <w:p w14:paraId="7405EAC5" w14:textId="77777777" w:rsidR="00AB205D" w:rsidRDefault="00471A3B">
      <w:pPr>
        <w:pStyle w:val="Note"/>
      </w:pPr>
      <w:r w:rsidRPr="001722A8">
        <w:t>The accompanying notes form part of these Estimated Financial Statements.</w:t>
      </w:r>
    </w:p>
    <w:p w14:paraId="220C7018" w14:textId="77777777" w:rsidR="00AB205D" w:rsidRDefault="00AB205D"/>
    <w:p w14:paraId="52350B2E" w14:textId="77777777" w:rsidR="00AB205D" w:rsidRDefault="00471A3B">
      <w:pPr>
        <w:pStyle w:val="Heading10"/>
        <w:pageBreakBefore/>
      </w:pPr>
      <w:bookmarkStart w:id="33" w:name="_Toc152933034"/>
      <w:r>
        <w:lastRenderedPageBreak/>
        <w:t>Estimated consolidated general government sector</w:t>
      </w:r>
      <w:r>
        <w:br/>
        <w:t>balance sheet</w:t>
      </w:r>
      <w:bookmarkEnd w:id="33"/>
      <w:r>
        <w:t xml:space="preserve"> </w:t>
      </w:r>
    </w:p>
    <w:p w14:paraId="57FAC1F8" w14:textId="77777777" w:rsidR="00AB205D" w:rsidRDefault="00471A3B">
      <w:pPr>
        <w:pStyle w:val="TableHeading"/>
      </w:pPr>
      <w:r>
        <w:t>As at 30 June</w:t>
      </w:r>
      <w:r>
        <w:tab/>
        <w:t>($ million)</w:t>
      </w:r>
    </w:p>
    <w:tbl>
      <w:tblPr>
        <w:tblStyle w:val="DTFTableNumeric"/>
        <w:tblW w:w="7710" w:type="dxa"/>
        <w:tblLayout w:type="fixed"/>
        <w:tblLook w:val="06A0" w:firstRow="1" w:lastRow="0" w:firstColumn="1" w:lastColumn="0" w:noHBand="1" w:noVBand="1"/>
        <w:tblDescription w:val="Type:DtfTable|Workbook:Rawdata\BudgetUpdate\Budget Update\Financial Statements\Manual reports\Balance Sheet\Link_BU_BS.xlsx|Table:Manual_GG_BS|MergedHeadingRow:1"/>
      </w:tblPr>
      <w:tblGrid>
        <w:gridCol w:w="3173"/>
        <w:gridCol w:w="567"/>
        <w:gridCol w:w="794"/>
        <w:gridCol w:w="794"/>
        <w:gridCol w:w="794"/>
        <w:gridCol w:w="794"/>
        <w:gridCol w:w="794"/>
      </w:tblGrid>
      <w:tr w:rsidR="009C6724" w14:paraId="6918E82B"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73" w:type="dxa"/>
          </w:tcPr>
          <w:p w14:paraId="49F03444" w14:textId="77777777" w:rsidR="00AB205D" w:rsidRDefault="00AB205D">
            <w:pPr>
              <w:keepNext/>
            </w:pPr>
          </w:p>
        </w:tc>
        <w:tc>
          <w:tcPr>
            <w:tcW w:w="567" w:type="dxa"/>
          </w:tcPr>
          <w:p w14:paraId="1F11E122" w14:textId="77777777" w:rsidR="00AB205D" w:rsidRDefault="00471A3B" w:rsidP="00117A92">
            <w:pPr>
              <w:keepNext/>
              <w:jc w:val="center"/>
              <w:cnfStyle w:val="100000000000" w:firstRow="1" w:lastRow="0" w:firstColumn="0" w:lastColumn="0" w:oddVBand="0" w:evenVBand="0" w:oddHBand="0" w:evenHBand="0" w:firstRowFirstColumn="0" w:firstRowLastColumn="0" w:lastRowFirstColumn="0" w:lastRowLastColumn="0"/>
            </w:pPr>
            <w:r>
              <w:t>Notes</w:t>
            </w:r>
          </w:p>
        </w:tc>
        <w:tc>
          <w:tcPr>
            <w:tcW w:w="794" w:type="dxa"/>
          </w:tcPr>
          <w:p w14:paraId="0BF69352"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br/>
              <w:t>budget</w:t>
            </w:r>
            <w:r>
              <w:rPr>
                <w:vertAlign w:val="superscript"/>
              </w:rPr>
              <w:t xml:space="preserve"> (a)</w:t>
            </w:r>
          </w:p>
        </w:tc>
        <w:tc>
          <w:tcPr>
            <w:tcW w:w="794" w:type="dxa"/>
          </w:tcPr>
          <w:p w14:paraId="0D7E6C96"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br/>
              <w:t>revised</w:t>
            </w:r>
          </w:p>
        </w:tc>
        <w:tc>
          <w:tcPr>
            <w:tcW w:w="794" w:type="dxa"/>
          </w:tcPr>
          <w:p w14:paraId="46186805"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br/>
              <w:t>estimate</w:t>
            </w:r>
          </w:p>
        </w:tc>
        <w:tc>
          <w:tcPr>
            <w:tcW w:w="794" w:type="dxa"/>
          </w:tcPr>
          <w:p w14:paraId="315B6421"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br/>
              <w:t>estimate</w:t>
            </w:r>
          </w:p>
        </w:tc>
        <w:tc>
          <w:tcPr>
            <w:tcW w:w="794" w:type="dxa"/>
          </w:tcPr>
          <w:p w14:paraId="1A1D1770"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2027</w:t>
            </w:r>
            <w:r>
              <w:br/>
              <w:t>estimate</w:t>
            </w:r>
          </w:p>
        </w:tc>
      </w:tr>
      <w:tr w:rsidR="009C6724" w14:paraId="7A2F60F1" w14:textId="77777777" w:rsidTr="009C6724">
        <w:tc>
          <w:tcPr>
            <w:cnfStyle w:val="001000000000" w:firstRow="0" w:lastRow="0" w:firstColumn="1" w:lastColumn="0" w:oddVBand="0" w:evenVBand="0" w:oddHBand="0" w:evenHBand="0" w:firstRowFirstColumn="0" w:firstRowLastColumn="0" w:lastRowFirstColumn="0" w:lastRowLastColumn="0"/>
            <w:tcW w:w="3173" w:type="dxa"/>
          </w:tcPr>
          <w:p w14:paraId="7B8FBA92" w14:textId="77777777" w:rsidR="00AB205D" w:rsidRDefault="00471A3B">
            <w:r>
              <w:rPr>
                <w:b/>
              </w:rPr>
              <w:t>Assets</w:t>
            </w:r>
          </w:p>
        </w:tc>
        <w:tc>
          <w:tcPr>
            <w:tcW w:w="567" w:type="dxa"/>
          </w:tcPr>
          <w:p w14:paraId="53F56408" w14:textId="77777777" w:rsidR="00AB205D" w:rsidRDefault="00AB205D" w:rsidP="00117A92">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080B5D74"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70CD6C0"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29752A7"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24A8E6A"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1461F67"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41AE484C" w14:textId="77777777" w:rsidTr="009C6724">
        <w:tc>
          <w:tcPr>
            <w:cnfStyle w:val="001000000000" w:firstRow="0" w:lastRow="0" w:firstColumn="1" w:lastColumn="0" w:oddVBand="0" w:evenVBand="0" w:oddHBand="0" w:evenHBand="0" w:firstRowFirstColumn="0" w:firstRowLastColumn="0" w:lastRowFirstColumn="0" w:lastRowLastColumn="0"/>
            <w:tcW w:w="3173" w:type="dxa"/>
          </w:tcPr>
          <w:p w14:paraId="06A6EE69" w14:textId="77777777" w:rsidR="00AB205D" w:rsidRDefault="00471A3B">
            <w:r>
              <w:rPr>
                <w:b/>
              </w:rPr>
              <w:t>Financial assets</w:t>
            </w:r>
          </w:p>
        </w:tc>
        <w:tc>
          <w:tcPr>
            <w:tcW w:w="567" w:type="dxa"/>
          </w:tcPr>
          <w:p w14:paraId="4D14F6DA" w14:textId="77777777" w:rsidR="00AB205D" w:rsidRDefault="00AB205D" w:rsidP="00117A92">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384EF8B0"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48A75C91"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5796FE57"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56A83D60"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F4769B0"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50822A7A" w14:textId="77777777" w:rsidTr="009C6724">
        <w:tc>
          <w:tcPr>
            <w:cnfStyle w:val="001000000000" w:firstRow="0" w:lastRow="0" w:firstColumn="1" w:lastColumn="0" w:oddVBand="0" w:evenVBand="0" w:oddHBand="0" w:evenHBand="0" w:firstRowFirstColumn="0" w:firstRowLastColumn="0" w:lastRowFirstColumn="0" w:lastRowLastColumn="0"/>
            <w:tcW w:w="3173" w:type="dxa"/>
          </w:tcPr>
          <w:p w14:paraId="561870C3" w14:textId="77777777" w:rsidR="00AB205D" w:rsidRDefault="00471A3B">
            <w:r>
              <w:t>Cash and deposits</w:t>
            </w:r>
          </w:p>
        </w:tc>
        <w:tc>
          <w:tcPr>
            <w:tcW w:w="567" w:type="dxa"/>
          </w:tcPr>
          <w:p w14:paraId="02AACAED" w14:textId="77777777" w:rsidR="00AB205D" w:rsidRDefault="00AB205D" w:rsidP="00117A92">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6D3790A8" w14:textId="77777777" w:rsidR="00AB205D" w:rsidRDefault="00471A3B">
            <w:pPr>
              <w:cnfStyle w:val="000000000000" w:firstRow="0" w:lastRow="0" w:firstColumn="0" w:lastColumn="0" w:oddVBand="0" w:evenVBand="0" w:oddHBand="0" w:evenHBand="0" w:firstRowFirstColumn="0" w:firstRowLastColumn="0" w:lastRowFirstColumn="0" w:lastRowLastColumn="0"/>
            </w:pPr>
            <w:r>
              <w:t>12 204</w:t>
            </w:r>
          </w:p>
        </w:tc>
        <w:tc>
          <w:tcPr>
            <w:tcW w:w="794" w:type="dxa"/>
          </w:tcPr>
          <w:p w14:paraId="07B55D78" w14:textId="77777777" w:rsidR="00AB205D" w:rsidRDefault="00471A3B">
            <w:pPr>
              <w:cnfStyle w:val="000000000000" w:firstRow="0" w:lastRow="0" w:firstColumn="0" w:lastColumn="0" w:oddVBand="0" w:evenVBand="0" w:oddHBand="0" w:evenHBand="0" w:firstRowFirstColumn="0" w:firstRowLastColumn="0" w:lastRowFirstColumn="0" w:lastRowLastColumn="0"/>
            </w:pPr>
            <w:r>
              <w:t>12 380</w:t>
            </w:r>
          </w:p>
        </w:tc>
        <w:tc>
          <w:tcPr>
            <w:tcW w:w="794" w:type="dxa"/>
          </w:tcPr>
          <w:p w14:paraId="53CF864E" w14:textId="77777777" w:rsidR="00AB205D" w:rsidRDefault="00471A3B">
            <w:pPr>
              <w:cnfStyle w:val="000000000000" w:firstRow="0" w:lastRow="0" w:firstColumn="0" w:lastColumn="0" w:oddVBand="0" w:evenVBand="0" w:oddHBand="0" w:evenHBand="0" w:firstRowFirstColumn="0" w:firstRowLastColumn="0" w:lastRowFirstColumn="0" w:lastRowLastColumn="0"/>
            </w:pPr>
            <w:r>
              <w:t>13 116</w:t>
            </w:r>
          </w:p>
        </w:tc>
        <w:tc>
          <w:tcPr>
            <w:tcW w:w="794" w:type="dxa"/>
          </w:tcPr>
          <w:p w14:paraId="5B6043A3" w14:textId="77777777" w:rsidR="00AB205D" w:rsidRDefault="00471A3B">
            <w:pPr>
              <w:cnfStyle w:val="000000000000" w:firstRow="0" w:lastRow="0" w:firstColumn="0" w:lastColumn="0" w:oddVBand="0" w:evenVBand="0" w:oddHBand="0" w:evenHBand="0" w:firstRowFirstColumn="0" w:firstRowLastColumn="0" w:lastRowFirstColumn="0" w:lastRowLastColumn="0"/>
            </w:pPr>
            <w:r>
              <w:t>13 912</w:t>
            </w:r>
          </w:p>
        </w:tc>
        <w:tc>
          <w:tcPr>
            <w:tcW w:w="794" w:type="dxa"/>
          </w:tcPr>
          <w:p w14:paraId="170FB43C" w14:textId="77777777" w:rsidR="00AB205D" w:rsidRDefault="00471A3B">
            <w:pPr>
              <w:cnfStyle w:val="000000000000" w:firstRow="0" w:lastRow="0" w:firstColumn="0" w:lastColumn="0" w:oddVBand="0" w:evenVBand="0" w:oddHBand="0" w:evenHBand="0" w:firstRowFirstColumn="0" w:firstRowLastColumn="0" w:lastRowFirstColumn="0" w:lastRowLastColumn="0"/>
            </w:pPr>
            <w:r>
              <w:t>14 679</w:t>
            </w:r>
          </w:p>
        </w:tc>
      </w:tr>
      <w:tr w:rsidR="009C6724" w14:paraId="266DDEA4" w14:textId="77777777" w:rsidTr="009C6724">
        <w:tc>
          <w:tcPr>
            <w:cnfStyle w:val="001000000000" w:firstRow="0" w:lastRow="0" w:firstColumn="1" w:lastColumn="0" w:oddVBand="0" w:evenVBand="0" w:oddHBand="0" w:evenHBand="0" w:firstRowFirstColumn="0" w:firstRowLastColumn="0" w:lastRowFirstColumn="0" w:lastRowLastColumn="0"/>
            <w:tcW w:w="3173" w:type="dxa"/>
          </w:tcPr>
          <w:p w14:paraId="2CA46B81" w14:textId="77777777" w:rsidR="00AB205D" w:rsidRDefault="00471A3B">
            <w:r>
              <w:t>Advances paid</w:t>
            </w:r>
          </w:p>
        </w:tc>
        <w:tc>
          <w:tcPr>
            <w:tcW w:w="567" w:type="dxa"/>
          </w:tcPr>
          <w:p w14:paraId="3ABCFDE5" w14:textId="77777777" w:rsidR="00AB205D" w:rsidRDefault="00471A3B" w:rsidP="00117A92">
            <w:pPr>
              <w:jc w:val="center"/>
              <w:cnfStyle w:val="000000000000" w:firstRow="0" w:lastRow="0" w:firstColumn="0" w:lastColumn="0" w:oddVBand="0" w:evenVBand="0" w:oddHBand="0" w:evenHBand="0" w:firstRowFirstColumn="0" w:firstRowLastColumn="0" w:lastRowFirstColumn="0" w:lastRowLastColumn="0"/>
            </w:pPr>
            <w:r>
              <w:t>4.5.2</w:t>
            </w:r>
          </w:p>
        </w:tc>
        <w:tc>
          <w:tcPr>
            <w:tcW w:w="794" w:type="dxa"/>
          </w:tcPr>
          <w:p w14:paraId="7F64FF59" w14:textId="77777777" w:rsidR="00AB205D" w:rsidRDefault="00471A3B">
            <w:pPr>
              <w:cnfStyle w:val="000000000000" w:firstRow="0" w:lastRow="0" w:firstColumn="0" w:lastColumn="0" w:oddVBand="0" w:evenVBand="0" w:oddHBand="0" w:evenHBand="0" w:firstRowFirstColumn="0" w:firstRowLastColumn="0" w:lastRowFirstColumn="0" w:lastRowLastColumn="0"/>
            </w:pPr>
            <w:r>
              <w:t>6 770</w:t>
            </w:r>
          </w:p>
        </w:tc>
        <w:tc>
          <w:tcPr>
            <w:tcW w:w="794" w:type="dxa"/>
          </w:tcPr>
          <w:p w14:paraId="60A4EC45" w14:textId="77777777" w:rsidR="00AB205D" w:rsidRDefault="00471A3B">
            <w:pPr>
              <w:cnfStyle w:val="000000000000" w:firstRow="0" w:lastRow="0" w:firstColumn="0" w:lastColumn="0" w:oddVBand="0" w:evenVBand="0" w:oddHBand="0" w:evenHBand="0" w:firstRowFirstColumn="0" w:firstRowLastColumn="0" w:lastRowFirstColumn="0" w:lastRowLastColumn="0"/>
            </w:pPr>
            <w:r>
              <w:t>6 389</w:t>
            </w:r>
          </w:p>
        </w:tc>
        <w:tc>
          <w:tcPr>
            <w:tcW w:w="794" w:type="dxa"/>
          </w:tcPr>
          <w:p w14:paraId="3209057C" w14:textId="77777777" w:rsidR="00AB205D" w:rsidRDefault="00471A3B">
            <w:pPr>
              <w:cnfStyle w:val="000000000000" w:firstRow="0" w:lastRow="0" w:firstColumn="0" w:lastColumn="0" w:oddVBand="0" w:evenVBand="0" w:oddHBand="0" w:evenHBand="0" w:firstRowFirstColumn="0" w:firstRowLastColumn="0" w:lastRowFirstColumn="0" w:lastRowLastColumn="0"/>
            </w:pPr>
            <w:r>
              <w:t>6 415</w:t>
            </w:r>
          </w:p>
        </w:tc>
        <w:tc>
          <w:tcPr>
            <w:tcW w:w="794" w:type="dxa"/>
          </w:tcPr>
          <w:p w14:paraId="1F242789" w14:textId="77777777" w:rsidR="00AB205D" w:rsidRDefault="00471A3B">
            <w:pPr>
              <w:cnfStyle w:val="000000000000" w:firstRow="0" w:lastRow="0" w:firstColumn="0" w:lastColumn="0" w:oddVBand="0" w:evenVBand="0" w:oddHBand="0" w:evenHBand="0" w:firstRowFirstColumn="0" w:firstRowLastColumn="0" w:lastRowFirstColumn="0" w:lastRowLastColumn="0"/>
            </w:pPr>
            <w:r>
              <w:t>6 413</w:t>
            </w:r>
          </w:p>
        </w:tc>
        <w:tc>
          <w:tcPr>
            <w:tcW w:w="794" w:type="dxa"/>
          </w:tcPr>
          <w:p w14:paraId="490D832B" w14:textId="77777777" w:rsidR="00AB205D" w:rsidRDefault="00471A3B">
            <w:pPr>
              <w:cnfStyle w:val="000000000000" w:firstRow="0" w:lastRow="0" w:firstColumn="0" w:lastColumn="0" w:oddVBand="0" w:evenVBand="0" w:oddHBand="0" w:evenHBand="0" w:firstRowFirstColumn="0" w:firstRowLastColumn="0" w:lastRowFirstColumn="0" w:lastRowLastColumn="0"/>
            </w:pPr>
            <w:r>
              <w:t>6 448</w:t>
            </w:r>
          </w:p>
        </w:tc>
      </w:tr>
      <w:tr w:rsidR="009C6724" w14:paraId="72F18A68" w14:textId="77777777" w:rsidTr="009C6724">
        <w:tc>
          <w:tcPr>
            <w:cnfStyle w:val="001000000000" w:firstRow="0" w:lastRow="0" w:firstColumn="1" w:lastColumn="0" w:oddVBand="0" w:evenVBand="0" w:oddHBand="0" w:evenHBand="0" w:firstRowFirstColumn="0" w:firstRowLastColumn="0" w:lastRowFirstColumn="0" w:lastRowLastColumn="0"/>
            <w:tcW w:w="3173" w:type="dxa"/>
          </w:tcPr>
          <w:p w14:paraId="60030122" w14:textId="77777777" w:rsidR="00AB205D" w:rsidRDefault="00471A3B">
            <w:r>
              <w:t>Receivables and contract assets</w:t>
            </w:r>
          </w:p>
        </w:tc>
        <w:tc>
          <w:tcPr>
            <w:tcW w:w="567" w:type="dxa"/>
          </w:tcPr>
          <w:p w14:paraId="6E4F6119" w14:textId="77777777" w:rsidR="00AB205D" w:rsidRDefault="00AB205D" w:rsidP="00117A92">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764CDD90" w14:textId="77777777" w:rsidR="00AB205D" w:rsidRDefault="00471A3B">
            <w:pPr>
              <w:cnfStyle w:val="000000000000" w:firstRow="0" w:lastRow="0" w:firstColumn="0" w:lastColumn="0" w:oddVBand="0" w:evenVBand="0" w:oddHBand="0" w:evenHBand="0" w:firstRowFirstColumn="0" w:firstRowLastColumn="0" w:lastRowFirstColumn="0" w:lastRowLastColumn="0"/>
            </w:pPr>
            <w:r>
              <w:t>9 728</w:t>
            </w:r>
          </w:p>
        </w:tc>
        <w:tc>
          <w:tcPr>
            <w:tcW w:w="794" w:type="dxa"/>
          </w:tcPr>
          <w:p w14:paraId="7DDCC349" w14:textId="77777777" w:rsidR="00AB205D" w:rsidRDefault="00471A3B">
            <w:pPr>
              <w:cnfStyle w:val="000000000000" w:firstRow="0" w:lastRow="0" w:firstColumn="0" w:lastColumn="0" w:oddVBand="0" w:evenVBand="0" w:oddHBand="0" w:evenHBand="0" w:firstRowFirstColumn="0" w:firstRowLastColumn="0" w:lastRowFirstColumn="0" w:lastRowLastColumn="0"/>
            </w:pPr>
            <w:r>
              <w:t>9 283</w:t>
            </w:r>
          </w:p>
        </w:tc>
        <w:tc>
          <w:tcPr>
            <w:tcW w:w="794" w:type="dxa"/>
          </w:tcPr>
          <w:p w14:paraId="193CCFF7" w14:textId="77777777" w:rsidR="00AB205D" w:rsidRDefault="00471A3B">
            <w:pPr>
              <w:cnfStyle w:val="000000000000" w:firstRow="0" w:lastRow="0" w:firstColumn="0" w:lastColumn="0" w:oddVBand="0" w:evenVBand="0" w:oddHBand="0" w:evenHBand="0" w:firstRowFirstColumn="0" w:firstRowLastColumn="0" w:lastRowFirstColumn="0" w:lastRowLastColumn="0"/>
            </w:pPr>
            <w:r>
              <w:t>9 578</w:t>
            </w:r>
          </w:p>
        </w:tc>
        <w:tc>
          <w:tcPr>
            <w:tcW w:w="794" w:type="dxa"/>
          </w:tcPr>
          <w:p w14:paraId="4D0307BA" w14:textId="77777777" w:rsidR="00AB205D" w:rsidRDefault="00471A3B">
            <w:pPr>
              <w:cnfStyle w:val="000000000000" w:firstRow="0" w:lastRow="0" w:firstColumn="0" w:lastColumn="0" w:oddVBand="0" w:evenVBand="0" w:oddHBand="0" w:evenHBand="0" w:firstRowFirstColumn="0" w:firstRowLastColumn="0" w:lastRowFirstColumn="0" w:lastRowLastColumn="0"/>
            </w:pPr>
            <w:r>
              <w:t>10 139</w:t>
            </w:r>
          </w:p>
        </w:tc>
        <w:tc>
          <w:tcPr>
            <w:tcW w:w="794" w:type="dxa"/>
          </w:tcPr>
          <w:p w14:paraId="084C51FA" w14:textId="77777777" w:rsidR="00AB205D" w:rsidRDefault="00471A3B">
            <w:pPr>
              <w:cnfStyle w:val="000000000000" w:firstRow="0" w:lastRow="0" w:firstColumn="0" w:lastColumn="0" w:oddVBand="0" w:evenVBand="0" w:oddHBand="0" w:evenHBand="0" w:firstRowFirstColumn="0" w:firstRowLastColumn="0" w:lastRowFirstColumn="0" w:lastRowLastColumn="0"/>
            </w:pPr>
            <w:r>
              <w:t>10 706</w:t>
            </w:r>
          </w:p>
        </w:tc>
      </w:tr>
      <w:tr w:rsidR="009C6724" w14:paraId="74CE264D" w14:textId="77777777" w:rsidTr="009C6724">
        <w:tc>
          <w:tcPr>
            <w:cnfStyle w:val="001000000000" w:firstRow="0" w:lastRow="0" w:firstColumn="1" w:lastColumn="0" w:oddVBand="0" w:evenVBand="0" w:oddHBand="0" w:evenHBand="0" w:firstRowFirstColumn="0" w:firstRowLastColumn="0" w:lastRowFirstColumn="0" w:lastRowLastColumn="0"/>
            <w:tcW w:w="3173" w:type="dxa"/>
          </w:tcPr>
          <w:p w14:paraId="3757A687" w14:textId="77777777" w:rsidR="00AB205D" w:rsidRDefault="00471A3B">
            <w:r>
              <w:t>Investments, loans and placements</w:t>
            </w:r>
          </w:p>
        </w:tc>
        <w:tc>
          <w:tcPr>
            <w:tcW w:w="567" w:type="dxa"/>
          </w:tcPr>
          <w:p w14:paraId="389C4E81" w14:textId="77777777" w:rsidR="00AB205D" w:rsidRDefault="00471A3B" w:rsidP="00117A92">
            <w:pPr>
              <w:jc w:val="center"/>
              <w:cnfStyle w:val="000000000000" w:firstRow="0" w:lastRow="0" w:firstColumn="0" w:lastColumn="0" w:oddVBand="0" w:evenVBand="0" w:oddHBand="0" w:evenHBand="0" w:firstRowFirstColumn="0" w:firstRowLastColumn="0" w:lastRowFirstColumn="0" w:lastRowLastColumn="0"/>
            </w:pPr>
            <w:r>
              <w:t>4.5.2</w:t>
            </w:r>
          </w:p>
        </w:tc>
        <w:tc>
          <w:tcPr>
            <w:tcW w:w="794" w:type="dxa"/>
          </w:tcPr>
          <w:p w14:paraId="5F7C6CF3" w14:textId="77777777" w:rsidR="00AB205D" w:rsidRDefault="00471A3B">
            <w:pPr>
              <w:cnfStyle w:val="000000000000" w:firstRow="0" w:lastRow="0" w:firstColumn="0" w:lastColumn="0" w:oddVBand="0" w:evenVBand="0" w:oddHBand="0" w:evenHBand="0" w:firstRowFirstColumn="0" w:firstRowLastColumn="0" w:lastRowFirstColumn="0" w:lastRowLastColumn="0"/>
            </w:pPr>
            <w:r>
              <w:t>13 374</w:t>
            </w:r>
          </w:p>
        </w:tc>
        <w:tc>
          <w:tcPr>
            <w:tcW w:w="794" w:type="dxa"/>
          </w:tcPr>
          <w:p w14:paraId="436C880F" w14:textId="77777777" w:rsidR="00AB205D" w:rsidRDefault="00471A3B">
            <w:pPr>
              <w:cnfStyle w:val="000000000000" w:firstRow="0" w:lastRow="0" w:firstColumn="0" w:lastColumn="0" w:oddVBand="0" w:evenVBand="0" w:oddHBand="0" w:evenHBand="0" w:firstRowFirstColumn="0" w:firstRowLastColumn="0" w:lastRowFirstColumn="0" w:lastRowLastColumn="0"/>
            </w:pPr>
            <w:r>
              <w:t>13 652</w:t>
            </w:r>
          </w:p>
        </w:tc>
        <w:tc>
          <w:tcPr>
            <w:tcW w:w="794" w:type="dxa"/>
          </w:tcPr>
          <w:p w14:paraId="35AC82DD" w14:textId="77777777" w:rsidR="00AB205D" w:rsidRDefault="00471A3B">
            <w:pPr>
              <w:cnfStyle w:val="000000000000" w:firstRow="0" w:lastRow="0" w:firstColumn="0" w:lastColumn="0" w:oddVBand="0" w:evenVBand="0" w:oddHBand="0" w:evenHBand="0" w:firstRowFirstColumn="0" w:firstRowLastColumn="0" w:lastRowFirstColumn="0" w:lastRowLastColumn="0"/>
            </w:pPr>
            <w:r>
              <w:t>15 217</w:t>
            </w:r>
          </w:p>
        </w:tc>
        <w:tc>
          <w:tcPr>
            <w:tcW w:w="794" w:type="dxa"/>
          </w:tcPr>
          <w:p w14:paraId="362522D7" w14:textId="77777777" w:rsidR="00AB205D" w:rsidRDefault="00471A3B">
            <w:pPr>
              <w:cnfStyle w:val="000000000000" w:firstRow="0" w:lastRow="0" w:firstColumn="0" w:lastColumn="0" w:oddVBand="0" w:evenVBand="0" w:oddHBand="0" w:evenHBand="0" w:firstRowFirstColumn="0" w:firstRowLastColumn="0" w:lastRowFirstColumn="0" w:lastRowLastColumn="0"/>
            </w:pPr>
            <w:r>
              <w:t>17 027</w:t>
            </w:r>
          </w:p>
        </w:tc>
        <w:tc>
          <w:tcPr>
            <w:tcW w:w="794" w:type="dxa"/>
          </w:tcPr>
          <w:p w14:paraId="49B661AE" w14:textId="77777777" w:rsidR="00AB205D" w:rsidRDefault="00471A3B">
            <w:pPr>
              <w:cnfStyle w:val="000000000000" w:firstRow="0" w:lastRow="0" w:firstColumn="0" w:lastColumn="0" w:oddVBand="0" w:evenVBand="0" w:oddHBand="0" w:evenHBand="0" w:firstRowFirstColumn="0" w:firstRowLastColumn="0" w:lastRowFirstColumn="0" w:lastRowLastColumn="0"/>
            </w:pPr>
            <w:r>
              <w:t>19 158</w:t>
            </w:r>
          </w:p>
        </w:tc>
      </w:tr>
      <w:tr w:rsidR="009C6724" w14:paraId="468E4CB5" w14:textId="77777777" w:rsidTr="009C6724">
        <w:tc>
          <w:tcPr>
            <w:cnfStyle w:val="001000000000" w:firstRow="0" w:lastRow="0" w:firstColumn="1" w:lastColumn="0" w:oddVBand="0" w:evenVBand="0" w:oddHBand="0" w:evenHBand="0" w:firstRowFirstColumn="0" w:firstRowLastColumn="0" w:lastRowFirstColumn="0" w:lastRowLastColumn="0"/>
            <w:tcW w:w="3173" w:type="dxa"/>
          </w:tcPr>
          <w:p w14:paraId="23A04CDD" w14:textId="77777777" w:rsidR="00AB205D" w:rsidRDefault="00471A3B">
            <w:r>
              <w:t>Investments accounted for using equity method</w:t>
            </w:r>
          </w:p>
        </w:tc>
        <w:tc>
          <w:tcPr>
            <w:tcW w:w="567" w:type="dxa"/>
          </w:tcPr>
          <w:p w14:paraId="57B17B8C" w14:textId="77777777" w:rsidR="00AB205D" w:rsidRDefault="00AB205D" w:rsidP="00117A92">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4EDD8BB7" w14:textId="77777777" w:rsidR="00AB205D" w:rsidRDefault="00471A3B">
            <w:pPr>
              <w:cnfStyle w:val="000000000000" w:firstRow="0" w:lastRow="0" w:firstColumn="0" w:lastColumn="0" w:oddVBand="0" w:evenVBand="0" w:oddHBand="0" w:evenHBand="0" w:firstRowFirstColumn="0" w:firstRowLastColumn="0" w:lastRowFirstColumn="0" w:lastRowLastColumn="0"/>
            </w:pPr>
            <w:r>
              <w:t>1 180</w:t>
            </w:r>
          </w:p>
        </w:tc>
        <w:tc>
          <w:tcPr>
            <w:tcW w:w="794" w:type="dxa"/>
          </w:tcPr>
          <w:p w14:paraId="2445CDDD" w14:textId="77777777" w:rsidR="00AB205D" w:rsidRDefault="00471A3B">
            <w:pPr>
              <w:cnfStyle w:val="000000000000" w:firstRow="0" w:lastRow="0" w:firstColumn="0" w:lastColumn="0" w:oddVBand="0" w:evenVBand="0" w:oddHBand="0" w:evenHBand="0" w:firstRowFirstColumn="0" w:firstRowLastColumn="0" w:lastRowFirstColumn="0" w:lastRowLastColumn="0"/>
            </w:pPr>
            <w:r>
              <w:t>1 180</w:t>
            </w:r>
          </w:p>
        </w:tc>
        <w:tc>
          <w:tcPr>
            <w:tcW w:w="794" w:type="dxa"/>
          </w:tcPr>
          <w:p w14:paraId="24F75DB8" w14:textId="77777777" w:rsidR="00AB205D" w:rsidRDefault="00471A3B">
            <w:pPr>
              <w:cnfStyle w:val="000000000000" w:firstRow="0" w:lastRow="0" w:firstColumn="0" w:lastColumn="0" w:oddVBand="0" w:evenVBand="0" w:oddHBand="0" w:evenHBand="0" w:firstRowFirstColumn="0" w:firstRowLastColumn="0" w:lastRowFirstColumn="0" w:lastRowLastColumn="0"/>
            </w:pPr>
            <w:r>
              <w:t>1 389</w:t>
            </w:r>
          </w:p>
        </w:tc>
        <w:tc>
          <w:tcPr>
            <w:tcW w:w="794" w:type="dxa"/>
          </w:tcPr>
          <w:p w14:paraId="40D32BCB" w14:textId="77777777" w:rsidR="00AB205D" w:rsidRDefault="00471A3B">
            <w:pPr>
              <w:cnfStyle w:val="000000000000" w:firstRow="0" w:lastRow="0" w:firstColumn="0" w:lastColumn="0" w:oddVBand="0" w:evenVBand="0" w:oddHBand="0" w:evenHBand="0" w:firstRowFirstColumn="0" w:firstRowLastColumn="0" w:lastRowFirstColumn="0" w:lastRowLastColumn="0"/>
            </w:pPr>
            <w:r>
              <w:t>1 389</w:t>
            </w:r>
          </w:p>
        </w:tc>
        <w:tc>
          <w:tcPr>
            <w:tcW w:w="794" w:type="dxa"/>
          </w:tcPr>
          <w:p w14:paraId="0043DD52" w14:textId="77777777" w:rsidR="00AB205D" w:rsidRDefault="00471A3B">
            <w:pPr>
              <w:cnfStyle w:val="000000000000" w:firstRow="0" w:lastRow="0" w:firstColumn="0" w:lastColumn="0" w:oddVBand="0" w:evenVBand="0" w:oddHBand="0" w:evenHBand="0" w:firstRowFirstColumn="0" w:firstRowLastColumn="0" w:lastRowFirstColumn="0" w:lastRowLastColumn="0"/>
            </w:pPr>
            <w:r>
              <w:t>1 389</w:t>
            </w:r>
          </w:p>
        </w:tc>
      </w:tr>
      <w:tr w:rsidR="009C6724" w14:paraId="013A8555" w14:textId="77777777" w:rsidTr="009C6724">
        <w:tc>
          <w:tcPr>
            <w:cnfStyle w:val="001000000000" w:firstRow="0" w:lastRow="0" w:firstColumn="1" w:lastColumn="0" w:oddVBand="0" w:evenVBand="0" w:oddHBand="0" w:evenHBand="0" w:firstRowFirstColumn="0" w:firstRowLastColumn="0" w:lastRowFirstColumn="0" w:lastRowLastColumn="0"/>
            <w:tcW w:w="3173" w:type="dxa"/>
            <w:tcBorders>
              <w:bottom w:val="single" w:sz="6" w:space="0" w:color="auto"/>
            </w:tcBorders>
          </w:tcPr>
          <w:p w14:paraId="5C21A541" w14:textId="77777777" w:rsidR="00AB205D" w:rsidRDefault="00471A3B">
            <w:r>
              <w:t>Investments in other sector entities</w:t>
            </w:r>
          </w:p>
        </w:tc>
        <w:tc>
          <w:tcPr>
            <w:tcW w:w="567" w:type="dxa"/>
            <w:tcBorders>
              <w:bottom w:val="single" w:sz="6" w:space="0" w:color="auto"/>
            </w:tcBorders>
          </w:tcPr>
          <w:p w14:paraId="11CD8D40" w14:textId="77777777" w:rsidR="00AB205D" w:rsidRDefault="00471A3B" w:rsidP="00117A92">
            <w:pPr>
              <w:jc w:val="center"/>
              <w:cnfStyle w:val="000000000000" w:firstRow="0" w:lastRow="0" w:firstColumn="0" w:lastColumn="0" w:oddVBand="0" w:evenVBand="0" w:oddHBand="0" w:evenHBand="0" w:firstRowFirstColumn="0" w:firstRowLastColumn="0" w:lastRowFirstColumn="0" w:lastRowLastColumn="0"/>
            </w:pPr>
            <w:r>
              <w:t>4.6.1</w:t>
            </w:r>
          </w:p>
        </w:tc>
        <w:tc>
          <w:tcPr>
            <w:tcW w:w="794" w:type="dxa"/>
            <w:tcBorders>
              <w:bottom w:val="single" w:sz="6" w:space="0" w:color="auto"/>
            </w:tcBorders>
          </w:tcPr>
          <w:p w14:paraId="15B0938A" w14:textId="77777777" w:rsidR="00AB205D" w:rsidRDefault="00471A3B">
            <w:pPr>
              <w:cnfStyle w:val="000000000000" w:firstRow="0" w:lastRow="0" w:firstColumn="0" w:lastColumn="0" w:oddVBand="0" w:evenVBand="0" w:oddHBand="0" w:evenHBand="0" w:firstRowFirstColumn="0" w:firstRowLastColumn="0" w:lastRowFirstColumn="0" w:lastRowLastColumn="0"/>
            </w:pPr>
            <w:r>
              <w:t>97 389</w:t>
            </w:r>
          </w:p>
        </w:tc>
        <w:tc>
          <w:tcPr>
            <w:tcW w:w="794" w:type="dxa"/>
            <w:tcBorders>
              <w:bottom w:val="single" w:sz="6" w:space="0" w:color="auto"/>
            </w:tcBorders>
          </w:tcPr>
          <w:p w14:paraId="3218CCF5" w14:textId="77777777" w:rsidR="00AB205D" w:rsidRDefault="00471A3B">
            <w:pPr>
              <w:cnfStyle w:val="000000000000" w:firstRow="0" w:lastRow="0" w:firstColumn="0" w:lastColumn="0" w:oddVBand="0" w:evenVBand="0" w:oddHBand="0" w:evenHBand="0" w:firstRowFirstColumn="0" w:firstRowLastColumn="0" w:lastRowFirstColumn="0" w:lastRowLastColumn="0"/>
            </w:pPr>
            <w:r>
              <w:t>98 010</w:t>
            </w:r>
          </w:p>
        </w:tc>
        <w:tc>
          <w:tcPr>
            <w:tcW w:w="794" w:type="dxa"/>
            <w:tcBorders>
              <w:bottom w:val="single" w:sz="6" w:space="0" w:color="auto"/>
            </w:tcBorders>
          </w:tcPr>
          <w:p w14:paraId="7C7B92D7" w14:textId="77777777" w:rsidR="00AB205D" w:rsidRDefault="00471A3B">
            <w:pPr>
              <w:cnfStyle w:val="000000000000" w:firstRow="0" w:lastRow="0" w:firstColumn="0" w:lastColumn="0" w:oddVBand="0" w:evenVBand="0" w:oddHBand="0" w:evenHBand="0" w:firstRowFirstColumn="0" w:firstRowLastColumn="0" w:lastRowFirstColumn="0" w:lastRowLastColumn="0"/>
            </w:pPr>
            <w:r>
              <w:t>101 430</w:t>
            </w:r>
          </w:p>
        </w:tc>
        <w:tc>
          <w:tcPr>
            <w:tcW w:w="794" w:type="dxa"/>
            <w:tcBorders>
              <w:bottom w:val="single" w:sz="6" w:space="0" w:color="auto"/>
            </w:tcBorders>
          </w:tcPr>
          <w:p w14:paraId="2BBD3905" w14:textId="77777777" w:rsidR="00AB205D" w:rsidRDefault="00471A3B">
            <w:pPr>
              <w:cnfStyle w:val="000000000000" w:firstRow="0" w:lastRow="0" w:firstColumn="0" w:lastColumn="0" w:oddVBand="0" w:evenVBand="0" w:oddHBand="0" w:evenHBand="0" w:firstRowFirstColumn="0" w:firstRowLastColumn="0" w:lastRowFirstColumn="0" w:lastRowLastColumn="0"/>
            </w:pPr>
            <w:r>
              <w:t>108 654</w:t>
            </w:r>
          </w:p>
        </w:tc>
        <w:tc>
          <w:tcPr>
            <w:tcW w:w="794" w:type="dxa"/>
            <w:tcBorders>
              <w:bottom w:val="single" w:sz="6" w:space="0" w:color="auto"/>
            </w:tcBorders>
          </w:tcPr>
          <w:p w14:paraId="1541327C" w14:textId="77777777" w:rsidR="00AB205D" w:rsidRDefault="00471A3B">
            <w:pPr>
              <w:cnfStyle w:val="000000000000" w:firstRow="0" w:lastRow="0" w:firstColumn="0" w:lastColumn="0" w:oddVBand="0" w:evenVBand="0" w:oddHBand="0" w:evenHBand="0" w:firstRowFirstColumn="0" w:firstRowLastColumn="0" w:lastRowFirstColumn="0" w:lastRowLastColumn="0"/>
            </w:pPr>
            <w:r>
              <w:t>112 126</w:t>
            </w:r>
          </w:p>
        </w:tc>
      </w:tr>
      <w:tr w:rsidR="009C6724" w14:paraId="3A8376D7" w14:textId="77777777" w:rsidTr="009C672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bottom w:val="single" w:sz="6" w:space="0" w:color="auto"/>
            </w:tcBorders>
          </w:tcPr>
          <w:p w14:paraId="3D19CFE4" w14:textId="77777777" w:rsidR="00AB205D" w:rsidRDefault="00471A3B">
            <w:r>
              <w:rPr>
                <w:b/>
              </w:rPr>
              <w:t>Total financial assets</w:t>
            </w:r>
          </w:p>
        </w:tc>
        <w:tc>
          <w:tcPr>
            <w:tcW w:w="567" w:type="dxa"/>
            <w:tcBorders>
              <w:top w:val="single" w:sz="6" w:space="0" w:color="auto"/>
              <w:bottom w:val="single" w:sz="6" w:space="0" w:color="auto"/>
            </w:tcBorders>
          </w:tcPr>
          <w:p w14:paraId="224938A5" w14:textId="77777777" w:rsidR="00AB205D" w:rsidRDefault="00AB205D" w:rsidP="00117A92">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bottom w:val="single" w:sz="6" w:space="0" w:color="auto"/>
            </w:tcBorders>
          </w:tcPr>
          <w:p w14:paraId="6E0ED69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140 645</w:t>
            </w:r>
          </w:p>
        </w:tc>
        <w:tc>
          <w:tcPr>
            <w:tcW w:w="794" w:type="dxa"/>
            <w:tcBorders>
              <w:top w:val="single" w:sz="6" w:space="0" w:color="auto"/>
              <w:bottom w:val="single" w:sz="6" w:space="0" w:color="auto"/>
            </w:tcBorders>
          </w:tcPr>
          <w:p w14:paraId="4A4AADE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140 896</w:t>
            </w:r>
          </w:p>
        </w:tc>
        <w:tc>
          <w:tcPr>
            <w:tcW w:w="794" w:type="dxa"/>
            <w:tcBorders>
              <w:top w:val="single" w:sz="6" w:space="0" w:color="auto"/>
              <w:bottom w:val="single" w:sz="6" w:space="0" w:color="auto"/>
            </w:tcBorders>
          </w:tcPr>
          <w:p w14:paraId="2DFF45E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147 145</w:t>
            </w:r>
          </w:p>
        </w:tc>
        <w:tc>
          <w:tcPr>
            <w:tcW w:w="794" w:type="dxa"/>
            <w:tcBorders>
              <w:top w:val="single" w:sz="6" w:space="0" w:color="auto"/>
              <w:bottom w:val="single" w:sz="6" w:space="0" w:color="auto"/>
            </w:tcBorders>
          </w:tcPr>
          <w:p w14:paraId="352A4CF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157 534</w:t>
            </w:r>
          </w:p>
        </w:tc>
        <w:tc>
          <w:tcPr>
            <w:tcW w:w="794" w:type="dxa"/>
            <w:tcBorders>
              <w:top w:val="single" w:sz="6" w:space="0" w:color="auto"/>
              <w:bottom w:val="single" w:sz="6" w:space="0" w:color="auto"/>
            </w:tcBorders>
          </w:tcPr>
          <w:p w14:paraId="32D8997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164 507</w:t>
            </w:r>
          </w:p>
        </w:tc>
      </w:tr>
      <w:tr w:rsidR="009C6724" w14:paraId="71428561" w14:textId="77777777" w:rsidTr="009C672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tcBorders>
          </w:tcPr>
          <w:p w14:paraId="6072FA6F" w14:textId="77777777" w:rsidR="00AB205D" w:rsidRDefault="00471A3B">
            <w:r>
              <w:rPr>
                <w:b/>
              </w:rPr>
              <w:t>Non</w:t>
            </w:r>
            <w:r>
              <w:rPr>
                <w:b/>
              </w:rPr>
              <w:noBreakHyphen/>
              <w:t>financial assets</w:t>
            </w:r>
          </w:p>
        </w:tc>
        <w:tc>
          <w:tcPr>
            <w:tcW w:w="567" w:type="dxa"/>
            <w:tcBorders>
              <w:top w:val="single" w:sz="6" w:space="0" w:color="auto"/>
            </w:tcBorders>
          </w:tcPr>
          <w:p w14:paraId="35FE567B" w14:textId="77777777" w:rsidR="00AB205D" w:rsidRDefault="00AB205D" w:rsidP="00117A92">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9488492"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6E12D7B6"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63EA58ED"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0626706"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4A170C5F"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0CC97FA0" w14:textId="77777777" w:rsidTr="009C6724">
        <w:tc>
          <w:tcPr>
            <w:cnfStyle w:val="001000000000" w:firstRow="0" w:lastRow="0" w:firstColumn="1" w:lastColumn="0" w:oddVBand="0" w:evenVBand="0" w:oddHBand="0" w:evenHBand="0" w:firstRowFirstColumn="0" w:firstRowLastColumn="0" w:lastRowFirstColumn="0" w:lastRowLastColumn="0"/>
            <w:tcW w:w="3173" w:type="dxa"/>
          </w:tcPr>
          <w:p w14:paraId="2003D785" w14:textId="77777777" w:rsidR="00AB205D" w:rsidRDefault="00471A3B">
            <w:r>
              <w:t>Inventories</w:t>
            </w:r>
          </w:p>
        </w:tc>
        <w:tc>
          <w:tcPr>
            <w:tcW w:w="567" w:type="dxa"/>
          </w:tcPr>
          <w:p w14:paraId="4E6FD7C4" w14:textId="77777777" w:rsidR="00AB205D" w:rsidRDefault="00AB205D" w:rsidP="00117A92">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33B55ADD" w14:textId="77777777" w:rsidR="00AB205D" w:rsidRDefault="00471A3B">
            <w:pPr>
              <w:cnfStyle w:val="000000000000" w:firstRow="0" w:lastRow="0" w:firstColumn="0" w:lastColumn="0" w:oddVBand="0" w:evenVBand="0" w:oddHBand="0" w:evenHBand="0" w:firstRowFirstColumn="0" w:firstRowLastColumn="0" w:lastRowFirstColumn="0" w:lastRowLastColumn="0"/>
            </w:pPr>
            <w:r>
              <w:t>157</w:t>
            </w:r>
          </w:p>
        </w:tc>
        <w:tc>
          <w:tcPr>
            <w:tcW w:w="794" w:type="dxa"/>
          </w:tcPr>
          <w:p w14:paraId="4F6B8FE6" w14:textId="77777777" w:rsidR="00AB205D" w:rsidRDefault="00471A3B">
            <w:pPr>
              <w:cnfStyle w:val="000000000000" w:firstRow="0" w:lastRow="0" w:firstColumn="0" w:lastColumn="0" w:oddVBand="0" w:evenVBand="0" w:oddHBand="0" w:evenHBand="0" w:firstRowFirstColumn="0" w:firstRowLastColumn="0" w:lastRowFirstColumn="0" w:lastRowLastColumn="0"/>
            </w:pPr>
            <w:r>
              <w:t>392</w:t>
            </w:r>
          </w:p>
        </w:tc>
        <w:tc>
          <w:tcPr>
            <w:tcW w:w="794" w:type="dxa"/>
          </w:tcPr>
          <w:p w14:paraId="6C7C4C8F" w14:textId="77777777" w:rsidR="00AB205D" w:rsidRDefault="00471A3B">
            <w:pPr>
              <w:cnfStyle w:val="000000000000" w:firstRow="0" w:lastRow="0" w:firstColumn="0" w:lastColumn="0" w:oddVBand="0" w:evenVBand="0" w:oddHBand="0" w:evenHBand="0" w:firstRowFirstColumn="0" w:firstRowLastColumn="0" w:lastRowFirstColumn="0" w:lastRowLastColumn="0"/>
            </w:pPr>
            <w:r>
              <w:t>366</w:t>
            </w:r>
          </w:p>
        </w:tc>
        <w:tc>
          <w:tcPr>
            <w:tcW w:w="794" w:type="dxa"/>
          </w:tcPr>
          <w:p w14:paraId="7791FA43" w14:textId="77777777" w:rsidR="00AB205D" w:rsidRDefault="00471A3B">
            <w:pPr>
              <w:cnfStyle w:val="000000000000" w:firstRow="0" w:lastRow="0" w:firstColumn="0" w:lastColumn="0" w:oddVBand="0" w:evenVBand="0" w:oddHBand="0" w:evenHBand="0" w:firstRowFirstColumn="0" w:firstRowLastColumn="0" w:lastRowFirstColumn="0" w:lastRowLastColumn="0"/>
            </w:pPr>
            <w:r>
              <w:t>340</w:t>
            </w:r>
          </w:p>
        </w:tc>
        <w:tc>
          <w:tcPr>
            <w:tcW w:w="794" w:type="dxa"/>
          </w:tcPr>
          <w:p w14:paraId="363AE755" w14:textId="77777777" w:rsidR="00AB205D" w:rsidRDefault="00471A3B">
            <w:pPr>
              <w:cnfStyle w:val="000000000000" w:firstRow="0" w:lastRow="0" w:firstColumn="0" w:lastColumn="0" w:oddVBand="0" w:evenVBand="0" w:oddHBand="0" w:evenHBand="0" w:firstRowFirstColumn="0" w:firstRowLastColumn="0" w:lastRowFirstColumn="0" w:lastRowLastColumn="0"/>
            </w:pPr>
            <w:r>
              <w:t>280</w:t>
            </w:r>
          </w:p>
        </w:tc>
      </w:tr>
      <w:tr w:rsidR="009C6724" w14:paraId="350776CE" w14:textId="77777777" w:rsidTr="009C6724">
        <w:tc>
          <w:tcPr>
            <w:cnfStyle w:val="001000000000" w:firstRow="0" w:lastRow="0" w:firstColumn="1" w:lastColumn="0" w:oddVBand="0" w:evenVBand="0" w:oddHBand="0" w:evenHBand="0" w:firstRowFirstColumn="0" w:firstRowLastColumn="0" w:lastRowFirstColumn="0" w:lastRowLastColumn="0"/>
            <w:tcW w:w="3173" w:type="dxa"/>
          </w:tcPr>
          <w:p w14:paraId="2931C523" w14:textId="77777777" w:rsidR="00AB205D" w:rsidRDefault="00471A3B">
            <w:r>
              <w:t>Non</w:t>
            </w:r>
            <w:r>
              <w:noBreakHyphen/>
              <w:t>financial assets held for sale</w:t>
            </w:r>
          </w:p>
        </w:tc>
        <w:tc>
          <w:tcPr>
            <w:tcW w:w="567" w:type="dxa"/>
          </w:tcPr>
          <w:p w14:paraId="7564A967" w14:textId="77777777" w:rsidR="00AB205D" w:rsidRDefault="00AB205D" w:rsidP="00117A92">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31C3BE85" w14:textId="77777777" w:rsidR="00AB205D" w:rsidRDefault="00471A3B">
            <w:pPr>
              <w:cnfStyle w:val="000000000000" w:firstRow="0" w:lastRow="0" w:firstColumn="0" w:lastColumn="0" w:oddVBand="0" w:evenVBand="0" w:oddHBand="0" w:evenHBand="0" w:firstRowFirstColumn="0" w:firstRowLastColumn="0" w:lastRowFirstColumn="0" w:lastRowLastColumn="0"/>
            </w:pPr>
            <w:r>
              <w:t>88</w:t>
            </w:r>
          </w:p>
        </w:tc>
        <w:tc>
          <w:tcPr>
            <w:tcW w:w="794" w:type="dxa"/>
          </w:tcPr>
          <w:p w14:paraId="3D70AF96" w14:textId="77777777" w:rsidR="00AB205D" w:rsidRDefault="00471A3B">
            <w:pPr>
              <w:cnfStyle w:val="000000000000" w:firstRow="0" w:lastRow="0" w:firstColumn="0" w:lastColumn="0" w:oddVBand="0" w:evenVBand="0" w:oddHBand="0" w:evenHBand="0" w:firstRowFirstColumn="0" w:firstRowLastColumn="0" w:lastRowFirstColumn="0" w:lastRowLastColumn="0"/>
            </w:pPr>
            <w:r>
              <w:t>65</w:t>
            </w:r>
          </w:p>
        </w:tc>
        <w:tc>
          <w:tcPr>
            <w:tcW w:w="794" w:type="dxa"/>
          </w:tcPr>
          <w:p w14:paraId="270CDAF8" w14:textId="77777777" w:rsidR="00AB205D" w:rsidRDefault="00471A3B">
            <w:pPr>
              <w:cnfStyle w:val="000000000000" w:firstRow="0" w:lastRow="0" w:firstColumn="0" w:lastColumn="0" w:oddVBand="0" w:evenVBand="0" w:oddHBand="0" w:evenHBand="0" w:firstRowFirstColumn="0" w:firstRowLastColumn="0" w:lastRowFirstColumn="0" w:lastRowLastColumn="0"/>
            </w:pPr>
            <w:r>
              <w:t>33</w:t>
            </w:r>
          </w:p>
        </w:tc>
        <w:tc>
          <w:tcPr>
            <w:tcW w:w="794" w:type="dxa"/>
          </w:tcPr>
          <w:p w14:paraId="33392EE4" w14:textId="77777777" w:rsidR="00AB205D" w:rsidRDefault="00471A3B">
            <w:pPr>
              <w:cnfStyle w:val="000000000000" w:firstRow="0" w:lastRow="0" w:firstColumn="0" w:lastColumn="0" w:oddVBand="0" w:evenVBand="0" w:oddHBand="0" w:evenHBand="0" w:firstRowFirstColumn="0" w:firstRowLastColumn="0" w:lastRowFirstColumn="0" w:lastRowLastColumn="0"/>
            </w:pPr>
            <w:r>
              <w:t>26</w:t>
            </w:r>
          </w:p>
        </w:tc>
        <w:tc>
          <w:tcPr>
            <w:tcW w:w="794" w:type="dxa"/>
          </w:tcPr>
          <w:p w14:paraId="33C8AFA7" w14:textId="77777777" w:rsidR="00AB205D" w:rsidRDefault="00471A3B">
            <w:pPr>
              <w:cnfStyle w:val="000000000000" w:firstRow="0" w:lastRow="0" w:firstColumn="0" w:lastColumn="0" w:oddVBand="0" w:evenVBand="0" w:oddHBand="0" w:evenHBand="0" w:firstRowFirstColumn="0" w:firstRowLastColumn="0" w:lastRowFirstColumn="0" w:lastRowLastColumn="0"/>
            </w:pPr>
            <w:r>
              <w:t>13</w:t>
            </w:r>
          </w:p>
        </w:tc>
      </w:tr>
      <w:tr w:rsidR="009C6724" w14:paraId="5E064515" w14:textId="77777777" w:rsidTr="009C6724">
        <w:tc>
          <w:tcPr>
            <w:cnfStyle w:val="001000000000" w:firstRow="0" w:lastRow="0" w:firstColumn="1" w:lastColumn="0" w:oddVBand="0" w:evenVBand="0" w:oddHBand="0" w:evenHBand="0" w:firstRowFirstColumn="0" w:firstRowLastColumn="0" w:lastRowFirstColumn="0" w:lastRowLastColumn="0"/>
            <w:tcW w:w="3173" w:type="dxa"/>
          </w:tcPr>
          <w:p w14:paraId="7A658E34" w14:textId="77777777" w:rsidR="00AB205D" w:rsidRDefault="00471A3B">
            <w:r>
              <w:t>Land, buildings, infrastructure, plant and equipment</w:t>
            </w:r>
          </w:p>
        </w:tc>
        <w:tc>
          <w:tcPr>
            <w:tcW w:w="567" w:type="dxa"/>
          </w:tcPr>
          <w:p w14:paraId="250D6B23" w14:textId="77777777" w:rsidR="00AB205D" w:rsidRDefault="00471A3B" w:rsidP="00117A92">
            <w:pPr>
              <w:jc w:val="center"/>
              <w:cnfStyle w:val="000000000000" w:firstRow="0" w:lastRow="0" w:firstColumn="0" w:lastColumn="0" w:oddVBand="0" w:evenVBand="0" w:oddHBand="0" w:evenHBand="0" w:firstRowFirstColumn="0" w:firstRowLastColumn="0" w:lastRowFirstColumn="0" w:lastRowLastColumn="0"/>
            </w:pPr>
            <w:r>
              <w:t>4.4.1, 4.4.3</w:t>
            </w:r>
          </w:p>
        </w:tc>
        <w:tc>
          <w:tcPr>
            <w:tcW w:w="794" w:type="dxa"/>
          </w:tcPr>
          <w:p w14:paraId="0ED3D624" w14:textId="77777777" w:rsidR="00AB205D" w:rsidRDefault="00471A3B">
            <w:pPr>
              <w:cnfStyle w:val="000000000000" w:firstRow="0" w:lastRow="0" w:firstColumn="0" w:lastColumn="0" w:oddVBand="0" w:evenVBand="0" w:oddHBand="0" w:evenHBand="0" w:firstRowFirstColumn="0" w:firstRowLastColumn="0" w:lastRowFirstColumn="0" w:lastRowLastColumn="0"/>
            </w:pPr>
            <w:r>
              <w:t>258 538</w:t>
            </w:r>
          </w:p>
        </w:tc>
        <w:tc>
          <w:tcPr>
            <w:tcW w:w="794" w:type="dxa"/>
          </w:tcPr>
          <w:p w14:paraId="6FCACDEF" w14:textId="77777777" w:rsidR="00AB205D" w:rsidRDefault="00471A3B">
            <w:pPr>
              <w:cnfStyle w:val="000000000000" w:firstRow="0" w:lastRow="0" w:firstColumn="0" w:lastColumn="0" w:oddVBand="0" w:evenVBand="0" w:oddHBand="0" w:evenHBand="0" w:firstRowFirstColumn="0" w:firstRowLastColumn="0" w:lastRowFirstColumn="0" w:lastRowLastColumn="0"/>
            </w:pPr>
            <w:r>
              <w:t>260 988</w:t>
            </w:r>
          </w:p>
        </w:tc>
        <w:tc>
          <w:tcPr>
            <w:tcW w:w="794" w:type="dxa"/>
          </w:tcPr>
          <w:p w14:paraId="524B4621" w14:textId="77777777" w:rsidR="00AB205D" w:rsidRDefault="00471A3B">
            <w:pPr>
              <w:cnfStyle w:val="000000000000" w:firstRow="0" w:lastRow="0" w:firstColumn="0" w:lastColumn="0" w:oddVBand="0" w:evenVBand="0" w:oddHBand="0" w:evenHBand="0" w:firstRowFirstColumn="0" w:firstRowLastColumn="0" w:lastRowFirstColumn="0" w:lastRowLastColumn="0"/>
            </w:pPr>
            <w:r>
              <w:t>284 990</w:t>
            </w:r>
          </w:p>
        </w:tc>
        <w:tc>
          <w:tcPr>
            <w:tcW w:w="794" w:type="dxa"/>
          </w:tcPr>
          <w:p w14:paraId="2CCE4704" w14:textId="77777777" w:rsidR="00AB205D" w:rsidRDefault="00471A3B">
            <w:pPr>
              <w:cnfStyle w:val="000000000000" w:firstRow="0" w:lastRow="0" w:firstColumn="0" w:lastColumn="0" w:oddVBand="0" w:evenVBand="0" w:oddHBand="0" w:evenHBand="0" w:firstRowFirstColumn="0" w:firstRowLastColumn="0" w:lastRowFirstColumn="0" w:lastRowLastColumn="0"/>
            </w:pPr>
            <w:r>
              <w:t>278 443</w:t>
            </w:r>
          </w:p>
        </w:tc>
        <w:tc>
          <w:tcPr>
            <w:tcW w:w="794" w:type="dxa"/>
          </w:tcPr>
          <w:p w14:paraId="008734EE" w14:textId="77777777" w:rsidR="00AB205D" w:rsidRDefault="00471A3B">
            <w:pPr>
              <w:cnfStyle w:val="000000000000" w:firstRow="0" w:lastRow="0" w:firstColumn="0" w:lastColumn="0" w:oddVBand="0" w:evenVBand="0" w:oddHBand="0" w:evenHBand="0" w:firstRowFirstColumn="0" w:firstRowLastColumn="0" w:lastRowFirstColumn="0" w:lastRowLastColumn="0"/>
            </w:pPr>
            <w:r>
              <w:t>294 415</w:t>
            </w:r>
          </w:p>
        </w:tc>
      </w:tr>
      <w:tr w:rsidR="009C6724" w14:paraId="62B14780" w14:textId="77777777" w:rsidTr="009C6724">
        <w:tc>
          <w:tcPr>
            <w:cnfStyle w:val="001000000000" w:firstRow="0" w:lastRow="0" w:firstColumn="1" w:lastColumn="0" w:oddVBand="0" w:evenVBand="0" w:oddHBand="0" w:evenHBand="0" w:firstRowFirstColumn="0" w:firstRowLastColumn="0" w:lastRowFirstColumn="0" w:lastRowLastColumn="0"/>
            <w:tcW w:w="3173" w:type="dxa"/>
            <w:tcBorders>
              <w:bottom w:val="single" w:sz="6" w:space="0" w:color="auto"/>
            </w:tcBorders>
          </w:tcPr>
          <w:p w14:paraId="3195206E" w14:textId="77777777" w:rsidR="00AB205D" w:rsidRDefault="00471A3B">
            <w:r>
              <w:t>Other non</w:t>
            </w:r>
            <w:r>
              <w:noBreakHyphen/>
              <w:t>financial assets</w:t>
            </w:r>
          </w:p>
        </w:tc>
        <w:tc>
          <w:tcPr>
            <w:tcW w:w="567" w:type="dxa"/>
            <w:tcBorders>
              <w:bottom w:val="single" w:sz="6" w:space="0" w:color="auto"/>
            </w:tcBorders>
          </w:tcPr>
          <w:p w14:paraId="4109ED2F" w14:textId="77777777" w:rsidR="00AB205D" w:rsidRDefault="00471A3B" w:rsidP="00117A92">
            <w:pPr>
              <w:jc w:val="center"/>
              <w:cnfStyle w:val="000000000000" w:firstRow="0" w:lastRow="0" w:firstColumn="0" w:lastColumn="0" w:oddVBand="0" w:evenVBand="0" w:oddHBand="0" w:evenHBand="0" w:firstRowFirstColumn="0" w:firstRowLastColumn="0" w:lastRowFirstColumn="0" w:lastRowLastColumn="0"/>
            </w:pPr>
            <w:r>
              <w:t>4.4.4</w:t>
            </w:r>
          </w:p>
        </w:tc>
        <w:tc>
          <w:tcPr>
            <w:tcW w:w="794" w:type="dxa"/>
            <w:tcBorders>
              <w:bottom w:val="single" w:sz="6" w:space="0" w:color="auto"/>
            </w:tcBorders>
          </w:tcPr>
          <w:p w14:paraId="34DCFA05" w14:textId="77777777" w:rsidR="00AB205D" w:rsidRDefault="00471A3B">
            <w:pPr>
              <w:cnfStyle w:val="000000000000" w:firstRow="0" w:lastRow="0" w:firstColumn="0" w:lastColumn="0" w:oddVBand="0" w:evenVBand="0" w:oddHBand="0" w:evenHBand="0" w:firstRowFirstColumn="0" w:firstRowLastColumn="0" w:lastRowFirstColumn="0" w:lastRowLastColumn="0"/>
            </w:pPr>
            <w:r>
              <w:t>5 772</w:t>
            </w:r>
          </w:p>
        </w:tc>
        <w:tc>
          <w:tcPr>
            <w:tcW w:w="794" w:type="dxa"/>
            <w:tcBorders>
              <w:bottom w:val="single" w:sz="6" w:space="0" w:color="auto"/>
            </w:tcBorders>
          </w:tcPr>
          <w:p w14:paraId="1C705268" w14:textId="77777777" w:rsidR="00AB205D" w:rsidRDefault="00471A3B">
            <w:pPr>
              <w:cnfStyle w:val="000000000000" w:firstRow="0" w:lastRow="0" w:firstColumn="0" w:lastColumn="0" w:oddVBand="0" w:evenVBand="0" w:oddHBand="0" w:evenHBand="0" w:firstRowFirstColumn="0" w:firstRowLastColumn="0" w:lastRowFirstColumn="0" w:lastRowLastColumn="0"/>
            </w:pPr>
            <w:r>
              <w:t>5 814</w:t>
            </w:r>
          </w:p>
        </w:tc>
        <w:tc>
          <w:tcPr>
            <w:tcW w:w="794" w:type="dxa"/>
            <w:tcBorders>
              <w:bottom w:val="single" w:sz="6" w:space="0" w:color="auto"/>
            </w:tcBorders>
          </w:tcPr>
          <w:p w14:paraId="1C16294A" w14:textId="77777777" w:rsidR="00AB205D" w:rsidRDefault="00471A3B">
            <w:pPr>
              <w:cnfStyle w:val="000000000000" w:firstRow="0" w:lastRow="0" w:firstColumn="0" w:lastColumn="0" w:oddVBand="0" w:evenVBand="0" w:oddHBand="0" w:evenHBand="0" w:firstRowFirstColumn="0" w:firstRowLastColumn="0" w:lastRowFirstColumn="0" w:lastRowLastColumn="0"/>
            </w:pPr>
            <w:r>
              <w:t>5 611</w:t>
            </w:r>
          </w:p>
        </w:tc>
        <w:tc>
          <w:tcPr>
            <w:tcW w:w="794" w:type="dxa"/>
            <w:tcBorders>
              <w:bottom w:val="single" w:sz="6" w:space="0" w:color="auto"/>
            </w:tcBorders>
          </w:tcPr>
          <w:p w14:paraId="193AB6A1" w14:textId="77777777" w:rsidR="00AB205D" w:rsidRDefault="00471A3B">
            <w:pPr>
              <w:cnfStyle w:val="000000000000" w:firstRow="0" w:lastRow="0" w:firstColumn="0" w:lastColumn="0" w:oddVBand="0" w:evenVBand="0" w:oddHBand="0" w:evenHBand="0" w:firstRowFirstColumn="0" w:firstRowLastColumn="0" w:lastRowFirstColumn="0" w:lastRowLastColumn="0"/>
            </w:pPr>
            <w:r>
              <w:t>5 345</w:t>
            </w:r>
          </w:p>
        </w:tc>
        <w:tc>
          <w:tcPr>
            <w:tcW w:w="794" w:type="dxa"/>
            <w:tcBorders>
              <w:bottom w:val="single" w:sz="6" w:space="0" w:color="auto"/>
            </w:tcBorders>
          </w:tcPr>
          <w:p w14:paraId="7C7D018C" w14:textId="77777777" w:rsidR="00AB205D" w:rsidRDefault="00471A3B">
            <w:pPr>
              <w:cnfStyle w:val="000000000000" w:firstRow="0" w:lastRow="0" w:firstColumn="0" w:lastColumn="0" w:oddVBand="0" w:evenVBand="0" w:oddHBand="0" w:evenHBand="0" w:firstRowFirstColumn="0" w:firstRowLastColumn="0" w:lastRowFirstColumn="0" w:lastRowLastColumn="0"/>
            </w:pPr>
            <w:r>
              <w:t>5 067</w:t>
            </w:r>
          </w:p>
        </w:tc>
      </w:tr>
      <w:tr w:rsidR="009C6724" w14:paraId="3D635EC1" w14:textId="77777777" w:rsidTr="009C672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bottom w:val="single" w:sz="6" w:space="0" w:color="auto"/>
            </w:tcBorders>
          </w:tcPr>
          <w:p w14:paraId="4610EC37" w14:textId="77777777" w:rsidR="00AB205D" w:rsidRDefault="00471A3B">
            <w:r>
              <w:rPr>
                <w:b/>
              </w:rPr>
              <w:t>Total non</w:t>
            </w:r>
            <w:r>
              <w:rPr>
                <w:b/>
              </w:rPr>
              <w:noBreakHyphen/>
              <w:t>financial assets</w:t>
            </w:r>
          </w:p>
        </w:tc>
        <w:tc>
          <w:tcPr>
            <w:tcW w:w="567" w:type="dxa"/>
            <w:tcBorders>
              <w:top w:val="single" w:sz="6" w:space="0" w:color="auto"/>
              <w:bottom w:val="single" w:sz="6" w:space="0" w:color="auto"/>
            </w:tcBorders>
          </w:tcPr>
          <w:p w14:paraId="1242D758" w14:textId="77777777" w:rsidR="00AB205D" w:rsidRDefault="00AB205D" w:rsidP="00117A92">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bottom w:val="single" w:sz="6" w:space="0" w:color="auto"/>
            </w:tcBorders>
          </w:tcPr>
          <w:p w14:paraId="294C0AE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264 556</w:t>
            </w:r>
          </w:p>
        </w:tc>
        <w:tc>
          <w:tcPr>
            <w:tcW w:w="794" w:type="dxa"/>
            <w:tcBorders>
              <w:top w:val="single" w:sz="6" w:space="0" w:color="auto"/>
              <w:bottom w:val="single" w:sz="6" w:space="0" w:color="auto"/>
            </w:tcBorders>
          </w:tcPr>
          <w:p w14:paraId="654A579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267 259</w:t>
            </w:r>
          </w:p>
        </w:tc>
        <w:tc>
          <w:tcPr>
            <w:tcW w:w="794" w:type="dxa"/>
            <w:tcBorders>
              <w:top w:val="single" w:sz="6" w:space="0" w:color="auto"/>
              <w:bottom w:val="single" w:sz="6" w:space="0" w:color="auto"/>
            </w:tcBorders>
          </w:tcPr>
          <w:p w14:paraId="7010283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290 999</w:t>
            </w:r>
          </w:p>
        </w:tc>
        <w:tc>
          <w:tcPr>
            <w:tcW w:w="794" w:type="dxa"/>
            <w:tcBorders>
              <w:top w:val="single" w:sz="6" w:space="0" w:color="auto"/>
              <w:bottom w:val="single" w:sz="6" w:space="0" w:color="auto"/>
            </w:tcBorders>
          </w:tcPr>
          <w:p w14:paraId="36E4457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284 154</w:t>
            </w:r>
          </w:p>
        </w:tc>
        <w:tc>
          <w:tcPr>
            <w:tcW w:w="794" w:type="dxa"/>
            <w:tcBorders>
              <w:top w:val="single" w:sz="6" w:space="0" w:color="auto"/>
              <w:bottom w:val="single" w:sz="6" w:space="0" w:color="auto"/>
            </w:tcBorders>
          </w:tcPr>
          <w:p w14:paraId="6E4A8F2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299 775</w:t>
            </w:r>
          </w:p>
        </w:tc>
      </w:tr>
      <w:tr w:rsidR="009C6724" w14:paraId="4FFE231B" w14:textId="77777777" w:rsidTr="009C672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tcBorders>
          </w:tcPr>
          <w:p w14:paraId="2836EEF4" w14:textId="77777777" w:rsidR="00AB205D" w:rsidRDefault="00471A3B">
            <w:r>
              <w:rPr>
                <w:b/>
              </w:rPr>
              <w:t>Total assets</w:t>
            </w:r>
          </w:p>
        </w:tc>
        <w:tc>
          <w:tcPr>
            <w:tcW w:w="567" w:type="dxa"/>
            <w:tcBorders>
              <w:top w:val="single" w:sz="6" w:space="0" w:color="auto"/>
            </w:tcBorders>
          </w:tcPr>
          <w:p w14:paraId="5E79BC23" w14:textId="77777777" w:rsidR="00AB205D" w:rsidRDefault="00471A3B" w:rsidP="00117A92">
            <w:pPr>
              <w:jc w:val="center"/>
              <w:cnfStyle w:val="000000000000" w:firstRow="0" w:lastRow="0" w:firstColumn="0" w:lastColumn="0" w:oddVBand="0" w:evenVBand="0" w:oddHBand="0" w:evenHBand="0" w:firstRowFirstColumn="0" w:firstRowLastColumn="0" w:lastRowFirstColumn="0" w:lastRowLastColumn="0"/>
            </w:pPr>
            <w:r>
              <w:t>4.4.5</w:t>
            </w:r>
          </w:p>
        </w:tc>
        <w:tc>
          <w:tcPr>
            <w:tcW w:w="794" w:type="dxa"/>
            <w:tcBorders>
              <w:top w:val="single" w:sz="6" w:space="0" w:color="auto"/>
            </w:tcBorders>
          </w:tcPr>
          <w:p w14:paraId="7F337F1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405 200</w:t>
            </w:r>
          </w:p>
        </w:tc>
        <w:tc>
          <w:tcPr>
            <w:tcW w:w="794" w:type="dxa"/>
            <w:tcBorders>
              <w:top w:val="single" w:sz="6" w:space="0" w:color="auto"/>
            </w:tcBorders>
          </w:tcPr>
          <w:p w14:paraId="759EFF7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408 155</w:t>
            </w:r>
          </w:p>
        </w:tc>
        <w:tc>
          <w:tcPr>
            <w:tcW w:w="794" w:type="dxa"/>
            <w:tcBorders>
              <w:top w:val="single" w:sz="6" w:space="0" w:color="auto"/>
            </w:tcBorders>
          </w:tcPr>
          <w:p w14:paraId="6FBBC3A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438 144</w:t>
            </w:r>
          </w:p>
        </w:tc>
        <w:tc>
          <w:tcPr>
            <w:tcW w:w="794" w:type="dxa"/>
            <w:tcBorders>
              <w:top w:val="single" w:sz="6" w:space="0" w:color="auto"/>
            </w:tcBorders>
          </w:tcPr>
          <w:p w14:paraId="114E0A3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441 689</w:t>
            </w:r>
          </w:p>
        </w:tc>
        <w:tc>
          <w:tcPr>
            <w:tcW w:w="794" w:type="dxa"/>
            <w:tcBorders>
              <w:top w:val="single" w:sz="6" w:space="0" w:color="auto"/>
            </w:tcBorders>
          </w:tcPr>
          <w:p w14:paraId="79EB393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464 282</w:t>
            </w:r>
          </w:p>
        </w:tc>
      </w:tr>
      <w:tr w:rsidR="009C6724" w14:paraId="6BEFC9A0" w14:textId="77777777" w:rsidTr="009C6724">
        <w:tc>
          <w:tcPr>
            <w:cnfStyle w:val="001000000000" w:firstRow="0" w:lastRow="0" w:firstColumn="1" w:lastColumn="0" w:oddVBand="0" w:evenVBand="0" w:oddHBand="0" w:evenHBand="0" w:firstRowFirstColumn="0" w:firstRowLastColumn="0" w:lastRowFirstColumn="0" w:lastRowLastColumn="0"/>
            <w:tcW w:w="3173" w:type="dxa"/>
          </w:tcPr>
          <w:p w14:paraId="6395AB08" w14:textId="77777777" w:rsidR="00AB205D" w:rsidRDefault="00471A3B">
            <w:r>
              <w:rPr>
                <w:b/>
              </w:rPr>
              <w:t>Liabilities</w:t>
            </w:r>
          </w:p>
        </w:tc>
        <w:tc>
          <w:tcPr>
            <w:tcW w:w="567" w:type="dxa"/>
          </w:tcPr>
          <w:p w14:paraId="7FCF4524" w14:textId="77777777" w:rsidR="00AB205D" w:rsidRDefault="00AB205D" w:rsidP="00117A92">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4D9C8437"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88921DA"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FE462F1"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47B47A9D"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71D0A250"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343F9410" w14:textId="77777777" w:rsidTr="009C6724">
        <w:tc>
          <w:tcPr>
            <w:cnfStyle w:val="001000000000" w:firstRow="0" w:lastRow="0" w:firstColumn="1" w:lastColumn="0" w:oddVBand="0" w:evenVBand="0" w:oddHBand="0" w:evenHBand="0" w:firstRowFirstColumn="0" w:firstRowLastColumn="0" w:lastRowFirstColumn="0" w:lastRowLastColumn="0"/>
            <w:tcW w:w="3173" w:type="dxa"/>
          </w:tcPr>
          <w:p w14:paraId="6916F4FC" w14:textId="77777777" w:rsidR="00AB205D" w:rsidRDefault="00471A3B">
            <w:r>
              <w:t>Deposits held and advances received</w:t>
            </w:r>
          </w:p>
        </w:tc>
        <w:tc>
          <w:tcPr>
            <w:tcW w:w="567" w:type="dxa"/>
          </w:tcPr>
          <w:p w14:paraId="30C15D1C" w14:textId="77777777" w:rsidR="00AB205D" w:rsidRDefault="00AB205D" w:rsidP="00117A92">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051DD4CA" w14:textId="77777777" w:rsidR="00AB205D" w:rsidRDefault="00471A3B">
            <w:pPr>
              <w:cnfStyle w:val="000000000000" w:firstRow="0" w:lastRow="0" w:firstColumn="0" w:lastColumn="0" w:oddVBand="0" w:evenVBand="0" w:oddHBand="0" w:evenHBand="0" w:firstRowFirstColumn="0" w:firstRowLastColumn="0" w:lastRowFirstColumn="0" w:lastRowLastColumn="0"/>
            </w:pPr>
            <w:r>
              <w:t>1 581</w:t>
            </w:r>
          </w:p>
        </w:tc>
        <w:tc>
          <w:tcPr>
            <w:tcW w:w="794" w:type="dxa"/>
          </w:tcPr>
          <w:p w14:paraId="64790626" w14:textId="77777777" w:rsidR="00AB205D" w:rsidRDefault="00471A3B">
            <w:pPr>
              <w:cnfStyle w:val="000000000000" w:firstRow="0" w:lastRow="0" w:firstColumn="0" w:lastColumn="0" w:oddVBand="0" w:evenVBand="0" w:oddHBand="0" w:evenHBand="0" w:firstRowFirstColumn="0" w:firstRowLastColumn="0" w:lastRowFirstColumn="0" w:lastRowLastColumn="0"/>
            </w:pPr>
            <w:r>
              <w:t>1 581</w:t>
            </w:r>
          </w:p>
        </w:tc>
        <w:tc>
          <w:tcPr>
            <w:tcW w:w="794" w:type="dxa"/>
          </w:tcPr>
          <w:p w14:paraId="11EDC58F" w14:textId="77777777" w:rsidR="00AB205D" w:rsidRDefault="00471A3B">
            <w:pPr>
              <w:cnfStyle w:val="000000000000" w:firstRow="0" w:lastRow="0" w:firstColumn="0" w:lastColumn="0" w:oddVBand="0" w:evenVBand="0" w:oddHBand="0" w:evenHBand="0" w:firstRowFirstColumn="0" w:firstRowLastColumn="0" w:lastRowFirstColumn="0" w:lastRowLastColumn="0"/>
            </w:pPr>
            <w:r>
              <w:t>1 501</w:t>
            </w:r>
          </w:p>
        </w:tc>
        <w:tc>
          <w:tcPr>
            <w:tcW w:w="794" w:type="dxa"/>
          </w:tcPr>
          <w:p w14:paraId="69C0CC0C" w14:textId="77777777" w:rsidR="00AB205D" w:rsidRDefault="00471A3B">
            <w:pPr>
              <w:cnfStyle w:val="000000000000" w:firstRow="0" w:lastRow="0" w:firstColumn="0" w:lastColumn="0" w:oddVBand="0" w:evenVBand="0" w:oddHBand="0" w:evenHBand="0" w:firstRowFirstColumn="0" w:firstRowLastColumn="0" w:lastRowFirstColumn="0" w:lastRowLastColumn="0"/>
            </w:pPr>
            <w:r>
              <w:t>1 453</w:t>
            </w:r>
          </w:p>
        </w:tc>
        <w:tc>
          <w:tcPr>
            <w:tcW w:w="794" w:type="dxa"/>
          </w:tcPr>
          <w:p w14:paraId="2460E50B" w14:textId="77777777" w:rsidR="00AB205D" w:rsidRDefault="00471A3B">
            <w:pPr>
              <w:cnfStyle w:val="000000000000" w:firstRow="0" w:lastRow="0" w:firstColumn="0" w:lastColumn="0" w:oddVBand="0" w:evenVBand="0" w:oddHBand="0" w:evenHBand="0" w:firstRowFirstColumn="0" w:firstRowLastColumn="0" w:lastRowFirstColumn="0" w:lastRowLastColumn="0"/>
            </w:pPr>
            <w:r>
              <w:t>1 453</w:t>
            </w:r>
          </w:p>
        </w:tc>
      </w:tr>
      <w:tr w:rsidR="009C6724" w14:paraId="63ACE896" w14:textId="77777777" w:rsidTr="009C6724">
        <w:tc>
          <w:tcPr>
            <w:cnfStyle w:val="001000000000" w:firstRow="0" w:lastRow="0" w:firstColumn="1" w:lastColumn="0" w:oddVBand="0" w:evenVBand="0" w:oddHBand="0" w:evenHBand="0" w:firstRowFirstColumn="0" w:firstRowLastColumn="0" w:lastRowFirstColumn="0" w:lastRowLastColumn="0"/>
            <w:tcW w:w="3173" w:type="dxa"/>
          </w:tcPr>
          <w:p w14:paraId="06200514" w14:textId="77777777" w:rsidR="00AB205D" w:rsidRDefault="00471A3B">
            <w:r>
              <w:t>Payables</w:t>
            </w:r>
          </w:p>
        </w:tc>
        <w:tc>
          <w:tcPr>
            <w:tcW w:w="567" w:type="dxa"/>
          </w:tcPr>
          <w:p w14:paraId="156F8CE3" w14:textId="77777777" w:rsidR="00AB205D" w:rsidRDefault="00471A3B" w:rsidP="00117A92">
            <w:pPr>
              <w:jc w:val="center"/>
              <w:cnfStyle w:val="000000000000" w:firstRow="0" w:lastRow="0" w:firstColumn="0" w:lastColumn="0" w:oddVBand="0" w:evenVBand="0" w:oddHBand="0" w:evenHBand="0" w:firstRowFirstColumn="0" w:firstRowLastColumn="0" w:lastRowFirstColumn="0" w:lastRowLastColumn="0"/>
            </w:pPr>
            <w:r>
              <w:t>4.6.2</w:t>
            </w:r>
          </w:p>
        </w:tc>
        <w:tc>
          <w:tcPr>
            <w:tcW w:w="794" w:type="dxa"/>
          </w:tcPr>
          <w:p w14:paraId="737C91EA" w14:textId="77777777" w:rsidR="00AB205D" w:rsidRDefault="00471A3B">
            <w:pPr>
              <w:cnfStyle w:val="000000000000" w:firstRow="0" w:lastRow="0" w:firstColumn="0" w:lastColumn="0" w:oddVBand="0" w:evenVBand="0" w:oddHBand="0" w:evenHBand="0" w:firstRowFirstColumn="0" w:firstRowLastColumn="0" w:lastRowFirstColumn="0" w:lastRowLastColumn="0"/>
            </w:pPr>
            <w:r>
              <w:t>28 230</w:t>
            </w:r>
          </w:p>
        </w:tc>
        <w:tc>
          <w:tcPr>
            <w:tcW w:w="794" w:type="dxa"/>
          </w:tcPr>
          <w:p w14:paraId="0CF6B9B8" w14:textId="77777777" w:rsidR="00AB205D" w:rsidRDefault="00471A3B">
            <w:pPr>
              <w:cnfStyle w:val="000000000000" w:firstRow="0" w:lastRow="0" w:firstColumn="0" w:lastColumn="0" w:oddVBand="0" w:evenVBand="0" w:oddHBand="0" w:evenHBand="0" w:firstRowFirstColumn="0" w:firstRowLastColumn="0" w:lastRowFirstColumn="0" w:lastRowLastColumn="0"/>
            </w:pPr>
            <w:r>
              <w:t>27 502</w:t>
            </w:r>
          </w:p>
        </w:tc>
        <w:tc>
          <w:tcPr>
            <w:tcW w:w="794" w:type="dxa"/>
          </w:tcPr>
          <w:p w14:paraId="703F771F" w14:textId="77777777" w:rsidR="00AB205D" w:rsidRDefault="00471A3B">
            <w:pPr>
              <w:cnfStyle w:val="000000000000" w:firstRow="0" w:lastRow="0" w:firstColumn="0" w:lastColumn="0" w:oddVBand="0" w:evenVBand="0" w:oddHBand="0" w:evenHBand="0" w:firstRowFirstColumn="0" w:firstRowLastColumn="0" w:lastRowFirstColumn="0" w:lastRowLastColumn="0"/>
            </w:pPr>
            <w:r>
              <w:t>27 036</w:t>
            </w:r>
          </w:p>
        </w:tc>
        <w:tc>
          <w:tcPr>
            <w:tcW w:w="794" w:type="dxa"/>
          </w:tcPr>
          <w:p w14:paraId="4DC9D1B4" w14:textId="77777777" w:rsidR="00AB205D" w:rsidRDefault="00471A3B">
            <w:pPr>
              <w:cnfStyle w:val="000000000000" w:firstRow="0" w:lastRow="0" w:firstColumn="0" w:lastColumn="0" w:oddVBand="0" w:evenVBand="0" w:oddHBand="0" w:evenHBand="0" w:firstRowFirstColumn="0" w:firstRowLastColumn="0" w:lastRowFirstColumn="0" w:lastRowLastColumn="0"/>
            </w:pPr>
            <w:r>
              <w:t>26 471</w:t>
            </w:r>
          </w:p>
        </w:tc>
        <w:tc>
          <w:tcPr>
            <w:tcW w:w="794" w:type="dxa"/>
          </w:tcPr>
          <w:p w14:paraId="527EC087" w14:textId="77777777" w:rsidR="00AB205D" w:rsidRDefault="00471A3B">
            <w:pPr>
              <w:cnfStyle w:val="000000000000" w:firstRow="0" w:lastRow="0" w:firstColumn="0" w:lastColumn="0" w:oddVBand="0" w:evenVBand="0" w:oddHBand="0" w:evenHBand="0" w:firstRowFirstColumn="0" w:firstRowLastColumn="0" w:lastRowFirstColumn="0" w:lastRowLastColumn="0"/>
            </w:pPr>
            <w:r>
              <w:t>25 603</w:t>
            </w:r>
          </w:p>
        </w:tc>
      </w:tr>
      <w:tr w:rsidR="009C6724" w14:paraId="595D6B76" w14:textId="77777777" w:rsidTr="009C6724">
        <w:tc>
          <w:tcPr>
            <w:cnfStyle w:val="001000000000" w:firstRow="0" w:lastRow="0" w:firstColumn="1" w:lastColumn="0" w:oddVBand="0" w:evenVBand="0" w:oddHBand="0" w:evenHBand="0" w:firstRowFirstColumn="0" w:firstRowLastColumn="0" w:lastRowFirstColumn="0" w:lastRowLastColumn="0"/>
            <w:tcW w:w="3173" w:type="dxa"/>
          </w:tcPr>
          <w:p w14:paraId="7B63B1C2" w14:textId="77777777" w:rsidR="00AB205D" w:rsidRDefault="00471A3B">
            <w:r>
              <w:t>Contract liabilities</w:t>
            </w:r>
          </w:p>
        </w:tc>
        <w:tc>
          <w:tcPr>
            <w:tcW w:w="567" w:type="dxa"/>
          </w:tcPr>
          <w:p w14:paraId="3AA75590" w14:textId="77777777" w:rsidR="00AB205D" w:rsidRDefault="00471A3B" w:rsidP="00117A92">
            <w:pPr>
              <w:jc w:val="center"/>
              <w:cnfStyle w:val="000000000000" w:firstRow="0" w:lastRow="0" w:firstColumn="0" w:lastColumn="0" w:oddVBand="0" w:evenVBand="0" w:oddHBand="0" w:evenHBand="0" w:firstRowFirstColumn="0" w:firstRowLastColumn="0" w:lastRowFirstColumn="0" w:lastRowLastColumn="0"/>
            </w:pPr>
            <w:r>
              <w:t>4.6.2</w:t>
            </w:r>
          </w:p>
        </w:tc>
        <w:tc>
          <w:tcPr>
            <w:tcW w:w="794" w:type="dxa"/>
          </w:tcPr>
          <w:p w14:paraId="408A5958" w14:textId="77777777" w:rsidR="00AB205D" w:rsidRDefault="00471A3B">
            <w:pPr>
              <w:cnfStyle w:val="000000000000" w:firstRow="0" w:lastRow="0" w:firstColumn="0" w:lastColumn="0" w:oddVBand="0" w:evenVBand="0" w:oddHBand="0" w:evenHBand="0" w:firstRowFirstColumn="0" w:firstRowLastColumn="0" w:lastRowFirstColumn="0" w:lastRowLastColumn="0"/>
            </w:pPr>
            <w:r>
              <w:t>324</w:t>
            </w:r>
          </w:p>
        </w:tc>
        <w:tc>
          <w:tcPr>
            <w:tcW w:w="794" w:type="dxa"/>
          </w:tcPr>
          <w:p w14:paraId="16924B41" w14:textId="77777777" w:rsidR="00AB205D" w:rsidRDefault="00471A3B">
            <w:pPr>
              <w:cnfStyle w:val="000000000000" w:firstRow="0" w:lastRow="0" w:firstColumn="0" w:lastColumn="0" w:oddVBand="0" w:evenVBand="0" w:oddHBand="0" w:evenHBand="0" w:firstRowFirstColumn="0" w:firstRowLastColumn="0" w:lastRowFirstColumn="0" w:lastRowLastColumn="0"/>
            </w:pPr>
            <w:r>
              <w:t>324</w:t>
            </w:r>
          </w:p>
        </w:tc>
        <w:tc>
          <w:tcPr>
            <w:tcW w:w="794" w:type="dxa"/>
          </w:tcPr>
          <w:p w14:paraId="055DBEA1" w14:textId="77777777" w:rsidR="00AB205D" w:rsidRDefault="00471A3B">
            <w:pPr>
              <w:cnfStyle w:val="000000000000" w:firstRow="0" w:lastRow="0" w:firstColumn="0" w:lastColumn="0" w:oddVBand="0" w:evenVBand="0" w:oddHBand="0" w:evenHBand="0" w:firstRowFirstColumn="0" w:firstRowLastColumn="0" w:lastRowFirstColumn="0" w:lastRowLastColumn="0"/>
            </w:pPr>
            <w:r>
              <w:t>311</w:t>
            </w:r>
          </w:p>
        </w:tc>
        <w:tc>
          <w:tcPr>
            <w:tcW w:w="794" w:type="dxa"/>
          </w:tcPr>
          <w:p w14:paraId="7866DAEF" w14:textId="77777777" w:rsidR="00AB205D" w:rsidRDefault="00471A3B">
            <w:pPr>
              <w:cnfStyle w:val="000000000000" w:firstRow="0" w:lastRow="0" w:firstColumn="0" w:lastColumn="0" w:oddVBand="0" w:evenVBand="0" w:oddHBand="0" w:evenHBand="0" w:firstRowFirstColumn="0" w:firstRowLastColumn="0" w:lastRowFirstColumn="0" w:lastRowLastColumn="0"/>
            </w:pPr>
            <w:r>
              <w:t>307</w:t>
            </w:r>
          </w:p>
        </w:tc>
        <w:tc>
          <w:tcPr>
            <w:tcW w:w="794" w:type="dxa"/>
          </w:tcPr>
          <w:p w14:paraId="1CEA08B9" w14:textId="77777777" w:rsidR="00AB205D" w:rsidRDefault="00471A3B">
            <w:pPr>
              <w:cnfStyle w:val="000000000000" w:firstRow="0" w:lastRow="0" w:firstColumn="0" w:lastColumn="0" w:oddVBand="0" w:evenVBand="0" w:oddHBand="0" w:evenHBand="0" w:firstRowFirstColumn="0" w:firstRowLastColumn="0" w:lastRowFirstColumn="0" w:lastRowLastColumn="0"/>
            </w:pPr>
            <w:r>
              <w:t>307</w:t>
            </w:r>
          </w:p>
        </w:tc>
      </w:tr>
      <w:tr w:rsidR="009C6724" w14:paraId="405FAB4C" w14:textId="77777777" w:rsidTr="009C6724">
        <w:tc>
          <w:tcPr>
            <w:cnfStyle w:val="001000000000" w:firstRow="0" w:lastRow="0" w:firstColumn="1" w:lastColumn="0" w:oddVBand="0" w:evenVBand="0" w:oddHBand="0" w:evenHBand="0" w:firstRowFirstColumn="0" w:firstRowLastColumn="0" w:lastRowFirstColumn="0" w:lastRowLastColumn="0"/>
            <w:tcW w:w="3173" w:type="dxa"/>
          </w:tcPr>
          <w:p w14:paraId="6FF067EE" w14:textId="77777777" w:rsidR="00AB205D" w:rsidRDefault="00471A3B">
            <w:r>
              <w:t>Borrowings</w:t>
            </w:r>
          </w:p>
        </w:tc>
        <w:tc>
          <w:tcPr>
            <w:tcW w:w="567" w:type="dxa"/>
          </w:tcPr>
          <w:p w14:paraId="74CFFC09" w14:textId="77777777" w:rsidR="00AB205D" w:rsidRDefault="00471A3B" w:rsidP="00117A92">
            <w:pPr>
              <w:jc w:val="center"/>
              <w:cnfStyle w:val="000000000000" w:firstRow="0" w:lastRow="0" w:firstColumn="0" w:lastColumn="0" w:oddVBand="0" w:evenVBand="0" w:oddHBand="0" w:evenHBand="0" w:firstRowFirstColumn="0" w:firstRowLastColumn="0" w:lastRowFirstColumn="0" w:lastRowLastColumn="0"/>
            </w:pPr>
            <w:r>
              <w:t>4.5.1</w:t>
            </w:r>
          </w:p>
        </w:tc>
        <w:tc>
          <w:tcPr>
            <w:tcW w:w="794" w:type="dxa"/>
          </w:tcPr>
          <w:p w14:paraId="6A04D8BB" w14:textId="77777777" w:rsidR="00AB205D" w:rsidRDefault="00471A3B">
            <w:pPr>
              <w:cnfStyle w:val="000000000000" w:firstRow="0" w:lastRow="0" w:firstColumn="0" w:lastColumn="0" w:oddVBand="0" w:evenVBand="0" w:oddHBand="0" w:evenHBand="0" w:firstRowFirstColumn="0" w:firstRowLastColumn="0" w:lastRowFirstColumn="0" w:lastRowLastColumn="0"/>
            </w:pPr>
            <w:r>
              <w:t>164 529</w:t>
            </w:r>
          </w:p>
        </w:tc>
        <w:tc>
          <w:tcPr>
            <w:tcW w:w="794" w:type="dxa"/>
          </w:tcPr>
          <w:p w14:paraId="56FB7AB0" w14:textId="77777777" w:rsidR="00AB205D" w:rsidRDefault="00471A3B">
            <w:pPr>
              <w:cnfStyle w:val="000000000000" w:firstRow="0" w:lastRow="0" w:firstColumn="0" w:lastColumn="0" w:oddVBand="0" w:evenVBand="0" w:oddHBand="0" w:evenHBand="0" w:firstRowFirstColumn="0" w:firstRowLastColumn="0" w:lastRowFirstColumn="0" w:lastRowLastColumn="0"/>
            </w:pPr>
            <w:r>
              <w:t>166 308</w:t>
            </w:r>
          </w:p>
        </w:tc>
        <w:tc>
          <w:tcPr>
            <w:tcW w:w="794" w:type="dxa"/>
          </w:tcPr>
          <w:p w14:paraId="089E9C57" w14:textId="77777777" w:rsidR="00AB205D" w:rsidRDefault="00471A3B">
            <w:pPr>
              <w:cnfStyle w:val="000000000000" w:firstRow="0" w:lastRow="0" w:firstColumn="0" w:lastColumn="0" w:oddVBand="0" w:evenVBand="0" w:oddHBand="0" w:evenHBand="0" w:firstRowFirstColumn="0" w:firstRowLastColumn="0" w:lastRowFirstColumn="0" w:lastRowLastColumn="0"/>
            </w:pPr>
            <w:r>
              <w:t>186 192</w:t>
            </w:r>
          </w:p>
        </w:tc>
        <w:tc>
          <w:tcPr>
            <w:tcW w:w="794" w:type="dxa"/>
          </w:tcPr>
          <w:p w14:paraId="47E06662" w14:textId="77777777" w:rsidR="00AB205D" w:rsidRDefault="00471A3B">
            <w:pPr>
              <w:cnfStyle w:val="000000000000" w:firstRow="0" w:lastRow="0" w:firstColumn="0" w:lastColumn="0" w:oddVBand="0" w:evenVBand="0" w:oddHBand="0" w:evenHBand="0" w:firstRowFirstColumn="0" w:firstRowLastColumn="0" w:lastRowFirstColumn="0" w:lastRowLastColumn="0"/>
            </w:pPr>
            <w:r>
              <w:t>202 040</w:t>
            </w:r>
          </w:p>
        </w:tc>
        <w:tc>
          <w:tcPr>
            <w:tcW w:w="794" w:type="dxa"/>
          </w:tcPr>
          <w:p w14:paraId="06C4A0F6" w14:textId="77777777" w:rsidR="00AB205D" w:rsidRDefault="00471A3B">
            <w:pPr>
              <w:cnfStyle w:val="000000000000" w:firstRow="0" w:lastRow="0" w:firstColumn="0" w:lastColumn="0" w:oddVBand="0" w:evenVBand="0" w:oddHBand="0" w:evenHBand="0" w:firstRowFirstColumn="0" w:firstRowLastColumn="0" w:lastRowFirstColumn="0" w:lastRowLastColumn="0"/>
            </w:pPr>
            <w:r>
              <w:t>216 646</w:t>
            </w:r>
          </w:p>
        </w:tc>
      </w:tr>
      <w:tr w:rsidR="009C6724" w14:paraId="3FACCF3B" w14:textId="77777777" w:rsidTr="009C6724">
        <w:tc>
          <w:tcPr>
            <w:cnfStyle w:val="001000000000" w:firstRow="0" w:lastRow="0" w:firstColumn="1" w:lastColumn="0" w:oddVBand="0" w:evenVBand="0" w:oddHBand="0" w:evenHBand="0" w:firstRowFirstColumn="0" w:firstRowLastColumn="0" w:lastRowFirstColumn="0" w:lastRowLastColumn="0"/>
            <w:tcW w:w="3173" w:type="dxa"/>
          </w:tcPr>
          <w:p w14:paraId="313B69B6" w14:textId="77777777" w:rsidR="00AB205D" w:rsidRDefault="00471A3B">
            <w:r>
              <w:t>Employee benefits</w:t>
            </w:r>
          </w:p>
        </w:tc>
        <w:tc>
          <w:tcPr>
            <w:tcW w:w="567" w:type="dxa"/>
          </w:tcPr>
          <w:p w14:paraId="4F53428F" w14:textId="77777777" w:rsidR="00AB205D" w:rsidRDefault="00471A3B" w:rsidP="00117A92">
            <w:pPr>
              <w:jc w:val="center"/>
              <w:cnfStyle w:val="000000000000" w:firstRow="0" w:lastRow="0" w:firstColumn="0" w:lastColumn="0" w:oddVBand="0" w:evenVBand="0" w:oddHBand="0" w:evenHBand="0" w:firstRowFirstColumn="0" w:firstRowLastColumn="0" w:lastRowFirstColumn="0" w:lastRowLastColumn="0"/>
            </w:pPr>
            <w:r>
              <w:t>4.3.1</w:t>
            </w:r>
          </w:p>
        </w:tc>
        <w:tc>
          <w:tcPr>
            <w:tcW w:w="794" w:type="dxa"/>
          </w:tcPr>
          <w:p w14:paraId="482D40D0" w14:textId="77777777" w:rsidR="00AB205D" w:rsidRDefault="00471A3B">
            <w:pPr>
              <w:cnfStyle w:val="000000000000" w:firstRow="0" w:lastRow="0" w:firstColumn="0" w:lastColumn="0" w:oddVBand="0" w:evenVBand="0" w:oddHBand="0" w:evenHBand="0" w:firstRowFirstColumn="0" w:firstRowLastColumn="0" w:lastRowFirstColumn="0" w:lastRowLastColumn="0"/>
            </w:pPr>
            <w:r>
              <w:t>10 583</w:t>
            </w:r>
          </w:p>
        </w:tc>
        <w:tc>
          <w:tcPr>
            <w:tcW w:w="794" w:type="dxa"/>
          </w:tcPr>
          <w:p w14:paraId="0B1C55BD" w14:textId="77777777" w:rsidR="00AB205D" w:rsidRDefault="00471A3B">
            <w:pPr>
              <w:cnfStyle w:val="000000000000" w:firstRow="0" w:lastRow="0" w:firstColumn="0" w:lastColumn="0" w:oddVBand="0" w:evenVBand="0" w:oddHBand="0" w:evenHBand="0" w:firstRowFirstColumn="0" w:firstRowLastColumn="0" w:lastRowFirstColumn="0" w:lastRowLastColumn="0"/>
            </w:pPr>
            <w:r>
              <w:t>10 584</w:t>
            </w:r>
          </w:p>
        </w:tc>
        <w:tc>
          <w:tcPr>
            <w:tcW w:w="794" w:type="dxa"/>
          </w:tcPr>
          <w:p w14:paraId="5911F5E5" w14:textId="77777777" w:rsidR="00AB205D" w:rsidRDefault="00471A3B">
            <w:pPr>
              <w:cnfStyle w:val="000000000000" w:firstRow="0" w:lastRow="0" w:firstColumn="0" w:lastColumn="0" w:oddVBand="0" w:evenVBand="0" w:oddHBand="0" w:evenHBand="0" w:firstRowFirstColumn="0" w:firstRowLastColumn="0" w:lastRowFirstColumn="0" w:lastRowLastColumn="0"/>
            </w:pPr>
            <w:r>
              <w:t>10 928</w:t>
            </w:r>
          </w:p>
        </w:tc>
        <w:tc>
          <w:tcPr>
            <w:tcW w:w="794" w:type="dxa"/>
          </w:tcPr>
          <w:p w14:paraId="211341E9" w14:textId="77777777" w:rsidR="00AB205D" w:rsidRDefault="00471A3B">
            <w:pPr>
              <w:cnfStyle w:val="000000000000" w:firstRow="0" w:lastRow="0" w:firstColumn="0" w:lastColumn="0" w:oddVBand="0" w:evenVBand="0" w:oddHBand="0" w:evenHBand="0" w:firstRowFirstColumn="0" w:firstRowLastColumn="0" w:lastRowFirstColumn="0" w:lastRowLastColumn="0"/>
            </w:pPr>
            <w:r>
              <w:t>11 274</w:t>
            </w:r>
          </w:p>
        </w:tc>
        <w:tc>
          <w:tcPr>
            <w:tcW w:w="794" w:type="dxa"/>
          </w:tcPr>
          <w:p w14:paraId="7AD45AD0" w14:textId="77777777" w:rsidR="00AB205D" w:rsidRDefault="00471A3B">
            <w:pPr>
              <w:cnfStyle w:val="000000000000" w:firstRow="0" w:lastRow="0" w:firstColumn="0" w:lastColumn="0" w:oddVBand="0" w:evenVBand="0" w:oddHBand="0" w:evenHBand="0" w:firstRowFirstColumn="0" w:firstRowLastColumn="0" w:lastRowFirstColumn="0" w:lastRowLastColumn="0"/>
            </w:pPr>
            <w:r>
              <w:t>11 622</w:t>
            </w:r>
          </w:p>
        </w:tc>
      </w:tr>
      <w:tr w:rsidR="009C6724" w14:paraId="7EAD24D5" w14:textId="77777777" w:rsidTr="009C6724">
        <w:tc>
          <w:tcPr>
            <w:cnfStyle w:val="001000000000" w:firstRow="0" w:lastRow="0" w:firstColumn="1" w:lastColumn="0" w:oddVBand="0" w:evenVBand="0" w:oddHBand="0" w:evenHBand="0" w:firstRowFirstColumn="0" w:firstRowLastColumn="0" w:lastRowFirstColumn="0" w:lastRowLastColumn="0"/>
            <w:tcW w:w="3173" w:type="dxa"/>
          </w:tcPr>
          <w:p w14:paraId="6396D30A" w14:textId="77777777" w:rsidR="00AB205D" w:rsidRDefault="00471A3B">
            <w:r>
              <w:t>Superannuation</w:t>
            </w:r>
          </w:p>
        </w:tc>
        <w:tc>
          <w:tcPr>
            <w:tcW w:w="567" w:type="dxa"/>
          </w:tcPr>
          <w:p w14:paraId="2C2B00D9" w14:textId="77777777" w:rsidR="00AB205D" w:rsidRDefault="00471A3B" w:rsidP="00117A92">
            <w:pPr>
              <w:jc w:val="center"/>
              <w:cnfStyle w:val="000000000000" w:firstRow="0" w:lastRow="0" w:firstColumn="0" w:lastColumn="0" w:oddVBand="0" w:evenVBand="0" w:oddHBand="0" w:evenHBand="0" w:firstRowFirstColumn="0" w:firstRowLastColumn="0" w:lastRowFirstColumn="0" w:lastRowLastColumn="0"/>
            </w:pPr>
            <w:r>
              <w:t>4.6.3</w:t>
            </w:r>
          </w:p>
        </w:tc>
        <w:tc>
          <w:tcPr>
            <w:tcW w:w="794" w:type="dxa"/>
          </w:tcPr>
          <w:p w14:paraId="08CC52FC" w14:textId="77777777" w:rsidR="00AB205D" w:rsidRDefault="00471A3B">
            <w:pPr>
              <w:cnfStyle w:val="000000000000" w:firstRow="0" w:lastRow="0" w:firstColumn="0" w:lastColumn="0" w:oddVBand="0" w:evenVBand="0" w:oddHBand="0" w:evenHBand="0" w:firstRowFirstColumn="0" w:firstRowLastColumn="0" w:lastRowFirstColumn="0" w:lastRowLastColumn="0"/>
            </w:pPr>
            <w:r>
              <w:t>19 009</w:t>
            </w:r>
          </w:p>
        </w:tc>
        <w:tc>
          <w:tcPr>
            <w:tcW w:w="794" w:type="dxa"/>
          </w:tcPr>
          <w:p w14:paraId="21985255" w14:textId="77777777" w:rsidR="00AB205D" w:rsidRDefault="00471A3B">
            <w:pPr>
              <w:cnfStyle w:val="000000000000" w:firstRow="0" w:lastRow="0" w:firstColumn="0" w:lastColumn="0" w:oddVBand="0" w:evenVBand="0" w:oddHBand="0" w:evenHBand="0" w:firstRowFirstColumn="0" w:firstRowLastColumn="0" w:lastRowFirstColumn="0" w:lastRowLastColumn="0"/>
            </w:pPr>
            <w:r>
              <w:t>17 196</w:t>
            </w:r>
          </w:p>
        </w:tc>
        <w:tc>
          <w:tcPr>
            <w:tcW w:w="794" w:type="dxa"/>
          </w:tcPr>
          <w:p w14:paraId="6B9B56FA" w14:textId="77777777" w:rsidR="00AB205D" w:rsidRDefault="00471A3B">
            <w:pPr>
              <w:cnfStyle w:val="000000000000" w:firstRow="0" w:lastRow="0" w:firstColumn="0" w:lastColumn="0" w:oddVBand="0" w:evenVBand="0" w:oddHBand="0" w:evenHBand="0" w:firstRowFirstColumn="0" w:firstRowLastColumn="0" w:lastRowFirstColumn="0" w:lastRowLastColumn="0"/>
            </w:pPr>
            <w:r>
              <w:t>17 282</w:t>
            </w:r>
          </w:p>
        </w:tc>
        <w:tc>
          <w:tcPr>
            <w:tcW w:w="794" w:type="dxa"/>
          </w:tcPr>
          <w:p w14:paraId="41649554" w14:textId="77777777" w:rsidR="00AB205D" w:rsidRDefault="00471A3B">
            <w:pPr>
              <w:cnfStyle w:val="000000000000" w:firstRow="0" w:lastRow="0" w:firstColumn="0" w:lastColumn="0" w:oddVBand="0" w:evenVBand="0" w:oddHBand="0" w:evenHBand="0" w:firstRowFirstColumn="0" w:firstRowLastColumn="0" w:lastRowFirstColumn="0" w:lastRowLastColumn="0"/>
            </w:pPr>
            <w:r>
              <w:t>17 584</w:t>
            </w:r>
          </w:p>
        </w:tc>
        <w:tc>
          <w:tcPr>
            <w:tcW w:w="794" w:type="dxa"/>
          </w:tcPr>
          <w:p w14:paraId="4AC18F8E" w14:textId="77777777" w:rsidR="00AB205D" w:rsidRDefault="00471A3B">
            <w:pPr>
              <w:cnfStyle w:val="000000000000" w:firstRow="0" w:lastRow="0" w:firstColumn="0" w:lastColumn="0" w:oddVBand="0" w:evenVBand="0" w:oddHBand="0" w:evenHBand="0" w:firstRowFirstColumn="0" w:firstRowLastColumn="0" w:lastRowFirstColumn="0" w:lastRowLastColumn="0"/>
            </w:pPr>
            <w:r>
              <w:t>17 668</w:t>
            </w:r>
          </w:p>
        </w:tc>
      </w:tr>
      <w:tr w:rsidR="009C6724" w14:paraId="4192EADB" w14:textId="77777777" w:rsidTr="009C6724">
        <w:tc>
          <w:tcPr>
            <w:cnfStyle w:val="001000000000" w:firstRow="0" w:lastRow="0" w:firstColumn="1" w:lastColumn="0" w:oddVBand="0" w:evenVBand="0" w:oddHBand="0" w:evenHBand="0" w:firstRowFirstColumn="0" w:firstRowLastColumn="0" w:lastRowFirstColumn="0" w:lastRowLastColumn="0"/>
            <w:tcW w:w="3173" w:type="dxa"/>
            <w:tcBorders>
              <w:bottom w:val="single" w:sz="6" w:space="0" w:color="auto"/>
            </w:tcBorders>
          </w:tcPr>
          <w:p w14:paraId="536AEEF2" w14:textId="77777777" w:rsidR="00AB205D" w:rsidRDefault="00471A3B">
            <w:r>
              <w:t>Other provisions</w:t>
            </w:r>
          </w:p>
        </w:tc>
        <w:tc>
          <w:tcPr>
            <w:tcW w:w="567" w:type="dxa"/>
            <w:tcBorders>
              <w:bottom w:val="single" w:sz="6" w:space="0" w:color="auto"/>
            </w:tcBorders>
          </w:tcPr>
          <w:p w14:paraId="485DA596" w14:textId="77777777" w:rsidR="00AB205D" w:rsidRDefault="00AB205D" w:rsidP="00117A92">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bottom w:val="single" w:sz="6" w:space="0" w:color="auto"/>
            </w:tcBorders>
          </w:tcPr>
          <w:p w14:paraId="4BA64601" w14:textId="77777777" w:rsidR="00AB205D" w:rsidRDefault="00471A3B">
            <w:pPr>
              <w:cnfStyle w:val="000000000000" w:firstRow="0" w:lastRow="0" w:firstColumn="0" w:lastColumn="0" w:oddVBand="0" w:evenVBand="0" w:oddHBand="0" w:evenHBand="0" w:firstRowFirstColumn="0" w:firstRowLastColumn="0" w:lastRowFirstColumn="0" w:lastRowLastColumn="0"/>
            </w:pPr>
            <w:r>
              <w:t>2 979</w:t>
            </w:r>
          </w:p>
        </w:tc>
        <w:tc>
          <w:tcPr>
            <w:tcW w:w="794" w:type="dxa"/>
            <w:tcBorders>
              <w:bottom w:val="single" w:sz="6" w:space="0" w:color="auto"/>
            </w:tcBorders>
          </w:tcPr>
          <w:p w14:paraId="44D87E63" w14:textId="77777777" w:rsidR="00AB205D" w:rsidRDefault="00471A3B">
            <w:pPr>
              <w:cnfStyle w:val="000000000000" w:firstRow="0" w:lastRow="0" w:firstColumn="0" w:lastColumn="0" w:oddVBand="0" w:evenVBand="0" w:oddHBand="0" w:evenHBand="0" w:firstRowFirstColumn="0" w:firstRowLastColumn="0" w:lastRowFirstColumn="0" w:lastRowLastColumn="0"/>
            </w:pPr>
            <w:r>
              <w:t>2 816</w:t>
            </w:r>
          </w:p>
        </w:tc>
        <w:tc>
          <w:tcPr>
            <w:tcW w:w="794" w:type="dxa"/>
            <w:tcBorders>
              <w:bottom w:val="single" w:sz="6" w:space="0" w:color="auto"/>
            </w:tcBorders>
          </w:tcPr>
          <w:p w14:paraId="407576A1" w14:textId="77777777" w:rsidR="00AB205D" w:rsidRDefault="00471A3B">
            <w:pPr>
              <w:cnfStyle w:val="000000000000" w:firstRow="0" w:lastRow="0" w:firstColumn="0" w:lastColumn="0" w:oddVBand="0" w:evenVBand="0" w:oddHBand="0" w:evenHBand="0" w:firstRowFirstColumn="0" w:firstRowLastColumn="0" w:lastRowFirstColumn="0" w:lastRowLastColumn="0"/>
            </w:pPr>
            <w:r>
              <w:t>2 580</w:t>
            </w:r>
          </w:p>
        </w:tc>
        <w:tc>
          <w:tcPr>
            <w:tcW w:w="794" w:type="dxa"/>
            <w:tcBorders>
              <w:bottom w:val="single" w:sz="6" w:space="0" w:color="auto"/>
            </w:tcBorders>
          </w:tcPr>
          <w:p w14:paraId="7554D015" w14:textId="77777777" w:rsidR="00AB205D" w:rsidRDefault="00471A3B">
            <w:pPr>
              <w:cnfStyle w:val="000000000000" w:firstRow="0" w:lastRow="0" w:firstColumn="0" w:lastColumn="0" w:oddVBand="0" w:evenVBand="0" w:oddHBand="0" w:evenHBand="0" w:firstRowFirstColumn="0" w:firstRowLastColumn="0" w:lastRowFirstColumn="0" w:lastRowLastColumn="0"/>
            </w:pPr>
            <w:r>
              <w:t>2 705</w:t>
            </w:r>
          </w:p>
        </w:tc>
        <w:tc>
          <w:tcPr>
            <w:tcW w:w="794" w:type="dxa"/>
            <w:tcBorders>
              <w:bottom w:val="single" w:sz="6" w:space="0" w:color="auto"/>
            </w:tcBorders>
          </w:tcPr>
          <w:p w14:paraId="51BFAE6A" w14:textId="77777777" w:rsidR="00AB205D" w:rsidRDefault="00471A3B">
            <w:pPr>
              <w:cnfStyle w:val="000000000000" w:firstRow="0" w:lastRow="0" w:firstColumn="0" w:lastColumn="0" w:oddVBand="0" w:evenVBand="0" w:oddHBand="0" w:evenHBand="0" w:firstRowFirstColumn="0" w:firstRowLastColumn="0" w:lastRowFirstColumn="0" w:lastRowLastColumn="0"/>
            </w:pPr>
            <w:r>
              <w:t>2 839</w:t>
            </w:r>
          </w:p>
        </w:tc>
      </w:tr>
      <w:tr w:rsidR="009C6724" w14:paraId="2D5090CC" w14:textId="77777777" w:rsidTr="009C672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bottom w:val="single" w:sz="6" w:space="0" w:color="auto"/>
            </w:tcBorders>
          </w:tcPr>
          <w:p w14:paraId="3C489EF0" w14:textId="77777777" w:rsidR="00AB205D" w:rsidRDefault="00471A3B">
            <w:r>
              <w:rPr>
                <w:b/>
              </w:rPr>
              <w:t>Total liabilities</w:t>
            </w:r>
          </w:p>
        </w:tc>
        <w:tc>
          <w:tcPr>
            <w:tcW w:w="567" w:type="dxa"/>
            <w:tcBorders>
              <w:top w:val="single" w:sz="6" w:space="0" w:color="auto"/>
              <w:bottom w:val="single" w:sz="6" w:space="0" w:color="auto"/>
            </w:tcBorders>
          </w:tcPr>
          <w:p w14:paraId="49062CB0" w14:textId="77777777" w:rsidR="00AB205D" w:rsidRDefault="00AB205D" w:rsidP="00117A92">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bottom w:val="single" w:sz="6" w:space="0" w:color="auto"/>
            </w:tcBorders>
          </w:tcPr>
          <w:p w14:paraId="0CED2B1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227 235</w:t>
            </w:r>
          </w:p>
        </w:tc>
        <w:tc>
          <w:tcPr>
            <w:tcW w:w="794" w:type="dxa"/>
            <w:tcBorders>
              <w:top w:val="single" w:sz="6" w:space="0" w:color="auto"/>
              <w:bottom w:val="single" w:sz="6" w:space="0" w:color="auto"/>
            </w:tcBorders>
          </w:tcPr>
          <w:p w14:paraId="0199D77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226 311</w:t>
            </w:r>
          </w:p>
        </w:tc>
        <w:tc>
          <w:tcPr>
            <w:tcW w:w="794" w:type="dxa"/>
            <w:tcBorders>
              <w:top w:val="single" w:sz="6" w:space="0" w:color="auto"/>
              <w:bottom w:val="single" w:sz="6" w:space="0" w:color="auto"/>
            </w:tcBorders>
          </w:tcPr>
          <w:p w14:paraId="05EB8AC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245 830</w:t>
            </w:r>
          </w:p>
        </w:tc>
        <w:tc>
          <w:tcPr>
            <w:tcW w:w="794" w:type="dxa"/>
            <w:tcBorders>
              <w:top w:val="single" w:sz="6" w:space="0" w:color="auto"/>
              <w:bottom w:val="single" w:sz="6" w:space="0" w:color="auto"/>
            </w:tcBorders>
          </w:tcPr>
          <w:p w14:paraId="3836F37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261 835</w:t>
            </w:r>
          </w:p>
        </w:tc>
        <w:tc>
          <w:tcPr>
            <w:tcW w:w="794" w:type="dxa"/>
            <w:tcBorders>
              <w:top w:val="single" w:sz="6" w:space="0" w:color="auto"/>
              <w:bottom w:val="single" w:sz="6" w:space="0" w:color="auto"/>
            </w:tcBorders>
          </w:tcPr>
          <w:p w14:paraId="2F2804E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276 139</w:t>
            </w:r>
          </w:p>
        </w:tc>
      </w:tr>
      <w:tr w:rsidR="009C6724" w14:paraId="20C2FADF" w14:textId="77777777" w:rsidTr="009C672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bottom w:val="single" w:sz="12" w:space="0" w:color="auto"/>
            </w:tcBorders>
          </w:tcPr>
          <w:p w14:paraId="06CFA027" w14:textId="77777777" w:rsidR="00AB205D" w:rsidRDefault="00471A3B">
            <w:r>
              <w:rPr>
                <w:b/>
              </w:rPr>
              <w:t>Net assets</w:t>
            </w:r>
          </w:p>
        </w:tc>
        <w:tc>
          <w:tcPr>
            <w:tcW w:w="567" w:type="dxa"/>
            <w:tcBorders>
              <w:top w:val="single" w:sz="6" w:space="0" w:color="auto"/>
              <w:bottom w:val="single" w:sz="12" w:space="0" w:color="auto"/>
            </w:tcBorders>
          </w:tcPr>
          <w:p w14:paraId="663FBAED" w14:textId="77777777" w:rsidR="00AB205D" w:rsidRDefault="00AB205D" w:rsidP="00117A92">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bottom w:val="single" w:sz="12" w:space="0" w:color="auto"/>
            </w:tcBorders>
          </w:tcPr>
          <w:p w14:paraId="35F3103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177 965</w:t>
            </w:r>
          </w:p>
        </w:tc>
        <w:tc>
          <w:tcPr>
            <w:tcW w:w="794" w:type="dxa"/>
            <w:tcBorders>
              <w:top w:val="single" w:sz="6" w:space="0" w:color="auto"/>
              <w:bottom w:val="single" w:sz="12" w:space="0" w:color="auto"/>
            </w:tcBorders>
          </w:tcPr>
          <w:p w14:paraId="48C2841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181 843</w:t>
            </w:r>
          </w:p>
        </w:tc>
        <w:tc>
          <w:tcPr>
            <w:tcW w:w="794" w:type="dxa"/>
            <w:tcBorders>
              <w:top w:val="single" w:sz="6" w:space="0" w:color="auto"/>
              <w:bottom w:val="single" w:sz="12" w:space="0" w:color="auto"/>
            </w:tcBorders>
          </w:tcPr>
          <w:p w14:paraId="6953672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192 314</w:t>
            </w:r>
          </w:p>
        </w:tc>
        <w:tc>
          <w:tcPr>
            <w:tcW w:w="794" w:type="dxa"/>
            <w:tcBorders>
              <w:top w:val="single" w:sz="6" w:space="0" w:color="auto"/>
              <w:bottom w:val="single" w:sz="12" w:space="0" w:color="auto"/>
            </w:tcBorders>
          </w:tcPr>
          <w:p w14:paraId="3FAA72A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179 854</w:t>
            </w:r>
          </w:p>
        </w:tc>
        <w:tc>
          <w:tcPr>
            <w:tcW w:w="794" w:type="dxa"/>
            <w:tcBorders>
              <w:top w:val="single" w:sz="6" w:space="0" w:color="auto"/>
              <w:bottom w:val="single" w:sz="12" w:space="0" w:color="auto"/>
            </w:tcBorders>
          </w:tcPr>
          <w:p w14:paraId="08FE59A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188 142</w:t>
            </w:r>
          </w:p>
        </w:tc>
      </w:tr>
      <w:tr w:rsidR="009C6724" w14:paraId="31C0C5A5" w14:textId="77777777" w:rsidTr="009C672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tcBorders>
          </w:tcPr>
          <w:p w14:paraId="731EF940" w14:textId="77777777" w:rsidR="00AB205D" w:rsidRDefault="00471A3B">
            <w:r>
              <w:t>Accumulated surplus/(deficit)</w:t>
            </w:r>
          </w:p>
        </w:tc>
        <w:tc>
          <w:tcPr>
            <w:tcW w:w="567" w:type="dxa"/>
            <w:tcBorders>
              <w:top w:val="single" w:sz="6" w:space="0" w:color="auto"/>
            </w:tcBorders>
          </w:tcPr>
          <w:p w14:paraId="064D0DF4" w14:textId="77777777" w:rsidR="00AB205D" w:rsidRDefault="00AB205D" w:rsidP="00117A92">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551D0D4D" w14:textId="77777777" w:rsidR="00AB205D" w:rsidRDefault="00471A3B">
            <w:pPr>
              <w:cnfStyle w:val="000000000000" w:firstRow="0" w:lastRow="0" w:firstColumn="0" w:lastColumn="0" w:oddVBand="0" w:evenVBand="0" w:oddHBand="0" w:evenHBand="0" w:firstRowFirstColumn="0" w:firstRowLastColumn="0" w:lastRowFirstColumn="0" w:lastRowLastColumn="0"/>
            </w:pPr>
            <w:r>
              <w:t>42 367</w:t>
            </w:r>
          </w:p>
        </w:tc>
        <w:tc>
          <w:tcPr>
            <w:tcW w:w="794" w:type="dxa"/>
            <w:tcBorders>
              <w:top w:val="single" w:sz="6" w:space="0" w:color="auto"/>
            </w:tcBorders>
          </w:tcPr>
          <w:p w14:paraId="56941DA3" w14:textId="77777777" w:rsidR="00AB205D" w:rsidRDefault="00471A3B">
            <w:pPr>
              <w:cnfStyle w:val="000000000000" w:firstRow="0" w:lastRow="0" w:firstColumn="0" w:lastColumn="0" w:oddVBand="0" w:evenVBand="0" w:oddHBand="0" w:evenHBand="0" w:firstRowFirstColumn="0" w:firstRowLastColumn="0" w:lastRowFirstColumn="0" w:lastRowLastColumn="0"/>
            </w:pPr>
            <w:r>
              <w:t>44 404</w:t>
            </w:r>
          </w:p>
        </w:tc>
        <w:tc>
          <w:tcPr>
            <w:tcW w:w="794" w:type="dxa"/>
            <w:tcBorders>
              <w:top w:val="single" w:sz="6" w:space="0" w:color="auto"/>
            </w:tcBorders>
          </w:tcPr>
          <w:p w14:paraId="0B41C7D1" w14:textId="77777777" w:rsidR="00AB205D" w:rsidRDefault="00471A3B">
            <w:pPr>
              <w:cnfStyle w:val="000000000000" w:firstRow="0" w:lastRow="0" w:firstColumn="0" w:lastColumn="0" w:oddVBand="0" w:evenVBand="0" w:oddHBand="0" w:evenHBand="0" w:firstRowFirstColumn="0" w:firstRowLastColumn="0" w:lastRowFirstColumn="0" w:lastRowLastColumn="0"/>
            </w:pPr>
            <w:r>
              <w:t>43 633</w:t>
            </w:r>
          </w:p>
        </w:tc>
        <w:tc>
          <w:tcPr>
            <w:tcW w:w="794" w:type="dxa"/>
            <w:tcBorders>
              <w:top w:val="single" w:sz="6" w:space="0" w:color="auto"/>
            </w:tcBorders>
          </w:tcPr>
          <w:p w14:paraId="759B48FB" w14:textId="77777777" w:rsidR="00AB205D" w:rsidRDefault="00471A3B">
            <w:pPr>
              <w:cnfStyle w:val="000000000000" w:firstRow="0" w:lastRow="0" w:firstColumn="0" w:lastColumn="0" w:oddVBand="0" w:evenVBand="0" w:oddHBand="0" w:evenHBand="0" w:firstRowFirstColumn="0" w:firstRowLastColumn="0" w:lastRowFirstColumn="0" w:lastRowLastColumn="0"/>
            </w:pPr>
            <w:r>
              <w:t>45 371</w:t>
            </w:r>
          </w:p>
        </w:tc>
        <w:tc>
          <w:tcPr>
            <w:tcW w:w="794" w:type="dxa"/>
            <w:tcBorders>
              <w:top w:val="single" w:sz="6" w:space="0" w:color="auto"/>
            </w:tcBorders>
          </w:tcPr>
          <w:p w14:paraId="614BBDE4" w14:textId="77777777" w:rsidR="00AB205D" w:rsidRDefault="00471A3B">
            <w:pPr>
              <w:cnfStyle w:val="000000000000" w:firstRow="0" w:lastRow="0" w:firstColumn="0" w:lastColumn="0" w:oddVBand="0" w:evenVBand="0" w:oddHBand="0" w:evenHBand="0" w:firstRowFirstColumn="0" w:firstRowLastColumn="0" w:lastRowFirstColumn="0" w:lastRowLastColumn="0"/>
            </w:pPr>
            <w:r>
              <w:t>46 863</w:t>
            </w:r>
          </w:p>
        </w:tc>
      </w:tr>
      <w:tr w:rsidR="009C6724" w14:paraId="54528446" w14:textId="77777777" w:rsidTr="009C6724">
        <w:tc>
          <w:tcPr>
            <w:cnfStyle w:val="001000000000" w:firstRow="0" w:lastRow="0" w:firstColumn="1" w:lastColumn="0" w:oddVBand="0" w:evenVBand="0" w:oddHBand="0" w:evenHBand="0" w:firstRowFirstColumn="0" w:firstRowLastColumn="0" w:lastRowFirstColumn="0" w:lastRowLastColumn="0"/>
            <w:tcW w:w="3173" w:type="dxa"/>
            <w:tcBorders>
              <w:bottom w:val="single" w:sz="6" w:space="0" w:color="auto"/>
            </w:tcBorders>
          </w:tcPr>
          <w:p w14:paraId="4B6B2169" w14:textId="77777777" w:rsidR="00AB205D" w:rsidRDefault="00471A3B">
            <w:r>
              <w:t>Reserves</w:t>
            </w:r>
          </w:p>
        </w:tc>
        <w:tc>
          <w:tcPr>
            <w:tcW w:w="567" w:type="dxa"/>
            <w:tcBorders>
              <w:bottom w:val="single" w:sz="6" w:space="0" w:color="auto"/>
            </w:tcBorders>
          </w:tcPr>
          <w:p w14:paraId="67ED8425" w14:textId="77777777" w:rsidR="00AB205D" w:rsidRDefault="00AB205D" w:rsidP="00117A92">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bottom w:val="single" w:sz="6" w:space="0" w:color="auto"/>
            </w:tcBorders>
          </w:tcPr>
          <w:p w14:paraId="1DF378D4" w14:textId="77777777" w:rsidR="00AB205D" w:rsidRDefault="00471A3B">
            <w:pPr>
              <w:cnfStyle w:val="000000000000" w:firstRow="0" w:lastRow="0" w:firstColumn="0" w:lastColumn="0" w:oddVBand="0" w:evenVBand="0" w:oddHBand="0" w:evenHBand="0" w:firstRowFirstColumn="0" w:firstRowLastColumn="0" w:lastRowFirstColumn="0" w:lastRowLastColumn="0"/>
            </w:pPr>
            <w:r>
              <w:t>135 598</w:t>
            </w:r>
          </w:p>
        </w:tc>
        <w:tc>
          <w:tcPr>
            <w:tcW w:w="794" w:type="dxa"/>
            <w:tcBorders>
              <w:bottom w:val="single" w:sz="6" w:space="0" w:color="auto"/>
            </w:tcBorders>
          </w:tcPr>
          <w:p w14:paraId="206F1A62" w14:textId="77777777" w:rsidR="00AB205D" w:rsidRDefault="00471A3B">
            <w:pPr>
              <w:cnfStyle w:val="000000000000" w:firstRow="0" w:lastRow="0" w:firstColumn="0" w:lastColumn="0" w:oddVBand="0" w:evenVBand="0" w:oddHBand="0" w:evenHBand="0" w:firstRowFirstColumn="0" w:firstRowLastColumn="0" w:lastRowFirstColumn="0" w:lastRowLastColumn="0"/>
            </w:pPr>
            <w:r>
              <w:t>137 440</w:t>
            </w:r>
          </w:p>
        </w:tc>
        <w:tc>
          <w:tcPr>
            <w:tcW w:w="794" w:type="dxa"/>
            <w:tcBorders>
              <w:bottom w:val="single" w:sz="6" w:space="0" w:color="auto"/>
            </w:tcBorders>
          </w:tcPr>
          <w:p w14:paraId="6153F25F" w14:textId="77777777" w:rsidR="00AB205D" w:rsidRDefault="00471A3B">
            <w:pPr>
              <w:cnfStyle w:val="000000000000" w:firstRow="0" w:lastRow="0" w:firstColumn="0" w:lastColumn="0" w:oddVBand="0" w:evenVBand="0" w:oddHBand="0" w:evenHBand="0" w:firstRowFirstColumn="0" w:firstRowLastColumn="0" w:lastRowFirstColumn="0" w:lastRowLastColumn="0"/>
            </w:pPr>
            <w:r>
              <w:t>148 682</w:t>
            </w:r>
          </w:p>
        </w:tc>
        <w:tc>
          <w:tcPr>
            <w:tcW w:w="794" w:type="dxa"/>
            <w:tcBorders>
              <w:bottom w:val="single" w:sz="6" w:space="0" w:color="auto"/>
            </w:tcBorders>
          </w:tcPr>
          <w:p w14:paraId="6C861F5E" w14:textId="77777777" w:rsidR="00AB205D" w:rsidRDefault="00471A3B">
            <w:pPr>
              <w:cnfStyle w:val="000000000000" w:firstRow="0" w:lastRow="0" w:firstColumn="0" w:lastColumn="0" w:oddVBand="0" w:evenVBand="0" w:oddHBand="0" w:evenHBand="0" w:firstRowFirstColumn="0" w:firstRowLastColumn="0" w:lastRowFirstColumn="0" w:lastRowLastColumn="0"/>
            </w:pPr>
            <w:r>
              <w:t>134 483</w:t>
            </w:r>
          </w:p>
        </w:tc>
        <w:tc>
          <w:tcPr>
            <w:tcW w:w="794" w:type="dxa"/>
            <w:tcBorders>
              <w:bottom w:val="single" w:sz="6" w:space="0" w:color="auto"/>
            </w:tcBorders>
          </w:tcPr>
          <w:p w14:paraId="706E58D3" w14:textId="77777777" w:rsidR="00AB205D" w:rsidRDefault="00471A3B">
            <w:pPr>
              <w:cnfStyle w:val="000000000000" w:firstRow="0" w:lastRow="0" w:firstColumn="0" w:lastColumn="0" w:oddVBand="0" w:evenVBand="0" w:oddHBand="0" w:evenHBand="0" w:firstRowFirstColumn="0" w:firstRowLastColumn="0" w:lastRowFirstColumn="0" w:lastRowLastColumn="0"/>
            </w:pPr>
            <w:r>
              <w:t>141 279</w:t>
            </w:r>
          </w:p>
        </w:tc>
      </w:tr>
      <w:tr w:rsidR="009C6724" w14:paraId="5E45011A" w14:textId="77777777" w:rsidTr="009C672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bottom w:val="single" w:sz="12" w:space="0" w:color="auto"/>
            </w:tcBorders>
          </w:tcPr>
          <w:p w14:paraId="7CA94160" w14:textId="77777777" w:rsidR="00AB205D" w:rsidRDefault="00471A3B">
            <w:r>
              <w:rPr>
                <w:b/>
              </w:rPr>
              <w:t>Net worth</w:t>
            </w:r>
          </w:p>
        </w:tc>
        <w:tc>
          <w:tcPr>
            <w:tcW w:w="567" w:type="dxa"/>
            <w:tcBorders>
              <w:top w:val="single" w:sz="6" w:space="0" w:color="auto"/>
              <w:bottom w:val="single" w:sz="12" w:space="0" w:color="auto"/>
            </w:tcBorders>
          </w:tcPr>
          <w:p w14:paraId="043DF8D0" w14:textId="77777777" w:rsidR="00AB205D" w:rsidRDefault="00AB205D" w:rsidP="00117A92">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bottom w:val="single" w:sz="12" w:space="0" w:color="auto"/>
            </w:tcBorders>
          </w:tcPr>
          <w:p w14:paraId="587EFDA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177 965</w:t>
            </w:r>
          </w:p>
        </w:tc>
        <w:tc>
          <w:tcPr>
            <w:tcW w:w="794" w:type="dxa"/>
            <w:tcBorders>
              <w:top w:val="single" w:sz="6" w:space="0" w:color="auto"/>
              <w:bottom w:val="single" w:sz="12" w:space="0" w:color="auto"/>
            </w:tcBorders>
          </w:tcPr>
          <w:p w14:paraId="1AD500E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181 843</w:t>
            </w:r>
          </w:p>
        </w:tc>
        <w:tc>
          <w:tcPr>
            <w:tcW w:w="794" w:type="dxa"/>
            <w:tcBorders>
              <w:top w:val="single" w:sz="6" w:space="0" w:color="auto"/>
              <w:bottom w:val="single" w:sz="12" w:space="0" w:color="auto"/>
            </w:tcBorders>
          </w:tcPr>
          <w:p w14:paraId="78914C1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192 314</w:t>
            </w:r>
          </w:p>
        </w:tc>
        <w:tc>
          <w:tcPr>
            <w:tcW w:w="794" w:type="dxa"/>
            <w:tcBorders>
              <w:top w:val="single" w:sz="6" w:space="0" w:color="auto"/>
              <w:bottom w:val="single" w:sz="12" w:space="0" w:color="auto"/>
            </w:tcBorders>
          </w:tcPr>
          <w:p w14:paraId="792170A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179 854</w:t>
            </w:r>
          </w:p>
        </w:tc>
        <w:tc>
          <w:tcPr>
            <w:tcW w:w="794" w:type="dxa"/>
            <w:tcBorders>
              <w:top w:val="single" w:sz="6" w:space="0" w:color="auto"/>
              <w:bottom w:val="single" w:sz="12" w:space="0" w:color="auto"/>
            </w:tcBorders>
          </w:tcPr>
          <w:p w14:paraId="12EB0C5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188 142</w:t>
            </w:r>
          </w:p>
        </w:tc>
      </w:tr>
      <w:tr w:rsidR="009C6724" w14:paraId="53D70353" w14:textId="77777777" w:rsidTr="009C6724">
        <w:trPr>
          <w:trHeight w:hRule="exact" w:val="113"/>
        </w:trPr>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tcBorders>
          </w:tcPr>
          <w:p w14:paraId="184835B0" w14:textId="77777777" w:rsidR="00AB205D" w:rsidRDefault="00AB205D"/>
        </w:tc>
        <w:tc>
          <w:tcPr>
            <w:tcW w:w="567" w:type="dxa"/>
            <w:tcBorders>
              <w:top w:val="single" w:sz="6" w:space="0" w:color="auto"/>
            </w:tcBorders>
          </w:tcPr>
          <w:p w14:paraId="2540625A" w14:textId="77777777" w:rsidR="00AB205D" w:rsidRDefault="00AB205D" w:rsidP="00117A92">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209E020"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FE805C4"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4331F763"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6EEC59DE"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C408FBB"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31D442AE" w14:textId="77777777" w:rsidTr="009C6724">
        <w:tc>
          <w:tcPr>
            <w:cnfStyle w:val="001000000000" w:firstRow="0" w:lastRow="0" w:firstColumn="1" w:lastColumn="0" w:oddVBand="0" w:evenVBand="0" w:oddHBand="0" w:evenHBand="0" w:firstRowFirstColumn="0" w:firstRowLastColumn="0" w:lastRowFirstColumn="0" w:lastRowLastColumn="0"/>
            <w:tcW w:w="3173" w:type="dxa"/>
          </w:tcPr>
          <w:p w14:paraId="7AA773DF" w14:textId="77777777" w:rsidR="00AB205D" w:rsidRDefault="00471A3B">
            <w:r>
              <w:rPr>
                <w:b/>
              </w:rPr>
              <w:t>FISCAL AGGREGATES</w:t>
            </w:r>
            <w:r>
              <w:rPr>
                <w:b/>
                <w:vertAlign w:val="superscript"/>
              </w:rPr>
              <w:t xml:space="preserve"> (b)</w:t>
            </w:r>
          </w:p>
        </w:tc>
        <w:tc>
          <w:tcPr>
            <w:tcW w:w="567" w:type="dxa"/>
          </w:tcPr>
          <w:p w14:paraId="0515215C" w14:textId="77777777" w:rsidR="00AB205D" w:rsidRDefault="00AB205D" w:rsidP="00117A92">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16AD76E7"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17B74367"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6CA184D5"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B71C4FC"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269EB6B7"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137460EB" w14:textId="77777777" w:rsidTr="009C6724">
        <w:tc>
          <w:tcPr>
            <w:cnfStyle w:val="001000000000" w:firstRow="0" w:lastRow="0" w:firstColumn="1" w:lastColumn="0" w:oddVBand="0" w:evenVBand="0" w:oddHBand="0" w:evenHBand="0" w:firstRowFirstColumn="0" w:firstRowLastColumn="0" w:lastRowFirstColumn="0" w:lastRowLastColumn="0"/>
            <w:tcW w:w="3173" w:type="dxa"/>
          </w:tcPr>
          <w:p w14:paraId="370EC987" w14:textId="77777777" w:rsidR="00AB205D" w:rsidRDefault="00471A3B">
            <w:r>
              <w:t>Net financial worth</w:t>
            </w:r>
          </w:p>
        </w:tc>
        <w:tc>
          <w:tcPr>
            <w:tcW w:w="567" w:type="dxa"/>
          </w:tcPr>
          <w:p w14:paraId="4D562259" w14:textId="77777777" w:rsidR="00AB205D" w:rsidRDefault="00AB205D" w:rsidP="00117A92">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7C709628" w14:textId="77777777" w:rsidR="00AB205D" w:rsidRDefault="00471A3B">
            <w:pPr>
              <w:cnfStyle w:val="000000000000" w:firstRow="0" w:lastRow="0" w:firstColumn="0" w:lastColumn="0" w:oddVBand="0" w:evenVBand="0" w:oddHBand="0" w:evenHBand="0" w:firstRowFirstColumn="0" w:firstRowLastColumn="0" w:lastRowFirstColumn="0" w:lastRowLastColumn="0"/>
            </w:pPr>
            <w:r>
              <w:t>(86 590)</w:t>
            </w:r>
          </w:p>
        </w:tc>
        <w:tc>
          <w:tcPr>
            <w:tcW w:w="794" w:type="dxa"/>
          </w:tcPr>
          <w:p w14:paraId="063D76F8" w14:textId="77777777" w:rsidR="00AB205D" w:rsidRDefault="00471A3B">
            <w:pPr>
              <w:cnfStyle w:val="000000000000" w:firstRow="0" w:lastRow="0" w:firstColumn="0" w:lastColumn="0" w:oddVBand="0" w:evenVBand="0" w:oddHBand="0" w:evenHBand="0" w:firstRowFirstColumn="0" w:firstRowLastColumn="0" w:lastRowFirstColumn="0" w:lastRowLastColumn="0"/>
            </w:pPr>
            <w:r>
              <w:t>(85 415)</w:t>
            </w:r>
          </w:p>
        </w:tc>
        <w:tc>
          <w:tcPr>
            <w:tcW w:w="794" w:type="dxa"/>
          </w:tcPr>
          <w:p w14:paraId="7F09B413" w14:textId="77777777" w:rsidR="00AB205D" w:rsidRDefault="00471A3B">
            <w:pPr>
              <w:cnfStyle w:val="000000000000" w:firstRow="0" w:lastRow="0" w:firstColumn="0" w:lastColumn="0" w:oddVBand="0" w:evenVBand="0" w:oddHBand="0" w:evenHBand="0" w:firstRowFirstColumn="0" w:firstRowLastColumn="0" w:lastRowFirstColumn="0" w:lastRowLastColumn="0"/>
            </w:pPr>
            <w:r>
              <w:t>(98 685)</w:t>
            </w:r>
          </w:p>
        </w:tc>
        <w:tc>
          <w:tcPr>
            <w:tcW w:w="794" w:type="dxa"/>
          </w:tcPr>
          <w:p w14:paraId="324E2EA5" w14:textId="77777777" w:rsidR="00AB205D" w:rsidRDefault="00471A3B">
            <w:pPr>
              <w:cnfStyle w:val="000000000000" w:firstRow="0" w:lastRow="0" w:firstColumn="0" w:lastColumn="0" w:oddVBand="0" w:evenVBand="0" w:oddHBand="0" w:evenHBand="0" w:firstRowFirstColumn="0" w:firstRowLastColumn="0" w:lastRowFirstColumn="0" w:lastRowLastColumn="0"/>
            </w:pPr>
            <w:r>
              <w:t>(104 300)</w:t>
            </w:r>
          </w:p>
        </w:tc>
        <w:tc>
          <w:tcPr>
            <w:tcW w:w="794" w:type="dxa"/>
          </w:tcPr>
          <w:p w14:paraId="7C603F96" w14:textId="77777777" w:rsidR="00AB205D" w:rsidRDefault="00471A3B">
            <w:pPr>
              <w:cnfStyle w:val="000000000000" w:firstRow="0" w:lastRow="0" w:firstColumn="0" w:lastColumn="0" w:oddVBand="0" w:evenVBand="0" w:oddHBand="0" w:evenHBand="0" w:firstRowFirstColumn="0" w:firstRowLastColumn="0" w:lastRowFirstColumn="0" w:lastRowLastColumn="0"/>
            </w:pPr>
            <w:r>
              <w:t>(111 633)</w:t>
            </w:r>
          </w:p>
        </w:tc>
      </w:tr>
      <w:tr w:rsidR="009C6724" w14:paraId="3F5131B4" w14:textId="77777777" w:rsidTr="009C6724">
        <w:tc>
          <w:tcPr>
            <w:cnfStyle w:val="001000000000" w:firstRow="0" w:lastRow="0" w:firstColumn="1" w:lastColumn="0" w:oddVBand="0" w:evenVBand="0" w:oddHBand="0" w:evenHBand="0" w:firstRowFirstColumn="0" w:firstRowLastColumn="0" w:lastRowFirstColumn="0" w:lastRowLastColumn="0"/>
            <w:tcW w:w="3173" w:type="dxa"/>
          </w:tcPr>
          <w:p w14:paraId="72B6E1EC" w14:textId="77777777" w:rsidR="00AB205D" w:rsidRDefault="00471A3B">
            <w:r>
              <w:t>Net financial liabilities</w:t>
            </w:r>
          </w:p>
        </w:tc>
        <w:tc>
          <w:tcPr>
            <w:tcW w:w="567" w:type="dxa"/>
          </w:tcPr>
          <w:p w14:paraId="6D0610AB" w14:textId="77777777" w:rsidR="00AB205D" w:rsidRDefault="00AB205D" w:rsidP="00117A92">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1CBA6CBB" w14:textId="77777777" w:rsidR="00AB205D" w:rsidRDefault="00471A3B">
            <w:pPr>
              <w:cnfStyle w:val="000000000000" w:firstRow="0" w:lastRow="0" w:firstColumn="0" w:lastColumn="0" w:oddVBand="0" w:evenVBand="0" w:oddHBand="0" w:evenHBand="0" w:firstRowFirstColumn="0" w:firstRowLastColumn="0" w:lastRowFirstColumn="0" w:lastRowLastColumn="0"/>
            </w:pPr>
            <w:r>
              <w:t>183 980</w:t>
            </w:r>
          </w:p>
        </w:tc>
        <w:tc>
          <w:tcPr>
            <w:tcW w:w="794" w:type="dxa"/>
          </w:tcPr>
          <w:p w14:paraId="36E9F81C" w14:textId="77777777" w:rsidR="00AB205D" w:rsidRDefault="00471A3B">
            <w:pPr>
              <w:cnfStyle w:val="000000000000" w:firstRow="0" w:lastRow="0" w:firstColumn="0" w:lastColumn="0" w:oddVBand="0" w:evenVBand="0" w:oddHBand="0" w:evenHBand="0" w:firstRowFirstColumn="0" w:firstRowLastColumn="0" w:lastRowFirstColumn="0" w:lastRowLastColumn="0"/>
            </w:pPr>
            <w:r>
              <w:t>183 426</w:t>
            </w:r>
          </w:p>
        </w:tc>
        <w:tc>
          <w:tcPr>
            <w:tcW w:w="794" w:type="dxa"/>
          </w:tcPr>
          <w:p w14:paraId="48E00A29" w14:textId="77777777" w:rsidR="00AB205D" w:rsidRDefault="00471A3B">
            <w:pPr>
              <w:cnfStyle w:val="000000000000" w:firstRow="0" w:lastRow="0" w:firstColumn="0" w:lastColumn="0" w:oddVBand="0" w:evenVBand="0" w:oddHBand="0" w:evenHBand="0" w:firstRowFirstColumn="0" w:firstRowLastColumn="0" w:lastRowFirstColumn="0" w:lastRowLastColumn="0"/>
            </w:pPr>
            <w:r>
              <w:t>200 115</w:t>
            </w:r>
          </w:p>
        </w:tc>
        <w:tc>
          <w:tcPr>
            <w:tcW w:w="794" w:type="dxa"/>
          </w:tcPr>
          <w:p w14:paraId="55F2A561" w14:textId="77777777" w:rsidR="00AB205D" w:rsidRDefault="00471A3B">
            <w:pPr>
              <w:cnfStyle w:val="000000000000" w:firstRow="0" w:lastRow="0" w:firstColumn="0" w:lastColumn="0" w:oddVBand="0" w:evenVBand="0" w:oddHBand="0" w:evenHBand="0" w:firstRowFirstColumn="0" w:firstRowLastColumn="0" w:lastRowFirstColumn="0" w:lastRowLastColumn="0"/>
            </w:pPr>
            <w:r>
              <w:t>212 954</w:t>
            </w:r>
          </w:p>
        </w:tc>
        <w:tc>
          <w:tcPr>
            <w:tcW w:w="794" w:type="dxa"/>
          </w:tcPr>
          <w:p w14:paraId="58BF55F3" w14:textId="77777777" w:rsidR="00AB205D" w:rsidRDefault="00471A3B">
            <w:pPr>
              <w:cnfStyle w:val="000000000000" w:firstRow="0" w:lastRow="0" w:firstColumn="0" w:lastColumn="0" w:oddVBand="0" w:evenVBand="0" w:oddHBand="0" w:evenHBand="0" w:firstRowFirstColumn="0" w:firstRowLastColumn="0" w:lastRowFirstColumn="0" w:lastRowLastColumn="0"/>
            </w:pPr>
            <w:r>
              <w:t>223 759</w:t>
            </w:r>
          </w:p>
        </w:tc>
      </w:tr>
      <w:tr w:rsidR="009C6724" w14:paraId="3DCC1A33" w14:textId="77777777" w:rsidTr="009C6724">
        <w:tc>
          <w:tcPr>
            <w:cnfStyle w:val="001000000000" w:firstRow="0" w:lastRow="0" w:firstColumn="1" w:lastColumn="0" w:oddVBand="0" w:evenVBand="0" w:oddHBand="0" w:evenHBand="0" w:firstRowFirstColumn="0" w:firstRowLastColumn="0" w:lastRowFirstColumn="0" w:lastRowLastColumn="0"/>
            <w:tcW w:w="3173" w:type="dxa"/>
            <w:tcBorders>
              <w:bottom w:val="single" w:sz="12" w:space="0" w:color="auto"/>
            </w:tcBorders>
          </w:tcPr>
          <w:p w14:paraId="28ECABD8" w14:textId="77777777" w:rsidR="00AB205D" w:rsidRDefault="00471A3B">
            <w:r>
              <w:t>Net debt</w:t>
            </w:r>
          </w:p>
        </w:tc>
        <w:tc>
          <w:tcPr>
            <w:tcW w:w="567" w:type="dxa"/>
            <w:tcBorders>
              <w:bottom w:val="single" w:sz="12" w:space="0" w:color="auto"/>
            </w:tcBorders>
          </w:tcPr>
          <w:p w14:paraId="1A895510" w14:textId="77777777" w:rsidR="00AB205D" w:rsidRDefault="00AB205D" w:rsidP="00117A92">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bottom w:val="single" w:sz="12" w:space="0" w:color="auto"/>
            </w:tcBorders>
          </w:tcPr>
          <w:p w14:paraId="21910741" w14:textId="77777777" w:rsidR="00AB205D" w:rsidRDefault="00471A3B">
            <w:pPr>
              <w:cnfStyle w:val="000000000000" w:firstRow="0" w:lastRow="0" w:firstColumn="0" w:lastColumn="0" w:oddVBand="0" w:evenVBand="0" w:oddHBand="0" w:evenHBand="0" w:firstRowFirstColumn="0" w:firstRowLastColumn="0" w:lastRowFirstColumn="0" w:lastRowLastColumn="0"/>
            </w:pPr>
            <w:r>
              <w:t>133 763</w:t>
            </w:r>
          </w:p>
        </w:tc>
        <w:tc>
          <w:tcPr>
            <w:tcW w:w="794" w:type="dxa"/>
            <w:tcBorders>
              <w:bottom w:val="single" w:sz="12" w:space="0" w:color="auto"/>
            </w:tcBorders>
          </w:tcPr>
          <w:p w14:paraId="53D0042E" w14:textId="77777777" w:rsidR="00AB205D" w:rsidRDefault="00471A3B">
            <w:pPr>
              <w:cnfStyle w:val="000000000000" w:firstRow="0" w:lastRow="0" w:firstColumn="0" w:lastColumn="0" w:oddVBand="0" w:evenVBand="0" w:oddHBand="0" w:evenHBand="0" w:firstRowFirstColumn="0" w:firstRowLastColumn="0" w:lastRowFirstColumn="0" w:lastRowLastColumn="0"/>
            </w:pPr>
            <w:r>
              <w:t>135 467</w:t>
            </w:r>
          </w:p>
        </w:tc>
        <w:tc>
          <w:tcPr>
            <w:tcW w:w="794" w:type="dxa"/>
            <w:tcBorders>
              <w:bottom w:val="single" w:sz="12" w:space="0" w:color="auto"/>
            </w:tcBorders>
          </w:tcPr>
          <w:p w14:paraId="6E3D420F" w14:textId="77777777" w:rsidR="00AB205D" w:rsidRDefault="00471A3B">
            <w:pPr>
              <w:cnfStyle w:val="000000000000" w:firstRow="0" w:lastRow="0" w:firstColumn="0" w:lastColumn="0" w:oddVBand="0" w:evenVBand="0" w:oddHBand="0" w:evenHBand="0" w:firstRowFirstColumn="0" w:firstRowLastColumn="0" w:lastRowFirstColumn="0" w:lastRowLastColumn="0"/>
            </w:pPr>
            <w:r>
              <w:t>152 945</w:t>
            </w:r>
          </w:p>
        </w:tc>
        <w:tc>
          <w:tcPr>
            <w:tcW w:w="794" w:type="dxa"/>
            <w:tcBorders>
              <w:bottom w:val="single" w:sz="12" w:space="0" w:color="auto"/>
            </w:tcBorders>
          </w:tcPr>
          <w:p w14:paraId="3F1C2220" w14:textId="77777777" w:rsidR="00AB205D" w:rsidRDefault="00471A3B">
            <w:pPr>
              <w:cnfStyle w:val="000000000000" w:firstRow="0" w:lastRow="0" w:firstColumn="0" w:lastColumn="0" w:oddVBand="0" w:evenVBand="0" w:oddHBand="0" w:evenHBand="0" w:firstRowFirstColumn="0" w:firstRowLastColumn="0" w:lastRowFirstColumn="0" w:lastRowLastColumn="0"/>
            </w:pPr>
            <w:r>
              <w:t>166 141</w:t>
            </w:r>
          </w:p>
        </w:tc>
        <w:tc>
          <w:tcPr>
            <w:tcW w:w="794" w:type="dxa"/>
            <w:tcBorders>
              <w:bottom w:val="single" w:sz="12" w:space="0" w:color="auto"/>
            </w:tcBorders>
          </w:tcPr>
          <w:p w14:paraId="3555F606" w14:textId="77777777" w:rsidR="00AB205D" w:rsidRDefault="00471A3B">
            <w:pPr>
              <w:cnfStyle w:val="000000000000" w:firstRow="0" w:lastRow="0" w:firstColumn="0" w:lastColumn="0" w:oddVBand="0" w:evenVBand="0" w:oddHBand="0" w:evenHBand="0" w:firstRowFirstColumn="0" w:firstRowLastColumn="0" w:lastRowFirstColumn="0" w:lastRowLastColumn="0"/>
            </w:pPr>
            <w:r>
              <w:t>177 814</w:t>
            </w:r>
          </w:p>
        </w:tc>
      </w:tr>
    </w:tbl>
    <w:p w14:paraId="5A15DE15" w14:textId="77777777" w:rsidR="00AB205D" w:rsidRDefault="00471A3B">
      <w:pPr>
        <w:pStyle w:val="Note"/>
      </w:pPr>
      <w:r>
        <w:t>The accompanying notes form part of these Estimated Financial Statements.</w:t>
      </w:r>
    </w:p>
    <w:p w14:paraId="13F5B761" w14:textId="77777777" w:rsidR="00AB205D" w:rsidRDefault="00471A3B">
      <w:pPr>
        <w:pStyle w:val="Note"/>
      </w:pPr>
      <w:r>
        <w:t>Notes:</w:t>
      </w:r>
    </w:p>
    <w:p w14:paraId="5488BF5B" w14:textId="77777777" w:rsidR="00AB205D" w:rsidRDefault="00471A3B">
      <w:pPr>
        <w:pStyle w:val="Note"/>
      </w:pPr>
      <w:r>
        <w:t>(a)</w:t>
      </w:r>
      <w:r>
        <w:tab/>
        <w:t>Balances represent actual opening balances at 1 July 2023 plus 2023</w:t>
      </w:r>
      <w:r>
        <w:noBreakHyphen/>
        <w:t>24 budgeted movements.</w:t>
      </w:r>
    </w:p>
    <w:p w14:paraId="1D21EBF7" w14:textId="77777777" w:rsidR="00AB205D" w:rsidRDefault="00471A3B">
      <w:pPr>
        <w:pStyle w:val="Note"/>
      </w:pPr>
      <w:r>
        <w:t>(b)</w:t>
      </w:r>
      <w:r>
        <w:tab/>
        <w:t xml:space="preserve">The fiscal aggregates are defined in Note 9.9 of the </w:t>
      </w:r>
      <w:r w:rsidRPr="00254B3E">
        <w:rPr>
          <w:i w:val="0"/>
          <w:iCs/>
        </w:rPr>
        <w:t>2022</w:t>
      </w:r>
      <w:r>
        <w:rPr>
          <w:i w:val="0"/>
          <w:iCs/>
        </w:rPr>
        <w:noBreakHyphen/>
      </w:r>
      <w:r w:rsidRPr="00254B3E">
        <w:rPr>
          <w:i w:val="0"/>
          <w:iCs/>
        </w:rPr>
        <w:t>23 Financial Report</w:t>
      </w:r>
      <w:r>
        <w:t>.</w:t>
      </w:r>
    </w:p>
    <w:p w14:paraId="39661768" w14:textId="77777777" w:rsidR="00AB205D" w:rsidRDefault="00AB205D"/>
    <w:p w14:paraId="1C9CBEDC" w14:textId="77777777" w:rsidR="00AB205D" w:rsidRDefault="00471A3B">
      <w:pPr>
        <w:pStyle w:val="Heading10"/>
      </w:pPr>
      <w:bookmarkStart w:id="34" w:name="_Toc152933035"/>
      <w:r>
        <w:lastRenderedPageBreak/>
        <w:t>Estimated consolidated general government sector</w:t>
      </w:r>
      <w:r>
        <w:br/>
        <w:t>cash flow statement</w:t>
      </w:r>
      <w:bookmarkEnd w:id="34"/>
    </w:p>
    <w:p w14:paraId="4452BBBD" w14:textId="77777777" w:rsidR="00AB205D" w:rsidRDefault="00471A3B">
      <w:pPr>
        <w:pStyle w:val="TableHeading"/>
      </w:pPr>
      <w:r>
        <w:t>For the financial year ended 30 June</w:t>
      </w:r>
      <w:r>
        <w:tab/>
        <w:t>($ million)</w:t>
      </w:r>
    </w:p>
    <w:tbl>
      <w:tblPr>
        <w:tblStyle w:val="DTFTableNumeric"/>
        <w:tblW w:w="7710" w:type="dxa"/>
        <w:tblLayout w:type="fixed"/>
        <w:tblLook w:val="06A0" w:firstRow="1" w:lastRow="0" w:firstColumn="1" w:lastColumn="0" w:noHBand="1" w:noVBand="1"/>
        <w:tblDescription w:val="Type:DtfTable|Workbook:Rawdata\BudgetUpdate\Budget Update\Financial Statements\SRIMS exports\SRIMS_BU_EFS_CF_SOCIE.xlsx|Table:Cash_Flow_Statement|LastRow:42|MergedHeadingRow:1"/>
      </w:tblPr>
      <w:tblGrid>
        <w:gridCol w:w="3173"/>
        <w:gridCol w:w="567"/>
        <w:gridCol w:w="794"/>
        <w:gridCol w:w="794"/>
        <w:gridCol w:w="794"/>
        <w:gridCol w:w="794"/>
        <w:gridCol w:w="794"/>
      </w:tblGrid>
      <w:tr w:rsidR="009C6724" w14:paraId="544445AC"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73" w:type="dxa"/>
          </w:tcPr>
          <w:p w14:paraId="34F915E1" w14:textId="77777777" w:rsidR="00AB205D" w:rsidRDefault="00AB205D">
            <w:pPr>
              <w:keepNext/>
            </w:pPr>
          </w:p>
        </w:tc>
        <w:tc>
          <w:tcPr>
            <w:tcW w:w="567" w:type="dxa"/>
          </w:tcPr>
          <w:p w14:paraId="52C938DF" w14:textId="77777777" w:rsidR="00AB205D" w:rsidRDefault="00471A3B">
            <w:pPr>
              <w:keepNext/>
              <w:jc w:val="center"/>
              <w:cnfStyle w:val="100000000000" w:firstRow="1" w:lastRow="0" w:firstColumn="0" w:lastColumn="0" w:oddVBand="0" w:evenVBand="0" w:oddHBand="0" w:evenHBand="0" w:firstRowFirstColumn="0" w:firstRowLastColumn="0" w:lastRowFirstColumn="0" w:lastRowLastColumn="0"/>
            </w:pPr>
            <w:r>
              <w:t>Notes</w:t>
            </w:r>
          </w:p>
        </w:tc>
        <w:tc>
          <w:tcPr>
            <w:tcW w:w="794" w:type="dxa"/>
          </w:tcPr>
          <w:p w14:paraId="0C979E94"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rPr>
                <w:sz w:val="16"/>
              </w:rPr>
              <w:t>2023</w:t>
            </w:r>
            <w:r>
              <w:rPr>
                <w:sz w:val="16"/>
              </w:rPr>
              <w:noBreakHyphen/>
              <w:t>24</w:t>
            </w:r>
            <w:r>
              <w:br/>
              <w:t>budget</w:t>
            </w:r>
          </w:p>
        </w:tc>
        <w:tc>
          <w:tcPr>
            <w:tcW w:w="794" w:type="dxa"/>
          </w:tcPr>
          <w:p w14:paraId="2FAB45E5"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rPr>
                <w:sz w:val="16"/>
              </w:rPr>
              <w:t>2023</w:t>
            </w:r>
            <w:r>
              <w:rPr>
                <w:sz w:val="16"/>
              </w:rPr>
              <w:noBreakHyphen/>
              <w:t>24</w:t>
            </w:r>
            <w:r>
              <w:br/>
              <w:t>revised</w:t>
            </w:r>
          </w:p>
        </w:tc>
        <w:tc>
          <w:tcPr>
            <w:tcW w:w="794" w:type="dxa"/>
          </w:tcPr>
          <w:p w14:paraId="58A52986"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rPr>
                <w:sz w:val="16"/>
              </w:rPr>
              <w:t>2024</w:t>
            </w:r>
            <w:r>
              <w:rPr>
                <w:sz w:val="16"/>
              </w:rPr>
              <w:noBreakHyphen/>
              <w:t>25</w:t>
            </w:r>
            <w:r>
              <w:br/>
              <w:t>estimate</w:t>
            </w:r>
          </w:p>
        </w:tc>
        <w:tc>
          <w:tcPr>
            <w:tcW w:w="794" w:type="dxa"/>
          </w:tcPr>
          <w:p w14:paraId="5336D085"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rPr>
                <w:sz w:val="16"/>
              </w:rPr>
              <w:t>2025</w:t>
            </w:r>
            <w:r>
              <w:rPr>
                <w:sz w:val="16"/>
              </w:rPr>
              <w:noBreakHyphen/>
              <w:t>26</w:t>
            </w:r>
            <w:r>
              <w:br/>
              <w:t>estimate</w:t>
            </w:r>
          </w:p>
        </w:tc>
        <w:tc>
          <w:tcPr>
            <w:tcW w:w="794" w:type="dxa"/>
          </w:tcPr>
          <w:p w14:paraId="78EA6C28"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rPr>
                <w:sz w:val="16"/>
              </w:rPr>
              <w:t>2026</w:t>
            </w:r>
            <w:r>
              <w:rPr>
                <w:sz w:val="16"/>
              </w:rPr>
              <w:noBreakHyphen/>
              <w:t>27</w:t>
            </w:r>
            <w:r>
              <w:br/>
              <w:t>estimate</w:t>
            </w:r>
          </w:p>
        </w:tc>
      </w:tr>
      <w:tr w:rsidR="009C6724" w14:paraId="6010F73C" w14:textId="77777777" w:rsidTr="009C6724">
        <w:tc>
          <w:tcPr>
            <w:cnfStyle w:val="001000000000" w:firstRow="0" w:lastRow="0" w:firstColumn="1" w:lastColumn="0" w:oddVBand="0" w:evenVBand="0" w:oddHBand="0" w:evenHBand="0" w:firstRowFirstColumn="0" w:firstRowLastColumn="0" w:lastRowFirstColumn="0" w:lastRowLastColumn="0"/>
            <w:tcW w:w="3173" w:type="dxa"/>
          </w:tcPr>
          <w:p w14:paraId="5A31BD29" w14:textId="77777777" w:rsidR="00AB205D" w:rsidRDefault="00471A3B">
            <w:r>
              <w:rPr>
                <w:b/>
                <w:sz w:val="16"/>
              </w:rPr>
              <w:t>Cash flows from operating activities</w:t>
            </w:r>
          </w:p>
        </w:tc>
        <w:tc>
          <w:tcPr>
            <w:tcW w:w="567" w:type="dxa"/>
          </w:tcPr>
          <w:p w14:paraId="4132BA64" w14:textId="77777777" w:rsidR="00AB205D" w:rsidRDefault="00AB205D">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522568C4"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0310A43"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746364C2"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241D5E11"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15AE7025"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3DE2C925" w14:textId="77777777" w:rsidTr="009C6724">
        <w:tc>
          <w:tcPr>
            <w:cnfStyle w:val="001000000000" w:firstRow="0" w:lastRow="0" w:firstColumn="1" w:lastColumn="0" w:oddVBand="0" w:evenVBand="0" w:oddHBand="0" w:evenHBand="0" w:firstRowFirstColumn="0" w:firstRowLastColumn="0" w:lastRowFirstColumn="0" w:lastRowLastColumn="0"/>
            <w:tcW w:w="3173" w:type="dxa"/>
          </w:tcPr>
          <w:p w14:paraId="05E990B1" w14:textId="77777777" w:rsidR="00AB205D" w:rsidRDefault="00471A3B">
            <w:r>
              <w:rPr>
                <w:b/>
                <w:sz w:val="16"/>
              </w:rPr>
              <w:t>Receipts</w:t>
            </w:r>
          </w:p>
        </w:tc>
        <w:tc>
          <w:tcPr>
            <w:tcW w:w="567" w:type="dxa"/>
          </w:tcPr>
          <w:p w14:paraId="6C608C3F" w14:textId="77777777" w:rsidR="00AB205D" w:rsidRDefault="00AB205D">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4EF144B2"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18E54B97"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2F919B0D"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7FF6083A"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1CA6965A"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4081752F" w14:textId="77777777" w:rsidTr="009C6724">
        <w:tc>
          <w:tcPr>
            <w:cnfStyle w:val="001000000000" w:firstRow="0" w:lastRow="0" w:firstColumn="1" w:lastColumn="0" w:oddVBand="0" w:evenVBand="0" w:oddHBand="0" w:evenHBand="0" w:firstRowFirstColumn="0" w:firstRowLastColumn="0" w:lastRowFirstColumn="0" w:lastRowLastColumn="0"/>
            <w:tcW w:w="3173" w:type="dxa"/>
          </w:tcPr>
          <w:p w14:paraId="404B7119" w14:textId="77777777" w:rsidR="00AB205D" w:rsidRDefault="00471A3B">
            <w:r>
              <w:rPr>
                <w:sz w:val="16"/>
              </w:rPr>
              <w:t>Taxes received</w:t>
            </w:r>
          </w:p>
        </w:tc>
        <w:tc>
          <w:tcPr>
            <w:tcW w:w="567" w:type="dxa"/>
          </w:tcPr>
          <w:p w14:paraId="293EB210" w14:textId="77777777" w:rsidR="00AB205D" w:rsidRDefault="00AB205D">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6541CB7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34 121</w:t>
            </w:r>
          </w:p>
        </w:tc>
        <w:tc>
          <w:tcPr>
            <w:tcW w:w="794" w:type="dxa"/>
          </w:tcPr>
          <w:p w14:paraId="2827117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35 569</w:t>
            </w:r>
          </w:p>
        </w:tc>
        <w:tc>
          <w:tcPr>
            <w:tcW w:w="794" w:type="dxa"/>
          </w:tcPr>
          <w:p w14:paraId="7DD59A0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37 433</w:t>
            </w:r>
          </w:p>
        </w:tc>
        <w:tc>
          <w:tcPr>
            <w:tcW w:w="794" w:type="dxa"/>
          </w:tcPr>
          <w:p w14:paraId="0684022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39 153</w:t>
            </w:r>
          </w:p>
        </w:tc>
        <w:tc>
          <w:tcPr>
            <w:tcW w:w="794" w:type="dxa"/>
          </w:tcPr>
          <w:p w14:paraId="1153376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41 064</w:t>
            </w:r>
          </w:p>
        </w:tc>
      </w:tr>
      <w:tr w:rsidR="009C6724" w14:paraId="7577636E" w14:textId="77777777" w:rsidTr="009C6724">
        <w:tc>
          <w:tcPr>
            <w:cnfStyle w:val="001000000000" w:firstRow="0" w:lastRow="0" w:firstColumn="1" w:lastColumn="0" w:oddVBand="0" w:evenVBand="0" w:oddHBand="0" w:evenHBand="0" w:firstRowFirstColumn="0" w:firstRowLastColumn="0" w:lastRowFirstColumn="0" w:lastRowLastColumn="0"/>
            <w:tcW w:w="3173" w:type="dxa"/>
          </w:tcPr>
          <w:p w14:paraId="41797533" w14:textId="77777777" w:rsidR="00AB205D" w:rsidRDefault="00471A3B">
            <w:r>
              <w:rPr>
                <w:sz w:val="16"/>
              </w:rPr>
              <w:t>Grants</w:t>
            </w:r>
          </w:p>
        </w:tc>
        <w:tc>
          <w:tcPr>
            <w:tcW w:w="567" w:type="dxa"/>
          </w:tcPr>
          <w:p w14:paraId="6B91F94B" w14:textId="77777777" w:rsidR="00AB205D" w:rsidRDefault="00AB205D">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5A15B54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41 753</w:t>
            </w:r>
          </w:p>
        </w:tc>
        <w:tc>
          <w:tcPr>
            <w:tcW w:w="794" w:type="dxa"/>
          </w:tcPr>
          <w:p w14:paraId="0DD8F29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39 656</w:t>
            </w:r>
          </w:p>
        </w:tc>
        <w:tc>
          <w:tcPr>
            <w:tcW w:w="794" w:type="dxa"/>
          </w:tcPr>
          <w:p w14:paraId="56E027E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43 240</w:t>
            </w:r>
          </w:p>
        </w:tc>
        <w:tc>
          <w:tcPr>
            <w:tcW w:w="794" w:type="dxa"/>
          </w:tcPr>
          <w:p w14:paraId="7066E17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46 227</w:t>
            </w:r>
          </w:p>
        </w:tc>
        <w:tc>
          <w:tcPr>
            <w:tcW w:w="794" w:type="dxa"/>
          </w:tcPr>
          <w:p w14:paraId="35E38BC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48 062</w:t>
            </w:r>
          </w:p>
        </w:tc>
      </w:tr>
      <w:tr w:rsidR="009C6724" w14:paraId="034C496B" w14:textId="77777777" w:rsidTr="009C6724">
        <w:tc>
          <w:tcPr>
            <w:cnfStyle w:val="001000000000" w:firstRow="0" w:lastRow="0" w:firstColumn="1" w:lastColumn="0" w:oddVBand="0" w:evenVBand="0" w:oddHBand="0" w:evenHBand="0" w:firstRowFirstColumn="0" w:firstRowLastColumn="0" w:lastRowFirstColumn="0" w:lastRowLastColumn="0"/>
            <w:tcW w:w="3173" w:type="dxa"/>
          </w:tcPr>
          <w:p w14:paraId="002E6DFF" w14:textId="77777777" w:rsidR="00AB205D" w:rsidRDefault="00471A3B">
            <w:r>
              <w:rPr>
                <w:sz w:val="16"/>
              </w:rPr>
              <w:t>Sales of goods and services</w:t>
            </w:r>
            <w:r>
              <w:rPr>
                <w:sz w:val="16"/>
                <w:vertAlign w:val="superscript"/>
              </w:rPr>
              <w:t xml:space="preserve"> (a)</w:t>
            </w:r>
          </w:p>
        </w:tc>
        <w:tc>
          <w:tcPr>
            <w:tcW w:w="567" w:type="dxa"/>
          </w:tcPr>
          <w:p w14:paraId="103E8D02" w14:textId="77777777" w:rsidR="00AB205D" w:rsidRDefault="00AB205D">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4AB4302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6 618</w:t>
            </w:r>
          </w:p>
        </w:tc>
        <w:tc>
          <w:tcPr>
            <w:tcW w:w="794" w:type="dxa"/>
          </w:tcPr>
          <w:p w14:paraId="7DA78F9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6 949</w:t>
            </w:r>
          </w:p>
        </w:tc>
        <w:tc>
          <w:tcPr>
            <w:tcW w:w="794" w:type="dxa"/>
          </w:tcPr>
          <w:p w14:paraId="203BFD2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7 244</w:t>
            </w:r>
          </w:p>
        </w:tc>
        <w:tc>
          <w:tcPr>
            <w:tcW w:w="794" w:type="dxa"/>
          </w:tcPr>
          <w:p w14:paraId="386B99A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7 256</w:t>
            </w:r>
          </w:p>
        </w:tc>
        <w:tc>
          <w:tcPr>
            <w:tcW w:w="794" w:type="dxa"/>
          </w:tcPr>
          <w:p w14:paraId="12F2AFB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7 356</w:t>
            </w:r>
          </w:p>
        </w:tc>
      </w:tr>
      <w:tr w:rsidR="009C6724" w14:paraId="2D1EBED3" w14:textId="77777777" w:rsidTr="009C6724">
        <w:tc>
          <w:tcPr>
            <w:cnfStyle w:val="001000000000" w:firstRow="0" w:lastRow="0" w:firstColumn="1" w:lastColumn="0" w:oddVBand="0" w:evenVBand="0" w:oddHBand="0" w:evenHBand="0" w:firstRowFirstColumn="0" w:firstRowLastColumn="0" w:lastRowFirstColumn="0" w:lastRowLastColumn="0"/>
            <w:tcW w:w="3173" w:type="dxa"/>
          </w:tcPr>
          <w:p w14:paraId="20A92EFE" w14:textId="77777777" w:rsidR="00AB205D" w:rsidRDefault="00471A3B">
            <w:r>
              <w:rPr>
                <w:sz w:val="16"/>
              </w:rPr>
              <w:t>Interest received</w:t>
            </w:r>
          </w:p>
        </w:tc>
        <w:tc>
          <w:tcPr>
            <w:tcW w:w="567" w:type="dxa"/>
          </w:tcPr>
          <w:p w14:paraId="157C84B2" w14:textId="77777777" w:rsidR="00AB205D" w:rsidRDefault="00AB205D">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64FB508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1 557</w:t>
            </w:r>
          </w:p>
        </w:tc>
        <w:tc>
          <w:tcPr>
            <w:tcW w:w="794" w:type="dxa"/>
          </w:tcPr>
          <w:p w14:paraId="184DC0F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1 706</w:t>
            </w:r>
          </w:p>
        </w:tc>
        <w:tc>
          <w:tcPr>
            <w:tcW w:w="794" w:type="dxa"/>
          </w:tcPr>
          <w:p w14:paraId="79F0566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1 018</w:t>
            </w:r>
          </w:p>
        </w:tc>
        <w:tc>
          <w:tcPr>
            <w:tcW w:w="794" w:type="dxa"/>
          </w:tcPr>
          <w:p w14:paraId="142EF69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950</w:t>
            </w:r>
          </w:p>
        </w:tc>
        <w:tc>
          <w:tcPr>
            <w:tcW w:w="794" w:type="dxa"/>
          </w:tcPr>
          <w:p w14:paraId="68B61A6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950</w:t>
            </w:r>
          </w:p>
        </w:tc>
      </w:tr>
      <w:tr w:rsidR="009C6724" w14:paraId="1505E36B" w14:textId="77777777" w:rsidTr="009C6724">
        <w:tc>
          <w:tcPr>
            <w:cnfStyle w:val="001000000000" w:firstRow="0" w:lastRow="0" w:firstColumn="1" w:lastColumn="0" w:oddVBand="0" w:evenVBand="0" w:oddHBand="0" w:evenHBand="0" w:firstRowFirstColumn="0" w:firstRowLastColumn="0" w:lastRowFirstColumn="0" w:lastRowLastColumn="0"/>
            <w:tcW w:w="3173" w:type="dxa"/>
          </w:tcPr>
          <w:p w14:paraId="0F8B785A" w14:textId="77777777" w:rsidR="00AB205D" w:rsidRDefault="00471A3B">
            <w:r>
              <w:rPr>
                <w:sz w:val="16"/>
              </w:rPr>
              <w:t>Dividends, income tax equivalent and rate equivalent receipts</w:t>
            </w:r>
          </w:p>
        </w:tc>
        <w:tc>
          <w:tcPr>
            <w:tcW w:w="567" w:type="dxa"/>
          </w:tcPr>
          <w:p w14:paraId="7494C40C" w14:textId="77777777" w:rsidR="00AB205D" w:rsidRDefault="00AB205D">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0A31F8C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1 551</w:t>
            </w:r>
          </w:p>
        </w:tc>
        <w:tc>
          <w:tcPr>
            <w:tcW w:w="794" w:type="dxa"/>
          </w:tcPr>
          <w:p w14:paraId="3A21738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2 341</w:t>
            </w:r>
          </w:p>
        </w:tc>
        <w:tc>
          <w:tcPr>
            <w:tcW w:w="794" w:type="dxa"/>
          </w:tcPr>
          <w:p w14:paraId="3059292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1 563</w:t>
            </w:r>
          </w:p>
        </w:tc>
        <w:tc>
          <w:tcPr>
            <w:tcW w:w="794" w:type="dxa"/>
          </w:tcPr>
          <w:p w14:paraId="678D933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1 197</w:t>
            </w:r>
          </w:p>
        </w:tc>
        <w:tc>
          <w:tcPr>
            <w:tcW w:w="794" w:type="dxa"/>
          </w:tcPr>
          <w:p w14:paraId="3D55861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1 253</w:t>
            </w:r>
          </w:p>
        </w:tc>
      </w:tr>
      <w:tr w:rsidR="009C6724" w14:paraId="4CFB4B33" w14:textId="77777777" w:rsidTr="009C6724">
        <w:tc>
          <w:tcPr>
            <w:cnfStyle w:val="001000000000" w:firstRow="0" w:lastRow="0" w:firstColumn="1" w:lastColumn="0" w:oddVBand="0" w:evenVBand="0" w:oddHBand="0" w:evenHBand="0" w:firstRowFirstColumn="0" w:firstRowLastColumn="0" w:lastRowFirstColumn="0" w:lastRowLastColumn="0"/>
            <w:tcW w:w="3173" w:type="dxa"/>
            <w:tcBorders>
              <w:bottom w:val="single" w:sz="6" w:space="0" w:color="auto"/>
            </w:tcBorders>
          </w:tcPr>
          <w:p w14:paraId="1DF24927" w14:textId="77777777" w:rsidR="00AB205D" w:rsidRDefault="00471A3B">
            <w:r>
              <w:rPr>
                <w:sz w:val="16"/>
              </w:rPr>
              <w:t>Other receipts</w:t>
            </w:r>
          </w:p>
        </w:tc>
        <w:tc>
          <w:tcPr>
            <w:tcW w:w="567" w:type="dxa"/>
            <w:tcBorders>
              <w:bottom w:val="single" w:sz="6" w:space="0" w:color="auto"/>
            </w:tcBorders>
          </w:tcPr>
          <w:p w14:paraId="72ED295E" w14:textId="77777777" w:rsidR="00AB205D" w:rsidRDefault="00AB205D">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bottom w:val="single" w:sz="6" w:space="0" w:color="auto"/>
            </w:tcBorders>
          </w:tcPr>
          <w:p w14:paraId="0F58F0F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2 063</w:t>
            </w:r>
          </w:p>
        </w:tc>
        <w:tc>
          <w:tcPr>
            <w:tcW w:w="794" w:type="dxa"/>
            <w:tcBorders>
              <w:bottom w:val="single" w:sz="6" w:space="0" w:color="auto"/>
            </w:tcBorders>
          </w:tcPr>
          <w:p w14:paraId="621FEF5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2 398</w:t>
            </w:r>
          </w:p>
        </w:tc>
        <w:tc>
          <w:tcPr>
            <w:tcW w:w="794" w:type="dxa"/>
            <w:tcBorders>
              <w:bottom w:val="single" w:sz="6" w:space="0" w:color="auto"/>
            </w:tcBorders>
          </w:tcPr>
          <w:p w14:paraId="7E2DD9B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2 185</w:t>
            </w:r>
          </w:p>
        </w:tc>
        <w:tc>
          <w:tcPr>
            <w:tcW w:w="794" w:type="dxa"/>
            <w:tcBorders>
              <w:bottom w:val="single" w:sz="6" w:space="0" w:color="auto"/>
            </w:tcBorders>
          </w:tcPr>
          <w:p w14:paraId="4006E82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2 271</w:t>
            </w:r>
          </w:p>
        </w:tc>
        <w:tc>
          <w:tcPr>
            <w:tcW w:w="794" w:type="dxa"/>
            <w:tcBorders>
              <w:bottom w:val="single" w:sz="6" w:space="0" w:color="auto"/>
            </w:tcBorders>
          </w:tcPr>
          <w:p w14:paraId="6405C8F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2 620</w:t>
            </w:r>
          </w:p>
        </w:tc>
      </w:tr>
      <w:tr w:rsidR="009C6724" w14:paraId="0BFFB0BD" w14:textId="77777777" w:rsidTr="009C672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tcBorders>
          </w:tcPr>
          <w:p w14:paraId="5F80C874" w14:textId="77777777" w:rsidR="00AB205D" w:rsidRDefault="00471A3B">
            <w:r>
              <w:rPr>
                <w:b/>
                <w:sz w:val="16"/>
              </w:rPr>
              <w:t>Total receipts</w:t>
            </w:r>
          </w:p>
        </w:tc>
        <w:tc>
          <w:tcPr>
            <w:tcW w:w="567" w:type="dxa"/>
            <w:tcBorders>
              <w:top w:val="single" w:sz="6" w:space="0" w:color="auto"/>
            </w:tcBorders>
          </w:tcPr>
          <w:p w14:paraId="6A96FDAE" w14:textId="77777777" w:rsidR="00AB205D" w:rsidRDefault="00AB205D">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D8ED97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87 664</w:t>
            </w:r>
          </w:p>
        </w:tc>
        <w:tc>
          <w:tcPr>
            <w:tcW w:w="794" w:type="dxa"/>
            <w:tcBorders>
              <w:top w:val="single" w:sz="6" w:space="0" w:color="auto"/>
            </w:tcBorders>
          </w:tcPr>
          <w:p w14:paraId="2C3ABC7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88 619</w:t>
            </w:r>
          </w:p>
        </w:tc>
        <w:tc>
          <w:tcPr>
            <w:tcW w:w="794" w:type="dxa"/>
            <w:tcBorders>
              <w:top w:val="single" w:sz="6" w:space="0" w:color="auto"/>
            </w:tcBorders>
          </w:tcPr>
          <w:p w14:paraId="645C3D0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92 682</w:t>
            </w:r>
          </w:p>
        </w:tc>
        <w:tc>
          <w:tcPr>
            <w:tcW w:w="794" w:type="dxa"/>
            <w:tcBorders>
              <w:top w:val="single" w:sz="6" w:space="0" w:color="auto"/>
            </w:tcBorders>
          </w:tcPr>
          <w:p w14:paraId="419EFB2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97 055</w:t>
            </w:r>
          </w:p>
        </w:tc>
        <w:tc>
          <w:tcPr>
            <w:tcW w:w="794" w:type="dxa"/>
            <w:tcBorders>
              <w:top w:val="single" w:sz="6" w:space="0" w:color="auto"/>
            </w:tcBorders>
          </w:tcPr>
          <w:p w14:paraId="0B16FD4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101 305</w:t>
            </w:r>
          </w:p>
        </w:tc>
      </w:tr>
      <w:tr w:rsidR="009C6724" w14:paraId="74454C2B" w14:textId="77777777" w:rsidTr="009C6724">
        <w:tc>
          <w:tcPr>
            <w:cnfStyle w:val="001000000000" w:firstRow="0" w:lastRow="0" w:firstColumn="1" w:lastColumn="0" w:oddVBand="0" w:evenVBand="0" w:oddHBand="0" w:evenHBand="0" w:firstRowFirstColumn="0" w:firstRowLastColumn="0" w:lastRowFirstColumn="0" w:lastRowLastColumn="0"/>
            <w:tcW w:w="3173" w:type="dxa"/>
          </w:tcPr>
          <w:p w14:paraId="6B2C069E" w14:textId="77777777" w:rsidR="00AB205D" w:rsidRDefault="00471A3B">
            <w:r>
              <w:rPr>
                <w:b/>
                <w:sz w:val="16"/>
              </w:rPr>
              <w:t>Payments</w:t>
            </w:r>
          </w:p>
        </w:tc>
        <w:tc>
          <w:tcPr>
            <w:tcW w:w="567" w:type="dxa"/>
          </w:tcPr>
          <w:p w14:paraId="1306D1F0" w14:textId="77777777" w:rsidR="00AB205D" w:rsidRDefault="00AB205D">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07B0A574"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1EC80EA3"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7BE63F3B"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4B14A73B"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72605261"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23E95CC9" w14:textId="77777777" w:rsidTr="009C6724">
        <w:tc>
          <w:tcPr>
            <w:cnfStyle w:val="001000000000" w:firstRow="0" w:lastRow="0" w:firstColumn="1" w:lastColumn="0" w:oddVBand="0" w:evenVBand="0" w:oddHBand="0" w:evenHBand="0" w:firstRowFirstColumn="0" w:firstRowLastColumn="0" w:lastRowFirstColumn="0" w:lastRowLastColumn="0"/>
            <w:tcW w:w="3173" w:type="dxa"/>
          </w:tcPr>
          <w:p w14:paraId="2188146B" w14:textId="77777777" w:rsidR="00AB205D" w:rsidRDefault="00471A3B">
            <w:r>
              <w:rPr>
                <w:sz w:val="16"/>
              </w:rPr>
              <w:t>Payments for employees</w:t>
            </w:r>
          </w:p>
        </w:tc>
        <w:tc>
          <w:tcPr>
            <w:tcW w:w="567" w:type="dxa"/>
          </w:tcPr>
          <w:p w14:paraId="7C841E04" w14:textId="77777777" w:rsidR="00AB205D" w:rsidRDefault="00AB205D">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738074C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(34 959)</w:t>
            </w:r>
          </w:p>
        </w:tc>
        <w:tc>
          <w:tcPr>
            <w:tcW w:w="794" w:type="dxa"/>
          </w:tcPr>
          <w:p w14:paraId="220D549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(34 495)</w:t>
            </w:r>
          </w:p>
        </w:tc>
        <w:tc>
          <w:tcPr>
            <w:tcW w:w="794" w:type="dxa"/>
          </w:tcPr>
          <w:p w14:paraId="7473957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(35 635)</w:t>
            </w:r>
          </w:p>
        </w:tc>
        <w:tc>
          <w:tcPr>
            <w:tcW w:w="794" w:type="dxa"/>
          </w:tcPr>
          <w:p w14:paraId="1139402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(36 701)</w:t>
            </w:r>
          </w:p>
        </w:tc>
        <w:tc>
          <w:tcPr>
            <w:tcW w:w="794" w:type="dxa"/>
          </w:tcPr>
          <w:p w14:paraId="5C5E2CC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(38 318)</w:t>
            </w:r>
          </w:p>
        </w:tc>
      </w:tr>
      <w:tr w:rsidR="009C6724" w14:paraId="5C9443BD" w14:textId="77777777" w:rsidTr="009C6724">
        <w:tc>
          <w:tcPr>
            <w:cnfStyle w:val="001000000000" w:firstRow="0" w:lastRow="0" w:firstColumn="1" w:lastColumn="0" w:oddVBand="0" w:evenVBand="0" w:oddHBand="0" w:evenHBand="0" w:firstRowFirstColumn="0" w:firstRowLastColumn="0" w:lastRowFirstColumn="0" w:lastRowLastColumn="0"/>
            <w:tcW w:w="3173" w:type="dxa"/>
          </w:tcPr>
          <w:p w14:paraId="4A995A38" w14:textId="77777777" w:rsidR="00AB205D" w:rsidRDefault="00471A3B">
            <w:r>
              <w:rPr>
                <w:sz w:val="16"/>
              </w:rPr>
              <w:t>Superannuation</w:t>
            </w:r>
          </w:p>
        </w:tc>
        <w:tc>
          <w:tcPr>
            <w:tcW w:w="567" w:type="dxa"/>
          </w:tcPr>
          <w:p w14:paraId="7826EFF4" w14:textId="77777777" w:rsidR="00AB205D" w:rsidRDefault="00AB205D">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08D06D2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(3 532)</w:t>
            </w:r>
          </w:p>
        </w:tc>
        <w:tc>
          <w:tcPr>
            <w:tcW w:w="794" w:type="dxa"/>
          </w:tcPr>
          <w:p w14:paraId="3EF7972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(3 557)</w:t>
            </w:r>
          </w:p>
        </w:tc>
        <w:tc>
          <w:tcPr>
            <w:tcW w:w="794" w:type="dxa"/>
          </w:tcPr>
          <w:p w14:paraId="3B6F93C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(3 736)</w:t>
            </w:r>
          </w:p>
        </w:tc>
        <w:tc>
          <w:tcPr>
            <w:tcW w:w="794" w:type="dxa"/>
          </w:tcPr>
          <w:p w14:paraId="428531D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(3 582)</w:t>
            </w:r>
          </w:p>
        </w:tc>
        <w:tc>
          <w:tcPr>
            <w:tcW w:w="794" w:type="dxa"/>
          </w:tcPr>
          <w:p w14:paraId="0AD65C0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(3 898)</w:t>
            </w:r>
          </w:p>
        </w:tc>
      </w:tr>
      <w:tr w:rsidR="009C6724" w14:paraId="455ACA15" w14:textId="77777777" w:rsidTr="009C6724">
        <w:tc>
          <w:tcPr>
            <w:cnfStyle w:val="001000000000" w:firstRow="0" w:lastRow="0" w:firstColumn="1" w:lastColumn="0" w:oddVBand="0" w:evenVBand="0" w:oddHBand="0" w:evenHBand="0" w:firstRowFirstColumn="0" w:firstRowLastColumn="0" w:lastRowFirstColumn="0" w:lastRowLastColumn="0"/>
            <w:tcW w:w="3173" w:type="dxa"/>
          </w:tcPr>
          <w:p w14:paraId="3EF79E66" w14:textId="77777777" w:rsidR="00AB205D" w:rsidRDefault="00471A3B">
            <w:r>
              <w:rPr>
                <w:sz w:val="16"/>
              </w:rPr>
              <w:t>Interest paid</w:t>
            </w:r>
          </w:p>
        </w:tc>
        <w:tc>
          <w:tcPr>
            <w:tcW w:w="567" w:type="dxa"/>
          </w:tcPr>
          <w:p w14:paraId="3C8488BF" w14:textId="77777777" w:rsidR="00AB205D" w:rsidRDefault="00AB205D">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437ECB1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(5 246)</w:t>
            </w:r>
          </w:p>
        </w:tc>
        <w:tc>
          <w:tcPr>
            <w:tcW w:w="794" w:type="dxa"/>
          </w:tcPr>
          <w:p w14:paraId="724345E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(5 357)</w:t>
            </w:r>
          </w:p>
        </w:tc>
        <w:tc>
          <w:tcPr>
            <w:tcW w:w="794" w:type="dxa"/>
          </w:tcPr>
          <w:p w14:paraId="19DD2FA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(6 349)</w:t>
            </w:r>
          </w:p>
        </w:tc>
        <w:tc>
          <w:tcPr>
            <w:tcW w:w="794" w:type="dxa"/>
          </w:tcPr>
          <w:p w14:paraId="557A861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(7 625)</w:t>
            </w:r>
          </w:p>
        </w:tc>
        <w:tc>
          <w:tcPr>
            <w:tcW w:w="794" w:type="dxa"/>
          </w:tcPr>
          <w:p w14:paraId="587616F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(8 767)</w:t>
            </w:r>
          </w:p>
        </w:tc>
      </w:tr>
      <w:tr w:rsidR="009C6724" w14:paraId="0D91A614" w14:textId="77777777" w:rsidTr="009C6724">
        <w:tc>
          <w:tcPr>
            <w:cnfStyle w:val="001000000000" w:firstRow="0" w:lastRow="0" w:firstColumn="1" w:lastColumn="0" w:oddVBand="0" w:evenVBand="0" w:oddHBand="0" w:evenHBand="0" w:firstRowFirstColumn="0" w:firstRowLastColumn="0" w:lastRowFirstColumn="0" w:lastRowLastColumn="0"/>
            <w:tcW w:w="3173" w:type="dxa"/>
          </w:tcPr>
          <w:p w14:paraId="470759C0" w14:textId="77777777" w:rsidR="00AB205D" w:rsidRDefault="00471A3B">
            <w:r>
              <w:rPr>
                <w:sz w:val="16"/>
              </w:rPr>
              <w:t>Grants and subsidies</w:t>
            </w:r>
          </w:p>
        </w:tc>
        <w:tc>
          <w:tcPr>
            <w:tcW w:w="567" w:type="dxa"/>
          </w:tcPr>
          <w:p w14:paraId="000AF797" w14:textId="77777777" w:rsidR="00AB205D" w:rsidRDefault="00AB205D">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3FC9115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(16 859)</w:t>
            </w:r>
          </w:p>
        </w:tc>
        <w:tc>
          <w:tcPr>
            <w:tcW w:w="794" w:type="dxa"/>
          </w:tcPr>
          <w:p w14:paraId="1FAB9E1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(16 802)</w:t>
            </w:r>
          </w:p>
        </w:tc>
        <w:tc>
          <w:tcPr>
            <w:tcW w:w="794" w:type="dxa"/>
          </w:tcPr>
          <w:p w14:paraId="15DB904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(16 992)</w:t>
            </w:r>
          </w:p>
        </w:tc>
        <w:tc>
          <w:tcPr>
            <w:tcW w:w="794" w:type="dxa"/>
          </w:tcPr>
          <w:p w14:paraId="233B8E3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(16 789)</w:t>
            </w:r>
          </w:p>
        </w:tc>
        <w:tc>
          <w:tcPr>
            <w:tcW w:w="794" w:type="dxa"/>
          </w:tcPr>
          <w:p w14:paraId="3ECB052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(16 878)</w:t>
            </w:r>
          </w:p>
        </w:tc>
      </w:tr>
      <w:tr w:rsidR="009C6724" w14:paraId="6D2AC5D8" w14:textId="77777777" w:rsidTr="009C6724">
        <w:tc>
          <w:tcPr>
            <w:cnfStyle w:val="001000000000" w:firstRow="0" w:lastRow="0" w:firstColumn="1" w:lastColumn="0" w:oddVBand="0" w:evenVBand="0" w:oddHBand="0" w:evenHBand="0" w:firstRowFirstColumn="0" w:firstRowLastColumn="0" w:lastRowFirstColumn="0" w:lastRowLastColumn="0"/>
            <w:tcW w:w="3173" w:type="dxa"/>
          </w:tcPr>
          <w:p w14:paraId="279CF8E0" w14:textId="77777777" w:rsidR="00AB205D" w:rsidRDefault="00471A3B">
            <w:r>
              <w:rPr>
                <w:sz w:val="16"/>
              </w:rPr>
              <w:t>Goods and services</w:t>
            </w:r>
            <w:r>
              <w:rPr>
                <w:sz w:val="16"/>
                <w:vertAlign w:val="superscript"/>
              </w:rPr>
              <w:t xml:space="preserve"> (a)</w:t>
            </w:r>
          </w:p>
        </w:tc>
        <w:tc>
          <w:tcPr>
            <w:tcW w:w="567" w:type="dxa"/>
          </w:tcPr>
          <w:p w14:paraId="4C047846" w14:textId="77777777" w:rsidR="00AB205D" w:rsidRDefault="00AB205D">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6286F98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(25 318)</w:t>
            </w:r>
          </w:p>
        </w:tc>
        <w:tc>
          <w:tcPr>
            <w:tcW w:w="794" w:type="dxa"/>
          </w:tcPr>
          <w:p w14:paraId="6F1FCA0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(26 516)</w:t>
            </w:r>
          </w:p>
        </w:tc>
        <w:tc>
          <w:tcPr>
            <w:tcW w:w="794" w:type="dxa"/>
          </w:tcPr>
          <w:p w14:paraId="3196061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(25 276)</w:t>
            </w:r>
          </w:p>
        </w:tc>
        <w:tc>
          <w:tcPr>
            <w:tcW w:w="794" w:type="dxa"/>
          </w:tcPr>
          <w:p w14:paraId="6373BBE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(25 283)</w:t>
            </w:r>
          </w:p>
        </w:tc>
        <w:tc>
          <w:tcPr>
            <w:tcW w:w="794" w:type="dxa"/>
          </w:tcPr>
          <w:p w14:paraId="69FB6A5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(26 485)</w:t>
            </w:r>
          </w:p>
        </w:tc>
      </w:tr>
      <w:tr w:rsidR="009C6724" w14:paraId="1EE1727C" w14:textId="77777777" w:rsidTr="009C6724">
        <w:tc>
          <w:tcPr>
            <w:cnfStyle w:val="001000000000" w:firstRow="0" w:lastRow="0" w:firstColumn="1" w:lastColumn="0" w:oddVBand="0" w:evenVBand="0" w:oddHBand="0" w:evenHBand="0" w:firstRowFirstColumn="0" w:firstRowLastColumn="0" w:lastRowFirstColumn="0" w:lastRowLastColumn="0"/>
            <w:tcW w:w="3173" w:type="dxa"/>
            <w:tcBorders>
              <w:bottom w:val="single" w:sz="6" w:space="0" w:color="auto"/>
            </w:tcBorders>
          </w:tcPr>
          <w:p w14:paraId="1CF4EB8D" w14:textId="77777777" w:rsidR="00AB205D" w:rsidRDefault="00471A3B">
            <w:r>
              <w:rPr>
                <w:sz w:val="16"/>
              </w:rPr>
              <w:t>Other payments</w:t>
            </w:r>
          </w:p>
        </w:tc>
        <w:tc>
          <w:tcPr>
            <w:tcW w:w="567" w:type="dxa"/>
            <w:tcBorders>
              <w:bottom w:val="single" w:sz="6" w:space="0" w:color="auto"/>
            </w:tcBorders>
          </w:tcPr>
          <w:p w14:paraId="7AFD5244" w14:textId="77777777" w:rsidR="00AB205D" w:rsidRDefault="00AB205D">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bottom w:val="single" w:sz="6" w:space="0" w:color="auto"/>
            </w:tcBorders>
          </w:tcPr>
          <w:p w14:paraId="6349F6E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(921)</w:t>
            </w:r>
          </w:p>
        </w:tc>
        <w:tc>
          <w:tcPr>
            <w:tcW w:w="794" w:type="dxa"/>
            <w:tcBorders>
              <w:bottom w:val="single" w:sz="6" w:space="0" w:color="auto"/>
            </w:tcBorders>
          </w:tcPr>
          <w:p w14:paraId="27930EF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(1 583)</w:t>
            </w:r>
          </w:p>
        </w:tc>
        <w:tc>
          <w:tcPr>
            <w:tcW w:w="794" w:type="dxa"/>
            <w:tcBorders>
              <w:bottom w:val="single" w:sz="6" w:space="0" w:color="auto"/>
            </w:tcBorders>
          </w:tcPr>
          <w:p w14:paraId="4FB1A89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(1 053)</w:t>
            </w:r>
          </w:p>
        </w:tc>
        <w:tc>
          <w:tcPr>
            <w:tcW w:w="794" w:type="dxa"/>
            <w:tcBorders>
              <w:bottom w:val="single" w:sz="6" w:space="0" w:color="auto"/>
            </w:tcBorders>
          </w:tcPr>
          <w:p w14:paraId="6D9C9B2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(1 008)</w:t>
            </w:r>
          </w:p>
        </w:tc>
        <w:tc>
          <w:tcPr>
            <w:tcW w:w="794" w:type="dxa"/>
            <w:tcBorders>
              <w:bottom w:val="single" w:sz="6" w:space="0" w:color="auto"/>
            </w:tcBorders>
          </w:tcPr>
          <w:p w14:paraId="2BF987F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(1 057)</w:t>
            </w:r>
          </w:p>
        </w:tc>
      </w:tr>
      <w:tr w:rsidR="009C6724" w14:paraId="5FC15AA5" w14:textId="77777777" w:rsidTr="009C672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bottom w:val="single" w:sz="6" w:space="0" w:color="auto"/>
            </w:tcBorders>
          </w:tcPr>
          <w:p w14:paraId="49F1C687" w14:textId="77777777" w:rsidR="00AB205D" w:rsidRDefault="00471A3B">
            <w:r>
              <w:rPr>
                <w:b/>
                <w:sz w:val="16"/>
              </w:rPr>
              <w:t>Total payments</w:t>
            </w:r>
          </w:p>
        </w:tc>
        <w:tc>
          <w:tcPr>
            <w:tcW w:w="567" w:type="dxa"/>
            <w:tcBorders>
              <w:top w:val="single" w:sz="6" w:space="0" w:color="auto"/>
              <w:bottom w:val="single" w:sz="6" w:space="0" w:color="auto"/>
            </w:tcBorders>
          </w:tcPr>
          <w:p w14:paraId="5B5A0DD2" w14:textId="77777777" w:rsidR="00AB205D" w:rsidRDefault="00AB205D">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bottom w:val="single" w:sz="6" w:space="0" w:color="auto"/>
            </w:tcBorders>
          </w:tcPr>
          <w:p w14:paraId="28D116E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(86 835)</w:t>
            </w:r>
          </w:p>
        </w:tc>
        <w:tc>
          <w:tcPr>
            <w:tcW w:w="794" w:type="dxa"/>
            <w:tcBorders>
              <w:top w:val="single" w:sz="6" w:space="0" w:color="auto"/>
              <w:bottom w:val="single" w:sz="6" w:space="0" w:color="auto"/>
            </w:tcBorders>
          </w:tcPr>
          <w:p w14:paraId="78680E5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(88 310)</w:t>
            </w:r>
          </w:p>
        </w:tc>
        <w:tc>
          <w:tcPr>
            <w:tcW w:w="794" w:type="dxa"/>
            <w:tcBorders>
              <w:top w:val="single" w:sz="6" w:space="0" w:color="auto"/>
              <w:bottom w:val="single" w:sz="6" w:space="0" w:color="auto"/>
            </w:tcBorders>
          </w:tcPr>
          <w:p w14:paraId="4AFB979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(89 041)</w:t>
            </w:r>
          </w:p>
        </w:tc>
        <w:tc>
          <w:tcPr>
            <w:tcW w:w="794" w:type="dxa"/>
            <w:tcBorders>
              <w:top w:val="single" w:sz="6" w:space="0" w:color="auto"/>
              <w:bottom w:val="single" w:sz="6" w:space="0" w:color="auto"/>
            </w:tcBorders>
          </w:tcPr>
          <w:p w14:paraId="30F46B3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(90 989)</w:t>
            </w:r>
          </w:p>
        </w:tc>
        <w:tc>
          <w:tcPr>
            <w:tcW w:w="794" w:type="dxa"/>
            <w:tcBorders>
              <w:top w:val="single" w:sz="6" w:space="0" w:color="auto"/>
              <w:bottom w:val="single" w:sz="6" w:space="0" w:color="auto"/>
            </w:tcBorders>
          </w:tcPr>
          <w:p w14:paraId="2BC2805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(95 404)</w:t>
            </w:r>
          </w:p>
        </w:tc>
      </w:tr>
      <w:tr w:rsidR="009C6724" w14:paraId="39693598" w14:textId="77777777" w:rsidTr="009C672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tcBorders>
          </w:tcPr>
          <w:p w14:paraId="17BF6720" w14:textId="77777777" w:rsidR="00AB205D" w:rsidRDefault="00471A3B">
            <w:r>
              <w:rPr>
                <w:b/>
                <w:sz w:val="16"/>
              </w:rPr>
              <w:t>Net cash flows from operating activities</w:t>
            </w:r>
          </w:p>
        </w:tc>
        <w:tc>
          <w:tcPr>
            <w:tcW w:w="567" w:type="dxa"/>
            <w:tcBorders>
              <w:top w:val="single" w:sz="6" w:space="0" w:color="auto"/>
            </w:tcBorders>
          </w:tcPr>
          <w:p w14:paraId="24E401C8" w14:textId="77777777" w:rsidR="00AB205D" w:rsidRDefault="00AB205D">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5A25104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829</w:t>
            </w:r>
          </w:p>
        </w:tc>
        <w:tc>
          <w:tcPr>
            <w:tcW w:w="794" w:type="dxa"/>
            <w:tcBorders>
              <w:top w:val="single" w:sz="6" w:space="0" w:color="auto"/>
            </w:tcBorders>
          </w:tcPr>
          <w:p w14:paraId="5AED42B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309</w:t>
            </w:r>
          </w:p>
        </w:tc>
        <w:tc>
          <w:tcPr>
            <w:tcW w:w="794" w:type="dxa"/>
            <w:tcBorders>
              <w:top w:val="single" w:sz="6" w:space="0" w:color="auto"/>
            </w:tcBorders>
          </w:tcPr>
          <w:p w14:paraId="5B261E2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3 642</w:t>
            </w:r>
          </w:p>
        </w:tc>
        <w:tc>
          <w:tcPr>
            <w:tcW w:w="794" w:type="dxa"/>
            <w:tcBorders>
              <w:top w:val="single" w:sz="6" w:space="0" w:color="auto"/>
            </w:tcBorders>
          </w:tcPr>
          <w:p w14:paraId="6060BC8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6 066</w:t>
            </w:r>
          </w:p>
        </w:tc>
        <w:tc>
          <w:tcPr>
            <w:tcW w:w="794" w:type="dxa"/>
            <w:tcBorders>
              <w:top w:val="single" w:sz="6" w:space="0" w:color="auto"/>
            </w:tcBorders>
          </w:tcPr>
          <w:p w14:paraId="7A2D5D8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5 902</w:t>
            </w:r>
          </w:p>
        </w:tc>
      </w:tr>
      <w:tr w:rsidR="009C6724" w14:paraId="6A6F8E8E" w14:textId="77777777" w:rsidTr="009C6724">
        <w:tc>
          <w:tcPr>
            <w:cnfStyle w:val="001000000000" w:firstRow="0" w:lastRow="0" w:firstColumn="1" w:lastColumn="0" w:oddVBand="0" w:evenVBand="0" w:oddHBand="0" w:evenHBand="0" w:firstRowFirstColumn="0" w:firstRowLastColumn="0" w:lastRowFirstColumn="0" w:lastRowLastColumn="0"/>
            <w:tcW w:w="3173" w:type="dxa"/>
          </w:tcPr>
          <w:p w14:paraId="1439DB51" w14:textId="77777777" w:rsidR="00AB205D" w:rsidRDefault="00471A3B">
            <w:r>
              <w:rPr>
                <w:b/>
                <w:sz w:val="16"/>
              </w:rPr>
              <w:t>Cash flows from investing activities</w:t>
            </w:r>
          </w:p>
        </w:tc>
        <w:tc>
          <w:tcPr>
            <w:tcW w:w="567" w:type="dxa"/>
          </w:tcPr>
          <w:p w14:paraId="0A9F76C4" w14:textId="77777777" w:rsidR="00AB205D" w:rsidRDefault="00AB205D">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229BE37E"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51732BA5"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4A5E2EBC"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1A33BB50"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4DA5BDCF"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4203DB20" w14:textId="77777777" w:rsidTr="009C6724">
        <w:tc>
          <w:tcPr>
            <w:cnfStyle w:val="001000000000" w:firstRow="0" w:lastRow="0" w:firstColumn="1" w:lastColumn="0" w:oddVBand="0" w:evenVBand="0" w:oddHBand="0" w:evenHBand="0" w:firstRowFirstColumn="0" w:firstRowLastColumn="0" w:lastRowFirstColumn="0" w:lastRowLastColumn="0"/>
            <w:tcW w:w="3173" w:type="dxa"/>
          </w:tcPr>
          <w:p w14:paraId="54BCCE0D" w14:textId="77777777" w:rsidR="00AB205D" w:rsidRDefault="00471A3B">
            <w:r>
              <w:rPr>
                <w:b/>
                <w:sz w:val="16"/>
              </w:rPr>
              <w:t>Cash flows from investments in non</w:t>
            </w:r>
            <w:r>
              <w:rPr>
                <w:b/>
                <w:sz w:val="16"/>
              </w:rPr>
              <w:noBreakHyphen/>
              <w:t>financial assets</w:t>
            </w:r>
          </w:p>
        </w:tc>
        <w:tc>
          <w:tcPr>
            <w:tcW w:w="567" w:type="dxa"/>
          </w:tcPr>
          <w:p w14:paraId="6A39BB36" w14:textId="77777777" w:rsidR="00AB205D" w:rsidRDefault="00AB205D">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43CFF570"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1C0795F8"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6A10FB1F"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287EBEA9"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2165308A"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72E5A1BF" w14:textId="77777777" w:rsidTr="009C6724">
        <w:tc>
          <w:tcPr>
            <w:cnfStyle w:val="001000000000" w:firstRow="0" w:lastRow="0" w:firstColumn="1" w:lastColumn="0" w:oddVBand="0" w:evenVBand="0" w:oddHBand="0" w:evenHBand="0" w:firstRowFirstColumn="0" w:firstRowLastColumn="0" w:lastRowFirstColumn="0" w:lastRowLastColumn="0"/>
            <w:tcW w:w="3173" w:type="dxa"/>
          </w:tcPr>
          <w:p w14:paraId="28FA2EEC" w14:textId="77777777" w:rsidR="00AB205D" w:rsidRDefault="00471A3B">
            <w:r>
              <w:rPr>
                <w:sz w:val="16"/>
              </w:rPr>
              <w:t>Purchases of non</w:t>
            </w:r>
            <w:r>
              <w:rPr>
                <w:sz w:val="16"/>
              </w:rPr>
              <w:noBreakHyphen/>
              <w:t>financial assets</w:t>
            </w:r>
          </w:p>
        </w:tc>
        <w:tc>
          <w:tcPr>
            <w:tcW w:w="567" w:type="dxa"/>
          </w:tcPr>
          <w:p w14:paraId="20E6D47A" w14:textId="77777777" w:rsidR="00AB205D" w:rsidRDefault="00471A3B">
            <w:pPr>
              <w:jc w:val="center"/>
              <w:cnfStyle w:val="000000000000" w:firstRow="0" w:lastRow="0" w:firstColumn="0" w:lastColumn="0" w:oddVBand="0" w:evenVBand="0" w:oddHBand="0" w:evenHBand="0" w:firstRowFirstColumn="0" w:firstRowLastColumn="0" w:lastRowFirstColumn="0" w:lastRowLastColumn="0"/>
            </w:pPr>
            <w:r>
              <w:rPr>
                <w:sz w:val="16"/>
              </w:rPr>
              <w:t>4.3.6</w:t>
            </w:r>
          </w:p>
        </w:tc>
        <w:tc>
          <w:tcPr>
            <w:tcW w:w="794" w:type="dxa"/>
          </w:tcPr>
          <w:p w14:paraId="5271FD6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(15 647)</w:t>
            </w:r>
          </w:p>
        </w:tc>
        <w:tc>
          <w:tcPr>
            <w:tcW w:w="794" w:type="dxa"/>
          </w:tcPr>
          <w:p w14:paraId="7A130AE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(17 170)</w:t>
            </w:r>
          </w:p>
        </w:tc>
        <w:tc>
          <w:tcPr>
            <w:tcW w:w="794" w:type="dxa"/>
          </w:tcPr>
          <w:p w14:paraId="4796C38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(17 287)</w:t>
            </w:r>
          </w:p>
        </w:tc>
        <w:tc>
          <w:tcPr>
            <w:tcW w:w="794" w:type="dxa"/>
          </w:tcPr>
          <w:p w14:paraId="7DD8942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(17 141)</w:t>
            </w:r>
          </w:p>
        </w:tc>
        <w:tc>
          <w:tcPr>
            <w:tcW w:w="794" w:type="dxa"/>
          </w:tcPr>
          <w:p w14:paraId="78B92C4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(15 066)</w:t>
            </w:r>
          </w:p>
        </w:tc>
      </w:tr>
      <w:tr w:rsidR="009C6724" w14:paraId="7ADB326D" w14:textId="77777777" w:rsidTr="009C6724">
        <w:tc>
          <w:tcPr>
            <w:cnfStyle w:val="001000000000" w:firstRow="0" w:lastRow="0" w:firstColumn="1" w:lastColumn="0" w:oddVBand="0" w:evenVBand="0" w:oddHBand="0" w:evenHBand="0" w:firstRowFirstColumn="0" w:firstRowLastColumn="0" w:lastRowFirstColumn="0" w:lastRowLastColumn="0"/>
            <w:tcW w:w="3173" w:type="dxa"/>
            <w:tcBorders>
              <w:bottom w:val="single" w:sz="6" w:space="0" w:color="auto"/>
            </w:tcBorders>
          </w:tcPr>
          <w:p w14:paraId="6E7B0E80" w14:textId="77777777" w:rsidR="00AB205D" w:rsidRDefault="00471A3B">
            <w:r>
              <w:rPr>
                <w:sz w:val="16"/>
              </w:rPr>
              <w:t>Sales of non</w:t>
            </w:r>
            <w:r>
              <w:rPr>
                <w:sz w:val="16"/>
              </w:rPr>
              <w:noBreakHyphen/>
              <w:t>financial assets</w:t>
            </w:r>
          </w:p>
        </w:tc>
        <w:tc>
          <w:tcPr>
            <w:tcW w:w="567" w:type="dxa"/>
            <w:tcBorders>
              <w:bottom w:val="single" w:sz="6" w:space="0" w:color="auto"/>
            </w:tcBorders>
          </w:tcPr>
          <w:p w14:paraId="01E836EB" w14:textId="77777777" w:rsidR="00AB205D" w:rsidRDefault="00AB205D">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bottom w:val="single" w:sz="6" w:space="0" w:color="auto"/>
            </w:tcBorders>
          </w:tcPr>
          <w:p w14:paraId="448F96E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545</w:t>
            </w:r>
          </w:p>
        </w:tc>
        <w:tc>
          <w:tcPr>
            <w:tcW w:w="794" w:type="dxa"/>
            <w:tcBorders>
              <w:bottom w:val="single" w:sz="6" w:space="0" w:color="auto"/>
            </w:tcBorders>
          </w:tcPr>
          <w:p w14:paraId="539E263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570</w:t>
            </w:r>
          </w:p>
        </w:tc>
        <w:tc>
          <w:tcPr>
            <w:tcW w:w="794" w:type="dxa"/>
            <w:tcBorders>
              <w:bottom w:val="single" w:sz="6" w:space="0" w:color="auto"/>
            </w:tcBorders>
          </w:tcPr>
          <w:p w14:paraId="752C0EB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585</w:t>
            </w:r>
          </w:p>
        </w:tc>
        <w:tc>
          <w:tcPr>
            <w:tcW w:w="794" w:type="dxa"/>
            <w:tcBorders>
              <w:bottom w:val="single" w:sz="6" w:space="0" w:color="auto"/>
            </w:tcBorders>
          </w:tcPr>
          <w:p w14:paraId="363CCE4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735</w:t>
            </w:r>
          </w:p>
        </w:tc>
        <w:tc>
          <w:tcPr>
            <w:tcW w:w="794" w:type="dxa"/>
            <w:tcBorders>
              <w:bottom w:val="single" w:sz="6" w:space="0" w:color="auto"/>
            </w:tcBorders>
          </w:tcPr>
          <w:p w14:paraId="55C17CB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466</w:t>
            </w:r>
          </w:p>
        </w:tc>
      </w:tr>
      <w:tr w:rsidR="009C6724" w14:paraId="13C55775" w14:textId="77777777" w:rsidTr="009C672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tcBorders>
          </w:tcPr>
          <w:p w14:paraId="462A82A6" w14:textId="77777777" w:rsidR="00AB205D" w:rsidRDefault="00471A3B">
            <w:r>
              <w:rPr>
                <w:b/>
                <w:sz w:val="16"/>
              </w:rPr>
              <w:t>Net cash flows from investments in non</w:t>
            </w:r>
            <w:r>
              <w:rPr>
                <w:b/>
                <w:sz w:val="16"/>
              </w:rPr>
              <w:noBreakHyphen/>
              <w:t>financial assets</w:t>
            </w:r>
          </w:p>
        </w:tc>
        <w:tc>
          <w:tcPr>
            <w:tcW w:w="567" w:type="dxa"/>
            <w:tcBorders>
              <w:top w:val="single" w:sz="6" w:space="0" w:color="auto"/>
            </w:tcBorders>
          </w:tcPr>
          <w:p w14:paraId="67E2E84E" w14:textId="77777777" w:rsidR="00AB205D" w:rsidRDefault="00AB205D">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06F6D58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(15 102)</w:t>
            </w:r>
          </w:p>
        </w:tc>
        <w:tc>
          <w:tcPr>
            <w:tcW w:w="794" w:type="dxa"/>
            <w:tcBorders>
              <w:top w:val="single" w:sz="6" w:space="0" w:color="auto"/>
            </w:tcBorders>
          </w:tcPr>
          <w:p w14:paraId="466B343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(16 600)</w:t>
            </w:r>
          </w:p>
        </w:tc>
        <w:tc>
          <w:tcPr>
            <w:tcW w:w="794" w:type="dxa"/>
            <w:tcBorders>
              <w:top w:val="single" w:sz="6" w:space="0" w:color="auto"/>
            </w:tcBorders>
          </w:tcPr>
          <w:p w14:paraId="19BE684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(16 702)</w:t>
            </w:r>
          </w:p>
        </w:tc>
        <w:tc>
          <w:tcPr>
            <w:tcW w:w="794" w:type="dxa"/>
            <w:tcBorders>
              <w:top w:val="single" w:sz="6" w:space="0" w:color="auto"/>
            </w:tcBorders>
          </w:tcPr>
          <w:p w14:paraId="38B3979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(16 406)</w:t>
            </w:r>
          </w:p>
        </w:tc>
        <w:tc>
          <w:tcPr>
            <w:tcW w:w="794" w:type="dxa"/>
            <w:tcBorders>
              <w:top w:val="single" w:sz="6" w:space="0" w:color="auto"/>
            </w:tcBorders>
          </w:tcPr>
          <w:p w14:paraId="5CCBDC0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(14 600)</w:t>
            </w:r>
          </w:p>
        </w:tc>
      </w:tr>
      <w:tr w:rsidR="009C6724" w14:paraId="74E1FCFF" w14:textId="77777777" w:rsidTr="009C6724">
        <w:tc>
          <w:tcPr>
            <w:cnfStyle w:val="001000000000" w:firstRow="0" w:lastRow="0" w:firstColumn="1" w:lastColumn="0" w:oddVBand="0" w:evenVBand="0" w:oddHBand="0" w:evenHBand="0" w:firstRowFirstColumn="0" w:firstRowLastColumn="0" w:lastRowFirstColumn="0" w:lastRowLastColumn="0"/>
            <w:tcW w:w="3173" w:type="dxa"/>
            <w:tcBorders>
              <w:bottom w:val="single" w:sz="6" w:space="0" w:color="auto"/>
            </w:tcBorders>
          </w:tcPr>
          <w:p w14:paraId="14B8E598" w14:textId="77777777" w:rsidR="00AB205D" w:rsidRDefault="00471A3B">
            <w:r>
              <w:rPr>
                <w:sz w:val="16"/>
              </w:rPr>
              <w:t>Net cash flows from investments in financial assets for policy purposes</w:t>
            </w:r>
          </w:p>
        </w:tc>
        <w:tc>
          <w:tcPr>
            <w:tcW w:w="567" w:type="dxa"/>
            <w:tcBorders>
              <w:bottom w:val="single" w:sz="6" w:space="0" w:color="auto"/>
            </w:tcBorders>
          </w:tcPr>
          <w:p w14:paraId="144CB3A4" w14:textId="77777777" w:rsidR="00AB205D" w:rsidRDefault="00AB205D">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bottom w:val="single" w:sz="6" w:space="0" w:color="auto"/>
            </w:tcBorders>
          </w:tcPr>
          <w:p w14:paraId="5D944FA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(3 648)</w:t>
            </w:r>
          </w:p>
        </w:tc>
        <w:tc>
          <w:tcPr>
            <w:tcW w:w="794" w:type="dxa"/>
            <w:tcBorders>
              <w:bottom w:val="single" w:sz="6" w:space="0" w:color="auto"/>
            </w:tcBorders>
          </w:tcPr>
          <w:p w14:paraId="1DBF9E0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(2 650)</w:t>
            </w:r>
          </w:p>
        </w:tc>
        <w:tc>
          <w:tcPr>
            <w:tcW w:w="794" w:type="dxa"/>
            <w:tcBorders>
              <w:bottom w:val="single" w:sz="6" w:space="0" w:color="auto"/>
            </w:tcBorders>
          </w:tcPr>
          <w:p w14:paraId="5B1EDB9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(3 363)</w:t>
            </w:r>
          </w:p>
        </w:tc>
        <w:tc>
          <w:tcPr>
            <w:tcW w:w="794" w:type="dxa"/>
            <w:tcBorders>
              <w:bottom w:val="single" w:sz="6" w:space="0" w:color="auto"/>
            </w:tcBorders>
          </w:tcPr>
          <w:p w14:paraId="49DA462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(2 282)</w:t>
            </w:r>
          </w:p>
        </w:tc>
        <w:tc>
          <w:tcPr>
            <w:tcW w:w="794" w:type="dxa"/>
            <w:tcBorders>
              <w:bottom w:val="single" w:sz="6" w:space="0" w:color="auto"/>
            </w:tcBorders>
          </w:tcPr>
          <w:p w14:paraId="55C154E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(2 760)</w:t>
            </w:r>
          </w:p>
        </w:tc>
      </w:tr>
      <w:tr w:rsidR="009C6724" w14:paraId="5E06491F" w14:textId="77777777" w:rsidTr="009C672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tcBorders>
          </w:tcPr>
          <w:p w14:paraId="1CB3CADC" w14:textId="77777777" w:rsidR="00AB205D" w:rsidRDefault="00471A3B">
            <w:r>
              <w:rPr>
                <w:b/>
                <w:sz w:val="16"/>
              </w:rPr>
              <w:t>Subtotal</w:t>
            </w:r>
          </w:p>
        </w:tc>
        <w:tc>
          <w:tcPr>
            <w:tcW w:w="567" w:type="dxa"/>
            <w:tcBorders>
              <w:top w:val="single" w:sz="6" w:space="0" w:color="auto"/>
            </w:tcBorders>
          </w:tcPr>
          <w:p w14:paraId="387A1617" w14:textId="77777777" w:rsidR="00AB205D" w:rsidRDefault="00AB205D">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EAE44B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(18 750)</w:t>
            </w:r>
          </w:p>
        </w:tc>
        <w:tc>
          <w:tcPr>
            <w:tcW w:w="794" w:type="dxa"/>
            <w:tcBorders>
              <w:top w:val="single" w:sz="6" w:space="0" w:color="auto"/>
            </w:tcBorders>
          </w:tcPr>
          <w:p w14:paraId="3E8F5B4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(19 250)</w:t>
            </w:r>
          </w:p>
        </w:tc>
        <w:tc>
          <w:tcPr>
            <w:tcW w:w="794" w:type="dxa"/>
            <w:tcBorders>
              <w:top w:val="single" w:sz="6" w:space="0" w:color="auto"/>
            </w:tcBorders>
          </w:tcPr>
          <w:p w14:paraId="1CAD861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(20 066)</w:t>
            </w:r>
          </w:p>
        </w:tc>
        <w:tc>
          <w:tcPr>
            <w:tcW w:w="794" w:type="dxa"/>
            <w:tcBorders>
              <w:top w:val="single" w:sz="6" w:space="0" w:color="auto"/>
            </w:tcBorders>
          </w:tcPr>
          <w:p w14:paraId="47FEDFC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(18 688)</w:t>
            </w:r>
          </w:p>
        </w:tc>
        <w:tc>
          <w:tcPr>
            <w:tcW w:w="794" w:type="dxa"/>
            <w:tcBorders>
              <w:top w:val="single" w:sz="6" w:space="0" w:color="auto"/>
            </w:tcBorders>
          </w:tcPr>
          <w:p w14:paraId="17DB959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(17 359)</w:t>
            </w:r>
          </w:p>
        </w:tc>
      </w:tr>
      <w:tr w:rsidR="009C6724" w14:paraId="0341D147" w14:textId="77777777" w:rsidTr="009C6724">
        <w:tc>
          <w:tcPr>
            <w:cnfStyle w:val="001000000000" w:firstRow="0" w:lastRow="0" w:firstColumn="1" w:lastColumn="0" w:oddVBand="0" w:evenVBand="0" w:oddHBand="0" w:evenHBand="0" w:firstRowFirstColumn="0" w:firstRowLastColumn="0" w:lastRowFirstColumn="0" w:lastRowLastColumn="0"/>
            <w:tcW w:w="3173" w:type="dxa"/>
            <w:tcBorders>
              <w:bottom w:val="single" w:sz="6" w:space="0" w:color="auto"/>
            </w:tcBorders>
          </w:tcPr>
          <w:p w14:paraId="32301BDB" w14:textId="77777777" w:rsidR="00AB205D" w:rsidRDefault="00471A3B">
            <w:r>
              <w:rPr>
                <w:sz w:val="16"/>
              </w:rPr>
              <w:t>Net cash flows from investment in financial assets for liquidity management purposes</w:t>
            </w:r>
          </w:p>
        </w:tc>
        <w:tc>
          <w:tcPr>
            <w:tcW w:w="567" w:type="dxa"/>
            <w:tcBorders>
              <w:bottom w:val="single" w:sz="6" w:space="0" w:color="auto"/>
            </w:tcBorders>
          </w:tcPr>
          <w:p w14:paraId="7AA9621E" w14:textId="77777777" w:rsidR="00AB205D" w:rsidRDefault="00AB205D">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bottom w:val="single" w:sz="6" w:space="0" w:color="auto"/>
            </w:tcBorders>
          </w:tcPr>
          <w:p w14:paraId="4F2616A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(9 516)</w:t>
            </w:r>
          </w:p>
        </w:tc>
        <w:tc>
          <w:tcPr>
            <w:tcW w:w="794" w:type="dxa"/>
            <w:tcBorders>
              <w:bottom w:val="single" w:sz="6" w:space="0" w:color="auto"/>
            </w:tcBorders>
          </w:tcPr>
          <w:p w14:paraId="033EF08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(9 839)</w:t>
            </w:r>
          </w:p>
        </w:tc>
        <w:tc>
          <w:tcPr>
            <w:tcW w:w="794" w:type="dxa"/>
            <w:tcBorders>
              <w:bottom w:val="single" w:sz="6" w:space="0" w:color="auto"/>
            </w:tcBorders>
          </w:tcPr>
          <w:p w14:paraId="209E8DA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(1 498)</w:t>
            </w:r>
          </w:p>
        </w:tc>
        <w:tc>
          <w:tcPr>
            <w:tcW w:w="794" w:type="dxa"/>
            <w:tcBorders>
              <w:bottom w:val="single" w:sz="6" w:space="0" w:color="auto"/>
            </w:tcBorders>
          </w:tcPr>
          <w:p w14:paraId="7DAC863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(1 651)</w:t>
            </w:r>
          </w:p>
        </w:tc>
        <w:tc>
          <w:tcPr>
            <w:tcW w:w="794" w:type="dxa"/>
            <w:tcBorders>
              <w:bottom w:val="single" w:sz="6" w:space="0" w:color="auto"/>
            </w:tcBorders>
          </w:tcPr>
          <w:p w14:paraId="5EA5372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(1 931)</w:t>
            </w:r>
          </w:p>
        </w:tc>
      </w:tr>
      <w:tr w:rsidR="009C6724" w14:paraId="30E9CC7B" w14:textId="77777777" w:rsidTr="009C672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tcBorders>
          </w:tcPr>
          <w:p w14:paraId="0F0638CF" w14:textId="77777777" w:rsidR="00AB205D" w:rsidRDefault="00471A3B">
            <w:r>
              <w:rPr>
                <w:b/>
                <w:sz w:val="16"/>
              </w:rPr>
              <w:t>Net cash flows from investing activities</w:t>
            </w:r>
          </w:p>
        </w:tc>
        <w:tc>
          <w:tcPr>
            <w:tcW w:w="567" w:type="dxa"/>
            <w:tcBorders>
              <w:top w:val="single" w:sz="6" w:space="0" w:color="auto"/>
            </w:tcBorders>
          </w:tcPr>
          <w:p w14:paraId="7CBE1086" w14:textId="77777777" w:rsidR="00AB205D" w:rsidRDefault="00AB205D">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228CE5C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(28 267)</w:t>
            </w:r>
          </w:p>
        </w:tc>
        <w:tc>
          <w:tcPr>
            <w:tcW w:w="794" w:type="dxa"/>
            <w:tcBorders>
              <w:top w:val="single" w:sz="6" w:space="0" w:color="auto"/>
            </w:tcBorders>
          </w:tcPr>
          <w:p w14:paraId="1258024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(29 090)</w:t>
            </w:r>
          </w:p>
        </w:tc>
        <w:tc>
          <w:tcPr>
            <w:tcW w:w="794" w:type="dxa"/>
            <w:tcBorders>
              <w:top w:val="single" w:sz="6" w:space="0" w:color="auto"/>
            </w:tcBorders>
          </w:tcPr>
          <w:p w14:paraId="555CF2E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(21 563)</w:t>
            </w:r>
          </w:p>
        </w:tc>
        <w:tc>
          <w:tcPr>
            <w:tcW w:w="794" w:type="dxa"/>
            <w:tcBorders>
              <w:top w:val="single" w:sz="6" w:space="0" w:color="auto"/>
            </w:tcBorders>
          </w:tcPr>
          <w:p w14:paraId="69DE705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(20 339)</w:t>
            </w:r>
          </w:p>
        </w:tc>
        <w:tc>
          <w:tcPr>
            <w:tcW w:w="794" w:type="dxa"/>
            <w:tcBorders>
              <w:top w:val="single" w:sz="6" w:space="0" w:color="auto"/>
            </w:tcBorders>
          </w:tcPr>
          <w:p w14:paraId="158881D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(19 290)</w:t>
            </w:r>
          </w:p>
        </w:tc>
      </w:tr>
      <w:tr w:rsidR="009C6724" w14:paraId="2BFB4F9F" w14:textId="77777777" w:rsidTr="009C6724">
        <w:tc>
          <w:tcPr>
            <w:cnfStyle w:val="001000000000" w:firstRow="0" w:lastRow="0" w:firstColumn="1" w:lastColumn="0" w:oddVBand="0" w:evenVBand="0" w:oddHBand="0" w:evenHBand="0" w:firstRowFirstColumn="0" w:firstRowLastColumn="0" w:lastRowFirstColumn="0" w:lastRowLastColumn="0"/>
            <w:tcW w:w="3173" w:type="dxa"/>
          </w:tcPr>
          <w:p w14:paraId="14564714" w14:textId="77777777" w:rsidR="00AB205D" w:rsidRDefault="00471A3B">
            <w:r>
              <w:rPr>
                <w:b/>
                <w:sz w:val="16"/>
              </w:rPr>
              <w:t>Cash flows from financing activities</w:t>
            </w:r>
          </w:p>
        </w:tc>
        <w:tc>
          <w:tcPr>
            <w:tcW w:w="567" w:type="dxa"/>
          </w:tcPr>
          <w:p w14:paraId="4CF18D2D" w14:textId="77777777" w:rsidR="00AB205D" w:rsidRDefault="00AB205D">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69C1D90D"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4CB0C288"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423AA15"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5740B6D4"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68B2BCA1"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25D61C56" w14:textId="77777777" w:rsidTr="009C6724">
        <w:tc>
          <w:tcPr>
            <w:cnfStyle w:val="001000000000" w:firstRow="0" w:lastRow="0" w:firstColumn="1" w:lastColumn="0" w:oddVBand="0" w:evenVBand="0" w:oddHBand="0" w:evenHBand="0" w:firstRowFirstColumn="0" w:firstRowLastColumn="0" w:lastRowFirstColumn="0" w:lastRowLastColumn="0"/>
            <w:tcW w:w="3173" w:type="dxa"/>
          </w:tcPr>
          <w:p w14:paraId="632A4626" w14:textId="77777777" w:rsidR="00AB205D" w:rsidRDefault="00471A3B">
            <w:r>
              <w:rPr>
                <w:sz w:val="16"/>
              </w:rPr>
              <w:t>Advances received (net)</w:t>
            </w:r>
          </w:p>
        </w:tc>
        <w:tc>
          <w:tcPr>
            <w:tcW w:w="567" w:type="dxa"/>
          </w:tcPr>
          <w:p w14:paraId="67D21344" w14:textId="77777777" w:rsidR="00AB205D" w:rsidRDefault="00AB205D">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013A146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(34)</w:t>
            </w:r>
          </w:p>
        </w:tc>
        <w:tc>
          <w:tcPr>
            <w:tcW w:w="794" w:type="dxa"/>
          </w:tcPr>
          <w:p w14:paraId="2C2CD70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(34)</w:t>
            </w:r>
          </w:p>
        </w:tc>
        <w:tc>
          <w:tcPr>
            <w:tcW w:w="794" w:type="dxa"/>
          </w:tcPr>
          <w:p w14:paraId="4F42292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(79)</w:t>
            </w:r>
          </w:p>
        </w:tc>
        <w:tc>
          <w:tcPr>
            <w:tcW w:w="794" w:type="dxa"/>
          </w:tcPr>
          <w:p w14:paraId="3832451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(48)</w:t>
            </w:r>
          </w:p>
        </w:tc>
        <w:tc>
          <w:tcPr>
            <w:tcW w:w="794" w:type="dxa"/>
          </w:tcPr>
          <w:p w14:paraId="7B91DCF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w:t>
            </w:r>
          </w:p>
        </w:tc>
      </w:tr>
      <w:tr w:rsidR="009C6724" w14:paraId="68BF2A3A" w14:textId="77777777" w:rsidTr="009C6724">
        <w:tc>
          <w:tcPr>
            <w:cnfStyle w:val="001000000000" w:firstRow="0" w:lastRow="0" w:firstColumn="1" w:lastColumn="0" w:oddVBand="0" w:evenVBand="0" w:oddHBand="0" w:evenHBand="0" w:firstRowFirstColumn="0" w:firstRowLastColumn="0" w:lastRowFirstColumn="0" w:lastRowLastColumn="0"/>
            <w:tcW w:w="3173" w:type="dxa"/>
          </w:tcPr>
          <w:p w14:paraId="2209E2CA" w14:textId="77777777" w:rsidR="00AB205D" w:rsidRDefault="00471A3B">
            <w:r>
              <w:rPr>
                <w:sz w:val="16"/>
              </w:rPr>
              <w:t>Net borrowings</w:t>
            </w:r>
          </w:p>
        </w:tc>
        <w:tc>
          <w:tcPr>
            <w:tcW w:w="567" w:type="dxa"/>
          </w:tcPr>
          <w:p w14:paraId="704E2729" w14:textId="77777777" w:rsidR="00AB205D" w:rsidRDefault="00AB205D">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0141508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19 978</w:t>
            </w:r>
          </w:p>
        </w:tc>
        <w:tc>
          <w:tcPr>
            <w:tcW w:w="794" w:type="dxa"/>
          </w:tcPr>
          <w:p w14:paraId="41BBE00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21 497</w:t>
            </w:r>
          </w:p>
        </w:tc>
        <w:tc>
          <w:tcPr>
            <w:tcW w:w="794" w:type="dxa"/>
          </w:tcPr>
          <w:p w14:paraId="5F8F40B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18 737</w:t>
            </w:r>
          </w:p>
        </w:tc>
        <w:tc>
          <w:tcPr>
            <w:tcW w:w="794" w:type="dxa"/>
          </w:tcPr>
          <w:p w14:paraId="15B2AAA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15 117</w:t>
            </w:r>
          </w:p>
        </w:tc>
        <w:tc>
          <w:tcPr>
            <w:tcW w:w="794" w:type="dxa"/>
          </w:tcPr>
          <w:p w14:paraId="0249EAB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14 156</w:t>
            </w:r>
          </w:p>
        </w:tc>
      </w:tr>
      <w:tr w:rsidR="009C6724" w14:paraId="75364803" w14:textId="77777777" w:rsidTr="009C672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bottom w:val="single" w:sz="6" w:space="0" w:color="auto"/>
            </w:tcBorders>
          </w:tcPr>
          <w:p w14:paraId="08C3DD8D" w14:textId="77777777" w:rsidR="00AB205D" w:rsidRDefault="00471A3B">
            <w:r>
              <w:rPr>
                <w:b/>
                <w:sz w:val="16"/>
              </w:rPr>
              <w:t>Net cash flows from financing activities</w:t>
            </w:r>
          </w:p>
        </w:tc>
        <w:tc>
          <w:tcPr>
            <w:tcW w:w="567" w:type="dxa"/>
            <w:tcBorders>
              <w:top w:val="single" w:sz="6" w:space="0" w:color="auto"/>
              <w:bottom w:val="single" w:sz="6" w:space="0" w:color="auto"/>
            </w:tcBorders>
          </w:tcPr>
          <w:p w14:paraId="5D17129C"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bottom w:val="single" w:sz="6" w:space="0" w:color="auto"/>
            </w:tcBorders>
          </w:tcPr>
          <w:p w14:paraId="5931C0D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19 944</w:t>
            </w:r>
          </w:p>
        </w:tc>
        <w:tc>
          <w:tcPr>
            <w:tcW w:w="794" w:type="dxa"/>
            <w:tcBorders>
              <w:top w:val="single" w:sz="6" w:space="0" w:color="auto"/>
              <w:bottom w:val="single" w:sz="6" w:space="0" w:color="auto"/>
            </w:tcBorders>
          </w:tcPr>
          <w:p w14:paraId="64BFCD9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21 463</w:t>
            </w:r>
          </w:p>
        </w:tc>
        <w:tc>
          <w:tcPr>
            <w:tcW w:w="794" w:type="dxa"/>
            <w:tcBorders>
              <w:top w:val="single" w:sz="6" w:space="0" w:color="auto"/>
              <w:bottom w:val="single" w:sz="6" w:space="0" w:color="auto"/>
            </w:tcBorders>
          </w:tcPr>
          <w:p w14:paraId="2D3F4A1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18 657</w:t>
            </w:r>
          </w:p>
        </w:tc>
        <w:tc>
          <w:tcPr>
            <w:tcW w:w="794" w:type="dxa"/>
            <w:tcBorders>
              <w:top w:val="single" w:sz="6" w:space="0" w:color="auto"/>
              <w:bottom w:val="single" w:sz="6" w:space="0" w:color="auto"/>
            </w:tcBorders>
          </w:tcPr>
          <w:p w14:paraId="700A103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15 069</w:t>
            </w:r>
          </w:p>
        </w:tc>
        <w:tc>
          <w:tcPr>
            <w:tcW w:w="794" w:type="dxa"/>
            <w:tcBorders>
              <w:top w:val="single" w:sz="6" w:space="0" w:color="auto"/>
              <w:bottom w:val="single" w:sz="6" w:space="0" w:color="auto"/>
            </w:tcBorders>
          </w:tcPr>
          <w:p w14:paraId="4D1D399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14 155</w:t>
            </w:r>
          </w:p>
        </w:tc>
      </w:tr>
      <w:tr w:rsidR="009C6724" w14:paraId="0D01ECCC" w14:textId="77777777" w:rsidTr="009C672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tcBorders>
          </w:tcPr>
          <w:p w14:paraId="3E75A136" w14:textId="77777777" w:rsidR="00AB205D" w:rsidRDefault="00471A3B">
            <w:r>
              <w:rPr>
                <w:b/>
                <w:sz w:val="16"/>
              </w:rPr>
              <w:t>Net increase/(decrease) in cash and cash equivalents</w:t>
            </w:r>
          </w:p>
        </w:tc>
        <w:tc>
          <w:tcPr>
            <w:tcW w:w="567" w:type="dxa"/>
            <w:tcBorders>
              <w:top w:val="single" w:sz="6" w:space="0" w:color="auto"/>
            </w:tcBorders>
          </w:tcPr>
          <w:p w14:paraId="41B673DA"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0F8746D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(7 494)</w:t>
            </w:r>
          </w:p>
        </w:tc>
        <w:tc>
          <w:tcPr>
            <w:tcW w:w="794" w:type="dxa"/>
            <w:tcBorders>
              <w:top w:val="single" w:sz="6" w:space="0" w:color="auto"/>
            </w:tcBorders>
          </w:tcPr>
          <w:p w14:paraId="53B66FD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(7 318)</w:t>
            </w:r>
          </w:p>
        </w:tc>
        <w:tc>
          <w:tcPr>
            <w:tcW w:w="794" w:type="dxa"/>
            <w:tcBorders>
              <w:top w:val="single" w:sz="6" w:space="0" w:color="auto"/>
            </w:tcBorders>
          </w:tcPr>
          <w:p w14:paraId="18EE5A7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736</w:t>
            </w:r>
          </w:p>
        </w:tc>
        <w:tc>
          <w:tcPr>
            <w:tcW w:w="794" w:type="dxa"/>
            <w:tcBorders>
              <w:top w:val="single" w:sz="6" w:space="0" w:color="auto"/>
            </w:tcBorders>
          </w:tcPr>
          <w:p w14:paraId="0B1221C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796</w:t>
            </w:r>
          </w:p>
        </w:tc>
        <w:tc>
          <w:tcPr>
            <w:tcW w:w="794" w:type="dxa"/>
            <w:tcBorders>
              <w:top w:val="single" w:sz="6" w:space="0" w:color="auto"/>
            </w:tcBorders>
          </w:tcPr>
          <w:p w14:paraId="51A6F49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767</w:t>
            </w:r>
          </w:p>
        </w:tc>
      </w:tr>
      <w:tr w:rsidR="009C6724" w14:paraId="3E7A6D04" w14:textId="77777777" w:rsidTr="009C6724">
        <w:tc>
          <w:tcPr>
            <w:cnfStyle w:val="001000000000" w:firstRow="0" w:lastRow="0" w:firstColumn="1" w:lastColumn="0" w:oddVBand="0" w:evenVBand="0" w:oddHBand="0" w:evenHBand="0" w:firstRowFirstColumn="0" w:firstRowLastColumn="0" w:lastRowFirstColumn="0" w:lastRowLastColumn="0"/>
            <w:tcW w:w="3173" w:type="dxa"/>
            <w:tcBorders>
              <w:bottom w:val="single" w:sz="6" w:space="0" w:color="auto"/>
            </w:tcBorders>
          </w:tcPr>
          <w:p w14:paraId="1DE5FA78" w14:textId="77777777" w:rsidR="00AB205D" w:rsidRDefault="00471A3B">
            <w:r>
              <w:rPr>
                <w:sz w:val="16"/>
              </w:rPr>
              <w:t>Cash and cash equivalents at beginning of reporting period</w:t>
            </w:r>
            <w:r>
              <w:rPr>
                <w:sz w:val="16"/>
                <w:vertAlign w:val="superscript"/>
              </w:rPr>
              <w:t xml:space="preserve"> (b)</w:t>
            </w:r>
          </w:p>
        </w:tc>
        <w:tc>
          <w:tcPr>
            <w:tcW w:w="567" w:type="dxa"/>
            <w:tcBorders>
              <w:bottom w:val="single" w:sz="6" w:space="0" w:color="auto"/>
            </w:tcBorders>
          </w:tcPr>
          <w:p w14:paraId="1AC69574"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bottom w:val="single" w:sz="6" w:space="0" w:color="auto"/>
            </w:tcBorders>
          </w:tcPr>
          <w:p w14:paraId="4F603E0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19 698</w:t>
            </w:r>
          </w:p>
        </w:tc>
        <w:tc>
          <w:tcPr>
            <w:tcW w:w="794" w:type="dxa"/>
            <w:tcBorders>
              <w:bottom w:val="single" w:sz="6" w:space="0" w:color="auto"/>
            </w:tcBorders>
          </w:tcPr>
          <w:p w14:paraId="3A38B04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19 698</w:t>
            </w:r>
          </w:p>
        </w:tc>
        <w:tc>
          <w:tcPr>
            <w:tcW w:w="794" w:type="dxa"/>
            <w:tcBorders>
              <w:bottom w:val="single" w:sz="6" w:space="0" w:color="auto"/>
            </w:tcBorders>
          </w:tcPr>
          <w:p w14:paraId="2BCF081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12 380</w:t>
            </w:r>
          </w:p>
        </w:tc>
        <w:tc>
          <w:tcPr>
            <w:tcW w:w="794" w:type="dxa"/>
            <w:tcBorders>
              <w:bottom w:val="single" w:sz="6" w:space="0" w:color="auto"/>
            </w:tcBorders>
          </w:tcPr>
          <w:p w14:paraId="4076C0C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13 116</w:t>
            </w:r>
          </w:p>
        </w:tc>
        <w:tc>
          <w:tcPr>
            <w:tcW w:w="794" w:type="dxa"/>
            <w:tcBorders>
              <w:bottom w:val="single" w:sz="6" w:space="0" w:color="auto"/>
            </w:tcBorders>
          </w:tcPr>
          <w:p w14:paraId="26CDC13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13 912</w:t>
            </w:r>
          </w:p>
        </w:tc>
      </w:tr>
      <w:tr w:rsidR="009C6724" w14:paraId="374F15AA" w14:textId="77777777" w:rsidTr="009C672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bottom w:val="single" w:sz="6" w:space="0" w:color="auto"/>
            </w:tcBorders>
          </w:tcPr>
          <w:p w14:paraId="79B50CF7" w14:textId="77777777" w:rsidR="00AB205D" w:rsidRDefault="00471A3B">
            <w:r>
              <w:rPr>
                <w:b/>
                <w:sz w:val="16"/>
              </w:rPr>
              <w:t>Cash and cash equivalents at end of reporting period</w:t>
            </w:r>
            <w:r>
              <w:rPr>
                <w:b/>
                <w:sz w:val="16"/>
                <w:vertAlign w:val="superscript"/>
              </w:rPr>
              <w:t xml:space="preserve"> (b)</w:t>
            </w:r>
          </w:p>
        </w:tc>
        <w:tc>
          <w:tcPr>
            <w:tcW w:w="567" w:type="dxa"/>
            <w:tcBorders>
              <w:top w:val="single" w:sz="6" w:space="0" w:color="auto"/>
              <w:bottom w:val="single" w:sz="6" w:space="0" w:color="auto"/>
            </w:tcBorders>
          </w:tcPr>
          <w:p w14:paraId="31BF49C1"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bottom w:val="single" w:sz="6" w:space="0" w:color="auto"/>
            </w:tcBorders>
          </w:tcPr>
          <w:p w14:paraId="127D4BD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12 204</w:t>
            </w:r>
          </w:p>
        </w:tc>
        <w:tc>
          <w:tcPr>
            <w:tcW w:w="794" w:type="dxa"/>
            <w:tcBorders>
              <w:top w:val="single" w:sz="6" w:space="0" w:color="auto"/>
              <w:bottom w:val="single" w:sz="6" w:space="0" w:color="auto"/>
            </w:tcBorders>
          </w:tcPr>
          <w:p w14:paraId="6BD3C2C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12 380</w:t>
            </w:r>
          </w:p>
        </w:tc>
        <w:tc>
          <w:tcPr>
            <w:tcW w:w="794" w:type="dxa"/>
            <w:tcBorders>
              <w:top w:val="single" w:sz="6" w:space="0" w:color="auto"/>
              <w:bottom w:val="single" w:sz="6" w:space="0" w:color="auto"/>
            </w:tcBorders>
          </w:tcPr>
          <w:p w14:paraId="35E3812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13 116</w:t>
            </w:r>
          </w:p>
        </w:tc>
        <w:tc>
          <w:tcPr>
            <w:tcW w:w="794" w:type="dxa"/>
            <w:tcBorders>
              <w:top w:val="single" w:sz="6" w:space="0" w:color="auto"/>
              <w:bottom w:val="single" w:sz="6" w:space="0" w:color="auto"/>
            </w:tcBorders>
          </w:tcPr>
          <w:p w14:paraId="73DE14D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13 912</w:t>
            </w:r>
          </w:p>
        </w:tc>
        <w:tc>
          <w:tcPr>
            <w:tcW w:w="794" w:type="dxa"/>
            <w:tcBorders>
              <w:top w:val="single" w:sz="6" w:space="0" w:color="auto"/>
              <w:bottom w:val="single" w:sz="6" w:space="0" w:color="auto"/>
            </w:tcBorders>
          </w:tcPr>
          <w:p w14:paraId="29D3A43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14 679</w:t>
            </w:r>
          </w:p>
        </w:tc>
      </w:tr>
    </w:tbl>
    <w:p w14:paraId="6FFEEC21" w14:textId="77777777" w:rsidR="00AB205D" w:rsidRDefault="00471A3B">
      <w:pPr>
        <w:pStyle w:val="Heading10"/>
      </w:pPr>
      <w:bookmarkStart w:id="35" w:name="_Toc152933036"/>
      <w:r>
        <w:lastRenderedPageBreak/>
        <w:t>Estimated consolidated general government sector</w:t>
      </w:r>
      <w:r>
        <w:br/>
        <w:t xml:space="preserve">cash flow statement </w:t>
      </w:r>
      <w:r w:rsidRPr="00B8085A">
        <w:rPr>
          <w:i/>
          <w:iCs/>
          <w:sz w:val="22"/>
          <w:szCs w:val="24"/>
        </w:rPr>
        <w:t>(continued)</w:t>
      </w:r>
      <w:bookmarkEnd w:id="35"/>
    </w:p>
    <w:p w14:paraId="21B591DF" w14:textId="77777777" w:rsidR="00AB205D" w:rsidRDefault="00471A3B">
      <w:pPr>
        <w:pStyle w:val="TableHeading"/>
      </w:pPr>
      <w:r>
        <w:t>For the financial year ended 30 June</w:t>
      </w:r>
      <w:r>
        <w:tab/>
        <w:t>($ million)</w:t>
      </w:r>
    </w:p>
    <w:tbl>
      <w:tblPr>
        <w:tblStyle w:val="DTFTableNumeric"/>
        <w:tblW w:w="7710" w:type="dxa"/>
        <w:tblLayout w:type="fixed"/>
        <w:tblLook w:val="06A0" w:firstRow="1" w:lastRow="0" w:firstColumn="1" w:lastColumn="0" w:noHBand="1" w:noVBand="1"/>
        <w:tblDescription w:val="Type:DtfTable|Workbook:Rawdata\BudgetUpdate\Budget Update\Financial Statements\SRIMS exports\SRIMS_BU_EFS_CF_SOCIE.xlsx|Table:Cash_Flow_Statement|FirstRow:46|MergedHeadingRow:1"/>
      </w:tblPr>
      <w:tblGrid>
        <w:gridCol w:w="3173"/>
        <w:gridCol w:w="567"/>
        <w:gridCol w:w="794"/>
        <w:gridCol w:w="794"/>
        <w:gridCol w:w="794"/>
        <w:gridCol w:w="794"/>
        <w:gridCol w:w="794"/>
      </w:tblGrid>
      <w:tr w:rsidR="009C6724" w14:paraId="2A7D5059"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73" w:type="dxa"/>
          </w:tcPr>
          <w:p w14:paraId="4DA9D06F" w14:textId="77777777" w:rsidR="00AB205D" w:rsidRDefault="00AB205D">
            <w:pPr>
              <w:keepNext/>
            </w:pPr>
          </w:p>
        </w:tc>
        <w:tc>
          <w:tcPr>
            <w:tcW w:w="567" w:type="dxa"/>
          </w:tcPr>
          <w:p w14:paraId="06AE038D" w14:textId="77777777" w:rsidR="00AB205D" w:rsidRDefault="00471A3B">
            <w:pPr>
              <w:keepNext/>
              <w:jc w:val="center"/>
              <w:cnfStyle w:val="100000000000" w:firstRow="1" w:lastRow="0" w:firstColumn="0" w:lastColumn="0" w:oddVBand="0" w:evenVBand="0" w:oddHBand="0" w:evenHBand="0" w:firstRowFirstColumn="0" w:firstRowLastColumn="0" w:lastRowFirstColumn="0" w:lastRowLastColumn="0"/>
            </w:pPr>
            <w:r>
              <w:t>Notes</w:t>
            </w:r>
          </w:p>
        </w:tc>
        <w:tc>
          <w:tcPr>
            <w:tcW w:w="794" w:type="dxa"/>
          </w:tcPr>
          <w:p w14:paraId="5CCAE7CD"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rPr>
                <w:sz w:val="16"/>
              </w:rPr>
              <w:t>2023</w:t>
            </w:r>
            <w:r>
              <w:rPr>
                <w:sz w:val="16"/>
              </w:rPr>
              <w:noBreakHyphen/>
              <w:t>24</w:t>
            </w:r>
            <w:r>
              <w:br/>
              <w:t>budget</w:t>
            </w:r>
          </w:p>
        </w:tc>
        <w:tc>
          <w:tcPr>
            <w:tcW w:w="794" w:type="dxa"/>
          </w:tcPr>
          <w:p w14:paraId="6F2B8A6C"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rPr>
                <w:sz w:val="16"/>
              </w:rPr>
              <w:t>2023</w:t>
            </w:r>
            <w:r>
              <w:rPr>
                <w:sz w:val="16"/>
              </w:rPr>
              <w:noBreakHyphen/>
              <w:t>24</w:t>
            </w:r>
            <w:r>
              <w:br/>
              <w:t>revised</w:t>
            </w:r>
          </w:p>
        </w:tc>
        <w:tc>
          <w:tcPr>
            <w:tcW w:w="794" w:type="dxa"/>
          </w:tcPr>
          <w:p w14:paraId="746A4119"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rPr>
                <w:sz w:val="16"/>
              </w:rPr>
              <w:t>2024</w:t>
            </w:r>
            <w:r>
              <w:rPr>
                <w:sz w:val="16"/>
              </w:rPr>
              <w:noBreakHyphen/>
              <w:t>25</w:t>
            </w:r>
            <w:r>
              <w:br/>
              <w:t>estimate</w:t>
            </w:r>
          </w:p>
        </w:tc>
        <w:tc>
          <w:tcPr>
            <w:tcW w:w="794" w:type="dxa"/>
          </w:tcPr>
          <w:p w14:paraId="2B5063A1"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rPr>
                <w:sz w:val="16"/>
              </w:rPr>
              <w:t>2025</w:t>
            </w:r>
            <w:r>
              <w:rPr>
                <w:sz w:val="16"/>
              </w:rPr>
              <w:noBreakHyphen/>
              <w:t>26</w:t>
            </w:r>
            <w:r>
              <w:br/>
              <w:t>estimate</w:t>
            </w:r>
          </w:p>
        </w:tc>
        <w:tc>
          <w:tcPr>
            <w:tcW w:w="794" w:type="dxa"/>
          </w:tcPr>
          <w:p w14:paraId="460AE198"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rPr>
                <w:sz w:val="16"/>
              </w:rPr>
              <w:t>2026</w:t>
            </w:r>
            <w:r>
              <w:rPr>
                <w:sz w:val="16"/>
              </w:rPr>
              <w:noBreakHyphen/>
              <w:t>27</w:t>
            </w:r>
            <w:r>
              <w:br/>
              <w:t>estimate</w:t>
            </w:r>
          </w:p>
        </w:tc>
      </w:tr>
      <w:tr w:rsidR="009C6724" w14:paraId="080E4EDC" w14:textId="77777777" w:rsidTr="009C6724">
        <w:tc>
          <w:tcPr>
            <w:cnfStyle w:val="001000000000" w:firstRow="0" w:lastRow="0" w:firstColumn="1" w:lastColumn="0" w:oddVBand="0" w:evenVBand="0" w:oddHBand="0" w:evenHBand="0" w:firstRowFirstColumn="0" w:firstRowLastColumn="0" w:lastRowFirstColumn="0" w:lastRowLastColumn="0"/>
            <w:tcW w:w="3173" w:type="dxa"/>
          </w:tcPr>
          <w:p w14:paraId="24802ECA" w14:textId="77777777" w:rsidR="00AB205D" w:rsidRDefault="00471A3B">
            <w:r>
              <w:rPr>
                <w:b/>
                <w:sz w:val="16"/>
              </w:rPr>
              <w:t>FISCAL AGGREGATES</w:t>
            </w:r>
          </w:p>
        </w:tc>
        <w:tc>
          <w:tcPr>
            <w:tcW w:w="567" w:type="dxa"/>
          </w:tcPr>
          <w:p w14:paraId="648FC7A8"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7AEB74C9"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5EC2D6B"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40973903"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4730B73"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4C8AE8B5"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146D273D" w14:textId="77777777" w:rsidTr="009C6724">
        <w:tc>
          <w:tcPr>
            <w:cnfStyle w:val="001000000000" w:firstRow="0" w:lastRow="0" w:firstColumn="1" w:lastColumn="0" w:oddVBand="0" w:evenVBand="0" w:oddHBand="0" w:evenHBand="0" w:firstRowFirstColumn="0" w:firstRowLastColumn="0" w:lastRowFirstColumn="0" w:lastRowLastColumn="0"/>
            <w:tcW w:w="3173" w:type="dxa"/>
          </w:tcPr>
          <w:p w14:paraId="27F3FF00" w14:textId="77777777" w:rsidR="00AB205D" w:rsidRDefault="00471A3B">
            <w:r>
              <w:rPr>
                <w:sz w:val="16"/>
              </w:rPr>
              <w:t>Net cash flows from operating activities</w:t>
            </w:r>
          </w:p>
        </w:tc>
        <w:tc>
          <w:tcPr>
            <w:tcW w:w="567" w:type="dxa"/>
          </w:tcPr>
          <w:p w14:paraId="568A7BDD"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19BEB77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829</w:t>
            </w:r>
          </w:p>
        </w:tc>
        <w:tc>
          <w:tcPr>
            <w:tcW w:w="794" w:type="dxa"/>
          </w:tcPr>
          <w:p w14:paraId="4490EC1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309</w:t>
            </w:r>
          </w:p>
        </w:tc>
        <w:tc>
          <w:tcPr>
            <w:tcW w:w="794" w:type="dxa"/>
          </w:tcPr>
          <w:p w14:paraId="06BE912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3 642</w:t>
            </w:r>
          </w:p>
        </w:tc>
        <w:tc>
          <w:tcPr>
            <w:tcW w:w="794" w:type="dxa"/>
          </w:tcPr>
          <w:p w14:paraId="57D3CB6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6 066</w:t>
            </w:r>
          </w:p>
        </w:tc>
        <w:tc>
          <w:tcPr>
            <w:tcW w:w="794" w:type="dxa"/>
          </w:tcPr>
          <w:p w14:paraId="7330064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5 902</w:t>
            </w:r>
          </w:p>
        </w:tc>
      </w:tr>
      <w:tr w:rsidR="009C6724" w14:paraId="6FF0409E" w14:textId="77777777" w:rsidTr="009C6724">
        <w:tc>
          <w:tcPr>
            <w:cnfStyle w:val="001000000000" w:firstRow="0" w:lastRow="0" w:firstColumn="1" w:lastColumn="0" w:oddVBand="0" w:evenVBand="0" w:oddHBand="0" w:evenHBand="0" w:firstRowFirstColumn="0" w:firstRowLastColumn="0" w:lastRowFirstColumn="0" w:lastRowLastColumn="0"/>
            <w:tcW w:w="3173" w:type="dxa"/>
            <w:tcBorders>
              <w:bottom w:val="single" w:sz="6" w:space="0" w:color="auto"/>
            </w:tcBorders>
          </w:tcPr>
          <w:p w14:paraId="3A86FC0B" w14:textId="77777777" w:rsidR="00AB205D" w:rsidRDefault="00471A3B">
            <w:r>
              <w:rPr>
                <w:sz w:val="16"/>
              </w:rPr>
              <w:t>Net cash flows from investments in non</w:t>
            </w:r>
            <w:r>
              <w:rPr>
                <w:sz w:val="16"/>
              </w:rPr>
              <w:noBreakHyphen/>
              <w:t>financial assets</w:t>
            </w:r>
          </w:p>
        </w:tc>
        <w:tc>
          <w:tcPr>
            <w:tcW w:w="567" w:type="dxa"/>
            <w:tcBorders>
              <w:bottom w:val="single" w:sz="6" w:space="0" w:color="auto"/>
            </w:tcBorders>
          </w:tcPr>
          <w:p w14:paraId="67800444"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bottom w:val="single" w:sz="6" w:space="0" w:color="auto"/>
            </w:tcBorders>
          </w:tcPr>
          <w:p w14:paraId="35308F7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(15 102)</w:t>
            </w:r>
          </w:p>
        </w:tc>
        <w:tc>
          <w:tcPr>
            <w:tcW w:w="794" w:type="dxa"/>
            <w:tcBorders>
              <w:bottom w:val="single" w:sz="6" w:space="0" w:color="auto"/>
            </w:tcBorders>
          </w:tcPr>
          <w:p w14:paraId="22FD0EF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(16 600)</w:t>
            </w:r>
          </w:p>
        </w:tc>
        <w:tc>
          <w:tcPr>
            <w:tcW w:w="794" w:type="dxa"/>
            <w:tcBorders>
              <w:bottom w:val="single" w:sz="6" w:space="0" w:color="auto"/>
            </w:tcBorders>
          </w:tcPr>
          <w:p w14:paraId="6133024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(16 702)</w:t>
            </w:r>
          </w:p>
        </w:tc>
        <w:tc>
          <w:tcPr>
            <w:tcW w:w="794" w:type="dxa"/>
            <w:tcBorders>
              <w:bottom w:val="single" w:sz="6" w:space="0" w:color="auto"/>
            </w:tcBorders>
          </w:tcPr>
          <w:p w14:paraId="7CEC1A2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(16 406)</w:t>
            </w:r>
          </w:p>
        </w:tc>
        <w:tc>
          <w:tcPr>
            <w:tcW w:w="794" w:type="dxa"/>
            <w:tcBorders>
              <w:bottom w:val="single" w:sz="6" w:space="0" w:color="auto"/>
            </w:tcBorders>
          </w:tcPr>
          <w:p w14:paraId="08B3AC9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(14 600)</w:t>
            </w:r>
          </w:p>
        </w:tc>
      </w:tr>
      <w:tr w:rsidR="009C6724" w14:paraId="6B7D7E71" w14:textId="77777777" w:rsidTr="009C672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bottom w:val="single" w:sz="12" w:space="0" w:color="auto"/>
            </w:tcBorders>
          </w:tcPr>
          <w:p w14:paraId="6EEBD698" w14:textId="77777777" w:rsidR="00AB205D" w:rsidRDefault="00471A3B">
            <w:r>
              <w:rPr>
                <w:b/>
                <w:sz w:val="16"/>
              </w:rPr>
              <w:t>Cash surplus/(deficit)</w:t>
            </w:r>
          </w:p>
        </w:tc>
        <w:tc>
          <w:tcPr>
            <w:tcW w:w="567" w:type="dxa"/>
            <w:tcBorders>
              <w:top w:val="single" w:sz="6" w:space="0" w:color="auto"/>
              <w:bottom w:val="single" w:sz="12" w:space="0" w:color="auto"/>
            </w:tcBorders>
          </w:tcPr>
          <w:p w14:paraId="68948651"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bottom w:val="single" w:sz="12" w:space="0" w:color="auto"/>
            </w:tcBorders>
          </w:tcPr>
          <w:p w14:paraId="24F1D06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(14 273)</w:t>
            </w:r>
          </w:p>
        </w:tc>
        <w:tc>
          <w:tcPr>
            <w:tcW w:w="794" w:type="dxa"/>
            <w:tcBorders>
              <w:top w:val="single" w:sz="6" w:space="0" w:color="auto"/>
              <w:bottom w:val="single" w:sz="12" w:space="0" w:color="auto"/>
            </w:tcBorders>
          </w:tcPr>
          <w:p w14:paraId="6BD5E13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(16 291)</w:t>
            </w:r>
          </w:p>
        </w:tc>
        <w:tc>
          <w:tcPr>
            <w:tcW w:w="794" w:type="dxa"/>
            <w:tcBorders>
              <w:top w:val="single" w:sz="6" w:space="0" w:color="auto"/>
              <w:bottom w:val="single" w:sz="12" w:space="0" w:color="auto"/>
            </w:tcBorders>
          </w:tcPr>
          <w:p w14:paraId="072E630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(13 061)</w:t>
            </w:r>
          </w:p>
        </w:tc>
        <w:tc>
          <w:tcPr>
            <w:tcW w:w="794" w:type="dxa"/>
            <w:tcBorders>
              <w:top w:val="single" w:sz="6" w:space="0" w:color="auto"/>
              <w:bottom w:val="single" w:sz="12" w:space="0" w:color="auto"/>
            </w:tcBorders>
          </w:tcPr>
          <w:p w14:paraId="199A189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(10 340)</w:t>
            </w:r>
          </w:p>
        </w:tc>
        <w:tc>
          <w:tcPr>
            <w:tcW w:w="794" w:type="dxa"/>
            <w:tcBorders>
              <w:top w:val="single" w:sz="6" w:space="0" w:color="auto"/>
              <w:bottom w:val="single" w:sz="12" w:space="0" w:color="auto"/>
            </w:tcBorders>
          </w:tcPr>
          <w:p w14:paraId="47ADA41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(8 698)</w:t>
            </w:r>
          </w:p>
        </w:tc>
      </w:tr>
    </w:tbl>
    <w:p w14:paraId="48689EB3" w14:textId="77777777" w:rsidR="00AB205D" w:rsidRDefault="00471A3B">
      <w:pPr>
        <w:pStyle w:val="Note"/>
      </w:pPr>
      <w:r>
        <w:t>The accompanying notes form part of these Estimated Financial Statements.</w:t>
      </w:r>
    </w:p>
    <w:p w14:paraId="709D175C" w14:textId="77777777" w:rsidR="00AB205D" w:rsidRDefault="00471A3B">
      <w:pPr>
        <w:pStyle w:val="Note"/>
      </w:pPr>
      <w:r>
        <w:t>Note</w:t>
      </w:r>
      <w:r w:rsidDel="00982A4D">
        <w:t>s</w:t>
      </w:r>
      <w:r>
        <w:t>:</w:t>
      </w:r>
    </w:p>
    <w:p w14:paraId="5596188F" w14:textId="77777777" w:rsidR="00AB205D" w:rsidRDefault="00471A3B">
      <w:pPr>
        <w:pStyle w:val="Note"/>
      </w:pPr>
      <w:r>
        <w:t>(a)</w:t>
      </w:r>
      <w:r>
        <w:tab/>
        <w:t>Sales of goods and services and payments for goods and services are inclusive of goods and services tax.</w:t>
      </w:r>
    </w:p>
    <w:p w14:paraId="7A3914C4" w14:textId="77777777" w:rsidR="00AB205D" w:rsidRDefault="00471A3B">
      <w:pPr>
        <w:pStyle w:val="Note"/>
      </w:pPr>
      <w:r w:rsidRPr="00A7102E">
        <w:t>(b)</w:t>
      </w:r>
      <w:r w:rsidRPr="00A7102E">
        <w:tab/>
      </w:r>
      <w:r w:rsidRPr="00186B83">
        <w:rPr>
          <w:i w:val="0"/>
        </w:rPr>
        <w:t>2023</w:t>
      </w:r>
      <w:r>
        <w:rPr>
          <w:i w:val="0"/>
        </w:rPr>
        <w:noBreakHyphen/>
      </w:r>
      <w:r w:rsidRPr="00186B83">
        <w:rPr>
          <w:i w:val="0"/>
        </w:rPr>
        <w:t>24 Budget</w:t>
      </w:r>
      <w:r w:rsidRPr="00A7102E">
        <w:t xml:space="preserve"> figures have been restated to represent actual opening balances at 1 July 202</w:t>
      </w:r>
      <w:r>
        <w:t>3</w:t>
      </w:r>
      <w:r w:rsidRPr="00A7102E">
        <w:t>.</w:t>
      </w:r>
    </w:p>
    <w:p w14:paraId="7ADE95D7" w14:textId="77777777" w:rsidR="00AB205D" w:rsidRDefault="00AB205D"/>
    <w:p w14:paraId="48275603" w14:textId="4D926D0B" w:rsidR="00AB205D" w:rsidRDefault="00471A3B">
      <w:pPr>
        <w:pStyle w:val="Heading10"/>
        <w:pageBreakBefore/>
      </w:pPr>
      <w:bookmarkStart w:id="36" w:name="_Toc152933037"/>
      <w:r>
        <w:lastRenderedPageBreak/>
        <w:t>Estimated consolidated general government sector</w:t>
      </w:r>
      <w:r>
        <w:br/>
        <w:t>statement of changes in equity</w:t>
      </w:r>
      <w:bookmarkEnd w:id="36"/>
    </w:p>
    <w:p w14:paraId="281B8323" w14:textId="77777777" w:rsidR="00AB205D" w:rsidRDefault="00471A3B">
      <w:pPr>
        <w:pStyle w:val="TableHeading"/>
      </w:pPr>
      <w:r>
        <w:t>For the financial year ended 30 June</w:t>
      </w:r>
      <w:r>
        <w:tab/>
        <w:t>($ million)</w:t>
      </w:r>
    </w:p>
    <w:tbl>
      <w:tblPr>
        <w:tblStyle w:val="DTFTableNumeric"/>
        <w:tblW w:w="7797" w:type="dxa"/>
        <w:tblLayout w:type="fixed"/>
        <w:tblLook w:val="06A0" w:firstRow="1" w:lastRow="0" w:firstColumn="1" w:lastColumn="0" w:noHBand="1" w:noVBand="1"/>
        <w:tblDescription w:val="Type:DtfTable|Workbook:Rawdata\BudgetUpdate\Budget Update\Financial Statements\Manual reports\SOCIE\Link_BU_SOCIE.xlsx|Table:Manual_GG_SOCIE|UseWorksheetCellFormatting:True"/>
      </w:tblPr>
      <w:tblGrid>
        <w:gridCol w:w="2947"/>
        <w:gridCol w:w="231"/>
        <w:gridCol w:w="980"/>
        <w:gridCol w:w="1087"/>
        <w:gridCol w:w="1134"/>
        <w:gridCol w:w="709"/>
        <w:gridCol w:w="709"/>
      </w:tblGrid>
      <w:tr w:rsidR="009C6724" w:rsidRPr="00205A06" w14:paraId="28FA2ED2"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47" w:type="dxa"/>
          </w:tcPr>
          <w:p w14:paraId="4282AB95" w14:textId="77777777" w:rsidR="00AB205D" w:rsidRPr="00205A06" w:rsidRDefault="00AB205D">
            <w:pPr>
              <w:keepNext/>
              <w:rPr>
                <w:szCs w:val="17"/>
              </w:rPr>
            </w:pPr>
          </w:p>
        </w:tc>
        <w:tc>
          <w:tcPr>
            <w:tcW w:w="1211" w:type="dxa"/>
            <w:gridSpan w:val="2"/>
          </w:tcPr>
          <w:p w14:paraId="29FD531D" w14:textId="77777777" w:rsidR="00AB205D" w:rsidRPr="00205A06" w:rsidRDefault="00471A3B">
            <w:pPr>
              <w:keepNext/>
              <w:cnfStyle w:val="100000000000" w:firstRow="1" w:lastRow="0" w:firstColumn="0" w:lastColumn="0" w:oddVBand="0" w:evenVBand="0" w:oddHBand="0" w:evenHBand="0" w:firstRowFirstColumn="0" w:firstRowLastColumn="0" w:lastRowFirstColumn="0" w:lastRowLastColumn="0"/>
              <w:rPr>
                <w:szCs w:val="17"/>
              </w:rPr>
            </w:pPr>
            <w:r w:rsidRPr="00205A06">
              <w:rPr>
                <w:szCs w:val="17"/>
              </w:rPr>
              <w:t>Accumulated surplus/(deficit)</w:t>
            </w:r>
          </w:p>
        </w:tc>
        <w:tc>
          <w:tcPr>
            <w:tcW w:w="1087" w:type="dxa"/>
          </w:tcPr>
          <w:p w14:paraId="766A4D28" w14:textId="77777777" w:rsidR="00AB205D" w:rsidRPr="00205A06" w:rsidRDefault="00471A3B">
            <w:pPr>
              <w:keepNext/>
              <w:cnfStyle w:val="100000000000" w:firstRow="1" w:lastRow="0" w:firstColumn="0" w:lastColumn="0" w:oddVBand="0" w:evenVBand="0" w:oddHBand="0" w:evenHBand="0" w:firstRowFirstColumn="0" w:firstRowLastColumn="0" w:lastRowFirstColumn="0" w:lastRowLastColumn="0"/>
              <w:rPr>
                <w:szCs w:val="17"/>
              </w:rPr>
            </w:pPr>
            <w:r w:rsidRPr="00205A06">
              <w:rPr>
                <w:szCs w:val="17"/>
              </w:rPr>
              <w:t>Non</w:t>
            </w:r>
            <w:r w:rsidRPr="00205A06">
              <w:rPr>
                <w:szCs w:val="17"/>
              </w:rPr>
              <w:noBreakHyphen/>
              <w:t>financial assets revaluation surplus</w:t>
            </w:r>
          </w:p>
        </w:tc>
        <w:tc>
          <w:tcPr>
            <w:tcW w:w="1134" w:type="dxa"/>
          </w:tcPr>
          <w:p w14:paraId="671EFEA0" w14:textId="77777777" w:rsidR="00AB205D" w:rsidRPr="00205A06" w:rsidRDefault="00471A3B">
            <w:pPr>
              <w:keepNext/>
              <w:cnfStyle w:val="100000000000" w:firstRow="1" w:lastRow="0" w:firstColumn="0" w:lastColumn="0" w:oddVBand="0" w:evenVBand="0" w:oddHBand="0" w:evenHBand="0" w:firstRowFirstColumn="0" w:firstRowLastColumn="0" w:lastRowFirstColumn="0" w:lastRowLastColumn="0"/>
              <w:rPr>
                <w:szCs w:val="17"/>
              </w:rPr>
            </w:pPr>
            <w:r w:rsidRPr="00205A06">
              <w:rPr>
                <w:szCs w:val="17"/>
              </w:rPr>
              <w:t>Investment in other sector entities revaluation surplus</w:t>
            </w:r>
          </w:p>
        </w:tc>
        <w:tc>
          <w:tcPr>
            <w:tcW w:w="709" w:type="dxa"/>
          </w:tcPr>
          <w:p w14:paraId="2B1B2D26" w14:textId="77777777" w:rsidR="00AB205D" w:rsidRPr="00205A06" w:rsidRDefault="00471A3B">
            <w:pPr>
              <w:keepNext/>
              <w:cnfStyle w:val="100000000000" w:firstRow="1" w:lastRow="0" w:firstColumn="0" w:lastColumn="0" w:oddVBand="0" w:evenVBand="0" w:oddHBand="0" w:evenHBand="0" w:firstRowFirstColumn="0" w:firstRowLastColumn="0" w:lastRowFirstColumn="0" w:lastRowLastColumn="0"/>
              <w:rPr>
                <w:szCs w:val="17"/>
              </w:rPr>
            </w:pPr>
            <w:r w:rsidRPr="00205A06">
              <w:rPr>
                <w:szCs w:val="17"/>
              </w:rPr>
              <w:t>Other reserves</w:t>
            </w:r>
          </w:p>
        </w:tc>
        <w:tc>
          <w:tcPr>
            <w:tcW w:w="709" w:type="dxa"/>
          </w:tcPr>
          <w:p w14:paraId="4C9FC94B" w14:textId="77777777" w:rsidR="00AB205D" w:rsidRPr="00205A06" w:rsidRDefault="00471A3B">
            <w:pPr>
              <w:keepNext/>
              <w:cnfStyle w:val="100000000000" w:firstRow="1" w:lastRow="0" w:firstColumn="0" w:lastColumn="0" w:oddVBand="0" w:evenVBand="0" w:oddHBand="0" w:evenHBand="0" w:firstRowFirstColumn="0" w:firstRowLastColumn="0" w:lastRowFirstColumn="0" w:lastRowLastColumn="0"/>
              <w:rPr>
                <w:szCs w:val="17"/>
              </w:rPr>
            </w:pPr>
            <w:r w:rsidRPr="00205A06">
              <w:rPr>
                <w:szCs w:val="17"/>
              </w:rPr>
              <w:t>Total</w:t>
            </w:r>
          </w:p>
        </w:tc>
      </w:tr>
      <w:tr w:rsidR="009C6724" w:rsidRPr="00205A06" w14:paraId="31B48DE1" w14:textId="77777777" w:rsidTr="009C6724">
        <w:tc>
          <w:tcPr>
            <w:cnfStyle w:val="001000000000" w:firstRow="0" w:lastRow="0" w:firstColumn="1" w:lastColumn="0" w:oddVBand="0" w:evenVBand="0" w:oddHBand="0" w:evenHBand="0" w:firstRowFirstColumn="0" w:firstRowLastColumn="0" w:lastRowFirstColumn="0" w:lastRowLastColumn="0"/>
            <w:tcW w:w="3178" w:type="dxa"/>
            <w:gridSpan w:val="2"/>
          </w:tcPr>
          <w:p w14:paraId="20E2E956" w14:textId="77777777" w:rsidR="00AB205D" w:rsidRPr="00205A06" w:rsidRDefault="00471A3B">
            <w:pPr>
              <w:rPr>
                <w:szCs w:val="17"/>
              </w:rPr>
            </w:pPr>
            <w:r w:rsidRPr="00205A06">
              <w:rPr>
                <w:b/>
                <w:szCs w:val="17"/>
              </w:rPr>
              <w:t>2023</w:t>
            </w:r>
            <w:r w:rsidRPr="00205A06">
              <w:rPr>
                <w:b/>
                <w:szCs w:val="17"/>
              </w:rPr>
              <w:noBreakHyphen/>
              <w:t>24 budget</w:t>
            </w:r>
            <w:r w:rsidRPr="00205A06">
              <w:rPr>
                <w:b/>
                <w:szCs w:val="17"/>
                <w:vertAlign w:val="superscript"/>
              </w:rPr>
              <w:t xml:space="preserve"> (a)</w:t>
            </w:r>
          </w:p>
        </w:tc>
        <w:tc>
          <w:tcPr>
            <w:tcW w:w="980" w:type="dxa"/>
          </w:tcPr>
          <w:p w14:paraId="3C1E40D0" w14:textId="77777777" w:rsidR="00AB205D" w:rsidRPr="00205A06" w:rsidRDefault="00AB205D">
            <w:pPr>
              <w:cnfStyle w:val="000000000000" w:firstRow="0" w:lastRow="0" w:firstColumn="0" w:lastColumn="0" w:oddVBand="0" w:evenVBand="0" w:oddHBand="0" w:evenHBand="0" w:firstRowFirstColumn="0" w:firstRowLastColumn="0" w:lastRowFirstColumn="0" w:lastRowLastColumn="0"/>
              <w:rPr>
                <w:szCs w:val="17"/>
              </w:rPr>
            </w:pPr>
          </w:p>
        </w:tc>
        <w:tc>
          <w:tcPr>
            <w:tcW w:w="1087" w:type="dxa"/>
          </w:tcPr>
          <w:p w14:paraId="6FA94AB8" w14:textId="77777777" w:rsidR="00AB205D" w:rsidRPr="00205A06" w:rsidRDefault="00AB205D">
            <w:pPr>
              <w:cnfStyle w:val="000000000000" w:firstRow="0" w:lastRow="0" w:firstColumn="0" w:lastColumn="0" w:oddVBand="0" w:evenVBand="0" w:oddHBand="0" w:evenHBand="0" w:firstRowFirstColumn="0" w:firstRowLastColumn="0" w:lastRowFirstColumn="0" w:lastRowLastColumn="0"/>
              <w:rPr>
                <w:szCs w:val="17"/>
              </w:rPr>
            </w:pPr>
          </w:p>
        </w:tc>
        <w:tc>
          <w:tcPr>
            <w:tcW w:w="1134" w:type="dxa"/>
          </w:tcPr>
          <w:p w14:paraId="4CA468E8" w14:textId="77777777" w:rsidR="00AB205D" w:rsidRPr="00205A06" w:rsidRDefault="00AB205D">
            <w:pPr>
              <w:cnfStyle w:val="000000000000" w:firstRow="0" w:lastRow="0" w:firstColumn="0" w:lastColumn="0" w:oddVBand="0" w:evenVBand="0" w:oddHBand="0" w:evenHBand="0" w:firstRowFirstColumn="0" w:firstRowLastColumn="0" w:lastRowFirstColumn="0" w:lastRowLastColumn="0"/>
              <w:rPr>
                <w:szCs w:val="17"/>
              </w:rPr>
            </w:pPr>
          </w:p>
        </w:tc>
        <w:tc>
          <w:tcPr>
            <w:tcW w:w="709" w:type="dxa"/>
          </w:tcPr>
          <w:p w14:paraId="5A59740E" w14:textId="77777777" w:rsidR="00AB205D" w:rsidRPr="00205A06" w:rsidRDefault="00AB205D">
            <w:pPr>
              <w:cnfStyle w:val="000000000000" w:firstRow="0" w:lastRow="0" w:firstColumn="0" w:lastColumn="0" w:oddVBand="0" w:evenVBand="0" w:oddHBand="0" w:evenHBand="0" w:firstRowFirstColumn="0" w:firstRowLastColumn="0" w:lastRowFirstColumn="0" w:lastRowLastColumn="0"/>
              <w:rPr>
                <w:szCs w:val="17"/>
              </w:rPr>
            </w:pPr>
          </w:p>
        </w:tc>
        <w:tc>
          <w:tcPr>
            <w:tcW w:w="709" w:type="dxa"/>
          </w:tcPr>
          <w:p w14:paraId="34C62CE1" w14:textId="77777777" w:rsidR="00AB205D" w:rsidRPr="00205A06" w:rsidRDefault="00AB205D">
            <w:pPr>
              <w:cnfStyle w:val="000000000000" w:firstRow="0" w:lastRow="0" w:firstColumn="0" w:lastColumn="0" w:oddVBand="0" w:evenVBand="0" w:oddHBand="0" w:evenHBand="0" w:firstRowFirstColumn="0" w:firstRowLastColumn="0" w:lastRowFirstColumn="0" w:lastRowLastColumn="0"/>
              <w:rPr>
                <w:szCs w:val="17"/>
              </w:rPr>
            </w:pPr>
          </w:p>
        </w:tc>
      </w:tr>
      <w:tr w:rsidR="009C6724" w:rsidRPr="00205A06" w14:paraId="5650019B" w14:textId="77777777" w:rsidTr="009C6724">
        <w:tc>
          <w:tcPr>
            <w:cnfStyle w:val="001000000000" w:firstRow="0" w:lastRow="0" w:firstColumn="1" w:lastColumn="0" w:oddVBand="0" w:evenVBand="0" w:oddHBand="0" w:evenHBand="0" w:firstRowFirstColumn="0" w:firstRowLastColumn="0" w:lastRowFirstColumn="0" w:lastRowLastColumn="0"/>
            <w:tcW w:w="3178" w:type="dxa"/>
            <w:gridSpan w:val="2"/>
          </w:tcPr>
          <w:p w14:paraId="76B3B7EB" w14:textId="77777777" w:rsidR="00AB205D" w:rsidRPr="00205A06" w:rsidRDefault="00471A3B">
            <w:pPr>
              <w:rPr>
                <w:szCs w:val="17"/>
              </w:rPr>
            </w:pPr>
            <w:r w:rsidRPr="00205A06">
              <w:rPr>
                <w:szCs w:val="17"/>
              </w:rPr>
              <w:t>Balance at 1 July 2023</w:t>
            </w:r>
          </w:p>
        </w:tc>
        <w:tc>
          <w:tcPr>
            <w:tcW w:w="980" w:type="dxa"/>
          </w:tcPr>
          <w:p w14:paraId="67A3A1A3"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45 889</w:t>
            </w:r>
          </w:p>
        </w:tc>
        <w:tc>
          <w:tcPr>
            <w:tcW w:w="1087" w:type="dxa"/>
          </w:tcPr>
          <w:p w14:paraId="0B7CE061"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91 269</w:t>
            </w:r>
          </w:p>
        </w:tc>
        <w:tc>
          <w:tcPr>
            <w:tcW w:w="1134" w:type="dxa"/>
          </w:tcPr>
          <w:p w14:paraId="50B8ADDF"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48 245</w:t>
            </w:r>
          </w:p>
        </w:tc>
        <w:tc>
          <w:tcPr>
            <w:tcW w:w="709" w:type="dxa"/>
          </w:tcPr>
          <w:p w14:paraId="57F32C89"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1 380</w:t>
            </w:r>
          </w:p>
        </w:tc>
        <w:tc>
          <w:tcPr>
            <w:tcW w:w="709" w:type="dxa"/>
          </w:tcPr>
          <w:p w14:paraId="27006C85"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186 783</w:t>
            </w:r>
          </w:p>
        </w:tc>
      </w:tr>
      <w:tr w:rsidR="009C6724" w:rsidRPr="00205A06" w14:paraId="23B3E54E" w14:textId="77777777" w:rsidTr="009C6724">
        <w:tc>
          <w:tcPr>
            <w:cnfStyle w:val="001000000000" w:firstRow="0" w:lastRow="0" w:firstColumn="1" w:lastColumn="0" w:oddVBand="0" w:evenVBand="0" w:oddHBand="0" w:evenHBand="0" w:firstRowFirstColumn="0" w:firstRowLastColumn="0" w:lastRowFirstColumn="0" w:lastRowLastColumn="0"/>
            <w:tcW w:w="3178" w:type="dxa"/>
            <w:gridSpan w:val="2"/>
          </w:tcPr>
          <w:p w14:paraId="565A8899" w14:textId="77777777" w:rsidR="00AB205D" w:rsidRPr="00205A06" w:rsidRDefault="00471A3B">
            <w:pPr>
              <w:rPr>
                <w:szCs w:val="17"/>
              </w:rPr>
            </w:pPr>
            <w:r w:rsidRPr="00205A06">
              <w:rPr>
                <w:szCs w:val="17"/>
              </w:rPr>
              <w:t>Net result for the year</w:t>
            </w:r>
          </w:p>
        </w:tc>
        <w:tc>
          <w:tcPr>
            <w:tcW w:w="980" w:type="dxa"/>
          </w:tcPr>
          <w:p w14:paraId="6A3747FF"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(4 387)</w:t>
            </w:r>
          </w:p>
        </w:tc>
        <w:tc>
          <w:tcPr>
            <w:tcW w:w="1087" w:type="dxa"/>
          </w:tcPr>
          <w:p w14:paraId="65D1E97C"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w:t>
            </w:r>
          </w:p>
        </w:tc>
        <w:tc>
          <w:tcPr>
            <w:tcW w:w="1134" w:type="dxa"/>
          </w:tcPr>
          <w:p w14:paraId="40F730CF"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w:t>
            </w:r>
          </w:p>
        </w:tc>
        <w:tc>
          <w:tcPr>
            <w:tcW w:w="709" w:type="dxa"/>
          </w:tcPr>
          <w:p w14:paraId="66184B37"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w:t>
            </w:r>
          </w:p>
        </w:tc>
        <w:tc>
          <w:tcPr>
            <w:tcW w:w="709" w:type="dxa"/>
          </w:tcPr>
          <w:p w14:paraId="4D0A6AE6"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(4 387)</w:t>
            </w:r>
          </w:p>
        </w:tc>
      </w:tr>
      <w:tr w:rsidR="009C6724" w:rsidRPr="00205A06" w14:paraId="390F2050" w14:textId="77777777" w:rsidTr="009C6724">
        <w:tc>
          <w:tcPr>
            <w:cnfStyle w:val="001000000000" w:firstRow="0" w:lastRow="0" w:firstColumn="1" w:lastColumn="0" w:oddVBand="0" w:evenVBand="0" w:oddHBand="0" w:evenHBand="0" w:firstRowFirstColumn="0" w:firstRowLastColumn="0" w:lastRowFirstColumn="0" w:lastRowLastColumn="0"/>
            <w:tcW w:w="3178" w:type="dxa"/>
            <w:gridSpan w:val="2"/>
          </w:tcPr>
          <w:p w14:paraId="47709C74" w14:textId="77777777" w:rsidR="00AB205D" w:rsidRPr="00205A06" w:rsidRDefault="00471A3B">
            <w:pPr>
              <w:rPr>
                <w:szCs w:val="17"/>
              </w:rPr>
            </w:pPr>
            <w:r w:rsidRPr="00205A06">
              <w:rPr>
                <w:szCs w:val="17"/>
              </w:rPr>
              <w:t>Other comprehensive income for the year</w:t>
            </w:r>
          </w:p>
        </w:tc>
        <w:tc>
          <w:tcPr>
            <w:tcW w:w="980" w:type="dxa"/>
          </w:tcPr>
          <w:p w14:paraId="462EF40B"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865</w:t>
            </w:r>
          </w:p>
        </w:tc>
        <w:tc>
          <w:tcPr>
            <w:tcW w:w="1087" w:type="dxa"/>
          </w:tcPr>
          <w:p w14:paraId="12552509"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1 030</w:t>
            </w:r>
          </w:p>
        </w:tc>
        <w:tc>
          <w:tcPr>
            <w:tcW w:w="1134" w:type="dxa"/>
          </w:tcPr>
          <w:p w14:paraId="677A9858"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(6 330)</w:t>
            </w:r>
          </w:p>
        </w:tc>
        <w:tc>
          <w:tcPr>
            <w:tcW w:w="709" w:type="dxa"/>
          </w:tcPr>
          <w:p w14:paraId="65334C25"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3</w:t>
            </w:r>
          </w:p>
        </w:tc>
        <w:tc>
          <w:tcPr>
            <w:tcW w:w="709" w:type="dxa"/>
          </w:tcPr>
          <w:p w14:paraId="7BFD2205"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(4 431)</w:t>
            </w:r>
          </w:p>
        </w:tc>
      </w:tr>
      <w:tr w:rsidR="009C6724" w:rsidRPr="00205A06" w14:paraId="0E81129C" w14:textId="77777777" w:rsidTr="009C6724">
        <w:tc>
          <w:tcPr>
            <w:cnfStyle w:val="001000000000" w:firstRow="0" w:lastRow="0" w:firstColumn="1" w:lastColumn="0" w:oddVBand="0" w:evenVBand="0" w:oddHBand="0" w:evenHBand="0" w:firstRowFirstColumn="0" w:firstRowLastColumn="0" w:lastRowFirstColumn="0" w:lastRowLastColumn="0"/>
            <w:tcW w:w="3178" w:type="dxa"/>
            <w:gridSpan w:val="2"/>
          </w:tcPr>
          <w:p w14:paraId="145778B4" w14:textId="77777777" w:rsidR="00AB205D" w:rsidRPr="00205A06" w:rsidRDefault="00471A3B">
            <w:pPr>
              <w:rPr>
                <w:szCs w:val="17"/>
              </w:rPr>
            </w:pPr>
            <w:r w:rsidRPr="00205A06">
              <w:rPr>
                <w:szCs w:val="17"/>
              </w:rPr>
              <w:t>Transfer to/(from) accumulated surplus</w:t>
            </w:r>
          </w:p>
        </w:tc>
        <w:tc>
          <w:tcPr>
            <w:tcW w:w="980" w:type="dxa"/>
          </w:tcPr>
          <w:p w14:paraId="7ABE4A7C"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w:t>
            </w:r>
          </w:p>
        </w:tc>
        <w:tc>
          <w:tcPr>
            <w:tcW w:w="1087" w:type="dxa"/>
          </w:tcPr>
          <w:p w14:paraId="713C609E"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w:t>
            </w:r>
          </w:p>
        </w:tc>
        <w:tc>
          <w:tcPr>
            <w:tcW w:w="1134" w:type="dxa"/>
          </w:tcPr>
          <w:p w14:paraId="34538B0E"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w:t>
            </w:r>
          </w:p>
        </w:tc>
        <w:tc>
          <w:tcPr>
            <w:tcW w:w="709" w:type="dxa"/>
          </w:tcPr>
          <w:p w14:paraId="040A6318"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w:t>
            </w:r>
          </w:p>
        </w:tc>
        <w:tc>
          <w:tcPr>
            <w:tcW w:w="709" w:type="dxa"/>
          </w:tcPr>
          <w:p w14:paraId="1D883C61"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w:t>
            </w:r>
          </w:p>
        </w:tc>
      </w:tr>
      <w:tr w:rsidR="009C6724" w:rsidRPr="00205A06" w14:paraId="3ACB8745" w14:textId="77777777" w:rsidTr="009C6724">
        <w:tc>
          <w:tcPr>
            <w:cnfStyle w:val="001000000000" w:firstRow="0" w:lastRow="0" w:firstColumn="1" w:lastColumn="0" w:oddVBand="0" w:evenVBand="0" w:oddHBand="0" w:evenHBand="0" w:firstRowFirstColumn="0" w:firstRowLastColumn="0" w:lastRowFirstColumn="0" w:lastRowLastColumn="0"/>
            <w:tcW w:w="3178" w:type="dxa"/>
            <w:gridSpan w:val="2"/>
            <w:tcBorders>
              <w:top w:val="single" w:sz="6" w:space="0" w:color="auto"/>
              <w:bottom w:val="single" w:sz="6" w:space="0" w:color="auto"/>
            </w:tcBorders>
          </w:tcPr>
          <w:p w14:paraId="08B39516" w14:textId="77777777" w:rsidR="00AB205D" w:rsidRPr="00205A06" w:rsidRDefault="00471A3B">
            <w:pPr>
              <w:rPr>
                <w:szCs w:val="17"/>
              </w:rPr>
            </w:pPr>
            <w:r w:rsidRPr="00205A06">
              <w:rPr>
                <w:b/>
                <w:szCs w:val="17"/>
              </w:rPr>
              <w:t>Total equity as at 30 June 2024</w:t>
            </w:r>
          </w:p>
        </w:tc>
        <w:tc>
          <w:tcPr>
            <w:tcW w:w="980" w:type="dxa"/>
            <w:tcBorders>
              <w:top w:val="single" w:sz="6" w:space="0" w:color="auto"/>
              <w:bottom w:val="single" w:sz="6" w:space="0" w:color="auto"/>
            </w:tcBorders>
          </w:tcPr>
          <w:p w14:paraId="6C6B191F"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b/>
                <w:szCs w:val="17"/>
              </w:rPr>
              <w:t>42 367</w:t>
            </w:r>
          </w:p>
        </w:tc>
        <w:tc>
          <w:tcPr>
            <w:tcW w:w="1087" w:type="dxa"/>
            <w:tcBorders>
              <w:top w:val="single" w:sz="6" w:space="0" w:color="auto"/>
              <w:bottom w:val="single" w:sz="6" w:space="0" w:color="auto"/>
            </w:tcBorders>
          </w:tcPr>
          <w:p w14:paraId="63AFB9F0"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b/>
                <w:szCs w:val="17"/>
              </w:rPr>
              <w:t>92 300</w:t>
            </w:r>
          </w:p>
        </w:tc>
        <w:tc>
          <w:tcPr>
            <w:tcW w:w="1134" w:type="dxa"/>
            <w:tcBorders>
              <w:top w:val="single" w:sz="6" w:space="0" w:color="auto"/>
              <w:bottom w:val="single" w:sz="6" w:space="0" w:color="auto"/>
            </w:tcBorders>
          </w:tcPr>
          <w:p w14:paraId="677D19CE"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b/>
                <w:szCs w:val="17"/>
              </w:rPr>
              <w:t>41 916</w:t>
            </w:r>
          </w:p>
        </w:tc>
        <w:tc>
          <w:tcPr>
            <w:tcW w:w="709" w:type="dxa"/>
            <w:tcBorders>
              <w:top w:val="single" w:sz="6" w:space="0" w:color="auto"/>
              <w:bottom w:val="single" w:sz="6" w:space="0" w:color="auto"/>
            </w:tcBorders>
          </w:tcPr>
          <w:p w14:paraId="4553EA13"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b/>
                <w:szCs w:val="17"/>
              </w:rPr>
              <w:t>1 383</w:t>
            </w:r>
          </w:p>
        </w:tc>
        <w:tc>
          <w:tcPr>
            <w:tcW w:w="709" w:type="dxa"/>
            <w:tcBorders>
              <w:top w:val="single" w:sz="6" w:space="0" w:color="auto"/>
              <w:bottom w:val="single" w:sz="6" w:space="0" w:color="auto"/>
            </w:tcBorders>
          </w:tcPr>
          <w:p w14:paraId="3F47A681"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b/>
                <w:szCs w:val="17"/>
              </w:rPr>
              <w:t>177 965</w:t>
            </w:r>
          </w:p>
        </w:tc>
      </w:tr>
      <w:tr w:rsidR="009C6724" w:rsidRPr="00205A06" w14:paraId="7DC21232" w14:textId="77777777" w:rsidTr="009C6724">
        <w:tc>
          <w:tcPr>
            <w:cnfStyle w:val="001000000000" w:firstRow="0" w:lastRow="0" w:firstColumn="1" w:lastColumn="0" w:oddVBand="0" w:evenVBand="0" w:oddHBand="0" w:evenHBand="0" w:firstRowFirstColumn="0" w:firstRowLastColumn="0" w:lastRowFirstColumn="0" w:lastRowLastColumn="0"/>
            <w:tcW w:w="3178" w:type="dxa"/>
            <w:gridSpan w:val="2"/>
            <w:tcBorders>
              <w:top w:val="single" w:sz="6" w:space="0" w:color="auto"/>
            </w:tcBorders>
          </w:tcPr>
          <w:p w14:paraId="2D1124D4" w14:textId="77777777" w:rsidR="00AB205D" w:rsidRPr="00205A06" w:rsidRDefault="00471A3B">
            <w:pPr>
              <w:rPr>
                <w:szCs w:val="17"/>
              </w:rPr>
            </w:pPr>
            <w:r w:rsidRPr="00205A06">
              <w:rPr>
                <w:b/>
                <w:szCs w:val="17"/>
              </w:rPr>
              <w:t>2023</w:t>
            </w:r>
            <w:r w:rsidRPr="00205A06">
              <w:rPr>
                <w:b/>
                <w:szCs w:val="17"/>
              </w:rPr>
              <w:noBreakHyphen/>
              <w:t>24 revised</w:t>
            </w:r>
          </w:p>
        </w:tc>
        <w:tc>
          <w:tcPr>
            <w:tcW w:w="980" w:type="dxa"/>
            <w:tcBorders>
              <w:top w:val="single" w:sz="6" w:space="0" w:color="auto"/>
            </w:tcBorders>
          </w:tcPr>
          <w:p w14:paraId="05BEACCA" w14:textId="77777777" w:rsidR="00AB205D" w:rsidRPr="00205A06" w:rsidRDefault="00AB205D">
            <w:pPr>
              <w:cnfStyle w:val="000000000000" w:firstRow="0" w:lastRow="0" w:firstColumn="0" w:lastColumn="0" w:oddVBand="0" w:evenVBand="0" w:oddHBand="0" w:evenHBand="0" w:firstRowFirstColumn="0" w:firstRowLastColumn="0" w:lastRowFirstColumn="0" w:lastRowLastColumn="0"/>
              <w:rPr>
                <w:szCs w:val="17"/>
              </w:rPr>
            </w:pPr>
          </w:p>
        </w:tc>
        <w:tc>
          <w:tcPr>
            <w:tcW w:w="1087" w:type="dxa"/>
            <w:tcBorders>
              <w:top w:val="single" w:sz="6" w:space="0" w:color="auto"/>
            </w:tcBorders>
          </w:tcPr>
          <w:p w14:paraId="7EF777B4" w14:textId="77777777" w:rsidR="00AB205D" w:rsidRPr="00205A06" w:rsidRDefault="00AB205D">
            <w:pPr>
              <w:cnfStyle w:val="000000000000" w:firstRow="0" w:lastRow="0" w:firstColumn="0" w:lastColumn="0" w:oddVBand="0" w:evenVBand="0" w:oddHBand="0" w:evenHBand="0" w:firstRowFirstColumn="0" w:firstRowLastColumn="0" w:lastRowFirstColumn="0" w:lastRowLastColumn="0"/>
              <w:rPr>
                <w:szCs w:val="17"/>
              </w:rPr>
            </w:pPr>
          </w:p>
        </w:tc>
        <w:tc>
          <w:tcPr>
            <w:tcW w:w="1134" w:type="dxa"/>
            <w:tcBorders>
              <w:top w:val="single" w:sz="6" w:space="0" w:color="auto"/>
            </w:tcBorders>
          </w:tcPr>
          <w:p w14:paraId="76B828AD" w14:textId="77777777" w:rsidR="00AB205D" w:rsidRPr="00205A06" w:rsidRDefault="00AB205D">
            <w:pPr>
              <w:cnfStyle w:val="000000000000" w:firstRow="0" w:lastRow="0" w:firstColumn="0" w:lastColumn="0" w:oddVBand="0" w:evenVBand="0" w:oddHBand="0" w:evenHBand="0" w:firstRowFirstColumn="0" w:firstRowLastColumn="0" w:lastRowFirstColumn="0" w:lastRowLastColumn="0"/>
              <w:rPr>
                <w:szCs w:val="17"/>
              </w:rPr>
            </w:pPr>
          </w:p>
        </w:tc>
        <w:tc>
          <w:tcPr>
            <w:tcW w:w="709" w:type="dxa"/>
            <w:tcBorders>
              <w:top w:val="single" w:sz="6" w:space="0" w:color="auto"/>
            </w:tcBorders>
          </w:tcPr>
          <w:p w14:paraId="11FD7175" w14:textId="77777777" w:rsidR="00AB205D" w:rsidRPr="00205A06" w:rsidRDefault="00AB205D">
            <w:pPr>
              <w:cnfStyle w:val="000000000000" w:firstRow="0" w:lastRow="0" w:firstColumn="0" w:lastColumn="0" w:oddVBand="0" w:evenVBand="0" w:oddHBand="0" w:evenHBand="0" w:firstRowFirstColumn="0" w:firstRowLastColumn="0" w:lastRowFirstColumn="0" w:lastRowLastColumn="0"/>
              <w:rPr>
                <w:szCs w:val="17"/>
              </w:rPr>
            </w:pPr>
          </w:p>
        </w:tc>
        <w:tc>
          <w:tcPr>
            <w:tcW w:w="709" w:type="dxa"/>
            <w:tcBorders>
              <w:top w:val="single" w:sz="6" w:space="0" w:color="auto"/>
            </w:tcBorders>
          </w:tcPr>
          <w:p w14:paraId="42F64BAD" w14:textId="77777777" w:rsidR="00AB205D" w:rsidRPr="00205A06" w:rsidRDefault="00AB205D">
            <w:pPr>
              <w:cnfStyle w:val="000000000000" w:firstRow="0" w:lastRow="0" w:firstColumn="0" w:lastColumn="0" w:oddVBand="0" w:evenVBand="0" w:oddHBand="0" w:evenHBand="0" w:firstRowFirstColumn="0" w:firstRowLastColumn="0" w:lastRowFirstColumn="0" w:lastRowLastColumn="0"/>
              <w:rPr>
                <w:szCs w:val="17"/>
              </w:rPr>
            </w:pPr>
          </w:p>
        </w:tc>
      </w:tr>
      <w:tr w:rsidR="009C6724" w:rsidRPr="00205A06" w14:paraId="40826FCD" w14:textId="77777777" w:rsidTr="009C6724">
        <w:tc>
          <w:tcPr>
            <w:cnfStyle w:val="001000000000" w:firstRow="0" w:lastRow="0" w:firstColumn="1" w:lastColumn="0" w:oddVBand="0" w:evenVBand="0" w:oddHBand="0" w:evenHBand="0" w:firstRowFirstColumn="0" w:firstRowLastColumn="0" w:lastRowFirstColumn="0" w:lastRowLastColumn="0"/>
            <w:tcW w:w="3178" w:type="dxa"/>
            <w:gridSpan w:val="2"/>
          </w:tcPr>
          <w:p w14:paraId="19410D04" w14:textId="77777777" w:rsidR="00AB205D" w:rsidRPr="00205A06" w:rsidRDefault="00471A3B">
            <w:pPr>
              <w:rPr>
                <w:szCs w:val="17"/>
              </w:rPr>
            </w:pPr>
            <w:r w:rsidRPr="00205A06">
              <w:rPr>
                <w:szCs w:val="17"/>
              </w:rPr>
              <w:t>Balance at 1 July 2023</w:t>
            </w:r>
          </w:p>
        </w:tc>
        <w:tc>
          <w:tcPr>
            <w:tcW w:w="980" w:type="dxa"/>
          </w:tcPr>
          <w:p w14:paraId="6F9D07E0"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45 889</w:t>
            </w:r>
          </w:p>
        </w:tc>
        <w:tc>
          <w:tcPr>
            <w:tcW w:w="1087" w:type="dxa"/>
          </w:tcPr>
          <w:p w14:paraId="764409C4"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91 269</w:t>
            </w:r>
          </w:p>
        </w:tc>
        <w:tc>
          <w:tcPr>
            <w:tcW w:w="1134" w:type="dxa"/>
          </w:tcPr>
          <w:p w14:paraId="2B37ABE6"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48 245</w:t>
            </w:r>
          </w:p>
        </w:tc>
        <w:tc>
          <w:tcPr>
            <w:tcW w:w="709" w:type="dxa"/>
          </w:tcPr>
          <w:p w14:paraId="11CA6E99"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1 380</w:t>
            </w:r>
          </w:p>
        </w:tc>
        <w:tc>
          <w:tcPr>
            <w:tcW w:w="709" w:type="dxa"/>
          </w:tcPr>
          <w:p w14:paraId="1E01A778"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186 783</w:t>
            </w:r>
          </w:p>
        </w:tc>
      </w:tr>
      <w:tr w:rsidR="009C6724" w:rsidRPr="00205A06" w14:paraId="512F0295" w14:textId="77777777" w:rsidTr="009C6724">
        <w:tc>
          <w:tcPr>
            <w:cnfStyle w:val="001000000000" w:firstRow="0" w:lastRow="0" w:firstColumn="1" w:lastColumn="0" w:oddVBand="0" w:evenVBand="0" w:oddHBand="0" w:evenHBand="0" w:firstRowFirstColumn="0" w:firstRowLastColumn="0" w:lastRowFirstColumn="0" w:lastRowLastColumn="0"/>
            <w:tcW w:w="3178" w:type="dxa"/>
            <w:gridSpan w:val="2"/>
          </w:tcPr>
          <w:p w14:paraId="6707D0B4" w14:textId="77777777" w:rsidR="00AB205D" w:rsidRPr="00205A06" w:rsidRDefault="00471A3B">
            <w:pPr>
              <w:rPr>
                <w:szCs w:val="17"/>
              </w:rPr>
            </w:pPr>
            <w:r w:rsidRPr="00205A06">
              <w:rPr>
                <w:szCs w:val="17"/>
              </w:rPr>
              <w:t>Net result for the year</w:t>
            </w:r>
          </w:p>
        </w:tc>
        <w:tc>
          <w:tcPr>
            <w:tcW w:w="980" w:type="dxa"/>
          </w:tcPr>
          <w:p w14:paraId="31DE834D"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(4 037)</w:t>
            </w:r>
          </w:p>
        </w:tc>
        <w:tc>
          <w:tcPr>
            <w:tcW w:w="1087" w:type="dxa"/>
          </w:tcPr>
          <w:p w14:paraId="405FE8C1"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w:t>
            </w:r>
          </w:p>
        </w:tc>
        <w:tc>
          <w:tcPr>
            <w:tcW w:w="1134" w:type="dxa"/>
          </w:tcPr>
          <w:p w14:paraId="3A710E67"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w:t>
            </w:r>
          </w:p>
        </w:tc>
        <w:tc>
          <w:tcPr>
            <w:tcW w:w="709" w:type="dxa"/>
          </w:tcPr>
          <w:p w14:paraId="1E425A8A"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w:t>
            </w:r>
          </w:p>
        </w:tc>
        <w:tc>
          <w:tcPr>
            <w:tcW w:w="709" w:type="dxa"/>
          </w:tcPr>
          <w:p w14:paraId="729820CB"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(4 037)</w:t>
            </w:r>
          </w:p>
        </w:tc>
      </w:tr>
      <w:tr w:rsidR="009C6724" w:rsidRPr="00205A06" w14:paraId="3B7E3643" w14:textId="77777777" w:rsidTr="009C6724">
        <w:tc>
          <w:tcPr>
            <w:cnfStyle w:val="001000000000" w:firstRow="0" w:lastRow="0" w:firstColumn="1" w:lastColumn="0" w:oddVBand="0" w:evenVBand="0" w:oddHBand="0" w:evenHBand="0" w:firstRowFirstColumn="0" w:firstRowLastColumn="0" w:lastRowFirstColumn="0" w:lastRowLastColumn="0"/>
            <w:tcW w:w="3178" w:type="dxa"/>
            <w:gridSpan w:val="2"/>
          </w:tcPr>
          <w:p w14:paraId="1382EB45" w14:textId="77777777" w:rsidR="00AB205D" w:rsidRPr="00205A06" w:rsidRDefault="00471A3B">
            <w:pPr>
              <w:rPr>
                <w:szCs w:val="17"/>
              </w:rPr>
            </w:pPr>
            <w:r w:rsidRPr="00205A06">
              <w:rPr>
                <w:szCs w:val="17"/>
              </w:rPr>
              <w:t>Other comprehensive income for the year</w:t>
            </w:r>
          </w:p>
        </w:tc>
        <w:tc>
          <w:tcPr>
            <w:tcW w:w="980" w:type="dxa"/>
          </w:tcPr>
          <w:p w14:paraId="20886114"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2 552</w:t>
            </w:r>
          </w:p>
        </w:tc>
        <w:tc>
          <w:tcPr>
            <w:tcW w:w="1087" w:type="dxa"/>
          </w:tcPr>
          <w:p w14:paraId="2B00F9C9"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1 017</w:t>
            </w:r>
          </w:p>
        </w:tc>
        <w:tc>
          <w:tcPr>
            <w:tcW w:w="1134" w:type="dxa"/>
          </w:tcPr>
          <w:p w14:paraId="5F7B4C5D"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(4 489)</w:t>
            </w:r>
          </w:p>
        </w:tc>
        <w:tc>
          <w:tcPr>
            <w:tcW w:w="709" w:type="dxa"/>
          </w:tcPr>
          <w:p w14:paraId="182D7C68"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18</w:t>
            </w:r>
          </w:p>
        </w:tc>
        <w:tc>
          <w:tcPr>
            <w:tcW w:w="709" w:type="dxa"/>
          </w:tcPr>
          <w:p w14:paraId="240A557C"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(902)</w:t>
            </w:r>
          </w:p>
        </w:tc>
      </w:tr>
      <w:tr w:rsidR="009C6724" w:rsidRPr="00205A06" w14:paraId="42239BB2" w14:textId="77777777" w:rsidTr="009C6724">
        <w:tc>
          <w:tcPr>
            <w:cnfStyle w:val="001000000000" w:firstRow="0" w:lastRow="0" w:firstColumn="1" w:lastColumn="0" w:oddVBand="0" w:evenVBand="0" w:oddHBand="0" w:evenHBand="0" w:firstRowFirstColumn="0" w:firstRowLastColumn="0" w:lastRowFirstColumn="0" w:lastRowLastColumn="0"/>
            <w:tcW w:w="3178" w:type="dxa"/>
            <w:gridSpan w:val="2"/>
          </w:tcPr>
          <w:p w14:paraId="73F4755D" w14:textId="77777777" w:rsidR="00AB205D" w:rsidRPr="00205A06" w:rsidRDefault="00471A3B">
            <w:pPr>
              <w:rPr>
                <w:szCs w:val="17"/>
              </w:rPr>
            </w:pPr>
            <w:r w:rsidRPr="00205A06">
              <w:rPr>
                <w:szCs w:val="17"/>
              </w:rPr>
              <w:t>Transfer to/(from) accumulated surplus</w:t>
            </w:r>
          </w:p>
        </w:tc>
        <w:tc>
          <w:tcPr>
            <w:tcW w:w="980" w:type="dxa"/>
          </w:tcPr>
          <w:p w14:paraId="04476680"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w:t>
            </w:r>
          </w:p>
        </w:tc>
        <w:tc>
          <w:tcPr>
            <w:tcW w:w="1087" w:type="dxa"/>
          </w:tcPr>
          <w:p w14:paraId="4233FDC3"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w:t>
            </w:r>
          </w:p>
        </w:tc>
        <w:tc>
          <w:tcPr>
            <w:tcW w:w="1134" w:type="dxa"/>
          </w:tcPr>
          <w:p w14:paraId="5F9B03B2"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w:t>
            </w:r>
          </w:p>
        </w:tc>
        <w:tc>
          <w:tcPr>
            <w:tcW w:w="709" w:type="dxa"/>
          </w:tcPr>
          <w:p w14:paraId="58E9A60B"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w:t>
            </w:r>
          </w:p>
        </w:tc>
        <w:tc>
          <w:tcPr>
            <w:tcW w:w="709" w:type="dxa"/>
          </w:tcPr>
          <w:p w14:paraId="1693E0CB"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w:t>
            </w:r>
          </w:p>
        </w:tc>
      </w:tr>
      <w:tr w:rsidR="009C6724" w:rsidRPr="00205A06" w14:paraId="6A81BA3B" w14:textId="77777777" w:rsidTr="009C6724">
        <w:tc>
          <w:tcPr>
            <w:cnfStyle w:val="001000000000" w:firstRow="0" w:lastRow="0" w:firstColumn="1" w:lastColumn="0" w:oddVBand="0" w:evenVBand="0" w:oddHBand="0" w:evenHBand="0" w:firstRowFirstColumn="0" w:firstRowLastColumn="0" w:lastRowFirstColumn="0" w:lastRowLastColumn="0"/>
            <w:tcW w:w="3178" w:type="dxa"/>
            <w:gridSpan w:val="2"/>
            <w:tcBorders>
              <w:top w:val="single" w:sz="6" w:space="0" w:color="auto"/>
              <w:bottom w:val="single" w:sz="6" w:space="0" w:color="auto"/>
            </w:tcBorders>
          </w:tcPr>
          <w:p w14:paraId="6B18CE3C" w14:textId="77777777" w:rsidR="00AB205D" w:rsidRPr="00205A06" w:rsidRDefault="00471A3B">
            <w:pPr>
              <w:rPr>
                <w:szCs w:val="17"/>
              </w:rPr>
            </w:pPr>
            <w:r w:rsidRPr="00205A06">
              <w:rPr>
                <w:b/>
                <w:szCs w:val="17"/>
              </w:rPr>
              <w:t>Total equity as at 30 June 2024</w:t>
            </w:r>
          </w:p>
        </w:tc>
        <w:tc>
          <w:tcPr>
            <w:tcW w:w="980" w:type="dxa"/>
            <w:tcBorders>
              <w:top w:val="single" w:sz="6" w:space="0" w:color="auto"/>
              <w:bottom w:val="single" w:sz="6" w:space="0" w:color="auto"/>
            </w:tcBorders>
          </w:tcPr>
          <w:p w14:paraId="31ACB415"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b/>
                <w:szCs w:val="17"/>
              </w:rPr>
              <w:t>44 404</w:t>
            </w:r>
          </w:p>
        </w:tc>
        <w:tc>
          <w:tcPr>
            <w:tcW w:w="1087" w:type="dxa"/>
            <w:tcBorders>
              <w:top w:val="single" w:sz="6" w:space="0" w:color="auto"/>
              <w:bottom w:val="single" w:sz="6" w:space="0" w:color="auto"/>
            </w:tcBorders>
          </w:tcPr>
          <w:p w14:paraId="49854CD7"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b/>
                <w:szCs w:val="17"/>
              </w:rPr>
              <w:t>92 286</w:t>
            </w:r>
          </w:p>
        </w:tc>
        <w:tc>
          <w:tcPr>
            <w:tcW w:w="1134" w:type="dxa"/>
            <w:tcBorders>
              <w:top w:val="single" w:sz="6" w:space="0" w:color="auto"/>
              <w:bottom w:val="single" w:sz="6" w:space="0" w:color="auto"/>
            </w:tcBorders>
          </w:tcPr>
          <w:p w14:paraId="19E1AB53"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b/>
                <w:szCs w:val="17"/>
              </w:rPr>
              <w:t>43 756</w:t>
            </w:r>
          </w:p>
        </w:tc>
        <w:tc>
          <w:tcPr>
            <w:tcW w:w="709" w:type="dxa"/>
            <w:tcBorders>
              <w:top w:val="single" w:sz="6" w:space="0" w:color="auto"/>
              <w:bottom w:val="single" w:sz="6" w:space="0" w:color="auto"/>
            </w:tcBorders>
          </w:tcPr>
          <w:p w14:paraId="0176531E"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b/>
                <w:szCs w:val="17"/>
              </w:rPr>
              <w:t>1 398</w:t>
            </w:r>
          </w:p>
        </w:tc>
        <w:tc>
          <w:tcPr>
            <w:tcW w:w="709" w:type="dxa"/>
            <w:tcBorders>
              <w:top w:val="single" w:sz="6" w:space="0" w:color="auto"/>
              <w:bottom w:val="single" w:sz="6" w:space="0" w:color="auto"/>
            </w:tcBorders>
          </w:tcPr>
          <w:p w14:paraId="335F4FB6"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b/>
                <w:szCs w:val="17"/>
              </w:rPr>
              <w:t>181 843</w:t>
            </w:r>
          </w:p>
        </w:tc>
      </w:tr>
      <w:tr w:rsidR="009C6724" w:rsidRPr="00205A06" w14:paraId="44B94423" w14:textId="77777777" w:rsidTr="009C6724">
        <w:tc>
          <w:tcPr>
            <w:cnfStyle w:val="001000000000" w:firstRow="0" w:lastRow="0" w:firstColumn="1" w:lastColumn="0" w:oddVBand="0" w:evenVBand="0" w:oddHBand="0" w:evenHBand="0" w:firstRowFirstColumn="0" w:firstRowLastColumn="0" w:lastRowFirstColumn="0" w:lastRowLastColumn="0"/>
            <w:tcW w:w="3178" w:type="dxa"/>
            <w:gridSpan w:val="2"/>
            <w:tcBorders>
              <w:top w:val="single" w:sz="6" w:space="0" w:color="auto"/>
            </w:tcBorders>
          </w:tcPr>
          <w:p w14:paraId="0DD248DC" w14:textId="77777777" w:rsidR="00AB205D" w:rsidRPr="00205A06" w:rsidRDefault="00471A3B">
            <w:pPr>
              <w:rPr>
                <w:szCs w:val="17"/>
              </w:rPr>
            </w:pPr>
            <w:r w:rsidRPr="00205A06">
              <w:rPr>
                <w:b/>
                <w:szCs w:val="17"/>
              </w:rPr>
              <w:t>2024</w:t>
            </w:r>
            <w:r w:rsidRPr="00205A06">
              <w:rPr>
                <w:b/>
                <w:szCs w:val="17"/>
              </w:rPr>
              <w:noBreakHyphen/>
              <w:t>25 estimate</w:t>
            </w:r>
          </w:p>
        </w:tc>
        <w:tc>
          <w:tcPr>
            <w:tcW w:w="980" w:type="dxa"/>
            <w:tcBorders>
              <w:top w:val="single" w:sz="6" w:space="0" w:color="auto"/>
            </w:tcBorders>
          </w:tcPr>
          <w:p w14:paraId="5741CC6E" w14:textId="77777777" w:rsidR="00AB205D" w:rsidRPr="00205A06" w:rsidRDefault="00AB205D">
            <w:pPr>
              <w:cnfStyle w:val="000000000000" w:firstRow="0" w:lastRow="0" w:firstColumn="0" w:lastColumn="0" w:oddVBand="0" w:evenVBand="0" w:oddHBand="0" w:evenHBand="0" w:firstRowFirstColumn="0" w:firstRowLastColumn="0" w:lastRowFirstColumn="0" w:lastRowLastColumn="0"/>
              <w:rPr>
                <w:szCs w:val="17"/>
              </w:rPr>
            </w:pPr>
          </w:p>
        </w:tc>
        <w:tc>
          <w:tcPr>
            <w:tcW w:w="1087" w:type="dxa"/>
            <w:tcBorders>
              <w:top w:val="single" w:sz="6" w:space="0" w:color="auto"/>
            </w:tcBorders>
          </w:tcPr>
          <w:p w14:paraId="124C6DC2" w14:textId="77777777" w:rsidR="00AB205D" w:rsidRPr="00205A06" w:rsidRDefault="00AB205D">
            <w:pPr>
              <w:cnfStyle w:val="000000000000" w:firstRow="0" w:lastRow="0" w:firstColumn="0" w:lastColumn="0" w:oddVBand="0" w:evenVBand="0" w:oddHBand="0" w:evenHBand="0" w:firstRowFirstColumn="0" w:firstRowLastColumn="0" w:lastRowFirstColumn="0" w:lastRowLastColumn="0"/>
              <w:rPr>
                <w:szCs w:val="17"/>
              </w:rPr>
            </w:pPr>
          </w:p>
        </w:tc>
        <w:tc>
          <w:tcPr>
            <w:tcW w:w="1134" w:type="dxa"/>
            <w:tcBorders>
              <w:top w:val="single" w:sz="6" w:space="0" w:color="auto"/>
            </w:tcBorders>
          </w:tcPr>
          <w:p w14:paraId="191B5E21" w14:textId="77777777" w:rsidR="00AB205D" w:rsidRPr="00205A06" w:rsidRDefault="00AB205D">
            <w:pPr>
              <w:cnfStyle w:val="000000000000" w:firstRow="0" w:lastRow="0" w:firstColumn="0" w:lastColumn="0" w:oddVBand="0" w:evenVBand="0" w:oddHBand="0" w:evenHBand="0" w:firstRowFirstColumn="0" w:firstRowLastColumn="0" w:lastRowFirstColumn="0" w:lastRowLastColumn="0"/>
              <w:rPr>
                <w:szCs w:val="17"/>
              </w:rPr>
            </w:pPr>
          </w:p>
        </w:tc>
        <w:tc>
          <w:tcPr>
            <w:tcW w:w="709" w:type="dxa"/>
            <w:tcBorders>
              <w:top w:val="single" w:sz="6" w:space="0" w:color="auto"/>
            </w:tcBorders>
          </w:tcPr>
          <w:p w14:paraId="49F6E9BC" w14:textId="77777777" w:rsidR="00AB205D" w:rsidRPr="00205A06" w:rsidRDefault="00AB205D">
            <w:pPr>
              <w:cnfStyle w:val="000000000000" w:firstRow="0" w:lastRow="0" w:firstColumn="0" w:lastColumn="0" w:oddVBand="0" w:evenVBand="0" w:oddHBand="0" w:evenHBand="0" w:firstRowFirstColumn="0" w:firstRowLastColumn="0" w:lastRowFirstColumn="0" w:lastRowLastColumn="0"/>
              <w:rPr>
                <w:szCs w:val="17"/>
              </w:rPr>
            </w:pPr>
          </w:p>
        </w:tc>
        <w:tc>
          <w:tcPr>
            <w:tcW w:w="709" w:type="dxa"/>
            <w:tcBorders>
              <w:top w:val="single" w:sz="6" w:space="0" w:color="auto"/>
            </w:tcBorders>
          </w:tcPr>
          <w:p w14:paraId="2071B1A8" w14:textId="77777777" w:rsidR="00AB205D" w:rsidRPr="00205A06" w:rsidRDefault="00AB205D">
            <w:pPr>
              <w:cnfStyle w:val="000000000000" w:firstRow="0" w:lastRow="0" w:firstColumn="0" w:lastColumn="0" w:oddVBand="0" w:evenVBand="0" w:oddHBand="0" w:evenHBand="0" w:firstRowFirstColumn="0" w:firstRowLastColumn="0" w:lastRowFirstColumn="0" w:lastRowLastColumn="0"/>
              <w:rPr>
                <w:szCs w:val="17"/>
              </w:rPr>
            </w:pPr>
          </w:p>
        </w:tc>
      </w:tr>
      <w:tr w:rsidR="009C6724" w:rsidRPr="00205A06" w14:paraId="41AA05D9" w14:textId="77777777" w:rsidTr="009C6724">
        <w:tc>
          <w:tcPr>
            <w:cnfStyle w:val="001000000000" w:firstRow="0" w:lastRow="0" w:firstColumn="1" w:lastColumn="0" w:oddVBand="0" w:evenVBand="0" w:oddHBand="0" w:evenHBand="0" w:firstRowFirstColumn="0" w:firstRowLastColumn="0" w:lastRowFirstColumn="0" w:lastRowLastColumn="0"/>
            <w:tcW w:w="3178" w:type="dxa"/>
            <w:gridSpan w:val="2"/>
          </w:tcPr>
          <w:p w14:paraId="1277BED8" w14:textId="77777777" w:rsidR="00AB205D" w:rsidRPr="00205A06" w:rsidRDefault="00471A3B">
            <w:pPr>
              <w:rPr>
                <w:szCs w:val="17"/>
              </w:rPr>
            </w:pPr>
            <w:r w:rsidRPr="00205A06">
              <w:rPr>
                <w:szCs w:val="17"/>
              </w:rPr>
              <w:t>Balance at 1 July 2024</w:t>
            </w:r>
          </w:p>
        </w:tc>
        <w:tc>
          <w:tcPr>
            <w:tcW w:w="980" w:type="dxa"/>
          </w:tcPr>
          <w:p w14:paraId="16E12CED"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44 404</w:t>
            </w:r>
          </w:p>
        </w:tc>
        <w:tc>
          <w:tcPr>
            <w:tcW w:w="1087" w:type="dxa"/>
          </w:tcPr>
          <w:p w14:paraId="57854C60"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92 286</w:t>
            </w:r>
          </w:p>
        </w:tc>
        <w:tc>
          <w:tcPr>
            <w:tcW w:w="1134" w:type="dxa"/>
          </w:tcPr>
          <w:p w14:paraId="2FCFD545"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43 756</w:t>
            </w:r>
          </w:p>
        </w:tc>
        <w:tc>
          <w:tcPr>
            <w:tcW w:w="709" w:type="dxa"/>
          </w:tcPr>
          <w:p w14:paraId="53357C1A"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1 398</w:t>
            </w:r>
          </w:p>
        </w:tc>
        <w:tc>
          <w:tcPr>
            <w:tcW w:w="709" w:type="dxa"/>
          </w:tcPr>
          <w:p w14:paraId="45E6C896"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181 843</w:t>
            </w:r>
          </w:p>
        </w:tc>
      </w:tr>
      <w:tr w:rsidR="009C6724" w:rsidRPr="00205A06" w14:paraId="3606E49D" w14:textId="77777777" w:rsidTr="009C6724">
        <w:tc>
          <w:tcPr>
            <w:cnfStyle w:val="001000000000" w:firstRow="0" w:lastRow="0" w:firstColumn="1" w:lastColumn="0" w:oddVBand="0" w:evenVBand="0" w:oddHBand="0" w:evenHBand="0" w:firstRowFirstColumn="0" w:firstRowLastColumn="0" w:lastRowFirstColumn="0" w:lastRowLastColumn="0"/>
            <w:tcW w:w="3178" w:type="dxa"/>
            <w:gridSpan w:val="2"/>
          </w:tcPr>
          <w:p w14:paraId="32AF2A21" w14:textId="77777777" w:rsidR="00AB205D" w:rsidRPr="00205A06" w:rsidRDefault="00471A3B">
            <w:pPr>
              <w:rPr>
                <w:szCs w:val="17"/>
              </w:rPr>
            </w:pPr>
            <w:r w:rsidRPr="00205A06">
              <w:rPr>
                <w:szCs w:val="17"/>
              </w:rPr>
              <w:t>Net result for the year</w:t>
            </w:r>
          </w:p>
        </w:tc>
        <w:tc>
          <w:tcPr>
            <w:tcW w:w="980" w:type="dxa"/>
          </w:tcPr>
          <w:p w14:paraId="04EFF4BB"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(1 351)</w:t>
            </w:r>
          </w:p>
        </w:tc>
        <w:tc>
          <w:tcPr>
            <w:tcW w:w="1087" w:type="dxa"/>
          </w:tcPr>
          <w:p w14:paraId="048C5B04"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w:t>
            </w:r>
          </w:p>
        </w:tc>
        <w:tc>
          <w:tcPr>
            <w:tcW w:w="1134" w:type="dxa"/>
          </w:tcPr>
          <w:p w14:paraId="178C5AF5"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w:t>
            </w:r>
          </w:p>
        </w:tc>
        <w:tc>
          <w:tcPr>
            <w:tcW w:w="709" w:type="dxa"/>
          </w:tcPr>
          <w:p w14:paraId="7E8A2CCF"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w:t>
            </w:r>
          </w:p>
        </w:tc>
        <w:tc>
          <w:tcPr>
            <w:tcW w:w="709" w:type="dxa"/>
          </w:tcPr>
          <w:p w14:paraId="15E6102A"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(1 351)</w:t>
            </w:r>
          </w:p>
        </w:tc>
      </w:tr>
      <w:tr w:rsidR="009C6724" w:rsidRPr="00205A06" w14:paraId="7A2C645F" w14:textId="77777777" w:rsidTr="009C6724">
        <w:tc>
          <w:tcPr>
            <w:cnfStyle w:val="001000000000" w:firstRow="0" w:lastRow="0" w:firstColumn="1" w:lastColumn="0" w:oddVBand="0" w:evenVBand="0" w:oddHBand="0" w:evenHBand="0" w:firstRowFirstColumn="0" w:firstRowLastColumn="0" w:lastRowFirstColumn="0" w:lastRowLastColumn="0"/>
            <w:tcW w:w="3178" w:type="dxa"/>
            <w:gridSpan w:val="2"/>
          </w:tcPr>
          <w:p w14:paraId="417D2E35" w14:textId="77777777" w:rsidR="00AB205D" w:rsidRPr="00205A06" w:rsidRDefault="00471A3B">
            <w:pPr>
              <w:rPr>
                <w:szCs w:val="17"/>
              </w:rPr>
            </w:pPr>
            <w:r w:rsidRPr="00205A06">
              <w:rPr>
                <w:szCs w:val="17"/>
              </w:rPr>
              <w:t>Other comprehensive income for the year</w:t>
            </w:r>
          </w:p>
        </w:tc>
        <w:tc>
          <w:tcPr>
            <w:tcW w:w="980" w:type="dxa"/>
          </w:tcPr>
          <w:p w14:paraId="7A62728E"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580</w:t>
            </w:r>
          </w:p>
        </w:tc>
        <w:tc>
          <w:tcPr>
            <w:tcW w:w="1087" w:type="dxa"/>
          </w:tcPr>
          <w:p w14:paraId="2DD1A07B"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15 018</w:t>
            </w:r>
          </w:p>
        </w:tc>
        <w:tc>
          <w:tcPr>
            <w:tcW w:w="1134" w:type="dxa"/>
          </w:tcPr>
          <w:p w14:paraId="5E0661ED"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(3 794)</w:t>
            </w:r>
          </w:p>
        </w:tc>
        <w:tc>
          <w:tcPr>
            <w:tcW w:w="709" w:type="dxa"/>
          </w:tcPr>
          <w:p w14:paraId="35E7B9BC"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18</w:t>
            </w:r>
          </w:p>
        </w:tc>
        <w:tc>
          <w:tcPr>
            <w:tcW w:w="709" w:type="dxa"/>
          </w:tcPr>
          <w:p w14:paraId="15CD25B6"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11 821</w:t>
            </w:r>
          </w:p>
        </w:tc>
      </w:tr>
      <w:tr w:rsidR="009C6724" w:rsidRPr="00205A06" w14:paraId="2ACB062A" w14:textId="77777777" w:rsidTr="009C6724">
        <w:tc>
          <w:tcPr>
            <w:cnfStyle w:val="001000000000" w:firstRow="0" w:lastRow="0" w:firstColumn="1" w:lastColumn="0" w:oddVBand="0" w:evenVBand="0" w:oddHBand="0" w:evenHBand="0" w:firstRowFirstColumn="0" w:firstRowLastColumn="0" w:lastRowFirstColumn="0" w:lastRowLastColumn="0"/>
            <w:tcW w:w="3178" w:type="dxa"/>
            <w:gridSpan w:val="2"/>
          </w:tcPr>
          <w:p w14:paraId="141385A1" w14:textId="77777777" w:rsidR="00AB205D" w:rsidRPr="00205A06" w:rsidRDefault="00471A3B">
            <w:pPr>
              <w:rPr>
                <w:szCs w:val="17"/>
              </w:rPr>
            </w:pPr>
            <w:r w:rsidRPr="00205A06">
              <w:rPr>
                <w:szCs w:val="17"/>
              </w:rPr>
              <w:t>Transfer to/(from) accumulated surplus</w:t>
            </w:r>
          </w:p>
        </w:tc>
        <w:tc>
          <w:tcPr>
            <w:tcW w:w="980" w:type="dxa"/>
          </w:tcPr>
          <w:p w14:paraId="4BFA215E"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w:t>
            </w:r>
          </w:p>
        </w:tc>
        <w:tc>
          <w:tcPr>
            <w:tcW w:w="1087" w:type="dxa"/>
          </w:tcPr>
          <w:p w14:paraId="55DEEF9C"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w:t>
            </w:r>
          </w:p>
        </w:tc>
        <w:tc>
          <w:tcPr>
            <w:tcW w:w="1134" w:type="dxa"/>
          </w:tcPr>
          <w:p w14:paraId="649B130E"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w:t>
            </w:r>
          </w:p>
        </w:tc>
        <w:tc>
          <w:tcPr>
            <w:tcW w:w="709" w:type="dxa"/>
          </w:tcPr>
          <w:p w14:paraId="2C36E2B1"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w:t>
            </w:r>
          </w:p>
        </w:tc>
        <w:tc>
          <w:tcPr>
            <w:tcW w:w="709" w:type="dxa"/>
          </w:tcPr>
          <w:p w14:paraId="50A37BA3"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w:t>
            </w:r>
          </w:p>
        </w:tc>
      </w:tr>
      <w:tr w:rsidR="009C6724" w:rsidRPr="00205A06" w14:paraId="2A3BBCCE" w14:textId="77777777" w:rsidTr="009C6724">
        <w:tc>
          <w:tcPr>
            <w:cnfStyle w:val="001000000000" w:firstRow="0" w:lastRow="0" w:firstColumn="1" w:lastColumn="0" w:oddVBand="0" w:evenVBand="0" w:oddHBand="0" w:evenHBand="0" w:firstRowFirstColumn="0" w:firstRowLastColumn="0" w:lastRowFirstColumn="0" w:lastRowLastColumn="0"/>
            <w:tcW w:w="3178" w:type="dxa"/>
            <w:gridSpan w:val="2"/>
            <w:tcBorders>
              <w:top w:val="single" w:sz="6" w:space="0" w:color="auto"/>
              <w:bottom w:val="single" w:sz="6" w:space="0" w:color="auto"/>
            </w:tcBorders>
          </w:tcPr>
          <w:p w14:paraId="49B84CF4" w14:textId="77777777" w:rsidR="00AB205D" w:rsidRPr="00205A06" w:rsidRDefault="00471A3B">
            <w:pPr>
              <w:rPr>
                <w:szCs w:val="17"/>
              </w:rPr>
            </w:pPr>
            <w:r w:rsidRPr="00205A06">
              <w:rPr>
                <w:b/>
                <w:szCs w:val="17"/>
              </w:rPr>
              <w:t>Total equity as at 30 June 2025</w:t>
            </w:r>
          </w:p>
        </w:tc>
        <w:tc>
          <w:tcPr>
            <w:tcW w:w="980" w:type="dxa"/>
            <w:tcBorders>
              <w:top w:val="single" w:sz="6" w:space="0" w:color="auto"/>
              <w:bottom w:val="single" w:sz="6" w:space="0" w:color="auto"/>
            </w:tcBorders>
          </w:tcPr>
          <w:p w14:paraId="3E6D025C"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b/>
                <w:szCs w:val="17"/>
              </w:rPr>
              <w:t>43 633</w:t>
            </w:r>
          </w:p>
        </w:tc>
        <w:tc>
          <w:tcPr>
            <w:tcW w:w="1087" w:type="dxa"/>
            <w:tcBorders>
              <w:top w:val="single" w:sz="6" w:space="0" w:color="auto"/>
              <w:bottom w:val="single" w:sz="6" w:space="0" w:color="auto"/>
            </w:tcBorders>
          </w:tcPr>
          <w:p w14:paraId="77005577"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b/>
                <w:szCs w:val="17"/>
              </w:rPr>
              <w:t>107 304</w:t>
            </w:r>
          </w:p>
        </w:tc>
        <w:tc>
          <w:tcPr>
            <w:tcW w:w="1134" w:type="dxa"/>
            <w:tcBorders>
              <w:top w:val="single" w:sz="6" w:space="0" w:color="auto"/>
              <w:bottom w:val="single" w:sz="6" w:space="0" w:color="auto"/>
            </w:tcBorders>
          </w:tcPr>
          <w:p w14:paraId="62DBB276"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b/>
                <w:szCs w:val="17"/>
              </w:rPr>
              <w:t>39 962</w:t>
            </w:r>
          </w:p>
        </w:tc>
        <w:tc>
          <w:tcPr>
            <w:tcW w:w="709" w:type="dxa"/>
            <w:tcBorders>
              <w:top w:val="single" w:sz="6" w:space="0" w:color="auto"/>
              <w:bottom w:val="single" w:sz="6" w:space="0" w:color="auto"/>
            </w:tcBorders>
          </w:tcPr>
          <w:p w14:paraId="215A3901"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b/>
                <w:szCs w:val="17"/>
              </w:rPr>
              <w:t>1 416</w:t>
            </w:r>
          </w:p>
        </w:tc>
        <w:tc>
          <w:tcPr>
            <w:tcW w:w="709" w:type="dxa"/>
            <w:tcBorders>
              <w:top w:val="single" w:sz="6" w:space="0" w:color="auto"/>
              <w:bottom w:val="single" w:sz="6" w:space="0" w:color="auto"/>
            </w:tcBorders>
          </w:tcPr>
          <w:p w14:paraId="1D499091"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b/>
                <w:szCs w:val="17"/>
              </w:rPr>
              <w:t>192 314</w:t>
            </w:r>
          </w:p>
        </w:tc>
      </w:tr>
      <w:tr w:rsidR="009C6724" w:rsidRPr="00205A06" w14:paraId="52834765" w14:textId="77777777" w:rsidTr="009C6724">
        <w:tc>
          <w:tcPr>
            <w:cnfStyle w:val="001000000000" w:firstRow="0" w:lastRow="0" w:firstColumn="1" w:lastColumn="0" w:oddVBand="0" w:evenVBand="0" w:oddHBand="0" w:evenHBand="0" w:firstRowFirstColumn="0" w:firstRowLastColumn="0" w:lastRowFirstColumn="0" w:lastRowLastColumn="0"/>
            <w:tcW w:w="3178" w:type="dxa"/>
            <w:gridSpan w:val="2"/>
            <w:tcBorders>
              <w:top w:val="single" w:sz="6" w:space="0" w:color="auto"/>
            </w:tcBorders>
          </w:tcPr>
          <w:p w14:paraId="50C6F22B" w14:textId="77777777" w:rsidR="00AB205D" w:rsidRPr="00205A06" w:rsidRDefault="00471A3B">
            <w:pPr>
              <w:rPr>
                <w:szCs w:val="17"/>
              </w:rPr>
            </w:pPr>
            <w:r w:rsidRPr="00205A06">
              <w:rPr>
                <w:b/>
                <w:szCs w:val="17"/>
              </w:rPr>
              <w:t>2025</w:t>
            </w:r>
            <w:r w:rsidRPr="00205A06">
              <w:rPr>
                <w:b/>
                <w:szCs w:val="17"/>
              </w:rPr>
              <w:noBreakHyphen/>
              <w:t>26 estimate</w:t>
            </w:r>
          </w:p>
        </w:tc>
        <w:tc>
          <w:tcPr>
            <w:tcW w:w="980" w:type="dxa"/>
            <w:tcBorders>
              <w:top w:val="single" w:sz="6" w:space="0" w:color="auto"/>
            </w:tcBorders>
          </w:tcPr>
          <w:p w14:paraId="7B453276" w14:textId="77777777" w:rsidR="00AB205D" w:rsidRPr="00205A06" w:rsidRDefault="00AB205D">
            <w:pPr>
              <w:cnfStyle w:val="000000000000" w:firstRow="0" w:lastRow="0" w:firstColumn="0" w:lastColumn="0" w:oddVBand="0" w:evenVBand="0" w:oddHBand="0" w:evenHBand="0" w:firstRowFirstColumn="0" w:firstRowLastColumn="0" w:lastRowFirstColumn="0" w:lastRowLastColumn="0"/>
              <w:rPr>
                <w:szCs w:val="17"/>
              </w:rPr>
            </w:pPr>
          </w:p>
        </w:tc>
        <w:tc>
          <w:tcPr>
            <w:tcW w:w="1087" w:type="dxa"/>
            <w:tcBorders>
              <w:top w:val="single" w:sz="6" w:space="0" w:color="auto"/>
            </w:tcBorders>
          </w:tcPr>
          <w:p w14:paraId="28ADC6B7" w14:textId="77777777" w:rsidR="00AB205D" w:rsidRPr="00205A06" w:rsidRDefault="00AB205D">
            <w:pPr>
              <w:cnfStyle w:val="000000000000" w:firstRow="0" w:lastRow="0" w:firstColumn="0" w:lastColumn="0" w:oddVBand="0" w:evenVBand="0" w:oddHBand="0" w:evenHBand="0" w:firstRowFirstColumn="0" w:firstRowLastColumn="0" w:lastRowFirstColumn="0" w:lastRowLastColumn="0"/>
              <w:rPr>
                <w:szCs w:val="17"/>
              </w:rPr>
            </w:pPr>
          </w:p>
        </w:tc>
        <w:tc>
          <w:tcPr>
            <w:tcW w:w="1134" w:type="dxa"/>
            <w:tcBorders>
              <w:top w:val="single" w:sz="6" w:space="0" w:color="auto"/>
            </w:tcBorders>
          </w:tcPr>
          <w:p w14:paraId="2DAD190C" w14:textId="77777777" w:rsidR="00AB205D" w:rsidRPr="00205A06" w:rsidRDefault="00AB205D">
            <w:pPr>
              <w:cnfStyle w:val="000000000000" w:firstRow="0" w:lastRow="0" w:firstColumn="0" w:lastColumn="0" w:oddVBand="0" w:evenVBand="0" w:oddHBand="0" w:evenHBand="0" w:firstRowFirstColumn="0" w:firstRowLastColumn="0" w:lastRowFirstColumn="0" w:lastRowLastColumn="0"/>
              <w:rPr>
                <w:szCs w:val="17"/>
              </w:rPr>
            </w:pPr>
          </w:p>
        </w:tc>
        <w:tc>
          <w:tcPr>
            <w:tcW w:w="709" w:type="dxa"/>
            <w:tcBorders>
              <w:top w:val="single" w:sz="6" w:space="0" w:color="auto"/>
            </w:tcBorders>
          </w:tcPr>
          <w:p w14:paraId="64A6AE89" w14:textId="77777777" w:rsidR="00AB205D" w:rsidRPr="00205A06" w:rsidRDefault="00AB205D">
            <w:pPr>
              <w:cnfStyle w:val="000000000000" w:firstRow="0" w:lastRow="0" w:firstColumn="0" w:lastColumn="0" w:oddVBand="0" w:evenVBand="0" w:oddHBand="0" w:evenHBand="0" w:firstRowFirstColumn="0" w:firstRowLastColumn="0" w:lastRowFirstColumn="0" w:lastRowLastColumn="0"/>
              <w:rPr>
                <w:szCs w:val="17"/>
              </w:rPr>
            </w:pPr>
          </w:p>
        </w:tc>
        <w:tc>
          <w:tcPr>
            <w:tcW w:w="709" w:type="dxa"/>
            <w:tcBorders>
              <w:top w:val="single" w:sz="6" w:space="0" w:color="auto"/>
            </w:tcBorders>
          </w:tcPr>
          <w:p w14:paraId="69829B0E" w14:textId="77777777" w:rsidR="00AB205D" w:rsidRPr="00205A06" w:rsidRDefault="00AB205D">
            <w:pPr>
              <w:cnfStyle w:val="000000000000" w:firstRow="0" w:lastRow="0" w:firstColumn="0" w:lastColumn="0" w:oddVBand="0" w:evenVBand="0" w:oddHBand="0" w:evenHBand="0" w:firstRowFirstColumn="0" w:firstRowLastColumn="0" w:lastRowFirstColumn="0" w:lastRowLastColumn="0"/>
              <w:rPr>
                <w:szCs w:val="17"/>
              </w:rPr>
            </w:pPr>
          </w:p>
        </w:tc>
      </w:tr>
      <w:tr w:rsidR="009C6724" w:rsidRPr="00205A06" w14:paraId="7305083B" w14:textId="77777777" w:rsidTr="009C6724">
        <w:tc>
          <w:tcPr>
            <w:cnfStyle w:val="001000000000" w:firstRow="0" w:lastRow="0" w:firstColumn="1" w:lastColumn="0" w:oddVBand="0" w:evenVBand="0" w:oddHBand="0" w:evenHBand="0" w:firstRowFirstColumn="0" w:firstRowLastColumn="0" w:lastRowFirstColumn="0" w:lastRowLastColumn="0"/>
            <w:tcW w:w="3178" w:type="dxa"/>
            <w:gridSpan w:val="2"/>
          </w:tcPr>
          <w:p w14:paraId="1156C955" w14:textId="77777777" w:rsidR="00AB205D" w:rsidRPr="00205A06" w:rsidRDefault="00471A3B">
            <w:pPr>
              <w:rPr>
                <w:szCs w:val="17"/>
              </w:rPr>
            </w:pPr>
            <w:r w:rsidRPr="00205A06">
              <w:rPr>
                <w:szCs w:val="17"/>
              </w:rPr>
              <w:t>Balance at 1 July 2025</w:t>
            </w:r>
          </w:p>
        </w:tc>
        <w:tc>
          <w:tcPr>
            <w:tcW w:w="980" w:type="dxa"/>
          </w:tcPr>
          <w:p w14:paraId="49767AF9"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43 633</w:t>
            </w:r>
          </w:p>
        </w:tc>
        <w:tc>
          <w:tcPr>
            <w:tcW w:w="1087" w:type="dxa"/>
          </w:tcPr>
          <w:p w14:paraId="61588C07"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107 304</w:t>
            </w:r>
          </w:p>
        </w:tc>
        <w:tc>
          <w:tcPr>
            <w:tcW w:w="1134" w:type="dxa"/>
          </w:tcPr>
          <w:p w14:paraId="1D00E620"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39 962</w:t>
            </w:r>
          </w:p>
        </w:tc>
        <w:tc>
          <w:tcPr>
            <w:tcW w:w="709" w:type="dxa"/>
          </w:tcPr>
          <w:p w14:paraId="46891D96"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1 416</w:t>
            </w:r>
          </w:p>
        </w:tc>
        <w:tc>
          <w:tcPr>
            <w:tcW w:w="709" w:type="dxa"/>
          </w:tcPr>
          <w:p w14:paraId="1540D3AB"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192 314</w:t>
            </w:r>
          </w:p>
        </w:tc>
      </w:tr>
      <w:tr w:rsidR="009C6724" w:rsidRPr="00205A06" w14:paraId="7D52E2F5" w14:textId="77777777" w:rsidTr="009C6724">
        <w:tc>
          <w:tcPr>
            <w:cnfStyle w:val="001000000000" w:firstRow="0" w:lastRow="0" w:firstColumn="1" w:lastColumn="0" w:oddVBand="0" w:evenVBand="0" w:oddHBand="0" w:evenHBand="0" w:firstRowFirstColumn="0" w:firstRowLastColumn="0" w:lastRowFirstColumn="0" w:lastRowLastColumn="0"/>
            <w:tcW w:w="3178" w:type="dxa"/>
            <w:gridSpan w:val="2"/>
          </w:tcPr>
          <w:p w14:paraId="2319B9B8" w14:textId="77777777" w:rsidR="00AB205D" w:rsidRPr="00205A06" w:rsidRDefault="00471A3B">
            <w:pPr>
              <w:rPr>
                <w:szCs w:val="17"/>
              </w:rPr>
            </w:pPr>
            <w:r w:rsidRPr="00205A06">
              <w:rPr>
                <w:szCs w:val="17"/>
              </w:rPr>
              <w:t>Net result for the year</w:t>
            </w:r>
          </w:p>
        </w:tc>
        <w:tc>
          <w:tcPr>
            <w:tcW w:w="980" w:type="dxa"/>
          </w:tcPr>
          <w:p w14:paraId="2CF68C1B"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853</w:t>
            </w:r>
          </w:p>
        </w:tc>
        <w:tc>
          <w:tcPr>
            <w:tcW w:w="1087" w:type="dxa"/>
          </w:tcPr>
          <w:p w14:paraId="0969AD7F"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w:t>
            </w:r>
          </w:p>
        </w:tc>
        <w:tc>
          <w:tcPr>
            <w:tcW w:w="1134" w:type="dxa"/>
          </w:tcPr>
          <w:p w14:paraId="363191C4"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w:t>
            </w:r>
          </w:p>
        </w:tc>
        <w:tc>
          <w:tcPr>
            <w:tcW w:w="709" w:type="dxa"/>
          </w:tcPr>
          <w:p w14:paraId="26B1E1A0"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w:t>
            </w:r>
          </w:p>
        </w:tc>
        <w:tc>
          <w:tcPr>
            <w:tcW w:w="709" w:type="dxa"/>
          </w:tcPr>
          <w:p w14:paraId="11296D4D"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853</w:t>
            </w:r>
          </w:p>
        </w:tc>
      </w:tr>
      <w:tr w:rsidR="009C6724" w:rsidRPr="00205A06" w14:paraId="1CAA2A47" w14:textId="77777777" w:rsidTr="009C6724">
        <w:tc>
          <w:tcPr>
            <w:cnfStyle w:val="001000000000" w:firstRow="0" w:lastRow="0" w:firstColumn="1" w:lastColumn="0" w:oddVBand="0" w:evenVBand="0" w:oddHBand="0" w:evenHBand="0" w:firstRowFirstColumn="0" w:firstRowLastColumn="0" w:lastRowFirstColumn="0" w:lastRowLastColumn="0"/>
            <w:tcW w:w="3178" w:type="dxa"/>
            <w:gridSpan w:val="2"/>
          </w:tcPr>
          <w:p w14:paraId="6FD9D5D9" w14:textId="77777777" w:rsidR="00AB205D" w:rsidRPr="00205A06" w:rsidRDefault="00471A3B">
            <w:pPr>
              <w:rPr>
                <w:szCs w:val="17"/>
              </w:rPr>
            </w:pPr>
            <w:r w:rsidRPr="00205A06">
              <w:rPr>
                <w:szCs w:val="17"/>
              </w:rPr>
              <w:t>Other comprehensive income for the year</w:t>
            </w:r>
          </w:p>
        </w:tc>
        <w:tc>
          <w:tcPr>
            <w:tcW w:w="980" w:type="dxa"/>
          </w:tcPr>
          <w:p w14:paraId="12EDE7FC"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540</w:t>
            </w:r>
          </w:p>
        </w:tc>
        <w:tc>
          <w:tcPr>
            <w:tcW w:w="1087" w:type="dxa"/>
          </w:tcPr>
          <w:p w14:paraId="4BE975A7"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2 882</w:t>
            </w:r>
          </w:p>
        </w:tc>
        <w:tc>
          <w:tcPr>
            <w:tcW w:w="1134" w:type="dxa"/>
          </w:tcPr>
          <w:p w14:paraId="56536FF8"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(16 752)</w:t>
            </w:r>
          </w:p>
        </w:tc>
        <w:tc>
          <w:tcPr>
            <w:tcW w:w="709" w:type="dxa"/>
          </w:tcPr>
          <w:p w14:paraId="59FB50F0"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18</w:t>
            </w:r>
          </w:p>
        </w:tc>
        <w:tc>
          <w:tcPr>
            <w:tcW w:w="709" w:type="dxa"/>
          </w:tcPr>
          <w:p w14:paraId="195CEAD8"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(13 313)</w:t>
            </w:r>
          </w:p>
        </w:tc>
      </w:tr>
      <w:tr w:rsidR="009C6724" w:rsidRPr="00205A06" w14:paraId="4B4AC958" w14:textId="77777777" w:rsidTr="009C6724">
        <w:tc>
          <w:tcPr>
            <w:cnfStyle w:val="001000000000" w:firstRow="0" w:lastRow="0" w:firstColumn="1" w:lastColumn="0" w:oddVBand="0" w:evenVBand="0" w:oddHBand="0" w:evenHBand="0" w:firstRowFirstColumn="0" w:firstRowLastColumn="0" w:lastRowFirstColumn="0" w:lastRowLastColumn="0"/>
            <w:tcW w:w="3178" w:type="dxa"/>
            <w:gridSpan w:val="2"/>
          </w:tcPr>
          <w:p w14:paraId="4724960C" w14:textId="77777777" w:rsidR="00AB205D" w:rsidRPr="00205A06" w:rsidRDefault="00471A3B">
            <w:pPr>
              <w:rPr>
                <w:szCs w:val="17"/>
              </w:rPr>
            </w:pPr>
            <w:r w:rsidRPr="00205A06">
              <w:rPr>
                <w:szCs w:val="17"/>
              </w:rPr>
              <w:t>Transfer to/(from) accumulated surplus</w:t>
            </w:r>
          </w:p>
        </w:tc>
        <w:tc>
          <w:tcPr>
            <w:tcW w:w="980" w:type="dxa"/>
          </w:tcPr>
          <w:p w14:paraId="619D234C"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345</w:t>
            </w:r>
          </w:p>
        </w:tc>
        <w:tc>
          <w:tcPr>
            <w:tcW w:w="1087" w:type="dxa"/>
          </w:tcPr>
          <w:p w14:paraId="64600BC0"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(345)</w:t>
            </w:r>
          </w:p>
        </w:tc>
        <w:tc>
          <w:tcPr>
            <w:tcW w:w="1134" w:type="dxa"/>
          </w:tcPr>
          <w:p w14:paraId="53AFA93A"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w:t>
            </w:r>
          </w:p>
        </w:tc>
        <w:tc>
          <w:tcPr>
            <w:tcW w:w="709" w:type="dxa"/>
          </w:tcPr>
          <w:p w14:paraId="14FC062A"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w:t>
            </w:r>
          </w:p>
        </w:tc>
        <w:tc>
          <w:tcPr>
            <w:tcW w:w="709" w:type="dxa"/>
          </w:tcPr>
          <w:p w14:paraId="238548E9"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w:t>
            </w:r>
          </w:p>
        </w:tc>
      </w:tr>
      <w:tr w:rsidR="009C6724" w:rsidRPr="00205A06" w14:paraId="3C580AA5" w14:textId="77777777" w:rsidTr="009C6724">
        <w:tc>
          <w:tcPr>
            <w:cnfStyle w:val="001000000000" w:firstRow="0" w:lastRow="0" w:firstColumn="1" w:lastColumn="0" w:oddVBand="0" w:evenVBand="0" w:oddHBand="0" w:evenHBand="0" w:firstRowFirstColumn="0" w:firstRowLastColumn="0" w:lastRowFirstColumn="0" w:lastRowLastColumn="0"/>
            <w:tcW w:w="3178" w:type="dxa"/>
            <w:gridSpan w:val="2"/>
            <w:tcBorders>
              <w:top w:val="single" w:sz="6" w:space="0" w:color="auto"/>
              <w:bottom w:val="single" w:sz="6" w:space="0" w:color="auto"/>
            </w:tcBorders>
          </w:tcPr>
          <w:p w14:paraId="0F1AFF60" w14:textId="77777777" w:rsidR="00AB205D" w:rsidRPr="00205A06" w:rsidRDefault="00471A3B">
            <w:pPr>
              <w:rPr>
                <w:szCs w:val="17"/>
              </w:rPr>
            </w:pPr>
            <w:r w:rsidRPr="00205A06">
              <w:rPr>
                <w:b/>
                <w:szCs w:val="17"/>
              </w:rPr>
              <w:t>Total equity as at 30 June 2026</w:t>
            </w:r>
          </w:p>
        </w:tc>
        <w:tc>
          <w:tcPr>
            <w:tcW w:w="980" w:type="dxa"/>
            <w:tcBorders>
              <w:top w:val="single" w:sz="6" w:space="0" w:color="auto"/>
              <w:bottom w:val="single" w:sz="6" w:space="0" w:color="auto"/>
            </w:tcBorders>
          </w:tcPr>
          <w:p w14:paraId="19C3C784"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b/>
                <w:szCs w:val="17"/>
              </w:rPr>
              <w:t>45 371</w:t>
            </w:r>
          </w:p>
        </w:tc>
        <w:tc>
          <w:tcPr>
            <w:tcW w:w="1087" w:type="dxa"/>
            <w:tcBorders>
              <w:top w:val="single" w:sz="6" w:space="0" w:color="auto"/>
              <w:bottom w:val="single" w:sz="6" w:space="0" w:color="auto"/>
            </w:tcBorders>
          </w:tcPr>
          <w:p w14:paraId="06C9CAEE"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b/>
                <w:szCs w:val="17"/>
              </w:rPr>
              <w:t>109 840</w:t>
            </w:r>
          </w:p>
        </w:tc>
        <w:tc>
          <w:tcPr>
            <w:tcW w:w="1134" w:type="dxa"/>
            <w:tcBorders>
              <w:top w:val="single" w:sz="6" w:space="0" w:color="auto"/>
              <w:bottom w:val="single" w:sz="6" w:space="0" w:color="auto"/>
            </w:tcBorders>
          </w:tcPr>
          <w:p w14:paraId="067AB3E1"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b/>
                <w:szCs w:val="17"/>
              </w:rPr>
              <w:t>23 209</w:t>
            </w:r>
          </w:p>
        </w:tc>
        <w:tc>
          <w:tcPr>
            <w:tcW w:w="709" w:type="dxa"/>
            <w:tcBorders>
              <w:top w:val="single" w:sz="6" w:space="0" w:color="auto"/>
              <w:bottom w:val="single" w:sz="6" w:space="0" w:color="auto"/>
            </w:tcBorders>
          </w:tcPr>
          <w:p w14:paraId="2C5360AF"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b/>
                <w:szCs w:val="17"/>
              </w:rPr>
              <w:t>1 434</w:t>
            </w:r>
          </w:p>
        </w:tc>
        <w:tc>
          <w:tcPr>
            <w:tcW w:w="709" w:type="dxa"/>
            <w:tcBorders>
              <w:top w:val="single" w:sz="6" w:space="0" w:color="auto"/>
              <w:bottom w:val="single" w:sz="6" w:space="0" w:color="auto"/>
            </w:tcBorders>
          </w:tcPr>
          <w:p w14:paraId="15B0D7EB"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b/>
                <w:szCs w:val="17"/>
              </w:rPr>
              <w:t>179 854</w:t>
            </w:r>
          </w:p>
        </w:tc>
      </w:tr>
      <w:tr w:rsidR="009C6724" w:rsidRPr="00205A06" w14:paraId="68679A06" w14:textId="77777777" w:rsidTr="009C6724">
        <w:tc>
          <w:tcPr>
            <w:cnfStyle w:val="001000000000" w:firstRow="0" w:lastRow="0" w:firstColumn="1" w:lastColumn="0" w:oddVBand="0" w:evenVBand="0" w:oddHBand="0" w:evenHBand="0" w:firstRowFirstColumn="0" w:firstRowLastColumn="0" w:lastRowFirstColumn="0" w:lastRowLastColumn="0"/>
            <w:tcW w:w="3178" w:type="dxa"/>
            <w:gridSpan w:val="2"/>
            <w:tcBorders>
              <w:top w:val="single" w:sz="6" w:space="0" w:color="auto"/>
            </w:tcBorders>
          </w:tcPr>
          <w:p w14:paraId="189D1F3B" w14:textId="77777777" w:rsidR="00AB205D" w:rsidRPr="00205A06" w:rsidRDefault="00471A3B">
            <w:pPr>
              <w:rPr>
                <w:szCs w:val="17"/>
              </w:rPr>
            </w:pPr>
            <w:r w:rsidRPr="00205A06">
              <w:rPr>
                <w:b/>
                <w:szCs w:val="17"/>
              </w:rPr>
              <w:t>2026</w:t>
            </w:r>
            <w:r w:rsidRPr="00205A06">
              <w:rPr>
                <w:b/>
                <w:szCs w:val="17"/>
              </w:rPr>
              <w:noBreakHyphen/>
              <w:t>27 estimate</w:t>
            </w:r>
          </w:p>
        </w:tc>
        <w:tc>
          <w:tcPr>
            <w:tcW w:w="980" w:type="dxa"/>
            <w:tcBorders>
              <w:top w:val="single" w:sz="6" w:space="0" w:color="auto"/>
            </w:tcBorders>
          </w:tcPr>
          <w:p w14:paraId="5EC3D241" w14:textId="77777777" w:rsidR="00AB205D" w:rsidRPr="00205A06" w:rsidRDefault="00AB205D">
            <w:pPr>
              <w:cnfStyle w:val="000000000000" w:firstRow="0" w:lastRow="0" w:firstColumn="0" w:lastColumn="0" w:oddVBand="0" w:evenVBand="0" w:oddHBand="0" w:evenHBand="0" w:firstRowFirstColumn="0" w:firstRowLastColumn="0" w:lastRowFirstColumn="0" w:lastRowLastColumn="0"/>
              <w:rPr>
                <w:szCs w:val="17"/>
              </w:rPr>
            </w:pPr>
          </w:p>
        </w:tc>
        <w:tc>
          <w:tcPr>
            <w:tcW w:w="1087" w:type="dxa"/>
            <w:tcBorders>
              <w:top w:val="single" w:sz="6" w:space="0" w:color="auto"/>
            </w:tcBorders>
          </w:tcPr>
          <w:p w14:paraId="1965EDD1" w14:textId="77777777" w:rsidR="00AB205D" w:rsidRPr="00205A06" w:rsidRDefault="00AB205D">
            <w:pPr>
              <w:cnfStyle w:val="000000000000" w:firstRow="0" w:lastRow="0" w:firstColumn="0" w:lastColumn="0" w:oddVBand="0" w:evenVBand="0" w:oddHBand="0" w:evenHBand="0" w:firstRowFirstColumn="0" w:firstRowLastColumn="0" w:lastRowFirstColumn="0" w:lastRowLastColumn="0"/>
              <w:rPr>
                <w:szCs w:val="17"/>
              </w:rPr>
            </w:pPr>
          </w:p>
        </w:tc>
        <w:tc>
          <w:tcPr>
            <w:tcW w:w="1134" w:type="dxa"/>
            <w:tcBorders>
              <w:top w:val="single" w:sz="6" w:space="0" w:color="auto"/>
            </w:tcBorders>
          </w:tcPr>
          <w:p w14:paraId="76613B78" w14:textId="77777777" w:rsidR="00AB205D" w:rsidRPr="00205A06" w:rsidRDefault="00AB205D">
            <w:pPr>
              <w:cnfStyle w:val="000000000000" w:firstRow="0" w:lastRow="0" w:firstColumn="0" w:lastColumn="0" w:oddVBand="0" w:evenVBand="0" w:oddHBand="0" w:evenHBand="0" w:firstRowFirstColumn="0" w:firstRowLastColumn="0" w:lastRowFirstColumn="0" w:lastRowLastColumn="0"/>
              <w:rPr>
                <w:szCs w:val="17"/>
              </w:rPr>
            </w:pPr>
          </w:p>
        </w:tc>
        <w:tc>
          <w:tcPr>
            <w:tcW w:w="709" w:type="dxa"/>
            <w:tcBorders>
              <w:top w:val="single" w:sz="6" w:space="0" w:color="auto"/>
            </w:tcBorders>
          </w:tcPr>
          <w:p w14:paraId="0B3374EA" w14:textId="77777777" w:rsidR="00AB205D" w:rsidRPr="00205A06" w:rsidRDefault="00AB205D">
            <w:pPr>
              <w:cnfStyle w:val="000000000000" w:firstRow="0" w:lastRow="0" w:firstColumn="0" w:lastColumn="0" w:oddVBand="0" w:evenVBand="0" w:oddHBand="0" w:evenHBand="0" w:firstRowFirstColumn="0" w:firstRowLastColumn="0" w:lastRowFirstColumn="0" w:lastRowLastColumn="0"/>
              <w:rPr>
                <w:szCs w:val="17"/>
              </w:rPr>
            </w:pPr>
          </w:p>
        </w:tc>
        <w:tc>
          <w:tcPr>
            <w:tcW w:w="709" w:type="dxa"/>
            <w:tcBorders>
              <w:top w:val="single" w:sz="6" w:space="0" w:color="auto"/>
            </w:tcBorders>
          </w:tcPr>
          <w:p w14:paraId="5018F479" w14:textId="77777777" w:rsidR="00AB205D" w:rsidRPr="00205A06" w:rsidRDefault="00AB205D">
            <w:pPr>
              <w:cnfStyle w:val="000000000000" w:firstRow="0" w:lastRow="0" w:firstColumn="0" w:lastColumn="0" w:oddVBand="0" w:evenVBand="0" w:oddHBand="0" w:evenHBand="0" w:firstRowFirstColumn="0" w:firstRowLastColumn="0" w:lastRowFirstColumn="0" w:lastRowLastColumn="0"/>
              <w:rPr>
                <w:szCs w:val="17"/>
              </w:rPr>
            </w:pPr>
          </w:p>
        </w:tc>
      </w:tr>
      <w:tr w:rsidR="009C6724" w:rsidRPr="00205A06" w14:paraId="63093A0F" w14:textId="77777777" w:rsidTr="009C6724">
        <w:tc>
          <w:tcPr>
            <w:cnfStyle w:val="001000000000" w:firstRow="0" w:lastRow="0" w:firstColumn="1" w:lastColumn="0" w:oddVBand="0" w:evenVBand="0" w:oddHBand="0" w:evenHBand="0" w:firstRowFirstColumn="0" w:firstRowLastColumn="0" w:lastRowFirstColumn="0" w:lastRowLastColumn="0"/>
            <w:tcW w:w="3178" w:type="dxa"/>
            <w:gridSpan w:val="2"/>
          </w:tcPr>
          <w:p w14:paraId="698CD0BD" w14:textId="77777777" w:rsidR="00AB205D" w:rsidRPr="00205A06" w:rsidRDefault="00471A3B">
            <w:pPr>
              <w:rPr>
                <w:szCs w:val="17"/>
              </w:rPr>
            </w:pPr>
            <w:r w:rsidRPr="00205A06">
              <w:rPr>
                <w:szCs w:val="17"/>
              </w:rPr>
              <w:t>Balance at 1 July 2026</w:t>
            </w:r>
          </w:p>
        </w:tc>
        <w:tc>
          <w:tcPr>
            <w:tcW w:w="980" w:type="dxa"/>
          </w:tcPr>
          <w:p w14:paraId="5A30C677"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45 371</w:t>
            </w:r>
          </w:p>
        </w:tc>
        <w:tc>
          <w:tcPr>
            <w:tcW w:w="1087" w:type="dxa"/>
          </w:tcPr>
          <w:p w14:paraId="1C3A9AF9"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109 840</w:t>
            </w:r>
          </w:p>
        </w:tc>
        <w:tc>
          <w:tcPr>
            <w:tcW w:w="1134" w:type="dxa"/>
          </w:tcPr>
          <w:p w14:paraId="0F5810D6"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23 209</w:t>
            </w:r>
          </w:p>
        </w:tc>
        <w:tc>
          <w:tcPr>
            <w:tcW w:w="709" w:type="dxa"/>
          </w:tcPr>
          <w:p w14:paraId="408A9512"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1 434</w:t>
            </w:r>
          </w:p>
        </w:tc>
        <w:tc>
          <w:tcPr>
            <w:tcW w:w="709" w:type="dxa"/>
          </w:tcPr>
          <w:p w14:paraId="1F859747"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179 854</w:t>
            </w:r>
          </w:p>
        </w:tc>
      </w:tr>
      <w:tr w:rsidR="009C6724" w:rsidRPr="00205A06" w14:paraId="04B3AF71" w14:textId="77777777" w:rsidTr="009C6724">
        <w:tc>
          <w:tcPr>
            <w:cnfStyle w:val="001000000000" w:firstRow="0" w:lastRow="0" w:firstColumn="1" w:lastColumn="0" w:oddVBand="0" w:evenVBand="0" w:oddHBand="0" w:evenHBand="0" w:firstRowFirstColumn="0" w:firstRowLastColumn="0" w:lastRowFirstColumn="0" w:lastRowLastColumn="0"/>
            <w:tcW w:w="3178" w:type="dxa"/>
            <w:gridSpan w:val="2"/>
          </w:tcPr>
          <w:p w14:paraId="74054549" w14:textId="77777777" w:rsidR="00AB205D" w:rsidRPr="00205A06" w:rsidRDefault="00471A3B">
            <w:pPr>
              <w:rPr>
                <w:szCs w:val="17"/>
              </w:rPr>
            </w:pPr>
            <w:r w:rsidRPr="00205A06">
              <w:rPr>
                <w:szCs w:val="17"/>
              </w:rPr>
              <w:t>Net result for the year</w:t>
            </w:r>
          </w:p>
        </w:tc>
        <w:tc>
          <w:tcPr>
            <w:tcW w:w="980" w:type="dxa"/>
          </w:tcPr>
          <w:p w14:paraId="093FFAAF"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970</w:t>
            </w:r>
          </w:p>
        </w:tc>
        <w:tc>
          <w:tcPr>
            <w:tcW w:w="1087" w:type="dxa"/>
          </w:tcPr>
          <w:p w14:paraId="7680B41C"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w:t>
            </w:r>
          </w:p>
        </w:tc>
        <w:tc>
          <w:tcPr>
            <w:tcW w:w="1134" w:type="dxa"/>
          </w:tcPr>
          <w:p w14:paraId="428A7A47"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w:t>
            </w:r>
          </w:p>
        </w:tc>
        <w:tc>
          <w:tcPr>
            <w:tcW w:w="709" w:type="dxa"/>
          </w:tcPr>
          <w:p w14:paraId="5581C30B"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w:t>
            </w:r>
          </w:p>
        </w:tc>
        <w:tc>
          <w:tcPr>
            <w:tcW w:w="709" w:type="dxa"/>
          </w:tcPr>
          <w:p w14:paraId="6E24613F"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970</w:t>
            </w:r>
          </w:p>
        </w:tc>
      </w:tr>
      <w:tr w:rsidR="009C6724" w:rsidRPr="00205A06" w14:paraId="2C157710" w14:textId="77777777" w:rsidTr="009C6724">
        <w:tc>
          <w:tcPr>
            <w:cnfStyle w:val="001000000000" w:firstRow="0" w:lastRow="0" w:firstColumn="1" w:lastColumn="0" w:oddVBand="0" w:evenVBand="0" w:oddHBand="0" w:evenHBand="0" w:firstRowFirstColumn="0" w:firstRowLastColumn="0" w:lastRowFirstColumn="0" w:lastRowLastColumn="0"/>
            <w:tcW w:w="3178" w:type="dxa"/>
            <w:gridSpan w:val="2"/>
          </w:tcPr>
          <w:p w14:paraId="7C5E37C5" w14:textId="77777777" w:rsidR="00AB205D" w:rsidRPr="00205A06" w:rsidRDefault="00471A3B">
            <w:pPr>
              <w:rPr>
                <w:szCs w:val="17"/>
              </w:rPr>
            </w:pPr>
            <w:r w:rsidRPr="00205A06">
              <w:rPr>
                <w:szCs w:val="17"/>
              </w:rPr>
              <w:t>Other comprehensive income for the year</w:t>
            </w:r>
          </w:p>
        </w:tc>
        <w:tc>
          <w:tcPr>
            <w:tcW w:w="980" w:type="dxa"/>
          </w:tcPr>
          <w:p w14:paraId="458E89D6"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522</w:t>
            </w:r>
          </w:p>
        </w:tc>
        <w:tc>
          <w:tcPr>
            <w:tcW w:w="1087" w:type="dxa"/>
          </w:tcPr>
          <w:p w14:paraId="084AA798"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9 657</w:t>
            </w:r>
          </w:p>
        </w:tc>
        <w:tc>
          <w:tcPr>
            <w:tcW w:w="1134" w:type="dxa"/>
          </w:tcPr>
          <w:p w14:paraId="330C2552"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(2 879)</w:t>
            </w:r>
          </w:p>
        </w:tc>
        <w:tc>
          <w:tcPr>
            <w:tcW w:w="709" w:type="dxa"/>
          </w:tcPr>
          <w:p w14:paraId="74008FFB"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18</w:t>
            </w:r>
          </w:p>
        </w:tc>
        <w:tc>
          <w:tcPr>
            <w:tcW w:w="709" w:type="dxa"/>
          </w:tcPr>
          <w:p w14:paraId="54A07E2D"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7 319</w:t>
            </w:r>
          </w:p>
        </w:tc>
      </w:tr>
      <w:tr w:rsidR="009C6724" w:rsidRPr="00205A06" w14:paraId="3015F9E4" w14:textId="77777777" w:rsidTr="009C6724">
        <w:tc>
          <w:tcPr>
            <w:cnfStyle w:val="001000000000" w:firstRow="0" w:lastRow="0" w:firstColumn="1" w:lastColumn="0" w:oddVBand="0" w:evenVBand="0" w:oddHBand="0" w:evenHBand="0" w:firstRowFirstColumn="0" w:firstRowLastColumn="0" w:lastRowFirstColumn="0" w:lastRowLastColumn="0"/>
            <w:tcW w:w="3178" w:type="dxa"/>
            <w:gridSpan w:val="2"/>
          </w:tcPr>
          <w:p w14:paraId="4E857E2C" w14:textId="77777777" w:rsidR="00AB205D" w:rsidRPr="00205A06" w:rsidRDefault="00471A3B">
            <w:pPr>
              <w:rPr>
                <w:szCs w:val="17"/>
              </w:rPr>
            </w:pPr>
            <w:r w:rsidRPr="00205A06">
              <w:rPr>
                <w:szCs w:val="17"/>
              </w:rPr>
              <w:t>Transfer to/(from) accumulated surplus</w:t>
            </w:r>
          </w:p>
        </w:tc>
        <w:tc>
          <w:tcPr>
            <w:tcW w:w="980" w:type="dxa"/>
          </w:tcPr>
          <w:p w14:paraId="72464442"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w:t>
            </w:r>
          </w:p>
        </w:tc>
        <w:tc>
          <w:tcPr>
            <w:tcW w:w="1087" w:type="dxa"/>
          </w:tcPr>
          <w:p w14:paraId="0CB595DC"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w:t>
            </w:r>
          </w:p>
        </w:tc>
        <w:tc>
          <w:tcPr>
            <w:tcW w:w="1134" w:type="dxa"/>
          </w:tcPr>
          <w:p w14:paraId="2D42D265"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w:t>
            </w:r>
          </w:p>
        </w:tc>
        <w:tc>
          <w:tcPr>
            <w:tcW w:w="709" w:type="dxa"/>
          </w:tcPr>
          <w:p w14:paraId="778E2C61"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w:t>
            </w:r>
          </w:p>
        </w:tc>
        <w:tc>
          <w:tcPr>
            <w:tcW w:w="709" w:type="dxa"/>
          </w:tcPr>
          <w:p w14:paraId="24496E37"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szCs w:val="17"/>
              </w:rPr>
              <w:t>..</w:t>
            </w:r>
          </w:p>
        </w:tc>
      </w:tr>
      <w:tr w:rsidR="009C6724" w:rsidRPr="00205A06" w14:paraId="26B97017" w14:textId="77777777" w:rsidTr="009C6724">
        <w:tc>
          <w:tcPr>
            <w:cnfStyle w:val="001000000000" w:firstRow="0" w:lastRow="0" w:firstColumn="1" w:lastColumn="0" w:oddVBand="0" w:evenVBand="0" w:oddHBand="0" w:evenHBand="0" w:firstRowFirstColumn="0" w:firstRowLastColumn="0" w:lastRowFirstColumn="0" w:lastRowLastColumn="0"/>
            <w:tcW w:w="3178" w:type="dxa"/>
            <w:gridSpan w:val="2"/>
            <w:tcBorders>
              <w:top w:val="single" w:sz="6" w:space="0" w:color="auto"/>
              <w:bottom w:val="single" w:sz="12" w:space="0" w:color="auto"/>
            </w:tcBorders>
          </w:tcPr>
          <w:p w14:paraId="5620655C" w14:textId="77777777" w:rsidR="00AB205D" w:rsidRPr="00205A06" w:rsidRDefault="00471A3B">
            <w:pPr>
              <w:rPr>
                <w:szCs w:val="17"/>
              </w:rPr>
            </w:pPr>
            <w:r w:rsidRPr="00205A06">
              <w:rPr>
                <w:b/>
                <w:szCs w:val="17"/>
              </w:rPr>
              <w:t>Total equity as at 30 June 2027</w:t>
            </w:r>
          </w:p>
        </w:tc>
        <w:tc>
          <w:tcPr>
            <w:tcW w:w="980" w:type="dxa"/>
            <w:tcBorders>
              <w:top w:val="single" w:sz="6" w:space="0" w:color="auto"/>
              <w:bottom w:val="single" w:sz="12" w:space="0" w:color="auto"/>
            </w:tcBorders>
          </w:tcPr>
          <w:p w14:paraId="33DD69D7"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b/>
                <w:szCs w:val="17"/>
              </w:rPr>
              <w:t>46 863</w:t>
            </w:r>
          </w:p>
        </w:tc>
        <w:tc>
          <w:tcPr>
            <w:tcW w:w="1087" w:type="dxa"/>
            <w:tcBorders>
              <w:top w:val="single" w:sz="6" w:space="0" w:color="auto"/>
              <w:bottom w:val="single" w:sz="12" w:space="0" w:color="auto"/>
            </w:tcBorders>
          </w:tcPr>
          <w:p w14:paraId="50323AC4"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b/>
                <w:szCs w:val="17"/>
              </w:rPr>
              <w:t>119 497</w:t>
            </w:r>
          </w:p>
        </w:tc>
        <w:tc>
          <w:tcPr>
            <w:tcW w:w="1134" w:type="dxa"/>
            <w:tcBorders>
              <w:top w:val="single" w:sz="6" w:space="0" w:color="auto"/>
              <w:bottom w:val="single" w:sz="12" w:space="0" w:color="auto"/>
            </w:tcBorders>
          </w:tcPr>
          <w:p w14:paraId="32054CFE"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b/>
                <w:szCs w:val="17"/>
              </w:rPr>
              <w:t>20 331</w:t>
            </w:r>
          </w:p>
        </w:tc>
        <w:tc>
          <w:tcPr>
            <w:tcW w:w="709" w:type="dxa"/>
            <w:tcBorders>
              <w:top w:val="single" w:sz="6" w:space="0" w:color="auto"/>
              <w:bottom w:val="single" w:sz="12" w:space="0" w:color="auto"/>
            </w:tcBorders>
          </w:tcPr>
          <w:p w14:paraId="1067734F"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b/>
                <w:szCs w:val="17"/>
              </w:rPr>
              <w:t>1 452</w:t>
            </w:r>
          </w:p>
        </w:tc>
        <w:tc>
          <w:tcPr>
            <w:tcW w:w="709" w:type="dxa"/>
            <w:tcBorders>
              <w:top w:val="single" w:sz="6" w:space="0" w:color="auto"/>
              <w:bottom w:val="single" w:sz="12" w:space="0" w:color="auto"/>
            </w:tcBorders>
          </w:tcPr>
          <w:p w14:paraId="6BBF58AA" w14:textId="77777777" w:rsidR="00AB205D" w:rsidRPr="00205A06" w:rsidRDefault="00471A3B">
            <w:pPr>
              <w:cnfStyle w:val="000000000000" w:firstRow="0" w:lastRow="0" w:firstColumn="0" w:lastColumn="0" w:oddVBand="0" w:evenVBand="0" w:oddHBand="0" w:evenHBand="0" w:firstRowFirstColumn="0" w:firstRowLastColumn="0" w:lastRowFirstColumn="0" w:lastRowLastColumn="0"/>
              <w:rPr>
                <w:szCs w:val="17"/>
              </w:rPr>
            </w:pPr>
            <w:r w:rsidRPr="00205A06">
              <w:rPr>
                <w:b/>
                <w:szCs w:val="17"/>
              </w:rPr>
              <w:t>188 142</w:t>
            </w:r>
          </w:p>
        </w:tc>
      </w:tr>
    </w:tbl>
    <w:p w14:paraId="330DDF6C" w14:textId="77777777" w:rsidR="00AB205D" w:rsidRDefault="00471A3B">
      <w:pPr>
        <w:pStyle w:val="Note"/>
        <w:ind w:left="0" w:firstLine="0"/>
      </w:pPr>
      <w:r>
        <w:t>The accompanying notes form part of these Estimated Financial Statements.</w:t>
      </w:r>
    </w:p>
    <w:p w14:paraId="36410D7F" w14:textId="77777777" w:rsidR="00AB205D" w:rsidRDefault="00471A3B">
      <w:pPr>
        <w:pStyle w:val="Note"/>
      </w:pPr>
      <w:r w:rsidRPr="00C87705">
        <w:t>Note:</w:t>
      </w:r>
    </w:p>
    <w:p w14:paraId="78AFA41D" w14:textId="77777777" w:rsidR="00AB205D" w:rsidRDefault="00471A3B">
      <w:pPr>
        <w:pStyle w:val="Note"/>
      </w:pPr>
      <w:r>
        <w:t>(a)</w:t>
      </w:r>
      <w:r>
        <w:tab/>
      </w:r>
      <w:r w:rsidRPr="00D90782">
        <w:t>Balances represent actual opening balances at 1 July 202</w:t>
      </w:r>
      <w:r>
        <w:t>3</w:t>
      </w:r>
      <w:r w:rsidRPr="00D90782">
        <w:t xml:space="preserve"> plus 202</w:t>
      </w:r>
      <w:r>
        <w:t>3</w:t>
      </w:r>
      <w:r>
        <w:noBreakHyphen/>
        <w:t>24</w:t>
      </w:r>
      <w:r w:rsidRPr="00D90782">
        <w:t xml:space="preserve"> budgeted movements</w:t>
      </w:r>
      <w:r>
        <w:t>.</w:t>
      </w:r>
    </w:p>
    <w:p w14:paraId="0537EAB8" w14:textId="77777777" w:rsidR="00AB205D" w:rsidRDefault="00471A3B">
      <w:pPr>
        <w:keepLines w:val="0"/>
        <w:rPr>
          <w:rFonts w:asciiTheme="majorHAnsi" w:hAnsiTheme="majorHAnsi" w:cstheme="minorBidi"/>
          <w:i/>
          <w:sz w:val="14"/>
        </w:rPr>
      </w:pPr>
      <w:r>
        <w:br w:type="page"/>
      </w:r>
    </w:p>
    <w:p w14:paraId="4D3443D3" w14:textId="77777777" w:rsidR="00AB205D" w:rsidRPr="006343E8" w:rsidRDefault="00AB205D" w:rsidP="00570639">
      <w:pPr>
        <w:pStyle w:val="ListParagraph"/>
        <w:keepNext/>
        <w:keepLines w:val="0"/>
        <w:numPr>
          <w:ilvl w:val="0"/>
          <w:numId w:val="7"/>
        </w:numPr>
        <w:spacing w:before="360"/>
        <w:outlineLvl w:val="0"/>
        <w:rPr>
          <w:rFonts w:asciiTheme="majorHAnsi" w:eastAsiaTheme="majorEastAsia" w:hAnsiTheme="majorHAnsi" w:cstheme="majorBidi"/>
          <w:b/>
          <w:caps/>
          <w:vanish/>
          <w:sz w:val="27"/>
          <w:szCs w:val="32"/>
        </w:rPr>
      </w:pPr>
    </w:p>
    <w:p w14:paraId="691ACB38" w14:textId="77777777" w:rsidR="00AB205D" w:rsidRPr="006343E8" w:rsidRDefault="00AB205D" w:rsidP="00570639">
      <w:pPr>
        <w:pStyle w:val="ListParagraph"/>
        <w:keepNext/>
        <w:keepLines w:val="0"/>
        <w:numPr>
          <w:ilvl w:val="0"/>
          <w:numId w:val="7"/>
        </w:numPr>
        <w:spacing w:before="360"/>
        <w:outlineLvl w:val="0"/>
        <w:rPr>
          <w:rFonts w:asciiTheme="majorHAnsi" w:eastAsiaTheme="majorEastAsia" w:hAnsiTheme="majorHAnsi" w:cstheme="majorBidi"/>
          <w:b/>
          <w:caps/>
          <w:vanish/>
          <w:sz w:val="27"/>
          <w:szCs w:val="32"/>
        </w:rPr>
      </w:pPr>
    </w:p>
    <w:p w14:paraId="43F30DD1" w14:textId="77777777" w:rsidR="00AB205D" w:rsidRPr="006343E8" w:rsidRDefault="00AB205D" w:rsidP="00570639">
      <w:pPr>
        <w:pStyle w:val="ListParagraph"/>
        <w:keepNext/>
        <w:keepLines w:val="0"/>
        <w:numPr>
          <w:ilvl w:val="0"/>
          <w:numId w:val="7"/>
        </w:numPr>
        <w:spacing w:before="360"/>
        <w:outlineLvl w:val="0"/>
        <w:rPr>
          <w:rFonts w:asciiTheme="majorHAnsi" w:eastAsiaTheme="majorEastAsia" w:hAnsiTheme="majorHAnsi" w:cstheme="majorBidi"/>
          <w:b/>
          <w:caps/>
          <w:vanish/>
          <w:sz w:val="27"/>
          <w:szCs w:val="32"/>
        </w:rPr>
      </w:pPr>
    </w:p>
    <w:p w14:paraId="5E65E909" w14:textId="77777777" w:rsidR="00AB205D" w:rsidRPr="006343E8" w:rsidRDefault="00AB205D" w:rsidP="00570639">
      <w:pPr>
        <w:pStyle w:val="ListParagraph"/>
        <w:keepNext/>
        <w:keepLines w:val="0"/>
        <w:numPr>
          <w:ilvl w:val="0"/>
          <w:numId w:val="7"/>
        </w:numPr>
        <w:spacing w:before="360"/>
        <w:outlineLvl w:val="0"/>
        <w:rPr>
          <w:rFonts w:asciiTheme="majorHAnsi" w:eastAsiaTheme="majorEastAsia" w:hAnsiTheme="majorHAnsi" w:cstheme="majorBidi"/>
          <w:b/>
          <w:caps/>
          <w:vanish/>
          <w:sz w:val="27"/>
          <w:szCs w:val="32"/>
        </w:rPr>
      </w:pPr>
    </w:p>
    <w:p w14:paraId="06A9DD82" w14:textId="77777777" w:rsidR="00AB205D" w:rsidRDefault="00471A3B">
      <w:pPr>
        <w:pStyle w:val="Heading2"/>
        <w:spacing w:before="0"/>
      </w:pPr>
      <w:r>
        <w:t>About this report</w:t>
      </w:r>
    </w:p>
    <w:p w14:paraId="3DA37288" w14:textId="77777777" w:rsidR="00AB205D" w:rsidRPr="007E07F9" w:rsidRDefault="00471A3B">
      <w:pPr>
        <w:pStyle w:val="Heading20"/>
      </w:pPr>
      <w:r w:rsidRPr="007E07F9">
        <w:t>Basis of preparation</w:t>
      </w:r>
    </w:p>
    <w:p w14:paraId="426DAEFC" w14:textId="77777777" w:rsidR="00AB205D" w:rsidRPr="007E07F9" w:rsidRDefault="00471A3B">
      <w:r w:rsidRPr="007E07F9">
        <w:t xml:space="preserve">This note summarises the basis applied in preparing and presenting these Estimated Financial Statements, which includes the budget year and the estimates for the three </w:t>
      </w:r>
      <w:r>
        <w:t xml:space="preserve">forward </w:t>
      </w:r>
      <w:r w:rsidRPr="007E07F9">
        <w:t xml:space="preserve">years. </w:t>
      </w:r>
    </w:p>
    <w:p w14:paraId="04DEE2C0" w14:textId="77777777" w:rsidR="00AB205D" w:rsidRPr="007E07F9" w:rsidRDefault="00471A3B">
      <w:r w:rsidRPr="007E07F9">
        <w:t xml:space="preserve">The detailed accounting policies applied in preparing the Estimated Financial Statements </w:t>
      </w:r>
      <w:r>
        <w:t>for the 2023</w:t>
      </w:r>
      <w:r>
        <w:noBreakHyphen/>
        <w:t xml:space="preserve">24 budget year, and the three forward years, </w:t>
      </w:r>
      <w:r w:rsidRPr="007E07F9">
        <w:t xml:space="preserve">are consistent with those in the </w:t>
      </w:r>
      <w:r w:rsidRPr="00204C87">
        <w:rPr>
          <w:i/>
          <w:iCs/>
        </w:rPr>
        <w:t>202</w:t>
      </w:r>
      <w:r>
        <w:rPr>
          <w:i/>
          <w:iCs/>
        </w:rPr>
        <w:t>2</w:t>
      </w:r>
      <w:r>
        <w:rPr>
          <w:i/>
          <w:iCs/>
        </w:rPr>
        <w:noBreakHyphen/>
        <w:t>23</w:t>
      </w:r>
      <w:r w:rsidRPr="00204C87">
        <w:rPr>
          <w:i/>
          <w:iCs/>
        </w:rPr>
        <w:t xml:space="preserve"> Financial Report</w:t>
      </w:r>
      <w:r w:rsidRPr="007E07F9">
        <w:t xml:space="preserve"> for the State of Victoria as</w:t>
      </w:r>
      <w:r>
        <w:t xml:space="preserve"> </w:t>
      </w:r>
      <w:r w:rsidRPr="007E07F9">
        <w:t>presented to Parliament. The audited 30 June 202</w:t>
      </w:r>
      <w:r>
        <w:t>3</w:t>
      </w:r>
      <w:r w:rsidRPr="007E07F9">
        <w:t xml:space="preserve"> asset and liability balances, as reported in the</w:t>
      </w:r>
      <w:r w:rsidRPr="00204C87">
        <w:rPr>
          <w:i/>
          <w:iCs/>
        </w:rPr>
        <w:t xml:space="preserve"> 202</w:t>
      </w:r>
      <w:r>
        <w:rPr>
          <w:i/>
          <w:iCs/>
        </w:rPr>
        <w:t>2</w:t>
      </w:r>
      <w:r>
        <w:rPr>
          <w:i/>
          <w:iCs/>
        </w:rPr>
        <w:noBreakHyphen/>
        <w:t>23</w:t>
      </w:r>
      <w:r w:rsidRPr="00204C87">
        <w:rPr>
          <w:i/>
          <w:iCs/>
        </w:rPr>
        <w:t xml:space="preserve"> Financial Report</w:t>
      </w:r>
      <w:r>
        <w:t>,</w:t>
      </w:r>
      <w:r w:rsidRPr="007E07F9">
        <w:t xml:space="preserve"> form the basis on which asset and liability balances are projected over the next four years.</w:t>
      </w:r>
    </w:p>
    <w:p w14:paraId="75AD941F" w14:textId="77777777" w:rsidR="00AB205D" w:rsidRPr="007E07F9" w:rsidRDefault="00471A3B">
      <w:r w:rsidRPr="007E07F9">
        <w:t>The accrual basis of accounting has been applied in preparing the Estimated Financial Statements whereby assets, liabilities, equity, income and expenses are recognised in the reporting period to which they relate, regardless of when cash is received or paid.</w:t>
      </w:r>
    </w:p>
    <w:p w14:paraId="1F186831" w14:textId="77777777" w:rsidR="00AB205D" w:rsidRPr="007E07F9" w:rsidRDefault="00471A3B">
      <w:r w:rsidRPr="007E07F9">
        <w:t xml:space="preserve">The Estimated Financial Statements are presented in Australian dollars, which is also the functional currency of the Victorian general government sector. </w:t>
      </w:r>
    </w:p>
    <w:p w14:paraId="0661EE41" w14:textId="77777777" w:rsidR="00AB205D" w:rsidRPr="007E07F9" w:rsidRDefault="00471A3B">
      <w:r w:rsidRPr="007E07F9">
        <w:t>The Estimated Financial Statements have been prepared in accordance with the historical cost convention. Historical cost is based on the fair value of the consideration given in exchange for assets. Exceptions to the historical cost convention include:</w:t>
      </w:r>
    </w:p>
    <w:p w14:paraId="75FDEDE8" w14:textId="77777777" w:rsidR="00AB205D" w:rsidRPr="007E07F9" w:rsidRDefault="00471A3B">
      <w:pPr>
        <w:pStyle w:val="ListBullet"/>
      </w:pPr>
      <w:r w:rsidRPr="007E07F9">
        <w:t>general government sector investments in other sector entities which are measured at net asset value</w:t>
      </w:r>
    </w:p>
    <w:p w14:paraId="299CC343" w14:textId="77777777" w:rsidR="00AB205D" w:rsidRPr="007E07F9" w:rsidRDefault="00471A3B">
      <w:pPr>
        <w:pStyle w:val="ListBullet"/>
      </w:pPr>
      <w:r w:rsidRPr="007E07F9">
        <w:t>non</w:t>
      </w:r>
      <w:r>
        <w:noBreakHyphen/>
      </w:r>
      <w:r w:rsidRPr="007E07F9">
        <w:t xml:space="preserve">financial physical assets including service concession arrangement </w:t>
      </w:r>
      <w:r>
        <w:t xml:space="preserve">assets </w:t>
      </w:r>
      <w:r w:rsidRPr="007E07F9">
        <w:t>and right</w:t>
      </w:r>
      <w:r>
        <w:noBreakHyphen/>
      </w:r>
      <w:r w:rsidRPr="007E07F9">
        <w:t>of</w:t>
      </w:r>
      <w:r>
        <w:noBreakHyphen/>
      </w:r>
      <w:r w:rsidRPr="007E07F9">
        <w:t>use assets which, subsequent to initial recognition, are measured at a revalued amount being their fair value at the</w:t>
      </w:r>
      <w:r>
        <w:t xml:space="preserve"> reporting</w:t>
      </w:r>
      <w:r w:rsidRPr="007E07F9">
        <w:t xml:space="preserve"> date less any subsequent accumulated depreciation and subsequent impairment losses. Revaluations are made with sufficient regularity to ensure the carrying amounts do not materially differ from their fair value</w:t>
      </w:r>
      <w:r>
        <w:t>s</w:t>
      </w:r>
    </w:p>
    <w:p w14:paraId="7DFB9D0E" w14:textId="77777777" w:rsidR="00AB205D" w:rsidRPr="007E07F9" w:rsidRDefault="00471A3B">
      <w:pPr>
        <w:pStyle w:val="ListBullet"/>
      </w:pPr>
      <w:r w:rsidRPr="007E07F9">
        <w:t>certain liabilities, most notably unfunded superannuation, which are subject to actuarial assessment</w:t>
      </w:r>
      <w:r>
        <w:t>s</w:t>
      </w:r>
    </w:p>
    <w:p w14:paraId="38C5195F" w14:textId="77777777" w:rsidR="00AB205D" w:rsidRPr="007E07F9" w:rsidRDefault="00471A3B">
      <w:pPr>
        <w:pStyle w:val="ListBullet"/>
      </w:pPr>
      <w:r w:rsidRPr="007E07F9">
        <w:t>financial assets</w:t>
      </w:r>
      <w:r>
        <w:t xml:space="preserve"> </w:t>
      </w:r>
      <w:r w:rsidRPr="007E07F9">
        <w:t>at fair value through other comprehensive income, which are measured at fair value with movements reflected in other economic flows – other comprehensive income</w:t>
      </w:r>
    </w:p>
    <w:p w14:paraId="7C6B31F1" w14:textId="77777777" w:rsidR="00AB205D" w:rsidRPr="007E07F9" w:rsidRDefault="00471A3B">
      <w:pPr>
        <w:pStyle w:val="ListBullet"/>
      </w:pPr>
      <w:r w:rsidRPr="007E07F9">
        <w:lastRenderedPageBreak/>
        <w:t xml:space="preserve">financial assets </w:t>
      </w:r>
      <w:r>
        <w:t>classified at</w:t>
      </w:r>
      <w:r w:rsidRPr="007E07F9">
        <w:t xml:space="preserve"> fair value through profit and loss, which are measured at fair value with movements reflected in other economic flows included in </w:t>
      </w:r>
      <w:r>
        <w:t xml:space="preserve">the </w:t>
      </w:r>
      <w:r w:rsidRPr="007E07F9">
        <w:t>net result.</w:t>
      </w:r>
    </w:p>
    <w:p w14:paraId="3767E1FD" w14:textId="77777777" w:rsidR="00AB205D" w:rsidRPr="007E07F9" w:rsidRDefault="00471A3B">
      <w:r w:rsidRPr="007E07F9">
        <w:t xml:space="preserve">For assets and liabilities measured at fair value in the estimated balance sheet, the principles </w:t>
      </w:r>
      <w:r>
        <w:t>of</w:t>
      </w:r>
      <w:r w:rsidRPr="007E07F9">
        <w:t xml:space="preserve"> AASB 13 </w:t>
      </w:r>
      <w:r w:rsidRPr="00204C87">
        <w:rPr>
          <w:i/>
          <w:iCs/>
        </w:rPr>
        <w:t>Fair Value Measurement</w:t>
      </w:r>
      <w:r w:rsidRPr="007E07F9">
        <w:t xml:space="preserve"> have been applied. </w:t>
      </w:r>
    </w:p>
    <w:p w14:paraId="27556F11" w14:textId="77777777" w:rsidR="00AB205D" w:rsidRPr="007E07F9" w:rsidRDefault="00471A3B">
      <w:r w:rsidRPr="007E07F9">
        <w:t xml:space="preserve">As required by AASB 1049 </w:t>
      </w:r>
      <w:r w:rsidRPr="001E1256">
        <w:rPr>
          <w:i/>
          <w:iCs/>
        </w:rPr>
        <w:t>Wh</w:t>
      </w:r>
      <w:r w:rsidRPr="00204C87">
        <w:rPr>
          <w:i/>
          <w:iCs/>
        </w:rPr>
        <w:t>ole of Government and General Government Sector Financial Reporting</w:t>
      </w:r>
      <w:r w:rsidRPr="007E07F9">
        <w:t xml:space="preserve">, the estimated comprehensive operating statement distinguishes between transactions and other economic flows based on the principles in the Government Finance Statistics (GFS) Manual. Transactions are those economic flows that are considered to arise as a result of policy decisions, usually interactions between two entities by mutual agreement, and also flows within an entity, such as depreciation where the owner is simultaneously acting as the owner of the depreciating asset and as the consumer of the service provided by the asset. Taxation is regarded as mutually agreed interactions between the </w:t>
      </w:r>
      <w:r>
        <w:t>G</w:t>
      </w:r>
      <w:r w:rsidRPr="007E07F9">
        <w:t xml:space="preserve">overnment and the taxpayer. Transactions may be </w:t>
      </w:r>
      <w:r>
        <w:t xml:space="preserve">settled in </w:t>
      </w:r>
      <w:r w:rsidRPr="007E07F9">
        <w:t xml:space="preserve">cash or settled in kind (e.g. assets provided/given free of charge or for nominal consideration). </w:t>
      </w:r>
    </w:p>
    <w:p w14:paraId="1392B5F2" w14:textId="77777777" w:rsidR="00AB205D" w:rsidRPr="007E07F9" w:rsidRDefault="00471A3B">
      <w:r w:rsidRPr="007E07F9">
        <w:t>Other economic flows are changes arising from market remeasurements. They include:</w:t>
      </w:r>
    </w:p>
    <w:p w14:paraId="7E5AC56D" w14:textId="77777777" w:rsidR="00AB205D" w:rsidRPr="007E07F9" w:rsidRDefault="00471A3B">
      <w:pPr>
        <w:pStyle w:val="ListBullet"/>
      </w:pPr>
      <w:r w:rsidRPr="007E07F9">
        <w:t>gains and losses from disposals</w:t>
      </w:r>
    </w:p>
    <w:p w14:paraId="7B54CF7E" w14:textId="77777777" w:rsidR="00AB205D" w:rsidRPr="007E07F9" w:rsidRDefault="00471A3B">
      <w:pPr>
        <w:pStyle w:val="ListBullet"/>
      </w:pPr>
      <w:r w:rsidRPr="007E07F9">
        <w:t>revaluations and impairments of non</w:t>
      </w:r>
      <w:r>
        <w:noBreakHyphen/>
      </w:r>
      <w:r w:rsidRPr="007E07F9">
        <w:t>financial physical and intangible assets</w:t>
      </w:r>
    </w:p>
    <w:p w14:paraId="7FA9205C" w14:textId="77777777" w:rsidR="00AB205D" w:rsidRPr="007E07F9" w:rsidRDefault="00471A3B">
      <w:pPr>
        <w:pStyle w:val="ListBullet"/>
      </w:pPr>
      <w:r w:rsidRPr="007E07F9">
        <w:t>remeasurement arising from defined benefit superannuation plans</w:t>
      </w:r>
    </w:p>
    <w:p w14:paraId="164B78EA" w14:textId="77777777" w:rsidR="00AB205D" w:rsidRPr="007E07F9" w:rsidRDefault="00471A3B">
      <w:pPr>
        <w:pStyle w:val="ListBullet"/>
      </w:pPr>
      <w:r w:rsidRPr="007E07F9">
        <w:t>fair value changes of financial instruments and agricultural assets</w:t>
      </w:r>
    </w:p>
    <w:p w14:paraId="686A567D" w14:textId="77777777" w:rsidR="00AB205D" w:rsidRPr="007E07F9" w:rsidRDefault="00471A3B">
      <w:pPr>
        <w:pStyle w:val="ListBullet"/>
      </w:pPr>
      <w:r w:rsidRPr="007E07F9">
        <w:t>depletion of natural assets (non</w:t>
      </w:r>
      <w:r>
        <w:noBreakHyphen/>
      </w:r>
      <w:r w:rsidRPr="007E07F9">
        <w:t>produced) from their use or removal.</w:t>
      </w:r>
    </w:p>
    <w:p w14:paraId="5284DD10" w14:textId="77777777" w:rsidR="00AB205D" w:rsidRDefault="00471A3B">
      <w:r w:rsidRPr="007E07F9">
        <w:t>All amounts in the Estimated Financial Statements have been rounded to the nearest $1 million unless otherwise stated. The Estimated Financial Statements may not add due to rounding.</w:t>
      </w:r>
    </w:p>
    <w:p w14:paraId="4E219EFB" w14:textId="77777777" w:rsidR="00AB205D" w:rsidRDefault="00471A3B">
      <w:pPr>
        <w:pStyle w:val="Heading20"/>
      </w:pPr>
      <w:bookmarkStart w:id="37" w:name="_Hlk147751143"/>
      <w:r>
        <w:t>Key judgements, estimates and assumptions</w:t>
      </w:r>
    </w:p>
    <w:p w14:paraId="7ADCD9CC" w14:textId="77777777" w:rsidR="00AB205D" w:rsidRDefault="00471A3B">
      <w:r w:rsidRPr="007E07F9">
        <w:t xml:space="preserve">Judgements, estimates and assumptions are required to be made about the carrying values of assets and liabilities that are not readily apparent from other sources. The estimates and associated assumptions are based on professional judgements derived from historical experience and various other factors that are believed to be reasonable under the circumstances. </w:t>
      </w:r>
      <w:r w:rsidRPr="00500A6F">
        <w:t>However, the onset of the COVID</w:t>
      </w:r>
      <w:r w:rsidRPr="00500A6F">
        <w:rPr>
          <w:rFonts w:ascii="Times New Roman" w:hAnsi="Times New Roman"/>
        </w:rPr>
        <w:t>‑</w:t>
      </w:r>
      <w:r w:rsidRPr="00500A6F">
        <w:t>19 pandemic in early 2020 introduced significant economic and fiscal uncertainties.</w:t>
      </w:r>
    </w:p>
    <w:p w14:paraId="059C666B" w14:textId="77777777" w:rsidR="00AB205D" w:rsidRDefault="00471A3B">
      <w:r w:rsidRPr="002F2B91">
        <w:t>Although the economy has recovered well, risks to Victoria’s economic outlook remain greater than normal. These risks include the outlook for inflation, and hence for interest rates, as well as prospects for global economic growth against a backdrop of elevated geopolitical volatility. This means that these estimates are subject to a higher degree of uncertainty. For example, goods and services tax (GST) revenue, land transfer duty revenue and interest expense are significantly linked to changes in economic growth, inflation and/or interest rates.</w:t>
      </w:r>
      <w:r w:rsidRPr="00500A6F">
        <w:t xml:space="preserve"> </w:t>
      </w:r>
    </w:p>
    <w:p w14:paraId="5C11BB5C" w14:textId="77777777" w:rsidR="00AB205D" w:rsidRPr="007E07F9" w:rsidRDefault="00471A3B">
      <w:r w:rsidRPr="007E07F9">
        <w:t xml:space="preserve">Given the prospective nature of the Estimated Financial Statements, actual results are likely to differ from these estimates. Revisions to accounting estimates are recognised in the period in which the estimate is revised and also in future periods that are affected. </w:t>
      </w:r>
    </w:p>
    <w:bookmarkEnd w:id="37"/>
    <w:p w14:paraId="2F4DA3DF" w14:textId="77777777" w:rsidR="00AB205D" w:rsidRPr="007E07F9" w:rsidRDefault="00471A3B">
      <w:pPr>
        <w:pStyle w:val="Heading20"/>
      </w:pPr>
      <w:r w:rsidRPr="007E07F9">
        <w:lastRenderedPageBreak/>
        <w:t>Reporting entity</w:t>
      </w:r>
    </w:p>
    <w:p w14:paraId="5094679F" w14:textId="77777777" w:rsidR="00AB205D" w:rsidRPr="007E07F9" w:rsidRDefault="00471A3B">
      <w:r w:rsidRPr="007E07F9">
        <w:t>The Estimated Financial Statements are prepared for the general government sector, which includes all government departments, offices and other bodies engaged in providing services free of charge or at prices significantly below their cost. The primary function of entities within the general government sector is to provide public services (outputs), which are mainly non</w:t>
      </w:r>
      <w:r>
        <w:noBreakHyphen/>
      </w:r>
      <w:r w:rsidRPr="007E07F9">
        <w:t>market in nature, for the collective consumption of the community. These services are primarily funded through transferring or redistributing revenue that is collected mainly through taxes and other compulsory levies.</w:t>
      </w:r>
    </w:p>
    <w:p w14:paraId="68580EC8" w14:textId="77777777" w:rsidR="00AB205D" w:rsidRPr="007E07F9" w:rsidRDefault="00471A3B">
      <w:r w:rsidRPr="007E07F9">
        <w:t xml:space="preserve">The general government sector is not a separate entity but represents a sector within the State of Victoria reporting entity. </w:t>
      </w:r>
      <w:r>
        <w:t>Unless otherwise noted, accounting policies applied by the State apply equally to the general government sector.</w:t>
      </w:r>
    </w:p>
    <w:p w14:paraId="153C0E90" w14:textId="77777777" w:rsidR="00AB205D" w:rsidRPr="007E07F9" w:rsidRDefault="00471A3B">
      <w:pPr>
        <w:pStyle w:val="Heading20"/>
      </w:pPr>
      <w:r w:rsidRPr="007E07F9">
        <w:t>Basis for consolidation</w:t>
      </w:r>
    </w:p>
    <w:p w14:paraId="3C07601D" w14:textId="77777777" w:rsidR="00AB205D" w:rsidRPr="007E07F9" w:rsidRDefault="00471A3B">
      <w:r w:rsidRPr="007E07F9">
        <w:t xml:space="preserve">The Estimated Financial Statements present the estimated consolidated results and position of all reporting entities in the general government sector that are controlled by the State, consistent with the principles of AASB 1049 and AASB 10 </w:t>
      </w:r>
      <w:r w:rsidRPr="00204C87">
        <w:rPr>
          <w:i/>
          <w:iCs/>
        </w:rPr>
        <w:t>Consolidated Financial Statements</w:t>
      </w:r>
      <w:r w:rsidRPr="007E07F9">
        <w:t>.</w:t>
      </w:r>
    </w:p>
    <w:p w14:paraId="01FEFC0D" w14:textId="77777777" w:rsidR="00AB205D" w:rsidRPr="007E07F9" w:rsidRDefault="00471A3B">
      <w:r w:rsidRPr="007E07F9">
        <w:t>Entities in the public non</w:t>
      </w:r>
      <w:r>
        <w:noBreakHyphen/>
      </w:r>
      <w:r w:rsidRPr="007E07F9">
        <w:t>financial corporations (PNFC) and public financial corporations (PFC) sectors are not consolidated into the financial statements of the general government sector</w:t>
      </w:r>
      <w:r>
        <w:t>,</w:t>
      </w:r>
      <w:r w:rsidRPr="007E07F9">
        <w:t xml:space="preserve"> but are accounted for as equity investments measured at the Government’s proportional share of the carrying amount of net assets of PNFC and PFC sector entities before consolidation eliminations. </w:t>
      </w:r>
    </w:p>
    <w:p w14:paraId="2E182516" w14:textId="77777777" w:rsidR="00AB205D" w:rsidRPr="007E07F9" w:rsidRDefault="00471A3B">
      <w:r w:rsidRPr="007E07F9">
        <w:t xml:space="preserve">Where the carrying amount of a PNFC or PFC entity’s net assets before consolidation eliminations is less than zero, the carrying amount is not included in the general government sector. Any change in the carrying amount of the investment from period to period is accounted for as if the change in carrying amount is a change in fair value and accounted for consistent with AASB 9 </w:t>
      </w:r>
      <w:r w:rsidRPr="00204C87">
        <w:rPr>
          <w:i/>
          <w:iCs/>
        </w:rPr>
        <w:t>Financial Instruments</w:t>
      </w:r>
      <w:r w:rsidRPr="007E07F9">
        <w:t xml:space="preserve"> and AASB 1049.</w:t>
      </w:r>
    </w:p>
    <w:p w14:paraId="6F5396D5" w14:textId="77777777" w:rsidR="00AB205D" w:rsidRPr="007E07F9" w:rsidRDefault="00471A3B">
      <w:r w:rsidRPr="007E07F9">
        <w:t xml:space="preserve">Where control of an entity is expected to be obtained during the reporting period, its results are included in the estimated comprehensive operating statement from the date on which control </w:t>
      </w:r>
      <w:r>
        <w:t>is obtained</w:t>
      </w:r>
      <w:r w:rsidRPr="007E07F9">
        <w:t>. Where control is expected to cease during a reporting period, the entity’s results are included for that part of the period for which control would exist. Where entities adopt dissimilar accounting policies and their effect is considered material, adjustments are made to ensure consistent policies are adopted in the Estimated Financial Statements.</w:t>
      </w:r>
    </w:p>
    <w:p w14:paraId="74CE520D" w14:textId="77777777" w:rsidR="00AB205D" w:rsidRPr="007E07F9" w:rsidRDefault="00471A3B">
      <w:r w:rsidRPr="007E07F9">
        <w:t>All material transactions and balances between entities within the general government sector are eliminated.</w:t>
      </w:r>
    </w:p>
    <w:p w14:paraId="2A2EB37C" w14:textId="77777777" w:rsidR="00AB205D" w:rsidRDefault="00471A3B">
      <w:r w:rsidRPr="007E07F9">
        <w:t xml:space="preserve">Except as stated in Note 4.7.4, the significant entities consolidated within the sector comprise those general government sector entities listed in Note 9.8 of Chapter 4 of the </w:t>
      </w:r>
      <w:r w:rsidRPr="00204C87">
        <w:rPr>
          <w:i/>
          <w:iCs/>
        </w:rPr>
        <w:t>202</w:t>
      </w:r>
      <w:r>
        <w:rPr>
          <w:i/>
          <w:iCs/>
        </w:rPr>
        <w:t>2</w:t>
      </w:r>
      <w:r>
        <w:rPr>
          <w:i/>
          <w:iCs/>
        </w:rPr>
        <w:noBreakHyphen/>
        <w:t>23</w:t>
      </w:r>
      <w:r w:rsidRPr="00204C87">
        <w:rPr>
          <w:i/>
          <w:iCs/>
        </w:rPr>
        <w:t> Financial Report</w:t>
      </w:r>
      <w:r w:rsidRPr="007E07F9">
        <w:t xml:space="preserve"> for the State of Victoria. </w:t>
      </w:r>
    </w:p>
    <w:p w14:paraId="5CA87223" w14:textId="77777777" w:rsidR="00AB205D" w:rsidRDefault="00471A3B">
      <w:r>
        <w:br w:type="page"/>
      </w:r>
    </w:p>
    <w:p w14:paraId="452F9D9A" w14:textId="77777777" w:rsidR="00AB205D" w:rsidRPr="007E07F9" w:rsidRDefault="00471A3B">
      <w:pPr>
        <w:pStyle w:val="Heading20"/>
      </w:pPr>
      <w:bookmarkStart w:id="38" w:name="_Hlk147755238"/>
      <w:r w:rsidRPr="007E07F9">
        <w:lastRenderedPageBreak/>
        <w:t>Compliance</w:t>
      </w:r>
    </w:p>
    <w:p w14:paraId="4EBE0492" w14:textId="77777777" w:rsidR="00AB205D" w:rsidRDefault="00471A3B">
      <w:r>
        <w:t>These Estimated Financial Statements have been prepared in accordance with Sections 23L</w:t>
      </w:r>
      <w:r>
        <w:noBreakHyphen/>
        <w:t xml:space="preserve">23N of the </w:t>
      </w:r>
      <w:r w:rsidRPr="009134F8">
        <w:rPr>
          <w:i/>
          <w:iCs/>
        </w:rPr>
        <w:t>Financial Management Act 1994</w:t>
      </w:r>
      <w:r>
        <w:t>, having regard to Australian Accounting Standards (AAS), which include Interpretations issued by the Australian Accounting Standards Board (AASB).</w:t>
      </w:r>
    </w:p>
    <w:p w14:paraId="6AC236E5" w14:textId="77777777" w:rsidR="00AB205D" w:rsidRPr="007E07F9" w:rsidRDefault="00471A3B">
      <w:r w:rsidRPr="007E07F9">
        <w:t xml:space="preserve">The Estimated Financial Statements are presented in a manner consistent with the principles of AASB 1049 and other relevant </w:t>
      </w:r>
      <w:r>
        <w:t>AASs</w:t>
      </w:r>
      <w:r w:rsidRPr="007E07F9">
        <w:t>. However, the prospective nature of these Estimated Financial Statements means that some AAS disclosures are neither relevant nor practical and have been omitted. Where applicable, those AAS paragraphs relevant to not</w:t>
      </w:r>
      <w:r>
        <w:noBreakHyphen/>
      </w:r>
      <w:r w:rsidRPr="007E07F9">
        <w:t>for</w:t>
      </w:r>
      <w:r>
        <w:noBreakHyphen/>
      </w:r>
      <w:r w:rsidRPr="007E07F9">
        <w:t>profit entities have been applied. Because AAS</w:t>
      </w:r>
      <w:r>
        <w:t>s</w:t>
      </w:r>
      <w:r w:rsidRPr="007E07F9">
        <w:t xml:space="preserve"> do not prescribe requirements for preparing and presenting prospective financial statements, the Estimated Financial Statements have been prepared having regard to the principles set out in New</w:t>
      </w:r>
      <w:r>
        <w:t> </w:t>
      </w:r>
      <w:r w:rsidRPr="007E07F9">
        <w:t xml:space="preserve">Zealand Public Benefit Entity Financial Reporting Standard 42 </w:t>
      </w:r>
      <w:r w:rsidRPr="00204C87">
        <w:rPr>
          <w:i/>
          <w:iCs/>
        </w:rPr>
        <w:t>Prospective Financial Statements</w:t>
      </w:r>
      <w:r w:rsidRPr="007E07F9">
        <w:t>.</w:t>
      </w:r>
    </w:p>
    <w:p w14:paraId="37C0D193" w14:textId="77777777" w:rsidR="00AB205D" w:rsidRPr="007E07F9" w:rsidRDefault="00471A3B">
      <w:r w:rsidRPr="007E07F9">
        <w:t xml:space="preserve">The GFS information included in this report is based on the </w:t>
      </w:r>
      <w:r w:rsidRPr="00204C87">
        <w:rPr>
          <w:i/>
          <w:iCs/>
        </w:rPr>
        <w:t>Australian System of Government Finance Statistics: Concepts, Sources and Methods 2015 Cat. No. 5514.0</w:t>
      </w:r>
      <w:r w:rsidRPr="007E07F9">
        <w:t xml:space="preserve"> (ABS GFS). </w:t>
      </w:r>
    </w:p>
    <w:p w14:paraId="7B34BAD5" w14:textId="77777777" w:rsidR="00AB205D" w:rsidRPr="00797C92" w:rsidRDefault="00471A3B">
      <w:pPr>
        <w:rPr>
          <w:color w:val="000000" w:themeColor="text1"/>
        </w:rPr>
      </w:pPr>
      <w:r w:rsidRPr="00E45EC8">
        <w:t xml:space="preserve">The information presented in the estimated financial statements takes into account the financial impacts as at </w:t>
      </w:r>
      <w:r w:rsidRPr="00ED5CA7">
        <w:t>2</w:t>
      </w:r>
      <w:r>
        <w:t>2</w:t>
      </w:r>
      <w:r w:rsidRPr="00E45EC8">
        <w:t xml:space="preserve"> November 202</w:t>
      </w:r>
      <w:r>
        <w:t>3</w:t>
      </w:r>
      <w:r w:rsidRPr="00E45EC8">
        <w:t xml:space="preserve"> of all decisions that affect the financial statements, unless otherwise stated</w:t>
      </w:r>
      <w:r w:rsidRPr="00E2168D">
        <w:t>.</w:t>
      </w:r>
      <w:r>
        <w:rPr>
          <w:color w:val="FF0000"/>
        </w:rPr>
        <w:t xml:space="preserve"> </w:t>
      </w:r>
      <w:r w:rsidRPr="00797C92">
        <w:rPr>
          <w:color w:val="000000" w:themeColor="text1"/>
        </w:rPr>
        <w:t xml:space="preserve">It does not include the </w:t>
      </w:r>
      <w:r>
        <w:rPr>
          <w:color w:val="000000" w:themeColor="text1"/>
        </w:rPr>
        <w:t>m</w:t>
      </w:r>
      <w:r w:rsidRPr="00797C92">
        <w:rPr>
          <w:color w:val="000000" w:themeColor="text1"/>
        </w:rPr>
        <w:t xml:space="preserve">achinery of </w:t>
      </w:r>
      <w:r>
        <w:rPr>
          <w:color w:val="000000" w:themeColor="text1"/>
        </w:rPr>
        <w:t>g</w:t>
      </w:r>
      <w:r w:rsidRPr="00797C92">
        <w:rPr>
          <w:color w:val="000000" w:themeColor="text1"/>
        </w:rPr>
        <w:t xml:space="preserve">overnment (MoG) changes as a result of the recent Ministerial changes. The transfer of balances and funding between departments resulting from these MoG changes will be reflected in the </w:t>
      </w:r>
      <w:r w:rsidRPr="007C6630">
        <w:rPr>
          <w:color w:val="000000" w:themeColor="text1"/>
        </w:rPr>
        <w:t>2024</w:t>
      </w:r>
      <w:r>
        <w:rPr>
          <w:color w:val="000000" w:themeColor="text1"/>
        </w:rPr>
        <w:noBreakHyphen/>
      </w:r>
      <w:r w:rsidRPr="007C6630">
        <w:rPr>
          <w:color w:val="000000" w:themeColor="text1"/>
        </w:rPr>
        <w:t xml:space="preserve">25 </w:t>
      </w:r>
      <w:r>
        <w:rPr>
          <w:color w:val="000000" w:themeColor="text1"/>
        </w:rPr>
        <w:t>b</w:t>
      </w:r>
      <w:r w:rsidRPr="007C6630">
        <w:rPr>
          <w:color w:val="000000" w:themeColor="text1"/>
        </w:rPr>
        <w:t>udget</w:t>
      </w:r>
      <w:r w:rsidRPr="00797C92">
        <w:rPr>
          <w:color w:val="000000" w:themeColor="text1"/>
        </w:rPr>
        <w:t>.</w:t>
      </w:r>
    </w:p>
    <w:p w14:paraId="30F073B1" w14:textId="77777777" w:rsidR="00AB205D" w:rsidRPr="000836E8" w:rsidRDefault="00471A3B">
      <w:r>
        <w:t>In May 2023, t</w:t>
      </w:r>
      <w:r w:rsidRPr="00EC0CBF">
        <w:t>he</w:t>
      </w:r>
      <w:r w:rsidRPr="00850D2F">
        <w:t xml:space="preserve"> Commonwealth Government announced a review of its Infrastructure Investment Program. The </w:t>
      </w:r>
      <w:r>
        <w:t>r</w:t>
      </w:r>
      <w:r w:rsidRPr="00850D2F">
        <w:t>eview has now concluded</w:t>
      </w:r>
      <w:r>
        <w:t>,</w:t>
      </w:r>
      <w:r w:rsidRPr="00850D2F">
        <w:t xml:space="preserve"> and the forward estimates in the </w:t>
      </w:r>
      <w:r w:rsidRPr="00850D2F">
        <w:br/>
      </w:r>
      <w:r w:rsidRPr="00850D2F">
        <w:rPr>
          <w:i/>
        </w:rPr>
        <w:t>2023</w:t>
      </w:r>
      <w:r w:rsidRPr="00B2296C">
        <w:rPr>
          <w:i/>
        </w:rPr>
        <w:noBreakHyphen/>
      </w:r>
      <w:r w:rsidRPr="00850D2F">
        <w:rPr>
          <w:i/>
        </w:rPr>
        <w:t>24 Budget Update</w:t>
      </w:r>
      <w:r w:rsidRPr="00850D2F">
        <w:t xml:space="preserve"> have been rephased to reflect the expected infrastructure grant revenue from the Commonwealth.</w:t>
      </w:r>
      <w:r>
        <w:t xml:space="preserve"> Final outcomes will be subject to confirmation from the Commonwealth following the release of their </w:t>
      </w:r>
      <w:r w:rsidRPr="009B1050">
        <w:rPr>
          <w:i/>
          <w:iCs/>
        </w:rPr>
        <w:t>2023-24 Mid-Year Economic and Fiscal Outlook</w:t>
      </w:r>
      <w:r>
        <w:t>.</w:t>
      </w:r>
      <w:r w:rsidRPr="00850D2F">
        <w:t xml:space="preserve"> </w:t>
      </w:r>
    </w:p>
    <w:bookmarkEnd w:id="38"/>
    <w:p w14:paraId="13931FF3" w14:textId="77777777" w:rsidR="00AB205D" w:rsidRDefault="00471A3B">
      <w:pPr>
        <w:pStyle w:val="Heading20"/>
      </w:pPr>
      <w:r>
        <w:t xml:space="preserve">Key financial measures </w:t>
      </w:r>
    </w:p>
    <w:p w14:paraId="0E3D6E2B" w14:textId="77777777" w:rsidR="00AB205D" w:rsidRPr="00A969A2" w:rsidRDefault="00471A3B">
      <w:r w:rsidRPr="00A969A2">
        <w:t>The COVID</w:t>
      </w:r>
      <w:r>
        <w:noBreakHyphen/>
      </w:r>
      <w:r w:rsidRPr="00A969A2">
        <w:t>19 pandemic severely impacted the state</w:t>
      </w:r>
      <w:r>
        <w:t>’</w:t>
      </w:r>
      <w:r w:rsidRPr="00A969A2">
        <w:t>s financial position with the Government prioritising the use of its balance sheet to support the Victorian community, Victorian households and the economy. While the economy has rebounded strongly, the ongoing impacts of the pandemic on the state</w:t>
      </w:r>
      <w:r>
        <w:t>’</w:t>
      </w:r>
      <w:r w:rsidRPr="00A969A2">
        <w:t xml:space="preserve">s fiscal position are still present. </w:t>
      </w:r>
    </w:p>
    <w:p w14:paraId="65B826A2" w14:textId="77777777" w:rsidR="00AB205D" w:rsidRPr="00A969A2" w:rsidRDefault="00471A3B">
      <w:r w:rsidRPr="00A969A2">
        <w:t>The Government</w:t>
      </w:r>
      <w:r>
        <w:t>’</w:t>
      </w:r>
      <w:r w:rsidRPr="00A969A2">
        <w:t xml:space="preserve">s financial sustainability objectives for the </w:t>
      </w:r>
      <w:r w:rsidRPr="00A969A2">
        <w:rPr>
          <w:i/>
          <w:iCs/>
        </w:rPr>
        <w:t>2023</w:t>
      </w:r>
      <w:r w:rsidRPr="00A969A2">
        <w:rPr>
          <w:i/>
          <w:iCs/>
        </w:rPr>
        <w:noBreakHyphen/>
        <w:t>24 Budget</w:t>
      </w:r>
      <w:r w:rsidRPr="00642431">
        <w:rPr>
          <w:i/>
        </w:rPr>
        <w:t xml:space="preserve"> Update</w:t>
      </w:r>
      <w:r>
        <w:t xml:space="preserve"> </w:t>
      </w:r>
      <w:r w:rsidRPr="00A969A2">
        <w:t>are that:</w:t>
      </w:r>
    </w:p>
    <w:p w14:paraId="64AF0BD6" w14:textId="77777777" w:rsidR="00AB205D" w:rsidRPr="00A969A2" w:rsidRDefault="00471A3B">
      <w:pPr>
        <w:pStyle w:val="ListBullet"/>
      </w:pPr>
      <w:r w:rsidRPr="00A969A2">
        <w:t>the net operating balance will return to a surplus by 2025</w:t>
      </w:r>
      <w:r>
        <w:noBreakHyphen/>
      </w:r>
      <w:r w:rsidRPr="00A969A2">
        <w:t>26</w:t>
      </w:r>
    </w:p>
    <w:p w14:paraId="2A65FBAB" w14:textId="77777777" w:rsidR="00AB205D" w:rsidRPr="00A969A2" w:rsidRDefault="00471A3B">
      <w:pPr>
        <w:pStyle w:val="ListBullet"/>
      </w:pPr>
      <w:r w:rsidRPr="00A969A2">
        <w:t>an operating cash surplus will be achieved by 2022</w:t>
      </w:r>
      <w:r>
        <w:noBreakHyphen/>
      </w:r>
      <w:r w:rsidRPr="00A969A2">
        <w:t>23</w:t>
      </w:r>
      <w:r>
        <w:t xml:space="preserve"> and maintained over the budget and forward estimates period</w:t>
      </w:r>
      <w:r w:rsidRPr="00A969A2">
        <w:t>.</w:t>
      </w:r>
    </w:p>
    <w:p w14:paraId="25748A51" w14:textId="77777777" w:rsidR="00AB205D" w:rsidRPr="00041917" w:rsidRDefault="00471A3B">
      <w:r w:rsidRPr="00A629F6">
        <w:t>The Government’s long</w:t>
      </w:r>
      <w:r>
        <w:noBreakHyphen/>
      </w:r>
      <w:r w:rsidRPr="00A629F6">
        <w:t xml:space="preserve">term financial management objectives and fiscal measures and targets for the </w:t>
      </w:r>
      <w:r w:rsidRPr="00A629F6">
        <w:rPr>
          <w:i/>
          <w:iCs/>
        </w:rPr>
        <w:t>2023</w:t>
      </w:r>
      <w:r>
        <w:rPr>
          <w:i/>
          <w:iCs/>
        </w:rPr>
        <w:noBreakHyphen/>
      </w:r>
      <w:r w:rsidRPr="00A629F6">
        <w:rPr>
          <w:i/>
          <w:iCs/>
        </w:rPr>
        <w:t>24 Budget</w:t>
      </w:r>
      <w:r w:rsidRPr="00642431">
        <w:rPr>
          <w:i/>
        </w:rPr>
        <w:t xml:space="preserve"> Update</w:t>
      </w:r>
      <w:r>
        <w:t xml:space="preserve"> </w:t>
      </w:r>
      <w:r w:rsidRPr="00A629F6">
        <w:t xml:space="preserve">are set out in Chapter 1 </w:t>
      </w:r>
      <w:r w:rsidRPr="00A629F6">
        <w:rPr>
          <w:i/>
          <w:iCs/>
        </w:rPr>
        <w:t>Economic and fiscal overview</w:t>
      </w:r>
      <w:r w:rsidRPr="00A629F6">
        <w:t>.</w:t>
      </w:r>
    </w:p>
    <w:p w14:paraId="02EB0BF0" w14:textId="77777777" w:rsidR="00AB205D" w:rsidRDefault="00471A3B">
      <w:pPr>
        <w:keepLines w:val="0"/>
        <w:rPr>
          <w:rFonts w:asciiTheme="majorHAnsi" w:eastAsiaTheme="majorEastAsia" w:hAnsiTheme="majorHAnsi" w:cstheme="majorBidi"/>
          <w:b/>
          <w:sz w:val="27"/>
          <w:szCs w:val="26"/>
        </w:rPr>
      </w:pPr>
      <w:r>
        <w:br w:type="page"/>
      </w:r>
    </w:p>
    <w:p w14:paraId="0E35A6BF" w14:textId="77777777" w:rsidR="00AB205D" w:rsidRDefault="00471A3B">
      <w:pPr>
        <w:pStyle w:val="Heading20"/>
      </w:pPr>
      <w:r>
        <w:lastRenderedPageBreak/>
        <w:t xml:space="preserve">Economic assumptions </w:t>
      </w:r>
    </w:p>
    <w:p w14:paraId="3B4A957A" w14:textId="77777777" w:rsidR="00AB205D" w:rsidRDefault="00471A3B">
      <w:r>
        <w:t xml:space="preserve">The Estimated Financial Statements have been prepared using the material economic assumptions listed below. </w:t>
      </w:r>
    </w:p>
    <w:p w14:paraId="37553A9E" w14:textId="77777777" w:rsidR="00AB205D" w:rsidRPr="00FB7140" w:rsidRDefault="00471A3B">
      <w:pPr>
        <w:pStyle w:val="TableHeading"/>
        <w:ind w:left="0" w:firstLine="0"/>
      </w:pPr>
      <w:r>
        <w:t xml:space="preserve">Economic assumptions </w:t>
      </w:r>
    </w:p>
    <w:tbl>
      <w:tblPr>
        <w:tblStyle w:val="DTFTableNumeric"/>
        <w:tblW w:w="7760" w:type="dxa"/>
        <w:tblLayout w:type="fixed"/>
        <w:tblLook w:val="06A0" w:firstRow="1" w:lastRow="0" w:firstColumn="1" w:lastColumn="0" w:noHBand="1" w:noVBand="1"/>
      </w:tblPr>
      <w:tblGrid>
        <w:gridCol w:w="2788"/>
        <w:gridCol w:w="1040"/>
        <w:gridCol w:w="947"/>
        <w:gridCol w:w="994"/>
        <w:gridCol w:w="994"/>
        <w:gridCol w:w="997"/>
      </w:tblGrid>
      <w:tr w:rsidR="009C6724" w:rsidRPr="00515ABD" w14:paraId="6C2D5588" w14:textId="77777777" w:rsidTr="009C6724">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2788" w:type="dxa"/>
          </w:tcPr>
          <w:p w14:paraId="5BB69C4F" w14:textId="77777777" w:rsidR="00AB205D" w:rsidRPr="00515ABD" w:rsidRDefault="00AB205D">
            <w:pPr>
              <w:ind w:left="0" w:firstLine="0"/>
            </w:pPr>
          </w:p>
        </w:tc>
        <w:tc>
          <w:tcPr>
            <w:tcW w:w="1040" w:type="dxa"/>
          </w:tcPr>
          <w:p w14:paraId="07976589" w14:textId="77777777" w:rsidR="00AB205D" w:rsidRPr="00894217" w:rsidRDefault="00471A3B">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894217">
              <w:rPr>
                <w:color w:val="FFFFFF" w:themeColor="background1"/>
              </w:rPr>
              <w:t>2022</w:t>
            </w:r>
            <w:r>
              <w:rPr>
                <w:color w:val="FFFFFF" w:themeColor="background1"/>
              </w:rPr>
              <w:noBreakHyphen/>
            </w:r>
            <w:r w:rsidRPr="00894217">
              <w:rPr>
                <w:color w:val="FFFFFF" w:themeColor="background1"/>
              </w:rPr>
              <w:t>23 actual</w:t>
            </w:r>
          </w:p>
        </w:tc>
        <w:tc>
          <w:tcPr>
            <w:tcW w:w="947" w:type="dxa"/>
          </w:tcPr>
          <w:p w14:paraId="561EDC49" w14:textId="77777777" w:rsidR="00AB205D" w:rsidRPr="00894217" w:rsidRDefault="00471A3B">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894217">
              <w:rPr>
                <w:color w:val="FFFFFF" w:themeColor="background1"/>
              </w:rPr>
              <w:t>2023</w:t>
            </w:r>
            <w:r>
              <w:rPr>
                <w:color w:val="FFFFFF" w:themeColor="background1"/>
              </w:rPr>
              <w:noBreakHyphen/>
            </w:r>
            <w:r w:rsidRPr="00894217">
              <w:rPr>
                <w:color w:val="FFFFFF" w:themeColor="background1"/>
              </w:rPr>
              <w:t>24 forecast</w:t>
            </w:r>
          </w:p>
        </w:tc>
        <w:tc>
          <w:tcPr>
            <w:tcW w:w="994" w:type="dxa"/>
          </w:tcPr>
          <w:p w14:paraId="78F5BA1A" w14:textId="77777777" w:rsidR="00AB205D" w:rsidRPr="00894217" w:rsidRDefault="00471A3B">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894217">
              <w:rPr>
                <w:color w:val="FFFFFF" w:themeColor="background1"/>
              </w:rPr>
              <w:t>2024</w:t>
            </w:r>
            <w:r>
              <w:rPr>
                <w:color w:val="FFFFFF" w:themeColor="background1"/>
              </w:rPr>
              <w:noBreakHyphen/>
            </w:r>
            <w:r w:rsidRPr="00894217">
              <w:rPr>
                <w:color w:val="FFFFFF" w:themeColor="background1"/>
              </w:rPr>
              <w:t>25 forecast</w:t>
            </w:r>
          </w:p>
        </w:tc>
        <w:tc>
          <w:tcPr>
            <w:tcW w:w="994" w:type="dxa"/>
          </w:tcPr>
          <w:p w14:paraId="05F172A2" w14:textId="77777777" w:rsidR="00AB205D" w:rsidRPr="00894217" w:rsidRDefault="00471A3B">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894217">
              <w:rPr>
                <w:color w:val="FFFFFF" w:themeColor="background1"/>
              </w:rPr>
              <w:t>2025</w:t>
            </w:r>
            <w:r>
              <w:rPr>
                <w:color w:val="FFFFFF" w:themeColor="background1"/>
              </w:rPr>
              <w:noBreakHyphen/>
            </w:r>
            <w:r w:rsidRPr="00894217">
              <w:rPr>
                <w:color w:val="FFFFFF" w:themeColor="background1"/>
              </w:rPr>
              <w:t>26 projection</w:t>
            </w:r>
          </w:p>
        </w:tc>
        <w:tc>
          <w:tcPr>
            <w:tcW w:w="997" w:type="dxa"/>
          </w:tcPr>
          <w:p w14:paraId="1AC755A5" w14:textId="77777777" w:rsidR="00AB205D" w:rsidRPr="00894217" w:rsidRDefault="00471A3B">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894217">
              <w:rPr>
                <w:color w:val="FFFFFF" w:themeColor="background1"/>
              </w:rPr>
              <w:t>2026</w:t>
            </w:r>
            <w:r>
              <w:rPr>
                <w:color w:val="FFFFFF" w:themeColor="background1"/>
              </w:rPr>
              <w:noBreakHyphen/>
            </w:r>
            <w:r w:rsidRPr="00894217">
              <w:rPr>
                <w:color w:val="FFFFFF" w:themeColor="background1"/>
              </w:rPr>
              <w:t>27 projection</w:t>
            </w:r>
          </w:p>
        </w:tc>
      </w:tr>
      <w:tr w:rsidR="009C6724" w:rsidRPr="00515ABD" w14:paraId="37D8FED3" w14:textId="77777777" w:rsidTr="009C6724">
        <w:tc>
          <w:tcPr>
            <w:cnfStyle w:val="001000000000" w:firstRow="0" w:lastRow="0" w:firstColumn="1" w:lastColumn="0" w:oddVBand="0" w:evenVBand="0" w:oddHBand="0" w:evenHBand="0" w:firstRowFirstColumn="0" w:firstRowLastColumn="0" w:lastRowFirstColumn="0" w:lastRowLastColumn="0"/>
            <w:tcW w:w="2788" w:type="dxa"/>
          </w:tcPr>
          <w:p w14:paraId="22374442" w14:textId="77777777" w:rsidR="00AB205D" w:rsidRPr="00515ABD" w:rsidRDefault="00AB205D">
            <w:pPr>
              <w:ind w:left="0" w:firstLine="0"/>
            </w:pPr>
          </w:p>
        </w:tc>
        <w:tc>
          <w:tcPr>
            <w:tcW w:w="4972" w:type="dxa"/>
            <w:gridSpan w:val="5"/>
            <w:vAlign w:val="bottom"/>
          </w:tcPr>
          <w:p w14:paraId="3D426993" w14:textId="77777777" w:rsidR="00AB205D" w:rsidRPr="00515ABD" w:rsidRDefault="00471A3B">
            <w:pPr>
              <w:pStyle w:val="TableHeading"/>
              <w:cnfStyle w:val="000000000000" w:firstRow="0" w:lastRow="0" w:firstColumn="0" w:lastColumn="0" w:oddVBand="0" w:evenVBand="0" w:oddHBand="0" w:evenHBand="0" w:firstRowFirstColumn="0" w:firstRowLastColumn="0" w:lastRowFirstColumn="0" w:lastRowLastColumn="0"/>
            </w:pPr>
            <w:r w:rsidRPr="00515ABD">
              <w:t xml:space="preserve">($ </w:t>
            </w:r>
            <w:r w:rsidRPr="000F2B74">
              <w:t>billion</w:t>
            </w:r>
            <w:r w:rsidRPr="00515ABD">
              <w:t>)</w:t>
            </w:r>
          </w:p>
        </w:tc>
      </w:tr>
      <w:tr w:rsidR="009C6724" w:rsidRPr="00515ABD" w14:paraId="6D9AF340" w14:textId="77777777" w:rsidTr="009C6724">
        <w:tc>
          <w:tcPr>
            <w:cnfStyle w:val="001000000000" w:firstRow="0" w:lastRow="0" w:firstColumn="1" w:lastColumn="0" w:oddVBand="0" w:evenVBand="0" w:oddHBand="0" w:evenHBand="0" w:firstRowFirstColumn="0" w:firstRowLastColumn="0" w:lastRowFirstColumn="0" w:lastRowLastColumn="0"/>
            <w:tcW w:w="2788" w:type="dxa"/>
          </w:tcPr>
          <w:p w14:paraId="1AB4B700" w14:textId="77777777" w:rsidR="00AB205D" w:rsidRPr="00E814B9" w:rsidRDefault="00471A3B">
            <w:pPr>
              <w:ind w:left="0" w:firstLine="0"/>
            </w:pPr>
            <w:r w:rsidRPr="00E814B9">
              <w:t>Nominal gross state product</w:t>
            </w:r>
          </w:p>
        </w:tc>
        <w:tc>
          <w:tcPr>
            <w:tcW w:w="1040" w:type="dxa"/>
          </w:tcPr>
          <w:p w14:paraId="21DD4661" w14:textId="77777777" w:rsidR="00AB205D" w:rsidRPr="00E814B9" w:rsidRDefault="00471A3B">
            <w:pPr>
              <w:cnfStyle w:val="000000000000" w:firstRow="0" w:lastRow="0" w:firstColumn="0" w:lastColumn="0" w:oddVBand="0" w:evenVBand="0" w:oddHBand="0" w:evenHBand="0" w:firstRowFirstColumn="0" w:firstRowLastColumn="0" w:lastRowFirstColumn="0" w:lastRowLastColumn="0"/>
            </w:pPr>
            <w:r>
              <w:t>568.9</w:t>
            </w:r>
          </w:p>
        </w:tc>
        <w:tc>
          <w:tcPr>
            <w:tcW w:w="947" w:type="dxa"/>
          </w:tcPr>
          <w:p w14:paraId="40E1C6BD" w14:textId="77777777" w:rsidR="00AB205D" w:rsidRPr="00E814B9" w:rsidRDefault="00471A3B">
            <w:pPr>
              <w:cnfStyle w:val="000000000000" w:firstRow="0" w:lastRow="0" w:firstColumn="0" w:lastColumn="0" w:oddVBand="0" w:evenVBand="0" w:oddHBand="0" w:evenHBand="0" w:firstRowFirstColumn="0" w:firstRowLastColumn="0" w:lastRowFirstColumn="0" w:lastRowLastColumn="0"/>
            </w:pPr>
            <w:r>
              <w:t>606.2</w:t>
            </w:r>
          </w:p>
        </w:tc>
        <w:tc>
          <w:tcPr>
            <w:tcW w:w="994" w:type="dxa"/>
          </w:tcPr>
          <w:p w14:paraId="30920FC9" w14:textId="77777777" w:rsidR="00AB205D" w:rsidRPr="00E814B9" w:rsidRDefault="00471A3B">
            <w:pPr>
              <w:cnfStyle w:val="000000000000" w:firstRow="0" w:lastRow="0" w:firstColumn="0" w:lastColumn="0" w:oddVBand="0" w:evenVBand="0" w:oddHBand="0" w:evenHBand="0" w:firstRowFirstColumn="0" w:firstRowLastColumn="0" w:lastRowFirstColumn="0" w:lastRowLastColumn="0"/>
            </w:pPr>
            <w:r>
              <w:t>639.1</w:t>
            </w:r>
          </w:p>
        </w:tc>
        <w:tc>
          <w:tcPr>
            <w:tcW w:w="994" w:type="dxa"/>
          </w:tcPr>
          <w:p w14:paraId="6E7464AA" w14:textId="77777777" w:rsidR="00AB205D" w:rsidRPr="00E814B9" w:rsidRDefault="00471A3B">
            <w:pPr>
              <w:cnfStyle w:val="000000000000" w:firstRow="0" w:lastRow="0" w:firstColumn="0" w:lastColumn="0" w:oddVBand="0" w:evenVBand="0" w:oddHBand="0" w:evenHBand="0" w:firstRowFirstColumn="0" w:firstRowLastColumn="0" w:lastRowFirstColumn="0" w:lastRowLastColumn="0"/>
            </w:pPr>
            <w:r>
              <w:t>673.1</w:t>
            </w:r>
          </w:p>
        </w:tc>
        <w:tc>
          <w:tcPr>
            <w:tcW w:w="997" w:type="dxa"/>
          </w:tcPr>
          <w:p w14:paraId="0246B503" w14:textId="77777777" w:rsidR="00AB205D" w:rsidRPr="00E814B9" w:rsidRDefault="00471A3B">
            <w:pPr>
              <w:cnfStyle w:val="000000000000" w:firstRow="0" w:lastRow="0" w:firstColumn="0" w:lastColumn="0" w:oddVBand="0" w:evenVBand="0" w:oddHBand="0" w:evenHBand="0" w:firstRowFirstColumn="0" w:firstRowLastColumn="0" w:lastRowFirstColumn="0" w:lastRowLastColumn="0"/>
            </w:pPr>
            <w:r>
              <w:t>709.7</w:t>
            </w:r>
          </w:p>
        </w:tc>
      </w:tr>
      <w:tr w:rsidR="009C6724" w:rsidRPr="00515ABD" w14:paraId="2D96414F" w14:textId="77777777" w:rsidTr="009C6724">
        <w:tc>
          <w:tcPr>
            <w:cnfStyle w:val="001000000000" w:firstRow="0" w:lastRow="0" w:firstColumn="1" w:lastColumn="0" w:oddVBand="0" w:evenVBand="0" w:oddHBand="0" w:evenHBand="0" w:firstRowFirstColumn="0" w:firstRowLastColumn="0" w:lastRowFirstColumn="0" w:lastRowLastColumn="0"/>
            <w:tcW w:w="2788" w:type="dxa"/>
          </w:tcPr>
          <w:p w14:paraId="6C72E32C" w14:textId="77777777" w:rsidR="00AB205D" w:rsidRPr="00E814B9" w:rsidRDefault="00AB205D">
            <w:pPr>
              <w:pStyle w:val="TableHeading"/>
            </w:pPr>
          </w:p>
        </w:tc>
        <w:tc>
          <w:tcPr>
            <w:tcW w:w="4972" w:type="dxa"/>
            <w:gridSpan w:val="5"/>
            <w:vAlign w:val="bottom"/>
          </w:tcPr>
          <w:p w14:paraId="0E8208BF" w14:textId="77777777" w:rsidR="00AB205D" w:rsidRPr="00E814B9" w:rsidRDefault="00471A3B">
            <w:pPr>
              <w:pStyle w:val="TableHeading"/>
              <w:cnfStyle w:val="000000000000" w:firstRow="0" w:lastRow="0" w:firstColumn="0" w:lastColumn="0" w:oddVBand="0" w:evenVBand="0" w:oddHBand="0" w:evenHBand="0" w:firstRowFirstColumn="0" w:firstRowLastColumn="0" w:lastRowFirstColumn="0" w:lastRowLastColumn="0"/>
            </w:pPr>
            <w:r w:rsidRPr="00E814B9">
              <w:t>(percentage change)</w:t>
            </w:r>
            <w:r w:rsidRPr="00E814B9">
              <w:rPr>
                <w:vertAlign w:val="superscript"/>
              </w:rPr>
              <w:t xml:space="preserve"> (</w:t>
            </w:r>
            <w:r>
              <w:rPr>
                <w:vertAlign w:val="superscript"/>
              </w:rPr>
              <w:t>a</w:t>
            </w:r>
            <w:r w:rsidRPr="00E814B9">
              <w:rPr>
                <w:vertAlign w:val="superscript"/>
              </w:rPr>
              <w:t>)</w:t>
            </w:r>
          </w:p>
        </w:tc>
      </w:tr>
      <w:tr w:rsidR="009C6724" w:rsidRPr="00515ABD" w14:paraId="04D2234B" w14:textId="77777777" w:rsidTr="009C6724">
        <w:tc>
          <w:tcPr>
            <w:cnfStyle w:val="001000000000" w:firstRow="0" w:lastRow="0" w:firstColumn="1" w:lastColumn="0" w:oddVBand="0" w:evenVBand="0" w:oddHBand="0" w:evenHBand="0" w:firstRowFirstColumn="0" w:firstRowLastColumn="0" w:lastRowFirstColumn="0" w:lastRowLastColumn="0"/>
            <w:tcW w:w="2788" w:type="dxa"/>
          </w:tcPr>
          <w:p w14:paraId="785436D5" w14:textId="77777777" w:rsidR="00AB205D" w:rsidRPr="00E814B9" w:rsidRDefault="00471A3B">
            <w:pPr>
              <w:ind w:left="0" w:firstLine="0"/>
            </w:pPr>
            <w:r w:rsidRPr="00E814B9">
              <w:t>Real gross state product</w:t>
            </w:r>
          </w:p>
        </w:tc>
        <w:tc>
          <w:tcPr>
            <w:tcW w:w="1040" w:type="dxa"/>
          </w:tcPr>
          <w:p w14:paraId="51C87FFD" w14:textId="77777777" w:rsidR="00AB205D" w:rsidRPr="00961930" w:rsidRDefault="00471A3B">
            <w:pPr>
              <w:cnfStyle w:val="000000000000" w:firstRow="0" w:lastRow="0" w:firstColumn="0" w:lastColumn="0" w:oddVBand="0" w:evenVBand="0" w:oddHBand="0" w:evenHBand="0" w:firstRowFirstColumn="0" w:firstRowLastColumn="0" w:lastRowFirstColumn="0" w:lastRowLastColumn="0"/>
            </w:pPr>
            <w:r>
              <w:t>2.6</w:t>
            </w:r>
          </w:p>
        </w:tc>
        <w:tc>
          <w:tcPr>
            <w:tcW w:w="947" w:type="dxa"/>
          </w:tcPr>
          <w:p w14:paraId="13E2FB6F" w14:textId="77777777" w:rsidR="00AB205D" w:rsidRPr="00FB7140" w:rsidRDefault="00471A3B">
            <w:pPr>
              <w:cnfStyle w:val="000000000000" w:firstRow="0" w:lastRow="0" w:firstColumn="0" w:lastColumn="0" w:oddVBand="0" w:evenVBand="0" w:oddHBand="0" w:evenHBand="0" w:firstRowFirstColumn="0" w:firstRowLastColumn="0" w:lastRowFirstColumn="0" w:lastRowLastColumn="0"/>
            </w:pPr>
            <w:r>
              <w:t>1.50</w:t>
            </w:r>
          </w:p>
        </w:tc>
        <w:tc>
          <w:tcPr>
            <w:tcW w:w="994" w:type="dxa"/>
          </w:tcPr>
          <w:p w14:paraId="05D481BB" w14:textId="77777777" w:rsidR="00AB205D" w:rsidRPr="00FB7140" w:rsidRDefault="00471A3B">
            <w:pPr>
              <w:cnfStyle w:val="000000000000" w:firstRow="0" w:lastRow="0" w:firstColumn="0" w:lastColumn="0" w:oddVBand="0" w:evenVBand="0" w:oddHBand="0" w:evenHBand="0" w:firstRowFirstColumn="0" w:firstRowLastColumn="0" w:lastRowFirstColumn="0" w:lastRowLastColumn="0"/>
            </w:pPr>
            <w:r>
              <w:t>2.50</w:t>
            </w:r>
          </w:p>
        </w:tc>
        <w:tc>
          <w:tcPr>
            <w:tcW w:w="994" w:type="dxa"/>
          </w:tcPr>
          <w:p w14:paraId="4481A372" w14:textId="77777777" w:rsidR="00AB205D" w:rsidRPr="00FB7140" w:rsidRDefault="00471A3B">
            <w:pPr>
              <w:cnfStyle w:val="000000000000" w:firstRow="0" w:lastRow="0" w:firstColumn="0" w:lastColumn="0" w:oddVBand="0" w:evenVBand="0" w:oddHBand="0" w:evenHBand="0" w:firstRowFirstColumn="0" w:firstRowLastColumn="0" w:lastRowFirstColumn="0" w:lastRowLastColumn="0"/>
            </w:pPr>
            <w:r>
              <w:t>2.75</w:t>
            </w:r>
          </w:p>
        </w:tc>
        <w:tc>
          <w:tcPr>
            <w:tcW w:w="997" w:type="dxa"/>
          </w:tcPr>
          <w:p w14:paraId="3C683550" w14:textId="77777777" w:rsidR="00AB205D" w:rsidRPr="00FB7140" w:rsidRDefault="00471A3B">
            <w:pPr>
              <w:cnfStyle w:val="000000000000" w:firstRow="0" w:lastRow="0" w:firstColumn="0" w:lastColumn="0" w:oddVBand="0" w:evenVBand="0" w:oddHBand="0" w:evenHBand="0" w:firstRowFirstColumn="0" w:firstRowLastColumn="0" w:lastRowFirstColumn="0" w:lastRowLastColumn="0"/>
            </w:pPr>
            <w:r>
              <w:t>2.75</w:t>
            </w:r>
          </w:p>
        </w:tc>
      </w:tr>
      <w:tr w:rsidR="009C6724" w:rsidRPr="00515ABD" w14:paraId="185B18AC" w14:textId="77777777" w:rsidTr="009C6724">
        <w:tc>
          <w:tcPr>
            <w:cnfStyle w:val="001000000000" w:firstRow="0" w:lastRow="0" w:firstColumn="1" w:lastColumn="0" w:oddVBand="0" w:evenVBand="0" w:oddHBand="0" w:evenHBand="0" w:firstRowFirstColumn="0" w:firstRowLastColumn="0" w:lastRowFirstColumn="0" w:lastRowLastColumn="0"/>
            <w:tcW w:w="2788" w:type="dxa"/>
          </w:tcPr>
          <w:p w14:paraId="0CA0B6F0" w14:textId="77777777" w:rsidR="00AB205D" w:rsidRPr="00E814B9" w:rsidRDefault="00471A3B">
            <w:pPr>
              <w:ind w:left="0" w:firstLine="0"/>
            </w:pPr>
            <w:r w:rsidRPr="00E814B9">
              <w:t>Employment</w:t>
            </w:r>
          </w:p>
        </w:tc>
        <w:tc>
          <w:tcPr>
            <w:tcW w:w="1040" w:type="dxa"/>
          </w:tcPr>
          <w:p w14:paraId="0C96BBA1" w14:textId="77777777" w:rsidR="00AB205D" w:rsidRPr="00E814B9" w:rsidRDefault="00471A3B">
            <w:pPr>
              <w:cnfStyle w:val="000000000000" w:firstRow="0" w:lastRow="0" w:firstColumn="0" w:lastColumn="0" w:oddVBand="0" w:evenVBand="0" w:oddHBand="0" w:evenHBand="0" w:firstRowFirstColumn="0" w:firstRowLastColumn="0" w:lastRowFirstColumn="0" w:lastRowLastColumn="0"/>
            </w:pPr>
            <w:r>
              <w:t>4.0</w:t>
            </w:r>
          </w:p>
        </w:tc>
        <w:tc>
          <w:tcPr>
            <w:tcW w:w="947" w:type="dxa"/>
          </w:tcPr>
          <w:p w14:paraId="0DA8C9F0" w14:textId="77777777" w:rsidR="00AB205D" w:rsidRPr="00E814B9" w:rsidRDefault="00471A3B">
            <w:pPr>
              <w:cnfStyle w:val="000000000000" w:firstRow="0" w:lastRow="0" w:firstColumn="0" w:lastColumn="0" w:oddVBand="0" w:evenVBand="0" w:oddHBand="0" w:evenHBand="0" w:firstRowFirstColumn="0" w:firstRowLastColumn="0" w:lastRowFirstColumn="0" w:lastRowLastColumn="0"/>
            </w:pPr>
            <w:r>
              <w:t>2.25</w:t>
            </w:r>
          </w:p>
        </w:tc>
        <w:tc>
          <w:tcPr>
            <w:tcW w:w="994" w:type="dxa"/>
          </w:tcPr>
          <w:p w14:paraId="1F57A361" w14:textId="77777777" w:rsidR="00AB205D" w:rsidRPr="00E814B9" w:rsidRDefault="00471A3B">
            <w:pPr>
              <w:cnfStyle w:val="000000000000" w:firstRow="0" w:lastRow="0" w:firstColumn="0" w:lastColumn="0" w:oddVBand="0" w:evenVBand="0" w:oddHBand="0" w:evenHBand="0" w:firstRowFirstColumn="0" w:firstRowLastColumn="0" w:lastRowFirstColumn="0" w:lastRowLastColumn="0"/>
            </w:pPr>
            <w:r>
              <w:t>1.00</w:t>
            </w:r>
          </w:p>
        </w:tc>
        <w:tc>
          <w:tcPr>
            <w:tcW w:w="994" w:type="dxa"/>
          </w:tcPr>
          <w:p w14:paraId="002373A5" w14:textId="77777777" w:rsidR="00AB205D" w:rsidRPr="00E814B9" w:rsidRDefault="00471A3B">
            <w:pPr>
              <w:cnfStyle w:val="000000000000" w:firstRow="0" w:lastRow="0" w:firstColumn="0" w:lastColumn="0" w:oddVBand="0" w:evenVBand="0" w:oddHBand="0" w:evenHBand="0" w:firstRowFirstColumn="0" w:firstRowLastColumn="0" w:lastRowFirstColumn="0" w:lastRowLastColumn="0"/>
            </w:pPr>
            <w:r>
              <w:t>1.75</w:t>
            </w:r>
          </w:p>
        </w:tc>
        <w:tc>
          <w:tcPr>
            <w:tcW w:w="997" w:type="dxa"/>
          </w:tcPr>
          <w:p w14:paraId="6B182548" w14:textId="77777777" w:rsidR="00AB205D" w:rsidRPr="00E814B9" w:rsidRDefault="00471A3B">
            <w:pPr>
              <w:cnfStyle w:val="000000000000" w:firstRow="0" w:lastRow="0" w:firstColumn="0" w:lastColumn="0" w:oddVBand="0" w:evenVBand="0" w:oddHBand="0" w:evenHBand="0" w:firstRowFirstColumn="0" w:firstRowLastColumn="0" w:lastRowFirstColumn="0" w:lastRowLastColumn="0"/>
            </w:pPr>
            <w:r>
              <w:t>1.75</w:t>
            </w:r>
          </w:p>
        </w:tc>
      </w:tr>
      <w:tr w:rsidR="009C6724" w:rsidRPr="00515ABD" w14:paraId="09878CE6" w14:textId="77777777" w:rsidTr="009C6724">
        <w:tc>
          <w:tcPr>
            <w:cnfStyle w:val="001000000000" w:firstRow="0" w:lastRow="0" w:firstColumn="1" w:lastColumn="0" w:oddVBand="0" w:evenVBand="0" w:oddHBand="0" w:evenHBand="0" w:firstRowFirstColumn="0" w:firstRowLastColumn="0" w:lastRowFirstColumn="0" w:lastRowLastColumn="0"/>
            <w:tcW w:w="2788" w:type="dxa"/>
          </w:tcPr>
          <w:p w14:paraId="79CE345B" w14:textId="77777777" w:rsidR="00AB205D" w:rsidRPr="00E814B9" w:rsidRDefault="00471A3B">
            <w:pPr>
              <w:ind w:left="0" w:firstLine="0"/>
            </w:pPr>
            <w:r w:rsidRPr="00E814B9">
              <w:t xml:space="preserve">Unemployment rate </w:t>
            </w:r>
            <w:r w:rsidRPr="00E814B9">
              <w:rPr>
                <w:vertAlign w:val="superscript"/>
              </w:rPr>
              <w:t>(</w:t>
            </w:r>
            <w:r>
              <w:rPr>
                <w:vertAlign w:val="superscript"/>
              </w:rPr>
              <w:t>b</w:t>
            </w:r>
            <w:r w:rsidRPr="00E814B9">
              <w:rPr>
                <w:vertAlign w:val="superscript"/>
              </w:rPr>
              <w:t>)</w:t>
            </w:r>
          </w:p>
        </w:tc>
        <w:tc>
          <w:tcPr>
            <w:tcW w:w="1040" w:type="dxa"/>
          </w:tcPr>
          <w:p w14:paraId="76BB77E6" w14:textId="77777777" w:rsidR="00AB205D" w:rsidRPr="00E814B9" w:rsidRDefault="00471A3B">
            <w:pPr>
              <w:cnfStyle w:val="000000000000" w:firstRow="0" w:lastRow="0" w:firstColumn="0" w:lastColumn="0" w:oddVBand="0" w:evenVBand="0" w:oddHBand="0" w:evenHBand="0" w:firstRowFirstColumn="0" w:firstRowLastColumn="0" w:lastRowFirstColumn="0" w:lastRowLastColumn="0"/>
            </w:pPr>
            <w:r>
              <w:t>3.7</w:t>
            </w:r>
          </w:p>
        </w:tc>
        <w:tc>
          <w:tcPr>
            <w:tcW w:w="947" w:type="dxa"/>
          </w:tcPr>
          <w:p w14:paraId="10F3A1AD" w14:textId="77777777" w:rsidR="00AB205D" w:rsidRPr="00E814B9" w:rsidRDefault="00471A3B">
            <w:pPr>
              <w:cnfStyle w:val="000000000000" w:firstRow="0" w:lastRow="0" w:firstColumn="0" w:lastColumn="0" w:oddVBand="0" w:evenVBand="0" w:oddHBand="0" w:evenHBand="0" w:firstRowFirstColumn="0" w:firstRowLastColumn="0" w:lastRowFirstColumn="0" w:lastRowLastColumn="0"/>
            </w:pPr>
            <w:r>
              <w:t>4.00</w:t>
            </w:r>
          </w:p>
        </w:tc>
        <w:tc>
          <w:tcPr>
            <w:tcW w:w="994" w:type="dxa"/>
          </w:tcPr>
          <w:p w14:paraId="6D8E2BB5" w14:textId="77777777" w:rsidR="00AB205D" w:rsidRPr="00E814B9" w:rsidRDefault="00471A3B">
            <w:pPr>
              <w:cnfStyle w:val="000000000000" w:firstRow="0" w:lastRow="0" w:firstColumn="0" w:lastColumn="0" w:oddVBand="0" w:evenVBand="0" w:oddHBand="0" w:evenHBand="0" w:firstRowFirstColumn="0" w:firstRowLastColumn="0" w:lastRowFirstColumn="0" w:lastRowLastColumn="0"/>
            </w:pPr>
            <w:r>
              <w:t>4.25</w:t>
            </w:r>
          </w:p>
        </w:tc>
        <w:tc>
          <w:tcPr>
            <w:tcW w:w="994" w:type="dxa"/>
          </w:tcPr>
          <w:p w14:paraId="022FB1FF" w14:textId="77777777" w:rsidR="00AB205D" w:rsidRPr="00E814B9" w:rsidRDefault="00471A3B">
            <w:pPr>
              <w:cnfStyle w:val="000000000000" w:firstRow="0" w:lastRow="0" w:firstColumn="0" w:lastColumn="0" w:oddVBand="0" w:evenVBand="0" w:oddHBand="0" w:evenHBand="0" w:firstRowFirstColumn="0" w:firstRowLastColumn="0" w:lastRowFirstColumn="0" w:lastRowLastColumn="0"/>
            </w:pPr>
            <w:r>
              <w:t>4.50</w:t>
            </w:r>
          </w:p>
        </w:tc>
        <w:tc>
          <w:tcPr>
            <w:tcW w:w="997" w:type="dxa"/>
          </w:tcPr>
          <w:p w14:paraId="7ACC4532" w14:textId="77777777" w:rsidR="00AB205D" w:rsidRPr="00E814B9" w:rsidRDefault="00471A3B">
            <w:pPr>
              <w:cnfStyle w:val="000000000000" w:firstRow="0" w:lastRow="0" w:firstColumn="0" w:lastColumn="0" w:oddVBand="0" w:evenVBand="0" w:oddHBand="0" w:evenHBand="0" w:firstRowFirstColumn="0" w:firstRowLastColumn="0" w:lastRowFirstColumn="0" w:lastRowLastColumn="0"/>
            </w:pPr>
            <w:r>
              <w:t>4.75</w:t>
            </w:r>
          </w:p>
        </w:tc>
      </w:tr>
      <w:tr w:rsidR="009C6724" w:rsidRPr="00515ABD" w14:paraId="1F90E72C" w14:textId="77777777" w:rsidTr="009C6724">
        <w:tc>
          <w:tcPr>
            <w:cnfStyle w:val="001000000000" w:firstRow="0" w:lastRow="0" w:firstColumn="1" w:lastColumn="0" w:oddVBand="0" w:evenVBand="0" w:oddHBand="0" w:evenHBand="0" w:firstRowFirstColumn="0" w:firstRowLastColumn="0" w:lastRowFirstColumn="0" w:lastRowLastColumn="0"/>
            <w:tcW w:w="2788" w:type="dxa"/>
          </w:tcPr>
          <w:p w14:paraId="3035162B" w14:textId="77777777" w:rsidR="00AB205D" w:rsidRPr="00E814B9" w:rsidRDefault="00471A3B">
            <w:pPr>
              <w:ind w:left="0" w:firstLine="0"/>
            </w:pPr>
            <w:r w:rsidRPr="00E814B9">
              <w:t xml:space="preserve">Consumer price index </w:t>
            </w:r>
            <w:r w:rsidRPr="00E814B9">
              <w:rPr>
                <w:vertAlign w:val="superscript"/>
              </w:rPr>
              <w:t>(</w:t>
            </w:r>
            <w:r>
              <w:rPr>
                <w:vertAlign w:val="superscript"/>
              </w:rPr>
              <w:t>c</w:t>
            </w:r>
            <w:r w:rsidRPr="00E814B9">
              <w:rPr>
                <w:vertAlign w:val="superscript"/>
              </w:rPr>
              <w:t>)</w:t>
            </w:r>
          </w:p>
        </w:tc>
        <w:tc>
          <w:tcPr>
            <w:tcW w:w="1040" w:type="dxa"/>
          </w:tcPr>
          <w:p w14:paraId="7FA03573" w14:textId="77777777" w:rsidR="00AB205D" w:rsidRPr="00E814B9" w:rsidRDefault="00471A3B">
            <w:pPr>
              <w:cnfStyle w:val="000000000000" w:firstRow="0" w:lastRow="0" w:firstColumn="0" w:lastColumn="0" w:oddVBand="0" w:evenVBand="0" w:oddHBand="0" w:evenHBand="0" w:firstRowFirstColumn="0" w:firstRowLastColumn="0" w:lastRowFirstColumn="0" w:lastRowLastColumn="0"/>
            </w:pPr>
            <w:r>
              <w:t>6.9</w:t>
            </w:r>
          </w:p>
        </w:tc>
        <w:tc>
          <w:tcPr>
            <w:tcW w:w="947" w:type="dxa"/>
          </w:tcPr>
          <w:p w14:paraId="402F8812" w14:textId="77777777" w:rsidR="00AB205D" w:rsidRPr="00E814B9" w:rsidRDefault="00471A3B">
            <w:pPr>
              <w:cnfStyle w:val="000000000000" w:firstRow="0" w:lastRow="0" w:firstColumn="0" w:lastColumn="0" w:oddVBand="0" w:evenVBand="0" w:oddHBand="0" w:evenHBand="0" w:firstRowFirstColumn="0" w:firstRowLastColumn="0" w:lastRowFirstColumn="0" w:lastRowLastColumn="0"/>
            </w:pPr>
            <w:r>
              <w:t>4.25</w:t>
            </w:r>
          </w:p>
        </w:tc>
        <w:tc>
          <w:tcPr>
            <w:tcW w:w="994" w:type="dxa"/>
          </w:tcPr>
          <w:p w14:paraId="7A83E7C9" w14:textId="77777777" w:rsidR="00AB205D" w:rsidRPr="00E814B9" w:rsidRDefault="00471A3B">
            <w:pPr>
              <w:cnfStyle w:val="000000000000" w:firstRow="0" w:lastRow="0" w:firstColumn="0" w:lastColumn="0" w:oddVBand="0" w:evenVBand="0" w:oddHBand="0" w:evenHBand="0" w:firstRowFirstColumn="0" w:firstRowLastColumn="0" w:lastRowFirstColumn="0" w:lastRowLastColumn="0"/>
            </w:pPr>
            <w:r>
              <w:t>2.75</w:t>
            </w:r>
          </w:p>
        </w:tc>
        <w:tc>
          <w:tcPr>
            <w:tcW w:w="994" w:type="dxa"/>
          </w:tcPr>
          <w:p w14:paraId="316014A3" w14:textId="77777777" w:rsidR="00AB205D" w:rsidRPr="00E814B9" w:rsidRDefault="00471A3B">
            <w:pPr>
              <w:cnfStyle w:val="000000000000" w:firstRow="0" w:lastRow="0" w:firstColumn="0" w:lastColumn="0" w:oddVBand="0" w:evenVBand="0" w:oddHBand="0" w:evenHBand="0" w:firstRowFirstColumn="0" w:firstRowLastColumn="0" w:lastRowFirstColumn="0" w:lastRowLastColumn="0"/>
            </w:pPr>
            <w:r>
              <w:t>2.50</w:t>
            </w:r>
          </w:p>
        </w:tc>
        <w:tc>
          <w:tcPr>
            <w:tcW w:w="997" w:type="dxa"/>
          </w:tcPr>
          <w:p w14:paraId="4E048C8D" w14:textId="77777777" w:rsidR="00AB205D" w:rsidRPr="00E814B9" w:rsidRDefault="00471A3B">
            <w:pPr>
              <w:cnfStyle w:val="000000000000" w:firstRow="0" w:lastRow="0" w:firstColumn="0" w:lastColumn="0" w:oddVBand="0" w:evenVBand="0" w:oddHBand="0" w:evenHBand="0" w:firstRowFirstColumn="0" w:firstRowLastColumn="0" w:lastRowFirstColumn="0" w:lastRowLastColumn="0"/>
            </w:pPr>
            <w:r>
              <w:t>2.50</w:t>
            </w:r>
          </w:p>
        </w:tc>
      </w:tr>
      <w:tr w:rsidR="009C6724" w:rsidRPr="00515ABD" w14:paraId="48A64C77" w14:textId="77777777" w:rsidTr="009C6724">
        <w:tc>
          <w:tcPr>
            <w:cnfStyle w:val="001000000000" w:firstRow="0" w:lastRow="0" w:firstColumn="1" w:lastColumn="0" w:oddVBand="0" w:evenVBand="0" w:oddHBand="0" w:evenHBand="0" w:firstRowFirstColumn="0" w:firstRowLastColumn="0" w:lastRowFirstColumn="0" w:lastRowLastColumn="0"/>
            <w:tcW w:w="2788" w:type="dxa"/>
          </w:tcPr>
          <w:p w14:paraId="150156AF" w14:textId="77777777" w:rsidR="00AB205D" w:rsidRPr="00E814B9" w:rsidRDefault="00471A3B">
            <w:pPr>
              <w:ind w:left="0" w:firstLine="0"/>
            </w:pPr>
            <w:r w:rsidRPr="00E814B9">
              <w:t xml:space="preserve">Wage price index </w:t>
            </w:r>
            <w:r w:rsidRPr="00E814B9">
              <w:rPr>
                <w:vertAlign w:val="superscript"/>
              </w:rPr>
              <w:t>(</w:t>
            </w:r>
            <w:r>
              <w:rPr>
                <w:vertAlign w:val="superscript"/>
              </w:rPr>
              <w:t>d</w:t>
            </w:r>
            <w:r w:rsidRPr="00E814B9">
              <w:rPr>
                <w:vertAlign w:val="superscript"/>
              </w:rPr>
              <w:t>)</w:t>
            </w:r>
          </w:p>
        </w:tc>
        <w:tc>
          <w:tcPr>
            <w:tcW w:w="1040" w:type="dxa"/>
          </w:tcPr>
          <w:p w14:paraId="6F6726ED" w14:textId="77777777" w:rsidR="00AB205D" w:rsidRPr="00961930" w:rsidRDefault="00471A3B">
            <w:pPr>
              <w:cnfStyle w:val="000000000000" w:firstRow="0" w:lastRow="0" w:firstColumn="0" w:lastColumn="0" w:oddVBand="0" w:evenVBand="0" w:oddHBand="0" w:evenHBand="0" w:firstRowFirstColumn="0" w:firstRowLastColumn="0" w:lastRowFirstColumn="0" w:lastRowLastColumn="0"/>
            </w:pPr>
            <w:r>
              <w:t>3.4</w:t>
            </w:r>
          </w:p>
        </w:tc>
        <w:tc>
          <w:tcPr>
            <w:tcW w:w="947" w:type="dxa"/>
          </w:tcPr>
          <w:p w14:paraId="634D4A81" w14:textId="77777777" w:rsidR="00AB205D" w:rsidRPr="00961930" w:rsidRDefault="00471A3B">
            <w:pPr>
              <w:cnfStyle w:val="000000000000" w:firstRow="0" w:lastRow="0" w:firstColumn="0" w:lastColumn="0" w:oddVBand="0" w:evenVBand="0" w:oddHBand="0" w:evenHBand="0" w:firstRowFirstColumn="0" w:firstRowLastColumn="0" w:lastRowFirstColumn="0" w:lastRowLastColumn="0"/>
            </w:pPr>
            <w:r>
              <w:t>3.75</w:t>
            </w:r>
          </w:p>
        </w:tc>
        <w:tc>
          <w:tcPr>
            <w:tcW w:w="994" w:type="dxa"/>
          </w:tcPr>
          <w:p w14:paraId="2730332C" w14:textId="77777777" w:rsidR="00AB205D" w:rsidRPr="00E814B9" w:rsidRDefault="00471A3B">
            <w:pPr>
              <w:cnfStyle w:val="000000000000" w:firstRow="0" w:lastRow="0" w:firstColumn="0" w:lastColumn="0" w:oddVBand="0" w:evenVBand="0" w:oddHBand="0" w:evenHBand="0" w:firstRowFirstColumn="0" w:firstRowLastColumn="0" w:lastRowFirstColumn="0" w:lastRowLastColumn="0"/>
            </w:pPr>
            <w:r>
              <w:t>3.50</w:t>
            </w:r>
          </w:p>
        </w:tc>
        <w:tc>
          <w:tcPr>
            <w:tcW w:w="994" w:type="dxa"/>
          </w:tcPr>
          <w:p w14:paraId="7F27DF92" w14:textId="77777777" w:rsidR="00AB205D" w:rsidRPr="00E814B9" w:rsidRDefault="00471A3B">
            <w:pPr>
              <w:cnfStyle w:val="000000000000" w:firstRow="0" w:lastRow="0" w:firstColumn="0" w:lastColumn="0" w:oddVBand="0" w:evenVBand="0" w:oddHBand="0" w:evenHBand="0" w:firstRowFirstColumn="0" w:firstRowLastColumn="0" w:lastRowFirstColumn="0" w:lastRowLastColumn="0"/>
            </w:pPr>
            <w:r>
              <w:t>3.25</w:t>
            </w:r>
          </w:p>
        </w:tc>
        <w:tc>
          <w:tcPr>
            <w:tcW w:w="997" w:type="dxa"/>
          </w:tcPr>
          <w:p w14:paraId="37B8D3E8" w14:textId="77777777" w:rsidR="00AB205D" w:rsidRPr="00E814B9" w:rsidRDefault="00471A3B">
            <w:pPr>
              <w:cnfStyle w:val="000000000000" w:firstRow="0" w:lastRow="0" w:firstColumn="0" w:lastColumn="0" w:oddVBand="0" w:evenVBand="0" w:oddHBand="0" w:evenHBand="0" w:firstRowFirstColumn="0" w:firstRowLastColumn="0" w:lastRowFirstColumn="0" w:lastRowLastColumn="0"/>
            </w:pPr>
            <w:r>
              <w:t>3.25</w:t>
            </w:r>
          </w:p>
        </w:tc>
      </w:tr>
      <w:tr w:rsidR="009C6724" w:rsidRPr="00515ABD" w14:paraId="61689C69" w14:textId="77777777" w:rsidTr="009C6724">
        <w:tc>
          <w:tcPr>
            <w:cnfStyle w:val="001000000000" w:firstRow="0" w:lastRow="0" w:firstColumn="1" w:lastColumn="0" w:oddVBand="0" w:evenVBand="0" w:oddHBand="0" w:evenHBand="0" w:firstRowFirstColumn="0" w:firstRowLastColumn="0" w:lastRowFirstColumn="0" w:lastRowLastColumn="0"/>
            <w:tcW w:w="2788" w:type="dxa"/>
          </w:tcPr>
          <w:p w14:paraId="2ED03B43" w14:textId="77777777" w:rsidR="00AB205D" w:rsidRPr="00E814B9" w:rsidRDefault="00471A3B">
            <w:pPr>
              <w:ind w:left="0" w:firstLine="0"/>
            </w:pPr>
            <w:r w:rsidRPr="00E814B9">
              <w:t xml:space="preserve">Population </w:t>
            </w:r>
            <w:r w:rsidRPr="00E814B9">
              <w:rPr>
                <w:vertAlign w:val="superscript"/>
              </w:rPr>
              <w:t>(</w:t>
            </w:r>
            <w:r>
              <w:rPr>
                <w:vertAlign w:val="superscript"/>
              </w:rPr>
              <w:t>e</w:t>
            </w:r>
            <w:r w:rsidRPr="00E814B9">
              <w:rPr>
                <w:vertAlign w:val="superscript"/>
              </w:rPr>
              <w:t>)</w:t>
            </w:r>
          </w:p>
        </w:tc>
        <w:tc>
          <w:tcPr>
            <w:tcW w:w="1040" w:type="dxa"/>
          </w:tcPr>
          <w:p w14:paraId="057E3E81" w14:textId="77777777" w:rsidR="00AB205D" w:rsidRPr="00E814B9" w:rsidRDefault="00471A3B">
            <w:pPr>
              <w:cnfStyle w:val="000000000000" w:firstRow="0" w:lastRow="0" w:firstColumn="0" w:lastColumn="0" w:oddVBand="0" w:evenVBand="0" w:oddHBand="0" w:evenHBand="0" w:firstRowFirstColumn="0" w:firstRowLastColumn="0" w:lastRowFirstColumn="0" w:lastRowLastColumn="0"/>
            </w:pPr>
            <w:r>
              <w:t xml:space="preserve">2.60 </w:t>
            </w:r>
            <w:r w:rsidRPr="00894217">
              <w:rPr>
                <w:vertAlign w:val="superscript"/>
              </w:rPr>
              <w:t>(f)</w:t>
            </w:r>
          </w:p>
        </w:tc>
        <w:tc>
          <w:tcPr>
            <w:tcW w:w="947" w:type="dxa"/>
          </w:tcPr>
          <w:p w14:paraId="57308113" w14:textId="77777777" w:rsidR="00AB205D" w:rsidRPr="00E814B9" w:rsidRDefault="00471A3B">
            <w:pPr>
              <w:cnfStyle w:val="000000000000" w:firstRow="0" w:lastRow="0" w:firstColumn="0" w:lastColumn="0" w:oddVBand="0" w:evenVBand="0" w:oddHBand="0" w:evenHBand="0" w:firstRowFirstColumn="0" w:firstRowLastColumn="0" w:lastRowFirstColumn="0" w:lastRowLastColumn="0"/>
            </w:pPr>
            <w:r>
              <w:t>2.20</w:t>
            </w:r>
          </w:p>
        </w:tc>
        <w:tc>
          <w:tcPr>
            <w:tcW w:w="994" w:type="dxa"/>
          </w:tcPr>
          <w:p w14:paraId="7AD4A82A" w14:textId="77777777" w:rsidR="00AB205D" w:rsidRPr="00E814B9" w:rsidRDefault="00471A3B">
            <w:pPr>
              <w:cnfStyle w:val="000000000000" w:firstRow="0" w:lastRow="0" w:firstColumn="0" w:lastColumn="0" w:oddVBand="0" w:evenVBand="0" w:oddHBand="0" w:evenHBand="0" w:firstRowFirstColumn="0" w:firstRowLastColumn="0" w:lastRowFirstColumn="0" w:lastRowLastColumn="0"/>
            </w:pPr>
            <w:r>
              <w:t>1.80</w:t>
            </w:r>
          </w:p>
        </w:tc>
        <w:tc>
          <w:tcPr>
            <w:tcW w:w="994" w:type="dxa"/>
          </w:tcPr>
          <w:p w14:paraId="4B445389" w14:textId="77777777" w:rsidR="00AB205D" w:rsidRPr="00E814B9" w:rsidRDefault="00471A3B">
            <w:pPr>
              <w:cnfStyle w:val="000000000000" w:firstRow="0" w:lastRow="0" w:firstColumn="0" w:lastColumn="0" w:oddVBand="0" w:evenVBand="0" w:oddHBand="0" w:evenHBand="0" w:firstRowFirstColumn="0" w:firstRowLastColumn="0" w:lastRowFirstColumn="0" w:lastRowLastColumn="0"/>
            </w:pPr>
            <w:r>
              <w:t>1.70</w:t>
            </w:r>
          </w:p>
        </w:tc>
        <w:tc>
          <w:tcPr>
            <w:tcW w:w="997" w:type="dxa"/>
          </w:tcPr>
          <w:p w14:paraId="1745876A" w14:textId="77777777" w:rsidR="00AB205D" w:rsidRPr="00E814B9" w:rsidRDefault="00471A3B">
            <w:pPr>
              <w:cnfStyle w:val="000000000000" w:firstRow="0" w:lastRow="0" w:firstColumn="0" w:lastColumn="0" w:oddVBand="0" w:evenVBand="0" w:oddHBand="0" w:evenHBand="0" w:firstRowFirstColumn="0" w:firstRowLastColumn="0" w:lastRowFirstColumn="0" w:lastRowLastColumn="0"/>
            </w:pPr>
            <w:r>
              <w:t>1.70</w:t>
            </w:r>
          </w:p>
        </w:tc>
      </w:tr>
    </w:tbl>
    <w:p w14:paraId="05455D1D" w14:textId="77777777" w:rsidR="00AB205D" w:rsidRPr="002B06C4" w:rsidRDefault="00471A3B">
      <w:pPr>
        <w:pStyle w:val="Note"/>
      </w:pPr>
      <w:r w:rsidRPr="002B06C4">
        <w:t xml:space="preserve">Notes: </w:t>
      </w:r>
    </w:p>
    <w:p w14:paraId="5111C367" w14:textId="77777777" w:rsidR="00AB205D" w:rsidRPr="00256977" w:rsidRDefault="00471A3B">
      <w:pPr>
        <w:pStyle w:val="Note"/>
      </w:pPr>
      <w:r w:rsidRPr="002B06C4">
        <w:t>(a)</w:t>
      </w:r>
      <w:r w:rsidRPr="002B06C4">
        <w:tab/>
      </w:r>
      <w:r w:rsidRPr="00256977">
        <w:t xml:space="preserve">Percentage change in year average terms compared with the previous year, except for the unemployment rate (see note </w:t>
      </w:r>
      <w:r>
        <w:t>(b)</w:t>
      </w:r>
      <w:r w:rsidRPr="00256977">
        <w:t xml:space="preserve">) and population (see note </w:t>
      </w:r>
      <w:r>
        <w:t>(e)</w:t>
      </w:r>
      <w:r w:rsidRPr="00256977">
        <w:t xml:space="preserve">). Forecasts are rounded to the nearest 0.25 percentage points, except for population (see note </w:t>
      </w:r>
      <w:r>
        <w:t>(e)</w:t>
      </w:r>
      <w:r w:rsidRPr="00256977">
        <w:t>).</w:t>
      </w:r>
    </w:p>
    <w:p w14:paraId="31822428" w14:textId="77777777" w:rsidR="00AB205D" w:rsidRPr="00256977" w:rsidRDefault="00471A3B">
      <w:pPr>
        <w:pStyle w:val="Note"/>
      </w:pPr>
      <w:r w:rsidRPr="00256977">
        <w:tab/>
        <w:t>The key assumptions underlying the economic forecasts include interest rates that broadly follow market economists</w:t>
      </w:r>
      <w:r>
        <w:t>’</w:t>
      </w:r>
      <w:r w:rsidRPr="00256977">
        <w:t xml:space="preserve"> expectations; an Australian dollar trade</w:t>
      </w:r>
      <w:r w:rsidRPr="00256977">
        <w:noBreakHyphen/>
        <w:t xml:space="preserve">weighted index of </w:t>
      </w:r>
      <w:r>
        <w:t>61.0</w:t>
      </w:r>
      <w:r w:rsidRPr="00256977">
        <w:t>; and oil prices that follow the path suggested by oil futures.</w:t>
      </w:r>
    </w:p>
    <w:p w14:paraId="68B1CEEC" w14:textId="77777777" w:rsidR="00AB205D" w:rsidRPr="002B06C4" w:rsidRDefault="00471A3B">
      <w:pPr>
        <w:pStyle w:val="Note"/>
      </w:pPr>
      <w:r w:rsidRPr="002B06C4">
        <w:t>(b)</w:t>
      </w:r>
      <w:r w:rsidRPr="002B06C4">
        <w:tab/>
        <w:t>Year average.</w:t>
      </w:r>
    </w:p>
    <w:p w14:paraId="085C1D03" w14:textId="77777777" w:rsidR="00AB205D" w:rsidRPr="002B06C4" w:rsidRDefault="00471A3B">
      <w:pPr>
        <w:pStyle w:val="Note"/>
      </w:pPr>
      <w:r w:rsidRPr="002B06C4">
        <w:t>(c)</w:t>
      </w:r>
      <w:r w:rsidRPr="002B06C4">
        <w:tab/>
        <w:t xml:space="preserve">Melbourne consumer price index. </w:t>
      </w:r>
    </w:p>
    <w:p w14:paraId="50D1B76F" w14:textId="77777777" w:rsidR="00AB205D" w:rsidRPr="002B06C4" w:rsidRDefault="00471A3B">
      <w:pPr>
        <w:pStyle w:val="Note"/>
      </w:pPr>
      <w:r w:rsidRPr="002B06C4">
        <w:t>(d)</w:t>
      </w:r>
      <w:r w:rsidRPr="002B06C4">
        <w:tab/>
        <w:t>Wage price index, Victoria (based on total hourly rates of pay, excluding bonuses).</w:t>
      </w:r>
    </w:p>
    <w:p w14:paraId="1876F1C5" w14:textId="77777777" w:rsidR="00AB205D" w:rsidRPr="002B06C4" w:rsidRDefault="00471A3B">
      <w:pPr>
        <w:pStyle w:val="Note"/>
      </w:pPr>
      <w:r w:rsidRPr="002B06C4">
        <w:t>(e)</w:t>
      </w:r>
      <w:r w:rsidRPr="002B06C4">
        <w:tab/>
        <w:t>Percentage change over the year to 30 June. Forecasts are rounded to the nearest 0.1 percentage point.</w:t>
      </w:r>
    </w:p>
    <w:p w14:paraId="2625E13E" w14:textId="77777777" w:rsidR="00AB205D" w:rsidRDefault="00471A3B">
      <w:pPr>
        <w:pStyle w:val="Note"/>
      </w:pPr>
      <w:r w:rsidRPr="002B06C4">
        <w:t>(f)</w:t>
      </w:r>
      <w:r w:rsidRPr="002B06C4">
        <w:tab/>
        <w:t>Estimate, actual not yet available.</w:t>
      </w:r>
      <w:r>
        <w:t xml:space="preserve"> </w:t>
      </w:r>
    </w:p>
    <w:p w14:paraId="163ED6BA" w14:textId="77777777" w:rsidR="00AB205D" w:rsidRPr="00164E7C" w:rsidRDefault="00471A3B">
      <w:pPr>
        <w:pStyle w:val="Heading20"/>
        <w:pageBreakBefore/>
      </w:pPr>
      <w:bookmarkStart w:id="39" w:name="_Hlk147760585"/>
      <w:r w:rsidRPr="00164E7C">
        <w:lastRenderedPageBreak/>
        <w:t>Economic risks that affect the Estimated Financial Statements</w:t>
      </w:r>
    </w:p>
    <w:p w14:paraId="03C050D3" w14:textId="77777777" w:rsidR="00AB205D" w:rsidRPr="00164E7C" w:rsidRDefault="00471A3B">
      <w:r w:rsidRPr="00164E7C">
        <w:t>Risks to Victoria’s economic outlook remain elevated and the forecasts are subject to uncertainty.</w:t>
      </w:r>
    </w:p>
    <w:p w14:paraId="03E96B6C" w14:textId="77777777" w:rsidR="00AB205D" w:rsidRPr="002F2B91" w:rsidRDefault="00471A3B">
      <w:r w:rsidRPr="002F2B91">
        <w:t xml:space="preserve">A key risk is the outlook for inflation, both domestically and globally. Inflation is high and there is uncertainty about how persistent it will be, with implications for the Reserve Bank of Australia’s monetary policy as well as for other major central banks. The extent to which monetary policy needs to respond to high inflation has implications for economic activity and employment growth. For example, GST revenue, land transfer duty revenue and interest expense are significantly linked to changes in economic growth, inflation and/or interest rates. A related uncertainty is how much further wages growth will increase amid an ongoing tight labour market. </w:t>
      </w:r>
    </w:p>
    <w:p w14:paraId="2CCACDA0" w14:textId="77777777" w:rsidR="00AB205D" w:rsidRDefault="00471A3B">
      <w:r w:rsidRPr="002F2B91">
        <w:t xml:space="preserve">Another uncertainty is the outlook for the global economy. Global risks remain tilted to the downside, as high inflation and global monetary tightening weigh on prospects for economic growth. Further, Russia’s ongoing invasion of Ukraine, and </w:t>
      </w:r>
      <w:r>
        <w:t>the</w:t>
      </w:r>
      <w:r w:rsidRPr="002F2B91">
        <w:t xml:space="preserve"> conflict in the Middle East, have the potential to further destabilise energy prices. Geopolitical tensions in multiple regions also continue to contribute to uncertainty. Weaker global growth would slow demand for Victoria’s goods and services exports.</w:t>
      </w:r>
      <w:r>
        <w:t xml:space="preserve"> </w:t>
      </w:r>
      <w:r w:rsidRPr="00164E7C">
        <w:t xml:space="preserve">Further detail on the economic outlook and risks to the outlook is included in Chapter 2 </w:t>
      </w:r>
      <w:r w:rsidRPr="00164E7C">
        <w:rPr>
          <w:i/>
        </w:rPr>
        <w:t>Economic context</w:t>
      </w:r>
      <w:r w:rsidRPr="00164E7C">
        <w:t>.</w:t>
      </w:r>
    </w:p>
    <w:bookmarkEnd w:id="39"/>
    <w:p w14:paraId="7B3F4039" w14:textId="77777777" w:rsidR="00AB205D" w:rsidRDefault="00AB205D"/>
    <w:p w14:paraId="448FC763" w14:textId="77777777" w:rsidR="00AB205D" w:rsidRDefault="00AB205D"/>
    <w:p w14:paraId="5AE10465" w14:textId="77777777" w:rsidR="00AB205D" w:rsidRDefault="00AB205D"/>
    <w:p w14:paraId="057271F5" w14:textId="77777777" w:rsidR="00AB205D" w:rsidRDefault="00AB205D">
      <w:pPr>
        <w:sectPr w:rsidR="00AB205D" w:rsidSect="00570639">
          <w:headerReference w:type="even" r:id="rId37"/>
          <w:headerReference w:type="default" r:id="rId38"/>
          <w:footerReference w:type="even" r:id="rId39"/>
          <w:footerReference w:type="default" r:id="rId40"/>
          <w:headerReference w:type="first" r:id="rId41"/>
          <w:footerReference w:type="first" r:id="rId42"/>
          <w:pgSz w:w="9979" w:h="14175" w:code="34"/>
          <w:pgMar w:top="1134" w:right="1134" w:bottom="1134" w:left="1134" w:header="624" w:footer="567" w:gutter="0"/>
          <w:cols w:space="708"/>
          <w:docGrid w:linePitch="360"/>
        </w:sectPr>
      </w:pPr>
    </w:p>
    <w:p w14:paraId="128A80A0" w14:textId="77777777" w:rsidR="00AB205D" w:rsidRDefault="00471A3B">
      <w:pPr>
        <w:pStyle w:val="Heading2"/>
        <w:spacing w:before="0"/>
      </w:pPr>
      <w:bookmarkStart w:id="40" w:name="Section_2"/>
      <w:r>
        <w:lastRenderedPageBreak/>
        <w:t>How funds are raised</w:t>
      </w:r>
    </w:p>
    <w:p w14:paraId="66752B93" w14:textId="77777777" w:rsidR="00AB205D" w:rsidRDefault="00AB205D">
      <w:pPr>
        <w:sectPr w:rsidR="00AB205D" w:rsidSect="00570639">
          <w:headerReference w:type="even" r:id="rId43"/>
          <w:headerReference w:type="default" r:id="rId44"/>
          <w:footerReference w:type="even" r:id="rId45"/>
          <w:footerReference w:type="default" r:id="rId46"/>
          <w:headerReference w:type="first" r:id="rId47"/>
          <w:footerReference w:type="first" r:id="rId48"/>
          <w:pgSz w:w="9979" w:h="14175" w:code="34"/>
          <w:pgMar w:top="1134" w:right="1134" w:bottom="1134" w:left="1134" w:header="624" w:footer="567" w:gutter="0"/>
          <w:cols w:space="708"/>
          <w:docGrid w:linePitch="360"/>
        </w:sectPr>
      </w:pPr>
    </w:p>
    <w:p w14:paraId="3815A21C" w14:textId="77777777" w:rsidR="00AB205D" w:rsidRDefault="00471A3B">
      <w:pPr>
        <w:pStyle w:val="Heading30"/>
      </w:pPr>
      <w:r>
        <w:t>Introduction</w:t>
      </w:r>
    </w:p>
    <w:p w14:paraId="30F8E1BE" w14:textId="77777777" w:rsidR="00AB205D" w:rsidRDefault="00471A3B">
      <w:r>
        <w:t>This section presents the sources and amounts of revenue and income forecast for the general government sector.</w:t>
      </w:r>
    </w:p>
    <w:p w14:paraId="56F8FA22" w14:textId="77777777" w:rsidR="00AB205D" w:rsidRDefault="00471A3B">
      <w:r>
        <w:t xml:space="preserve">Revenue and income recognition is determined by the State based on the substance of the arrangement in accordance with the requirements of AASB 15 </w:t>
      </w:r>
      <w:r w:rsidRPr="001E2136">
        <w:rPr>
          <w:i/>
          <w:iCs/>
        </w:rPr>
        <w:t>Revenue from Contracts with Customers</w:t>
      </w:r>
      <w:r>
        <w:t xml:space="preserve">, AASB 16 </w:t>
      </w:r>
      <w:r w:rsidRPr="003E121B">
        <w:rPr>
          <w:i/>
          <w:iCs/>
        </w:rPr>
        <w:t>Leases</w:t>
      </w:r>
      <w:r>
        <w:t xml:space="preserve">, AASB 1058 </w:t>
      </w:r>
      <w:r w:rsidRPr="001E2136">
        <w:rPr>
          <w:i/>
          <w:iCs/>
        </w:rPr>
        <w:t xml:space="preserve">Income of </w:t>
      </w:r>
      <w:r>
        <w:rPr>
          <w:i/>
          <w:iCs/>
        </w:rPr>
        <w:t>N</w:t>
      </w:r>
      <w:r w:rsidRPr="001E2136">
        <w:rPr>
          <w:i/>
          <w:iCs/>
        </w:rPr>
        <w:t>ot</w:t>
      </w:r>
      <w:r>
        <w:rPr>
          <w:i/>
          <w:iCs/>
        </w:rPr>
        <w:noBreakHyphen/>
      </w:r>
      <w:r w:rsidRPr="001E2136">
        <w:rPr>
          <w:i/>
          <w:iCs/>
        </w:rPr>
        <w:t>for</w:t>
      </w:r>
      <w:r>
        <w:rPr>
          <w:i/>
          <w:iCs/>
        </w:rPr>
        <w:noBreakHyphen/>
      </w:r>
      <w:r w:rsidRPr="001E2136">
        <w:rPr>
          <w:i/>
          <w:iCs/>
        </w:rPr>
        <w:t>Profit Entities</w:t>
      </w:r>
      <w:r>
        <w:t xml:space="preserve"> and AASB 1059 </w:t>
      </w:r>
      <w:r w:rsidRPr="00480D66">
        <w:rPr>
          <w:i/>
          <w:iCs/>
        </w:rPr>
        <w:t>Service Concession Arrangements: Grantors</w:t>
      </w:r>
      <w:r>
        <w:t>.</w:t>
      </w:r>
    </w:p>
    <w:p w14:paraId="28A0C877" w14:textId="77777777" w:rsidR="00AB205D" w:rsidRDefault="00471A3B">
      <w:pPr>
        <w:pStyle w:val="Heading30"/>
      </w:pPr>
      <w:r w:rsidRPr="007F4217">
        <w:br w:type="column"/>
      </w:r>
      <w:r>
        <w:t>Structure</w:t>
      </w:r>
    </w:p>
    <w:p w14:paraId="3B37361A" w14:textId="6B0BDFEC" w:rsidR="00AB205D" w:rsidRDefault="00471A3B">
      <w:pPr>
        <w:pStyle w:val="TOC9"/>
        <w:rPr>
          <w:rFonts w:eastAsiaTheme="minorEastAsia"/>
          <w:noProof/>
          <w:sz w:val="22"/>
          <w:lang w:eastAsia="en-AU"/>
        </w:rPr>
      </w:pPr>
      <w:r>
        <w:rPr>
          <w:spacing w:val="-2"/>
        </w:rPr>
        <w:fldChar w:fldCharType="begin"/>
      </w:r>
      <w:r>
        <w:instrText xml:space="preserve"> TOC \h \z \t "Heading 3 [#],9" \b Section_2 \* MERGEFORMAT </w:instrText>
      </w:r>
      <w:r>
        <w:rPr>
          <w:spacing w:val="-2"/>
        </w:rPr>
        <w:fldChar w:fldCharType="separate"/>
      </w:r>
      <w:hyperlink w:anchor="_Toc150443601" w:history="1">
        <w:r w:rsidRPr="00C94D9F">
          <w:rPr>
            <w:rStyle w:val="Hyperlink"/>
            <w:noProof/>
          </w:rPr>
          <w:t>4.2.1</w:t>
        </w:r>
        <w:r>
          <w:rPr>
            <w:rFonts w:eastAsiaTheme="minorEastAsia"/>
            <w:noProof/>
            <w:sz w:val="22"/>
            <w:lang w:eastAsia="en-AU"/>
          </w:rPr>
          <w:tab/>
        </w:r>
        <w:r w:rsidRPr="00C94D9F">
          <w:rPr>
            <w:rStyle w:val="Hyperlink"/>
            <w:noProof/>
          </w:rPr>
          <w:t>Taxation</w:t>
        </w:r>
        <w:r>
          <w:rPr>
            <w:noProof/>
            <w:webHidden/>
          </w:rPr>
          <w:tab/>
        </w:r>
        <w:r>
          <w:rPr>
            <w:noProof/>
            <w:webHidden/>
          </w:rPr>
          <w:fldChar w:fldCharType="begin"/>
        </w:r>
        <w:r>
          <w:rPr>
            <w:noProof/>
            <w:webHidden/>
          </w:rPr>
          <w:instrText xml:space="preserve"> PAGEREF _Toc150443601 \h </w:instrText>
        </w:r>
        <w:r>
          <w:rPr>
            <w:noProof/>
            <w:webHidden/>
          </w:rPr>
        </w:r>
        <w:r>
          <w:rPr>
            <w:noProof/>
            <w:webHidden/>
          </w:rPr>
          <w:fldChar w:fldCharType="separate"/>
        </w:r>
        <w:r w:rsidR="00315D9A">
          <w:rPr>
            <w:noProof/>
            <w:webHidden/>
          </w:rPr>
          <w:t>54</w:t>
        </w:r>
        <w:r>
          <w:rPr>
            <w:noProof/>
            <w:webHidden/>
          </w:rPr>
          <w:fldChar w:fldCharType="end"/>
        </w:r>
      </w:hyperlink>
    </w:p>
    <w:p w14:paraId="5023581D" w14:textId="57E50732" w:rsidR="00AB205D" w:rsidRDefault="00000000">
      <w:pPr>
        <w:pStyle w:val="TOC9"/>
        <w:rPr>
          <w:rFonts w:eastAsiaTheme="minorEastAsia"/>
          <w:noProof/>
          <w:sz w:val="22"/>
          <w:lang w:eastAsia="en-AU"/>
        </w:rPr>
      </w:pPr>
      <w:hyperlink w:anchor="_Toc150443602" w:history="1">
        <w:r w:rsidR="00471A3B" w:rsidRPr="00C94D9F">
          <w:rPr>
            <w:rStyle w:val="Hyperlink"/>
            <w:noProof/>
          </w:rPr>
          <w:t>4.2.2</w:t>
        </w:r>
        <w:r w:rsidR="00471A3B">
          <w:rPr>
            <w:rFonts w:eastAsiaTheme="minorEastAsia"/>
            <w:noProof/>
            <w:sz w:val="22"/>
            <w:lang w:eastAsia="en-AU"/>
          </w:rPr>
          <w:tab/>
        </w:r>
        <w:r w:rsidR="00471A3B" w:rsidRPr="00C94D9F">
          <w:rPr>
            <w:rStyle w:val="Hyperlink"/>
            <w:noProof/>
          </w:rPr>
          <w:t xml:space="preserve">Dividends, income tax equivalent </w:t>
        </w:r>
        <w:r w:rsidR="00471A3B">
          <w:rPr>
            <w:rStyle w:val="Hyperlink"/>
            <w:noProof/>
          </w:rPr>
          <w:br/>
        </w:r>
        <w:r w:rsidR="00471A3B" w:rsidRPr="00C94D9F">
          <w:rPr>
            <w:rStyle w:val="Hyperlink"/>
            <w:noProof/>
          </w:rPr>
          <w:t>and rate equivalent income</w:t>
        </w:r>
        <w:r w:rsidR="00471A3B">
          <w:rPr>
            <w:noProof/>
            <w:webHidden/>
          </w:rPr>
          <w:tab/>
        </w:r>
        <w:r w:rsidR="00471A3B">
          <w:rPr>
            <w:noProof/>
            <w:webHidden/>
          </w:rPr>
          <w:fldChar w:fldCharType="begin"/>
        </w:r>
        <w:r w:rsidR="00471A3B">
          <w:rPr>
            <w:noProof/>
            <w:webHidden/>
          </w:rPr>
          <w:instrText xml:space="preserve"> PAGEREF _Toc150443602 \h </w:instrText>
        </w:r>
        <w:r w:rsidR="00471A3B">
          <w:rPr>
            <w:noProof/>
            <w:webHidden/>
          </w:rPr>
        </w:r>
        <w:r w:rsidR="00471A3B">
          <w:rPr>
            <w:noProof/>
            <w:webHidden/>
          </w:rPr>
          <w:fldChar w:fldCharType="separate"/>
        </w:r>
        <w:r w:rsidR="00315D9A">
          <w:rPr>
            <w:noProof/>
            <w:webHidden/>
          </w:rPr>
          <w:t>55</w:t>
        </w:r>
        <w:r w:rsidR="00471A3B">
          <w:rPr>
            <w:noProof/>
            <w:webHidden/>
          </w:rPr>
          <w:fldChar w:fldCharType="end"/>
        </w:r>
      </w:hyperlink>
    </w:p>
    <w:p w14:paraId="76F8341D" w14:textId="4A41BABB" w:rsidR="00AB205D" w:rsidRDefault="00000000">
      <w:pPr>
        <w:pStyle w:val="TOC9"/>
        <w:rPr>
          <w:rFonts w:eastAsiaTheme="minorEastAsia"/>
          <w:noProof/>
          <w:sz w:val="22"/>
          <w:lang w:eastAsia="en-AU"/>
        </w:rPr>
      </w:pPr>
      <w:hyperlink w:anchor="_Toc150443603" w:history="1">
        <w:r w:rsidR="00471A3B" w:rsidRPr="00C94D9F">
          <w:rPr>
            <w:rStyle w:val="Hyperlink"/>
            <w:noProof/>
          </w:rPr>
          <w:t>4.2.3</w:t>
        </w:r>
        <w:r w:rsidR="00471A3B">
          <w:rPr>
            <w:rFonts w:eastAsiaTheme="minorEastAsia"/>
            <w:noProof/>
            <w:sz w:val="22"/>
            <w:lang w:eastAsia="en-AU"/>
          </w:rPr>
          <w:tab/>
        </w:r>
        <w:r w:rsidR="00471A3B" w:rsidRPr="00C94D9F">
          <w:rPr>
            <w:rStyle w:val="Hyperlink"/>
            <w:noProof/>
          </w:rPr>
          <w:t>Sales of goods and services</w:t>
        </w:r>
        <w:r w:rsidR="00471A3B">
          <w:rPr>
            <w:noProof/>
            <w:webHidden/>
          </w:rPr>
          <w:tab/>
        </w:r>
        <w:r w:rsidR="00471A3B">
          <w:rPr>
            <w:noProof/>
            <w:webHidden/>
          </w:rPr>
          <w:fldChar w:fldCharType="begin"/>
        </w:r>
        <w:r w:rsidR="00471A3B">
          <w:rPr>
            <w:noProof/>
            <w:webHidden/>
          </w:rPr>
          <w:instrText xml:space="preserve"> PAGEREF _Toc150443603 \h </w:instrText>
        </w:r>
        <w:r w:rsidR="00471A3B">
          <w:rPr>
            <w:noProof/>
            <w:webHidden/>
          </w:rPr>
        </w:r>
        <w:r w:rsidR="00471A3B">
          <w:rPr>
            <w:noProof/>
            <w:webHidden/>
          </w:rPr>
          <w:fldChar w:fldCharType="separate"/>
        </w:r>
        <w:r w:rsidR="00315D9A">
          <w:rPr>
            <w:noProof/>
            <w:webHidden/>
          </w:rPr>
          <w:t>56</w:t>
        </w:r>
        <w:r w:rsidR="00471A3B">
          <w:rPr>
            <w:noProof/>
            <w:webHidden/>
          </w:rPr>
          <w:fldChar w:fldCharType="end"/>
        </w:r>
      </w:hyperlink>
    </w:p>
    <w:p w14:paraId="2AF425BC" w14:textId="24BFA275" w:rsidR="00AB205D" w:rsidRDefault="00000000">
      <w:pPr>
        <w:pStyle w:val="TOC9"/>
        <w:rPr>
          <w:rFonts w:eastAsiaTheme="minorEastAsia"/>
          <w:noProof/>
          <w:sz w:val="22"/>
          <w:lang w:eastAsia="en-AU"/>
        </w:rPr>
      </w:pPr>
      <w:hyperlink w:anchor="_Toc150443604" w:history="1">
        <w:r w:rsidR="00471A3B" w:rsidRPr="00C94D9F">
          <w:rPr>
            <w:rStyle w:val="Hyperlink"/>
            <w:noProof/>
          </w:rPr>
          <w:t>4.2.4</w:t>
        </w:r>
        <w:r w:rsidR="00471A3B">
          <w:rPr>
            <w:rFonts w:eastAsiaTheme="minorEastAsia"/>
            <w:noProof/>
            <w:sz w:val="22"/>
            <w:lang w:eastAsia="en-AU"/>
          </w:rPr>
          <w:tab/>
        </w:r>
        <w:r w:rsidR="00471A3B" w:rsidRPr="00C94D9F">
          <w:rPr>
            <w:rStyle w:val="Hyperlink"/>
            <w:noProof/>
          </w:rPr>
          <w:t>Grants</w:t>
        </w:r>
        <w:r w:rsidR="00471A3B">
          <w:rPr>
            <w:noProof/>
            <w:webHidden/>
          </w:rPr>
          <w:tab/>
        </w:r>
        <w:r w:rsidR="00471A3B">
          <w:rPr>
            <w:noProof/>
            <w:webHidden/>
          </w:rPr>
          <w:fldChar w:fldCharType="begin"/>
        </w:r>
        <w:r w:rsidR="00471A3B">
          <w:rPr>
            <w:noProof/>
            <w:webHidden/>
          </w:rPr>
          <w:instrText xml:space="preserve"> PAGEREF _Toc150443604 \h </w:instrText>
        </w:r>
        <w:r w:rsidR="00471A3B">
          <w:rPr>
            <w:noProof/>
            <w:webHidden/>
          </w:rPr>
        </w:r>
        <w:r w:rsidR="00471A3B">
          <w:rPr>
            <w:noProof/>
            <w:webHidden/>
          </w:rPr>
          <w:fldChar w:fldCharType="separate"/>
        </w:r>
        <w:r w:rsidR="00315D9A">
          <w:rPr>
            <w:noProof/>
            <w:webHidden/>
          </w:rPr>
          <w:t>56</w:t>
        </w:r>
        <w:r w:rsidR="00471A3B">
          <w:rPr>
            <w:noProof/>
            <w:webHidden/>
          </w:rPr>
          <w:fldChar w:fldCharType="end"/>
        </w:r>
      </w:hyperlink>
    </w:p>
    <w:p w14:paraId="73587808" w14:textId="2644E13E" w:rsidR="00AB205D" w:rsidRDefault="00000000">
      <w:pPr>
        <w:pStyle w:val="TOC9"/>
        <w:rPr>
          <w:rFonts w:eastAsiaTheme="minorEastAsia"/>
          <w:noProof/>
          <w:sz w:val="22"/>
          <w:lang w:eastAsia="en-AU"/>
        </w:rPr>
      </w:pPr>
      <w:hyperlink w:anchor="_Toc150443605" w:history="1">
        <w:r w:rsidR="00471A3B" w:rsidRPr="00C94D9F">
          <w:rPr>
            <w:rStyle w:val="Hyperlink"/>
            <w:noProof/>
          </w:rPr>
          <w:t>4.2.5</w:t>
        </w:r>
        <w:r w:rsidR="00471A3B">
          <w:rPr>
            <w:rFonts w:eastAsiaTheme="minorEastAsia"/>
            <w:noProof/>
            <w:sz w:val="22"/>
            <w:lang w:eastAsia="en-AU"/>
          </w:rPr>
          <w:tab/>
        </w:r>
        <w:r w:rsidR="00471A3B" w:rsidRPr="00C94D9F">
          <w:rPr>
            <w:rStyle w:val="Hyperlink"/>
            <w:noProof/>
          </w:rPr>
          <w:t>Other revenue and income</w:t>
        </w:r>
        <w:r w:rsidR="00471A3B">
          <w:rPr>
            <w:noProof/>
            <w:webHidden/>
          </w:rPr>
          <w:tab/>
        </w:r>
        <w:r w:rsidR="00471A3B">
          <w:rPr>
            <w:noProof/>
            <w:webHidden/>
          </w:rPr>
          <w:fldChar w:fldCharType="begin"/>
        </w:r>
        <w:r w:rsidR="00471A3B">
          <w:rPr>
            <w:noProof/>
            <w:webHidden/>
          </w:rPr>
          <w:instrText xml:space="preserve"> PAGEREF _Toc150443605 \h </w:instrText>
        </w:r>
        <w:r w:rsidR="00471A3B">
          <w:rPr>
            <w:noProof/>
            <w:webHidden/>
          </w:rPr>
        </w:r>
        <w:r w:rsidR="00471A3B">
          <w:rPr>
            <w:noProof/>
            <w:webHidden/>
          </w:rPr>
          <w:fldChar w:fldCharType="separate"/>
        </w:r>
        <w:r w:rsidR="00315D9A">
          <w:rPr>
            <w:noProof/>
            <w:webHidden/>
          </w:rPr>
          <w:t>57</w:t>
        </w:r>
        <w:r w:rsidR="00471A3B">
          <w:rPr>
            <w:noProof/>
            <w:webHidden/>
          </w:rPr>
          <w:fldChar w:fldCharType="end"/>
        </w:r>
      </w:hyperlink>
    </w:p>
    <w:p w14:paraId="2401C9D6" w14:textId="77777777" w:rsidR="00AB205D" w:rsidRDefault="00471A3B">
      <w:r>
        <w:rPr>
          <w:b/>
          <w:bCs/>
          <w:noProof/>
          <w:lang w:val="en-US"/>
        </w:rPr>
        <w:fldChar w:fldCharType="end"/>
      </w:r>
    </w:p>
    <w:p w14:paraId="73A8E530" w14:textId="77777777" w:rsidR="00AB205D" w:rsidRDefault="00471A3B">
      <w:r>
        <w:br w:type="page"/>
      </w:r>
    </w:p>
    <w:p w14:paraId="316D6976" w14:textId="77777777" w:rsidR="00AB205D" w:rsidRDefault="00AB205D">
      <w:pPr>
        <w:sectPr w:rsidR="00AB205D" w:rsidSect="00570639">
          <w:headerReference w:type="even" r:id="rId49"/>
          <w:headerReference w:type="default" r:id="rId50"/>
          <w:footerReference w:type="even" r:id="rId51"/>
          <w:footerReference w:type="default" r:id="rId52"/>
          <w:headerReference w:type="first" r:id="rId53"/>
          <w:footerReference w:type="first" r:id="rId54"/>
          <w:type w:val="continuous"/>
          <w:pgSz w:w="9979" w:h="14175" w:code="34"/>
          <w:pgMar w:top="1134" w:right="1134" w:bottom="1134" w:left="1134" w:header="624" w:footer="567" w:gutter="0"/>
          <w:cols w:num="2" w:space="708"/>
          <w:titlePg/>
          <w:docGrid w:linePitch="360"/>
        </w:sectPr>
      </w:pPr>
    </w:p>
    <w:p w14:paraId="4D7393A1" w14:textId="77777777" w:rsidR="00AB205D" w:rsidRPr="002F0339" w:rsidRDefault="00471A3B" w:rsidP="00117A92">
      <w:pPr>
        <w:pStyle w:val="Heading3"/>
        <w:spacing w:before="0"/>
        <w:rPr>
          <w:sz w:val="21"/>
          <w:szCs w:val="21"/>
        </w:rPr>
      </w:pPr>
      <w:bookmarkStart w:id="41" w:name="_Toc85010020"/>
      <w:bookmarkStart w:id="42" w:name="_Toc150443601"/>
      <w:r w:rsidRPr="002F0339">
        <w:rPr>
          <w:sz w:val="21"/>
          <w:szCs w:val="21"/>
        </w:rPr>
        <w:lastRenderedPageBreak/>
        <w:t xml:space="preserve">Taxation </w:t>
      </w:r>
      <w:r w:rsidRPr="002F0339">
        <w:rPr>
          <w:sz w:val="21"/>
          <w:szCs w:val="21"/>
        </w:rPr>
        <w:tab/>
        <w:t>($ million)</w:t>
      </w:r>
      <w:bookmarkEnd w:id="41"/>
      <w:bookmarkEnd w:id="42"/>
    </w:p>
    <w:tbl>
      <w:tblPr>
        <w:tblStyle w:val="DTFTableNumeric"/>
        <w:tblW w:w="7710" w:type="dxa"/>
        <w:tblLayout w:type="fixed"/>
        <w:tblLook w:val="06A0" w:firstRow="1" w:lastRow="0" w:firstColumn="1" w:lastColumn="0" w:noHBand="1" w:noVBand="1"/>
        <w:tblDescription w:val="Type:DtfTable|Workbook:Rawdata\BudgetUpdate\Budget Update\Financial Statements\SRIMS exports\SRIMS_BU_EFS_OS.xlsx|Table:Taxation|MergedHeadingRow:1"/>
      </w:tblPr>
      <w:tblGrid>
        <w:gridCol w:w="3740"/>
        <w:gridCol w:w="794"/>
        <w:gridCol w:w="794"/>
        <w:gridCol w:w="794"/>
        <w:gridCol w:w="794"/>
        <w:gridCol w:w="794"/>
      </w:tblGrid>
      <w:tr w:rsidR="009C6724" w14:paraId="353EF6C2"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65F3776E" w14:textId="77777777" w:rsidR="00AB205D" w:rsidRDefault="00AB205D">
            <w:pPr>
              <w:keepNext/>
            </w:pPr>
          </w:p>
        </w:tc>
        <w:tc>
          <w:tcPr>
            <w:tcW w:w="794" w:type="dxa"/>
          </w:tcPr>
          <w:p w14:paraId="48399F09"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budget</w:t>
            </w:r>
          </w:p>
        </w:tc>
        <w:tc>
          <w:tcPr>
            <w:tcW w:w="794" w:type="dxa"/>
          </w:tcPr>
          <w:p w14:paraId="65970192"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revised</w:t>
            </w:r>
          </w:p>
        </w:tc>
        <w:tc>
          <w:tcPr>
            <w:tcW w:w="794" w:type="dxa"/>
          </w:tcPr>
          <w:p w14:paraId="6D242E0E"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r>
              <w:br/>
              <w:t>estimate</w:t>
            </w:r>
          </w:p>
        </w:tc>
        <w:tc>
          <w:tcPr>
            <w:tcW w:w="794" w:type="dxa"/>
          </w:tcPr>
          <w:p w14:paraId="2007BE22"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6415D951"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r>
      <w:tr w:rsidR="009C6724" w14:paraId="02134906" w14:textId="77777777" w:rsidTr="009C6724">
        <w:tc>
          <w:tcPr>
            <w:cnfStyle w:val="001000000000" w:firstRow="0" w:lastRow="0" w:firstColumn="1" w:lastColumn="0" w:oddVBand="0" w:evenVBand="0" w:oddHBand="0" w:evenHBand="0" w:firstRowFirstColumn="0" w:firstRowLastColumn="0" w:lastRowFirstColumn="0" w:lastRowLastColumn="0"/>
            <w:tcW w:w="7710" w:type="dxa"/>
            <w:gridSpan w:val="6"/>
          </w:tcPr>
          <w:p w14:paraId="4B8D2D65" w14:textId="77777777" w:rsidR="00AB205D" w:rsidRDefault="00471A3B">
            <w:r>
              <w:rPr>
                <w:b/>
              </w:rPr>
              <w:t>TAXES ON EMPLOYERS’ PAYROLL AND LABOUR FORCE</w:t>
            </w:r>
          </w:p>
        </w:tc>
      </w:tr>
      <w:tr w:rsidR="009C6724" w14:paraId="0499616E"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8E509AD" w14:textId="77777777" w:rsidR="00AB205D" w:rsidRDefault="00471A3B">
            <w:r>
              <w:t>Payroll tax</w:t>
            </w:r>
          </w:p>
        </w:tc>
        <w:tc>
          <w:tcPr>
            <w:tcW w:w="794" w:type="dxa"/>
          </w:tcPr>
          <w:p w14:paraId="45B108EB" w14:textId="77777777" w:rsidR="00AB205D" w:rsidRDefault="00471A3B">
            <w:pPr>
              <w:cnfStyle w:val="000000000000" w:firstRow="0" w:lastRow="0" w:firstColumn="0" w:lastColumn="0" w:oddVBand="0" w:evenVBand="0" w:oddHBand="0" w:evenHBand="0" w:firstRowFirstColumn="0" w:firstRowLastColumn="0" w:lastRowFirstColumn="0" w:lastRowLastColumn="0"/>
            </w:pPr>
            <w:r>
              <w:t>7 984</w:t>
            </w:r>
          </w:p>
        </w:tc>
        <w:tc>
          <w:tcPr>
            <w:tcW w:w="794" w:type="dxa"/>
          </w:tcPr>
          <w:p w14:paraId="33AFEC66" w14:textId="77777777" w:rsidR="00AB205D" w:rsidRDefault="00471A3B">
            <w:pPr>
              <w:cnfStyle w:val="000000000000" w:firstRow="0" w:lastRow="0" w:firstColumn="0" w:lastColumn="0" w:oddVBand="0" w:evenVBand="0" w:oddHBand="0" w:evenHBand="0" w:firstRowFirstColumn="0" w:firstRowLastColumn="0" w:lastRowFirstColumn="0" w:lastRowLastColumn="0"/>
            </w:pPr>
            <w:r>
              <w:t>8 397</w:t>
            </w:r>
          </w:p>
        </w:tc>
        <w:tc>
          <w:tcPr>
            <w:tcW w:w="794" w:type="dxa"/>
          </w:tcPr>
          <w:p w14:paraId="7F0CD466" w14:textId="77777777" w:rsidR="00AB205D" w:rsidRDefault="00471A3B">
            <w:pPr>
              <w:cnfStyle w:val="000000000000" w:firstRow="0" w:lastRow="0" w:firstColumn="0" w:lastColumn="0" w:oddVBand="0" w:evenVBand="0" w:oddHBand="0" w:evenHBand="0" w:firstRowFirstColumn="0" w:firstRowLastColumn="0" w:lastRowFirstColumn="0" w:lastRowLastColumn="0"/>
            </w:pPr>
            <w:r>
              <w:t>8 811</w:t>
            </w:r>
          </w:p>
        </w:tc>
        <w:tc>
          <w:tcPr>
            <w:tcW w:w="794" w:type="dxa"/>
          </w:tcPr>
          <w:p w14:paraId="2A3D5AF8" w14:textId="77777777" w:rsidR="00AB205D" w:rsidRDefault="00471A3B">
            <w:pPr>
              <w:cnfStyle w:val="000000000000" w:firstRow="0" w:lastRow="0" w:firstColumn="0" w:lastColumn="0" w:oddVBand="0" w:evenVBand="0" w:oddHBand="0" w:evenHBand="0" w:firstRowFirstColumn="0" w:firstRowLastColumn="0" w:lastRowFirstColumn="0" w:lastRowLastColumn="0"/>
            </w:pPr>
            <w:r>
              <w:t>9 131</w:t>
            </w:r>
          </w:p>
        </w:tc>
        <w:tc>
          <w:tcPr>
            <w:tcW w:w="794" w:type="dxa"/>
          </w:tcPr>
          <w:p w14:paraId="0ED7B723" w14:textId="77777777" w:rsidR="00AB205D" w:rsidRDefault="00471A3B">
            <w:pPr>
              <w:cnfStyle w:val="000000000000" w:firstRow="0" w:lastRow="0" w:firstColumn="0" w:lastColumn="0" w:oddVBand="0" w:evenVBand="0" w:oddHBand="0" w:evenHBand="0" w:firstRowFirstColumn="0" w:firstRowLastColumn="0" w:lastRowFirstColumn="0" w:lastRowLastColumn="0"/>
            </w:pPr>
            <w:r>
              <w:t>9 585</w:t>
            </w:r>
          </w:p>
        </w:tc>
      </w:tr>
      <w:tr w:rsidR="009C6724" w14:paraId="3A8C30EF"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0B3B76C8" w14:textId="77777777" w:rsidR="00AB205D" w:rsidRDefault="00471A3B">
            <w:r>
              <w:t>COVID Debt Levy – Payroll $10m+</w:t>
            </w:r>
          </w:p>
        </w:tc>
        <w:tc>
          <w:tcPr>
            <w:tcW w:w="794" w:type="dxa"/>
          </w:tcPr>
          <w:p w14:paraId="03488484" w14:textId="77777777" w:rsidR="00AB205D" w:rsidRDefault="00471A3B">
            <w:pPr>
              <w:cnfStyle w:val="000000000000" w:firstRow="0" w:lastRow="0" w:firstColumn="0" w:lastColumn="0" w:oddVBand="0" w:evenVBand="0" w:oddHBand="0" w:evenHBand="0" w:firstRowFirstColumn="0" w:firstRowLastColumn="0" w:lastRowFirstColumn="0" w:lastRowLastColumn="0"/>
            </w:pPr>
            <w:r>
              <w:t>836</w:t>
            </w:r>
          </w:p>
        </w:tc>
        <w:tc>
          <w:tcPr>
            <w:tcW w:w="794" w:type="dxa"/>
          </w:tcPr>
          <w:p w14:paraId="101075BA" w14:textId="77777777" w:rsidR="00AB205D" w:rsidRDefault="00471A3B">
            <w:pPr>
              <w:cnfStyle w:val="000000000000" w:firstRow="0" w:lastRow="0" w:firstColumn="0" w:lastColumn="0" w:oddVBand="0" w:evenVBand="0" w:oddHBand="0" w:evenHBand="0" w:firstRowFirstColumn="0" w:firstRowLastColumn="0" w:lastRowFirstColumn="0" w:lastRowLastColumn="0"/>
            </w:pPr>
            <w:r>
              <w:t>894</w:t>
            </w:r>
          </w:p>
        </w:tc>
        <w:tc>
          <w:tcPr>
            <w:tcW w:w="794" w:type="dxa"/>
          </w:tcPr>
          <w:p w14:paraId="628115C5" w14:textId="77777777" w:rsidR="00AB205D" w:rsidRDefault="00471A3B">
            <w:pPr>
              <w:cnfStyle w:val="000000000000" w:firstRow="0" w:lastRow="0" w:firstColumn="0" w:lastColumn="0" w:oddVBand="0" w:evenVBand="0" w:oddHBand="0" w:evenHBand="0" w:firstRowFirstColumn="0" w:firstRowLastColumn="0" w:lastRowFirstColumn="0" w:lastRowLastColumn="0"/>
            </w:pPr>
            <w:r>
              <w:t>1 029</w:t>
            </w:r>
          </w:p>
        </w:tc>
        <w:tc>
          <w:tcPr>
            <w:tcW w:w="794" w:type="dxa"/>
          </w:tcPr>
          <w:p w14:paraId="0D2D1610" w14:textId="77777777" w:rsidR="00AB205D" w:rsidRDefault="00471A3B">
            <w:pPr>
              <w:cnfStyle w:val="000000000000" w:firstRow="0" w:lastRow="0" w:firstColumn="0" w:lastColumn="0" w:oddVBand="0" w:evenVBand="0" w:oddHBand="0" w:evenHBand="0" w:firstRowFirstColumn="0" w:firstRowLastColumn="0" w:lastRowFirstColumn="0" w:lastRowLastColumn="0"/>
            </w:pPr>
            <w:r>
              <w:t>1 076</w:t>
            </w:r>
          </w:p>
        </w:tc>
        <w:tc>
          <w:tcPr>
            <w:tcW w:w="794" w:type="dxa"/>
          </w:tcPr>
          <w:p w14:paraId="15B42215" w14:textId="77777777" w:rsidR="00AB205D" w:rsidRDefault="00471A3B">
            <w:pPr>
              <w:cnfStyle w:val="000000000000" w:firstRow="0" w:lastRow="0" w:firstColumn="0" w:lastColumn="0" w:oddVBand="0" w:evenVBand="0" w:oddHBand="0" w:evenHBand="0" w:firstRowFirstColumn="0" w:firstRowLastColumn="0" w:lastRowFirstColumn="0" w:lastRowLastColumn="0"/>
            </w:pPr>
            <w:r>
              <w:t>1 140</w:t>
            </w:r>
          </w:p>
        </w:tc>
      </w:tr>
      <w:tr w:rsidR="009C6724" w14:paraId="4E3B6D0E"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2F3E083B" w14:textId="77777777" w:rsidR="00AB205D" w:rsidRDefault="00471A3B">
            <w:r>
              <w:t>Mental Health and Wellbeing Levy</w:t>
            </w:r>
          </w:p>
        </w:tc>
        <w:tc>
          <w:tcPr>
            <w:tcW w:w="794" w:type="dxa"/>
            <w:tcBorders>
              <w:bottom w:val="single" w:sz="6" w:space="0" w:color="auto"/>
            </w:tcBorders>
          </w:tcPr>
          <w:p w14:paraId="79CE9D3E" w14:textId="77777777" w:rsidR="00AB205D" w:rsidRDefault="00471A3B">
            <w:pPr>
              <w:cnfStyle w:val="000000000000" w:firstRow="0" w:lastRow="0" w:firstColumn="0" w:lastColumn="0" w:oddVBand="0" w:evenVBand="0" w:oddHBand="0" w:evenHBand="0" w:firstRowFirstColumn="0" w:firstRowLastColumn="0" w:lastRowFirstColumn="0" w:lastRowLastColumn="0"/>
            </w:pPr>
            <w:r>
              <w:t>912</w:t>
            </w:r>
          </w:p>
        </w:tc>
        <w:tc>
          <w:tcPr>
            <w:tcW w:w="794" w:type="dxa"/>
            <w:tcBorders>
              <w:bottom w:val="single" w:sz="6" w:space="0" w:color="auto"/>
            </w:tcBorders>
          </w:tcPr>
          <w:p w14:paraId="06733D40" w14:textId="77777777" w:rsidR="00AB205D" w:rsidRDefault="00471A3B">
            <w:pPr>
              <w:cnfStyle w:val="000000000000" w:firstRow="0" w:lastRow="0" w:firstColumn="0" w:lastColumn="0" w:oddVBand="0" w:evenVBand="0" w:oddHBand="0" w:evenHBand="0" w:firstRowFirstColumn="0" w:firstRowLastColumn="0" w:lastRowFirstColumn="0" w:lastRowLastColumn="0"/>
            </w:pPr>
            <w:r>
              <w:t>975</w:t>
            </w:r>
          </w:p>
        </w:tc>
        <w:tc>
          <w:tcPr>
            <w:tcW w:w="794" w:type="dxa"/>
            <w:tcBorders>
              <w:bottom w:val="single" w:sz="6" w:space="0" w:color="auto"/>
            </w:tcBorders>
          </w:tcPr>
          <w:p w14:paraId="0E017F1E" w14:textId="77777777" w:rsidR="00AB205D" w:rsidRDefault="00471A3B">
            <w:pPr>
              <w:cnfStyle w:val="000000000000" w:firstRow="0" w:lastRow="0" w:firstColumn="0" w:lastColumn="0" w:oddVBand="0" w:evenVBand="0" w:oddHBand="0" w:evenHBand="0" w:firstRowFirstColumn="0" w:firstRowLastColumn="0" w:lastRowFirstColumn="0" w:lastRowLastColumn="0"/>
            </w:pPr>
            <w:r>
              <w:t>1 029</w:t>
            </w:r>
          </w:p>
        </w:tc>
        <w:tc>
          <w:tcPr>
            <w:tcW w:w="794" w:type="dxa"/>
            <w:tcBorders>
              <w:bottom w:val="single" w:sz="6" w:space="0" w:color="auto"/>
            </w:tcBorders>
          </w:tcPr>
          <w:p w14:paraId="6A766495" w14:textId="77777777" w:rsidR="00AB205D" w:rsidRDefault="00471A3B">
            <w:pPr>
              <w:cnfStyle w:val="000000000000" w:firstRow="0" w:lastRow="0" w:firstColumn="0" w:lastColumn="0" w:oddVBand="0" w:evenVBand="0" w:oddHBand="0" w:evenHBand="0" w:firstRowFirstColumn="0" w:firstRowLastColumn="0" w:lastRowFirstColumn="0" w:lastRowLastColumn="0"/>
            </w:pPr>
            <w:r>
              <w:t>1 076</w:t>
            </w:r>
          </w:p>
        </w:tc>
        <w:tc>
          <w:tcPr>
            <w:tcW w:w="794" w:type="dxa"/>
            <w:tcBorders>
              <w:bottom w:val="single" w:sz="6" w:space="0" w:color="auto"/>
            </w:tcBorders>
          </w:tcPr>
          <w:p w14:paraId="5AFD9B4B" w14:textId="77777777" w:rsidR="00AB205D" w:rsidRDefault="00471A3B">
            <w:pPr>
              <w:cnfStyle w:val="000000000000" w:firstRow="0" w:lastRow="0" w:firstColumn="0" w:lastColumn="0" w:oddVBand="0" w:evenVBand="0" w:oddHBand="0" w:evenHBand="0" w:firstRowFirstColumn="0" w:firstRowLastColumn="0" w:lastRowFirstColumn="0" w:lastRowLastColumn="0"/>
            </w:pPr>
            <w:r>
              <w:t>1 140</w:t>
            </w:r>
          </w:p>
        </w:tc>
      </w:tr>
      <w:tr w:rsidR="009C6724" w14:paraId="6F02290E"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58D37FA3" w14:textId="77777777" w:rsidR="00AB205D" w:rsidRDefault="00471A3B">
            <w:r>
              <w:rPr>
                <w:b/>
              </w:rPr>
              <w:t>Total taxes on employers’ payroll and labour force</w:t>
            </w:r>
          </w:p>
        </w:tc>
        <w:tc>
          <w:tcPr>
            <w:tcW w:w="794" w:type="dxa"/>
            <w:tcBorders>
              <w:top w:val="single" w:sz="6" w:space="0" w:color="auto"/>
              <w:bottom w:val="single" w:sz="6" w:space="0" w:color="auto"/>
            </w:tcBorders>
          </w:tcPr>
          <w:p w14:paraId="44D469F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9 732</w:t>
            </w:r>
          </w:p>
        </w:tc>
        <w:tc>
          <w:tcPr>
            <w:tcW w:w="794" w:type="dxa"/>
            <w:tcBorders>
              <w:top w:val="single" w:sz="6" w:space="0" w:color="auto"/>
              <w:bottom w:val="single" w:sz="6" w:space="0" w:color="auto"/>
            </w:tcBorders>
          </w:tcPr>
          <w:p w14:paraId="23F28CE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10 266</w:t>
            </w:r>
          </w:p>
        </w:tc>
        <w:tc>
          <w:tcPr>
            <w:tcW w:w="794" w:type="dxa"/>
            <w:tcBorders>
              <w:top w:val="single" w:sz="6" w:space="0" w:color="auto"/>
              <w:bottom w:val="single" w:sz="6" w:space="0" w:color="auto"/>
            </w:tcBorders>
          </w:tcPr>
          <w:p w14:paraId="2B13BDF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10 868</w:t>
            </w:r>
          </w:p>
        </w:tc>
        <w:tc>
          <w:tcPr>
            <w:tcW w:w="794" w:type="dxa"/>
            <w:tcBorders>
              <w:top w:val="single" w:sz="6" w:space="0" w:color="auto"/>
              <w:bottom w:val="single" w:sz="6" w:space="0" w:color="auto"/>
            </w:tcBorders>
          </w:tcPr>
          <w:p w14:paraId="2F6BEDA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11 283</w:t>
            </w:r>
          </w:p>
        </w:tc>
        <w:tc>
          <w:tcPr>
            <w:tcW w:w="794" w:type="dxa"/>
            <w:tcBorders>
              <w:top w:val="single" w:sz="6" w:space="0" w:color="auto"/>
              <w:bottom w:val="single" w:sz="6" w:space="0" w:color="auto"/>
            </w:tcBorders>
          </w:tcPr>
          <w:p w14:paraId="5A89AEC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11 864</w:t>
            </w:r>
          </w:p>
        </w:tc>
      </w:tr>
      <w:tr w:rsidR="009C6724" w14:paraId="22B6C822"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40EE0375" w14:textId="77777777" w:rsidR="00AB205D" w:rsidRDefault="00471A3B" w:rsidP="00FA005E">
            <w:pPr>
              <w:spacing w:before="120"/>
            </w:pPr>
            <w:r w:rsidRPr="009D6808">
              <w:rPr>
                <w:b/>
                <w:bCs/>
              </w:rPr>
              <w:t>TAXES ON IMMOVABLE PROPERTY</w:t>
            </w:r>
          </w:p>
        </w:tc>
        <w:tc>
          <w:tcPr>
            <w:tcW w:w="794" w:type="dxa"/>
            <w:tcBorders>
              <w:top w:val="single" w:sz="6" w:space="0" w:color="auto"/>
            </w:tcBorders>
          </w:tcPr>
          <w:p w14:paraId="060785A3" w14:textId="77777777" w:rsidR="00AB205D" w:rsidRDefault="00AB205D" w:rsidP="00FA005E">
            <w:pPr>
              <w:spacing w:before="120"/>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699E616E" w14:textId="77777777" w:rsidR="00AB205D" w:rsidRDefault="00AB205D" w:rsidP="00FA005E">
            <w:pPr>
              <w:spacing w:before="120"/>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C0CA108" w14:textId="77777777" w:rsidR="00AB205D" w:rsidRDefault="00AB205D" w:rsidP="00FA005E">
            <w:pPr>
              <w:spacing w:before="120"/>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0B8ABB93" w14:textId="77777777" w:rsidR="00AB205D" w:rsidRDefault="00AB205D" w:rsidP="00FA005E">
            <w:pPr>
              <w:spacing w:before="120"/>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644AC00E" w14:textId="77777777" w:rsidR="00AB205D" w:rsidRDefault="00AB205D" w:rsidP="00FA005E">
            <w:pPr>
              <w:spacing w:before="120"/>
              <w:cnfStyle w:val="000000000000" w:firstRow="0" w:lastRow="0" w:firstColumn="0" w:lastColumn="0" w:oddVBand="0" w:evenVBand="0" w:oddHBand="0" w:evenHBand="0" w:firstRowFirstColumn="0" w:firstRowLastColumn="0" w:lastRowFirstColumn="0" w:lastRowLastColumn="0"/>
            </w:pPr>
          </w:p>
        </w:tc>
      </w:tr>
      <w:tr w:rsidR="009C6724" w14:paraId="5053DA66"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59287B2B" w14:textId="77777777" w:rsidR="00AB205D" w:rsidRDefault="00471A3B">
            <w:r>
              <w:t>Land tax</w:t>
            </w:r>
          </w:p>
        </w:tc>
        <w:tc>
          <w:tcPr>
            <w:tcW w:w="794" w:type="dxa"/>
          </w:tcPr>
          <w:p w14:paraId="010A1105" w14:textId="77777777" w:rsidR="00AB205D" w:rsidRDefault="00471A3B">
            <w:pPr>
              <w:cnfStyle w:val="000000000000" w:firstRow="0" w:lastRow="0" w:firstColumn="0" w:lastColumn="0" w:oddVBand="0" w:evenVBand="0" w:oddHBand="0" w:evenHBand="0" w:firstRowFirstColumn="0" w:firstRowLastColumn="0" w:lastRowFirstColumn="0" w:lastRowLastColumn="0"/>
            </w:pPr>
            <w:r>
              <w:t>6 079</w:t>
            </w:r>
          </w:p>
        </w:tc>
        <w:tc>
          <w:tcPr>
            <w:tcW w:w="794" w:type="dxa"/>
          </w:tcPr>
          <w:p w14:paraId="7A3B8B9C" w14:textId="77777777" w:rsidR="00AB205D" w:rsidRDefault="00471A3B">
            <w:pPr>
              <w:cnfStyle w:val="000000000000" w:firstRow="0" w:lastRow="0" w:firstColumn="0" w:lastColumn="0" w:oddVBand="0" w:evenVBand="0" w:oddHBand="0" w:evenHBand="0" w:firstRowFirstColumn="0" w:firstRowLastColumn="0" w:lastRowFirstColumn="0" w:lastRowLastColumn="0"/>
            </w:pPr>
            <w:r>
              <w:t>6 095</w:t>
            </w:r>
          </w:p>
        </w:tc>
        <w:tc>
          <w:tcPr>
            <w:tcW w:w="794" w:type="dxa"/>
          </w:tcPr>
          <w:p w14:paraId="5967D29D" w14:textId="77777777" w:rsidR="00AB205D" w:rsidRDefault="00471A3B">
            <w:pPr>
              <w:cnfStyle w:val="000000000000" w:firstRow="0" w:lastRow="0" w:firstColumn="0" w:lastColumn="0" w:oddVBand="0" w:evenVBand="0" w:oddHBand="0" w:evenHBand="0" w:firstRowFirstColumn="0" w:firstRowLastColumn="0" w:lastRowFirstColumn="0" w:lastRowLastColumn="0"/>
            </w:pPr>
            <w:r>
              <w:t>6 428</w:t>
            </w:r>
          </w:p>
        </w:tc>
        <w:tc>
          <w:tcPr>
            <w:tcW w:w="794" w:type="dxa"/>
          </w:tcPr>
          <w:p w14:paraId="7F07A879" w14:textId="77777777" w:rsidR="00AB205D" w:rsidRDefault="00471A3B">
            <w:pPr>
              <w:cnfStyle w:val="000000000000" w:firstRow="0" w:lastRow="0" w:firstColumn="0" w:lastColumn="0" w:oddVBand="0" w:evenVBand="0" w:oddHBand="0" w:evenHBand="0" w:firstRowFirstColumn="0" w:firstRowLastColumn="0" w:lastRowFirstColumn="0" w:lastRowLastColumn="0"/>
            </w:pPr>
            <w:r>
              <w:t>6 708</w:t>
            </w:r>
          </w:p>
        </w:tc>
        <w:tc>
          <w:tcPr>
            <w:tcW w:w="794" w:type="dxa"/>
          </w:tcPr>
          <w:p w14:paraId="63D7292F" w14:textId="77777777" w:rsidR="00AB205D" w:rsidRDefault="00471A3B">
            <w:pPr>
              <w:cnfStyle w:val="000000000000" w:firstRow="0" w:lastRow="0" w:firstColumn="0" w:lastColumn="0" w:oddVBand="0" w:evenVBand="0" w:oddHBand="0" w:evenHBand="0" w:firstRowFirstColumn="0" w:firstRowLastColumn="0" w:lastRowFirstColumn="0" w:lastRowLastColumn="0"/>
            </w:pPr>
            <w:r>
              <w:t>7 131</w:t>
            </w:r>
          </w:p>
        </w:tc>
      </w:tr>
      <w:tr w:rsidR="009C6724" w14:paraId="3C978EAF"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BEE4B3B" w14:textId="77777777" w:rsidR="00AB205D" w:rsidRDefault="00471A3B">
            <w:r>
              <w:t>COVID Debt Levy – Landholdings</w:t>
            </w:r>
          </w:p>
        </w:tc>
        <w:tc>
          <w:tcPr>
            <w:tcW w:w="794" w:type="dxa"/>
          </w:tcPr>
          <w:p w14:paraId="3FC8D78C" w14:textId="77777777" w:rsidR="00AB205D" w:rsidRDefault="00471A3B">
            <w:pPr>
              <w:cnfStyle w:val="000000000000" w:firstRow="0" w:lastRow="0" w:firstColumn="0" w:lastColumn="0" w:oddVBand="0" w:evenVBand="0" w:oddHBand="0" w:evenHBand="0" w:firstRowFirstColumn="0" w:firstRowLastColumn="0" w:lastRowFirstColumn="0" w:lastRowLastColumn="0"/>
            </w:pPr>
            <w:r>
              <w:t>1 149</w:t>
            </w:r>
          </w:p>
        </w:tc>
        <w:tc>
          <w:tcPr>
            <w:tcW w:w="794" w:type="dxa"/>
          </w:tcPr>
          <w:p w14:paraId="1701E9C8" w14:textId="77777777" w:rsidR="00AB205D" w:rsidRDefault="00471A3B">
            <w:pPr>
              <w:cnfStyle w:val="000000000000" w:firstRow="0" w:lastRow="0" w:firstColumn="0" w:lastColumn="0" w:oddVBand="0" w:evenVBand="0" w:oddHBand="0" w:evenHBand="0" w:firstRowFirstColumn="0" w:firstRowLastColumn="0" w:lastRowFirstColumn="0" w:lastRowLastColumn="0"/>
            </w:pPr>
            <w:r>
              <w:t>1 357</w:t>
            </w:r>
          </w:p>
        </w:tc>
        <w:tc>
          <w:tcPr>
            <w:tcW w:w="794" w:type="dxa"/>
          </w:tcPr>
          <w:p w14:paraId="3F7261EB" w14:textId="77777777" w:rsidR="00AB205D" w:rsidRDefault="00471A3B">
            <w:pPr>
              <w:cnfStyle w:val="000000000000" w:firstRow="0" w:lastRow="0" w:firstColumn="0" w:lastColumn="0" w:oddVBand="0" w:evenVBand="0" w:oddHBand="0" w:evenHBand="0" w:firstRowFirstColumn="0" w:firstRowLastColumn="0" w:lastRowFirstColumn="0" w:lastRowLastColumn="0"/>
            </w:pPr>
            <w:r>
              <w:t>1 380</w:t>
            </w:r>
          </w:p>
        </w:tc>
        <w:tc>
          <w:tcPr>
            <w:tcW w:w="794" w:type="dxa"/>
          </w:tcPr>
          <w:p w14:paraId="22233A0E" w14:textId="77777777" w:rsidR="00AB205D" w:rsidRDefault="00471A3B">
            <w:pPr>
              <w:cnfStyle w:val="000000000000" w:firstRow="0" w:lastRow="0" w:firstColumn="0" w:lastColumn="0" w:oddVBand="0" w:evenVBand="0" w:oddHBand="0" w:evenHBand="0" w:firstRowFirstColumn="0" w:firstRowLastColumn="0" w:lastRowFirstColumn="0" w:lastRowLastColumn="0"/>
            </w:pPr>
            <w:r>
              <w:t>1 428</w:t>
            </w:r>
          </w:p>
        </w:tc>
        <w:tc>
          <w:tcPr>
            <w:tcW w:w="794" w:type="dxa"/>
          </w:tcPr>
          <w:p w14:paraId="3C770214" w14:textId="77777777" w:rsidR="00AB205D" w:rsidRDefault="00471A3B">
            <w:pPr>
              <w:cnfStyle w:val="000000000000" w:firstRow="0" w:lastRow="0" w:firstColumn="0" w:lastColumn="0" w:oddVBand="0" w:evenVBand="0" w:oddHBand="0" w:evenHBand="0" w:firstRowFirstColumn="0" w:firstRowLastColumn="0" w:lastRowFirstColumn="0" w:lastRowLastColumn="0"/>
            </w:pPr>
            <w:r>
              <w:t>1 488</w:t>
            </w:r>
          </w:p>
        </w:tc>
      </w:tr>
      <w:tr w:rsidR="009C6724" w14:paraId="2CA7B94F"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1D49AC1D" w14:textId="77777777" w:rsidR="00AB205D" w:rsidRDefault="00471A3B">
            <w:r>
              <w:t>Fire Services Property Levy</w:t>
            </w:r>
          </w:p>
        </w:tc>
        <w:tc>
          <w:tcPr>
            <w:tcW w:w="794" w:type="dxa"/>
          </w:tcPr>
          <w:p w14:paraId="2E5C9486" w14:textId="77777777" w:rsidR="00AB205D" w:rsidRDefault="00471A3B">
            <w:pPr>
              <w:cnfStyle w:val="000000000000" w:firstRow="0" w:lastRow="0" w:firstColumn="0" w:lastColumn="0" w:oddVBand="0" w:evenVBand="0" w:oddHBand="0" w:evenHBand="0" w:firstRowFirstColumn="0" w:firstRowLastColumn="0" w:lastRowFirstColumn="0" w:lastRowLastColumn="0"/>
            </w:pPr>
            <w:r>
              <w:t>847</w:t>
            </w:r>
          </w:p>
        </w:tc>
        <w:tc>
          <w:tcPr>
            <w:tcW w:w="794" w:type="dxa"/>
          </w:tcPr>
          <w:p w14:paraId="30BAB72A" w14:textId="77777777" w:rsidR="00AB205D" w:rsidRDefault="00471A3B">
            <w:pPr>
              <w:cnfStyle w:val="000000000000" w:firstRow="0" w:lastRow="0" w:firstColumn="0" w:lastColumn="0" w:oddVBand="0" w:evenVBand="0" w:oddHBand="0" w:evenHBand="0" w:firstRowFirstColumn="0" w:firstRowLastColumn="0" w:lastRowFirstColumn="0" w:lastRowLastColumn="0"/>
            </w:pPr>
            <w:r>
              <w:t>847</w:t>
            </w:r>
          </w:p>
        </w:tc>
        <w:tc>
          <w:tcPr>
            <w:tcW w:w="794" w:type="dxa"/>
          </w:tcPr>
          <w:p w14:paraId="0611A1F9" w14:textId="77777777" w:rsidR="00AB205D" w:rsidRDefault="00471A3B">
            <w:pPr>
              <w:cnfStyle w:val="000000000000" w:firstRow="0" w:lastRow="0" w:firstColumn="0" w:lastColumn="0" w:oddVBand="0" w:evenVBand="0" w:oddHBand="0" w:evenHBand="0" w:firstRowFirstColumn="0" w:firstRowLastColumn="0" w:lastRowFirstColumn="0" w:lastRowLastColumn="0"/>
            </w:pPr>
            <w:r>
              <w:t>915</w:t>
            </w:r>
          </w:p>
        </w:tc>
        <w:tc>
          <w:tcPr>
            <w:tcW w:w="794" w:type="dxa"/>
          </w:tcPr>
          <w:p w14:paraId="6D7F8D85" w14:textId="77777777" w:rsidR="00AB205D" w:rsidRDefault="00471A3B">
            <w:pPr>
              <w:cnfStyle w:val="000000000000" w:firstRow="0" w:lastRow="0" w:firstColumn="0" w:lastColumn="0" w:oddVBand="0" w:evenVBand="0" w:oddHBand="0" w:evenHBand="0" w:firstRowFirstColumn="0" w:firstRowLastColumn="0" w:lastRowFirstColumn="0" w:lastRowLastColumn="0"/>
            </w:pPr>
            <w:r>
              <w:t>895</w:t>
            </w:r>
          </w:p>
        </w:tc>
        <w:tc>
          <w:tcPr>
            <w:tcW w:w="794" w:type="dxa"/>
          </w:tcPr>
          <w:p w14:paraId="51650CC5" w14:textId="77777777" w:rsidR="00AB205D" w:rsidRDefault="00471A3B">
            <w:pPr>
              <w:cnfStyle w:val="000000000000" w:firstRow="0" w:lastRow="0" w:firstColumn="0" w:lastColumn="0" w:oddVBand="0" w:evenVBand="0" w:oddHBand="0" w:evenHBand="0" w:firstRowFirstColumn="0" w:firstRowLastColumn="0" w:lastRowFirstColumn="0" w:lastRowLastColumn="0"/>
            </w:pPr>
            <w:r>
              <w:t>935</w:t>
            </w:r>
          </w:p>
        </w:tc>
      </w:tr>
      <w:tr w:rsidR="009C6724" w14:paraId="6CD0BB16"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97CDA13" w14:textId="77777777" w:rsidR="00AB205D" w:rsidRDefault="00471A3B">
            <w:r>
              <w:t>Congestion levy</w:t>
            </w:r>
          </w:p>
        </w:tc>
        <w:tc>
          <w:tcPr>
            <w:tcW w:w="794" w:type="dxa"/>
          </w:tcPr>
          <w:p w14:paraId="05C6E498" w14:textId="77777777" w:rsidR="00AB205D" w:rsidRDefault="00471A3B">
            <w:pPr>
              <w:cnfStyle w:val="000000000000" w:firstRow="0" w:lastRow="0" w:firstColumn="0" w:lastColumn="0" w:oddVBand="0" w:evenVBand="0" w:oddHBand="0" w:evenHBand="0" w:firstRowFirstColumn="0" w:firstRowLastColumn="0" w:lastRowFirstColumn="0" w:lastRowLastColumn="0"/>
            </w:pPr>
            <w:r>
              <w:t>122</w:t>
            </w:r>
          </w:p>
        </w:tc>
        <w:tc>
          <w:tcPr>
            <w:tcW w:w="794" w:type="dxa"/>
          </w:tcPr>
          <w:p w14:paraId="3A3C5EF4" w14:textId="77777777" w:rsidR="00AB205D" w:rsidRDefault="00471A3B">
            <w:pPr>
              <w:cnfStyle w:val="000000000000" w:firstRow="0" w:lastRow="0" w:firstColumn="0" w:lastColumn="0" w:oddVBand="0" w:evenVBand="0" w:oddHBand="0" w:evenHBand="0" w:firstRowFirstColumn="0" w:firstRowLastColumn="0" w:lastRowFirstColumn="0" w:lastRowLastColumn="0"/>
            </w:pPr>
            <w:r>
              <w:t>112</w:t>
            </w:r>
          </w:p>
        </w:tc>
        <w:tc>
          <w:tcPr>
            <w:tcW w:w="794" w:type="dxa"/>
          </w:tcPr>
          <w:p w14:paraId="39139846" w14:textId="77777777" w:rsidR="00AB205D" w:rsidRDefault="00471A3B">
            <w:pPr>
              <w:cnfStyle w:val="000000000000" w:firstRow="0" w:lastRow="0" w:firstColumn="0" w:lastColumn="0" w:oddVBand="0" w:evenVBand="0" w:oddHBand="0" w:evenHBand="0" w:firstRowFirstColumn="0" w:firstRowLastColumn="0" w:lastRowFirstColumn="0" w:lastRowLastColumn="0"/>
            </w:pPr>
            <w:r>
              <w:t>115</w:t>
            </w:r>
          </w:p>
        </w:tc>
        <w:tc>
          <w:tcPr>
            <w:tcW w:w="794" w:type="dxa"/>
          </w:tcPr>
          <w:p w14:paraId="3FC582E8" w14:textId="77777777" w:rsidR="00AB205D" w:rsidRDefault="00471A3B">
            <w:pPr>
              <w:cnfStyle w:val="000000000000" w:firstRow="0" w:lastRow="0" w:firstColumn="0" w:lastColumn="0" w:oddVBand="0" w:evenVBand="0" w:oddHBand="0" w:evenHBand="0" w:firstRowFirstColumn="0" w:firstRowLastColumn="0" w:lastRowFirstColumn="0" w:lastRowLastColumn="0"/>
            </w:pPr>
            <w:r>
              <w:t>118</w:t>
            </w:r>
          </w:p>
        </w:tc>
        <w:tc>
          <w:tcPr>
            <w:tcW w:w="794" w:type="dxa"/>
          </w:tcPr>
          <w:p w14:paraId="173BD114" w14:textId="77777777" w:rsidR="00AB205D" w:rsidRDefault="00471A3B">
            <w:pPr>
              <w:cnfStyle w:val="000000000000" w:firstRow="0" w:lastRow="0" w:firstColumn="0" w:lastColumn="0" w:oddVBand="0" w:evenVBand="0" w:oddHBand="0" w:evenHBand="0" w:firstRowFirstColumn="0" w:firstRowLastColumn="0" w:lastRowFirstColumn="0" w:lastRowLastColumn="0"/>
            </w:pPr>
            <w:r>
              <w:t>121</w:t>
            </w:r>
          </w:p>
        </w:tc>
      </w:tr>
      <w:tr w:rsidR="009C6724" w14:paraId="4318B9D5"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1EA63E7E" w14:textId="77777777" w:rsidR="00AB205D" w:rsidRDefault="00471A3B">
            <w:r>
              <w:t>Metropolitan improvement levy</w:t>
            </w:r>
          </w:p>
        </w:tc>
        <w:tc>
          <w:tcPr>
            <w:tcW w:w="794" w:type="dxa"/>
          </w:tcPr>
          <w:p w14:paraId="6AB83938" w14:textId="77777777" w:rsidR="00AB205D" w:rsidRDefault="00471A3B">
            <w:pPr>
              <w:cnfStyle w:val="000000000000" w:firstRow="0" w:lastRow="0" w:firstColumn="0" w:lastColumn="0" w:oddVBand="0" w:evenVBand="0" w:oddHBand="0" w:evenHBand="0" w:firstRowFirstColumn="0" w:firstRowLastColumn="0" w:lastRowFirstColumn="0" w:lastRowLastColumn="0"/>
            </w:pPr>
            <w:r>
              <w:t>208</w:t>
            </w:r>
          </w:p>
        </w:tc>
        <w:tc>
          <w:tcPr>
            <w:tcW w:w="794" w:type="dxa"/>
          </w:tcPr>
          <w:p w14:paraId="38780431" w14:textId="77777777" w:rsidR="00AB205D" w:rsidRDefault="00471A3B">
            <w:pPr>
              <w:cnfStyle w:val="000000000000" w:firstRow="0" w:lastRow="0" w:firstColumn="0" w:lastColumn="0" w:oddVBand="0" w:evenVBand="0" w:oddHBand="0" w:evenHBand="0" w:firstRowFirstColumn="0" w:firstRowLastColumn="0" w:lastRowFirstColumn="0" w:lastRowLastColumn="0"/>
            </w:pPr>
            <w:r>
              <w:t>208</w:t>
            </w:r>
          </w:p>
        </w:tc>
        <w:tc>
          <w:tcPr>
            <w:tcW w:w="794" w:type="dxa"/>
          </w:tcPr>
          <w:p w14:paraId="6F45A663" w14:textId="77777777" w:rsidR="00AB205D" w:rsidRDefault="00471A3B">
            <w:pPr>
              <w:cnfStyle w:val="000000000000" w:firstRow="0" w:lastRow="0" w:firstColumn="0" w:lastColumn="0" w:oddVBand="0" w:evenVBand="0" w:oddHBand="0" w:evenHBand="0" w:firstRowFirstColumn="0" w:firstRowLastColumn="0" w:lastRowFirstColumn="0" w:lastRowLastColumn="0"/>
            </w:pPr>
            <w:r>
              <w:t>214</w:t>
            </w:r>
          </w:p>
        </w:tc>
        <w:tc>
          <w:tcPr>
            <w:tcW w:w="794" w:type="dxa"/>
          </w:tcPr>
          <w:p w14:paraId="5E0D14F5" w14:textId="77777777" w:rsidR="00AB205D" w:rsidRDefault="00471A3B">
            <w:pPr>
              <w:cnfStyle w:val="000000000000" w:firstRow="0" w:lastRow="0" w:firstColumn="0" w:lastColumn="0" w:oddVBand="0" w:evenVBand="0" w:oddHBand="0" w:evenHBand="0" w:firstRowFirstColumn="0" w:firstRowLastColumn="0" w:lastRowFirstColumn="0" w:lastRowLastColumn="0"/>
            </w:pPr>
            <w:r>
              <w:t>221</w:t>
            </w:r>
          </w:p>
        </w:tc>
        <w:tc>
          <w:tcPr>
            <w:tcW w:w="794" w:type="dxa"/>
          </w:tcPr>
          <w:p w14:paraId="36E9D18C" w14:textId="77777777" w:rsidR="00AB205D" w:rsidRDefault="00471A3B">
            <w:pPr>
              <w:cnfStyle w:val="000000000000" w:firstRow="0" w:lastRow="0" w:firstColumn="0" w:lastColumn="0" w:oddVBand="0" w:evenVBand="0" w:oddHBand="0" w:evenHBand="0" w:firstRowFirstColumn="0" w:firstRowLastColumn="0" w:lastRowFirstColumn="0" w:lastRowLastColumn="0"/>
            </w:pPr>
            <w:r>
              <w:t>221</w:t>
            </w:r>
          </w:p>
        </w:tc>
      </w:tr>
      <w:tr w:rsidR="009C6724" w14:paraId="39D34109"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269DEF48" w14:textId="77777777" w:rsidR="00AB205D" w:rsidRDefault="00471A3B">
            <w:r>
              <w:t>Windfall gains tax</w:t>
            </w:r>
          </w:p>
        </w:tc>
        <w:tc>
          <w:tcPr>
            <w:tcW w:w="794" w:type="dxa"/>
            <w:tcBorders>
              <w:bottom w:val="single" w:sz="6" w:space="0" w:color="auto"/>
            </w:tcBorders>
          </w:tcPr>
          <w:p w14:paraId="13F15AE6" w14:textId="77777777" w:rsidR="00AB205D" w:rsidRDefault="00471A3B">
            <w:pPr>
              <w:cnfStyle w:val="000000000000" w:firstRow="0" w:lastRow="0" w:firstColumn="0" w:lastColumn="0" w:oddVBand="0" w:evenVBand="0" w:oddHBand="0" w:evenHBand="0" w:firstRowFirstColumn="0" w:firstRowLastColumn="0" w:lastRowFirstColumn="0" w:lastRowLastColumn="0"/>
            </w:pPr>
            <w:r>
              <w:t>40</w:t>
            </w:r>
          </w:p>
        </w:tc>
        <w:tc>
          <w:tcPr>
            <w:tcW w:w="794" w:type="dxa"/>
            <w:tcBorders>
              <w:bottom w:val="single" w:sz="6" w:space="0" w:color="auto"/>
            </w:tcBorders>
          </w:tcPr>
          <w:p w14:paraId="2D38F6CF" w14:textId="77777777" w:rsidR="00AB205D" w:rsidRDefault="00471A3B">
            <w:pPr>
              <w:cnfStyle w:val="000000000000" w:firstRow="0" w:lastRow="0" w:firstColumn="0" w:lastColumn="0" w:oddVBand="0" w:evenVBand="0" w:oddHBand="0" w:evenHBand="0" w:firstRowFirstColumn="0" w:firstRowLastColumn="0" w:lastRowFirstColumn="0" w:lastRowLastColumn="0"/>
            </w:pPr>
            <w:r>
              <w:t>44</w:t>
            </w:r>
          </w:p>
        </w:tc>
        <w:tc>
          <w:tcPr>
            <w:tcW w:w="794" w:type="dxa"/>
            <w:tcBorders>
              <w:bottom w:val="single" w:sz="6" w:space="0" w:color="auto"/>
            </w:tcBorders>
          </w:tcPr>
          <w:p w14:paraId="7D612116" w14:textId="77777777" w:rsidR="00AB205D" w:rsidRDefault="00471A3B">
            <w:pPr>
              <w:cnfStyle w:val="000000000000" w:firstRow="0" w:lastRow="0" w:firstColumn="0" w:lastColumn="0" w:oddVBand="0" w:evenVBand="0" w:oddHBand="0" w:evenHBand="0" w:firstRowFirstColumn="0" w:firstRowLastColumn="0" w:lastRowFirstColumn="0" w:lastRowLastColumn="0"/>
            </w:pPr>
            <w:r>
              <w:t>65</w:t>
            </w:r>
          </w:p>
        </w:tc>
        <w:tc>
          <w:tcPr>
            <w:tcW w:w="794" w:type="dxa"/>
            <w:tcBorders>
              <w:bottom w:val="single" w:sz="6" w:space="0" w:color="auto"/>
            </w:tcBorders>
          </w:tcPr>
          <w:p w14:paraId="123F4A8C" w14:textId="77777777" w:rsidR="00AB205D" w:rsidRDefault="00471A3B">
            <w:pPr>
              <w:cnfStyle w:val="000000000000" w:firstRow="0" w:lastRow="0" w:firstColumn="0" w:lastColumn="0" w:oddVBand="0" w:evenVBand="0" w:oddHBand="0" w:evenHBand="0" w:firstRowFirstColumn="0" w:firstRowLastColumn="0" w:lastRowFirstColumn="0" w:lastRowLastColumn="0"/>
            </w:pPr>
            <w:r>
              <w:t>92</w:t>
            </w:r>
          </w:p>
        </w:tc>
        <w:tc>
          <w:tcPr>
            <w:tcW w:w="794" w:type="dxa"/>
            <w:tcBorders>
              <w:bottom w:val="single" w:sz="6" w:space="0" w:color="auto"/>
            </w:tcBorders>
          </w:tcPr>
          <w:p w14:paraId="211B9296" w14:textId="77777777" w:rsidR="00AB205D" w:rsidRDefault="00471A3B">
            <w:pPr>
              <w:cnfStyle w:val="000000000000" w:firstRow="0" w:lastRow="0" w:firstColumn="0" w:lastColumn="0" w:oddVBand="0" w:evenVBand="0" w:oddHBand="0" w:evenHBand="0" w:firstRowFirstColumn="0" w:firstRowLastColumn="0" w:lastRowFirstColumn="0" w:lastRowLastColumn="0"/>
            </w:pPr>
            <w:r>
              <w:t>106</w:t>
            </w:r>
          </w:p>
        </w:tc>
      </w:tr>
      <w:tr w:rsidR="009C6724" w14:paraId="0233B730"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7872C71D" w14:textId="77777777" w:rsidR="00AB205D" w:rsidRDefault="00471A3B">
            <w:r>
              <w:rPr>
                <w:b/>
              </w:rPr>
              <w:t>Total taxes on immovable property</w:t>
            </w:r>
          </w:p>
        </w:tc>
        <w:tc>
          <w:tcPr>
            <w:tcW w:w="794" w:type="dxa"/>
            <w:tcBorders>
              <w:top w:val="single" w:sz="6" w:space="0" w:color="auto"/>
              <w:bottom w:val="single" w:sz="6" w:space="0" w:color="auto"/>
            </w:tcBorders>
          </w:tcPr>
          <w:p w14:paraId="664DA35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8 445</w:t>
            </w:r>
          </w:p>
        </w:tc>
        <w:tc>
          <w:tcPr>
            <w:tcW w:w="794" w:type="dxa"/>
            <w:tcBorders>
              <w:top w:val="single" w:sz="6" w:space="0" w:color="auto"/>
              <w:bottom w:val="single" w:sz="6" w:space="0" w:color="auto"/>
            </w:tcBorders>
          </w:tcPr>
          <w:p w14:paraId="4B80FC2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8 663</w:t>
            </w:r>
          </w:p>
        </w:tc>
        <w:tc>
          <w:tcPr>
            <w:tcW w:w="794" w:type="dxa"/>
            <w:tcBorders>
              <w:top w:val="single" w:sz="6" w:space="0" w:color="auto"/>
              <w:bottom w:val="single" w:sz="6" w:space="0" w:color="auto"/>
            </w:tcBorders>
          </w:tcPr>
          <w:p w14:paraId="2E55538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9 117</w:t>
            </w:r>
          </w:p>
        </w:tc>
        <w:tc>
          <w:tcPr>
            <w:tcW w:w="794" w:type="dxa"/>
            <w:tcBorders>
              <w:top w:val="single" w:sz="6" w:space="0" w:color="auto"/>
              <w:bottom w:val="single" w:sz="6" w:space="0" w:color="auto"/>
            </w:tcBorders>
          </w:tcPr>
          <w:p w14:paraId="1A73591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9 462</w:t>
            </w:r>
          </w:p>
        </w:tc>
        <w:tc>
          <w:tcPr>
            <w:tcW w:w="794" w:type="dxa"/>
            <w:tcBorders>
              <w:top w:val="single" w:sz="6" w:space="0" w:color="auto"/>
              <w:bottom w:val="single" w:sz="6" w:space="0" w:color="auto"/>
            </w:tcBorders>
          </w:tcPr>
          <w:p w14:paraId="562C728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10 002</w:t>
            </w:r>
          </w:p>
        </w:tc>
      </w:tr>
      <w:tr w:rsidR="009C6724" w14:paraId="56310E9B" w14:textId="77777777" w:rsidTr="009C6724">
        <w:tc>
          <w:tcPr>
            <w:cnfStyle w:val="001000000000" w:firstRow="0" w:lastRow="0" w:firstColumn="1" w:lastColumn="0" w:oddVBand="0" w:evenVBand="0" w:oddHBand="0" w:evenHBand="0" w:firstRowFirstColumn="0" w:firstRowLastColumn="0" w:lastRowFirstColumn="0" w:lastRowLastColumn="0"/>
            <w:tcW w:w="7710" w:type="dxa"/>
            <w:gridSpan w:val="6"/>
            <w:tcBorders>
              <w:top w:val="single" w:sz="6" w:space="0" w:color="auto"/>
            </w:tcBorders>
          </w:tcPr>
          <w:p w14:paraId="15075ABF" w14:textId="77777777" w:rsidR="00AB205D" w:rsidRDefault="00471A3B" w:rsidP="00FA005E">
            <w:pPr>
              <w:spacing w:before="120"/>
            </w:pPr>
            <w:r>
              <w:rPr>
                <w:b/>
              </w:rPr>
              <w:t>TAXES ON THE PROVISION OF GOODS AND SERVICES</w:t>
            </w:r>
          </w:p>
        </w:tc>
      </w:tr>
      <w:tr w:rsidR="009C6724" w14:paraId="17CE05F6"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30A2A26" w14:textId="77777777" w:rsidR="00AB205D" w:rsidRDefault="00471A3B">
            <w:r>
              <w:rPr>
                <w:b/>
              </w:rPr>
              <w:t>Gambling taxes</w:t>
            </w:r>
            <w:r>
              <w:rPr>
                <w:b/>
                <w:vertAlign w:val="superscript"/>
              </w:rPr>
              <w:t xml:space="preserve"> (a)</w:t>
            </w:r>
          </w:p>
        </w:tc>
        <w:tc>
          <w:tcPr>
            <w:tcW w:w="794" w:type="dxa"/>
          </w:tcPr>
          <w:p w14:paraId="27FFC57A"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1A47B2B6"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4B9FBE58"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4A5601B9"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608CE22F"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5E41CB72"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55C75C86" w14:textId="77777777" w:rsidR="00AB205D" w:rsidRDefault="00471A3B">
            <w:r>
              <w:t>Public lotteries</w:t>
            </w:r>
          </w:p>
        </w:tc>
        <w:tc>
          <w:tcPr>
            <w:tcW w:w="794" w:type="dxa"/>
          </w:tcPr>
          <w:p w14:paraId="5C355652" w14:textId="77777777" w:rsidR="00AB205D" w:rsidRDefault="00471A3B">
            <w:pPr>
              <w:cnfStyle w:val="000000000000" w:firstRow="0" w:lastRow="0" w:firstColumn="0" w:lastColumn="0" w:oddVBand="0" w:evenVBand="0" w:oddHBand="0" w:evenHBand="0" w:firstRowFirstColumn="0" w:firstRowLastColumn="0" w:lastRowFirstColumn="0" w:lastRowLastColumn="0"/>
            </w:pPr>
            <w:r>
              <w:t>674</w:t>
            </w:r>
          </w:p>
        </w:tc>
        <w:tc>
          <w:tcPr>
            <w:tcW w:w="794" w:type="dxa"/>
          </w:tcPr>
          <w:p w14:paraId="053D793C" w14:textId="77777777" w:rsidR="00AB205D" w:rsidRDefault="00471A3B">
            <w:pPr>
              <w:cnfStyle w:val="000000000000" w:firstRow="0" w:lastRow="0" w:firstColumn="0" w:lastColumn="0" w:oddVBand="0" w:evenVBand="0" w:oddHBand="0" w:evenHBand="0" w:firstRowFirstColumn="0" w:firstRowLastColumn="0" w:lastRowFirstColumn="0" w:lastRowLastColumn="0"/>
            </w:pPr>
            <w:r>
              <w:t>675</w:t>
            </w:r>
          </w:p>
        </w:tc>
        <w:tc>
          <w:tcPr>
            <w:tcW w:w="794" w:type="dxa"/>
          </w:tcPr>
          <w:p w14:paraId="2260A66D" w14:textId="77777777" w:rsidR="00AB205D" w:rsidRDefault="00471A3B">
            <w:pPr>
              <w:cnfStyle w:val="000000000000" w:firstRow="0" w:lastRow="0" w:firstColumn="0" w:lastColumn="0" w:oddVBand="0" w:evenVBand="0" w:oddHBand="0" w:evenHBand="0" w:firstRowFirstColumn="0" w:firstRowLastColumn="0" w:lastRowFirstColumn="0" w:lastRowLastColumn="0"/>
            </w:pPr>
            <w:r>
              <w:t>692</w:t>
            </w:r>
          </w:p>
        </w:tc>
        <w:tc>
          <w:tcPr>
            <w:tcW w:w="794" w:type="dxa"/>
          </w:tcPr>
          <w:p w14:paraId="70DD5CD7" w14:textId="77777777" w:rsidR="00AB205D" w:rsidRDefault="00471A3B">
            <w:pPr>
              <w:cnfStyle w:val="000000000000" w:firstRow="0" w:lastRow="0" w:firstColumn="0" w:lastColumn="0" w:oddVBand="0" w:evenVBand="0" w:oddHBand="0" w:evenHBand="0" w:firstRowFirstColumn="0" w:firstRowLastColumn="0" w:lastRowFirstColumn="0" w:lastRowLastColumn="0"/>
            </w:pPr>
            <w:r>
              <w:t>714</w:t>
            </w:r>
          </w:p>
        </w:tc>
        <w:tc>
          <w:tcPr>
            <w:tcW w:w="794" w:type="dxa"/>
          </w:tcPr>
          <w:p w14:paraId="773F9B9D" w14:textId="77777777" w:rsidR="00AB205D" w:rsidRDefault="00471A3B">
            <w:pPr>
              <w:cnfStyle w:val="000000000000" w:firstRow="0" w:lastRow="0" w:firstColumn="0" w:lastColumn="0" w:oddVBand="0" w:evenVBand="0" w:oddHBand="0" w:evenHBand="0" w:firstRowFirstColumn="0" w:firstRowLastColumn="0" w:lastRowFirstColumn="0" w:lastRowLastColumn="0"/>
            </w:pPr>
            <w:r>
              <w:t>737</w:t>
            </w:r>
          </w:p>
        </w:tc>
      </w:tr>
      <w:tr w:rsidR="009C6724" w14:paraId="0F835ED8"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1D26C688" w14:textId="77777777" w:rsidR="00AB205D" w:rsidRDefault="00471A3B">
            <w:r>
              <w:t>Electronic gaming machines</w:t>
            </w:r>
          </w:p>
        </w:tc>
        <w:tc>
          <w:tcPr>
            <w:tcW w:w="794" w:type="dxa"/>
          </w:tcPr>
          <w:p w14:paraId="739B1B61" w14:textId="77777777" w:rsidR="00AB205D" w:rsidRDefault="00471A3B">
            <w:pPr>
              <w:cnfStyle w:val="000000000000" w:firstRow="0" w:lastRow="0" w:firstColumn="0" w:lastColumn="0" w:oddVBand="0" w:evenVBand="0" w:oddHBand="0" w:evenHBand="0" w:firstRowFirstColumn="0" w:firstRowLastColumn="0" w:lastRowFirstColumn="0" w:lastRowLastColumn="0"/>
            </w:pPr>
            <w:r>
              <w:t>1 382</w:t>
            </w:r>
          </w:p>
        </w:tc>
        <w:tc>
          <w:tcPr>
            <w:tcW w:w="794" w:type="dxa"/>
          </w:tcPr>
          <w:p w14:paraId="20765F7C" w14:textId="77777777" w:rsidR="00AB205D" w:rsidRDefault="00471A3B">
            <w:pPr>
              <w:cnfStyle w:val="000000000000" w:firstRow="0" w:lastRow="0" w:firstColumn="0" w:lastColumn="0" w:oddVBand="0" w:evenVBand="0" w:oddHBand="0" w:evenHBand="0" w:firstRowFirstColumn="0" w:firstRowLastColumn="0" w:lastRowFirstColumn="0" w:lastRowLastColumn="0"/>
            </w:pPr>
            <w:r>
              <w:t>1 359</w:t>
            </w:r>
          </w:p>
        </w:tc>
        <w:tc>
          <w:tcPr>
            <w:tcW w:w="794" w:type="dxa"/>
          </w:tcPr>
          <w:p w14:paraId="7839ECA3" w14:textId="77777777" w:rsidR="00AB205D" w:rsidRDefault="00471A3B">
            <w:pPr>
              <w:cnfStyle w:val="000000000000" w:firstRow="0" w:lastRow="0" w:firstColumn="0" w:lastColumn="0" w:oddVBand="0" w:evenVBand="0" w:oddHBand="0" w:evenHBand="0" w:firstRowFirstColumn="0" w:firstRowLastColumn="0" w:lastRowFirstColumn="0" w:lastRowLastColumn="0"/>
            </w:pPr>
            <w:r>
              <w:t>1 389</w:t>
            </w:r>
          </w:p>
        </w:tc>
        <w:tc>
          <w:tcPr>
            <w:tcW w:w="794" w:type="dxa"/>
          </w:tcPr>
          <w:p w14:paraId="61382C30" w14:textId="77777777" w:rsidR="00AB205D" w:rsidRDefault="00471A3B">
            <w:pPr>
              <w:cnfStyle w:val="000000000000" w:firstRow="0" w:lastRow="0" w:firstColumn="0" w:lastColumn="0" w:oddVBand="0" w:evenVBand="0" w:oddHBand="0" w:evenHBand="0" w:firstRowFirstColumn="0" w:firstRowLastColumn="0" w:lastRowFirstColumn="0" w:lastRowLastColumn="0"/>
            </w:pPr>
            <w:r>
              <w:t>1 273</w:t>
            </w:r>
          </w:p>
        </w:tc>
        <w:tc>
          <w:tcPr>
            <w:tcW w:w="794" w:type="dxa"/>
          </w:tcPr>
          <w:p w14:paraId="43041AC2" w14:textId="77777777" w:rsidR="00AB205D" w:rsidRDefault="00471A3B">
            <w:pPr>
              <w:cnfStyle w:val="000000000000" w:firstRow="0" w:lastRow="0" w:firstColumn="0" w:lastColumn="0" w:oddVBand="0" w:evenVBand="0" w:oddHBand="0" w:evenHBand="0" w:firstRowFirstColumn="0" w:firstRowLastColumn="0" w:lastRowFirstColumn="0" w:lastRowLastColumn="0"/>
            </w:pPr>
            <w:r>
              <w:t>1 154</w:t>
            </w:r>
          </w:p>
        </w:tc>
      </w:tr>
      <w:tr w:rsidR="009C6724" w14:paraId="5C0BF3B7"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DDA3A31" w14:textId="77777777" w:rsidR="00AB205D" w:rsidRDefault="00471A3B">
            <w:r>
              <w:t>Casino</w:t>
            </w:r>
          </w:p>
        </w:tc>
        <w:tc>
          <w:tcPr>
            <w:tcW w:w="794" w:type="dxa"/>
          </w:tcPr>
          <w:p w14:paraId="77F74CB4" w14:textId="77777777" w:rsidR="00AB205D" w:rsidRDefault="00471A3B">
            <w:pPr>
              <w:cnfStyle w:val="000000000000" w:firstRow="0" w:lastRow="0" w:firstColumn="0" w:lastColumn="0" w:oddVBand="0" w:evenVBand="0" w:oddHBand="0" w:evenHBand="0" w:firstRowFirstColumn="0" w:firstRowLastColumn="0" w:lastRowFirstColumn="0" w:lastRowLastColumn="0"/>
            </w:pPr>
            <w:r>
              <w:t>207</w:t>
            </w:r>
          </w:p>
        </w:tc>
        <w:tc>
          <w:tcPr>
            <w:tcW w:w="794" w:type="dxa"/>
          </w:tcPr>
          <w:p w14:paraId="65468C99" w14:textId="77777777" w:rsidR="00AB205D" w:rsidRDefault="00471A3B">
            <w:pPr>
              <w:cnfStyle w:val="000000000000" w:firstRow="0" w:lastRow="0" w:firstColumn="0" w:lastColumn="0" w:oddVBand="0" w:evenVBand="0" w:oddHBand="0" w:evenHBand="0" w:firstRowFirstColumn="0" w:firstRowLastColumn="0" w:lastRowFirstColumn="0" w:lastRowLastColumn="0"/>
            </w:pPr>
            <w:r>
              <w:t>195</w:t>
            </w:r>
          </w:p>
        </w:tc>
        <w:tc>
          <w:tcPr>
            <w:tcW w:w="794" w:type="dxa"/>
          </w:tcPr>
          <w:p w14:paraId="5E8CC97C" w14:textId="77777777" w:rsidR="00AB205D" w:rsidRDefault="00471A3B">
            <w:pPr>
              <w:cnfStyle w:val="000000000000" w:firstRow="0" w:lastRow="0" w:firstColumn="0" w:lastColumn="0" w:oddVBand="0" w:evenVBand="0" w:oddHBand="0" w:evenHBand="0" w:firstRowFirstColumn="0" w:firstRowLastColumn="0" w:lastRowFirstColumn="0" w:lastRowLastColumn="0"/>
            </w:pPr>
            <w:r>
              <w:t>199</w:t>
            </w:r>
          </w:p>
        </w:tc>
        <w:tc>
          <w:tcPr>
            <w:tcW w:w="794" w:type="dxa"/>
          </w:tcPr>
          <w:p w14:paraId="5A1A7635" w14:textId="77777777" w:rsidR="00AB205D" w:rsidRDefault="00471A3B">
            <w:pPr>
              <w:cnfStyle w:val="000000000000" w:firstRow="0" w:lastRow="0" w:firstColumn="0" w:lastColumn="0" w:oddVBand="0" w:evenVBand="0" w:oddHBand="0" w:evenHBand="0" w:firstRowFirstColumn="0" w:firstRowLastColumn="0" w:lastRowFirstColumn="0" w:lastRowLastColumn="0"/>
            </w:pPr>
            <w:r>
              <w:t>205</w:t>
            </w:r>
          </w:p>
        </w:tc>
        <w:tc>
          <w:tcPr>
            <w:tcW w:w="794" w:type="dxa"/>
          </w:tcPr>
          <w:p w14:paraId="4435B921" w14:textId="77777777" w:rsidR="00AB205D" w:rsidRDefault="00471A3B">
            <w:pPr>
              <w:cnfStyle w:val="000000000000" w:firstRow="0" w:lastRow="0" w:firstColumn="0" w:lastColumn="0" w:oddVBand="0" w:evenVBand="0" w:oddHBand="0" w:evenHBand="0" w:firstRowFirstColumn="0" w:firstRowLastColumn="0" w:lastRowFirstColumn="0" w:lastRowLastColumn="0"/>
            </w:pPr>
            <w:r>
              <w:t>209</w:t>
            </w:r>
          </w:p>
        </w:tc>
      </w:tr>
      <w:tr w:rsidR="009C6724" w14:paraId="29795520"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51918D52" w14:textId="77777777" w:rsidR="00AB205D" w:rsidRDefault="00471A3B">
            <w:r>
              <w:t>Racing and other sports betting</w:t>
            </w:r>
          </w:p>
        </w:tc>
        <w:tc>
          <w:tcPr>
            <w:tcW w:w="794" w:type="dxa"/>
          </w:tcPr>
          <w:p w14:paraId="57E75476" w14:textId="77777777" w:rsidR="00AB205D" w:rsidRDefault="00471A3B">
            <w:pPr>
              <w:cnfStyle w:val="000000000000" w:firstRow="0" w:lastRow="0" w:firstColumn="0" w:lastColumn="0" w:oddVBand="0" w:evenVBand="0" w:oddHBand="0" w:evenHBand="0" w:firstRowFirstColumn="0" w:firstRowLastColumn="0" w:lastRowFirstColumn="0" w:lastRowLastColumn="0"/>
            </w:pPr>
            <w:r>
              <w:t>303</w:t>
            </w:r>
          </w:p>
        </w:tc>
        <w:tc>
          <w:tcPr>
            <w:tcW w:w="794" w:type="dxa"/>
          </w:tcPr>
          <w:p w14:paraId="60A00C41" w14:textId="77777777" w:rsidR="00AB205D" w:rsidRDefault="00471A3B">
            <w:pPr>
              <w:cnfStyle w:val="000000000000" w:firstRow="0" w:lastRow="0" w:firstColumn="0" w:lastColumn="0" w:oddVBand="0" w:evenVBand="0" w:oddHBand="0" w:evenHBand="0" w:firstRowFirstColumn="0" w:firstRowLastColumn="0" w:lastRowFirstColumn="0" w:lastRowLastColumn="0"/>
            </w:pPr>
            <w:r>
              <w:t>303</w:t>
            </w:r>
          </w:p>
        </w:tc>
        <w:tc>
          <w:tcPr>
            <w:tcW w:w="794" w:type="dxa"/>
          </w:tcPr>
          <w:p w14:paraId="77030E33" w14:textId="77777777" w:rsidR="00AB205D" w:rsidRDefault="00471A3B">
            <w:pPr>
              <w:cnfStyle w:val="000000000000" w:firstRow="0" w:lastRow="0" w:firstColumn="0" w:lastColumn="0" w:oddVBand="0" w:evenVBand="0" w:oddHBand="0" w:evenHBand="0" w:firstRowFirstColumn="0" w:firstRowLastColumn="0" w:lastRowFirstColumn="0" w:lastRowLastColumn="0"/>
            </w:pPr>
            <w:r>
              <w:t>462</w:t>
            </w:r>
          </w:p>
        </w:tc>
        <w:tc>
          <w:tcPr>
            <w:tcW w:w="794" w:type="dxa"/>
          </w:tcPr>
          <w:p w14:paraId="4B44ACA5" w14:textId="77777777" w:rsidR="00AB205D" w:rsidRDefault="00471A3B">
            <w:pPr>
              <w:cnfStyle w:val="000000000000" w:firstRow="0" w:lastRow="0" w:firstColumn="0" w:lastColumn="0" w:oddVBand="0" w:evenVBand="0" w:oddHBand="0" w:evenHBand="0" w:firstRowFirstColumn="0" w:firstRowLastColumn="0" w:lastRowFirstColumn="0" w:lastRowLastColumn="0"/>
            </w:pPr>
            <w:r>
              <w:t>479</w:t>
            </w:r>
          </w:p>
        </w:tc>
        <w:tc>
          <w:tcPr>
            <w:tcW w:w="794" w:type="dxa"/>
          </w:tcPr>
          <w:p w14:paraId="24A001FF" w14:textId="77777777" w:rsidR="00AB205D" w:rsidRDefault="00471A3B">
            <w:pPr>
              <w:cnfStyle w:val="000000000000" w:firstRow="0" w:lastRow="0" w:firstColumn="0" w:lastColumn="0" w:oddVBand="0" w:evenVBand="0" w:oddHBand="0" w:evenHBand="0" w:firstRowFirstColumn="0" w:firstRowLastColumn="0" w:lastRowFirstColumn="0" w:lastRowLastColumn="0"/>
            </w:pPr>
            <w:r>
              <w:t>497</w:t>
            </w:r>
          </w:p>
        </w:tc>
      </w:tr>
      <w:tr w:rsidR="009C6724" w14:paraId="35C84668"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EC37D06" w14:textId="77777777" w:rsidR="00AB205D" w:rsidRDefault="00471A3B">
            <w:r>
              <w:t>Other</w:t>
            </w:r>
          </w:p>
        </w:tc>
        <w:tc>
          <w:tcPr>
            <w:tcW w:w="794" w:type="dxa"/>
          </w:tcPr>
          <w:p w14:paraId="1CA02533" w14:textId="77777777" w:rsidR="00AB205D" w:rsidRDefault="00471A3B">
            <w:pPr>
              <w:cnfStyle w:val="000000000000" w:firstRow="0" w:lastRow="0" w:firstColumn="0" w:lastColumn="0" w:oddVBand="0" w:evenVBand="0" w:oddHBand="0" w:evenHBand="0" w:firstRowFirstColumn="0" w:firstRowLastColumn="0" w:lastRowFirstColumn="0" w:lastRowLastColumn="0"/>
            </w:pPr>
            <w:r>
              <w:t>18</w:t>
            </w:r>
          </w:p>
        </w:tc>
        <w:tc>
          <w:tcPr>
            <w:tcW w:w="794" w:type="dxa"/>
          </w:tcPr>
          <w:p w14:paraId="46BFDD15" w14:textId="77777777" w:rsidR="00AB205D" w:rsidRDefault="00471A3B">
            <w:pPr>
              <w:cnfStyle w:val="000000000000" w:firstRow="0" w:lastRow="0" w:firstColumn="0" w:lastColumn="0" w:oddVBand="0" w:evenVBand="0" w:oddHBand="0" w:evenHBand="0" w:firstRowFirstColumn="0" w:firstRowLastColumn="0" w:lastRowFirstColumn="0" w:lastRowLastColumn="0"/>
            </w:pPr>
            <w:r>
              <w:t>18</w:t>
            </w:r>
          </w:p>
        </w:tc>
        <w:tc>
          <w:tcPr>
            <w:tcW w:w="794" w:type="dxa"/>
          </w:tcPr>
          <w:p w14:paraId="49915A60" w14:textId="77777777" w:rsidR="00AB205D" w:rsidRDefault="00471A3B">
            <w:pPr>
              <w:cnfStyle w:val="000000000000" w:firstRow="0" w:lastRow="0" w:firstColumn="0" w:lastColumn="0" w:oddVBand="0" w:evenVBand="0" w:oddHBand="0" w:evenHBand="0" w:firstRowFirstColumn="0" w:firstRowLastColumn="0" w:lastRowFirstColumn="0" w:lastRowLastColumn="0"/>
            </w:pPr>
            <w:r>
              <w:t>18</w:t>
            </w:r>
          </w:p>
        </w:tc>
        <w:tc>
          <w:tcPr>
            <w:tcW w:w="794" w:type="dxa"/>
          </w:tcPr>
          <w:p w14:paraId="6844F65B" w14:textId="77777777" w:rsidR="00AB205D" w:rsidRDefault="00471A3B">
            <w:pPr>
              <w:cnfStyle w:val="000000000000" w:firstRow="0" w:lastRow="0" w:firstColumn="0" w:lastColumn="0" w:oddVBand="0" w:evenVBand="0" w:oddHBand="0" w:evenHBand="0" w:firstRowFirstColumn="0" w:firstRowLastColumn="0" w:lastRowFirstColumn="0" w:lastRowLastColumn="0"/>
            </w:pPr>
            <w:r>
              <w:t>19</w:t>
            </w:r>
          </w:p>
        </w:tc>
        <w:tc>
          <w:tcPr>
            <w:tcW w:w="794" w:type="dxa"/>
          </w:tcPr>
          <w:p w14:paraId="38ABE6F6" w14:textId="77777777" w:rsidR="00AB205D" w:rsidRDefault="00471A3B">
            <w:pPr>
              <w:cnfStyle w:val="000000000000" w:firstRow="0" w:lastRow="0" w:firstColumn="0" w:lastColumn="0" w:oddVBand="0" w:evenVBand="0" w:oddHBand="0" w:evenHBand="0" w:firstRowFirstColumn="0" w:firstRowLastColumn="0" w:lastRowFirstColumn="0" w:lastRowLastColumn="0"/>
            </w:pPr>
            <w:r>
              <w:t>20</w:t>
            </w:r>
          </w:p>
        </w:tc>
      </w:tr>
      <w:tr w:rsidR="009C6724" w14:paraId="59340486"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5F41D1DB" w14:textId="77777777" w:rsidR="00AB205D" w:rsidRDefault="00471A3B">
            <w:r>
              <w:rPr>
                <w:b/>
              </w:rPr>
              <w:t>Financial and capital transactions</w:t>
            </w:r>
          </w:p>
        </w:tc>
        <w:tc>
          <w:tcPr>
            <w:tcW w:w="794" w:type="dxa"/>
          </w:tcPr>
          <w:p w14:paraId="7B1CA2BC"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149C00E2"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FDA97DF"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40012193"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671DCE6"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1E31B10F"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B9E5F86" w14:textId="77777777" w:rsidR="00AB205D" w:rsidRDefault="00471A3B">
            <w:r>
              <w:t>Land transfer duty</w:t>
            </w:r>
          </w:p>
        </w:tc>
        <w:tc>
          <w:tcPr>
            <w:tcW w:w="794" w:type="dxa"/>
          </w:tcPr>
          <w:p w14:paraId="45C35F29" w14:textId="77777777" w:rsidR="00AB205D" w:rsidRDefault="00471A3B">
            <w:pPr>
              <w:cnfStyle w:val="000000000000" w:firstRow="0" w:lastRow="0" w:firstColumn="0" w:lastColumn="0" w:oddVBand="0" w:evenVBand="0" w:oddHBand="0" w:evenHBand="0" w:firstRowFirstColumn="0" w:firstRowLastColumn="0" w:lastRowFirstColumn="0" w:lastRowLastColumn="0"/>
            </w:pPr>
            <w:r>
              <w:t>7 360</w:t>
            </w:r>
          </w:p>
        </w:tc>
        <w:tc>
          <w:tcPr>
            <w:tcW w:w="794" w:type="dxa"/>
          </w:tcPr>
          <w:p w14:paraId="73268CAC" w14:textId="77777777" w:rsidR="00AB205D" w:rsidRDefault="00471A3B">
            <w:pPr>
              <w:cnfStyle w:val="000000000000" w:firstRow="0" w:lastRow="0" w:firstColumn="0" w:lastColumn="0" w:oddVBand="0" w:evenVBand="0" w:oddHBand="0" w:evenHBand="0" w:firstRowFirstColumn="0" w:firstRowLastColumn="0" w:lastRowFirstColumn="0" w:lastRowLastColumn="0"/>
            </w:pPr>
            <w:r>
              <w:t>7 464</w:t>
            </w:r>
          </w:p>
        </w:tc>
        <w:tc>
          <w:tcPr>
            <w:tcW w:w="794" w:type="dxa"/>
          </w:tcPr>
          <w:p w14:paraId="28EF8817" w14:textId="77777777" w:rsidR="00AB205D" w:rsidRDefault="00471A3B">
            <w:pPr>
              <w:cnfStyle w:val="000000000000" w:firstRow="0" w:lastRow="0" w:firstColumn="0" w:lastColumn="0" w:oddVBand="0" w:evenVBand="0" w:oddHBand="0" w:evenHBand="0" w:firstRowFirstColumn="0" w:firstRowLastColumn="0" w:lastRowFirstColumn="0" w:lastRowLastColumn="0"/>
            </w:pPr>
            <w:r>
              <w:t>8 080</w:t>
            </w:r>
          </w:p>
        </w:tc>
        <w:tc>
          <w:tcPr>
            <w:tcW w:w="794" w:type="dxa"/>
          </w:tcPr>
          <w:p w14:paraId="08449986" w14:textId="77777777" w:rsidR="00AB205D" w:rsidRDefault="00471A3B">
            <w:pPr>
              <w:cnfStyle w:val="000000000000" w:firstRow="0" w:lastRow="0" w:firstColumn="0" w:lastColumn="0" w:oddVBand="0" w:evenVBand="0" w:oddHBand="0" w:evenHBand="0" w:firstRowFirstColumn="0" w:firstRowLastColumn="0" w:lastRowFirstColumn="0" w:lastRowLastColumn="0"/>
            </w:pPr>
            <w:r>
              <w:t>8 807</w:t>
            </w:r>
          </w:p>
        </w:tc>
        <w:tc>
          <w:tcPr>
            <w:tcW w:w="794" w:type="dxa"/>
          </w:tcPr>
          <w:p w14:paraId="4AC261E0" w14:textId="77777777" w:rsidR="00AB205D" w:rsidRDefault="00471A3B">
            <w:pPr>
              <w:cnfStyle w:val="000000000000" w:firstRow="0" w:lastRow="0" w:firstColumn="0" w:lastColumn="0" w:oddVBand="0" w:evenVBand="0" w:oddHBand="0" w:evenHBand="0" w:firstRowFirstColumn="0" w:firstRowLastColumn="0" w:lastRowFirstColumn="0" w:lastRowLastColumn="0"/>
            </w:pPr>
            <w:r>
              <w:t>9 375</w:t>
            </w:r>
          </w:p>
        </w:tc>
      </w:tr>
      <w:tr w:rsidR="009C6724" w14:paraId="0DD352FF"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73624864" w14:textId="77777777" w:rsidR="00AB205D" w:rsidRDefault="00471A3B">
            <w:r>
              <w:t>Metropolitan planning levy</w:t>
            </w:r>
          </w:p>
        </w:tc>
        <w:tc>
          <w:tcPr>
            <w:tcW w:w="794" w:type="dxa"/>
          </w:tcPr>
          <w:p w14:paraId="1C800A28" w14:textId="77777777" w:rsidR="00AB205D" w:rsidRDefault="00471A3B">
            <w:pPr>
              <w:cnfStyle w:val="000000000000" w:firstRow="0" w:lastRow="0" w:firstColumn="0" w:lastColumn="0" w:oddVBand="0" w:evenVBand="0" w:oddHBand="0" w:evenHBand="0" w:firstRowFirstColumn="0" w:firstRowLastColumn="0" w:lastRowFirstColumn="0" w:lastRowLastColumn="0"/>
            </w:pPr>
            <w:r>
              <w:t>22</w:t>
            </w:r>
          </w:p>
        </w:tc>
        <w:tc>
          <w:tcPr>
            <w:tcW w:w="794" w:type="dxa"/>
          </w:tcPr>
          <w:p w14:paraId="771274AC" w14:textId="77777777" w:rsidR="00AB205D" w:rsidRDefault="00471A3B">
            <w:pPr>
              <w:cnfStyle w:val="000000000000" w:firstRow="0" w:lastRow="0" w:firstColumn="0" w:lastColumn="0" w:oddVBand="0" w:evenVBand="0" w:oddHBand="0" w:evenHBand="0" w:firstRowFirstColumn="0" w:firstRowLastColumn="0" w:lastRowFirstColumn="0" w:lastRowLastColumn="0"/>
            </w:pPr>
            <w:r>
              <w:t>21</w:t>
            </w:r>
          </w:p>
        </w:tc>
        <w:tc>
          <w:tcPr>
            <w:tcW w:w="794" w:type="dxa"/>
          </w:tcPr>
          <w:p w14:paraId="1A12EA04" w14:textId="77777777" w:rsidR="00AB205D" w:rsidRDefault="00471A3B">
            <w:pPr>
              <w:cnfStyle w:val="000000000000" w:firstRow="0" w:lastRow="0" w:firstColumn="0" w:lastColumn="0" w:oddVBand="0" w:evenVBand="0" w:oddHBand="0" w:evenHBand="0" w:firstRowFirstColumn="0" w:firstRowLastColumn="0" w:lastRowFirstColumn="0" w:lastRowLastColumn="0"/>
            </w:pPr>
            <w:r>
              <w:t>22</w:t>
            </w:r>
          </w:p>
        </w:tc>
        <w:tc>
          <w:tcPr>
            <w:tcW w:w="794" w:type="dxa"/>
          </w:tcPr>
          <w:p w14:paraId="62A854EC" w14:textId="77777777" w:rsidR="00AB205D" w:rsidRDefault="00471A3B">
            <w:pPr>
              <w:cnfStyle w:val="000000000000" w:firstRow="0" w:lastRow="0" w:firstColumn="0" w:lastColumn="0" w:oddVBand="0" w:evenVBand="0" w:oddHBand="0" w:evenHBand="0" w:firstRowFirstColumn="0" w:firstRowLastColumn="0" w:lastRowFirstColumn="0" w:lastRowLastColumn="0"/>
            </w:pPr>
            <w:r>
              <w:t>23</w:t>
            </w:r>
          </w:p>
        </w:tc>
        <w:tc>
          <w:tcPr>
            <w:tcW w:w="794" w:type="dxa"/>
          </w:tcPr>
          <w:p w14:paraId="6ECEC7C9" w14:textId="77777777" w:rsidR="00AB205D" w:rsidRDefault="00471A3B">
            <w:pPr>
              <w:cnfStyle w:val="000000000000" w:firstRow="0" w:lastRow="0" w:firstColumn="0" w:lastColumn="0" w:oddVBand="0" w:evenVBand="0" w:oddHBand="0" w:evenHBand="0" w:firstRowFirstColumn="0" w:firstRowLastColumn="0" w:lastRowFirstColumn="0" w:lastRowLastColumn="0"/>
            </w:pPr>
            <w:r>
              <w:t>25</w:t>
            </w:r>
          </w:p>
        </w:tc>
      </w:tr>
      <w:tr w:rsidR="009C6724" w14:paraId="6A35A901"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7F23C68B" w14:textId="77777777" w:rsidR="00AB205D" w:rsidRDefault="00471A3B">
            <w:r>
              <w:t>Financial accommodation levy</w:t>
            </w:r>
          </w:p>
        </w:tc>
        <w:tc>
          <w:tcPr>
            <w:tcW w:w="794" w:type="dxa"/>
          </w:tcPr>
          <w:p w14:paraId="1A84AE65" w14:textId="77777777" w:rsidR="00AB205D" w:rsidRDefault="00471A3B">
            <w:pPr>
              <w:cnfStyle w:val="000000000000" w:firstRow="0" w:lastRow="0" w:firstColumn="0" w:lastColumn="0" w:oddVBand="0" w:evenVBand="0" w:oddHBand="0" w:evenHBand="0" w:firstRowFirstColumn="0" w:firstRowLastColumn="0" w:lastRowFirstColumn="0" w:lastRowLastColumn="0"/>
            </w:pPr>
            <w:r>
              <w:t>172</w:t>
            </w:r>
          </w:p>
        </w:tc>
        <w:tc>
          <w:tcPr>
            <w:tcW w:w="794" w:type="dxa"/>
          </w:tcPr>
          <w:p w14:paraId="6F2321BE" w14:textId="77777777" w:rsidR="00AB205D" w:rsidRDefault="00471A3B">
            <w:pPr>
              <w:cnfStyle w:val="000000000000" w:firstRow="0" w:lastRow="0" w:firstColumn="0" w:lastColumn="0" w:oddVBand="0" w:evenVBand="0" w:oddHBand="0" w:evenHBand="0" w:firstRowFirstColumn="0" w:firstRowLastColumn="0" w:lastRowFirstColumn="0" w:lastRowLastColumn="0"/>
            </w:pPr>
            <w:r>
              <w:t>172</w:t>
            </w:r>
          </w:p>
        </w:tc>
        <w:tc>
          <w:tcPr>
            <w:tcW w:w="794" w:type="dxa"/>
          </w:tcPr>
          <w:p w14:paraId="31D27A0C" w14:textId="77777777" w:rsidR="00AB205D" w:rsidRDefault="00471A3B">
            <w:pPr>
              <w:cnfStyle w:val="000000000000" w:firstRow="0" w:lastRow="0" w:firstColumn="0" w:lastColumn="0" w:oddVBand="0" w:evenVBand="0" w:oddHBand="0" w:evenHBand="0" w:firstRowFirstColumn="0" w:firstRowLastColumn="0" w:lastRowFirstColumn="0" w:lastRowLastColumn="0"/>
            </w:pPr>
            <w:r>
              <w:t>179</w:t>
            </w:r>
          </w:p>
        </w:tc>
        <w:tc>
          <w:tcPr>
            <w:tcW w:w="794" w:type="dxa"/>
          </w:tcPr>
          <w:p w14:paraId="72A0FA4B" w14:textId="77777777" w:rsidR="00AB205D" w:rsidRDefault="00471A3B">
            <w:pPr>
              <w:cnfStyle w:val="000000000000" w:firstRow="0" w:lastRow="0" w:firstColumn="0" w:lastColumn="0" w:oddVBand="0" w:evenVBand="0" w:oddHBand="0" w:evenHBand="0" w:firstRowFirstColumn="0" w:firstRowLastColumn="0" w:lastRowFirstColumn="0" w:lastRowLastColumn="0"/>
            </w:pPr>
            <w:r>
              <w:t>184</w:t>
            </w:r>
          </w:p>
        </w:tc>
        <w:tc>
          <w:tcPr>
            <w:tcW w:w="794" w:type="dxa"/>
          </w:tcPr>
          <w:p w14:paraId="24AF0A94" w14:textId="77777777" w:rsidR="00AB205D" w:rsidRDefault="00471A3B">
            <w:pPr>
              <w:cnfStyle w:val="000000000000" w:firstRow="0" w:lastRow="0" w:firstColumn="0" w:lastColumn="0" w:oddVBand="0" w:evenVBand="0" w:oddHBand="0" w:evenHBand="0" w:firstRowFirstColumn="0" w:firstRowLastColumn="0" w:lastRowFirstColumn="0" w:lastRowLastColumn="0"/>
            </w:pPr>
            <w:r>
              <w:t>188</w:t>
            </w:r>
          </w:p>
        </w:tc>
      </w:tr>
      <w:tr w:rsidR="009C6724" w14:paraId="67B084CF"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7A17204" w14:textId="77777777" w:rsidR="00AB205D" w:rsidRDefault="00471A3B">
            <w:r>
              <w:t>Growth areas infrastructure contributions</w:t>
            </w:r>
          </w:p>
        </w:tc>
        <w:tc>
          <w:tcPr>
            <w:tcW w:w="794" w:type="dxa"/>
          </w:tcPr>
          <w:p w14:paraId="779FD772" w14:textId="77777777" w:rsidR="00AB205D" w:rsidRDefault="00471A3B">
            <w:pPr>
              <w:cnfStyle w:val="000000000000" w:firstRow="0" w:lastRow="0" w:firstColumn="0" w:lastColumn="0" w:oddVBand="0" w:evenVBand="0" w:oddHBand="0" w:evenHBand="0" w:firstRowFirstColumn="0" w:firstRowLastColumn="0" w:lastRowFirstColumn="0" w:lastRowLastColumn="0"/>
            </w:pPr>
            <w:r>
              <w:t>328</w:t>
            </w:r>
          </w:p>
        </w:tc>
        <w:tc>
          <w:tcPr>
            <w:tcW w:w="794" w:type="dxa"/>
          </w:tcPr>
          <w:p w14:paraId="4A192201" w14:textId="77777777" w:rsidR="00AB205D" w:rsidRDefault="00471A3B">
            <w:pPr>
              <w:cnfStyle w:val="000000000000" w:firstRow="0" w:lastRow="0" w:firstColumn="0" w:lastColumn="0" w:oddVBand="0" w:evenVBand="0" w:oddHBand="0" w:evenHBand="0" w:firstRowFirstColumn="0" w:firstRowLastColumn="0" w:lastRowFirstColumn="0" w:lastRowLastColumn="0"/>
            </w:pPr>
            <w:r>
              <w:t>328</w:t>
            </w:r>
          </w:p>
        </w:tc>
        <w:tc>
          <w:tcPr>
            <w:tcW w:w="794" w:type="dxa"/>
          </w:tcPr>
          <w:p w14:paraId="413A684A" w14:textId="77777777" w:rsidR="00AB205D" w:rsidRDefault="00471A3B">
            <w:pPr>
              <w:cnfStyle w:val="000000000000" w:firstRow="0" w:lastRow="0" w:firstColumn="0" w:lastColumn="0" w:oddVBand="0" w:evenVBand="0" w:oddHBand="0" w:evenHBand="0" w:firstRowFirstColumn="0" w:firstRowLastColumn="0" w:lastRowFirstColumn="0" w:lastRowLastColumn="0"/>
            </w:pPr>
            <w:r>
              <w:t>336</w:t>
            </w:r>
          </w:p>
        </w:tc>
        <w:tc>
          <w:tcPr>
            <w:tcW w:w="794" w:type="dxa"/>
          </w:tcPr>
          <w:p w14:paraId="78BFB63F" w14:textId="77777777" w:rsidR="00AB205D" w:rsidRDefault="00471A3B">
            <w:pPr>
              <w:cnfStyle w:val="000000000000" w:firstRow="0" w:lastRow="0" w:firstColumn="0" w:lastColumn="0" w:oddVBand="0" w:evenVBand="0" w:oddHBand="0" w:evenHBand="0" w:firstRowFirstColumn="0" w:firstRowLastColumn="0" w:lastRowFirstColumn="0" w:lastRowLastColumn="0"/>
            </w:pPr>
            <w:r>
              <w:t>344</w:t>
            </w:r>
          </w:p>
        </w:tc>
        <w:tc>
          <w:tcPr>
            <w:tcW w:w="794" w:type="dxa"/>
          </w:tcPr>
          <w:p w14:paraId="6DBF8725" w14:textId="77777777" w:rsidR="00AB205D" w:rsidRDefault="00471A3B">
            <w:pPr>
              <w:cnfStyle w:val="000000000000" w:firstRow="0" w:lastRow="0" w:firstColumn="0" w:lastColumn="0" w:oddVBand="0" w:evenVBand="0" w:oddHBand="0" w:evenHBand="0" w:firstRowFirstColumn="0" w:firstRowLastColumn="0" w:lastRowFirstColumn="0" w:lastRowLastColumn="0"/>
            </w:pPr>
            <w:r>
              <w:t>330</w:t>
            </w:r>
          </w:p>
        </w:tc>
      </w:tr>
      <w:tr w:rsidR="009C6724" w14:paraId="4BEB7065"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79E3E877" w14:textId="77777777" w:rsidR="00AB205D" w:rsidRDefault="00471A3B">
            <w:r>
              <w:rPr>
                <w:b/>
              </w:rPr>
              <w:t>Levies on statutory corporations</w:t>
            </w:r>
            <w:r>
              <w:rPr>
                <w:b/>
                <w:vertAlign w:val="superscript"/>
              </w:rPr>
              <w:t xml:space="preserve"> (b)</w:t>
            </w:r>
          </w:p>
        </w:tc>
        <w:tc>
          <w:tcPr>
            <w:tcW w:w="794" w:type="dxa"/>
          </w:tcPr>
          <w:p w14:paraId="375A135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173</w:t>
            </w:r>
          </w:p>
        </w:tc>
        <w:tc>
          <w:tcPr>
            <w:tcW w:w="794" w:type="dxa"/>
          </w:tcPr>
          <w:p w14:paraId="15A3EE7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173</w:t>
            </w:r>
          </w:p>
        </w:tc>
        <w:tc>
          <w:tcPr>
            <w:tcW w:w="794" w:type="dxa"/>
          </w:tcPr>
          <w:p w14:paraId="4CFFC4C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w:t>
            </w:r>
          </w:p>
        </w:tc>
        <w:tc>
          <w:tcPr>
            <w:tcW w:w="794" w:type="dxa"/>
          </w:tcPr>
          <w:p w14:paraId="0B2D3B6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w:t>
            </w:r>
          </w:p>
        </w:tc>
        <w:tc>
          <w:tcPr>
            <w:tcW w:w="794" w:type="dxa"/>
          </w:tcPr>
          <w:p w14:paraId="614C6C8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w:t>
            </w:r>
          </w:p>
        </w:tc>
      </w:tr>
      <w:tr w:rsidR="009C6724" w14:paraId="30D4D054"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2243C33C" w14:textId="77777777" w:rsidR="00AB205D" w:rsidRDefault="00471A3B">
            <w:r>
              <w:rPr>
                <w:b/>
              </w:rPr>
              <w:t>Taxes on insurance</w:t>
            </w:r>
          </w:p>
        </w:tc>
        <w:tc>
          <w:tcPr>
            <w:tcW w:w="794" w:type="dxa"/>
            <w:tcBorders>
              <w:bottom w:val="single" w:sz="6" w:space="0" w:color="auto"/>
            </w:tcBorders>
          </w:tcPr>
          <w:p w14:paraId="1CA5A7E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2 011</w:t>
            </w:r>
          </w:p>
        </w:tc>
        <w:tc>
          <w:tcPr>
            <w:tcW w:w="794" w:type="dxa"/>
            <w:tcBorders>
              <w:bottom w:val="single" w:sz="6" w:space="0" w:color="auto"/>
            </w:tcBorders>
          </w:tcPr>
          <w:p w14:paraId="1A26C08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2 026</w:t>
            </w:r>
          </w:p>
        </w:tc>
        <w:tc>
          <w:tcPr>
            <w:tcW w:w="794" w:type="dxa"/>
            <w:tcBorders>
              <w:bottom w:val="single" w:sz="6" w:space="0" w:color="auto"/>
            </w:tcBorders>
          </w:tcPr>
          <w:p w14:paraId="5BB4C7B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2 127</w:t>
            </w:r>
          </w:p>
        </w:tc>
        <w:tc>
          <w:tcPr>
            <w:tcW w:w="794" w:type="dxa"/>
            <w:tcBorders>
              <w:bottom w:val="single" w:sz="6" w:space="0" w:color="auto"/>
            </w:tcBorders>
          </w:tcPr>
          <w:p w14:paraId="415DCA8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2 231</w:t>
            </w:r>
          </w:p>
        </w:tc>
        <w:tc>
          <w:tcPr>
            <w:tcW w:w="794" w:type="dxa"/>
            <w:tcBorders>
              <w:bottom w:val="single" w:sz="6" w:space="0" w:color="auto"/>
            </w:tcBorders>
          </w:tcPr>
          <w:p w14:paraId="462FBF9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2 339</w:t>
            </w:r>
          </w:p>
        </w:tc>
      </w:tr>
      <w:tr w:rsidR="009C6724" w14:paraId="2E059F31"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6F48F843" w14:textId="77777777" w:rsidR="00AB205D" w:rsidRDefault="00471A3B">
            <w:r>
              <w:rPr>
                <w:b/>
              </w:rPr>
              <w:t>Total taxes on the provision of goods and services</w:t>
            </w:r>
          </w:p>
        </w:tc>
        <w:tc>
          <w:tcPr>
            <w:tcW w:w="794" w:type="dxa"/>
            <w:tcBorders>
              <w:top w:val="single" w:sz="6" w:space="0" w:color="auto"/>
              <w:bottom w:val="single" w:sz="6" w:space="0" w:color="auto"/>
            </w:tcBorders>
          </w:tcPr>
          <w:p w14:paraId="5D6902B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12 650</w:t>
            </w:r>
          </w:p>
        </w:tc>
        <w:tc>
          <w:tcPr>
            <w:tcW w:w="794" w:type="dxa"/>
            <w:tcBorders>
              <w:top w:val="single" w:sz="6" w:space="0" w:color="auto"/>
              <w:bottom w:val="single" w:sz="6" w:space="0" w:color="auto"/>
            </w:tcBorders>
          </w:tcPr>
          <w:p w14:paraId="2099574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12 734</w:t>
            </w:r>
          </w:p>
        </w:tc>
        <w:tc>
          <w:tcPr>
            <w:tcW w:w="794" w:type="dxa"/>
            <w:tcBorders>
              <w:top w:val="single" w:sz="6" w:space="0" w:color="auto"/>
              <w:bottom w:val="single" w:sz="6" w:space="0" w:color="auto"/>
            </w:tcBorders>
          </w:tcPr>
          <w:p w14:paraId="35B63F3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13 505</w:t>
            </w:r>
          </w:p>
        </w:tc>
        <w:tc>
          <w:tcPr>
            <w:tcW w:w="794" w:type="dxa"/>
            <w:tcBorders>
              <w:top w:val="single" w:sz="6" w:space="0" w:color="auto"/>
              <w:bottom w:val="single" w:sz="6" w:space="0" w:color="auto"/>
            </w:tcBorders>
          </w:tcPr>
          <w:p w14:paraId="2BA42DE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14 279</w:t>
            </w:r>
          </w:p>
        </w:tc>
        <w:tc>
          <w:tcPr>
            <w:tcW w:w="794" w:type="dxa"/>
            <w:tcBorders>
              <w:top w:val="single" w:sz="6" w:space="0" w:color="auto"/>
              <w:bottom w:val="single" w:sz="6" w:space="0" w:color="auto"/>
            </w:tcBorders>
          </w:tcPr>
          <w:p w14:paraId="548283C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14 872</w:t>
            </w:r>
          </w:p>
        </w:tc>
      </w:tr>
      <w:tr w:rsidR="009C6724" w14:paraId="56DC53CC" w14:textId="77777777" w:rsidTr="009C6724">
        <w:tc>
          <w:tcPr>
            <w:cnfStyle w:val="001000000000" w:firstRow="0" w:lastRow="0" w:firstColumn="1" w:lastColumn="0" w:oddVBand="0" w:evenVBand="0" w:oddHBand="0" w:evenHBand="0" w:firstRowFirstColumn="0" w:firstRowLastColumn="0" w:lastRowFirstColumn="0" w:lastRowLastColumn="0"/>
            <w:tcW w:w="7710" w:type="dxa"/>
            <w:gridSpan w:val="6"/>
            <w:tcBorders>
              <w:top w:val="single" w:sz="6" w:space="0" w:color="auto"/>
            </w:tcBorders>
          </w:tcPr>
          <w:p w14:paraId="28B8DBFD" w14:textId="77777777" w:rsidR="00AB205D" w:rsidRDefault="00471A3B" w:rsidP="00FA005E">
            <w:pPr>
              <w:spacing w:before="120"/>
            </w:pPr>
            <w:r>
              <w:rPr>
                <w:b/>
              </w:rPr>
              <w:t>TAXES ON THE USE OF GOODS AND PERFORMANCE OF ACTIVITIES</w:t>
            </w:r>
          </w:p>
        </w:tc>
      </w:tr>
      <w:tr w:rsidR="009C6724" w14:paraId="3267AC15"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5D879F9C" w14:textId="77777777" w:rsidR="00AB205D" w:rsidRDefault="00471A3B">
            <w:r>
              <w:rPr>
                <w:b/>
              </w:rPr>
              <w:t>Motor vehicle taxes</w:t>
            </w:r>
          </w:p>
        </w:tc>
        <w:tc>
          <w:tcPr>
            <w:tcW w:w="794" w:type="dxa"/>
          </w:tcPr>
          <w:p w14:paraId="37031018"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B8D3C31"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444AE49D"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8313973"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63759F28"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3E89DF0D"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E416058" w14:textId="77777777" w:rsidR="00AB205D" w:rsidRDefault="00471A3B">
            <w:r>
              <w:t>Vehicle registration fees</w:t>
            </w:r>
          </w:p>
        </w:tc>
        <w:tc>
          <w:tcPr>
            <w:tcW w:w="794" w:type="dxa"/>
          </w:tcPr>
          <w:p w14:paraId="3D19EB15" w14:textId="77777777" w:rsidR="00AB205D" w:rsidRDefault="00471A3B">
            <w:pPr>
              <w:cnfStyle w:val="000000000000" w:firstRow="0" w:lastRow="0" w:firstColumn="0" w:lastColumn="0" w:oddVBand="0" w:evenVBand="0" w:oddHBand="0" w:evenHBand="0" w:firstRowFirstColumn="0" w:firstRowLastColumn="0" w:lastRowFirstColumn="0" w:lastRowLastColumn="0"/>
            </w:pPr>
            <w:r>
              <w:t>2 106</w:t>
            </w:r>
          </w:p>
        </w:tc>
        <w:tc>
          <w:tcPr>
            <w:tcW w:w="794" w:type="dxa"/>
          </w:tcPr>
          <w:p w14:paraId="265C59AD" w14:textId="77777777" w:rsidR="00AB205D" w:rsidRDefault="00471A3B">
            <w:pPr>
              <w:cnfStyle w:val="000000000000" w:firstRow="0" w:lastRow="0" w:firstColumn="0" w:lastColumn="0" w:oddVBand="0" w:evenVBand="0" w:oddHBand="0" w:evenHBand="0" w:firstRowFirstColumn="0" w:firstRowLastColumn="0" w:lastRowFirstColumn="0" w:lastRowLastColumn="0"/>
            </w:pPr>
            <w:r>
              <w:t>2 096</w:t>
            </w:r>
          </w:p>
        </w:tc>
        <w:tc>
          <w:tcPr>
            <w:tcW w:w="794" w:type="dxa"/>
          </w:tcPr>
          <w:p w14:paraId="3FE8FB8B" w14:textId="77777777" w:rsidR="00AB205D" w:rsidRDefault="00471A3B">
            <w:pPr>
              <w:cnfStyle w:val="000000000000" w:firstRow="0" w:lastRow="0" w:firstColumn="0" w:lastColumn="0" w:oddVBand="0" w:evenVBand="0" w:oddHBand="0" w:evenHBand="0" w:firstRowFirstColumn="0" w:firstRowLastColumn="0" w:lastRowFirstColumn="0" w:lastRowLastColumn="0"/>
            </w:pPr>
            <w:r>
              <w:t>2 235</w:t>
            </w:r>
          </w:p>
        </w:tc>
        <w:tc>
          <w:tcPr>
            <w:tcW w:w="794" w:type="dxa"/>
          </w:tcPr>
          <w:p w14:paraId="6806D817" w14:textId="77777777" w:rsidR="00AB205D" w:rsidRDefault="00471A3B">
            <w:pPr>
              <w:cnfStyle w:val="000000000000" w:firstRow="0" w:lastRow="0" w:firstColumn="0" w:lastColumn="0" w:oddVBand="0" w:evenVBand="0" w:oddHBand="0" w:evenHBand="0" w:firstRowFirstColumn="0" w:firstRowLastColumn="0" w:lastRowFirstColumn="0" w:lastRowLastColumn="0"/>
            </w:pPr>
            <w:r>
              <w:t>2 383</w:t>
            </w:r>
          </w:p>
        </w:tc>
        <w:tc>
          <w:tcPr>
            <w:tcW w:w="794" w:type="dxa"/>
          </w:tcPr>
          <w:p w14:paraId="699CC6F7" w14:textId="77777777" w:rsidR="00AB205D" w:rsidRDefault="00471A3B">
            <w:pPr>
              <w:cnfStyle w:val="000000000000" w:firstRow="0" w:lastRow="0" w:firstColumn="0" w:lastColumn="0" w:oddVBand="0" w:evenVBand="0" w:oddHBand="0" w:evenHBand="0" w:firstRowFirstColumn="0" w:firstRowLastColumn="0" w:lastRowFirstColumn="0" w:lastRowLastColumn="0"/>
            </w:pPr>
            <w:r>
              <w:t>2 518</w:t>
            </w:r>
          </w:p>
        </w:tc>
      </w:tr>
      <w:tr w:rsidR="009C6724" w14:paraId="67FB8E76"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A3ED016" w14:textId="77777777" w:rsidR="00AB205D" w:rsidRDefault="00471A3B">
            <w:r>
              <w:t>Duty on vehicle registrations and transfers</w:t>
            </w:r>
          </w:p>
        </w:tc>
        <w:tc>
          <w:tcPr>
            <w:tcW w:w="794" w:type="dxa"/>
          </w:tcPr>
          <w:p w14:paraId="66C1B814" w14:textId="77777777" w:rsidR="00AB205D" w:rsidRDefault="00471A3B">
            <w:pPr>
              <w:cnfStyle w:val="000000000000" w:firstRow="0" w:lastRow="0" w:firstColumn="0" w:lastColumn="0" w:oddVBand="0" w:evenVBand="0" w:oddHBand="0" w:evenHBand="0" w:firstRowFirstColumn="0" w:firstRowLastColumn="0" w:lastRowFirstColumn="0" w:lastRowLastColumn="0"/>
            </w:pPr>
            <w:r>
              <w:t>1 247</w:t>
            </w:r>
          </w:p>
        </w:tc>
        <w:tc>
          <w:tcPr>
            <w:tcW w:w="794" w:type="dxa"/>
          </w:tcPr>
          <w:p w14:paraId="30BFBA2C" w14:textId="77777777" w:rsidR="00AB205D" w:rsidRDefault="00471A3B">
            <w:pPr>
              <w:cnfStyle w:val="000000000000" w:firstRow="0" w:lastRow="0" w:firstColumn="0" w:lastColumn="0" w:oddVBand="0" w:evenVBand="0" w:oddHBand="0" w:evenHBand="0" w:firstRowFirstColumn="0" w:firstRowLastColumn="0" w:lastRowFirstColumn="0" w:lastRowLastColumn="0"/>
            </w:pPr>
            <w:r>
              <w:t>1 317</w:t>
            </w:r>
          </w:p>
        </w:tc>
        <w:tc>
          <w:tcPr>
            <w:tcW w:w="794" w:type="dxa"/>
          </w:tcPr>
          <w:p w14:paraId="4655FAD5" w14:textId="77777777" w:rsidR="00AB205D" w:rsidRDefault="00471A3B">
            <w:pPr>
              <w:cnfStyle w:val="000000000000" w:firstRow="0" w:lastRow="0" w:firstColumn="0" w:lastColumn="0" w:oddVBand="0" w:evenVBand="0" w:oddHBand="0" w:evenHBand="0" w:firstRowFirstColumn="0" w:firstRowLastColumn="0" w:lastRowFirstColumn="0" w:lastRowLastColumn="0"/>
            </w:pPr>
            <w:r>
              <w:t>1 370</w:t>
            </w:r>
          </w:p>
        </w:tc>
        <w:tc>
          <w:tcPr>
            <w:tcW w:w="794" w:type="dxa"/>
          </w:tcPr>
          <w:p w14:paraId="6B8496D7" w14:textId="77777777" w:rsidR="00AB205D" w:rsidRDefault="00471A3B">
            <w:pPr>
              <w:cnfStyle w:val="000000000000" w:firstRow="0" w:lastRow="0" w:firstColumn="0" w:lastColumn="0" w:oddVBand="0" w:evenVBand="0" w:oddHBand="0" w:evenHBand="0" w:firstRowFirstColumn="0" w:firstRowLastColumn="0" w:lastRowFirstColumn="0" w:lastRowLastColumn="0"/>
            </w:pPr>
            <w:r>
              <w:t>1 422</w:t>
            </w:r>
          </w:p>
        </w:tc>
        <w:tc>
          <w:tcPr>
            <w:tcW w:w="794" w:type="dxa"/>
          </w:tcPr>
          <w:p w14:paraId="589BB1A9" w14:textId="77777777" w:rsidR="00AB205D" w:rsidRDefault="00471A3B">
            <w:pPr>
              <w:cnfStyle w:val="000000000000" w:firstRow="0" w:lastRow="0" w:firstColumn="0" w:lastColumn="0" w:oddVBand="0" w:evenVBand="0" w:oddHBand="0" w:evenHBand="0" w:firstRowFirstColumn="0" w:firstRowLastColumn="0" w:lastRowFirstColumn="0" w:lastRowLastColumn="0"/>
            </w:pPr>
            <w:r>
              <w:t>1 485</w:t>
            </w:r>
          </w:p>
        </w:tc>
      </w:tr>
      <w:tr w:rsidR="009C6724" w14:paraId="60D219A4"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8953E8D" w14:textId="77777777" w:rsidR="00AB205D" w:rsidRDefault="00471A3B">
            <w:r>
              <w:rPr>
                <w:b/>
              </w:rPr>
              <w:t>Liquor licence fees</w:t>
            </w:r>
          </w:p>
        </w:tc>
        <w:tc>
          <w:tcPr>
            <w:tcW w:w="794" w:type="dxa"/>
          </w:tcPr>
          <w:p w14:paraId="508D807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30</w:t>
            </w:r>
          </w:p>
        </w:tc>
        <w:tc>
          <w:tcPr>
            <w:tcW w:w="794" w:type="dxa"/>
          </w:tcPr>
          <w:p w14:paraId="5F86158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30</w:t>
            </w:r>
          </w:p>
        </w:tc>
        <w:tc>
          <w:tcPr>
            <w:tcW w:w="794" w:type="dxa"/>
          </w:tcPr>
          <w:p w14:paraId="35F4635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31</w:t>
            </w:r>
          </w:p>
        </w:tc>
        <w:tc>
          <w:tcPr>
            <w:tcW w:w="794" w:type="dxa"/>
          </w:tcPr>
          <w:p w14:paraId="7B92BF4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32</w:t>
            </w:r>
          </w:p>
        </w:tc>
        <w:tc>
          <w:tcPr>
            <w:tcW w:w="794" w:type="dxa"/>
          </w:tcPr>
          <w:p w14:paraId="47C161C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33</w:t>
            </w:r>
          </w:p>
        </w:tc>
      </w:tr>
      <w:tr w:rsidR="009C6724" w14:paraId="657ECA0E"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772E8171" w14:textId="77777777" w:rsidR="00AB205D" w:rsidRDefault="00471A3B">
            <w:r>
              <w:rPr>
                <w:b/>
              </w:rPr>
              <w:t>Other</w:t>
            </w:r>
          </w:p>
        </w:tc>
        <w:tc>
          <w:tcPr>
            <w:tcW w:w="794" w:type="dxa"/>
            <w:tcBorders>
              <w:bottom w:val="single" w:sz="6" w:space="0" w:color="auto"/>
            </w:tcBorders>
          </w:tcPr>
          <w:p w14:paraId="4E28B63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668</w:t>
            </w:r>
          </w:p>
        </w:tc>
        <w:tc>
          <w:tcPr>
            <w:tcW w:w="794" w:type="dxa"/>
            <w:tcBorders>
              <w:bottom w:val="single" w:sz="6" w:space="0" w:color="auto"/>
            </w:tcBorders>
          </w:tcPr>
          <w:p w14:paraId="0AE3916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667</w:t>
            </w:r>
          </w:p>
        </w:tc>
        <w:tc>
          <w:tcPr>
            <w:tcW w:w="794" w:type="dxa"/>
            <w:tcBorders>
              <w:bottom w:val="single" w:sz="6" w:space="0" w:color="auto"/>
            </w:tcBorders>
          </w:tcPr>
          <w:p w14:paraId="574D2CE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729</w:t>
            </w:r>
          </w:p>
        </w:tc>
        <w:tc>
          <w:tcPr>
            <w:tcW w:w="794" w:type="dxa"/>
            <w:tcBorders>
              <w:bottom w:val="single" w:sz="6" w:space="0" w:color="auto"/>
            </w:tcBorders>
          </w:tcPr>
          <w:p w14:paraId="46C14F2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784</w:t>
            </w:r>
          </w:p>
        </w:tc>
        <w:tc>
          <w:tcPr>
            <w:tcW w:w="794" w:type="dxa"/>
            <w:tcBorders>
              <w:bottom w:val="single" w:sz="6" w:space="0" w:color="auto"/>
            </w:tcBorders>
          </w:tcPr>
          <w:p w14:paraId="0106307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788</w:t>
            </w:r>
          </w:p>
        </w:tc>
      </w:tr>
      <w:tr w:rsidR="009C6724" w14:paraId="62B8B716"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4C1A6017" w14:textId="77777777" w:rsidR="00AB205D" w:rsidRDefault="00471A3B">
            <w:r>
              <w:rPr>
                <w:b/>
              </w:rPr>
              <w:t>Total taxes on the use of goods and performance of activities</w:t>
            </w:r>
          </w:p>
        </w:tc>
        <w:tc>
          <w:tcPr>
            <w:tcW w:w="794" w:type="dxa"/>
            <w:tcBorders>
              <w:top w:val="single" w:sz="6" w:space="0" w:color="auto"/>
              <w:bottom w:val="single" w:sz="6" w:space="0" w:color="auto"/>
            </w:tcBorders>
          </w:tcPr>
          <w:p w14:paraId="2AE531F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4 050</w:t>
            </w:r>
          </w:p>
        </w:tc>
        <w:tc>
          <w:tcPr>
            <w:tcW w:w="794" w:type="dxa"/>
            <w:tcBorders>
              <w:top w:val="single" w:sz="6" w:space="0" w:color="auto"/>
              <w:bottom w:val="single" w:sz="6" w:space="0" w:color="auto"/>
            </w:tcBorders>
          </w:tcPr>
          <w:p w14:paraId="35BAA1E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4 110</w:t>
            </w:r>
          </w:p>
        </w:tc>
        <w:tc>
          <w:tcPr>
            <w:tcW w:w="794" w:type="dxa"/>
            <w:tcBorders>
              <w:top w:val="single" w:sz="6" w:space="0" w:color="auto"/>
              <w:bottom w:val="single" w:sz="6" w:space="0" w:color="auto"/>
            </w:tcBorders>
          </w:tcPr>
          <w:p w14:paraId="53E103B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4 365</w:t>
            </w:r>
          </w:p>
        </w:tc>
        <w:tc>
          <w:tcPr>
            <w:tcW w:w="794" w:type="dxa"/>
            <w:tcBorders>
              <w:top w:val="single" w:sz="6" w:space="0" w:color="auto"/>
              <w:bottom w:val="single" w:sz="6" w:space="0" w:color="auto"/>
            </w:tcBorders>
          </w:tcPr>
          <w:p w14:paraId="7A58483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4 621</w:t>
            </w:r>
          </w:p>
        </w:tc>
        <w:tc>
          <w:tcPr>
            <w:tcW w:w="794" w:type="dxa"/>
            <w:tcBorders>
              <w:top w:val="single" w:sz="6" w:space="0" w:color="auto"/>
              <w:bottom w:val="single" w:sz="6" w:space="0" w:color="auto"/>
            </w:tcBorders>
          </w:tcPr>
          <w:p w14:paraId="27D648E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4 824</w:t>
            </w:r>
          </w:p>
        </w:tc>
      </w:tr>
      <w:tr w:rsidR="009C6724" w14:paraId="249357A7"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6354C505" w14:textId="77777777" w:rsidR="00AB205D" w:rsidRDefault="00471A3B">
            <w:r>
              <w:rPr>
                <w:b/>
              </w:rPr>
              <w:t>Total taxation</w:t>
            </w:r>
          </w:p>
        </w:tc>
        <w:tc>
          <w:tcPr>
            <w:tcW w:w="794" w:type="dxa"/>
            <w:tcBorders>
              <w:top w:val="single" w:sz="6" w:space="0" w:color="auto"/>
              <w:bottom w:val="single" w:sz="12" w:space="0" w:color="auto"/>
            </w:tcBorders>
          </w:tcPr>
          <w:p w14:paraId="46173E9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34 877</w:t>
            </w:r>
          </w:p>
        </w:tc>
        <w:tc>
          <w:tcPr>
            <w:tcW w:w="794" w:type="dxa"/>
            <w:tcBorders>
              <w:top w:val="single" w:sz="6" w:space="0" w:color="auto"/>
              <w:bottom w:val="single" w:sz="12" w:space="0" w:color="auto"/>
            </w:tcBorders>
          </w:tcPr>
          <w:p w14:paraId="04C8DE4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35 774</w:t>
            </w:r>
          </w:p>
        </w:tc>
        <w:tc>
          <w:tcPr>
            <w:tcW w:w="794" w:type="dxa"/>
            <w:tcBorders>
              <w:top w:val="single" w:sz="6" w:space="0" w:color="auto"/>
              <w:bottom w:val="single" w:sz="12" w:space="0" w:color="auto"/>
            </w:tcBorders>
          </w:tcPr>
          <w:p w14:paraId="290519B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37 855</w:t>
            </w:r>
          </w:p>
        </w:tc>
        <w:tc>
          <w:tcPr>
            <w:tcW w:w="794" w:type="dxa"/>
            <w:tcBorders>
              <w:top w:val="single" w:sz="6" w:space="0" w:color="auto"/>
              <w:bottom w:val="single" w:sz="12" w:space="0" w:color="auto"/>
            </w:tcBorders>
          </w:tcPr>
          <w:p w14:paraId="43B7A6D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39 645</w:t>
            </w:r>
          </w:p>
        </w:tc>
        <w:tc>
          <w:tcPr>
            <w:tcW w:w="794" w:type="dxa"/>
            <w:tcBorders>
              <w:top w:val="single" w:sz="6" w:space="0" w:color="auto"/>
              <w:bottom w:val="single" w:sz="12" w:space="0" w:color="auto"/>
            </w:tcBorders>
          </w:tcPr>
          <w:p w14:paraId="7787820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41 562</w:t>
            </w:r>
          </w:p>
        </w:tc>
      </w:tr>
    </w:tbl>
    <w:p w14:paraId="43965BBD" w14:textId="77777777" w:rsidR="00AB205D" w:rsidRPr="004E331F" w:rsidRDefault="00471A3B">
      <w:pPr>
        <w:pStyle w:val="Note"/>
      </w:pPr>
      <w:r w:rsidRPr="00D87D22">
        <w:t>Note</w:t>
      </w:r>
      <w:r>
        <w:t>s</w:t>
      </w:r>
      <w:r w:rsidRPr="00D87D22">
        <w:t>:</w:t>
      </w:r>
    </w:p>
    <w:p w14:paraId="7A4A32BB" w14:textId="77777777" w:rsidR="00AB205D" w:rsidRPr="00B2480C" w:rsidRDefault="00471A3B">
      <w:pPr>
        <w:pStyle w:val="Note"/>
      </w:pPr>
      <w:r w:rsidRPr="004E331F">
        <w:t>(</w:t>
      </w:r>
      <w:r>
        <w:t>a</w:t>
      </w:r>
      <w:r w:rsidRPr="004E331F">
        <w:t xml:space="preserve">) </w:t>
      </w:r>
      <w:r w:rsidRPr="004E331F">
        <w:tab/>
        <w:t xml:space="preserve">The public lotteries, electronic gaming machines, casino, racing and other sports betting and other gambling taxes balances include gambling licence revenue forecasts of </w:t>
      </w:r>
      <w:r w:rsidRPr="005113F4">
        <w:t xml:space="preserve">$188 </w:t>
      </w:r>
      <w:r w:rsidRPr="004E331F">
        <w:t>million in 202</w:t>
      </w:r>
      <w:r>
        <w:t>3</w:t>
      </w:r>
      <w:r>
        <w:noBreakHyphen/>
      </w:r>
      <w:r w:rsidRPr="004E331F">
        <w:t>2</w:t>
      </w:r>
      <w:r>
        <w:t>4</w:t>
      </w:r>
      <w:r w:rsidRPr="004E331F">
        <w:t xml:space="preserve">, </w:t>
      </w:r>
      <w:r w:rsidRPr="005113F4">
        <w:t xml:space="preserve">$189 </w:t>
      </w:r>
      <w:r w:rsidRPr="004E331F">
        <w:t>million in 202</w:t>
      </w:r>
      <w:r>
        <w:t>4</w:t>
      </w:r>
      <w:r>
        <w:noBreakHyphen/>
      </w:r>
      <w:r w:rsidRPr="004E331F">
        <w:t>2</w:t>
      </w:r>
      <w:r>
        <w:t>5,</w:t>
      </w:r>
      <w:r w:rsidRPr="004E331F">
        <w:t xml:space="preserve"> </w:t>
      </w:r>
      <w:r w:rsidRPr="005113F4">
        <w:t xml:space="preserve">$189 </w:t>
      </w:r>
      <w:r w:rsidRPr="004E331F">
        <w:t>million in 202</w:t>
      </w:r>
      <w:r>
        <w:t>5</w:t>
      </w:r>
      <w:r w:rsidRPr="004E331F">
        <w:noBreakHyphen/>
        <w:t>2</w:t>
      </w:r>
      <w:r>
        <w:t xml:space="preserve">6 and </w:t>
      </w:r>
      <w:r w:rsidRPr="005113F4">
        <w:t>$189</w:t>
      </w:r>
      <w:r>
        <w:t> million in 2026</w:t>
      </w:r>
      <w:r>
        <w:noBreakHyphen/>
        <w:t>27</w:t>
      </w:r>
      <w:r w:rsidRPr="004E331F">
        <w:t>, recognised under AASB 1</w:t>
      </w:r>
      <w:r>
        <w:t>5</w:t>
      </w:r>
      <w:r w:rsidRPr="004E331F">
        <w:t>. The balance of these items is recognised under AASB 1058.</w:t>
      </w:r>
    </w:p>
    <w:p w14:paraId="0B891E4E" w14:textId="77777777" w:rsidR="00AB205D" w:rsidRDefault="00471A3B">
      <w:pPr>
        <w:pStyle w:val="Note"/>
      </w:pPr>
      <w:r w:rsidRPr="00D11A6C">
        <w:t>(</w:t>
      </w:r>
      <w:r>
        <w:t>b</w:t>
      </w:r>
      <w:r w:rsidRPr="00D11A6C">
        <w:t>)</w:t>
      </w:r>
      <w:r w:rsidRPr="00D11A6C">
        <w:tab/>
        <w:t xml:space="preserve">The fifth tranche of the environmental contribution levy </w:t>
      </w:r>
      <w:r>
        <w:t xml:space="preserve">began </w:t>
      </w:r>
      <w:r w:rsidRPr="00D11A6C">
        <w:t>on 1 July 2020 for a period of four years concluding on 30 June 202</w:t>
      </w:r>
      <w:r>
        <w:t>4</w:t>
      </w:r>
      <w:r w:rsidRPr="00D11A6C">
        <w:t>.</w:t>
      </w:r>
    </w:p>
    <w:p w14:paraId="265C5F3E" w14:textId="77777777" w:rsidR="00AB205D" w:rsidRDefault="00471A3B">
      <w:pPr>
        <w:pStyle w:val="Heading3"/>
        <w:rPr>
          <w:sz w:val="21"/>
          <w:szCs w:val="21"/>
        </w:rPr>
      </w:pPr>
      <w:bookmarkStart w:id="43" w:name="_Toc150443602"/>
      <w:r w:rsidRPr="002F0339">
        <w:rPr>
          <w:sz w:val="21"/>
          <w:szCs w:val="21"/>
        </w:rPr>
        <w:lastRenderedPageBreak/>
        <w:t>Dividends, income tax equivalent and rate equivalent income</w:t>
      </w:r>
      <w:r w:rsidRPr="002F0339">
        <w:rPr>
          <w:sz w:val="21"/>
          <w:szCs w:val="21"/>
        </w:rPr>
        <w:tab/>
        <w:t>($ million)</w:t>
      </w:r>
      <w:bookmarkEnd w:id="43"/>
    </w:p>
    <w:tbl>
      <w:tblPr>
        <w:tblStyle w:val="DTFTableNumeric"/>
        <w:tblW w:w="7710" w:type="dxa"/>
        <w:tblLayout w:type="fixed"/>
        <w:tblLook w:val="06A0" w:firstRow="1" w:lastRow="0" w:firstColumn="1" w:lastColumn="0" w:noHBand="1" w:noVBand="1"/>
        <w:tblDescription w:val="Type:DtfTable|Workbook:Rawdata\BudgetUpdate\Budget Update\Financial Statements\SRIMS exports\SRIMS_BU_EFS_OS.xlsx|Table:Dividends_ITEs|MergedHeadingRow:1"/>
      </w:tblPr>
      <w:tblGrid>
        <w:gridCol w:w="3740"/>
        <w:gridCol w:w="794"/>
        <w:gridCol w:w="794"/>
        <w:gridCol w:w="794"/>
        <w:gridCol w:w="794"/>
        <w:gridCol w:w="794"/>
      </w:tblGrid>
      <w:tr w:rsidR="009C6724" w14:paraId="02ABA5C7"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40BE9D3F" w14:textId="77777777" w:rsidR="00AB205D" w:rsidRDefault="00AB205D">
            <w:pPr>
              <w:keepNext/>
            </w:pPr>
          </w:p>
        </w:tc>
        <w:tc>
          <w:tcPr>
            <w:tcW w:w="794" w:type="dxa"/>
          </w:tcPr>
          <w:p w14:paraId="6BA35DEA"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budget</w:t>
            </w:r>
          </w:p>
        </w:tc>
        <w:tc>
          <w:tcPr>
            <w:tcW w:w="794" w:type="dxa"/>
          </w:tcPr>
          <w:p w14:paraId="7556C6A7"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revised</w:t>
            </w:r>
          </w:p>
        </w:tc>
        <w:tc>
          <w:tcPr>
            <w:tcW w:w="794" w:type="dxa"/>
          </w:tcPr>
          <w:p w14:paraId="1D0FDD32"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r>
              <w:br/>
              <w:t>estimate</w:t>
            </w:r>
          </w:p>
        </w:tc>
        <w:tc>
          <w:tcPr>
            <w:tcW w:w="794" w:type="dxa"/>
          </w:tcPr>
          <w:p w14:paraId="04A589A1"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5D9D9D62"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r>
      <w:tr w:rsidR="009C6724" w14:paraId="6E629C1D"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0E03695C" w14:textId="77777777" w:rsidR="00AB205D" w:rsidRDefault="00471A3B">
            <w:r>
              <w:t>Dividends from PFC sector</w:t>
            </w:r>
          </w:p>
        </w:tc>
        <w:tc>
          <w:tcPr>
            <w:tcW w:w="794" w:type="dxa"/>
          </w:tcPr>
          <w:p w14:paraId="33EDAC64" w14:textId="77777777" w:rsidR="00AB205D" w:rsidRDefault="00471A3B">
            <w:pPr>
              <w:cnfStyle w:val="000000000000" w:firstRow="0" w:lastRow="0" w:firstColumn="0" w:lastColumn="0" w:oddVBand="0" w:evenVBand="0" w:oddHBand="0" w:evenHBand="0" w:firstRowFirstColumn="0" w:firstRowLastColumn="0" w:lastRowFirstColumn="0" w:lastRowLastColumn="0"/>
            </w:pPr>
            <w:r>
              <w:t>610</w:t>
            </w:r>
          </w:p>
        </w:tc>
        <w:tc>
          <w:tcPr>
            <w:tcW w:w="794" w:type="dxa"/>
          </w:tcPr>
          <w:p w14:paraId="3FFB4B20" w14:textId="77777777" w:rsidR="00AB205D" w:rsidRDefault="00471A3B">
            <w:pPr>
              <w:cnfStyle w:val="000000000000" w:firstRow="0" w:lastRow="0" w:firstColumn="0" w:lastColumn="0" w:oddVBand="0" w:evenVBand="0" w:oddHBand="0" w:evenHBand="0" w:firstRowFirstColumn="0" w:firstRowLastColumn="0" w:lastRowFirstColumn="0" w:lastRowLastColumn="0"/>
            </w:pPr>
            <w:r>
              <w:t>1 247</w:t>
            </w:r>
          </w:p>
        </w:tc>
        <w:tc>
          <w:tcPr>
            <w:tcW w:w="794" w:type="dxa"/>
          </w:tcPr>
          <w:p w14:paraId="267DD974" w14:textId="77777777" w:rsidR="00AB205D" w:rsidRDefault="00471A3B">
            <w:pPr>
              <w:cnfStyle w:val="000000000000" w:firstRow="0" w:lastRow="0" w:firstColumn="0" w:lastColumn="0" w:oddVBand="0" w:evenVBand="0" w:oddHBand="0" w:evenHBand="0" w:firstRowFirstColumn="0" w:firstRowLastColumn="0" w:lastRowFirstColumn="0" w:lastRowLastColumn="0"/>
            </w:pPr>
            <w:r>
              <w:t>384</w:t>
            </w:r>
          </w:p>
        </w:tc>
        <w:tc>
          <w:tcPr>
            <w:tcW w:w="794" w:type="dxa"/>
          </w:tcPr>
          <w:p w14:paraId="450BEDEA" w14:textId="77777777" w:rsidR="00AB205D" w:rsidRDefault="00471A3B">
            <w:pPr>
              <w:cnfStyle w:val="000000000000" w:firstRow="0" w:lastRow="0" w:firstColumn="0" w:lastColumn="0" w:oddVBand="0" w:evenVBand="0" w:oddHBand="0" w:evenHBand="0" w:firstRowFirstColumn="0" w:firstRowLastColumn="0" w:lastRowFirstColumn="0" w:lastRowLastColumn="0"/>
            </w:pPr>
            <w:r>
              <w:t>84</w:t>
            </w:r>
          </w:p>
        </w:tc>
        <w:tc>
          <w:tcPr>
            <w:tcW w:w="794" w:type="dxa"/>
          </w:tcPr>
          <w:p w14:paraId="75B2FB61" w14:textId="77777777" w:rsidR="00AB205D" w:rsidRDefault="00471A3B">
            <w:pPr>
              <w:cnfStyle w:val="000000000000" w:firstRow="0" w:lastRow="0" w:firstColumn="0" w:lastColumn="0" w:oddVBand="0" w:evenVBand="0" w:oddHBand="0" w:evenHBand="0" w:firstRowFirstColumn="0" w:firstRowLastColumn="0" w:lastRowFirstColumn="0" w:lastRowLastColumn="0"/>
            </w:pPr>
            <w:r>
              <w:t>86</w:t>
            </w:r>
          </w:p>
        </w:tc>
      </w:tr>
      <w:tr w:rsidR="009C6724" w14:paraId="0D132591"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580C09AE" w14:textId="77777777" w:rsidR="00AB205D" w:rsidRDefault="00471A3B">
            <w:r>
              <w:t>Dividends from PNFC sector</w:t>
            </w:r>
          </w:p>
        </w:tc>
        <w:tc>
          <w:tcPr>
            <w:tcW w:w="794" w:type="dxa"/>
          </w:tcPr>
          <w:p w14:paraId="60DC4FDF" w14:textId="77777777" w:rsidR="00AB205D" w:rsidRDefault="00471A3B">
            <w:pPr>
              <w:cnfStyle w:val="000000000000" w:firstRow="0" w:lastRow="0" w:firstColumn="0" w:lastColumn="0" w:oddVBand="0" w:evenVBand="0" w:oddHBand="0" w:evenHBand="0" w:firstRowFirstColumn="0" w:firstRowLastColumn="0" w:lastRowFirstColumn="0" w:lastRowLastColumn="0"/>
            </w:pPr>
            <w:r>
              <w:t>162</w:t>
            </w:r>
          </w:p>
        </w:tc>
        <w:tc>
          <w:tcPr>
            <w:tcW w:w="794" w:type="dxa"/>
          </w:tcPr>
          <w:p w14:paraId="7EF0FAEB" w14:textId="77777777" w:rsidR="00AB205D" w:rsidRDefault="00471A3B">
            <w:pPr>
              <w:cnfStyle w:val="000000000000" w:firstRow="0" w:lastRow="0" w:firstColumn="0" w:lastColumn="0" w:oddVBand="0" w:evenVBand="0" w:oddHBand="0" w:evenHBand="0" w:firstRowFirstColumn="0" w:firstRowLastColumn="0" w:lastRowFirstColumn="0" w:lastRowLastColumn="0"/>
            </w:pPr>
            <w:r>
              <w:t>163</w:t>
            </w:r>
          </w:p>
        </w:tc>
        <w:tc>
          <w:tcPr>
            <w:tcW w:w="794" w:type="dxa"/>
          </w:tcPr>
          <w:p w14:paraId="7DD71290" w14:textId="77777777" w:rsidR="00AB205D" w:rsidRDefault="00471A3B">
            <w:pPr>
              <w:cnfStyle w:val="000000000000" w:firstRow="0" w:lastRow="0" w:firstColumn="0" w:lastColumn="0" w:oddVBand="0" w:evenVBand="0" w:oddHBand="0" w:evenHBand="0" w:firstRowFirstColumn="0" w:firstRowLastColumn="0" w:lastRowFirstColumn="0" w:lastRowLastColumn="0"/>
            </w:pPr>
            <w:r>
              <w:t>176</w:t>
            </w:r>
          </w:p>
        </w:tc>
        <w:tc>
          <w:tcPr>
            <w:tcW w:w="794" w:type="dxa"/>
          </w:tcPr>
          <w:p w14:paraId="3EF00EA1" w14:textId="77777777" w:rsidR="00AB205D" w:rsidRDefault="00471A3B">
            <w:pPr>
              <w:cnfStyle w:val="000000000000" w:firstRow="0" w:lastRow="0" w:firstColumn="0" w:lastColumn="0" w:oddVBand="0" w:evenVBand="0" w:oddHBand="0" w:evenHBand="0" w:firstRowFirstColumn="0" w:firstRowLastColumn="0" w:lastRowFirstColumn="0" w:lastRowLastColumn="0"/>
            </w:pPr>
            <w:r>
              <w:t>199</w:t>
            </w:r>
          </w:p>
        </w:tc>
        <w:tc>
          <w:tcPr>
            <w:tcW w:w="794" w:type="dxa"/>
          </w:tcPr>
          <w:p w14:paraId="1A6E1B1F" w14:textId="77777777" w:rsidR="00AB205D" w:rsidRDefault="00471A3B">
            <w:pPr>
              <w:cnfStyle w:val="000000000000" w:firstRow="0" w:lastRow="0" w:firstColumn="0" w:lastColumn="0" w:oddVBand="0" w:evenVBand="0" w:oddHBand="0" w:evenHBand="0" w:firstRowFirstColumn="0" w:firstRowLastColumn="0" w:lastRowFirstColumn="0" w:lastRowLastColumn="0"/>
            </w:pPr>
            <w:r>
              <w:t>191</w:t>
            </w:r>
          </w:p>
        </w:tc>
      </w:tr>
      <w:tr w:rsidR="009C6724" w14:paraId="787F2C23"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3294F315" w14:textId="77777777" w:rsidR="00AB205D" w:rsidRDefault="00471A3B">
            <w:r>
              <w:t>Dividends from non</w:t>
            </w:r>
            <w:r>
              <w:noBreakHyphen/>
              <w:t>public sector</w:t>
            </w:r>
          </w:p>
        </w:tc>
        <w:tc>
          <w:tcPr>
            <w:tcW w:w="794" w:type="dxa"/>
            <w:tcBorders>
              <w:bottom w:val="single" w:sz="6" w:space="0" w:color="auto"/>
            </w:tcBorders>
          </w:tcPr>
          <w:p w14:paraId="173E4A71" w14:textId="77777777" w:rsidR="00AB205D" w:rsidRDefault="00471A3B">
            <w:pPr>
              <w:cnfStyle w:val="000000000000" w:firstRow="0" w:lastRow="0" w:firstColumn="0" w:lastColumn="0" w:oddVBand="0" w:evenVBand="0" w:oddHBand="0" w:evenHBand="0" w:firstRowFirstColumn="0" w:firstRowLastColumn="0" w:lastRowFirstColumn="0" w:lastRowLastColumn="0"/>
            </w:pPr>
            <w:r>
              <w:t>236</w:t>
            </w:r>
          </w:p>
        </w:tc>
        <w:tc>
          <w:tcPr>
            <w:tcW w:w="794" w:type="dxa"/>
            <w:tcBorders>
              <w:bottom w:val="single" w:sz="6" w:space="0" w:color="auto"/>
            </w:tcBorders>
          </w:tcPr>
          <w:p w14:paraId="4BBA9469" w14:textId="77777777" w:rsidR="00AB205D" w:rsidRDefault="00471A3B">
            <w:pPr>
              <w:cnfStyle w:val="000000000000" w:firstRow="0" w:lastRow="0" w:firstColumn="0" w:lastColumn="0" w:oddVBand="0" w:evenVBand="0" w:oddHBand="0" w:evenHBand="0" w:firstRowFirstColumn="0" w:firstRowLastColumn="0" w:lastRowFirstColumn="0" w:lastRowLastColumn="0"/>
            </w:pPr>
            <w:r>
              <w:t>277</w:t>
            </w:r>
          </w:p>
        </w:tc>
        <w:tc>
          <w:tcPr>
            <w:tcW w:w="794" w:type="dxa"/>
            <w:tcBorders>
              <w:bottom w:val="single" w:sz="6" w:space="0" w:color="auto"/>
            </w:tcBorders>
          </w:tcPr>
          <w:p w14:paraId="4FDC654C" w14:textId="77777777" w:rsidR="00AB205D" w:rsidRDefault="00471A3B">
            <w:pPr>
              <w:cnfStyle w:val="000000000000" w:firstRow="0" w:lastRow="0" w:firstColumn="0" w:lastColumn="0" w:oddVBand="0" w:evenVBand="0" w:oddHBand="0" w:evenHBand="0" w:firstRowFirstColumn="0" w:firstRowLastColumn="0" w:lastRowFirstColumn="0" w:lastRowLastColumn="0"/>
            </w:pPr>
            <w:r>
              <w:t>528</w:t>
            </w:r>
          </w:p>
        </w:tc>
        <w:tc>
          <w:tcPr>
            <w:tcW w:w="794" w:type="dxa"/>
            <w:tcBorders>
              <w:bottom w:val="single" w:sz="6" w:space="0" w:color="auto"/>
            </w:tcBorders>
          </w:tcPr>
          <w:p w14:paraId="5526F6B1" w14:textId="77777777" w:rsidR="00AB205D" w:rsidRDefault="00471A3B">
            <w:pPr>
              <w:cnfStyle w:val="000000000000" w:firstRow="0" w:lastRow="0" w:firstColumn="0" w:lastColumn="0" w:oddVBand="0" w:evenVBand="0" w:oddHBand="0" w:evenHBand="0" w:firstRowFirstColumn="0" w:firstRowLastColumn="0" w:lastRowFirstColumn="0" w:lastRowLastColumn="0"/>
            </w:pPr>
            <w:r>
              <w:t>637</w:t>
            </w:r>
          </w:p>
        </w:tc>
        <w:tc>
          <w:tcPr>
            <w:tcW w:w="794" w:type="dxa"/>
            <w:tcBorders>
              <w:bottom w:val="single" w:sz="6" w:space="0" w:color="auto"/>
            </w:tcBorders>
          </w:tcPr>
          <w:p w14:paraId="52D2B539" w14:textId="77777777" w:rsidR="00AB205D" w:rsidRDefault="00471A3B">
            <w:pPr>
              <w:cnfStyle w:val="000000000000" w:firstRow="0" w:lastRow="0" w:firstColumn="0" w:lastColumn="0" w:oddVBand="0" w:evenVBand="0" w:oddHBand="0" w:evenHBand="0" w:firstRowFirstColumn="0" w:firstRowLastColumn="0" w:lastRowFirstColumn="0" w:lastRowLastColumn="0"/>
            </w:pPr>
            <w:r>
              <w:t>702</w:t>
            </w:r>
          </w:p>
        </w:tc>
      </w:tr>
      <w:tr w:rsidR="009C6724" w14:paraId="0FBD0D58"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41CD3227" w14:textId="77777777" w:rsidR="00AB205D" w:rsidRDefault="00471A3B">
            <w:r>
              <w:rPr>
                <w:b/>
              </w:rPr>
              <w:t>Dividends</w:t>
            </w:r>
          </w:p>
        </w:tc>
        <w:tc>
          <w:tcPr>
            <w:tcW w:w="794" w:type="dxa"/>
            <w:tcBorders>
              <w:top w:val="single" w:sz="6" w:space="0" w:color="auto"/>
            </w:tcBorders>
          </w:tcPr>
          <w:p w14:paraId="7809CA5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1 008</w:t>
            </w:r>
          </w:p>
        </w:tc>
        <w:tc>
          <w:tcPr>
            <w:tcW w:w="794" w:type="dxa"/>
            <w:tcBorders>
              <w:top w:val="single" w:sz="6" w:space="0" w:color="auto"/>
            </w:tcBorders>
          </w:tcPr>
          <w:p w14:paraId="2AA3A8E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1 688</w:t>
            </w:r>
          </w:p>
        </w:tc>
        <w:tc>
          <w:tcPr>
            <w:tcW w:w="794" w:type="dxa"/>
            <w:tcBorders>
              <w:top w:val="single" w:sz="6" w:space="0" w:color="auto"/>
            </w:tcBorders>
          </w:tcPr>
          <w:p w14:paraId="6394266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1 088</w:t>
            </w:r>
          </w:p>
        </w:tc>
        <w:tc>
          <w:tcPr>
            <w:tcW w:w="794" w:type="dxa"/>
            <w:tcBorders>
              <w:top w:val="single" w:sz="6" w:space="0" w:color="auto"/>
            </w:tcBorders>
          </w:tcPr>
          <w:p w14:paraId="4591E78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921</w:t>
            </w:r>
          </w:p>
        </w:tc>
        <w:tc>
          <w:tcPr>
            <w:tcW w:w="794" w:type="dxa"/>
            <w:tcBorders>
              <w:top w:val="single" w:sz="6" w:space="0" w:color="auto"/>
            </w:tcBorders>
          </w:tcPr>
          <w:p w14:paraId="096C030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979</w:t>
            </w:r>
          </w:p>
        </w:tc>
      </w:tr>
      <w:tr w:rsidR="009C6724" w14:paraId="3F3FCF29"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62B5AEBA" w14:textId="77777777" w:rsidR="00AB205D" w:rsidRDefault="00471A3B">
            <w:r>
              <w:t>Income tax equivalent income from PFC sector</w:t>
            </w:r>
          </w:p>
        </w:tc>
        <w:tc>
          <w:tcPr>
            <w:tcW w:w="794" w:type="dxa"/>
          </w:tcPr>
          <w:p w14:paraId="6EFCF387" w14:textId="77777777" w:rsidR="00AB205D" w:rsidRDefault="00471A3B">
            <w:pPr>
              <w:cnfStyle w:val="000000000000" w:firstRow="0" w:lastRow="0" w:firstColumn="0" w:lastColumn="0" w:oddVBand="0" w:evenVBand="0" w:oddHBand="0" w:evenHBand="0" w:firstRowFirstColumn="0" w:firstRowLastColumn="0" w:lastRowFirstColumn="0" w:lastRowLastColumn="0"/>
            </w:pPr>
            <w:r>
              <w:t>8</w:t>
            </w:r>
          </w:p>
        </w:tc>
        <w:tc>
          <w:tcPr>
            <w:tcW w:w="794" w:type="dxa"/>
          </w:tcPr>
          <w:p w14:paraId="791779B3" w14:textId="77777777" w:rsidR="00AB205D" w:rsidRDefault="00471A3B">
            <w:pPr>
              <w:cnfStyle w:val="000000000000" w:firstRow="0" w:lastRow="0" w:firstColumn="0" w:lastColumn="0" w:oddVBand="0" w:evenVBand="0" w:oddHBand="0" w:evenHBand="0" w:firstRowFirstColumn="0" w:firstRowLastColumn="0" w:lastRowFirstColumn="0" w:lastRowLastColumn="0"/>
            </w:pPr>
            <w:r>
              <w:t>238</w:t>
            </w:r>
          </w:p>
        </w:tc>
        <w:tc>
          <w:tcPr>
            <w:tcW w:w="794" w:type="dxa"/>
          </w:tcPr>
          <w:p w14:paraId="14A4CB61" w14:textId="77777777" w:rsidR="00AB205D" w:rsidRDefault="00471A3B">
            <w:pPr>
              <w:cnfStyle w:val="000000000000" w:firstRow="0" w:lastRow="0" w:firstColumn="0" w:lastColumn="0" w:oddVBand="0" w:evenVBand="0" w:oddHBand="0" w:evenHBand="0" w:firstRowFirstColumn="0" w:firstRowLastColumn="0" w:lastRowFirstColumn="0" w:lastRowLastColumn="0"/>
            </w:pPr>
            <w:r>
              <w:t>7</w:t>
            </w:r>
          </w:p>
        </w:tc>
        <w:tc>
          <w:tcPr>
            <w:tcW w:w="794" w:type="dxa"/>
          </w:tcPr>
          <w:p w14:paraId="111B0BC0" w14:textId="77777777" w:rsidR="00AB205D" w:rsidRDefault="00471A3B">
            <w:pPr>
              <w:cnfStyle w:val="000000000000" w:firstRow="0" w:lastRow="0" w:firstColumn="0" w:lastColumn="0" w:oddVBand="0" w:evenVBand="0" w:oddHBand="0" w:evenHBand="0" w:firstRowFirstColumn="0" w:firstRowLastColumn="0" w:lastRowFirstColumn="0" w:lastRowLastColumn="0"/>
            </w:pPr>
            <w:r>
              <w:t>11</w:t>
            </w:r>
          </w:p>
        </w:tc>
        <w:tc>
          <w:tcPr>
            <w:tcW w:w="794" w:type="dxa"/>
          </w:tcPr>
          <w:p w14:paraId="559E917A" w14:textId="77777777" w:rsidR="00AB205D" w:rsidRDefault="00471A3B">
            <w:pPr>
              <w:cnfStyle w:val="000000000000" w:firstRow="0" w:lastRow="0" w:firstColumn="0" w:lastColumn="0" w:oddVBand="0" w:evenVBand="0" w:oddHBand="0" w:evenHBand="0" w:firstRowFirstColumn="0" w:firstRowLastColumn="0" w:lastRowFirstColumn="0" w:lastRowLastColumn="0"/>
            </w:pPr>
            <w:r>
              <w:t>12</w:t>
            </w:r>
          </w:p>
        </w:tc>
      </w:tr>
      <w:tr w:rsidR="009C6724" w14:paraId="6099D2D8"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0DFB2992" w14:textId="77777777" w:rsidR="00AB205D" w:rsidRDefault="00471A3B">
            <w:r>
              <w:t>Income tax equivalent income from PNFC sector</w:t>
            </w:r>
          </w:p>
        </w:tc>
        <w:tc>
          <w:tcPr>
            <w:tcW w:w="794" w:type="dxa"/>
            <w:tcBorders>
              <w:bottom w:val="single" w:sz="6" w:space="0" w:color="auto"/>
            </w:tcBorders>
          </w:tcPr>
          <w:p w14:paraId="77767910" w14:textId="77777777" w:rsidR="00AB205D" w:rsidRDefault="00471A3B">
            <w:pPr>
              <w:cnfStyle w:val="000000000000" w:firstRow="0" w:lastRow="0" w:firstColumn="0" w:lastColumn="0" w:oddVBand="0" w:evenVBand="0" w:oddHBand="0" w:evenHBand="0" w:firstRowFirstColumn="0" w:firstRowLastColumn="0" w:lastRowFirstColumn="0" w:lastRowLastColumn="0"/>
            </w:pPr>
            <w:r>
              <w:t>254</w:t>
            </w:r>
          </w:p>
        </w:tc>
        <w:tc>
          <w:tcPr>
            <w:tcW w:w="794" w:type="dxa"/>
            <w:tcBorders>
              <w:bottom w:val="single" w:sz="6" w:space="0" w:color="auto"/>
            </w:tcBorders>
          </w:tcPr>
          <w:p w14:paraId="170F4F67" w14:textId="77777777" w:rsidR="00AB205D" w:rsidRDefault="00471A3B">
            <w:pPr>
              <w:cnfStyle w:val="000000000000" w:firstRow="0" w:lastRow="0" w:firstColumn="0" w:lastColumn="0" w:oddVBand="0" w:evenVBand="0" w:oddHBand="0" w:evenHBand="0" w:firstRowFirstColumn="0" w:firstRowLastColumn="0" w:lastRowFirstColumn="0" w:lastRowLastColumn="0"/>
            </w:pPr>
            <w:r>
              <w:t>254</w:t>
            </w:r>
          </w:p>
        </w:tc>
        <w:tc>
          <w:tcPr>
            <w:tcW w:w="794" w:type="dxa"/>
            <w:tcBorders>
              <w:bottom w:val="single" w:sz="6" w:space="0" w:color="auto"/>
            </w:tcBorders>
          </w:tcPr>
          <w:p w14:paraId="4165EE2C" w14:textId="77777777" w:rsidR="00AB205D" w:rsidRDefault="00471A3B">
            <w:pPr>
              <w:cnfStyle w:val="000000000000" w:firstRow="0" w:lastRow="0" w:firstColumn="0" w:lastColumn="0" w:oddVBand="0" w:evenVBand="0" w:oddHBand="0" w:evenHBand="0" w:firstRowFirstColumn="0" w:firstRowLastColumn="0" w:lastRowFirstColumn="0" w:lastRowLastColumn="0"/>
            </w:pPr>
            <w:r>
              <w:t>236</w:t>
            </w:r>
          </w:p>
        </w:tc>
        <w:tc>
          <w:tcPr>
            <w:tcW w:w="794" w:type="dxa"/>
            <w:tcBorders>
              <w:bottom w:val="single" w:sz="6" w:space="0" w:color="auto"/>
            </w:tcBorders>
          </w:tcPr>
          <w:p w14:paraId="7E6ED9F5" w14:textId="77777777" w:rsidR="00AB205D" w:rsidRDefault="00471A3B">
            <w:pPr>
              <w:cnfStyle w:val="000000000000" w:firstRow="0" w:lastRow="0" w:firstColumn="0" w:lastColumn="0" w:oddVBand="0" w:evenVBand="0" w:oddHBand="0" w:evenHBand="0" w:firstRowFirstColumn="0" w:firstRowLastColumn="0" w:lastRowFirstColumn="0" w:lastRowLastColumn="0"/>
            </w:pPr>
            <w:r>
              <w:t>266</w:t>
            </w:r>
          </w:p>
        </w:tc>
        <w:tc>
          <w:tcPr>
            <w:tcW w:w="794" w:type="dxa"/>
            <w:tcBorders>
              <w:bottom w:val="single" w:sz="6" w:space="0" w:color="auto"/>
            </w:tcBorders>
          </w:tcPr>
          <w:p w14:paraId="7DAC933F" w14:textId="77777777" w:rsidR="00AB205D" w:rsidRDefault="00471A3B">
            <w:pPr>
              <w:cnfStyle w:val="000000000000" w:firstRow="0" w:lastRow="0" w:firstColumn="0" w:lastColumn="0" w:oddVBand="0" w:evenVBand="0" w:oddHBand="0" w:evenHBand="0" w:firstRowFirstColumn="0" w:firstRowLastColumn="0" w:lastRowFirstColumn="0" w:lastRowLastColumn="0"/>
            </w:pPr>
            <w:r>
              <w:t>263</w:t>
            </w:r>
          </w:p>
        </w:tc>
      </w:tr>
      <w:tr w:rsidR="009C6724" w14:paraId="6F8977D4"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083A8529" w14:textId="77777777" w:rsidR="00AB205D" w:rsidRDefault="00471A3B">
            <w:r>
              <w:rPr>
                <w:b/>
              </w:rPr>
              <w:t>Income tax equivalent income</w:t>
            </w:r>
          </w:p>
        </w:tc>
        <w:tc>
          <w:tcPr>
            <w:tcW w:w="794" w:type="dxa"/>
            <w:tcBorders>
              <w:top w:val="single" w:sz="6" w:space="0" w:color="auto"/>
            </w:tcBorders>
          </w:tcPr>
          <w:p w14:paraId="48131D7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261</w:t>
            </w:r>
          </w:p>
        </w:tc>
        <w:tc>
          <w:tcPr>
            <w:tcW w:w="794" w:type="dxa"/>
            <w:tcBorders>
              <w:top w:val="single" w:sz="6" w:space="0" w:color="auto"/>
            </w:tcBorders>
          </w:tcPr>
          <w:p w14:paraId="205DE7C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492</w:t>
            </w:r>
          </w:p>
        </w:tc>
        <w:tc>
          <w:tcPr>
            <w:tcW w:w="794" w:type="dxa"/>
            <w:tcBorders>
              <w:top w:val="single" w:sz="6" w:space="0" w:color="auto"/>
            </w:tcBorders>
          </w:tcPr>
          <w:p w14:paraId="4D9066D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244</w:t>
            </w:r>
          </w:p>
        </w:tc>
        <w:tc>
          <w:tcPr>
            <w:tcW w:w="794" w:type="dxa"/>
            <w:tcBorders>
              <w:top w:val="single" w:sz="6" w:space="0" w:color="auto"/>
            </w:tcBorders>
          </w:tcPr>
          <w:p w14:paraId="37C6723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276</w:t>
            </w:r>
          </w:p>
        </w:tc>
        <w:tc>
          <w:tcPr>
            <w:tcW w:w="794" w:type="dxa"/>
            <w:tcBorders>
              <w:top w:val="single" w:sz="6" w:space="0" w:color="auto"/>
            </w:tcBorders>
          </w:tcPr>
          <w:p w14:paraId="53188A9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274</w:t>
            </w:r>
          </w:p>
        </w:tc>
      </w:tr>
      <w:tr w:rsidR="009C6724" w14:paraId="27D9C610"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07C6E9F8" w14:textId="77777777" w:rsidR="00AB205D" w:rsidRDefault="00471A3B">
            <w:r>
              <w:t>Local government rate equivalent income</w:t>
            </w:r>
          </w:p>
        </w:tc>
        <w:tc>
          <w:tcPr>
            <w:tcW w:w="794" w:type="dxa"/>
            <w:tcBorders>
              <w:bottom w:val="single" w:sz="6" w:space="0" w:color="auto"/>
            </w:tcBorders>
          </w:tcPr>
          <w:p w14:paraId="750A7C93" w14:textId="77777777" w:rsidR="00AB205D" w:rsidRDefault="00471A3B">
            <w:pPr>
              <w:cnfStyle w:val="000000000000" w:firstRow="0" w:lastRow="0" w:firstColumn="0" w:lastColumn="0" w:oddVBand="0" w:evenVBand="0" w:oddHBand="0" w:evenHBand="0" w:firstRowFirstColumn="0" w:firstRowLastColumn="0" w:lastRowFirstColumn="0" w:lastRowLastColumn="0"/>
            </w:pPr>
            <w:r>
              <w:t>5</w:t>
            </w:r>
          </w:p>
        </w:tc>
        <w:tc>
          <w:tcPr>
            <w:tcW w:w="794" w:type="dxa"/>
            <w:tcBorders>
              <w:bottom w:val="single" w:sz="6" w:space="0" w:color="auto"/>
            </w:tcBorders>
          </w:tcPr>
          <w:p w14:paraId="2E59F70F" w14:textId="77777777" w:rsidR="00AB205D" w:rsidRDefault="00471A3B">
            <w:pPr>
              <w:cnfStyle w:val="000000000000" w:firstRow="0" w:lastRow="0" w:firstColumn="0" w:lastColumn="0" w:oddVBand="0" w:evenVBand="0" w:oddHBand="0" w:evenHBand="0" w:firstRowFirstColumn="0" w:firstRowLastColumn="0" w:lastRowFirstColumn="0" w:lastRowLastColumn="0"/>
            </w:pPr>
            <w:r>
              <w:t>5</w:t>
            </w:r>
          </w:p>
        </w:tc>
        <w:tc>
          <w:tcPr>
            <w:tcW w:w="794" w:type="dxa"/>
            <w:tcBorders>
              <w:bottom w:val="single" w:sz="6" w:space="0" w:color="auto"/>
            </w:tcBorders>
          </w:tcPr>
          <w:p w14:paraId="4C67C467" w14:textId="77777777" w:rsidR="00AB205D" w:rsidRDefault="00471A3B">
            <w:pPr>
              <w:cnfStyle w:val="000000000000" w:firstRow="0" w:lastRow="0" w:firstColumn="0" w:lastColumn="0" w:oddVBand="0" w:evenVBand="0" w:oddHBand="0" w:evenHBand="0" w:firstRowFirstColumn="0" w:firstRowLastColumn="0" w:lastRowFirstColumn="0" w:lastRowLastColumn="0"/>
            </w:pPr>
            <w:r>
              <w:t>6</w:t>
            </w:r>
          </w:p>
        </w:tc>
        <w:tc>
          <w:tcPr>
            <w:tcW w:w="794" w:type="dxa"/>
            <w:tcBorders>
              <w:bottom w:val="single" w:sz="6" w:space="0" w:color="auto"/>
            </w:tcBorders>
          </w:tcPr>
          <w:p w14:paraId="43E687F9" w14:textId="77777777" w:rsidR="00AB205D" w:rsidRDefault="00471A3B">
            <w:pPr>
              <w:cnfStyle w:val="000000000000" w:firstRow="0" w:lastRow="0" w:firstColumn="0" w:lastColumn="0" w:oddVBand="0" w:evenVBand="0" w:oddHBand="0" w:evenHBand="0" w:firstRowFirstColumn="0" w:firstRowLastColumn="0" w:lastRowFirstColumn="0" w:lastRowLastColumn="0"/>
            </w:pPr>
            <w:r>
              <w:t>5</w:t>
            </w:r>
          </w:p>
        </w:tc>
        <w:tc>
          <w:tcPr>
            <w:tcW w:w="794" w:type="dxa"/>
            <w:tcBorders>
              <w:bottom w:val="single" w:sz="6" w:space="0" w:color="auto"/>
            </w:tcBorders>
          </w:tcPr>
          <w:p w14:paraId="7DFB2C27" w14:textId="77777777" w:rsidR="00AB205D" w:rsidRDefault="00471A3B">
            <w:pPr>
              <w:cnfStyle w:val="000000000000" w:firstRow="0" w:lastRow="0" w:firstColumn="0" w:lastColumn="0" w:oddVBand="0" w:evenVBand="0" w:oddHBand="0" w:evenHBand="0" w:firstRowFirstColumn="0" w:firstRowLastColumn="0" w:lastRowFirstColumn="0" w:lastRowLastColumn="0"/>
            </w:pPr>
            <w:r>
              <w:t>5</w:t>
            </w:r>
          </w:p>
        </w:tc>
      </w:tr>
      <w:tr w:rsidR="009C6724" w14:paraId="40723617"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68900AE2" w14:textId="5AC008C4" w:rsidR="00AB205D" w:rsidRDefault="00471A3B">
            <w:r>
              <w:rPr>
                <w:b/>
              </w:rPr>
              <w:t xml:space="preserve">Total dividends, income tax equivalent and </w:t>
            </w:r>
            <w:r w:rsidR="00FA005E">
              <w:rPr>
                <w:b/>
              </w:rPr>
              <w:br/>
            </w:r>
            <w:r>
              <w:rPr>
                <w:b/>
              </w:rPr>
              <w:t>rate equivalent income</w:t>
            </w:r>
          </w:p>
        </w:tc>
        <w:tc>
          <w:tcPr>
            <w:tcW w:w="794" w:type="dxa"/>
            <w:tcBorders>
              <w:top w:val="single" w:sz="6" w:space="0" w:color="auto"/>
              <w:bottom w:val="single" w:sz="12" w:space="0" w:color="auto"/>
            </w:tcBorders>
          </w:tcPr>
          <w:p w14:paraId="78FE6D5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1 275</w:t>
            </w:r>
          </w:p>
        </w:tc>
        <w:tc>
          <w:tcPr>
            <w:tcW w:w="794" w:type="dxa"/>
            <w:tcBorders>
              <w:top w:val="single" w:sz="6" w:space="0" w:color="auto"/>
              <w:bottom w:val="single" w:sz="12" w:space="0" w:color="auto"/>
            </w:tcBorders>
          </w:tcPr>
          <w:p w14:paraId="53B5C2B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2 185</w:t>
            </w:r>
          </w:p>
        </w:tc>
        <w:tc>
          <w:tcPr>
            <w:tcW w:w="794" w:type="dxa"/>
            <w:tcBorders>
              <w:top w:val="single" w:sz="6" w:space="0" w:color="auto"/>
              <w:bottom w:val="single" w:sz="12" w:space="0" w:color="auto"/>
            </w:tcBorders>
          </w:tcPr>
          <w:p w14:paraId="7EFC39D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1 337</w:t>
            </w:r>
          </w:p>
        </w:tc>
        <w:tc>
          <w:tcPr>
            <w:tcW w:w="794" w:type="dxa"/>
            <w:tcBorders>
              <w:top w:val="single" w:sz="6" w:space="0" w:color="auto"/>
              <w:bottom w:val="single" w:sz="12" w:space="0" w:color="auto"/>
            </w:tcBorders>
          </w:tcPr>
          <w:p w14:paraId="2D4449B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1 203</w:t>
            </w:r>
          </w:p>
        </w:tc>
        <w:tc>
          <w:tcPr>
            <w:tcW w:w="794" w:type="dxa"/>
            <w:tcBorders>
              <w:top w:val="single" w:sz="6" w:space="0" w:color="auto"/>
              <w:bottom w:val="single" w:sz="12" w:space="0" w:color="auto"/>
            </w:tcBorders>
          </w:tcPr>
          <w:p w14:paraId="2FCC01E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1 258</w:t>
            </w:r>
          </w:p>
        </w:tc>
      </w:tr>
    </w:tbl>
    <w:p w14:paraId="7891E027" w14:textId="410F063C" w:rsidR="00AB205D" w:rsidRDefault="00AB205D"/>
    <w:p w14:paraId="786EFF57" w14:textId="77777777" w:rsidR="00FA005E" w:rsidRDefault="00FA005E"/>
    <w:p w14:paraId="0F51232B" w14:textId="77777777" w:rsidR="00AB205D" w:rsidRDefault="00471A3B">
      <w:pPr>
        <w:pStyle w:val="TableHeading"/>
      </w:pPr>
      <w:r w:rsidRPr="00901F0C">
        <w:t xml:space="preserve">Dividends by entity </w:t>
      </w:r>
      <w:r w:rsidRPr="00901F0C">
        <w:rPr>
          <w:vertAlign w:val="superscript"/>
        </w:rPr>
        <w:t>(a)</w:t>
      </w:r>
      <w:r w:rsidRPr="00901F0C">
        <w:tab/>
        <w:t>($ million)</w:t>
      </w:r>
    </w:p>
    <w:tbl>
      <w:tblPr>
        <w:tblStyle w:val="DTFTableNumeric"/>
        <w:tblW w:w="7710" w:type="dxa"/>
        <w:tblLayout w:type="fixed"/>
        <w:tblLook w:val="06A0" w:firstRow="1" w:lastRow="0" w:firstColumn="1" w:lastColumn="0" w:noHBand="1" w:noVBand="1"/>
        <w:tblDescription w:val="Type:DtfTable|Workbook:Rawdata\BudgetUpdate\Budget Update\Financial Statements\SRIMS exports\SRIMS_BU_EFS_OS.xlsx|Table:Dividends_by_entity|MergedHeadingRow:1"/>
      </w:tblPr>
      <w:tblGrid>
        <w:gridCol w:w="3740"/>
        <w:gridCol w:w="794"/>
        <w:gridCol w:w="794"/>
        <w:gridCol w:w="794"/>
        <w:gridCol w:w="794"/>
        <w:gridCol w:w="794"/>
      </w:tblGrid>
      <w:tr w:rsidR="009C6724" w14:paraId="182AF4F7"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36BEEAC9" w14:textId="77777777" w:rsidR="00AB205D" w:rsidRDefault="00AB205D">
            <w:pPr>
              <w:keepNext/>
            </w:pPr>
          </w:p>
        </w:tc>
        <w:tc>
          <w:tcPr>
            <w:tcW w:w="794" w:type="dxa"/>
          </w:tcPr>
          <w:p w14:paraId="5541E368"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budget</w:t>
            </w:r>
          </w:p>
        </w:tc>
        <w:tc>
          <w:tcPr>
            <w:tcW w:w="794" w:type="dxa"/>
          </w:tcPr>
          <w:p w14:paraId="5BBDE412"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revised</w:t>
            </w:r>
          </w:p>
        </w:tc>
        <w:tc>
          <w:tcPr>
            <w:tcW w:w="794" w:type="dxa"/>
          </w:tcPr>
          <w:p w14:paraId="1EE377D5"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r>
              <w:br/>
              <w:t>estimate</w:t>
            </w:r>
          </w:p>
        </w:tc>
        <w:tc>
          <w:tcPr>
            <w:tcW w:w="794" w:type="dxa"/>
          </w:tcPr>
          <w:p w14:paraId="1778F26F"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15F94DD0"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r>
      <w:tr w:rsidR="009C6724" w14:paraId="5AC1B88B"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3045763" w14:textId="77777777" w:rsidR="00AB205D" w:rsidRDefault="00471A3B">
            <w:r>
              <w:rPr>
                <w:b/>
              </w:rPr>
              <w:t>Public financial corporations</w:t>
            </w:r>
          </w:p>
        </w:tc>
        <w:tc>
          <w:tcPr>
            <w:tcW w:w="794" w:type="dxa"/>
          </w:tcPr>
          <w:p w14:paraId="18993886"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491A3210"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CFF714C"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EAA3026"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2205FCD8"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39D96FBE"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54D190AD" w14:textId="77777777" w:rsidR="00AB205D" w:rsidRDefault="00471A3B">
            <w:r>
              <w:t>Victorian Managed Insurance Authority</w:t>
            </w:r>
          </w:p>
        </w:tc>
        <w:tc>
          <w:tcPr>
            <w:tcW w:w="794" w:type="dxa"/>
          </w:tcPr>
          <w:p w14:paraId="06A81112"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78A3994E"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373D4743"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44E3ADFB"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6D964B73"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r>
      <w:tr w:rsidR="009C6724" w14:paraId="42ACFA77"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65A09454" w14:textId="77777777" w:rsidR="00AB205D" w:rsidRDefault="00471A3B">
            <w:r>
              <w:t>WorkSafe Victoria</w:t>
            </w:r>
          </w:p>
        </w:tc>
        <w:tc>
          <w:tcPr>
            <w:tcW w:w="794" w:type="dxa"/>
          </w:tcPr>
          <w:p w14:paraId="5C673F38"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7FF125F9"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614AD178"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0E52C6EF"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18A6663D"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56C43086"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01118BF0" w14:textId="77777777" w:rsidR="00AB205D" w:rsidRDefault="00471A3B">
            <w:r>
              <w:t>Transport Accident Commission</w:t>
            </w:r>
          </w:p>
        </w:tc>
        <w:tc>
          <w:tcPr>
            <w:tcW w:w="794" w:type="dxa"/>
          </w:tcPr>
          <w:p w14:paraId="19322E76" w14:textId="77777777" w:rsidR="00AB205D" w:rsidRDefault="00471A3B">
            <w:pPr>
              <w:cnfStyle w:val="000000000000" w:firstRow="0" w:lastRow="0" w:firstColumn="0" w:lastColumn="0" w:oddVBand="0" w:evenVBand="0" w:oddHBand="0" w:evenHBand="0" w:firstRowFirstColumn="0" w:firstRowLastColumn="0" w:lastRowFirstColumn="0" w:lastRowLastColumn="0"/>
            </w:pPr>
            <w:r>
              <w:t>525</w:t>
            </w:r>
          </w:p>
        </w:tc>
        <w:tc>
          <w:tcPr>
            <w:tcW w:w="794" w:type="dxa"/>
          </w:tcPr>
          <w:p w14:paraId="352D2828" w14:textId="77777777" w:rsidR="00AB205D" w:rsidRDefault="00471A3B">
            <w:pPr>
              <w:cnfStyle w:val="000000000000" w:firstRow="0" w:lastRow="0" w:firstColumn="0" w:lastColumn="0" w:oddVBand="0" w:evenVBand="0" w:oddHBand="0" w:evenHBand="0" w:firstRowFirstColumn="0" w:firstRowLastColumn="0" w:lastRowFirstColumn="0" w:lastRowLastColumn="0"/>
            </w:pPr>
            <w:r>
              <w:t>1 168</w:t>
            </w:r>
          </w:p>
        </w:tc>
        <w:tc>
          <w:tcPr>
            <w:tcW w:w="794" w:type="dxa"/>
          </w:tcPr>
          <w:p w14:paraId="206A49DB" w14:textId="77777777" w:rsidR="00AB205D" w:rsidRDefault="00471A3B">
            <w:pPr>
              <w:cnfStyle w:val="000000000000" w:firstRow="0" w:lastRow="0" w:firstColumn="0" w:lastColumn="0" w:oddVBand="0" w:evenVBand="0" w:oddHBand="0" w:evenHBand="0" w:firstRowFirstColumn="0" w:firstRowLastColumn="0" w:lastRowFirstColumn="0" w:lastRowLastColumn="0"/>
            </w:pPr>
            <w:r>
              <w:t>300</w:t>
            </w:r>
          </w:p>
        </w:tc>
        <w:tc>
          <w:tcPr>
            <w:tcW w:w="794" w:type="dxa"/>
          </w:tcPr>
          <w:p w14:paraId="28A0250C"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22BA0E52"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r>
      <w:tr w:rsidR="009C6724" w14:paraId="639425E8"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F8666E0" w14:textId="77777777" w:rsidR="00AB205D" w:rsidRDefault="00471A3B">
            <w:r>
              <w:t>Treasury Corporation of Victoria</w:t>
            </w:r>
          </w:p>
        </w:tc>
        <w:tc>
          <w:tcPr>
            <w:tcW w:w="794" w:type="dxa"/>
          </w:tcPr>
          <w:p w14:paraId="2225679C" w14:textId="77777777" w:rsidR="00AB205D" w:rsidRDefault="00471A3B">
            <w:pPr>
              <w:cnfStyle w:val="000000000000" w:firstRow="0" w:lastRow="0" w:firstColumn="0" w:lastColumn="0" w:oddVBand="0" w:evenVBand="0" w:oddHBand="0" w:evenHBand="0" w:firstRowFirstColumn="0" w:firstRowLastColumn="0" w:lastRowFirstColumn="0" w:lastRowLastColumn="0"/>
            </w:pPr>
            <w:r>
              <w:t>75</w:t>
            </w:r>
          </w:p>
        </w:tc>
        <w:tc>
          <w:tcPr>
            <w:tcW w:w="794" w:type="dxa"/>
          </w:tcPr>
          <w:p w14:paraId="1004830C" w14:textId="77777777" w:rsidR="00AB205D" w:rsidRDefault="00471A3B">
            <w:pPr>
              <w:cnfStyle w:val="000000000000" w:firstRow="0" w:lastRow="0" w:firstColumn="0" w:lastColumn="0" w:oddVBand="0" w:evenVBand="0" w:oddHBand="0" w:evenHBand="0" w:firstRowFirstColumn="0" w:firstRowLastColumn="0" w:lastRowFirstColumn="0" w:lastRowLastColumn="0"/>
            </w:pPr>
            <w:r>
              <w:t>75</w:t>
            </w:r>
          </w:p>
        </w:tc>
        <w:tc>
          <w:tcPr>
            <w:tcW w:w="794" w:type="dxa"/>
          </w:tcPr>
          <w:p w14:paraId="18241FC1" w14:textId="77777777" w:rsidR="00AB205D" w:rsidRDefault="00471A3B">
            <w:pPr>
              <w:cnfStyle w:val="000000000000" w:firstRow="0" w:lastRow="0" w:firstColumn="0" w:lastColumn="0" w:oddVBand="0" w:evenVBand="0" w:oddHBand="0" w:evenHBand="0" w:firstRowFirstColumn="0" w:firstRowLastColumn="0" w:lastRowFirstColumn="0" w:lastRowLastColumn="0"/>
            </w:pPr>
            <w:r>
              <w:t>75</w:t>
            </w:r>
          </w:p>
        </w:tc>
        <w:tc>
          <w:tcPr>
            <w:tcW w:w="794" w:type="dxa"/>
          </w:tcPr>
          <w:p w14:paraId="3CE2F206" w14:textId="77777777" w:rsidR="00AB205D" w:rsidRDefault="00471A3B">
            <w:pPr>
              <w:cnfStyle w:val="000000000000" w:firstRow="0" w:lastRow="0" w:firstColumn="0" w:lastColumn="0" w:oddVBand="0" w:evenVBand="0" w:oddHBand="0" w:evenHBand="0" w:firstRowFirstColumn="0" w:firstRowLastColumn="0" w:lastRowFirstColumn="0" w:lastRowLastColumn="0"/>
            </w:pPr>
            <w:r>
              <w:t>73</w:t>
            </w:r>
          </w:p>
        </w:tc>
        <w:tc>
          <w:tcPr>
            <w:tcW w:w="794" w:type="dxa"/>
          </w:tcPr>
          <w:p w14:paraId="696BB1E2" w14:textId="77777777" w:rsidR="00AB205D" w:rsidRDefault="00471A3B">
            <w:pPr>
              <w:cnfStyle w:val="000000000000" w:firstRow="0" w:lastRow="0" w:firstColumn="0" w:lastColumn="0" w:oddVBand="0" w:evenVBand="0" w:oddHBand="0" w:evenHBand="0" w:firstRowFirstColumn="0" w:firstRowLastColumn="0" w:lastRowFirstColumn="0" w:lastRowLastColumn="0"/>
            </w:pPr>
            <w:r>
              <w:t>72</w:t>
            </w:r>
          </w:p>
        </w:tc>
      </w:tr>
      <w:tr w:rsidR="009C6724" w14:paraId="3552943C"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57F2A52" w14:textId="77777777" w:rsidR="00AB205D" w:rsidRDefault="00471A3B">
            <w:r>
              <w:t>State Trustees Ltd</w:t>
            </w:r>
          </w:p>
        </w:tc>
        <w:tc>
          <w:tcPr>
            <w:tcW w:w="794" w:type="dxa"/>
          </w:tcPr>
          <w:p w14:paraId="3A875AFD" w14:textId="77777777" w:rsidR="00AB205D" w:rsidRDefault="00471A3B">
            <w:pPr>
              <w:cnfStyle w:val="000000000000" w:firstRow="0" w:lastRow="0" w:firstColumn="0" w:lastColumn="0" w:oddVBand="0" w:evenVBand="0" w:oddHBand="0" w:evenHBand="0" w:firstRowFirstColumn="0" w:firstRowLastColumn="0" w:lastRowFirstColumn="0" w:lastRowLastColumn="0"/>
            </w:pPr>
            <w:r>
              <w:t>1</w:t>
            </w:r>
          </w:p>
        </w:tc>
        <w:tc>
          <w:tcPr>
            <w:tcW w:w="794" w:type="dxa"/>
          </w:tcPr>
          <w:p w14:paraId="75BA7585"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0D3B78D0"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3D968307" w14:textId="77777777" w:rsidR="00AB205D" w:rsidRDefault="00471A3B">
            <w:pPr>
              <w:cnfStyle w:val="000000000000" w:firstRow="0" w:lastRow="0" w:firstColumn="0" w:lastColumn="0" w:oddVBand="0" w:evenVBand="0" w:oddHBand="0" w:evenHBand="0" w:firstRowFirstColumn="0" w:firstRowLastColumn="0" w:lastRowFirstColumn="0" w:lastRowLastColumn="0"/>
            </w:pPr>
            <w:r>
              <w:t>1</w:t>
            </w:r>
          </w:p>
        </w:tc>
        <w:tc>
          <w:tcPr>
            <w:tcW w:w="794" w:type="dxa"/>
          </w:tcPr>
          <w:p w14:paraId="522D779D" w14:textId="77777777" w:rsidR="00AB205D" w:rsidRDefault="00471A3B">
            <w:pPr>
              <w:cnfStyle w:val="000000000000" w:firstRow="0" w:lastRow="0" w:firstColumn="0" w:lastColumn="0" w:oddVBand="0" w:evenVBand="0" w:oddHBand="0" w:evenHBand="0" w:firstRowFirstColumn="0" w:firstRowLastColumn="0" w:lastRowFirstColumn="0" w:lastRowLastColumn="0"/>
            </w:pPr>
            <w:r>
              <w:t>1</w:t>
            </w:r>
          </w:p>
        </w:tc>
      </w:tr>
      <w:tr w:rsidR="009C6724" w14:paraId="262AD108"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C0D7F3D" w14:textId="77777777" w:rsidR="00AB205D" w:rsidRDefault="00471A3B">
            <w:r>
              <w:t>Victorian Funds Management Corporation</w:t>
            </w:r>
          </w:p>
        </w:tc>
        <w:tc>
          <w:tcPr>
            <w:tcW w:w="794" w:type="dxa"/>
          </w:tcPr>
          <w:p w14:paraId="6CD71EE6" w14:textId="77777777" w:rsidR="00AB205D" w:rsidRDefault="00471A3B">
            <w:pPr>
              <w:cnfStyle w:val="000000000000" w:firstRow="0" w:lastRow="0" w:firstColumn="0" w:lastColumn="0" w:oddVBand="0" w:evenVBand="0" w:oddHBand="0" w:evenHBand="0" w:firstRowFirstColumn="0" w:firstRowLastColumn="0" w:lastRowFirstColumn="0" w:lastRowLastColumn="0"/>
            </w:pPr>
            <w:r>
              <w:t>8</w:t>
            </w:r>
          </w:p>
        </w:tc>
        <w:tc>
          <w:tcPr>
            <w:tcW w:w="794" w:type="dxa"/>
          </w:tcPr>
          <w:p w14:paraId="13C9524C" w14:textId="77777777" w:rsidR="00AB205D" w:rsidRDefault="00471A3B">
            <w:pPr>
              <w:cnfStyle w:val="000000000000" w:firstRow="0" w:lastRow="0" w:firstColumn="0" w:lastColumn="0" w:oddVBand="0" w:evenVBand="0" w:oddHBand="0" w:evenHBand="0" w:firstRowFirstColumn="0" w:firstRowLastColumn="0" w:lastRowFirstColumn="0" w:lastRowLastColumn="0"/>
            </w:pPr>
            <w:r>
              <w:t>4</w:t>
            </w:r>
          </w:p>
        </w:tc>
        <w:tc>
          <w:tcPr>
            <w:tcW w:w="794" w:type="dxa"/>
          </w:tcPr>
          <w:p w14:paraId="2D66E116" w14:textId="77777777" w:rsidR="00AB205D" w:rsidRDefault="00471A3B">
            <w:pPr>
              <w:cnfStyle w:val="000000000000" w:firstRow="0" w:lastRow="0" w:firstColumn="0" w:lastColumn="0" w:oddVBand="0" w:evenVBand="0" w:oddHBand="0" w:evenHBand="0" w:firstRowFirstColumn="0" w:firstRowLastColumn="0" w:lastRowFirstColumn="0" w:lastRowLastColumn="0"/>
            </w:pPr>
            <w:r>
              <w:t>7</w:t>
            </w:r>
          </w:p>
        </w:tc>
        <w:tc>
          <w:tcPr>
            <w:tcW w:w="794" w:type="dxa"/>
          </w:tcPr>
          <w:p w14:paraId="5ED5DAAA" w14:textId="77777777" w:rsidR="00AB205D" w:rsidRDefault="00471A3B">
            <w:pPr>
              <w:cnfStyle w:val="000000000000" w:firstRow="0" w:lastRow="0" w:firstColumn="0" w:lastColumn="0" w:oddVBand="0" w:evenVBand="0" w:oddHBand="0" w:evenHBand="0" w:firstRowFirstColumn="0" w:firstRowLastColumn="0" w:lastRowFirstColumn="0" w:lastRowLastColumn="0"/>
            </w:pPr>
            <w:r>
              <w:t>8</w:t>
            </w:r>
          </w:p>
        </w:tc>
        <w:tc>
          <w:tcPr>
            <w:tcW w:w="794" w:type="dxa"/>
          </w:tcPr>
          <w:p w14:paraId="4D328526" w14:textId="77777777" w:rsidR="00AB205D" w:rsidRDefault="00471A3B">
            <w:pPr>
              <w:cnfStyle w:val="000000000000" w:firstRow="0" w:lastRow="0" w:firstColumn="0" w:lastColumn="0" w:oddVBand="0" w:evenVBand="0" w:oddHBand="0" w:evenHBand="0" w:firstRowFirstColumn="0" w:firstRowLastColumn="0" w:lastRowFirstColumn="0" w:lastRowLastColumn="0"/>
            </w:pPr>
            <w:r>
              <w:t>11</w:t>
            </w:r>
          </w:p>
        </w:tc>
      </w:tr>
      <w:tr w:rsidR="009C6724" w14:paraId="028D7EDD"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53A1EBA8" w14:textId="77777777" w:rsidR="00AB205D" w:rsidRDefault="00471A3B">
            <w:r>
              <w:t>Other/not allocated</w:t>
            </w:r>
            <w:r>
              <w:rPr>
                <w:vertAlign w:val="superscript"/>
              </w:rPr>
              <w:t xml:space="preserve"> (b)</w:t>
            </w:r>
          </w:p>
        </w:tc>
        <w:tc>
          <w:tcPr>
            <w:tcW w:w="794" w:type="dxa"/>
            <w:tcBorders>
              <w:bottom w:val="single" w:sz="6" w:space="0" w:color="auto"/>
            </w:tcBorders>
          </w:tcPr>
          <w:p w14:paraId="05DA7E60" w14:textId="77777777" w:rsidR="00AB205D" w:rsidRDefault="00471A3B">
            <w:pPr>
              <w:cnfStyle w:val="000000000000" w:firstRow="0" w:lastRow="0" w:firstColumn="0" w:lastColumn="0" w:oddVBand="0" w:evenVBand="0" w:oddHBand="0" w:evenHBand="0" w:firstRowFirstColumn="0" w:firstRowLastColumn="0" w:lastRowFirstColumn="0" w:lastRowLastColumn="0"/>
            </w:pPr>
            <w:r>
              <w:t>1</w:t>
            </w:r>
          </w:p>
        </w:tc>
        <w:tc>
          <w:tcPr>
            <w:tcW w:w="794" w:type="dxa"/>
            <w:tcBorders>
              <w:bottom w:val="single" w:sz="6" w:space="0" w:color="auto"/>
            </w:tcBorders>
          </w:tcPr>
          <w:p w14:paraId="2A2EE365" w14:textId="77777777" w:rsidR="00AB205D" w:rsidRDefault="00471A3B">
            <w:pPr>
              <w:cnfStyle w:val="000000000000" w:firstRow="0" w:lastRow="0" w:firstColumn="0" w:lastColumn="0" w:oddVBand="0" w:evenVBand="0" w:oddHBand="0" w:evenHBand="0" w:firstRowFirstColumn="0" w:firstRowLastColumn="0" w:lastRowFirstColumn="0" w:lastRowLastColumn="0"/>
            </w:pPr>
            <w:r>
              <w:t>1</w:t>
            </w:r>
          </w:p>
        </w:tc>
        <w:tc>
          <w:tcPr>
            <w:tcW w:w="794" w:type="dxa"/>
            <w:tcBorders>
              <w:bottom w:val="single" w:sz="6" w:space="0" w:color="auto"/>
            </w:tcBorders>
          </w:tcPr>
          <w:p w14:paraId="63D66E35" w14:textId="77777777" w:rsidR="00AB205D" w:rsidRDefault="00471A3B">
            <w:pPr>
              <w:cnfStyle w:val="000000000000" w:firstRow="0" w:lastRow="0" w:firstColumn="0" w:lastColumn="0" w:oddVBand="0" w:evenVBand="0" w:oddHBand="0" w:evenHBand="0" w:firstRowFirstColumn="0" w:firstRowLastColumn="0" w:lastRowFirstColumn="0" w:lastRowLastColumn="0"/>
            </w:pPr>
            <w:r>
              <w:t>2</w:t>
            </w:r>
          </w:p>
        </w:tc>
        <w:tc>
          <w:tcPr>
            <w:tcW w:w="794" w:type="dxa"/>
            <w:tcBorders>
              <w:bottom w:val="single" w:sz="6" w:space="0" w:color="auto"/>
            </w:tcBorders>
          </w:tcPr>
          <w:p w14:paraId="344EE343" w14:textId="77777777" w:rsidR="00AB205D" w:rsidRDefault="00471A3B">
            <w:pPr>
              <w:cnfStyle w:val="000000000000" w:firstRow="0" w:lastRow="0" w:firstColumn="0" w:lastColumn="0" w:oddVBand="0" w:evenVBand="0" w:oddHBand="0" w:evenHBand="0" w:firstRowFirstColumn="0" w:firstRowLastColumn="0" w:lastRowFirstColumn="0" w:lastRowLastColumn="0"/>
            </w:pPr>
            <w:r>
              <w:t>3</w:t>
            </w:r>
          </w:p>
        </w:tc>
        <w:tc>
          <w:tcPr>
            <w:tcW w:w="794" w:type="dxa"/>
            <w:tcBorders>
              <w:bottom w:val="single" w:sz="6" w:space="0" w:color="auto"/>
            </w:tcBorders>
          </w:tcPr>
          <w:p w14:paraId="51714C6B" w14:textId="77777777" w:rsidR="00AB205D" w:rsidRDefault="00471A3B">
            <w:pPr>
              <w:cnfStyle w:val="000000000000" w:firstRow="0" w:lastRow="0" w:firstColumn="0" w:lastColumn="0" w:oddVBand="0" w:evenVBand="0" w:oddHBand="0" w:evenHBand="0" w:firstRowFirstColumn="0" w:firstRowLastColumn="0" w:lastRowFirstColumn="0" w:lastRowLastColumn="0"/>
            </w:pPr>
            <w:r>
              <w:t>3</w:t>
            </w:r>
          </w:p>
        </w:tc>
      </w:tr>
      <w:tr w:rsidR="009C6724" w14:paraId="71998356"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09489D89" w14:textId="77777777" w:rsidR="00AB205D" w:rsidRDefault="00471A3B">
            <w:r>
              <w:rPr>
                <w:b/>
              </w:rPr>
              <w:t>Dividends from PFC sector</w:t>
            </w:r>
          </w:p>
        </w:tc>
        <w:tc>
          <w:tcPr>
            <w:tcW w:w="794" w:type="dxa"/>
            <w:tcBorders>
              <w:top w:val="single" w:sz="6" w:space="0" w:color="auto"/>
              <w:bottom w:val="single" w:sz="12" w:space="0" w:color="auto"/>
            </w:tcBorders>
          </w:tcPr>
          <w:p w14:paraId="41D03B8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610</w:t>
            </w:r>
          </w:p>
        </w:tc>
        <w:tc>
          <w:tcPr>
            <w:tcW w:w="794" w:type="dxa"/>
            <w:tcBorders>
              <w:top w:val="single" w:sz="6" w:space="0" w:color="auto"/>
              <w:bottom w:val="single" w:sz="12" w:space="0" w:color="auto"/>
            </w:tcBorders>
          </w:tcPr>
          <w:p w14:paraId="6C899C8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1 247</w:t>
            </w:r>
          </w:p>
        </w:tc>
        <w:tc>
          <w:tcPr>
            <w:tcW w:w="794" w:type="dxa"/>
            <w:tcBorders>
              <w:top w:val="single" w:sz="6" w:space="0" w:color="auto"/>
              <w:bottom w:val="single" w:sz="12" w:space="0" w:color="auto"/>
            </w:tcBorders>
          </w:tcPr>
          <w:p w14:paraId="7647C64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384</w:t>
            </w:r>
          </w:p>
        </w:tc>
        <w:tc>
          <w:tcPr>
            <w:tcW w:w="794" w:type="dxa"/>
            <w:tcBorders>
              <w:top w:val="single" w:sz="6" w:space="0" w:color="auto"/>
              <w:bottom w:val="single" w:sz="12" w:space="0" w:color="auto"/>
            </w:tcBorders>
          </w:tcPr>
          <w:p w14:paraId="3A8F8C8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84</w:t>
            </w:r>
          </w:p>
        </w:tc>
        <w:tc>
          <w:tcPr>
            <w:tcW w:w="794" w:type="dxa"/>
            <w:tcBorders>
              <w:top w:val="single" w:sz="6" w:space="0" w:color="auto"/>
              <w:bottom w:val="single" w:sz="12" w:space="0" w:color="auto"/>
            </w:tcBorders>
          </w:tcPr>
          <w:p w14:paraId="301004E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86</w:t>
            </w:r>
          </w:p>
        </w:tc>
      </w:tr>
      <w:tr w:rsidR="009C6724" w14:paraId="2EC88EB5"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29505D86" w14:textId="77777777" w:rsidR="00AB205D" w:rsidRDefault="00471A3B">
            <w:r>
              <w:rPr>
                <w:b/>
              </w:rPr>
              <w:t>Public non</w:t>
            </w:r>
            <w:r>
              <w:rPr>
                <w:b/>
              </w:rPr>
              <w:noBreakHyphen/>
              <w:t>financial corporations</w:t>
            </w:r>
          </w:p>
        </w:tc>
        <w:tc>
          <w:tcPr>
            <w:tcW w:w="794" w:type="dxa"/>
            <w:tcBorders>
              <w:top w:val="single" w:sz="6" w:space="0" w:color="auto"/>
            </w:tcBorders>
          </w:tcPr>
          <w:p w14:paraId="0B20AB16"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F501074"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D942B73"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853B79C"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EB7DDE6"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2845EC86"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5F177A89" w14:textId="77777777" w:rsidR="00AB205D" w:rsidRDefault="00471A3B">
            <w:r>
              <w:t>Greater Western Water</w:t>
            </w:r>
          </w:p>
        </w:tc>
        <w:tc>
          <w:tcPr>
            <w:tcW w:w="794" w:type="dxa"/>
          </w:tcPr>
          <w:p w14:paraId="22C4D03C" w14:textId="77777777" w:rsidR="00AB205D" w:rsidRDefault="00471A3B">
            <w:pPr>
              <w:cnfStyle w:val="000000000000" w:firstRow="0" w:lastRow="0" w:firstColumn="0" w:lastColumn="0" w:oddVBand="0" w:evenVBand="0" w:oddHBand="0" w:evenHBand="0" w:firstRowFirstColumn="0" w:firstRowLastColumn="0" w:lastRowFirstColumn="0" w:lastRowLastColumn="0"/>
            </w:pPr>
            <w:r>
              <w:t>53</w:t>
            </w:r>
          </w:p>
        </w:tc>
        <w:tc>
          <w:tcPr>
            <w:tcW w:w="794" w:type="dxa"/>
          </w:tcPr>
          <w:p w14:paraId="737547F0" w14:textId="77777777" w:rsidR="00AB205D" w:rsidRDefault="00471A3B">
            <w:pPr>
              <w:cnfStyle w:val="000000000000" w:firstRow="0" w:lastRow="0" w:firstColumn="0" w:lastColumn="0" w:oddVBand="0" w:evenVBand="0" w:oddHBand="0" w:evenHBand="0" w:firstRowFirstColumn="0" w:firstRowLastColumn="0" w:lastRowFirstColumn="0" w:lastRowLastColumn="0"/>
            </w:pPr>
            <w:r>
              <w:t>53</w:t>
            </w:r>
          </w:p>
        </w:tc>
        <w:tc>
          <w:tcPr>
            <w:tcW w:w="794" w:type="dxa"/>
          </w:tcPr>
          <w:p w14:paraId="7555C097" w14:textId="77777777" w:rsidR="00AB205D" w:rsidRDefault="00471A3B">
            <w:pPr>
              <w:cnfStyle w:val="000000000000" w:firstRow="0" w:lastRow="0" w:firstColumn="0" w:lastColumn="0" w:oddVBand="0" w:evenVBand="0" w:oddHBand="0" w:evenHBand="0" w:firstRowFirstColumn="0" w:firstRowLastColumn="0" w:lastRowFirstColumn="0" w:lastRowLastColumn="0"/>
            </w:pPr>
            <w:r>
              <w:t>57</w:t>
            </w:r>
          </w:p>
        </w:tc>
        <w:tc>
          <w:tcPr>
            <w:tcW w:w="794" w:type="dxa"/>
          </w:tcPr>
          <w:p w14:paraId="75CA4B2D" w14:textId="77777777" w:rsidR="00AB205D" w:rsidRDefault="00471A3B">
            <w:pPr>
              <w:cnfStyle w:val="000000000000" w:firstRow="0" w:lastRow="0" w:firstColumn="0" w:lastColumn="0" w:oddVBand="0" w:evenVBand="0" w:oddHBand="0" w:evenHBand="0" w:firstRowFirstColumn="0" w:firstRowLastColumn="0" w:lastRowFirstColumn="0" w:lastRowLastColumn="0"/>
            </w:pPr>
            <w:r>
              <w:t>62</w:t>
            </w:r>
          </w:p>
        </w:tc>
        <w:tc>
          <w:tcPr>
            <w:tcW w:w="794" w:type="dxa"/>
          </w:tcPr>
          <w:p w14:paraId="6CB2F3F5" w14:textId="77777777" w:rsidR="00AB205D" w:rsidRDefault="00471A3B">
            <w:pPr>
              <w:cnfStyle w:val="000000000000" w:firstRow="0" w:lastRow="0" w:firstColumn="0" w:lastColumn="0" w:oddVBand="0" w:evenVBand="0" w:oddHBand="0" w:evenHBand="0" w:firstRowFirstColumn="0" w:firstRowLastColumn="0" w:lastRowFirstColumn="0" w:lastRowLastColumn="0"/>
            </w:pPr>
            <w:r>
              <w:t>38</w:t>
            </w:r>
          </w:p>
        </w:tc>
      </w:tr>
      <w:tr w:rsidR="009C6724" w14:paraId="214498EE"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1D8FA786" w14:textId="77777777" w:rsidR="00AB205D" w:rsidRDefault="00471A3B">
            <w:r>
              <w:t>Melbourne Water Corporation</w:t>
            </w:r>
          </w:p>
        </w:tc>
        <w:tc>
          <w:tcPr>
            <w:tcW w:w="794" w:type="dxa"/>
          </w:tcPr>
          <w:p w14:paraId="2B1A872A" w14:textId="77777777" w:rsidR="00AB205D" w:rsidRDefault="00471A3B">
            <w:pPr>
              <w:cnfStyle w:val="000000000000" w:firstRow="0" w:lastRow="0" w:firstColumn="0" w:lastColumn="0" w:oddVBand="0" w:evenVBand="0" w:oddHBand="0" w:evenHBand="0" w:firstRowFirstColumn="0" w:firstRowLastColumn="0" w:lastRowFirstColumn="0" w:lastRowLastColumn="0"/>
            </w:pPr>
            <w:r>
              <w:t>13</w:t>
            </w:r>
          </w:p>
        </w:tc>
        <w:tc>
          <w:tcPr>
            <w:tcW w:w="794" w:type="dxa"/>
          </w:tcPr>
          <w:p w14:paraId="33C014AD" w14:textId="77777777" w:rsidR="00AB205D" w:rsidRDefault="00471A3B">
            <w:pPr>
              <w:cnfStyle w:val="000000000000" w:firstRow="0" w:lastRow="0" w:firstColumn="0" w:lastColumn="0" w:oddVBand="0" w:evenVBand="0" w:oddHBand="0" w:evenHBand="0" w:firstRowFirstColumn="0" w:firstRowLastColumn="0" w:lastRowFirstColumn="0" w:lastRowLastColumn="0"/>
            </w:pPr>
            <w:r>
              <w:t>13</w:t>
            </w:r>
          </w:p>
        </w:tc>
        <w:tc>
          <w:tcPr>
            <w:tcW w:w="794" w:type="dxa"/>
          </w:tcPr>
          <w:p w14:paraId="6AE5F016" w14:textId="77777777" w:rsidR="00AB205D" w:rsidRDefault="00471A3B">
            <w:pPr>
              <w:cnfStyle w:val="000000000000" w:firstRow="0" w:lastRow="0" w:firstColumn="0" w:lastColumn="0" w:oddVBand="0" w:evenVBand="0" w:oddHBand="0" w:evenHBand="0" w:firstRowFirstColumn="0" w:firstRowLastColumn="0" w:lastRowFirstColumn="0" w:lastRowLastColumn="0"/>
            </w:pPr>
            <w:r>
              <w:t>18</w:t>
            </w:r>
          </w:p>
        </w:tc>
        <w:tc>
          <w:tcPr>
            <w:tcW w:w="794" w:type="dxa"/>
          </w:tcPr>
          <w:p w14:paraId="12386186" w14:textId="77777777" w:rsidR="00AB205D" w:rsidRDefault="00471A3B">
            <w:pPr>
              <w:cnfStyle w:val="000000000000" w:firstRow="0" w:lastRow="0" w:firstColumn="0" w:lastColumn="0" w:oddVBand="0" w:evenVBand="0" w:oddHBand="0" w:evenHBand="0" w:firstRowFirstColumn="0" w:firstRowLastColumn="0" w:lastRowFirstColumn="0" w:lastRowLastColumn="0"/>
            </w:pPr>
            <w:r>
              <w:t>26</w:t>
            </w:r>
          </w:p>
        </w:tc>
        <w:tc>
          <w:tcPr>
            <w:tcW w:w="794" w:type="dxa"/>
          </w:tcPr>
          <w:p w14:paraId="180209F4" w14:textId="77777777" w:rsidR="00AB205D" w:rsidRDefault="00471A3B">
            <w:pPr>
              <w:cnfStyle w:val="000000000000" w:firstRow="0" w:lastRow="0" w:firstColumn="0" w:lastColumn="0" w:oddVBand="0" w:evenVBand="0" w:oddHBand="0" w:evenHBand="0" w:firstRowFirstColumn="0" w:firstRowLastColumn="0" w:lastRowFirstColumn="0" w:lastRowLastColumn="0"/>
            </w:pPr>
            <w:r>
              <w:t>35</w:t>
            </w:r>
          </w:p>
        </w:tc>
      </w:tr>
      <w:tr w:rsidR="009C6724" w14:paraId="75CB35A3"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5FAB9A48" w14:textId="77777777" w:rsidR="00AB205D" w:rsidRDefault="00471A3B">
            <w:r>
              <w:t>South East Water Corporation</w:t>
            </w:r>
          </w:p>
        </w:tc>
        <w:tc>
          <w:tcPr>
            <w:tcW w:w="794" w:type="dxa"/>
          </w:tcPr>
          <w:p w14:paraId="554AA25C" w14:textId="77777777" w:rsidR="00AB205D" w:rsidRDefault="00471A3B">
            <w:pPr>
              <w:cnfStyle w:val="000000000000" w:firstRow="0" w:lastRow="0" w:firstColumn="0" w:lastColumn="0" w:oddVBand="0" w:evenVBand="0" w:oddHBand="0" w:evenHBand="0" w:firstRowFirstColumn="0" w:firstRowLastColumn="0" w:lastRowFirstColumn="0" w:lastRowLastColumn="0"/>
            </w:pPr>
            <w:r>
              <w:t>24</w:t>
            </w:r>
          </w:p>
        </w:tc>
        <w:tc>
          <w:tcPr>
            <w:tcW w:w="794" w:type="dxa"/>
          </w:tcPr>
          <w:p w14:paraId="2B4373F9" w14:textId="77777777" w:rsidR="00AB205D" w:rsidRDefault="00471A3B">
            <w:pPr>
              <w:cnfStyle w:val="000000000000" w:firstRow="0" w:lastRow="0" w:firstColumn="0" w:lastColumn="0" w:oddVBand="0" w:evenVBand="0" w:oddHBand="0" w:evenHBand="0" w:firstRowFirstColumn="0" w:firstRowLastColumn="0" w:lastRowFirstColumn="0" w:lastRowLastColumn="0"/>
            </w:pPr>
            <w:r>
              <w:t>24</w:t>
            </w:r>
          </w:p>
        </w:tc>
        <w:tc>
          <w:tcPr>
            <w:tcW w:w="794" w:type="dxa"/>
          </w:tcPr>
          <w:p w14:paraId="55C4D50C" w14:textId="77777777" w:rsidR="00AB205D" w:rsidRDefault="00471A3B">
            <w:pPr>
              <w:cnfStyle w:val="000000000000" w:firstRow="0" w:lastRow="0" w:firstColumn="0" w:lastColumn="0" w:oddVBand="0" w:evenVBand="0" w:oddHBand="0" w:evenHBand="0" w:firstRowFirstColumn="0" w:firstRowLastColumn="0" w:lastRowFirstColumn="0" w:lastRowLastColumn="0"/>
            </w:pPr>
            <w:r>
              <w:t>20</w:t>
            </w:r>
          </w:p>
        </w:tc>
        <w:tc>
          <w:tcPr>
            <w:tcW w:w="794" w:type="dxa"/>
          </w:tcPr>
          <w:p w14:paraId="7B2E1309" w14:textId="77777777" w:rsidR="00AB205D" w:rsidRDefault="00471A3B">
            <w:pPr>
              <w:cnfStyle w:val="000000000000" w:firstRow="0" w:lastRow="0" w:firstColumn="0" w:lastColumn="0" w:oddVBand="0" w:evenVBand="0" w:oddHBand="0" w:evenHBand="0" w:firstRowFirstColumn="0" w:firstRowLastColumn="0" w:lastRowFirstColumn="0" w:lastRowLastColumn="0"/>
            </w:pPr>
            <w:r>
              <w:t>21</w:t>
            </w:r>
          </w:p>
        </w:tc>
        <w:tc>
          <w:tcPr>
            <w:tcW w:w="794" w:type="dxa"/>
          </w:tcPr>
          <w:p w14:paraId="319D2CC4" w14:textId="77777777" w:rsidR="00AB205D" w:rsidRDefault="00471A3B">
            <w:pPr>
              <w:cnfStyle w:val="000000000000" w:firstRow="0" w:lastRow="0" w:firstColumn="0" w:lastColumn="0" w:oddVBand="0" w:evenVBand="0" w:oddHBand="0" w:evenHBand="0" w:firstRowFirstColumn="0" w:firstRowLastColumn="0" w:lastRowFirstColumn="0" w:lastRowLastColumn="0"/>
            </w:pPr>
            <w:r>
              <w:t>27</w:t>
            </w:r>
          </w:p>
        </w:tc>
      </w:tr>
      <w:tr w:rsidR="009C6724" w14:paraId="6AC3D981"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0FD5B7A3" w14:textId="77777777" w:rsidR="00AB205D" w:rsidRDefault="00471A3B">
            <w:r>
              <w:t>Yarra Valley Water Corporation</w:t>
            </w:r>
          </w:p>
        </w:tc>
        <w:tc>
          <w:tcPr>
            <w:tcW w:w="794" w:type="dxa"/>
          </w:tcPr>
          <w:p w14:paraId="14F2A0CA" w14:textId="77777777" w:rsidR="00AB205D" w:rsidRDefault="00471A3B">
            <w:pPr>
              <w:cnfStyle w:val="000000000000" w:firstRow="0" w:lastRow="0" w:firstColumn="0" w:lastColumn="0" w:oddVBand="0" w:evenVBand="0" w:oddHBand="0" w:evenHBand="0" w:firstRowFirstColumn="0" w:firstRowLastColumn="0" w:lastRowFirstColumn="0" w:lastRowLastColumn="0"/>
            </w:pPr>
            <w:r>
              <w:t>22</w:t>
            </w:r>
          </w:p>
        </w:tc>
        <w:tc>
          <w:tcPr>
            <w:tcW w:w="794" w:type="dxa"/>
          </w:tcPr>
          <w:p w14:paraId="3B0F1E2E" w14:textId="77777777" w:rsidR="00AB205D" w:rsidRDefault="00471A3B">
            <w:pPr>
              <w:cnfStyle w:val="000000000000" w:firstRow="0" w:lastRow="0" w:firstColumn="0" w:lastColumn="0" w:oddVBand="0" w:evenVBand="0" w:oddHBand="0" w:evenHBand="0" w:firstRowFirstColumn="0" w:firstRowLastColumn="0" w:lastRowFirstColumn="0" w:lastRowLastColumn="0"/>
            </w:pPr>
            <w:r>
              <w:t>22</w:t>
            </w:r>
          </w:p>
        </w:tc>
        <w:tc>
          <w:tcPr>
            <w:tcW w:w="794" w:type="dxa"/>
          </w:tcPr>
          <w:p w14:paraId="4E059869" w14:textId="77777777" w:rsidR="00AB205D" w:rsidRDefault="00471A3B">
            <w:pPr>
              <w:cnfStyle w:val="000000000000" w:firstRow="0" w:lastRow="0" w:firstColumn="0" w:lastColumn="0" w:oddVBand="0" w:evenVBand="0" w:oddHBand="0" w:evenHBand="0" w:firstRowFirstColumn="0" w:firstRowLastColumn="0" w:lastRowFirstColumn="0" w:lastRowLastColumn="0"/>
            </w:pPr>
            <w:r>
              <w:t>11</w:t>
            </w:r>
          </w:p>
        </w:tc>
        <w:tc>
          <w:tcPr>
            <w:tcW w:w="794" w:type="dxa"/>
          </w:tcPr>
          <w:p w14:paraId="47B4DBD8" w14:textId="77777777" w:rsidR="00AB205D" w:rsidRDefault="00471A3B">
            <w:pPr>
              <w:cnfStyle w:val="000000000000" w:firstRow="0" w:lastRow="0" w:firstColumn="0" w:lastColumn="0" w:oddVBand="0" w:evenVBand="0" w:oddHBand="0" w:evenHBand="0" w:firstRowFirstColumn="0" w:firstRowLastColumn="0" w:lastRowFirstColumn="0" w:lastRowLastColumn="0"/>
            </w:pPr>
            <w:r>
              <w:t>16</w:t>
            </w:r>
          </w:p>
        </w:tc>
        <w:tc>
          <w:tcPr>
            <w:tcW w:w="794" w:type="dxa"/>
          </w:tcPr>
          <w:p w14:paraId="0062D64C" w14:textId="77777777" w:rsidR="00AB205D" w:rsidRDefault="00471A3B">
            <w:pPr>
              <w:cnfStyle w:val="000000000000" w:firstRow="0" w:lastRow="0" w:firstColumn="0" w:lastColumn="0" w:oddVBand="0" w:evenVBand="0" w:oddHBand="0" w:evenHBand="0" w:firstRowFirstColumn="0" w:firstRowLastColumn="0" w:lastRowFirstColumn="0" w:lastRowLastColumn="0"/>
            </w:pPr>
            <w:r>
              <w:t>20</w:t>
            </w:r>
          </w:p>
        </w:tc>
      </w:tr>
      <w:tr w:rsidR="009C6724" w14:paraId="35117AB6"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767C1708" w14:textId="77777777" w:rsidR="00AB205D" w:rsidRDefault="00471A3B">
            <w:r>
              <w:t>Development Victoria</w:t>
            </w:r>
          </w:p>
        </w:tc>
        <w:tc>
          <w:tcPr>
            <w:tcW w:w="794" w:type="dxa"/>
          </w:tcPr>
          <w:p w14:paraId="118C8F16" w14:textId="77777777" w:rsidR="00AB205D" w:rsidRDefault="00471A3B">
            <w:pPr>
              <w:cnfStyle w:val="000000000000" w:firstRow="0" w:lastRow="0" w:firstColumn="0" w:lastColumn="0" w:oddVBand="0" w:evenVBand="0" w:oddHBand="0" w:evenHBand="0" w:firstRowFirstColumn="0" w:firstRowLastColumn="0" w:lastRowFirstColumn="0" w:lastRowLastColumn="0"/>
            </w:pPr>
            <w:r>
              <w:t>33</w:t>
            </w:r>
          </w:p>
        </w:tc>
        <w:tc>
          <w:tcPr>
            <w:tcW w:w="794" w:type="dxa"/>
          </w:tcPr>
          <w:p w14:paraId="5859F829" w14:textId="77777777" w:rsidR="00AB205D" w:rsidRDefault="00471A3B">
            <w:pPr>
              <w:cnfStyle w:val="000000000000" w:firstRow="0" w:lastRow="0" w:firstColumn="0" w:lastColumn="0" w:oddVBand="0" w:evenVBand="0" w:oddHBand="0" w:evenHBand="0" w:firstRowFirstColumn="0" w:firstRowLastColumn="0" w:lastRowFirstColumn="0" w:lastRowLastColumn="0"/>
            </w:pPr>
            <w:r>
              <w:t>33</w:t>
            </w:r>
          </w:p>
        </w:tc>
        <w:tc>
          <w:tcPr>
            <w:tcW w:w="794" w:type="dxa"/>
          </w:tcPr>
          <w:p w14:paraId="0E922D71" w14:textId="77777777" w:rsidR="00AB205D" w:rsidRDefault="00471A3B">
            <w:pPr>
              <w:cnfStyle w:val="000000000000" w:firstRow="0" w:lastRow="0" w:firstColumn="0" w:lastColumn="0" w:oddVBand="0" w:evenVBand="0" w:oddHBand="0" w:evenHBand="0" w:firstRowFirstColumn="0" w:firstRowLastColumn="0" w:lastRowFirstColumn="0" w:lastRowLastColumn="0"/>
            </w:pPr>
            <w:r>
              <w:t>36</w:t>
            </w:r>
          </w:p>
        </w:tc>
        <w:tc>
          <w:tcPr>
            <w:tcW w:w="794" w:type="dxa"/>
          </w:tcPr>
          <w:p w14:paraId="18E5F4C9" w14:textId="77777777" w:rsidR="00AB205D" w:rsidRDefault="00471A3B">
            <w:pPr>
              <w:cnfStyle w:val="000000000000" w:firstRow="0" w:lastRow="0" w:firstColumn="0" w:lastColumn="0" w:oddVBand="0" w:evenVBand="0" w:oddHBand="0" w:evenHBand="0" w:firstRowFirstColumn="0" w:firstRowLastColumn="0" w:lastRowFirstColumn="0" w:lastRowLastColumn="0"/>
            </w:pPr>
            <w:r>
              <w:t>23</w:t>
            </w:r>
          </w:p>
        </w:tc>
        <w:tc>
          <w:tcPr>
            <w:tcW w:w="794" w:type="dxa"/>
          </w:tcPr>
          <w:p w14:paraId="48EC875B" w14:textId="77777777" w:rsidR="00AB205D" w:rsidRDefault="00471A3B">
            <w:pPr>
              <w:cnfStyle w:val="000000000000" w:firstRow="0" w:lastRow="0" w:firstColumn="0" w:lastColumn="0" w:oddVBand="0" w:evenVBand="0" w:oddHBand="0" w:evenHBand="0" w:firstRowFirstColumn="0" w:firstRowLastColumn="0" w:lastRowFirstColumn="0" w:lastRowLastColumn="0"/>
            </w:pPr>
            <w:r>
              <w:t>19</w:t>
            </w:r>
          </w:p>
        </w:tc>
      </w:tr>
      <w:tr w:rsidR="009C6724" w14:paraId="522D220C"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7A9D6AFC" w14:textId="77777777" w:rsidR="00AB205D" w:rsidRDefault="00471A3B">
            <w:r>
              <w:t>Others/not allocated</w:t>
            </w:r>
            <w:r>
              <w:rPr>
                <w:vertAlign w:val="superscript"/>
              </w:rPr>
              <w:t xml:space="preserve"> (b)</w:t>
            </w:r>
          </w:p>
        </w:tc>
        <w:tc>
          <w:tcPr>
            <w:tcW w:w="794" w:type="dxa"/>
            <w:tcBorders>
              <w:bottom w:val="single" w:sz="6" w:space="0" w:color="auto"/>
            </w:tcBorders>
          </w:tcPr>
          <w:p w14:paraId="041E41B5" w14:textId="77777777" w:rsidR="00AB205D" w:rsidRDefault="00471A3B">
            <w:pPr>
              <w:cnfStyle w:val="000000000000" w:firstRow="0" w:lastRow="0" w:firstColumn="0" w:lastColumn="0" w:oddVBand="0" w:evenVBand="0" w:oddHBand="0" w:evenHBand="0" w:firstRowFirstColumn="0" w:firstRowLastColumn="0" w:lastRowFirstColumn="0" w:lastRowLastColumn="0"/>
            </w:pPr>
            <w:r>
              <w:t>17</w:t>
            </w:r>
          </w:p>
        </w:tc>
        <w:tc>
          <w:tcPr>
            <w:tcW w:w="794" w:type="dxa"/>
            <w:tcBorders>
              <w:bottom w:val="single" w:sz="6" w:space="0" w:color="auto"/>
            </w:tcBorders>
          </w:tcPr>
          <w:p w14:paraId="17CB6F7C" w14:textId="77777777" w:rsidR="00AB205D" w:rsidRDefault="00471A3B">
            <w:pPr>
              <w:cnfStyle w:val="000000000000" w:firstRow="0" w:lastRow="0" w:firstColumn="0" w:lastColumn="0" w:oddVBand="0" w:evenVBand="0" w:oddHBand="0" w:evenHBand="0" w:firstRowFirstColumn="0" w:firstRowLastColumn="0" w:lastRowFirstColumn="0" w:lastRowLastColumn="0"/>
            </w:pPr>
            <w:r>
              <w:t>18</w:t>
            </w:r>
          </w:p>
        </w:tc>
        <w:tc>
          <w:tcPr>
            <w:tcW w:w="794" w:type="dxa"/>
            <w:tcBorders>
              <w:bottom w:val="single" w:sz="6" w:space="0" w:color="auto"/>
            </w:tcBorders>
          </w:tcPr>
          <w:p w14:paraId="72809A65" w14:textId="77777777" w:rsidR="00AB205D" w:rsidRDefault="00471A3B">
            <w:pPr>
              <w:cnfStyle w:val="000000000000" w:firstRow="0" w:lastRow="0" w:firstColumn="0" w:lastColumn="0" w:oddVBand="0" w:evenVBand="0" w:oddHBand="0" w:evenHBand="0" w:firstRowFirstColumn="0" w:firstRowLastColumn="0" w:lastRowFirstColumn="0" w:lastRowLastColumn="0"/>
            </w:pPr>
            <w:r>
              <w:t>34</w:t>
            </w:r>
          </w:p>
        </w:tc>
        <w:tc>
          <w:tcPr>
            <w:tcW w:w="794" w:type="dxa"/>
            <w:tcBorders>
              <w:bottom w:val="single" w:sz="6" w:space="0" w:color="auto"/>
            </w:tcBorders>
          </w:tcPr>
          <w:p w14:paraId="4AB0174B" w14:textId="77777777" w:rsidR="00AB205D" w:rsidRDefault="00471A3B">
            <w:pPr>
              <w:cnfStyle w:val="000000000000" w:firstRow="0" w:lastRow="0" w:firstColumn="0" w:lastColumn="0" w:oddVBand="0" w:evenVBand="0" w:oddHBand="0" w:evenHBand="0" w:firstRowFirstColumn="0" w:firstRowLastColumn="0" w:lastRowFirstColumn="0" w:lastRowLastColumn="0"/>
            </w:pPr>
            <w:r>
              <w:t>51</w:t>
            </w:r>
          </w:p>
        </w:tc>
        <w:tc>
          <w:tcPr>
            <w:tcW w:w="794" w:type="dxa"/>
            <w:tcBorders>
              <w:bottom w:val="single" w:sz="6" w:space="0" w:color="auto"/>
            </w:tcBorders>
          </w:tcPr>
          <w:p w14:paraId="607A62CC" w14:textId="77777777" w:rsidR="00AB205D" w:rsidRDefault="00471A3B">
            <w:pPr>
              <w:cnfStyle w:val="000000000000" w:firstRow="0" w:lastRow="0" w:firstColumn="0" w:lastColumn="0" w:oddVBand="0" w:evenVBand="0" w:oddHBand="0" w:evenHBand="0" w:firstRowFirstColumn="0" w:firstRowLastColumn="0" w:lastRowFirstColumn="0" w:lastRowLastColumn="0"/>
            </w:pPr>
            <w:r>
              <w:t>51</w:t>
            </w:r>
          </w:p>
        </w:tc>
      </w:tr>
      <w:tr w:rsidR="009C6724" w14:paraId="54EDF581"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287FFC74" w14:textId="77777777" w:rsidR="00AB205D" w:rsidRDefault="00471A3B">
            <w:r>
              <w:rPr>
                <w:b/>
              </w:rPr>
              <w:t>Dividends from PNFC sector</w:t>
            </w:r>
          </w:p>
        </w:tc>
        <w:tc>
          <w:tcPr>
            <w:tcW w:w="794" w:type="dxa"/>
            <w:tcBorders>
              <w:top w:val="single" w:sz="6" w:space="0" w:color="auto"/>
              <w:bottom w:val="single" w:sz="12" w:space="0" w:color="auto"/>
            </w:tcBorders>
          </w:tcPr>
          <w:p w14:paraId="5104BCA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162</w:t>
            </w:r>
          </w:p>
        </w:tc>
        <w:tc>
          <w:tcPr>
            <w:tcW w:w="794" w:type="dxa"/>
            <w:tcBorders>
              <w:top w:val="single" w:sz="6" w:space="0" w:color="auto"/>
              <w:bottom w:val="single" w:sz="12" w:space="0" w:color="auto"/>
            </w:tcBorders>
          </w:tcPr>
          <w:p w14:paraId="3DC6AD6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163</w:t>
            </w:r>
          </w:p>
        </w:tc>
        <w:tc>
          <w:tcPr>
            <w:tcW w:w="794" w:type="dxa"/>
            <w:tcBorders>
              <w:top w:val="single" w:sz="6" w:space="0" w:color="auto"/>
              <w:bottom w:val="single" w:sz="12" w:space="0" w:color="auto"/>
            </w:tcBorders>
          </w:tcPr>
          <w:p w14:paraId="09F66A7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176</w:t>
            </w:r>
          </w:p>
        </w:tc>
        <w:tc>
          <w:tcPr>
            <w:tcW w:w="794" w:type="dxa"/>
            <w:tcBorders>
              <w:top w:val="single" w:sz="6" w:space="0" w:color="auto"/>
              <w:bottom w:val="single" w:sz="12" w:space="0" w:color="auto"/>
            </w:tcBorders>
          </w:tcPr>
          <w:p w14:paraId="4D5EECE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199</w:t>
            </w:r>
          </w:p>
        </w:tc>
        <w:tc>
          <w:tcPr>
            <w:tcW w:w="794" w:type="dxa"/>
            <w:tcBorders>
              <w:top w:val="single" w:sz="6" w:space="0" w:color="auto"/>
              <w:bottom w:val="single" w:sz="12" w:space="0" w:color="auto"/>
            </w:tcBorders>
          </w:tcPr>
          <w:p w14:paraId="4DB286E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191</w:t>
            </w:r>
          </w:p>
        </w:tc>
      </w:tr>
    </w:tbl>
    <w:p w14:paraId="47F0286F" w14:textId="77777777" w:rsidR="00AB205D" w:rsidRPr="00307B52" w:rsidRDefault="00471A3B">
      <w:pPr>
        <w:pStyle w:val="Note"/>
      </w:pPr>
      <w:r w:rsidRPr="00307B52">
        <w:t>Note</w:t>
      </w:r>
      <w:r>
        <w:t>s</w:t>
      </w:r>
      <w:r w:rsidRPr="00307B52">
        <w:t>:</w:t>
      </w:r>
    </w:p>
    <w:p w14:paraId="634C0A9B" w14:textId="77777777" w:rsidR="00AB205D" w:rsidRDefault="00471A3B">
      <w:pPr>
        <w:pStyle w:val="Note"/>
      </w:pPr>
      <w:r w:rsidRPr="00307B52">
        <w:t>(a)</w:t>
      </w:r>
      <w:r w:rsidRPr="00307B52">
        <w:tab/>
      </w:r>
      <w:r>
        <w:t xml:space="preserve">Consistent with requirements of </w:t>
      </w:r>
      <w:r w:rsidRPr="006C238F">
        <w:t xml:space="preserve">AASB </w:t>
      </w:r>
      <w:r>
        <w:t>102</w:t>
      </w:r>
      <w:r w:rsidRPr="006C238F">
        <w:t>3</w:t>
      </w:r>
      <w:r w:rsidRPr="0025492D">
        <w:rPr>
          <w:i w:val="0"/>
          <w:iCs/>
        </w:rPr>
        <w:t xml:space="preserve"> General Insurance Contracts</w:t>
      </w:r>
      <w:r>
        <w:t xml:space="preserve">, amounts equivalent to dividends that are to be paid by the Transport Accident Commission are received and reported as contributions forming part of grant revenue. These amounts, which are subject to annual review, are forecast to be </w:t>
      </w:r>
      <w:r w:rsidRPr="005113F4">
        <w:t xml:space="preserve">$115 </w:t>
      </w:r>
      <w:r>
        <w:t>million in 2025</w:t>
      </w:r>
      <w:r>
        <w:noBreakHyphen/>
        <w:t xml:space="preserve">26 and </w:t>
      </w:r>
      <w:r w:rsidRPr="005113F4">
        <w:t>$700</w:t>
      </w:r>
      <w:r>
        <w:t> million in 2026</w:t>
      </w:r>
      <w:r>
        <w:noBreakHyphen/>
        <w:t xml:space="preserve">27. Based on current projections, the Transport Accident Commission is expected to remain financially sustainable, with an Insurance Funding Ratio above the midpoint of the preferred range, across the forward estimates. </w:t>
      </w:r>
    </w:p>
    <w:p w14:paraId="773FC5CE" w14:textId="77777777" w:rsidR="00AB205D" w:rsidRPr="00307B52" w:rsidRDefault="00471A3B">
      <w:pPr>
        <w:pStyle w:val="Note"/>
      </w:pPr>
      <w:r>
        <w:t>(b)</w:t>
      </w:r>
      <w:r>
        <w:tab/>
        <w:t>A range of savings and efficiency initiatives will be implemented by the PNFC and PFC sectors. Revised dividends payable by individual agencies will be determined following consultation with the relevant agencies.</w:t>
      </w:r>
    </w:p>
    <w:p w14:paraId="64946672" w14:textId="77777777" w:rsidR="00AB205D" w:rsidRDefault="00AB205D"/>
    <w:p w14:paraId="2C2B11EF" w14:textId="77777777" w:rsidR="00AB205D" w:rsidRPr="00BA109B" w:rsidRDefault="00471A3B">
      <w:pPr>
        <w:pStyle w:val="Heading3"/>
        <w:rPr>
          <w:sz w:val="21"/>
          <w:szCs w:val="21"/>
        </w:rPr>
      </w:pPr>
      <w:bookmarkStart w:id="44" w:name="_Toc150443603"/>
      <w:r w:rsidRPr="00BA109B">
        <w:rPr>
          <w:sz w:val="21"/>
          <w:szCs w:val="21"/>
        </w:rPr>
        <w:lastRenderedPageBreak/>
        <w:t>Sales of goods and services</w:t>
      </w:r>
      <w:r w:rsidRPr="00BA109B">
        <w:rPr>
          <w:sz w:val="21"/>
          <w:szCs w:val="21"/>
        </w:rPr>
        <w:tab/>
        <w:t>($ million)</w:t>
      </w:r>
      <w:bookmarkEnd w:id="44"/>
    </w:p>
    <w:tbl>
      <w:tblPr>
        <w:tblStyle w:val="DTFTableNumeric"/>
        <w:tblW w:w="7710" w:type="dxa"/>
        <w:tblLayout w:type="fixed"/>
        <w:tblLook w:val="06A0" w:firstRow="1" w:lastRow="0" w:firstColumn="1" w:lastColumn="0" w:noHBand="1" w:noVBand="1"/>
        <w:tblDescription w:val="Type:DtfTable|Workbook:Rawdata\BudgetUpdate\Budget Update\Financial Statements\SRIMS exports\SRIMS_BU_EFS_OS.xlsx|Table:Sales_goods_services|MergedHeadingRow:1"/>
      </w:tblPr>
      <w:tblGrid>
        <w:gridCol w:w="3740"/>
        <w:gridCol w:w="794"/>
        <w:gridCol w:w="794"/>
        <w:gridCol w:w="794"/>
        <w:gridCol w:w="794"/>
        <w:gridCol w:w="794"/>
      </w:tblGrid>
      <w:tr w:rsidR="009C6724" w14:paraId="34047D03"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0B5BD498" w14:textId="77777777" w:rsidR="00AB205D" w:rsidRDefault="00AB205D">
            <w:pPr>
              <w:keepNext/>
            </w:pPr>
          </w:p>
        </w:tc>
        <w:tc>
          <w:tcPr>
            <w:tcW w:w="794" w:type="dxa"/>
          </w:tcPr>
          <w:p w14:paraId="5CF78BBB"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budget</w:t>
            </w:r>
          </w:p>
        </w:tc>
        <w:tc>
          <w:tcPr>
            <w:tcW w:w="794" w:type="dxa"/>
          </w:tcPr>
          <w:p w14:paraId="1FB86DD6"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revised</w:t>
            </w:r>
          </w:p>
        </w:tc>
        <w:tc>
          <w:tcPr>
            <w:tcW w:w="794" w:type="dxa"/>
          </w:tcPr>
          <w:p w14:paraId="015A699C"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r>
              <w:br/>
              <w:t>estimate</w:t>
            </w:r>
          </w:p>
        </w:tc>
        <w:tc>
          <w:tcPr>
            <w:tcW w:w="794" w:type="dxa"/>
          </w:tcPr>
          <w:p w14:paraId="0492485D"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7AEEBE39"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r>
      <w:tr w:rsidR="009C6724" w14:paraId="3D8BA1AD"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B3CB0AF" w14:textId="77777777" w:rsidR="00AB205D" w:rsidRDefault="00471A3B">
            <w:r>
              <w:rPr>
                <w:b/>
              </w:rPr>
              <w:t>Amounts recognised as revenue from contracts with customers (AASB 15)</w:t>
            </w:r>
          </w:p>
        </w:tc>
        <w:tc>
          <w:tcPr>
            <w:tcW w:w="794" w:type="dxa"/>
          </w:tcPr>
          <w:p w14:paraId="5253062F"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56212665"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50CACB0E"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EDCB42D"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43F8DEE4"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0936E3AA"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0C64350" w14:textId="77777777" w:rsidR="00AB205D" w:rsidRDefault="00471A3B">
            <w:r>
              <w:t>Sale of goods</w:t>
            </w:r>
          </w:p>
        </w:tc>
        <w:tc>
          <w:tcPr>
            <w:tcW w:w="794" w:type="dxa"/>
          </w:tcPr>
          <w:p w14:paraId="41112942" w14:textId="77777777" w:rsidR="00AB205D" w:rsidRDefault="00471A3B">
            <w:pPr>
              <w:cnfStyle w:val="000000000000" w:firstRow="0" w:lastRow="0" w:firstColumn="0" w:lastColumn="0" w:oddVBand="0" w:evenVBand="0" w:oddHBand="0" w:evenHBand="0" w:firstRowFirstColumn="0" w:firstRowLastColumn="0" w:lastRowFirstColumn="0" w:lastRowLastColumn="0"/>
            </w:pPr>
            <w:r>
              <w:t>92</w:t>
            </w:r>
          </w:p>
        </w:tc>
        <w:tc>
          <w:tcPr>
            <w:tcW w:w="794" w:type="dxa"/>
          </w:tcPr>
          <w:p w14:paraId="4A68909C" w14:textId="77777777" w:rsidR="00AB205D" w:rsidRDefault="00471A3B">
            <w:pPr>
              <w:cnfStyle w:val="000000000000" w:firstRow="0" w:lastRow="0" w:firstColumn="0" w:lastColumn="0" w:oddVBand="0" w:evenVBand="0" w:oddHBand="0" w:evenHBand="0" w:firstRowFirstColumn="0" w:firstRowLastColumn="0" w:lastRowFirstColumn="0" w:lastRowLastColumn="0"/>
            </w:pPr>
            <w:r>
              <w:t>92</w:t>
            </w:r>
          </w:p>
        </w:tc>
        <w:tc>
          <w:tcPr>
            <w:tcW w:w="794" w:type="dxa"/>
          </w:tcPr>
          <w:p w14:paraId="28807D07" w14:textId="77777777" w:rsidR="00AB205D" w:rsidRDefault="00471A3B">
            <w:pPr>
              <w:cnfStyle w:val="000000000000" w:firstRow="0" w:lastRow="0" w:firstColumn="0" w:lastColumn="0" w:oddVBand="0" w:evenVBand="0" w:oddHBand="0" w:evenHBand="0" w:firstRowFirstColumn="0" w:firstRowLastColumn="0" w:lastRowFirstColumn="0" w:lastRowLastColumn="0"/>
            </w:pPr>
            <w:r>
              <w:t>94</w:t>
            </w:r>
          </w:p>
        </w:tc>
        <w:tc>
          <w:tcPr>
            <w:tcW w:w="794" w:type="dxa"/>
          </w:tcPr>
          <w:p w14:paraId="64492C8A" w14:textId="77777777" w:rsidR="00AB205D" w:rsidRDefault="00471A3B">
            <w:pPr>
              <w:cnfStyle w:val="000000000000" w:firstRow="0" w:lastRow="0" w:firstColumn="0" w:lastColumn="0" w:oddVBand="0" w:evenVBand="0" w:oddHBand="0" w:evenHBand="0" w:firstRowFirstColumn="0" w:firstRowLastColumn="0" w:lastRowFirstColumn="0" w:lastRowLastColumn="0"/>
            </w:pPr>
            <w:r>
              <w:t>93</w:t>
            </w:r>
          </w:p>
        </w:tc>
        <w:tc>
          <w:tcPr>
            <w:tcW w:w="794" w:type="dxa"/>
          </w:tcPr>
          <w:p w14:paraId="663E9068" w14:textId="77777777" w:rsidR="00AB205D" w:rsidRDefault="00471A3B">
            <w:pPr>
              <w:cnfStyle w:val="000000000000" w:firstRow="0" w:lastRow="0" w:firstColumn="0" w:lastColumn="0" w:oddVBand="0" w:evenVBand="0" w:oddHBand="0" w:evenHBand="0" w:firstRowFirstColumn="0" w:firstRowLastColumn="0" w:lastRowFirstColumn="0" w:lastRowLastColumn="0"/>
            </w:pPr>
            <w:r>
              <w:t>91</w:t>
            </w:r>
          </w:p>
        </w:tc>
      </w:tr>
      <w:tr w:rsidR="009C6724" w14:paraId="4F83DE76"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19C8AA3B" w14:textId="77777777" w:rsidR="00AB205D" w:rsidRDefault="00471A3B">
            <w:r>
              <w:t>Provision of services</w:t>
            </w:r>
            <w:r>
              <w:rPr>
                <w:vertAlign w:val="superscript"/>
              </w:rPr>
              <w:t xml:space="preserve"> </w:t>
            </w:r>
            <w:r w:rsidRPr="00747827">
              <w:rPr>
                <w:vertAlign w:val="superscript"/>
              </w:rPr>
              <w:t>(a)</w:t>
            </w:r>
          </w:p>
        </w:tc>
        <w:tc>
          <w:tcPr>
            <w:tcW w:w="794" w:type="dxa"/>
          </w:tcPr>
          <w:p w14:paraId="4237591F" w14:textId="77777777" w:rsidR="00AB205D" w:rsidRDefault="00471A3B">
            <w:pPr>
              <w:cnfStyle w:val="000000000000" w:firstRow="0" w:lastRow="0" w:firstColumn="0" w:lastColumn="0" w:oddVBand="0" w:evenVBand="0" w:oddHBand="0" w:evenHBand="0" w:firstRowFirstColumn="0" w:firstRowLastColumn="0" w:lastRowFirstColumn="0" w:lastRowLastColumn="0"/>
            </w:pPr>
            <w:r>
              <w:t>4 883</w:t>
            </w:r>
          </w:p>
        </w:tc>
        <w:tc>
          <w:tcPr>
            <w:tcW w:w="794" w:type="dxa"/>
          </w:tcPr>
          <w:p w14:paraId="6062E33C" w14:textId="77777777" w:rsidR="00AB205D" w:rsidRDefault="00471A3B">
            <w:pPr>
              <w:cnfStyle w:val="000000000000" w:firstRow="0" w:lastRow="0" w:firstColumn="0" w:lastColumn="0" w:oddVBand="0" w:evenVBand="0" w:oddHBand="0" w:evenHBand="0" w:firstRowFirstColumn="0" w:firstRowLastColumn="0" w:lastRowFirstColumn="0" w:lastRowLastColumn="0"/>
            </w:pPr>
            <w:r>
              <w:t>5 095</w:t>
            </w:r>
          </w:p>
        </w:tc>
        <w:tc>
          <w:tcPr>
            <w:tcW w:w="794" w:type="dxa"/>
          </w:tcPr>
          <w:p w14:paraId="4CB460FE" w14:textId="77777777" w:rsidR="00AB205D" w:rsidRDefault="00471A3B">
            <w:pPr>
              <w:cnfStyle w:val="000000000000" w:firstRow="0" w:lastRow="0" w:firstColumn="0" w:lastColumn="0" w:oddVBand="0" w:evenVBand="0" w:oddHBand="0" w:evenHBand="0" w:firstRowFirstColumn="0" w:firstRowLastColumn="0" w:lastRowFirstColumn="0" w:lastRowLastColumn="0"/>
            </w:pPr>
            <w:r>
              <w:t>5 315</w:t>
            </w:r>
          </w:p>
        </w:tc>
        <w:tc>
          <w:tcPr>
            <w:tcW w:w="794" w:type="dxa"/>
          </w:tcPr>
          <w:p w14:paraId="3EF9D534" w14:textId="77777777" w:rsidR="00AB205D" w:rsidRDefault="00471A3B">
            <w:pPr>
              <w:cnfStyle w:val="000000000000" w:firstRow="0" w:lastRow="0" w:firstColumn="0" w:lastColumn="0" w:oddVBand="0" w:evenVBand="0" w:oddHBand="0" w:evenHBand="0" w:firstRowFirstColumn="0" w:firstRowLastColumn="0" w:lastRowFirstColumn="0" w:lastRowLastColumn="0"/>
            </w:pPr>
            <w:r>
              <w:t>5 349</w:t>
            </w:r>
          </w:p>
        </w:tc>
        <w:tc>
          <w:tcPr>
            <w:tcW w:w="794" w:type="dxa"/>
          </w:tcPr>
          <w:p w14:paraId="1174F912" w14:textId="77777777" w:rsidR="00AB205D" w:rsidRDefault="00471A3B">
            <w:pPr>
              <w:cnfStyle w:val="000000000000" w:firstRow="0" w:lastRow="0" w:firstColumn="0" w:lastColumn="0" w:oddVBand="0" w:evenVBand="0" w:oddHBand="0" w:evenHBand="0" w:firstRowFirstColumn="0" w:firstRowLastColumn="0" w:lastRowFirstColumn="0" w:lastRowLastColumn="0"/>
            </w:pPr>
            <w:r>
              <w:t>5 402</w:t>
            </w:r>
          </w:p>
        </w:tc>
      </w:tr>
      <w:tr w:rsidR="009C6724" w14:paraId="33287333"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10FA342E" w14:textId="77777777" w:rsidR="00AB205D" w:rsidRDefault="00471A3B">
            <w:r>
              <w:rPr>
                <w:b/>
              </w:rPr>
              <w:t>Amounts recognised as income of not</w:t>
            </w:r>
            <w:r>
              <w:rPr>
                <w:b/>
              </w:rPr>
              <w:noBreakHyphen/>
              <w:t>for</w:t>
            </w:r>
            <w:r>
              <w:rPr>
                <w:b/>
              </w:rPr>
              <w:noBreakHyphen/>
              <w:t>profit entities (AASB 1058)</w:t>
            </w:r>
          </w:p>
        </w:tc>
        <w:tc>
          <w:tcPr>
            <w:tcW w:w="794" w:type="dxa"/>
          </w:tcPr>
          <w:p w14:paraId="69B07DFC"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2DE0C02"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B7F6BF1"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25CAD68"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287532BE"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0B647B75"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1D82CA4" w14:textId="77777777" w:rsidR="00AB205D" w:rsidRDefault="00471A3B">
            <w:r>
              <w:t>Motor vehicle regulatory fees</w:t>
            </w:r>
          </w:p>
        </w:tc>
        <w:tc>
          <w:tcPr>
            <w:tcW w:w="794" w:type="dxa"/>
          </w:tcPr>
          <w:p w14:paraId="4D35637F" w14:textId="77777777" w:rsidR="00AB205D" w:rsidRDefault="00471A3B">
            <w:pPr>
              <w:cnfStyle w:val="000000000000" w:firstRow="0" w:lastRow="0" w:firstColumn="0" w:lastColumn="0" w:oddVBand="0" w:evenVBand="0" w:oddHBand="0" w:evenHBand="0" w:firstRowFirstColumn="0" w:firstRowLastColumn="0" w:lastRowFirstColumn="0" w:lastRowLastColumn="0"/>
            </w:pPr>
            <w:r>
              <w:t>306</w:t>
            </w:r>
          </w:p>
        </w:tc>
        <w:tc>
          <w:tcPr>
            <w:tcW w:w="794" w:type="dxa"/>
          </w:tcPr>
          <w:p w14:paraId="1436E9C3" w14:textId="77777777" w:rsidR="00AB205D" w:rsidRDefault="00471A3B">
            <w:pPr>
              <w:cnfStyle w:val="000000000000" w:firstRow="0" w:lastRow="0" w:firstColumn="0" w:lastColumn="0" w:oddVBand="0" w:evenVBand="0" w:oddHBand="0" w:evenHBand="0" w:firstRowFirstColumn="0" w:firstRowLastColumn="0" w:lastRowFirstColumn="0" w:lastRowLastColumn="0"/>
            </w:pPr>
            <w:r>
              <w:t>356</w:t>
            </w:r>
          </w:p>
        </w:tc>
        <w:tc>
          <w:tcPr>
            <w:tcW w:w="794" w:type="dxa"/>
          </w:tcPr>
          <w:p w14:paraId="19B2A387" w14:textId="77777777" w:rsidR="00AB205D" w:rsidRDefault="00471A3B">
            <w:pPr>
              <w:cnfStyle w:val="000000000000" w:firstRow="0" w:lastRow="0" w:firstColumn="0" w:lastColumn="0" w:oddVBand="0" w:evenVBand="0" w:oddHBand="0" w:evenHBand="0" w:firstRowFirstColumn="0" w:firstRowLastColumn="0" w:lastRowFirstColumn="0" w:lastRowLastColumn="0"/>
            </w:pPr>
            <w:r>
              <w:t>367</w:t>
            </w:r>
          </w:p>
        </w:tc>
        <w:tc>
          <w:tcPr>
            <w:tcW w:w="794" w:type="dxa"/>
          </w:tcPr>
          <w:p w14:paraId="753822AB" w14:textId="77777777" w:rsidR="00AB205D" w:rsidRDefault="00471A3B">
            <w:pPr>
              <w:cnfStyle w:val="000000000000" w:firstRow="0" w:lastRow="0" w:firstColumn="0" w:lastColumn="0" w:oddVBand="0" w:evenVBand="0" w:oddHBand="0" w:evenHBand="0" w:firstRowFirstColumn="0" w:firstRowLastColumn="0" w:lastRowFirstColumn="0" w:lastRowLastColumn="0"/>
            </w:pPr>
            <w:r>
              <w:t>375</w:t>
            </w:r>
          </w:p>
        </w:tc>
        <w:tc>
          <w:tcPr>
            <w:tcW w:w="794" w:type="dxa"/>
          </w:tcPr>
          <w:p w14:paraId="0596F5E8" w14:textId="77777777" w:rsidR="00AB205D" w:rsidRDefault="00471A3B">
            <w:pPr>
              <w:cnfStyle w:val="000000000000" w:firstRow="0" w:lastRow="0" w:firstColumn="0" w:lastColumn="0" w:oddVBand="0" w:evenVBand="0" w:oddHBand="0" w:evenHBand="0" w:firstRowFirstColumn="0" w:firstRowLastColumn="0" w:lastRowFirstColumn="0" w:lastRowLastColumn="0"/>
            </w:pPr>
            <w:r>
              <w:t>395</w:t>
            </w:r>
          </w:p>
        </w:tc>
      </w:tr>
      <w:tr w:rsidR="009C6724" w14:paraId="4BAC044B"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8E0F77F" w14:textId="77777777" w:rsidR="00AB205D" w:rsidRDefault="00471A3B">
            <w:r>
              <w:t>Other regulatory fees</w:t>
            </w:r>
          </w:p>
        </w:tc>
        <w:tc>
          <w:tcPr>
            <w:tcW w:w="794" w:type="dxa"/>
          </w:tcPr>
          <w:p w14:paraId="59837B42" w14:textId="77777777" w:rsidR="00AB205D" w:rsidRDefault="00471A3B">
            <w:pPr>
              <w:cnfStyle w:val="000000000000" w:firstRow="0" w:lastRow="0" w:firstColumn="0" w:lastColumn="0" w:oddVBand="0" w:evenVBand="0" w:oddHBand="0" w:evenHBand="0" w:firstRowFirstColumn="0" w:firstRowLastColumn="0" w:lastRowFirstColumn="0" w:lastRowLastColumn="0"/>
            </w:pPr>
            <w:r>
              <w:t>736</w:t>
            </w:r>
          </w:p>
        </w:tc>
        <w:tc>
          <w:tcPr>
            <w:tcW w:w="794" w:type="dxa"/>
          </w:tcPr>
          <w:p w14:paraId="241C6EB1" w14:textId="77777777" w:rsidR="00AB205D" w:rsidRDefault="00471A3B">
            <w:pPr>
              <w:cnfStyle w:val="000000000000" w:firstRow="0" w:lastRow="0" w:firstColumn="0" w:lastColumn="0" w:oddVBand="0" w:evenVBand="0" w:oddHBand="0" w:evenHBand="0" w:firstRowFirstColumn="0" w:firstRowLastColumn="0" w:lastRowFirstColumn="0" w:lastRowLastColumn="0"/>
            </w:pPr>
            <w:r>
              <w:t>772</w:t>
            </w:r>
          </w:p>
        </w:tc>
        <w:tc>
          <w:tcPr>
            <w:tcW w:w="794" w:type="dxa"/>
          </w:tcPr>
          <w:p w14:paraId="71CF3C5D" w14:textId="77777777" w:rsidR="00AB205D" w:rsidRDefault="00471A3B">
            <w:pPr>
              <w:cnfStyle w:val="000000000000" w:firstRow="0" w:lastRow="0" w:firstColumn="0" w:lastColumn="0" w:oddVBand="0" w:evenVBand="0" w:oddHBand="0" w:evenHBand="0" w:firstRowFirstColumn="0" w:firstRowLastColumn="0" w:lastRowFirstColumn="0" w:lastRowLastColumn="0"/>
            </w:pPr>
            <w:r>
              <w:t>804</w:t>
            </w:r>
          </w:p>
        </w:tc>
        <w:tc>
          <w:tcPr>
            <w:tcW w:w="794" w:type="dxa"/>
          </w:tcPr>
          <w:p w14:paraId="364BA13D" w14:textId="77777777" w:rsidR="00AB205D" w:rsidRDefault="00471A3B">
            <w:pPr>
              <w:cnfStyle w:val="000000000000" w:firstRow="0" w:lastRow="0" w:firstColumn="0" w:lastColumn="0" w:oddVBand="0" w:evenVBand="0" w:oddHBand="0" w:evenHBand="0" w:firstRowFirstColumn="0" w:firstRowLastColumn="0" w:lastRowFirstColumn="0" w:lastRowLastColumn="0"/>
            </w:pPr>
            <w:r>
              <w:t>752</w:t>
            </w:r>
          </w:p>
        </w:tc>
        <w:tc>
          <w:tcPr>
            <w:tcW w:w="794" w:type="dxa"/>
          </w:tcPr>
          <w:p w14:paraId="0E7578E8" w14:textId="77777777" w:rsidR="00AB205D" w:rsidRDefault="00471A3B">
            <w:pPr>
              <w:cnfStyle w:val="000000000000" w:firstRow="0" w:lastRow="0" w:firstColumn="0" w:lastColumn="0" w:oddVBand="0" w:evenVBand="0" w:oddHBand="0" w:evenHBand="0" w:firstRowFirstColumn="0" w:firstRowLastColumn="0" w:lastRowFirstColumn="0" w:lastRowLastColumn="0"/>
            </w:pPr>
            <w:r>
              <w:t>768</w:t>
            </w:r>
          </w:p>
        </w:tc>
      </w:tr>
      <w:tr w:rsidR="009C6724" w14:paraId="41D84D5D"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12D8AF0" w14:textId="77777777" w:rsidR="00AB205D" w:rsidRDefault="00471A3B">
            <w:r>
              <w:rPr>
                <w:b/>
              </w:rPr>
              <w:t>Amounts recognised as lease income (AASB 16)</w:t>
            </w:r>
          </w:p>
        </w:tc>
        <w:tc>
          <w:tcPr>
            <w:tcW w:w="794" w:type="dxa"/>
          </w:tcPr>
          <w:p w14:paraId="6B37DCEC"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59232B5D"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54382B3"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79F9E6CA"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317C474"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1817FBCD"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221CBD9C" w14:textId="77777777" w:rsidR="00AB205D" w:rsidRDefault="00471A3B">
            <w:r>
              <w:t>Rental</w:t>
            </w:r>
          </w:p>
        </w:tc>
        <w:tc>
          <w:tcPr>
            <w:tcW w:w="794" w:type="dxa"/>
            <w:tcBorders>
              <w:bottom w:val="single" w:sz="6" w:space="0" w:color="auto"/>
            </w:tcBorders>
          </w:tcPr>
          <w:p w14:paraId="43A2C577" w14:textId="77777777" w:rsidR="00AB205D" w:rsidRDefault="00471A3B">
            <w:pPr>
              <w:cnfStyle w:val="000000000000" w:firstRow="0" w:lastRow="0" w:firstColumn="0" w:lastColumn="0" w:oddVBand="0" w:evenVBand="0" w:oddHBand="0" w:evenHBand="0" w:firstRowFirstColumn="0" w:firstRowLastColumn="0" w:lastRowFirstColumn="0" w:lastRowLastColumn="0"/>
            </w:pPr>
            <w:r>
              <w:t>93</w:t>
            </w:r>
          </w:p>
        </w:tc>
        <w:tc>
          <w:tcPr>
            <w:tcW w:w="794" w:type="dxa"/>
            <w:tcBorders>
              <w:bottom w:val="single" w:sz="6" w:space="0" w:color="auto"/>
            </w:tcBorders>
          </w:tcPr>
          <w:p w14:paraId="567E3E1F" w14:textId="77777777" w:rsidR="00AB205D" w:rsidRDefault="00471A3B">
            <w:pPr>
              <w:cnfStyle w:val="000000000000" w:firstRow="0" w:lastRow="0" w:firstColumn="0" w:lastColumn="0" w:oddVBand="0" w:evenVBand="0" w:oddHBand="0" w:evenHBand="0" w:firstRowFirstColumn="0" w:firstRowLastColumn="0" w:lastRowFirstColumn="0" w:lastRowLastColumn="0"/>
            </w:pPr>
            <w:r>
              <w:t>93</w:t>
            </w:r>
          </w:p>
        </w:tc>
        <w:tc>
          <w:tcPr>
            <w:tcW w:w="794" w:type="dxa"/>
            <w:tcBorders>
              <w:bottom w:val="single" w:sz="6" w:space="0" w:color="auto"/>
            </w:tcBorders>
          </w:tcPr>
          <w:p w14:paraId="44220793" w14:textId="77777777" w:rsidR="00AB205D" w:rsidRDefault="00471A3B">
            <w:pPr>
              <w:cnfStyle w:val="000000000000" w:firstRow="0" w:lastRow="0" w:firstColumn="0" w:lastColumn="0" w:oddVBand="0" w:evenVBand="0" w:oddHBand="0" w:evenHBand="0" w:firstRowFirstColumn="0" w:firstRowLastColumn="0" w:lastRowFirstColumn="0" w:lastRowLastColumn="0"/>
            </w:pPr>
            <w:r>
              <w:t>95</w:t>
            </w:r>
          </w:p>
        </w:tc>
        <w:tc>
          <w:tcPr>
            <w:tcW w:w="794" w:type="dxa"/>
            <w:tcBorders>
              <w:bottom w:val="single" w:sz="6" w:space="0" w:color="auto"/>
            </w:tcBorders>
          </w:tcPr>
          <w:p w14:paraId="688963D9" w14:textId="77777777" w:rsidR="00AB205D" w:rsidRDefault="00471A3B">
            <w:pPr>
              <w:cnfStyle w:val="000000000000" w:firstRow="0" w:lastRow="0" w:firstColumn="0" w:lastColumn="0" w:oddVBand="0" w:evenVBand="0" w:oddHBand="0" w:evenHBand="0" w:firstRowFirstColumn="0" w:firstRowLastColumn="0" w:lastRowFirstColumn="0" w:lastRowLastColumn="0"/>
            </w:pPr>
            <w:r>
              <w:t>96</w:t>
            </w:r>
          </w:p>
        </w:tc>
        <w:tc>
          <w:tcPr>
            <w:tcW w:w="794" w:type="dxa"/>
            <w:tcBorders>
              <w:bottom w:val="single" w:sz="6" w:space="0" w:color="auto"/>
            </w:tcBorders>
          </w:tcPr>
          <w:p w14:paraId="79C866AD" w14:textId="77777777" w:rsidR="00AB205D" w:rsidRDefault="00471A3B">
            <w:pPr>
              <w:cnfStyle w:val="000000000000" w:firstRow="0" w:lastRow="0" w:firstColumn="0" w:lastColumn="0" w:oddVBand="0" w:evenVBand="0" w:oddHBand="0" w:evenHBand="0" w:firstRowFirstColumn="0" w:firstRowLastColumn="0" w:lastRowFirstColumn="0" w:lastRowLastColumn="0"/>
            </w:pPr>
            <w:r>
              <w:t>96</w:t>
            </w:r>
          </w:p>
        </w:tc>
      </w:tr>
      <w:tr w:rsidR="009C6724" w14:paraId="3F9249DC"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6B23B22D" w14:textId="77777777" w:rsidR="00AB205D" w:rsidRDefault="00471A3B">
            <w:r>
              <w:rPr>
                <w:b/>
              </w:rPr>
              <w:t>Total sales of goods and services</w:t>
            </w:r>
          </w:p>
        </w:tc>
        <w:tc>
          <w:tcPr>
            <w:tcW w:w="794" w:type="dxa"/>
            <w:tcBorders>
              <w:top w:val="single" w:sz="6" w:space="0" w:color="auto"/>
              <w:bottom w:val="single" w:sz="12" w:space="0" w:color="auto"/>
            </w:tcBorders>
          </w:tcPr>
          <w:p w14:paraId="537745D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6 111</w:t>
            </w:r>
          </w:p>
        </w:tc>
        <w:tc>
          <w:tcPr>
            <w:tcW w:w="794" w:type="dxa"/>
            <w:tcBorders>
              <w:top w:val="single" w:sz="6" w:space="0" w:color="auto"/>
              <w:bottom w:val="single" w:sz="12" w:space="0" w:color="auto"/>
            </w:tcBorders>
          </w:tcPr>
          <w:p w14:paraId="21BFD6C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6 408</w:t>
            </w:r>
          </w:p>
        </w:tc>
        <w:tc>
          <w:tcPr>
            <w:tcW w:w="794" w:type="dxa"/>
            <w:tcBorders>
              <w:top w:val="single" w:sz="6" w:space="0" w:color="auto"/>
              <w:bottom w:val="single" w:sz="12" w:space="0" w:color="auto"/>
            </w:tcBorders>
          </w:tcPr>
          <w:p w14:paraId="579F393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6 675</w:t>
            </w:r>
          </w:p>
        </w:tc>
        <w:tc>
          <w:tcPr>
            <w:tcW w:w="794" w:type="dxa"/>
            <w:tcBorders>
              <w:top w:val="single" w:sz="6" w:space="0" w:color="auto"/>
              <w:bottom w:val="single" w:sz="12" w:space="0" w:color="auto"/>
            </w:tcBorders>
          </w:tcPr>
          <w:p w14:paraId="1262607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6 664</w:t>
            </w:r>
          </w:p>
        </w:tc>
        <w:tc>
          <w:tcPr>
            <w:tcW w:w="794" w:type="dxa"/>
            <w:tcBorders>
              <w:top w:val="single" w:sz="6" w:space="0" w:color="auto"/>
              <w:bottom w:val="single" w:sz="12" w:space="0" w:color="auto"/>
            </w:tcBorders>
          </w:tcPr>
          <w:p w14:paraId="631BE0F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6 753</w:t>
            </w:r>
          </w:p>
        </w:tc>
      </w:tr>
    </w:tbl>
    <w:p w14:paraId="6A284680" w14:textId="77777777" w:rsidR="00AB205D" w:rsidRPr="002C7A21" w:rsidRDefault="00471A3B">
      <w:pPr>
        <w:pStyle w:val="Note"/>
      </w:pPr>
      <w:r w:rsidRPr="002C7A21">
        <w:t>Note:</w:t>
      </w:r>
    </w:p>
    <w:p w14:paraId="26258494" w14:textId="77777777" w:rsidR="00AB205D" w:rsidRDefault="00471A3B">
      <w:pPr>
        <w:pStyle w:val="Note"/>
      </w:pPr>
      <w:r w:rsidRPr="002C7A21">
        <w:t>(a)</w:t>
      </w:r>
      <w:r w:rsidRPr="002C7A21">
        <w:tab/>
        <w:t>Further disclosure on the provision of services is available on the Department of Treasury and Finance</w:t>
      </w:r>
      <w:r>
        <w:t>’</w:t>
      </w:r>
      <w:r w:rsidRPr="002C7A21">
        <w:t xml:space="preserve">s website. </w:t>
      </w:r>
    </w:p>
    <w:p w14:paraId="085BE0B6" w14:textId="77777777" w:rsidR="00AB205D" w:rsidRDefault="00AB205D">
      <w:bookmarkStart w:id="45" w:name="_Toc85010023"/>
      <w:bookmarkStart w:id="46" w:name="_Toc150443604"/>
    </w:p>
    <w:p w14:paraId="47C84969" w14:textId="77777777" w:rsidR="00AB205D" w:rsidRDefault="00AB205D"/>
    <w:p w14:paraId="69B509D3" w14:textId="77777777" w:rsidR="00AB205D" w:rsidRPr="00BA109B" w:rsidRDefault="00471A3B">
      <w:pPr>
        <w:pStyle w:val="Heading3"/>
        <w:rPr>
          <w:sz w:val="21"/>
          <w:szCs w:val="21"/>
        </w:rPr>
      </w:pPr>
      <w:r w:rsidRPr="00BA109B">
        <w:rPr>
          <w:sz w:val="21"/>
          <w:szCs w:val="21"/>
        </w:rPr>
        <w:t xml:space="preserve">Grants </w:t>
      </w:r>
      <w:r w:rsidRPr="00BA109B">
        <w:rPr>
          <w:sz w:val="21"/>
          <w:szCs w:val="21"/>
          <w:vertAlign w:val="superscript"/>
        </w:rPr>
        <w:t>(a)</w:t>
      </w:r>
      <w:r w:rsidRPr="00BA109B">
        <w:rPr>
          <w:sz w:val="21"/>
          <w:szCs w:val="21"/>
        </w:rPr>
        <w:tab/>
        <w:t>($ million)</w:t>
      </w:r>
      <w:bookmarkEnd w:id="45"/>
      <w:bookmarkEnd w:id="46"/>
    </w:p>
    <w:tbl>
      <w:tblPr>
        <w:tblStyle w:val="DTFTableNumeric"/>
        <w:tblW w:w="7710" w:type="dxa"/>
        <w:tblLayout w:type="fixed"/>
        <w:tblLook w:val="06A0" w:firstRow="1" w:lastRow="0" w:firstColumn="1" w:lastColumn="0" w:noHBand="1" w:noVBand="1"/>
        <w:tblDescription w:val="Type:DtfTable|Workbook:Rawdata\BudgetUpdate\Budget Update\Financial Statements\SRIMS exports\SRIMS_BU_EFS_OS.xlsx|Table:Grant_revenue|MergedHeadingRow:1"/>
      </w:tblPr>
      <w:tblGrid>
        <w:gridCol w:w="3740"/>
        <w:gridCol w:w="794"/>
        <w:gridCol w:w="794"/>
        <w:gridCol w:w="794"/>
        <w:gridCol w:w="794"/>
        <w:gridCol w:w="794"/>
      </w:tblGrid>
      <w:tr w:rsidR="009C6724" w14:paraId="0FAC32C9"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6146C4D5" w14:textId="77777777" w:rsidR="00AB205D" w:rsidRDefault="00AB205D">
            <w:pPr>
              <w:keepNext/>
            </w:pPr>
          </w:p>
        </w:tc>
        <w:tc>
          <w:tcPr>
            <w:tcW w:w="794" w:type="dxa"/>
          </w:tcPr>
          <w:p w14:paraId="72FA0FC5"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budget</w:t>
            </w:r>
          </w:p>
        </w:tc>
        <w:tc>
          <w:tcPr>
            <w:tcW w:w="794" w:type="dxa"/>
          </w:tcPr>
          <w:p w14:paraId="7E3BE416"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revised</w:t>
            </w:r>
          </w:p>
        </w:tc>
        <w:tc>
          <w:tcPr>
            <w:tcW w:w="794" w:type="dxa"/>
          </w:tcPr>
          <w:p w14:paraId="5AAA1301"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r>
              <w:br/>
              <w:t>estimate</w:t>
            </w:r>
          </w:p>
        </w:tc>
        <w:tc>
          <w:tcPr>
            <w:tcW w:w="794" w:type="dxa"/>
          </w:tcPr>
          <w:p w14:paraId="49A806AC"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4E14D13F"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r>
      <w:tr w:rsidR="009C6724" w14:paraId="037EFAA2"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5C24F4C7" w14:textId="77777777" w:rsidR="00AB205D" w:rsidRDefault="00471A3B">
            <w:r>
              <w:t>General purpose grants</w:t>
            </w:r>
          </w:p>
        </w:tc>
        <w:tc>
          <w:tcPr>
            <w:tcW w:w="794" w:type="dxa"/>
          </w:tcPr>
          <w:p w14:paraId="10CF5322" w14:textId="77777777" w:rsidR="00AB205D" w:rsidRDefault="00471A3B">
            <w:pPr>
              <w:cnfStyle w:val="000000000000" w:firstRow="0" w:lastRow="0" w:firstColumn="0" w:lastColumn="0" w:oddVBand="0" w:evenVBand="0" w:oddHBand="0" w:evenHBand="0" w:firstRowFirstColumn="0" w:firstRowLastColumn="0" w:lastRowFirstColumn="0" w:lastRowLastColumn="0"/>
            </w:pPr>
            <w:r>
              <w:t>19 836</w:t>
            </w:r>
          </w:p>
        </w:tc>
        <w:tc>
          <w:tcPr>
            <w:tcW w:w="794" w:type="dxa"/>
          </w:tcPr>
          <w:p w14:paraId="7CB4F4D9" w14:textId="77777777" w:rsidR="00AB205D" w:rsidRDefault="00471A3B">
            <w:pPr>
              <w:cnfStyle w:val="000000000000" w:firstRow="0" w:lastRow="0" w:firstColumn="0" w:lastColumn="0" w:oddVBand="0" w:evenVBand="0" w:oddHBand="0" w:evenHBand="0" w:firstRowFirstColumn="0" w:firstRowLastColumn="0" w:lastRowFirstColumn="0" w:lastRowLastColumn="0"/>
            </w:pPr>
            <w:r>
              <w:t>19 865</w:t>
            </w:r>
          </w:p>
        </w:tc>
        <w:tc>
          <w:tcPr>
            <w:tcW w:w="794" w:type="dxa"/>
          </w:tcPr>
          <w:p w14:paraId="45221D32" w14:textId="77777777" w:rsidR="00AB205D" w:rsidRDefault="00471A3B">
            <w:pPr>
              <w:cnfStyle w:val="000000000000" w:firstRow="0" w:lastRow="0" w:firstColumn="0" w:lastColumn="0" w:oddVBand="0" w:evenVBand="0" w:oddHBand="0" w:evenHBand="0" w:firstRowFirstColumn="0" w:firstRowLastColumn="0" w:lastRowFirstColumn="0" w:lastRowLastColumn="0"/>
            </w:pPr>
            <w:r>
              <w:t>22 325</w:t>
            </w:r>
          </w:p>
        </w:tc>
        <w:tc>
          <w:tcPr>
            <w:tcW w:w="794" w:type="dxa"/>
          </w:tcPr>
          <w:p w14:paraId="48C6E473" w14:textId="77777777" w:rsidR="00AB205D" w:rsidRDefault="00471A3B">
            <w:pPr>
              <w:cnfStyle w:val="000000000000" w:firstRow="0" w:lastRow="0" w:firstColumn="0" w:lastColumn="0" w:oddVBand="0" w:evenVBand="0" w:oddHBand="0" w:evenHBand="0" w:firstRowFirstColumn="0" w:firstRowLastColumn="0" w:lastRowFirstColumn="0" w:lastRowLastColumn="0"/>
            </w:pPr>
            <w:r>
              <w:t>24 038</w:t>
            </w:r>
          </w:p>
        </w:tc>
        <w:tc>
          <w:tcPr>
            <w:tcW w:w="794" w:type="dxa"/>
          </w:tcPr>
          <w:p w14:paraId="1136EF17" w14:textId="77777777" w:rsidR="00AB205D" w:rsidRDefault="00471A3B">
            <w:pPr>
              <w:cnfStyle w:val="000000000000" w:firstRow="0" w:lastRow="0" w:firstColumn="0" w:lastColumn="0" w:oddVBand="0" w:evenVBand="0" w:oddHBand="0" w:evenHBand="0" w:firstRowFirstColumn="0" w:firstRowLastColumn="0" w:lastRowFirstColumn="0" w:lastRowLastColumn="0"/>
            </w:pPr>
            <w:r>
              <w:t>24 281</w:t>
            </w:r>
          </w:p>
        </w:tc>
      </w:tr>
      <w:tr w:rsidR="009C6724" w14:paraId="5162F1EC"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961D1F3" w14:textId="77777777" w:rsidR="00AB205D" w:rsidRDefault="00471A3B">
            <w:r>
              <w:t>Specific purpose grants for on</w:t>
            </w:r>
            <w:r>
              <w:noBreakHyphen/>
              <w:t>passing</w:t>
            </w:r>
          </w:p>
        </w:tc>
        <w:tc>
          <w:tcPr>
            <w:tcW w:w="794" w:type="dxa"/>
          </w:tcPr>
          <w:p w14:paraId="78C01A7C" w14:textId="77777777" w:rsidR="00AB205D" w:rsidRDefault="00471A3B">
            <w:pPr>
              <w:cnfStyle w:val="000000000000" w:firstRow="0" w:lastRow="0" w:firstColumn="0" w:lastColumn="0" w:oddVBand="0" w:evenVBand="0" w:oddHBand="0" w:evenHBand="0" w:firstRowFirstColumn="0" w:firstRowLastColumn="0" w:lastRowFirstColumn="0" w:lastRowLastColumn="0"/>
            </w:pPr>
            <w:r>
              <w:t>5 559</w:t>
            </w:r>
          </w:p>
        </w:tc>
        <w:tc>
          <w:tcPr>
            <w:tcW w:w="794" w:type="dxa"/>
          </w:tcPr>
          <w:p w14:paraId="7CC504A0" w14:textId="77777777" w:rsidR="00AB205D" w:rsidRDefault="00471A3B">
            <w:pPr>
              <w:cnfStyle w:val="000000000000" w:firstRow="0" w:lastRow="0" w:firstColumn="0" w:lastColumn="0" w:oddVBand="0" w:evenVBand="0" w:oddHBand="0" w:evenHBand="0" w:firstRowFirstColumn="0" w:firstRowLastColumn="0" w:lastRowFirstColumn="0" w:lastRowLastColumn="0"/>
            </w:pPr>
            <w:r>
              <w:t>4 905</w:t>
            </w:r>
          </w:p>
        </w:tc>
        <w:tc>
          <w:tcPr>
            <w:tcW w:w="794" w:type="dxa"/>
          </w:tcPr>
          <w:p w14:paraId="2D4F5873" w14:textId="77777777" w:rsidR="00AB205D" w:rsidRDefault="00471A3B">
            <w:pPr>
              <w:cnfStyle w:val="000000000000" w:firstRow="0" w:lastRow="0" w:firstColumn="0" w:lastColumn="0" w:oddVBand="0" w:evenVBand="0" w:oddHBand="0" w:evenHBand="0" w:firstRowFirstColumn="0" w:firstRowLastColumn="0" w:lastRowFirstColumn="0" w:lastRowLastColumn="0"/>
            </w:pPr>
            <w:r>
              <w:t>5 854</w:t>
            </w:r>
          </w:p>
        </w:tc>
        <w:tc>
          <w:tcPr>
            <w:tcW w:w="794" w:type="dxa"/>
          </w:tcPr>
          <w:p w14:paraId="58010406" w14:textId="77777777" w:rsidR="00AB205D" w:rsidRDefault="00471A3B">
            <w:pPr>
              <w:cnfStyle w:val="000000000000" w:firstRow="0" w:lastRow="0" w:firstColumn="0" w:lastColumn="0" w:oddVBand="0" w:evenVBand="0" w:oddHBand="0" w:evenHBand="0" w:firstRowFirstColumn="0" w:firstRowLastColumn="0" w:lastRowFirstColumn="0" w:lastRowLastColumn="0"/>
            </w:pPr>
            <w:r>
              <w:t>6 051</w:t>
            </w:r>
          </w:p>
        </w:tc>
        <w:tc>
          <w:tcPr>
            <w:tcW w:w="794" w:type="dxa"/>
          </w:tcPr>
          <w:p w14:paraId="3A0448A0" w14:textId="77777777" w:rsidR="00AB205D" w:rsidRDefault="00471A3B">
            <w:pPr>
              <w:cnfStyle w:val="000000000000" w:firstRow="0" w:lastRow="0" w:firstColumn="0" w:lastColumn="0" w:oddVBand="0" w:evenVBand="0" w:oddHBand="0" w:evenHBand="0" w:firstRowFirstColumn="0" w:firstRowLastColumn="0" w:lastRowFirstColumn="0" w:lastRowLastColumn="0"/>
            </w:pPr>
            <w:r>
              <w:t>6 264</w:t>
            </w:r>
          </w:p>
        </w:tc>
      </w:tr>
      <w:tr w:rsidR="009C6724" w14:paraId="531B8E0C"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5BE7D5BB" w14:textId="77777777" w:rsidR="00AB205D" w:rsidRDefault="00471A3B">
            <w:r>
              <w:t>Specific purpose grants</w:t>
            </w:r>
          </w:p>
        </w:tc>
        <w:tc>
          <w:tcPr>
            <w:tcW w:w="794" w:type="dxa"/>
            <w:tcBorders>
              <w:bottom w:val="single" w:sz="6" w:space="0" w:color="auto"/>
            </w:tcBorders>
          </w:tcPr>
          <w:p w14:paraId="67FF4F75" w14:textId="77777777" w:rsidR="00AB205D" w:rsidRDefault="00471A3B">
            <w:pPr>
              <w:cnfStyle w:val="000000000000" w:firstRow="0" w:lastRow="0" w:firstColumn="0" w:lastColumn="0" w:oddVBand="0" w:evenVBand="0" w:oddHBand="0" w:evenHBand="0" w:firstRowFirstColumn="0" w:firstRowLastColumn="0" w:lastRowFirstColumn="0" w:lastRowLastColumn="0"/>
            </w:pPr>
            <w:r>
              <w:t>15 211</w:t>
            </w:r>
          </w:p>
        </w:tc>
        <w:tc>
          <w:tcPr>
            <w:tcW w:w="794" w:type="dxa"/>
            <w:tcBorders>
              <w:bottom w:val="single" w:sz="6" w:space="0" w:color="auto"/>
            </w:tcBorders>
          </w:tcPr>
          <w:p w14:paraId="48982441" w14:textId="77777777" w:rsidR="00AB205D" w:rsidRDefault="00471A3B">
            <w:pPr>
              <w:cnfStyle w:val="000000000000" w:firstRow="0" w:lastRow="0" w:firstColumn="0" w:lastColumn="0" w:oddVBand="0" w:evenVBand="0" w:oddHBand="0" w:evenHBand="0" w:firstRowFirstColumn="0" w:firstRowLastColumn="0" w:lastRowFirstColumn="0" w:lastRowLastColumn="0"/>
            </w:pPr>
            <w:r>
              <w:t>15 602</w:t>
            </w:r>
          </w:p>
        </w:tc>
        <w:tc>
          <w:tcPr>
            <w:tcW w:w="794" w:type="dxa"/>
            <w:tcBorders>
              <w:bottom w:val="single" w:sz="6" w:space="0" w:color="auto"/>
            </w:tcBorders>
          </w:tcPr>
          <w:p w14:paraId="0FB3A8E8" w14:textId="77777777" w:rsidR="00AB205D" w:rsidRDefault="00471A3B">
            <w:pPr>
              <w:cnfStyle w:val="000000000000" w:firstRow="0" w:lastRow="0" w:firstColumn="0" w:lastColumn="0" w:oddVBand="0" w:evenVBand="0" w:oddHBand="0" w:evenHBand="0" w:firstRowFirstColumn="0" w:firstRowLastColumn="0" w:lastRowFirstColumn="0" w:lastRowLastColumn="0"/>
            </w:pPr>
            <w:r>
              <w:t>14 885</w:t>
            </w:r>
          </w:p>
        </w:tc>
        <w:tc>
          <w:tcPr>
            <w:tcW w:w="794" w:type="dxa"/>
            <w:tcBorders>
              <w:bottom w:val="single" w:sz="6" w:space="0" w:color="auto"/>
            </w:tcBorders>
          </w:tcPr>
          <w:p w14:paraId="7A639735" w14:textId="77777777" w:rsidR="00AB205D" w:rsidRDefault="00471A3B">
            <w:pPr>
              <w:cnfStyle w:val="000000000000" w:firstRow="0" w:lastRow="0" w:firstColumn="0" w:lastColumn="0" w:oddVBand="0" w:evenVBand="0" w:oddHBand="0" w:evenHBand="0" w:firstRowFirstColumn="0" w:firstRowLastColumn="0" w:lastRowFirstColumn="0" w:lastRowLastColumn="0"/>
            </w:pPr>
            <w:r>
              <w:t>15 908</w:t>
            </w:r>
          </w:p>
        </w:tc>
        <w:tc>
          <w:tcPr>
            <w:tcW w:w="794" w:type="dxa"/>
            <w:tcBorders>
              <w:bottom w:val="single" w:sz="6" w:space="0" w:color="auto"/>
            </w:tcBorders>
          </w:tcPr>
          <w:p w14:paraId="59ACBEAB" w14:textId="77777777" w:rsidR="00AB205D" w:rsidRDefault="00471A3B">
            <w:pPr>
              <w:cnfStyle w:val="000000000000" w:firstRow="0" w:lastRow="0" w:firstColumn="0" w:lastColumn="0" w:oddVBand="0" w:evenVBand="0" w:oddHBand="0" w:evenHBand="0" w:firstRowFirstColumn="0" w:firstRowLastColumn="0" w:lastRowFirstColumn="0" w:lastRowLastColumn="0"/>
            </w:pPr>
            <w:r>
              <w:t>16 636</w:t>
            </w:r>
          </w:p>
        </w:tc>
      </w:tr>
      <w:tr w:rsidR="009C6724" w14:paraId="283753DF"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632539B9" w14:textId="77777777" w:rsidR="00AB205D" w:rsidRDefault="00471A3B">
            <w:r>
              <w:rPr>
                <w:b/>
              </w:rPr>
              <w:t>Total</w:t>
            </w:r>
          </w:p>
        </w:tc>
        <w:tc>
          <w:tcPr>
            <w:tcW w:w="794" w:type="dxa"/>
            <w:tcBorders>
              <w:top w:val="single" w:sz="6" w:space="0" w:color="auto"/>
            </w:tcBorders>
          </w:tcPr>
          <w:p w14:paraId="2624667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40 607</w:t>
            </w:r>
          </w:p>
        </w:tc>
        <w:tc>
          <w:tcPr>
            <w:tcW w:w="794" w:type="dxa"/>
            <w:tcBorders>
              <w:top w:val="single" w:sz="6" w:space="0" w:color="auto"/>
            </w:tcBorders>
          </w:tcPr>
          <w:p w14:paraId="5D7BD18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40 373</w:t>
            </w:r>
          </w:p>
        </w:tc>
        <w:tc>
          <w:tcPr>
            <w:tcW w:w="794" w:type="dxa"/>
            <w:tcBorders>
              <w:top w:val="single" w:sz="6" w:space="0" w:color="auto"/>
            </w:tcBorders>
          </w:tcPr>
          <w:p w14:paraId="7221E9E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43 064</w:t>
            </w:r>
          </w:p>
        </w:tc>
        <w:tc>
          <w:tcPr>
            <w:tcW w:w="794" w:type="dxa"/>
            <w:tcBorders>
              <w:top w:val="single" w:sz="6" w:space="0" w:color="auto"/>
            </w:tcBorders>
          </w:tcPr>
          <w:p w14:paraId="1A17362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45 997</w:t>
            </w:r>
          </w:p>
        </w:tc>
        <w:tc>
          <w:tcPr>
            <w:tcW w:w="794" w:type="dxa"/>
            <w:tcBorders>
              <w:top w:val="single" w:sz="6" w:space="0" w:color="auto"/>
            </w:tcBorders>
          </w:tcPr>
          <w:p w14:paraId="0785847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47 180</w:t>
            </w:r>
          </w:p>
        </w:tc>
      </w:tr>
      <w:tr w:rsidR="009C6724" w14:paraId="511A2029"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6D9963E8" w14:textId="77777777" w:rsidR="00AB205D" w:rsidRDefault="00471A3B">
            <w:r>
              <w:t>Other contributions and grants</w:t>
            </w:r>
          </w:p>
        </w:tc>
        <w:tc>
          <w:tcPr>
            <w:tcW w:w="794" w:type="dxa"/>
            <w:tcBorders>
              <w:bottom w:val="single" w:sz="6" w:space="0" w:color="auto"/>
            </w:tcBorders>
          </w:tcPr>
          <w:p w14:paraId="309AA994" w14:textId="77777777" w:rsidR="00AB205D" w:rsidRDefault="00471A3B">
            <w:pPr>
              <w:cnfStyle w:val="000000000000" w:firstRow="0" w:lastRow="0" w:firstColumn="0" w:lastColumn="0" w:oddVBand="0" w:evenVBand="0" w:oddHBand="0" w:evenHBand="0" w:firstRowFirstColumn="0" w:firstRowLastColumn="0" w:lastRowFirstColumn="0" w:lastRowLastColumn="0"/>
            </w:pPr>
            <w:r>
              <w:t>1 144</w:t>
            </w:r>
          </w:p>
        </w:tc>
        <w:tc>
          <w:tcPr>
            <w:tcW w:w="794" w:type="dxa"/>
            <w:tcBorders>
              <w:bottom w:val="single" w:sz="6" w:space="0" w:color="auto"/>
            </w:tcBorders>
          </w:tcPr>
          <w:p w14:paraId="386854A1" w14:textId="77777777" w:rsidR="00AB205D" w:rsidRDefault="00471A3B">
            <w:pPr>
              <w:cnfStyle w:val="000000000000" w:firstRow="0" w:lastRow="0" w:firstColumn="0" w:lastColumn="0" w:oddVBand="0" w:evenVBand="0" w:oddHBand="0" w:evenHBand="0" w:firstRowFirstColumn="0" w:firstRowLastColumn="0" w:lastRowFirstColumn="0" w:lastRowLastColumn="0"/>
            </w:pPr>
            <w:r>
              <w:t>161</w:t>
            </w:r>
          </w:p>
        </w:tc>
        <w:tc>
          <w:tcPr>
            <w:tcW w:w="794" w:type="dxa"/>
            <w:tcBorders>
              <w:bottom w:val="single" w:sz="6" w:space="0" w:color="auto"/>
            </w:tcBorders>
          </w:tcPr>
          <w:p w14:paraId="1583715E" w14:textId="77777777" w:rsidR="00AB205D" w:rsidRDefault="00471A3B">
            <w:pPr>
              <w:cnfStyle w:val="000000000000" w:firstRow="0" w:lastRow="0" w:firstColumn="0" w:lastColumn="0" w:oddVBand="0" w:evenVBand="0" w:oddHBand="0" w:evenHBand="0" w:firstRowFirstColumn="0" w:firstRowLastColumn="0" w:lastRowFirstColumn="0" w:lastRowLastColumn="0"/>
            </w:pPr>
            <w:r>
              <w:t>177</w:t>
            </w:r>
          </w:p>
        </w:tc>
        <w:tc>
          <w:tcPr>
            <w:tcW w:w="794" w:type="dxa"/>
            <w:tcBorders>
              <w:bottom w:val="single" w:sz="6" w:space="0" w:color="auto"/>
            </w:tcBorders>
          </w:tcPr>
          <w:p w14:paraId="6EA0E48F" w14:textId="77777777" w:rsidR="00AB205D" w:rsidRDefault="00471A3B">
            <w:pPr>
              <w:cnfStyle w:val="000000000000" w:firstRow="0" w:lastRow="0" w:firstColumn="0" w:lastColumn="0" w:oddVBand="0" w:evenVBand="0" w:oddHBand="0" w:evenHBand="0" w:firstRowFirstColumn="0" w:firstRowLastColumn="0" w:lastRowFirstColumn="0" w:lastRowLastColumn="0"/>
            </w:pPr>
            <w:r>
              <w:t>231</w:t>
            </w:r>
          </w:p>
        </w:tc>
        <w:tc>
          <w:tcPr>
            <w:tcW w:w="794" w:type="dxa"/>
            <w:tcBorders>
              <w:bottom w:val="single" w:sz="6" w:space="0" w:color="auto"/>
            </w:tcBorders>
          </w:tcPr>
          <w:p w14:paraId="2D6D31BE" w14:textId="77777777" w:rsidR="00AB205D" w:rsidRDefault="00471A3B">
            <w:pPr>
              <w:cnfStyle w:val="000000000000" w:firstRow="0" w:lastRow="0" w:firstColumn="0" w:lastColumn="0" w:oddVBand="0" w:evenVBand="0" w:oddHBand="0" w:evenHBand="0" w:firstRowFirstColumn="0" w:firstRowLastColumn="0" w:lastRowFirstColumn="0" w:lastRowLastColumn="0"/>
            </w:pPr>
            <w:r>
              <w:t>881</w:t>
            </w:r>
          </w:p>
        </w:tc>
      </w:tr>
      <w:tr w:rsidR="009C6724" w14:paraId="1902C4C9"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7250B270" w14:textId="77777777" w:rsidR="00AB205D" w:rsidRDefault="00471A3B">
            <w:r>
              <w:rPr>
                <w:b/>
              </w:rPr>
              <w:t>Total grants</w:t>
            </w:r>
          </w:p>
        </w:tc>
        <w:tc>
          <w:tcPr>
            <w:tcW w:w="794" w:type="dxa"/>
            <w:tcBorders>
              <w:top w:val="single" w:sz="6" w:space="0" w:color="auto"/>
              <w:bottom w:val="single" w:sz="12" w:space="0" w:color="auto"/>
            </w:tcBorders>
          </w:tcPr>
          <w:p w14:paraId="1CDA61F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41 751</w:t>
            </w:r>
          </w:p>
        </w:tc>
        <w:tc>
          <w:tcPr>
            <w:tcW w:w="794" w:type="dxa"/>
            <w:tcBorders>
              <w:top w:val="single" w:sz="6" w:space="0" w:color="auto"/>
              <w:bottom w:val="single" w:sz="12" w:space="0" w:color="auto"/>
            </w:tcBorders>
          </w:tcPr>
          <w:p w14:paraId="00ECC3C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40 533</w:t>
            </w:r>
          </w:p>
        </w:tc>
        <w:tc>
          <w:tcPr>
            <w:tcW w:w="794" w:type="dxa"/>
            <w:tcBorders>
              <w:top w:val="single" w:sz="6" w:space="0" w:color="auto"/>
              <w:bottom w:val="single" w:sz="12" w:space="0" w:color="auto"/>
            </w:tcBorders>
          </w:tcPr>
          <w:p w14:paraId="16207A7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43 241</w:t>
            </w:r>
          </w:p>
        </w:tc>
        <w:tc>
          <w:tcPr>
            <w:tcW w:w="794" w:type="dxa"/>
            <w:tcBorders>
              <w:top w:val="single" w:sz="6" w:space="0" w:color="auto"/>
              <w:bottom w:val="single" w:sz="12" w:space="0" w:color="auto"/>
            </w:tcBorders>
          </w:tcPr>
          <w:p w14:paraId="7707361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46 228</w:t>
            </w:r>
          </w:p>
        </w:tc>
        <w:tc>
          <w:tcPr>
            <w:tcW w:w="794" w:type="dxa"/>
            <w:tcBorders>
              <w:top w:val="single" w:sz="6" w:space="0" w:color="auto"/>
              <w:bottom w:val="single" w:sz="12" w:space="0" w:color="auto"/>
            </w:tcBorders>
          </w:tcPr>
          <w:p w14:paraId="6AB4112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48 062</w:t>
            </w:r>
          </w:p>
        </w:tc>
      </w:tr>
    </w:tbl>
    <w:p w14:paraId="1A440EAA" w14:textId="77777777" w:rsidR="00AB205D" w:rsidRPr="00307B52" w:rsidRDefault="00471A3B">
      <w:pPr>
        <w:pStyle w:val="Note"/>
      </w:pPr>
      <w:r w:rsidRPr="00307B52">
        <w:t>Note:</w:t>
      </w:r>
    </w:p>
    <w:p w14:paraId="3FF359B6" w14:textId="77777777" w:rsidR="00AB205D" w:rsidRPr="00307B52" w:rsidRDefault="00471A3B">
      <w:pPr>
        <w:pStyle w:val="Note"/>
      </w:pPr>
      <w:r w:rsidRPr="00307B52">
        <w:t xml:space="preserve">(a) </w:t>
      </w:r>
      <w:r>
        <w:tab/>
      </w:r>
      <w:r w:rsidRPr="00307B52">
        <w:t>Grants predominantly relate to grants from the Commonwealth Government which are recognised under AASB 1058.</w:t>
      </w:r>
    </w:p>
    <w:p w14:paraId="75C57FAB" w14:textId="77777777" w:rsidR="00AB205D" w:rsidRPr="00BA109B" w:rsidRDefault="00471A3B">
      <w:pPr>
        <w:pStyle w:val="Heading3"/>
        <w:pageBreakBefore/>
        <w:rPr>
          <w:sz w:val="21"/>
          <w:szCs w:val="21"/>
        </w:rPr>
      </w:pPr>
      <w:bookmarkStart w:id="47" w:name="_Toc85010024"/>
      <w:bookmarkStart w:id="48" w:name="_Toc150443605"/>
      <w:r w:rsidRPr="00BA109B">
        <w:rPr>
          <w:sz w:val="21"/>
          <w:szCs w:val="21"/>
        </w:rPr>
        <w:lastRenderedPageBreak/>
        <w:t>Other revenue and income</w:t>
      </w:r>
      <w:r w:rsidRPr="00BA109B">
        <w:rPr>
          <w:sz w:val="21"/>
          <w:szCs w:val="21"/>
        </w:rPr>
        <w:tab/>
        <w:t>($ million)</w:t>
      </w:r>
      <w:bookmarkEnd w:id="47"/>
      <w:bookmarkEnd w:id="48"/>
    </w:p>
    <w:tbl>
      <w:tblPr>
        <w:tblStyle w:val="DTFTableNumeric"/>
        <w:tblW w:w="7710" w:type="dxa"/>
        <w:tblLayout w:type="fixed"/>
        <w:tblLook w:val="06A0" w:firstRow="1" w:lastRow="0" w:firstColumn="1" w:lastColumn="0" w:noHBand="1" w:noVBand="1"/>
        <w:tblDescription w:val="Type:DtfTable|Workbook:Rawdata\BudgetUpdate\Budget Update\Financial Statements\SRIMS exports\SRIMS_BU_EFS_OS.xlsx|Table:Other_revenue|MergedHeadingRow:1"/>
      </w:tblPr>
      <w:tblGrid>
        <w:gridCol w:w="3740"/>
        <w:gridCol w:w="794"/>
        <w:gridCol w:w="794"/>
        <w:gridCol w:w="794"/>
        <w:gridCol w:w="794"/>
        <w:gridCol w:w="794"/>
      </w:tblGrid>
      <w:tr w:rsidR="009C6724" w14:paraId="5FE7FB27"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34BFBA2F" w14:textId="77777777" w:rsidR="00AB205D" w:rsidRDefault="00AB205D">
            <w:pPr>
              <w:keepNext/>
            </w:pPr>
          </w:p>
        </w:tc>
        <w:tc>
          <w:tcPr>
            <w:tcW w:w="794" w:type="dxa"/>
          </w:tcPr>
          <w:p w14:paraId="3A5668AD"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budget</w:t>
            </w:r>
          </w:p>
        </w:tc>
        <w:tc>
          <w:tcPr>
            <w:tcW w:w="794" w:type="dxa"/>
          </w:tcPr>
          <w:p w14:paraId="1FFA9941"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revised</w:t>
            </w:r>
          </w:p>
        </w:tc>
        <w:tc>
          <w:tcPr>
            <w:tcW w:w="794" w:type="dxa"/>
          </w:tcPr>
          <w:p w14:paraId="6BD6155F"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r>
              <w:br/>
              <w:t>estimate</w:t>
            </w:r>
          </w:p>
        </w:tc>
        <w:tc>
          <w:tcPr>
            <w:tcW w:w="794" w:type="dxa"/>
          </w:tcPr>
          <w:p w14:paraId="0EFED7A6"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61A3B1C7"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r>
      <w:tr w:rsidR="009C6724" w14:paraId="3B80581F"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619AFB88" w14:textId="77777777" w:rsidR="00AB205D" w:rsidRDefault="00471A3B">
            <w:r>
              <w:rPr>
                <w:b/>
              </w:rPr>
              <w:t>Amounts recognised as revenue from contracts with customers (AASB 15)</w:t>
            </w:r>
          </w:p>
        </w:tc>
        <w:tc>
          <w:tcPr>
            <w:tcW w:w="794" w:type="dxa"/>
          </w:tcPr>
          <w:p w14:paraId="11B06D9F"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86A1EBD"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5A2A186B"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1BF79FF5"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5C040BD"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5C4CD8D2"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5C15F59" w14:textId="77777777" w:rsidR="00AB205D" w:rsidRDefault="00471A3B">
            <w:r>
              <w:t>Royalties</w:t>
            </w:r>
          </w:p>
        </w:tc>
        <w:tc>
          <w:tcPr>
            <w:tcW w:w="794" w:type="dxa"/>
          </w:tcPr>
          <w:p w14:paraId="2673BB1E" w14:textId="77777777" w:rsidR="00AB205D" w:rsidRDefault="00471A3B">
            <w:pPr>
              <w:cnfStyle w:val="000000000000" w:firstRow="0" w:lastRow="0" w:firstColumn="0" w:lastColumn="0" w:oddVBand="0" w:evenVBand="0" w:oddHBand="0" w:evenHBand="0" w:firstRowFirstColumn="0" w:firstRowLastColumn="0" w:lastRowFirstColumn="0" w:lastRowLastColumn="0"/>
            </w:pPr>
            <w:r>
              <w:t>142</w:t>
            </w:r>
          </w:p>
        </w:tc>
        <w:tc>
          <w:tcPr>
            <w:tcW w:w="794" w:type="dxa"/>
          </w:tcPr>
          <w:p w14:paraId="40DE22F3" w14:textId="77777777" w:rsidR="00AB205D" w:rsidRDefault="00471A3B">
            <w:pPr>
              <w:cnfStyle w:val="000000000000" w:firstRow="0" w:lastRow="0" w:firstColumn="0" w:lastColumn="0" w:oddVBand="0" w:evenVBand="0" w:oddHBand="0" w:evenHBand="0" w:firstRowFirstColumn="0" w:firstRowLastColumn="0" w:lastRowFirstColumn="0" w:lastRowLastColumn="0"/>
            </w:pPr>
            <w:r>
              <w:t>142</w:t>
            </w:r>
          </w:p>
        </w:tc>
        <w:tc>
          <w:tcPr>
            <w:tcW w:w="794" w:type="dxa"/>
          </w:tcPr>
          <w:p w14:paraId="24EF8ED5" w14:textId="77777777" w:rsidR="00AB205D" w:rsidRDefault="00471A3B">
            <w:pPr>
              <w:cnfStyle w:val="000000000000" w:firstRow="0" w:lastRow="0" w:firstColumn="0" w:lastColumn="0" w:oddVBand="0" w:evenVBand="0" w:oddHBand="0" w:evenHBand="0" w:firstRowFirstColumn="0" w:firstRowLastColumn="0" w:lastRowFirstColumn="0" w:lastRowLastColumn="0"/>
            </w:pPr>
            <w:r>
              <w:t>144</w:t>
            </w:r>
          </w:p>
        </w:tc>
        <w:tc>
          <w:tcPr>
            <w:tcW w:w="794" w:type="dxa"/>
          </w:tcPr>
          <w:p w14:paraId="154750F5" w14:textId="77777777" w:rsidR="00AB205D" w:rsidRDefault="00471A3B">
            <w:pPr>
              <w:cnfStyle w:val="000000000000" w:firstRow="0" w:lastRow="0" w:firstColumn="0" w:lastColumn="0" w:oddVBand="0" w:evenVBand="0" w:oddHBand="0" w:evenHBand="0" w:firstRowFirstColumn="0" w:firstRowLastColumn="0" w:lastRowFirstColumn="0" w:lastRowLastColumn="0"/>
            </w:pPr>
            <w:r>
              <w:t>144</w:t>
            </w:r>
          </w:p>
        </w:tc>
        <w:tc>
          <w:tcPr>
            <w:tcW w:w="794" w:type="dxa"/>
          </w:tcPr>
          <w:p w14:paraId="6BF976BB" w14:textId="77777777" w:rsidR="00AB205D" w:rsidRDefault="00471A3B">
            <w:pPr>
              <w:cnfStyle w:val="000000000000" w:firstRow="0" w:lastRow="0" w:firstColumn="0" w:lastColumn="0" w:oddVBand="0" w:evenVBand="0" w:oddHBand="0" w:evenHBand="0" w:firstRowFirstColumn="0" w:firstRowLastColumn="0" w:lastRowFirstColumn="0" w:lastRowLastColumn="0"/>
            </w:pPr>
            <w:r>
              <w:t>144</w:t>
            </w:r>
          </w:p>
        </w:tc>
      </w:tr>
      <w:tr w:rsidR="009C6724" w14:paraId="7E796BFA"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0B26D7EB" w14:textId="561DA1BD" w:rsidR="00AB205D" w:rsidRDefault="00471A3B">
            <w:r>
              <w:t xml:space="preserve">Other revenue – </w:t>
            </w:r>
            <w:r w:rsidR="00FA005E">
              <w:t>Health</w:t>
            </w:r>
          </w:p>
        </w:tc>
        <w:tc>
          <w:tcPr>
            <w:tcW w:w="794" w:type="dxa"/>
          </w:tcPr>
          <w:p w14:paraId="6C360DDD" w14:textId="77777777" w:rsidR="00AB205D" w:rsidRDefault="00471A3B">
            <w:pPr>
              <w:cnfStyle w:val="000000000000" w:firstRow="0" w:lastRow="0" w:firstColumn="0" w:lastColumn="0" w:oddVBand="0" w:evenVBand="0" w:oddHBand="0" w:evenHBand="0" w:firstRowFirstColumn="0" w:firstRowLastColumn="0" w:lastRowFirstColumn="0" w:lastRowLastColumn="0"/>
            </w:pPr>
            <w:r>
              <w:t>254</w:t>
            </w:r>
          </w:p>
        </w:tc>
        <w:tc>
          <w:tcPr>
            <w:tcW w:w="794" w:type="dxa"/>
          </w:tcPr>
          <w:p w14:paraId="70BEB9AA" w14:textId="77777777" w:rsidR="00AB205D" w:rsidRDefault="00471A3B">
            <w:pPr>
              <w:cnfStyle w:val="000000000000" w:firstRow="0" w:lastRow="0" w:firstColumn="0" w:lastColumn="0" w:oddVBand="0" w:evenVBand="0" w:oddHBand="0" w:evenHBand="0" w:firstRowFirstColumn="0" w:firstRowLastColumn="0" w:lastRowFirstColumn="0" w:lastRowLastColumn="0"/>
            </w:pPr>
            <w:r>
              <w:t>254</w:t>
            </w:r>
          </w:p>
        </w:tc>
        <w:tc>
          <w:tcPr>
            <w:tcW w:w="794" w:type="dxa"/>
          </w:tcPr>
          <w:p w14:paraId="5FE59BA1" w14:textId="77777777" w:rsidR="00AB205D" w:rsidRDefault="00471A3B">
            <w:pPr>
              <w:cnfStyle w:val="000000000000" w:firstRow="0" w:lastRow="0" w:firstColumn="0" w:lastColumn="0" w:oddVBand="0" w:evenVBand="0" w:oddHBand="0" w:evenHBand="0" w:firstRowFirstColumn="0" w:firstRowLastColumn="0" w:lastRowFirstColumn="0" w:lastRowLastColumn="0"/>
            </w:pPr>
            <w:r>
              <w:t>261</w:t>
            </w:r>
          </w:p>
        </w:tc>
        <w:tc>
          <w:tcPr>
            <w:tcW w:w="794" w:type="dxa"/>
          </w:tcPr>
          <w:p w14:paraId="0690467C" w14:textId="77777777" w:rsidR="00AB205D" w:rsidRDefault="00471A3B">
            <w:pPr>
              <w:cnfStyle w:val="000000000000" w:firstRow="0" w:lastRow="0" w:firstColumn="0" w:lastColumn="0" w:oddVBand="0" w:evenVBand="0" w:oddHBand="0" w:evenHBand="0" w:firstRowFirstColumn="0" w:firstRowLastColumn="0" w:lastRowFirstColumn="0" w:lastRowLastColumn="0"/>
            </w:pPr>
            <w:r>
              <w:t>261</w:t>
            </w:r>
          </w:p>
        </w:tc>
        <w:tc>
          <w:tcPr>
            <w:tcW w:w="794" w:type="dxa"/>
          </w:tcPr>
          <w:p w14:paraId="67ECB21A" w14:textId="77777777" w:rsidR="00AB205D" w:rsidRDefault="00471A3B">
            <w:pPr>
              <w:cnfStyle w:val="000000000000" w:firstRow="0" w:lastRow="0" w:firstColumn="0" w:lastColumn="0" w:oddVBand="0" w:evenVBand="0" w:oddHBand="0" w:evenHBand="0" w:firstRowFirstColumn="0" w:firstRowLastColumn="0" w:lastRowFirstColumn="0" w:lastRowLastColumn="0"/>
            </w:pPr>
            <w:r>
              <w:t>261</w:t>
            </w:r>
          </w:p>
        </w:tc>
      </w:tr>
      <w:tr w:rsidR="009C6724" w14:paraId="25E42E71"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1330628A" w14:textId="77777777" w:rsidR="00AB205D" w:rsidRDefault="00471A3B">
            <w:r>
              <w:t>Other miscellaneous revenue</w:t>
            </w:r>
          </w:p>
        </w:tc>
        <w:tc>
          <w:tcPr>
            <w:tcW w:w="794" w:type="dxa"/>
          </w:tcPr>
          <w:p w14:paraId="42410067" w14:textId="77777777" w:rsidR="00AB205D" w:rsidRDefault="00471A3B">
            <w:pPr>
              <w:cnfStyle w:val="000000000000" w:firstRow="0" w:lastRow="0" w:firstColumn="0" w:lastColumn="0" w:oddVBand="0" w:evenVBand="0" w:oddHBand="0" w:evenHBand="0" w:firstRowFirstColumn="0" w:firstRowLastColumn="0" w:lastRowFirstColumn="0" w:lastRowLastColumn="0"/>
            </w:pPr>
            <w:r>
              <w:t>693</w:t>
            </w:r>
          </w:p>
        </w:tc>
        <w:tc>
          <w:tcPr>
            <w:tcW w:w="794" w:type="dxa"/>
          </w:tcPr>
          <w:p w14:paraId="52B95911" w14:textId="77777777" w:rsidR="00AB205D" w:rsidRDefault="00471A3B">
            <w:pPr>
              <w:cnfStyle w:val="000000000000" w:firstRow="0" w:lastRow="0" w:firstColumn="0" w:lastColumn="0" w:oddVBand="0" w:evenVBand="0" w:oddHBand="0" w:evenHBand="0" w:firstRowFirstColumn="0" w:firstRowLastColumn="0" w:lastRowFirstColumn="0" w:lastRowLastColumn="0"/>
            </w:pPr>
            <w:r>
              <w:t>728</w:t>
            </w:r>
          </w:p>
        </w:tc>
        <w:tc>
          <w:tcPr>
            <w:tcW w:w="794" w:type="dxa"/>
          </w:tcPr>
          <w:p w14:paraId="2B9ABF5D" w14:textId="77777777" w:rsidR="00AB205D" w:rsidRDefault="00471A3B">
            <w:pPr>
              <w:cnfStyle w:val="000000000000" w:firstRow="0" w:lastRow="0" w:firstColumn="0" w:lastColumn="0" w:oddVBand="0" w:evenVBand="0" w:oddHBand="0" w:evenHBand="0" w:firstRowFirstColumn="0" w:firstRowLastColumn="0" w:lastRowFirstColumn="0" w:lastRowLastColumn="0"/>
            </w:pPr>
            <w:r>
              <w:t>678</w:t>
            </w:r>
          </w:p>
        </w:tc>
        <w:tc>
          <w:tcPr>
            <w:tcW w:w="794" w:type="dxa"/>
          </w:tcPr>
          <w:p w14:paraId="6AAC129F" w14:textId="77777777" w:rsidR="00AB205D" w:rsidRDefault="00471A3B">
            <w:pPr>
              <w:cnfStyle w:val="000000000000" w:firstRow="0" w:lastRow="0" w:firstColumn="0" w:lastColumn="0" w:oddVBand="0" w:evenVBand="0" w:oddHBand="0" w:evenHBand="0" w:firstRowFirstColumn="0" w:firstRowLastColumn="0" w:lastRowFirstColumn="0" w:lastRowLastColumn="0"/>
            </w:pPr>
            <w:r>
              <w:t>722</w:t>
            </w:r>
          </w:p>
        </w:tc>
        <w:tc>
          <w:tcPr>
            <w:tcW w:w="794" w:type="dxa"/>
          </w:tcPr>
          <w:p w14:paraId="665354AC" w14:textId="77777777" w:rsidR="00AB205D" w:rsidRDefault="00471A3B">
            <w:pPr>
              <w:cnfStyle w:val="000000000000" w:firstRow="0" w:lastRow="0" w:firstColumn="0" w:lastColumn="0" w:oddVBand="0" w:evenVBand="0" w:oddHBand="0" w:evenHBand="0" w:firstRowFirstColumn="0" w:firstRowLastColumn="0" w:lastRowFirstColumn="0" w:lastRowLastColumn="0"/>
            </w:pPr>
            <w:r>
              <w:t>736</w:t>
            </w:r>
          </w:p>
        </w:tc>
      </w:tr>
      <w:tr w:rsidR="009C6724" w14:paraId="66A0F5D5"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DD6645E" w14:textId="77777777" w:rsidR="00AB205D" w:rsidRDefault="00471A3B">
            <w:r>
              <w:rPr>
                <w:b/>
              </w:rPr>
              <w:t>Amounts recognised as income of not‑for‑profit entities (AASB 1058)</w:t>
            </w:r>
          </w:p>
        </w:tc>
        <w:tc>
          <w:tcPr>
            <w:tcW w:w="794" w:type="dxa"/>
          </w:tcPr>
          <w:p w14:paraId="64D53048"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61AA1498"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54E4EE46"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6D95D236"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27AE5934"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038BFE7D"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803D355" w14:textId="77777777" w:rsidR="00AB205D" w:rsidRDefault="00471A3B">
            <w:r>
              <w:t>Fair value of assets received free of charge or for nominal consideration</w:t>
            </w:r>
            <w:r>
              <w:rPr>
                <w:vertAlign w:val="superscript"/>
              </w:rPr>
              <w:t xml:space="preserve"> (a)</w:t>
            </w:r>
          </w:p>
        </w:tc>
        <w:tc>
          <w:tcPr>
            <w:tcW w:w="794" w:type="dxa"/>
          </w:tcPr>
          <w:p w14:paraId="55CF2D62" w14:textId="77777777" w:rsidR="00AB205D" w:rsidRDefault="00471A3B">
            <w:pPr>
              <w:cnfStyle w:val="000000000000" w:firstRow="0" w:lastRow="0" w:firstColumn="0" w:lastColumn="0" w:oddVBand="0" w:evenVBand="0" w:oddHBand="0" w:evenHBand="0" w:firstRowFirstColumn="0" w:firstRowLastColumn="0" w:lastRowFirstColumn="0" w:lastRowLastColumn="0"/>
            </w:pPr>
            <w:r>
              <w:t>432</w:t>
            </w:r>
          </w:p>
        </w:tc>
        <w:tc>
          <w:tcPr>
            <w:tcW w:w="794" w:type="dxa"/>
          </w:tcPr>
          <w:p w14:paraId="080CE9B6" w14:textId="77777777" w:rsidR="00AB205D" w:rsidRDefault="00471A3B">
            <w:pPr>
              <w:cnfStyle w:val="000000000000" w:firstRow="0" w:lastRow="0" w:firstColumn="0" w:lastColumn="0" w:oddVBand="0" w:evenVBand="0" w:oddHBand="0" w:evenHBand="0" w:firstRowFirstColumn="0" w:firstRowLastColumn="0" w:lastRowFirstColumn="0" w:lastRowLastColumn="0"/>
            </w:pPr>
            <w:r>
              <w:t>432</w:t>
            </w:r>
          </w:p>
        </w:tc>
        <w:tc>
          <w:tcPr>
            <w:tcW w:w="794" w:type="dxa"/>
          </w:tcPr>
          <w:p w14:paraId="726EAE2D" w14:textId="77777777" w:rsidR="00AB205D" w:rsidRDefault="00471A3B">
            <w:pPr>
              <w:cnfStyle w:val="000000000000" w:firstRow="0" w:lastRow="0" w:firstColumn="0" w:lastColumn="0" w:oddVBand="0" w:evenVBand="0" w:oddHBand="0" w:evenHBand="0" w:firstRowFirstColumn="0" w:firstRowLastColumn="0" w:lastRowFirstColumn="0" w:lastRowLastColumn="0"/>
            </w:pPr>
            <w:r>
              <w:t>59</w:t>
            </w:r>
          </w:p>
        </w:tc>
        <w:tc>
          <w:tcPr>
            <w:tcW w:w="794" w:type="dxa"/>
          </w:tcPr>
          <w:p w14:paraId="1B1CE3FE" w14:textId="77777777" w:rsidR="00AB205D" w:rsidRDefault="00471A3B">
            <w:pPr>
              <w:cnfStyle w:val="000000000000" w:firstRow="0" w:lastRow="0" w:firstColumn="0" w:lastColumn="0" w:oddVBand="0" w:evenVBand="0" w:oddHBand="0" w:evenHBand="0" w:firstRowFirstColumn="0" w:firstRowLastColumn="0" w:lastRowFirstColumn="0" w:lastRowLastColumn="0"/>
            </w:pPr>
            <w:r>
              <w:t>2</w:t>
            </w:r>
          </w:p>
        </w:tc>
        <w:tc>
          <w:tcPr>
            <w:tcW w:w="794" w:type="dxa"/>
          </w:tcPr>
          <w:p w14:paraId="3E6353A0" w14:textId="77777777" w:rsidR="00AB205D" w:rsidRDefault="00471A3B">
            <w:pPr>
              <w:cnfStyle w:val="000000000000" w:firstRow="0" w:lastRow="0" w:firstColumn="0" w:lastColumn="0" w:oddVBand="0" w:evenVBand="0" w:oddHBand="0" w:evenHBand="0" w:firstRowFirstColumn="0" w:firstRowLastColumn="0" w:lastRowFirstColumn="0" w:lastRowLastColumn="0"/>
            </w:pPr>
            <w:r>
              <w:t>2</w:t>
            </w:r>
          </w:p>
        </w:tc>
      </w:tr>
      <w:tr w:rsidR="009C6724" w14:paraId="293EBC0E"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CAEC153" w14:textId="77777777" w:rsidR="00AB205D" w:rsidRDefault="00471A3B">
            <w:r>
              <w:t>Fines</w:t>
            </w:r>
          </w:p>
        </w:tc>
        <w:tc>
          <w:tcPr>
            <w:tcW w:w="794" w:type="dxa"/>
          </w:tcPr>
          <w:p w14:paraId="473B64AB" w14:textId="77777777" w:rsidR="00AB205D" w:rsidRDefault="00471A3B">
            <w:pPr>
              <w:cnfStyle w:val="000000000000" w:firstRow="0" w:lastRow="0" w:firstColumn="0" w:lastColumn="0" w:oddVBand="0" w:evenVBand="0" w:oddHBand="0" w:evenHBand="0" w:firstRowFirstColumn="0" w:firstRowLastColumn="0" w:lastRowFirstColumn="0" w:lastRowLastColumn="0"/>
            </w:pPr>
            <w:r>
              <w:t>942</w:t>
            </w:r>
          </w:p>
        </w:tc>
        <w:tc>
          <w:tcPr>
            <w:tcW w:w="794" w:type="dxa"/>
          </w:tcPr>
          <w:p w14:paraId="4C91D3F4" w14:textId="77777777" w:rsidR="00AB205D" w:rsidRDefault="00471A3B">
            <w:pPr>
              <w:cnfStyle w:val="000000000000" w:firstRow="0" w:lastRow="0" w:firstColumn="0" w:lastColumn="0" w:oddVBand="0" w:evenVBand="0" w:oddHBand="0" w:evenHBand="0" w:firstRowFirstColumn="0" w:firstRowLastColumn="0" w:lastRowFirstColumn="0" w:lastRowLastColumn="0"/>
            </w:pPr>
            <w:r>
              <w:t>942</w:t>
            </w:r>
          </w:p>
        </w:tc>
        <w:tc>
          <w:tcPr>
            <w:tcW w:w="794" w:type="dxa"/>
          </w:tcPr>
          <w:p w14:paraId="117D1DB2" w14:textId="77777777" w:rsidR="00AB205D" w:rsidRDefault="00471A3B">
            <w:pPr>
              <w:cnfStyle w:val="000000000000" w:firstRow="0" w:lastRow="0" w:firstColumn="0" w:lastColumn="0" w:oddVBand="0" w:evenVBand="0" w:oddHBand="0" w:evenHBand="0" w:firstRowFirstColumn="0" w:firstRowLastColumn="0" w:lastRowFirstColumn="0" w:lastRowLastColumn="0"/>
            </w:pPr>
            <w:r>
              <w:t>947</w:t>
            </w:r>
          </w:p>
        </w:tc>
        <w:tc>
          <w:tcPr>
            <w:tcW w:w="794" w:type="dxa"/>
          </w:tcPr>
          <w:p w14:paraId="07E8F847" w14:textId="77777777" w:rsidR="00AB205D" w:rsidRDefault="00471A3B">
            <w:pPr>
              <w:cnfStyle w:val="000000000000" w:firstRow="0" w:lastRow="0" w:firstColumn="0" w:lastColumn="0" w:oddVBand="0" w:evenVBand="0" w:oddHBand="0" w:evenHBand="0" w:firstRowFirstColumn="0" w:firstRowLastColumn="0" w:lastRowFirstColumn="0" w:lastRowLastColumn="0"/>
            </w:pPr>
            <w:r>
              <w:t>917</w:t>
            </w:r>
          </w:p>
        </w:tc>
        <w:tc>
          <w:tcPr>
            <w:tcW w:w="794" w:type="dxa"/>
          </w:tcPr>
          <w:p w14:paraId="0F8981A1" w14:textId="77777777" w:rsidR="00AB205D" w:rsidRDefault="00471A3B">
            <w:pPr>
              <w:cnfStyle w:val="000000000000" w:firstRow="0" w:lastRow="0" w:firstColumn="0" w:lastColumn="0" w:oddVBand="0" w:evenVBand="0" w:oddHBand="0" w:evenHBand="0" w:firstRowFirstColumn="0" w:firstRowLastColumn="0" w:lastRowFirstColumn="0" w:lastRowLastColumn="0"/>
            </w:pPr>
            <w:r>
              <w:t>945</w:t>
            </w:r>
          </w:p>
        </w:tc>
      </w:tr>
      <w:tr w:rsidR="009C6724" w14:paraId="72874D53"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66C13243" w14:textId="77777777" w:rsidR="00AB205D" w:rsidRDefault="00471A3B">
            <w:r>
              <w:t>Donations and gifts</w:t>
            </w:r>
            <w:r>
              <w:rPr>
                <w:vertAlign w:val="superscript"/>
              </w:rPr>
              <w:t xml:space="preserve"> (b)</w:t>
            </w:r>
          </w:p>
        </w:tc>
        <w:tc>
          <w:tcPr>
            <w:tcW w:w="794" w:type="dxa"/>
          </w:tcPr>
          <w:p w14:paraId="1CB211A1" w14:textId="77777777" w:rsidR="00AB205D" w:rsidRDefault="00471A3B">
            <w:pPr>
              <w:cnfStyle w:val="000000000000" w:firstRow="0" w:lastRow="0" w:firstColumn="0" w:lastColumn="0" w:oddVBand="0" w:evenVBand="0" w:oddHBand="0" w:evenHBand="0" w:firstRowFirstColumn="0" w:firstRowLastColumn="0" w:lastRowFirstColumn="0" w:lastRowLastColumn="0"/>
            </w:pPr>
            <w:r>
              <w:t>216</w:t>
            </w:r>
          </w:p>
        </w:tc>
        <w:tc>
          <w:tcPr>
            <w:tcW w:w="794" w:type="dxa"/>
          </w:tcPr>
          <w:p w14:paraId="765B066E" w14:textId="77777777" w:rsidR="00AB205D" w:rsidRDefault="00471A3B">
            <w:pPr>
              <w:cnfStyle w:val="000000000000" w:firstRow="0" w:lastRow="0" w:firstColumn="0" w:lastColumn="0" w:oddVBand="0" w:evenVBand="0" w:oddHBand="0" w:evenHBand="0" w:firstRowFirstColumn="0" w:firstRowLastColumn="0" w:lastRowFirstColumn="0" w:lastRowLastColumn="0"/>
            </w:pPr>
            <w:r>
              <w:t>216</w:t>
            </w:r>
          </w:p>
        </w:tc>
        <w:tc>
          <w:tcPr>
            <w:tcW w:w="794" w:type="dxa"/>
          </w:tcPr>
          <w:p w14:paraId="1D12ABF7" w14:textId="77777777" w:rsidR="00AB205D" w:rsidRDefault="00471A3B">
            <w:pPr>
              <w:cnfStyle w:val="000000000000" w:firstRow="0" w:lastRow="0" w:firstColumn="0" w:lastColumn="0" w:oddVBand="0" w:evenVBand="0" w:oddHBand="0" w:evenHBand="0" w:firstRowFirstColumn="0" w:firstRowLastColumn="0" w:lastRowFirstColumn="0" w:lastRowLastColumn="0"/>
            </w:pPr>
            <w:r>
              <w:t>222</w:t>
            </w:r>
          </w:p>
        </w:tc>
        <w:tc>
          <w:tcPr>
            <w:tcW w:w="794" w:type="dxa"/>
          </w:tcPr>
          <w:p w14:paraId="705BDBE6" w14:textId="77777777" w:rsidR="00AB205D" w:rsidRDefault="00471A3B">
            <w:pPr>
              <w:cnfStyle w:val="000000000000" w:firstRow="0" w:lastRow="0" w:firstColumn="0" w:lastColumn="0" w:oddVBand="0" w:evenVBand="0" w:oddHBand="0" w:evenHBand="0" w:firstRowFirstColumn="0" w:firstRowLastColumn="0" w:lastRowFirstColumn="0" w:lastRowLastColumn="0"/>
            </w:pPr>
            <w:r>
              <w:t>222</w:t>
            </w:r>
          </w:p>
        </w:tc>
        <w:tc>
          <w:tcPr>
            <w:tcW w:w="794" w:type="dxa"/>
          </w:tcPr>
          <w:p w14:paraId="0F0FF71A" w14:textId="77777777" w:rsidR="00AB205D" w:rsidRDefault="00471A3B">
            <w:pPr>
              <w:cnfStyle w:val="000000000000" w:firstRow="0" w:lastRow="0" w:firstColumn="0" w:lastColumn="0" w:oddVBand="0" w:evenVBand="0" w:oddHBand="0" w:evenHBand="0" w:firstRowFirstColumn="0" w:firstRowLastColumn="0" w:lastRowFirstColumn="0" w:lastRowLastColumn="0"/>
            </w:pPr>
            <w:r>
              <w:t>222</w:t>
            </w:r>
          </w:p>
        </w:tc>
      </w:tr>
      <w:tr w:rsidR="009C6724" w14:paraId="0DF198C1"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BAE61C9" w14:textId="6629FBF5" w:rsidR="00AB205D" w:rsidRDefault="00471A3B">
            <w:r>
              <w:t xml:space="preserve">Other income – </w:t>
            </w:r>
            <w:r w:rsidR="00FA005E">
              <w:t>Education</w:t>
            </w:r>
          </w:p>
        </w:tc>
        <w:tc>
          <w:tcPr>
            <w:tcW w:w="794" w:type="dxa"/>
          </w:tcPr>
          <w:p w14:paraId="7BEA46F0" w14:textId="77777777" w:rsidR="00AB205D" w:rsidRDefault="00471A3B">
            <w:pPr>
              <w:cnfStyle w:val="000000000000" w:firstRow="0" w:lastRow="0" w:firstColumn="0" w:lastColumn="0" w:oddVBand="0" w:evenVBand="0" w:oddHBand="0" w:evenHBand="0" w:firstRowFirstColumn="0" w:firstRowLastColumn="0" w:lastRowFirstColumn="0" w:lastRowLastColumn="0"/>
            </w:pPr>
            <w:r>
              <w:t>396</w:t>
            </w:r>
          </w:p>
        </w:tc>
        <w:tc>
          <w:tcPr>
            <w:tcW w:w="794" w:type="dxa"/>
          </w:tcPr>
          <w:p w14:paraId="65B06D1B" w14:textId="77777777" w:rsidR="00AB205D" w:rsidRDefault="00471A3B">
            <w:pPr>
              <w:cnfStyle w:val="000000000000" w:firstRow="0" w:lastRow="0" w:firstColumn="0" w:lastColumn="0" w:oddVBand="0" w:evenVBand="0" w:oddHBand="0" w:evenHBand="0" w:firstRowFirstColumn="0" w:firstRowLastColumn="0" w:lastRowFirstColumn="0" w:lastRowLastColumn="0"/>
            </w:pPr>
            <w:r>
              <w:t>364</w:t>
            </w:r>
          </w:p>
        </w:tc>
        <w:tc>
          <w:tcPr>
            <w:tcW w:w="794" w:type="dxa"/>
          </w:tcPr>
          <w:p w14:paraId="3C5691D4" w14:textId="77777777" w:rsidR="00AB205D" w:rsidRDefault="00471A3B">
            <w:pPr>
              <w:cnfStyle w:val="000000000000" w:firstRow="0" w:lastRow="0" w:firstColumn="0" w:lastColumn="0" w:oddVBand="0" w:evenVBand="0" w:oddHBand="0" w:evenHBand="0" w:firstRowFirstColumn="0" w:firstRowLastColumn="0" w:lastRowFirstColumn="0" w:lastRowLastColumn="0"/>
            </w:pPr>
            <w:r>
              <w:t>373</w:t>
            </w:r>
          </w:p>
        </w:tc>
        <w:tc>
          <w:tcPr>
            <w:tcW w:w="794" w:type="dxa"/>
          </w:tcPr>
          <w:p w14:paraId="602556DE" w14:textId="77777777" w:rsidR="00AB205D" w:rsidRDefault="00471A3B">
            <w:pPr>
              <w:cnfStyle w:val="000000000000" w:firstRow="0" w:lastRow="0" w:firstColumn="0" w:lastColumn="0" w:oddVBand="0" w:evenVBand="0" w:oddHBand="0" w:evenHBand="0" w:firstRowFirstColumn="0" w:firstRowLastColumn="0" w:lastRowFirstColumn="0" w:lastRowLastColumn="0"/>
            </w:pPr>
            <w:r>
              <w:t>383</w:t>
            </w:r>
          </w:p>
        </w:tc>
        <w:tc>
          <w:tcPr>
            <w:tcW w:w="794" w:type="dxa"/>
          </w:tcPr>
          <w:p w14:paraId="13826F39" w14:textId="77777777" w:rsidR="00AB205D" w:rsidRDefault="00471A3B">
            <w:pPr>
              <w:cnfStyle w:val="000000000000" w:firstRow="0" w:lastRow="0" w:firstColumn="0" w:lastColumn="0" w:oddVBand="0" w:evenVBand="0" w:oddHBand="0" w:evenHBand="0" w:firstRowFirstColumn="0" w:firstRowLastColumn="0" w:lastRowFirstColumn="0" w:lastRowLastColumn="0"/>
            </w:pPr>
            <w:r>
              <w:t>392</w:t>
            </w:r>
          </w:p>
        </w:tc>
      </w:tr>
      <w:tr w:rsidR="009C6724" w14:paraId="48689789"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087DDCB0" w14:textId="77777777" w:rsidR="00AB205D" w:rsidRDefault="00471A3B">
            <w:r>
              <w:t>Other miscellaneous income</w:t>
            </w:r>
            <w:r>
              <w:rPr>
                <w:vertAlign w:val="superscript"/>
              </w:rPr>
              <w:t xml:space="preserve"> (c)</w:t>
            </w:r>
          </w:p>
        </w:tc>
        <w:tc>
          <w:tcPr>
            <w:tcW w:w="794" w:type="dxa"/>
          </w:tcPr>
          <w:p w14:paraId="5F8804BB"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002A6E00"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76CAB756"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59E84711"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3EFB43E6" w14:textId="77777777" w:rsidR="00AB205D" w:rsidRDefault="00471A3B">
            <w:pPr>
              <w:cnfStyle w:val="000000000000" w:firstRow="0" w:lastRow="0" w:firstColumn="0" w:lastColumn="0" w:oddVBand="0" w:evenVBand="0" w:oddHBand="0" w:evenHBand="0" w:firstRowFirstColumn="0" w:firstRowLastColumn="0" w:lastRowFirstColumn="0" w:lastRowLastColumn="0"/>
            </w:pPr>
            <w:r>
              <w:t>308</w:t>
            </w:r>
          </w:p>
        </w:tc>
      </w:tr>
      <w:tr w:rsidR="009C6724" w14:paraId="7D362CFD"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6F8A3976" w14:textId="77777777" w:rsidR="00AB205D" w:rsidRDefault="00471A3B">
            <w:r>
              <w:rPr>
                <w:b/>
              </w:rPr>
              <w:t>Amounts recognised as lease income (AASB 16)</w:t>
            </w:r>
          </w:p>
        </w:tc>
        <w:tc>
          <w:tcPr>
            <w:tcW w:w="794" w:type="dxa"/>
          </w:tcPr>
          <w:p w14:paraId="24CB43C7"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24F3EFF4"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D492222"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9AF388F"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1219A75C"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1FA7E1DC"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268EB6F" w14:textId="77777777" w:rsidR="00AB205D" w:rsidRDefault="00471A3B">
            <w:r>
              <w:t>Other non</w:t>
            </w:r>
            <w:r>
              <w:noBreakHyphen/>
              <w:t>property rental</w:t>
            </w:r>
          </w:p>
        </w:tc>
        <w:tc>
          <w:tcPr>
            <w:tcW w:w="794" w:type="dxa"/>
          </w:tcPr>
          <w:p w14:paraId="2E1CCF2D" w14:textId="77777777" w:rsidR="00AB205D" w:rsidRDefault="00471A3B">
            <w:pPr>
              <w:cnfStyle w:val="000000000000" w:firstRow="0" w:lastRow="0" w:firstColumn="0" w:lastColumn="0" w:oddVBand="0" w:evenVBand="0" w:oddHBand="0" w:evenHBand="0" w:firstRowFirstColumn="0" w:firstRowLastColumn="0" w:lastRowFirstColumn="0" w:lastRowLastColumn="0"/>
            </w:pPr>
            <w:r>
              <w:t>27</w:t>
            </w:r>
          </w:p>
        </w:tc>
        <w:tc>
          <w:tcPr>
            <w:tcW w:w="794" w:type="dxa"/>
          </w:tcPr>
          <w:p w14:paraId="2244C0A0" w14:textId="77777777" w:rsidR="00AB205D" w:rsidRDefault="00471A3B">
            <w:pPr>
              <w:cnfStyle w:val="000000000000" w:firstRow="0" w:lastRow="0" w:firstColumn="0" w:lastColumn="0" w:oddVBand="0" w:evenVBand="0" w:oddHBand="0" w:evenHBand="0" w:firstRowFirstColumn="0" w:firstRowLastColumn="0" w:lastRowFirstColumn="0" w:lastRowLastColumn="0"/>
            </w:pPr>
            <w:r>
              <w:t>27</w:t>
            </w:r>
          </w:p>
        </w:tc>
        <w:tc>
          <w:tcPr>
            <w:tcW w:w="794" w:type="dxa"/>
          </w:tcPr>
          <w:p w14:paraId="429E7458" w14:textId="77777777" w:rsidR="00AB205D" w:rsidRDefault="00471A3B">
            <w:pPr>
              <w:cnfStyle w:val="000000000000" w:firstRow="0" w:lastRow="0" w:firstColumn="0" w:lastColumn="0" w:oddVBand="0" w:evenVBand="0" w:oddHBand="0" w:evenHBand="0" w:firstRowFirstColumn="0" w:firstRowLastColumn="0" w:lastRowFirstColumn="0" w:lastRowLastColumn="0"/>
            </w:pPr>
            <w:r>
              <w:t>27</w:t>
            </w:r>
          </w:p>
        </w:tc>
        <w:tc>
          <w:tcPr>
            <w:tcW w:w="794" w:type="dxa"/>
          </w:tcPr>
          <w:p w14:paraId="53E232FA" w14:textId="77777777" w:rsidR="00AB205D" w:rsidRDefault="00471A3B">
            <w:pPr>
              <w:cnfStyle w:val="000000000000" w:firstRow="0" w:lastRow="0" w:firstColumn="0" w:lastColumn="0" w:oddVBand="0" w:evenVBand="0" w:oddHBand="0" w:evenHBand="0" w:firstRowFirstColumn="0" w:firstRowLastColumn="0" w:lastRowFirstColumn="0" w:lastRowLastColumn="0"/>
            </w:pPr>
            <w:r>
              <w:t>27</w:t>
            </w:r>
          </w:p>
        </w:tc>
        <w:tc>
          <w:tcPr>
            <w:tcW w:w="794" w:type="dxa"/>
          </w:tcPr>
          <w:p w14:paraId="27CA86F3" w14:textId="77777777" w:rsidR="00AB205D" w:rsidRDefault="00471A3B">
            <w:pPr>
              <w:cnfStyle w:val="000000000000" w:firstRow="0" w:lastRow="0" w:firstColumn="0" w:lastColumn="0" w:oddVBand="0" w:evenVBand="0" w:oddHBand="0" w:evenHBand="0" w:firstRowFirstColumn="0" w:firstRowLastColumn="0" w:lastRowFirstColumn="0" w:lastRowLastColumn="0"/>
            </w:pPr>
            <w:r>
              <w:t>27</w:t>
            </w:r>
          </w:p>
        </w:tc>
      </w:tr>
      <w:tr w:rsidR="009C6724" w14:paraId="067107C3"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069076A3" w14:textId="77777777" w:rsidR="00AB205D" w:rsidRDefault="00471A3B">
            <w:r>
              <w:rPr>
                <w:b/>
              </w:rPr>
              <w:t>Revenue items accounted for under AASB 1059</w:t>
            </w:r>
          </w:p>
        </w:tc>
        <w:tc>
          <w:tcPr>
            <w:tcW w:w="794" w:type="dxa"/>
          </w:tcPr>
          <w:p w14:paraId="6F240A27"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54A66A2F"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F447C32"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515D4BF3"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337958E"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72617FB5"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39436689" w14:textId="77777777" w:rsidR="00AB205D" w:rsidRDefault="00471A3B">
            <w:r>
              <w:t>Revenue related to economic service concession arrangements</w:t>
            </w:r>
          </w:p>
        </w:tc>
        <w:tc>
          <w:tcPr>
            <w:tcW w:w="794" w:type="dxa"/>
            <w:tcBorders>
              <w:bottom w:val="single" w:sz="6" w:space="0" w:color="auto"/>
            </w:tcBorders>
          </w:tcPr>
          <w:p w14:paraId="69C1640F" w14:textId="77777777" w:rsidR="00AB205D" w:rsidRDefault="00471A3B">
            <w:pPr>
              <w:cnfStyle w:val="000000000000" w:firstRow="0" w:lastRow="0" w:firstColumn="0" w:lastColumn="0" w:oddVBand="0" w:evenVBand="0" w:oddHBand="0" w:evenHBand="0" w:firstRowFirstColumn="0" w:firstRowLastColumn="0" w:lastRowFirstColumn="0" w:lastRowLastColumn="0"/>
            </w:pPr>
            <w:r>
              <w:t>515</w:t>
            </w:r>
          </w:p>
        </w:tc>
        <w:tc>
          <w:tcPr>
            <w:tcW w:w="794" w:type="dxa"/>
            <w:tcBorders>
              <w:bottom w:val="single" w:sz="6" w:space="0" w:color="auto"/>
            </w:tcBorders>
          </w:tcPr>
          <w:p w14:paraId="3B287D40" w14:textId="77777777" w:rsidR="00AB205D" w:rsidRDefault="00471A3B">
            <w:pPr>
              <w:cnfStyle w:val="000000000000" w:firstRow="0" w:lastRow="0" w:firstColumn="0" w:lastColumn="0" w:oddVBand="0" w:evenVBand="0" w:oddHBand="0" w:evenHBand="0" w:firstRowFirstColumn="0" w:firstRowLastColumn="0" w:lastRowFirstColumn="0" w:lastRowLastColumn="0"/>
            </w:pPr>
            <w:r>
              <w:t>515</w:t>
            </w:r>
          </w:p>
        </w:tc>
        <w:tc>
          <w:tcPr>
            <w:tcW w:w="794" w:type="dxa"/>
            <w:tcBorders>
              <w:bottom w:val="single" w:sz="6" w:space="0" w:color="auto"/>
            </w:tcBorders>
          </w:tcPr>
          <w:p w14:paraId="1B59C603" w14:textId="77777777" w:rsidR="00AB205D" w:rsidRDefault="00471A3B">
            <w:pPr>
              <w:cnfStyle w:val="000000000000" w:firstRow="0" w:lastRow="0" w:firstColumn="0" w:lastColumn="0" w:oddVBand="0" w:evenVBand="0" w:oddHBand="0" w:evenHBand="0" w:firstRowFirstColumn="0" w:firstRowLastColumn="0" w:lastRowFirstColumn="0" w:lastRowLastColumn="0"/>
            </w:pPr>
            <w:r>
              <w:t>502</w:t>
            </w:r>
          </w:p>
        </w:tc>
        <w:tc>
          <w:tcPr>
            <w:tcW w:w="794" w:type="dxa"/>
            <w:tcBorders>
              <w:bottom w:val="single" w:sz="6" w:space="0" w:color="auto"/>
            </w:tcBorders>
          </w:tcPr>
          <w:p w14:paraId="5E0E18AF" w14:textId="77777777" w:rsidR="00AB205D" w:rsidRDefault="00471A3B">
            <w:pPr>
              <w:cnfStyle w:val="000000000000" w:firstRow="0" w:lastRow="0" w:firstColumn="0" w:lastColumn="0" w:oddVBand="0" w:evenVBand="0" w:oddHBand="0" w:evenHBand="0" w:firstRowFirstColumn="0" w:firstRowLastColumn="0" w:lastRowFirstColumn="0" w:lastRowLastColumn="0"/>
            </w:pPr>
            <w:r>
              <w:t>648</w:t>
            </w:r>
          </w:p>
        </w:tc>
        <w:tc>
          <w:tcPr>
            <w:tcW w:w="794" w:type="dxa"/>
            <w:tcBorders>
              <w:bottom w:val="single" w:sz="6" w:space="0" w:color="auto"/>
            </w:tcBorders>
          </w:tcPr>
          <w:p w14:paraId="5DD5E93C" w14:textId="77777777" w:rsidR="00AB205D" w:rsidRDefault="00471A3B">
            <w:pPr>
              <w:cnfStyle w:val="000000000000" w:firstRow="0" w:lastRow="0" w:firstColumn="0" w:lastColumn="0" w:oddVBand="0" w:evenVBand="0" w:oddHBand="0" w:evenHBand="0" w:firstRowFirstColumn="0" w:firstRowLastColumn="0" w:lastRowFirstColumn="0" w:lastRowLastColumn="0"/>
            </w:pPr>
            <w:r>
              <w:t>809</w:t>
            </w:r>
          </w:p>
        </w:tc>
      </w:tr>
      <w:tr w:rsidR="009C6724" w14:paraId="126748F0"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216D2596" w14:textId="77777777" w:rsidR="00AB205D" w:rsidRDefault="00471A3B">
            <w:r>
              <w:rPr>
                <w:b/>
              </w:rPr>
              <w:t>Total other revenue and income</w:t>
            </w:r>
          </w:p>
        </w:tc>
        <w:tc>
          <w:tcPr>
            <w:tcW w:w="794" w:type="dxa"/>
            <w:tcBorders>
              <w:top w:val="single" w:sz="6" w:space="0" w:color="auto"/>
              <w:bottom w:val="single" w:sz="12" w:space="0" w:color="auto"/>
            </w:tcBorders>
          </w:tcPr>
          <w:p w14:paraId="7347B57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3 617</w:t>
            </w:r>
          </w:p>
        </w:tc>
        <w:tc>
          <w:tcPr>
            <w:tcW w:w="794" w:type="dxa"/>
            <w:tcBorders>
              <w:top w:val="single" w:sz="6" w:space="0" w:color="auto"/>
              <w:bottom w:val="single" w:sz="12" w:space="0" w:color="auto"/>
            </w:tcBorders>
          </w:tcPr>
          <w:p w14:paraId="2108BAF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3 619</w:t>
            </w:r>
          </w:p>
        </w:tc>
        <w:tc>
          <w:tcPr>
            <w:tcW w:w="794" w:type="dxa"/>
            <w:tcBorders>
              <w:top w:val="single" w:sz="6" w:space="0" w:color="auto"/>
              <w:bottom w:val="single" w:sz="12" w:space="0" w:color="auto"/>
            </w:tcBorders>
          </w:tcPr>
          <w:p w14:paraId="66F98CF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3 214</w:t>
            </w:r>
          </w:p>
        </w:tc>
        <w:tc>
          <w:tcPr>
            <w:tcW w:w="794" w:type="dxa"/>
            <w:tcBorders>
              <w:top w:val="single" w:sz="6" w:space="0" w:color="auto"/>
              <w:bottom w:val="single" w:sz="12" w:space="0" w:color="auto"/>
            </w:tcBorders>
          </w:tcPr>
          <w:p w14:paraId="0EA0D30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3 327</w:t>
            </w:r>
          </w:p>
        </w:tc>
        <w:tc>
          <w:tcPr>
            <w:tcW w:w="794" w:type="dxa"/>
            <w:tcBorders>
              <w:top w:val="single" w:sz="6" w:space="0" w:color="auto"/>
              <w:bottom w:val="single" w:sz="12" w:space="0" w:color="auto"/>
            </w:tcBorders>
          </w:tcPr>
          <w:p w14:paraId="4ACC15A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3 846</w:t>
            </w:r>
          </w:p>
        </w:tc>
      </w:tr>
    </w:tbl>
    <w:p w14:paraId="1F65EB8B" w14:textId="77777777" w:rsidR="00AB205D" w:rsidRPr="00307B52" w:rsidRDefault="00471A3B">
      <w:pPr>
        <w:pStyle w:val="Note"/>
      </w:pPr>
      <w:r w:rsidRPr="00307B52">
        <w:t>Note</w:t>
      </w:r>
      <w:r>
        <w:t>s</w:t>
      </w:r>
      <w:r w:rsidRPr="00307B52">
        <w:t xml:space="preserve">: </w:t>
      </w:r>
    </w:p>
    <w:p w14:paraId="2409EA7F" w14:textId="77777777" w:rsidR="00AB205D" w:rsidRDefault="00471A3B">
      <w:pPr>
        <w:pStyle w:val="Note"/>
      </w:pPr>
      <w:r w:rsidRPr="006E6562">
        <w:t>(a</w:t>
      </w:r>
      <w:r>
        <w:t>)</w:t>
      </w:r>
      <w:r>
        <w:tab/>
      </w:r>
      <w:bookmarkStart w:id="49" w:name="_Hlk151109173"/>
      <w:r w:rsidRPr="00643B9A">
        <w:t>The funding profile of the Fair value of assets received free of charge or for nominal consideration in 2023</w:t>
      </w:r>
      <w:r>
        <w:noBreakHyphen/>
      </w:r>
      <w:r w:rsidRPr="00643B9A">
        <w:t>24 and 2024</w:t>
      </w:r>
      <w:r>
        <w:noBreakHyphen/>
      </w:r>
      <w:r w:rsidRPr="00643B9A">
        <w:t xml:space="preserve">25 includes </w:t>
      </w:r>
      <w:r>
        <w:t xml:space="preserve">the </w:t>
      </w:r>
      <w:r w:rsidRPr="00643B9A">
        <w:t>Cross Yarra Partnership Consortium’s contribution to the additional costs borne by the operator as part of the Metro Tunnel settlement.</w:t>
      </w:r>
      <w:bookmarkEnd w:id="49"/>
    </w:p>
    <w:p w14:paraId="2B75CA0D" w14:textId="77777777" w:rsidR="00AB205D" w:rsidRDefault="00471A3B">
      <w:pPr>
        <w:pStyle w:val="Note"/>
      </w:pPr>
      <w:r>
        <w:t>(b)</w:t>
      </w:r>
      <w:r>
        <w:tab/>
        <w:t>Primarily relates to donations to health services from non</w:t>
      </w:r>
      <w:r>
        <w:noBreakHyphen/>
        <w:t xml:space="preserve">government sources. </w:t>
      </w:r>
    </w:p>
    <w:p w14:paraId="60D52C3D" w14:textId="77777777" w:rsidR="00AB205D" w:rsidRPr="00307B52" w:rsidRDefault="00471A3B">
      <w:pPr>
        <w:pStyle w:val="Note"/>
      </w:pPr>
      <w:r>
        <w:t>(c)</w:t>
      </w:r>
      <w:r>
        <w:tab/>
        <w:t>Other miscellaneous income reflects the estimated amounts for reimbursement of expenditure.</w:t>
      </w:r>
    </w:p>
    <w:bookmarkEnd w:id="40"/>
    <w:p w14:paraId="6D0EFFFE" w14:textId="77777777" w:rsidR="00AB205D" w:rsidRPr="00307B52" w:rsidRDefault="00AB205D"/>
    <w:p w14:paraId="737F9953" w14:textId="77777777" w:rsidR="00AB205D" w:rsidRDefault="00AB205D"/>
    <w:p w14:paraId="0129EE48" w14:textId="77777777" w:rsidR="00AB205D" w:rsidRDefault="00AB205D">
      <w:pPr>
        <w:sectPr w:rsidR="00AB205D" w:rsidSect="00570639">
          <w:headerReference w:type="even" r:id="rId55"/>
          <w:headerReference w:type="default" r:id="rId56"/>
          <w:headerReference w:type="first" r:id="rId57"/>
          <w:footerReference w:type="first" r:id="rId58"/>
          <w:pgSz w:w="9979" w:h="14175" w:code="34"/>
          <w:pgMar w:top="1134" w:right="1134" w:bottom="1134" w:left="1134" w:header="624" w:footer="567" w:gutter="0"/>
          <w:cols w:space="708"/>
          <w:docGrid w:linePitch="360"/>
        </w:sectPr>
      </w:pPr>
    </w:p>
    <w:p w14:paraId="40A6EDA3" w14:textId="77777777" w:rsidR="00AB205D" w:rsidRDefault="00471A3B">
      <w:pPr>
        <w:pStyle w:val="Heading2"/>
        <w:spacing w:before="0"/>
      </w:pPr>
      <w:bookmarkStart w:id="50" w:name="Section_3"/>
      <w:r w:rsidRPr="007F4217">
        <w:lastRenderedPageBreak/>
        <w:t>How funds are spent</w:t>
      </w:r>
    </w:p>
    <w:p w14:paraId="5EF769DE" w14:textId="77777777" w:rsidR="00AB205D" w:rsidRDefault="00471A3B">
      <w:pPr>
        <w:pStyle w:val="Heading30"/>
      </w:pPr>
      <w:r w:rsidRPr="007F4217">
        <w:t>Introduction</w:t>
      </w:r>
    </w:p>
    <w:p w14:paraId="54A56547" w14:textId="77777777" w:rsidR="00AB205D" w:rsidRDefault="00471A3B">
      <w:r w:rsidRPr="00FC6AC0">
        <w:t xml:space="preserve">This section </w:t>
      </w:r>
      <w:r>
        <w:t>presents</w:t>
      </w:r>
      <w:r w:rsidRPr="00FC6AC0">
        <w:t xml:space="preserve"> the major components of expenditure incurred by the State towards the delivery of services and on capital or infrastructure projects during the year.</w:t>
      </w:r>
    </w:p>
    <w:p w14:paraId="682B49C1" w14:textId="77777777" w:rsidR="00AB205D" w:rsidRDefault="00471A3B">
      <w:r>
        <w:br w:type="column"/>
      </w:r>
    </w:p>
    <w:p w14:paraId="5FB95FB5" w14:textId="77777777" w:rsidR="00AB205D" w:rsidRDefault="00471A3B">
      <w:pPr>
        <w:pStyle w:val="Heading30"/>
      </w:pPr>
      <w:r w:rsidRPr="007F4217">
        <w:t>Structure</w:t>
      </w:r>
    </w:p>
    <w:p w14:paraId="6599807D" w14:textId="598DC44E" w:rsidR="00AB205D" w:rsidRDefault="00471A3B">
      <w:pPr>
        <w:pStyle w:val="TOC9"/>
        <w:rPr>
          <w:rFonts w:eastAsiaTheme="minorEastAsia"/>
          <w:noProof/>
          <w:sz w:val="22"/>
          <w:lang w:eastAsia="en-AU"/>
        </w:rPr>
      </w:pPr>
      <w:r>
        <w:rPr>
          <w:spacing w:val="-2"/>
        </w:rPr>
        <w:fldChar w:fldCharType="begin"/>
      </w:r>
      <w:r>
        <w:instrText xml:space="preserve"> TOC \h \z \t "Heading 3 [#],9" \b Section_3 \* MERGEFORMAT </w:instrText>
      </w:r>
      <w:r>
        <w:rPr>
          <w:spacing w:val="-2"/>
        </w:rPr>
        <w:fldChar w:fldCharType="separate"/>
      </w:r>
      <w:hyperlink w:anchor="_Toc149221028" w:history="1">
        <w:r w:rsidRPr="0018168F">
          <w:rPr>
            <w:rStyle w:val="Hyperlink"/>
            <w:noProof/>
          </w:rPr>
          <w:t>4.3.1</w:t>
        </w:r>
        <w:r>
          <w:rPr>
            <w:rFonts w:eastAsiaTheme="minorEastAsia"/>
            <w:noProof/>
            <w:sz w:val="22"/>
            <w:lang w:eastAsia="en-AU"/>
          </w:rPr>
          <w:tab/>
        </w:r>
        <w:r w:rsidRPr="0018168F">
          <w:rPr>
            <w:rStyle w:val="Hyperlink"/>
            <w:noProof/>
          </w:rPr>
          <w:t xml:space="preserve">Employee expenses and provision </w:t>
        </w:r>
        <w:r>
          <w:rPr>
            <w:rStyle w:val="Hyperlink"/>
            <w:noProof/>
          </w:rPr>
          <w:br/>
        </w:r>
        <w:r w:rsidRPr="0018168F">
          <w:rPr>
            <w:rStyle w:val="Hyperlink"/>
            <w:noProof/>
          </w:rPr>
          <w:t>for outstanding employee benefits</w:t>
        </w:r>
        <w:r>
          <w:rPr>
            <w:noProof/>
            <w:webHidden/>
          </w:rPr>
          <w:tab/>
        </w:r>
        <w:r>
          <w:rPr>
            <w:noProof/>
            <w:webHidden/>
          </w:rPr>
          <w:fldChar w:fldCharType="begin"/>
        </w:r>
        <w:r>
          <w:rPr>
            <w:noProof/>
            <w:webHidden/>
          </w:rPr>
          <w:instrText xml:space="preserve"> PAGEREF _Toc149221028 \h </w:instrText>
        </w:r>
        <w:r>
          <w:rPr>
            <w:noProof/>
            <w:webHidden/>
          </w:rPr>
        </w:r>
        <w:r>
          <w:rPr>
            <w:noProof/>
            <w:webHidden/>
          </w:rPr>
          <w:fldChar w:fldCharType="separate"/>
        </w:r>
        <w:r w:rsidR="00315D9A">
          <w:rPr>
            <w:noProof/>
            <w:webHidden/>
          </w:rPr>
          <w:t>58</w:t>
        </w:r>
        <w:r>
          <w:rPr>
            <w:noProof/>
            <w:webHidden/>
          </w:rPr>
          <w:fldChar w:fldCharType="end"/>
        </w:r>
      </w:hyperlink>
    </w:p>
    <w:p w14:paraId="4CE31E2A" w14:textId="4FEC59F5" w:rsidR="00AB205D" w:rsidRDefault="00000000">
      <w:pPr>
        <w:pStyle w:val="TOC9"/>
        <w:rPr>
          <w:rFonts w:eastAsiaTheme="minorEastAsia"/>
          <w:noProof/>
          <w:sz w:val="22"/>
          <w:lang w:eastAsia="en-AU"/>
        </w:rPr>
      </w:pPr>
      <w:hyperlink w:anchor="_Toc149221029" w:history="1">
        <w:r w:rsidR="00471A3B" w:rsidRPr="0018168F">
          <w:rPr>
            <w:rStyle w:val="Hyperlink"/>
            <w:noProof/>
          </w:rPr>
          <w:t>4.3.2</w:t>
        </w:r>
        <w:r w:rsidR="00471A3B">
          <w:rPr>
            <w:rFonts w:eastAsiaTheme="minorEastAsia"/>
            <w:noProof/>
            <w:sz w:val="22"/>
            <w:lang w:eastAsia="en-AU"/>
          </w:rPr>
          <w:tab/>
        </w:r>
        <w:r w:rsidR="00471A3B" w:rsidRPr="0018168F">
          <w:rPr>
            <w:rStyle w:val="Hyperlink"/>
            <w:noProof/>
          </w:rPr>
          <w:t>Superannuation expense</w:t>
        </w:r>
        <w:r w:rsidR="00471A3B">
          <w:rPr>
            <w:noProof/>
            <w:webHidden/>
          </w:rPr>
          <w:tab/>
        </w:r>
        <w:r w:rsidR="00471A3B">
          <w:rPr>
            <w:noProof/>
            <w:webHidden/>
          </w:rPr>
          <w:fldChar w:fldCharType="begin"/>
        </w:r>
        <w:r w:rsidR="00471A3B">
          <w:rPr>
            <w:noProof/>
            <w:webHidden/>
          </w:rPr>
          <w:instrText xml:space="preserve"> PAGEREF _Toc149221029 \h </w:instrText>
        </w:r>
        <w:r w:rsidR="00471A3B">
          <w:rPr>
            <w:noProof/>
            <w:webHidden/>
          </w:rPr>
        </w:r>
        <w:r w:rsidR="00471A3B">
          <w:rPr>
            <w:noProof/>
            <w:webHidden/>
          </w:rPr>
          <w:fldChar w:fldCharType="separate"/>
        </w:r>
        <w:r w:rsidR="00315D9A">
          <w:rPr>
            <w:noProof/>
            <w:webHidden/>
          </w:rPr>
          <w:t>59</w:t>
        </w:r>
        <w:r w:rsidR="00471A3B">
          <w:rPr>
            <w:noProof/>
            <w:webHidden/>
          </w:rPr>
          <w:fldChar w:fldCharType="end"/>
        </w:r>
      </w:hyperlink>
    </w:p>
    <w:p w14:paraId="40091A88" w14:textId="7AFB167A" w:rsidR="00AB205D" w:rsidRDefault="00000000">
      <w:pPr>
        <w:pStyle w:val="TOC9"/>
        <w:rPr>
          <w:rFonts w:eastAsiaTheme="minorEastAsia"/>
          <w:noProof/>
          <w:sz w:val="22"/>
          <w:lang w:eastAsia="en-AU"/>
        </w:rPr>
      </w:pPr>
      <w:hyperlink w:anchor="_Toc149221030" w:history="1">
        <w:r w:rsidR="00471A3B" w:rsidRPr="0018168F">
          <w:rPr>
            <w:rStyle w:val="Hyperlink"/>
            <w:noProof/>
          </w:rPr>
          <w:t>4.3.3</w:t>
        </w:r>
        <w:r w:rsidR="00471A3B">
          <w:rPr>
            <w:rFonts w:eastAsiaTheme="minorEastAsia"/>
            <w:noProof/>
            <w:sz w:val="22"/>
            <w:lang w:eastAsia="en-AU"/>
          </w:rPr>
          <w:tab/>
        </w:r>
        <w:r w:rsidR="00471A3B" w:rsidRPr="0018168F">
          <w:rPr>
            <w:rStyle w:val="Hyperlink"/>
            <w:noProof/>
          </w:rPr>
          <w:t>Grant expense</w:t>
        </w:r>
        <w:r w:rsidR="00471A3B">
          <w:rPr>
            <w:noProof/>
            <w:webHidden/>
          </w:rPr>
          <w:tab/>
        </w:r>
        <w:r w:rsidR="00471A3B">
          <w:rPr>
            <w:noProof/>
            <w:webHidden/>
          </w:rPr>
          <w:fldChar w:fldCharType="begin"/>
        </w:r>
        <w:r w:rsidR="00471A3B">
          <w:rPr>
            <w:noProof/>
            <w:webHidden/>
          </w:rPr>
          <w:instrText xml:space="preserve"> PAGEREF _Toc149221030 \h </w:instrText>
        </w:r>
        <w:r w:rsidR="00471A3B">
          <w:rPr>
            <w:noProof/>
            <w:webHidden/>
          </w:rPr>
        </w:r>
        <w:r w:rsidR="00471A3B">
          <w:rPr>
            <w:noProof/>
            <w:webHidden/>
          </w:rPr>
          <w:fldChar w:fldCharType="separate"/>
        </w:r>
        <w:r w:rsidR="00315D9A">
          <w:rPr>
            <w:noProof/>
            <w:webHidden/>
          </w:rPr>
          <w:t>60</w:t>
        </w:r>
        <w:r w:rsidR="00471A3B">
          <w:rPr>
            <w:noProof/>
            <w:webHidden/>
          </w:rPr>
          <w:fldChar w:fldCharType="end"/>
        </w:r>
      </w:hyperlink>
    </w:p>
    <w:p w14:paraId="384BB51D" w14:textId="70E9C75C" w:rsidR="00AB205D" w:rsidRDefault="00000000">
      <w:pPr>
        <w:pStyle w:val="TOC9"/>
        <w:rPr>
          <w:rFonts w:eastAsiaTheme="minorEastAsia"/>
          <w:noProof/>
          <w:sz w:val="22"/>
          <w:lang w:eastAsia="en-AU"/>
        </w:rPr>
      </w:pPr>
      <w:hyperlink w:anchor="_Toc149221031" w:history="1">
        <w:r w:rsidR="00471A3B" w:rsidRPr="0018168F">
          <w:rPr>
            <w:rStyle w:val="Hyperlink"/>
            <w:noProof/>
          </w:rPr>
          <w:t>4.3.4</w:t>
        </w:r>
        <w:r w:rsidR="00471A3B">
          <w:rPr>
            <w:rFonts w:eastAsiaTheme="minorEastAsia"/>
            <w:noProof/>
            <w:sz w:val="22"/>
            <w:lang w:eastAsia="en-AU"/>
          </w:rPr>
          <w:tab/>
        </w:r>
        <w:r w:rsidR="00471A3B" w:rsidRPr="0018168F">
          <w:rPr>
            <w:rStyle w:val="Hyperlink"/>
            <w:noProof/>
          </w:rPr>
          <w:t xml:space="preserve">Other operating expenses </w:t>
        </w:r>
        <w:r w:rsidR="00471A3B">
          <w:rPr>
            <w:noProof/>
            <w:webHidden/>
          </w:rPr>
          <w:tab/>
        </w:r>
        <w:r w:rsidR="00471A3B">
          <w:rPr>
            <w:noProof/>
            <w:webHidden/>
          </w:rPr>
          <w:fldChar w:fldCharType="begin"/>
        </w:r>
        <w:r w:rsidR="00471A3B">
          <w:rPr>
            <w:noProof/>
            <w:webHidden/>
          </w:rPr>
          <w:instrText xml:space="preserve"> PAGEREF _Toc149221031 \h </w:instrText>
        </w:r>
        <w:r w:rsidR="00471A3B">
          <w:rPr>
            <w:noProof/>
            <w:webHidden/>
          </w:rPr>
        </w:r>
        <w:r w:rsidR="00471A3B">
          <w:rPr>
            <w:noProof/>
            <w:webHidden/>
          </w:rPr>
          <w:fldChar w:fldCharType="separate"/>
        </w:r>
        <w:r w:rsidR="00315D9A">
          <w:rPr>
            <w:noProof/>
            <w:webHidden/>
          </w:rPr>
          <w:t>61</w:t>
        </w:r>
        <w:r w:rsidR="00471A3B">
          <w:rPr>
            <w:noProof/>
            <w:webHidden/>
          </w:rPr>
          <w:fldChar w:fldCharType="end"/>
        </w:r>
      </w:hyperlink>
    </w:p>
    <w:p w14:paraId="4B6FEDFB" w14:textId="24E93E90" w:rsidR="00AB205D" w:rsidRDefault="00000000">
      <w:pPr>
        <w:pStyle w:val="TOC9"/>
        <w:rPr>
          <w:rFonts w:eastAsiaTheme="minorEastAsia"/>
          <w:noProof/>
          <w:sz w:val="22"/>
          <w:lang w:eastAsia="en-AU"/>
        </w:rPr>
      </w:pPr>
      <w:hyperlink w:anchor="_Toc149221032" w:history="1">
        <w:r w:rsidR="00471A3B" w:rsidRPr="0018168F">
          <w:rPr>
            <w:rStyle w:val="Hyperlink"/>
            <w:noProof/>
          </w:rPr>
          <w:t>4.3.5</w:t>
        </w:r>
        <w:r w:rsidR="00471A3B">
          <w:rPr>
            <w:rFonts w:eastAsiaTheme="minorEastAsia"/>
            <w:noProof/>
            <w:sz w:val="22"/>
            <w:lang w:eastAsia="en-AU"/>
          </w:rPr>
          <w:tab/>
        </w:r>
        <w:r w:rsidR="00471A3B" w:rsidRPr="0018168F">
          <w:rPr>
            <w:rStyle w:val="Hyperlink"/>
            <w:noProof/>
          </w:rPr>
          <w:t xml:space="preserve">Total expenses by classification </w:t>
        </w:r>
        <w:r w:rsidR="00471A3B">
          <w:rPr>
            <w:rStyle w:val="Hyperlink"/>
            <w:noProof/>
          </w:rPr>
          <w:br/>
        </w:r>
        <w:r w:rsidR="00471A3B" w:rsidRPr="0018168F">
          <w:rPr>
            <w:rStyle w:val="Hyperlink"/>
            <w:noProof/>
          </w:rPr>
          <w:t xml:space="preserve">of the functions of government  </w:t>
        </w:r>
        <w:r w:rsidR="00471A3B">
          <w:rPr>
            <w:rStyle w:val="Hyperlink"/>
            <w:noProof/>
          </w:rPr>
          <w:br/>
        </w:r>
        <w:r w:rsidR="00471A3B" w:rsidRPr="0018168F">
          <w:rPr>
            <w:rStyle w:val="Hyperlink"/>
            <w:noProof/>
          </w:rPr>
          <w:t>and by portfolio department</w:t>
        </w:r>
        <w:r w:rsidR="00471A3B">
          <w:rPr>
            <w:noProof/>
            <w:webHidden/>
          </w:rPr>
          <w:tab/>
        </w:r>
        <w:r w:rsidR="00471A3B">
          <w:rPr>
            <w:noProof/>
            <w:webHidden/>
          </w:rPr>
          <w:fldChar w:fldCharType="begin"/>
        </w:r>
        <w:r w:rsidR="00471A3B">
          <w:rPr>
            <w:noProof/>
            <w:webHidden/>
          </w:rPr>
          <w:instrText xml:space="preserve"> PAGEREF _Toc149221032 \h </w:instrText>
        </w:r>
        <w:r w:rsidR="00471A3B">
          <w:rPr>
            <w:noProof/>
            <w:webHidden/>
          </w:rPr>
        </w:r>
        <w:r w:rsidR="00471A3B">
          <w:rPr>
            <w:noProof/>
            <w:webHidden/>
          </w:rPr>
          <w:fldChar w:fldCharType="separate"/>
        </w:r>
        <w:r w:rsidR="00315D9A">
          <w:rPr>
            <w:noProof/>
            <w:webHidden/>
          </w:rPr>
          <w:t>62</w:t>
        </w:r>
        <w:r w:rsidR="00471A3B">
          <w:rPr>
            <w:noProof/>
            <w:webHidden/>
          </w:rPr>
          <w:fldChar w:fldCharType="end"/>
        </w:r>
      </w:hyperlink>
    </w:p>
    <w:p w14:paraId="200984DC" w14:textId="7FE20F97" w:rsidR="00AB205D" w:rsidRDefault="00000000">
      <w:pPr>
        <w:pStyle w:val="TOC9"/>
        <w:rPr>
          <w:rFonts w:eastAsiaTheme="minorEastAsia"/>
          <w:noProof/>
          <w:sz w:val="22"/>
          <w:lang w:eastAsia="en-AU"/>
        </w:rPr>
      </w:pPr>
      <w:hyperlink w:anchor="_Toc149221033" w:history="1">
        <w:r w:rsidR="00471A3B" w:rsidRPr="0018168F">
          <w:rPr>
            <w:rStyle w:val="Hyperlink"/>
            <w:noProof/>
          </w:rPr>
          <w:t>4.3.6</w:t>
        </w:r>
        <w:r w:rsidR="00471A3B">
          <w:rPr>
            <w:rFonts w:eastAsiaTheme="minorEastAsia"/>
            <w:noProof/>
            <w:sz w:val="22"/>
            <w:lang w:eastAsia="en-AU"/>
          </w:rPr>
          <w:tab/>
        </w:r>
        <w:r w:rsidR="00471A3B" w:rsidRPr="0018168F">
          <w:rPr>
            <w:rStyle w:val="Hyperlink"/>
            <w:noProof/>
          </w:rPr>
          <w:t>Purchases of non</w:t>
        </w:r>
        <w:r w:rsidR="00471A3B">
          <w:rPr>
            <w:rStyle w:val="Hyperlink"/>
            <w:noProof/>
          </w:rPr>
          <w:noBreakHyphen/>
        </w:r>
        <w:r w:rsidR="00471A3B" w:rsidRPr="0018168F">
          <w:rPr>
            <w:rStyle w:val="Hyperlink"/>
            <w:noProof/>
          </w:rPr>
          <w:t xml:space="preserve">financial assets </w:t>
        </w:r>
        <w:r w:rsidR="00FA005E">
          <w:rPr>
            <w:rStyle w:val="Hyperlink"/>
            <w:noProof/>
          </w:rPr>
          <w:br/>
        </w:r>
        <w:r w:rsidR="00471A3B" w:rsidRPr="0018168F">
          <w:rPr>
            <w:rStyle w:val="Hyperlink"/>
            <w:noProof/>
          </w:rPr>
          <w:t>by classification of the functions of government and by portfolio department</w:t>
        </w:r>
        <w:r w:rsidR="00471A3B">
          <w:rPr>
            <w:noProof/>
            <w:webHidden/>
          </w:rPr>
          <w:tab/>
        </w:r>
        <w:r w:rsidR="00471A3B">
          <w:rPr>
            <w:noProof/>
            <w:webHidden/>
          </w:rPr>
          <w:fldChar w:fldCharType="begin"/>
        </w:r>
        <w:r w:rsidR="00471A3B">
          <w:rPr>
            <w:noProof/>
            <w:webHidden/>
          </w:rPr>
          <w:instrText xml:space="preserve"> PAGEREF _Toc149221033 \h </w:instrText>
        </w:r>
        <w:r w:rsidR="00471A3B">
          <w:rPr>
            <w:noProof/>
            <w:webHidden/>
          </w:rPr>
        </w:r>
        <w:r w:rsidR="00471A3B">
          <w:rPr>
            <w:noProof/>
            <w:webHidden/>
          </w:rPr>
          <w:fldChar w:fldCharType="separate"/>
        </w:r>
        <w:r w:rsidR="00315D9A">
          <w:rPr>
            <w:noProof/>
            <w:webHidden/>
          </w:rPr>
          <w:t>64</w:t>
        </w:r>
        <w:r w:rsidR="00471A3B">
          <w:rPr>
            <w:noProof/>
            <w:webHidden/>
          </w:rPr>
          <w:fldChar w:fldCharType="end"/>
        </w:r>
      </w:hyperlink>
    </w:p>
    <w:p w14:paraId="283ABB1F" w14:textId="3F9CB371" w:rsidR="00AB205D" w:rsidRDefault="00000000">
      <w:pPr>
        <w:pStyle w:val="TOC9"/>
        <w:rPr>
          <w:noProof/>
        </w:rPr>
        <w:sectPr w:rsidR="00AB205D" w:rsidSect="00570639">
          <w:headerReference w:type="even" r:id="rId59"/>
          <w:headerReference w:type="default" r:id="rId60"/>
          <w:footerReference w:type="even" r:id="rId61"/>
          <w:footerReference w:type="default" r:id="rId62"/>
          <w:headerReference w:type="first" r:id="rId63"/>
          <w:footerReference w:type="first" r:id="rId64"/>
          <w:pgSz w:w="9979" w:h="14175" w:code="34"/>
          <w:pgMar w:top="1134" w:right="1134" w:bottom="1134" w:left="1134" w:header="624" w:footer="567" w:gutter="0"/>
          <w:cols w:num="2" w:space="708"/>
          <w:docGrid w:linePitch="360"/>
        </w:sectPr>
      </w:pPr>
      <w:hyperlink w:anchor="_Toc149221034" w:history="1">
        <w:r w:rsidR="00471A3B" w:rsidRPr="0018168F">
          <w:rPr>
            <w:rStyle w:val="Hyperlink"/>
            <w:noProof/>
          </w:rPr>
          <w:t>4.3.7</w:t>
        </w:r>
        <w:r w:rsidR="00471A3B">
          <w:rPr>
            <w:rFonts w:eastAsiaTheme="minorEastAsia"/>
            <w:noProof/>
            <w:sz w:val="22"/>
            <w:lang w:eastAsia="en-AU"/>
          </w:rPr>
          <w:tab/>
        </w:r>
        <w:r w:rsidR="00471A3B" w:rsidRPr="0018168F">
          <w:rPr>
            <w:rStyle w:val="Hyperlink"/>
            <w:noProof/>
          </w:rPr>
          <w:t>Net acquisition of non</w:t>
        </w:r>
        <w:r w:rsidR="00471A3B">
          <w:rPr>
            <w:rStyle w:val="Hyperlink"/>
            <w:noProof/>
          </w:rPr>
          <w:noBreakHyphen/>
        </w:r>
        <w:r w:rsidR="00471A3B" w:rsidRPr="0018168F">
          <w:rPr>
            <w:rStyle w:val="Hyperlink"/>
            <w:noProof/>
          </w:rPr>
          <w:t>financial assets from transactions</w:t>
        </w:r>
        <w:r w:rsidR="00471A3B">
          <w:rPr>
            <w:noProof/>
            <w:webHidden/>
          </w:rPr>
          <w:tab/>
        </w:r>
        <w:r w:rsidR="00471A3B">
          <w:rPr>
            <w:noProof/>
            <w:webHidden/>
          </w:rPr>
          <w:fldChar w:fldCharType="begin"/>
        </w:r>
        <w:r w:rsidR="00471A3B">
          <w:rPr>
            <w:noProof/>
            <w:webHidden/>
          </w:rPr>
          <w:instrText xml:space="preserve"> PAGEREF _Toc149221034 \h </w:instrText>
        </w:r>
        <w:r w:rsidR="00471A3B">
          <w:rPr>
            <w:noProof/>
            <w:webHidden/>
          </w:rPr>
        </w:r>
        <w:r w:rsidR="00471A3B">
          <w:rPr>
            <w:noProof/>
            <w:webHidden/>
          </w:rPr>
          <w:fldChar w:fldCharType="separate"/>
        </w:r>
        <w:r w:rsidR="00315D9A">
          <w:rPr>
            <w:noProof/>
            <w:webHidden/>
          </w:rPr>
          <w:t>65</w:t>
        </w:r>
        <w:r w:rsidR="00471A3B">
          <w:rPr>
            <w:noProof/>
            <w:webHidden/>
          </w:rPr>
          <w:fldChar w:fldCharType="end"/>
        </w:r>
      </w:hyperlink>
    </w:p>
    <w:p w14:paraId="70296DE0" w14:textId="77777777" w:rsidR="00AB205D" w:rsidRPr="00EC0B77" w:rsidRDefault="00471A3B">
      <w:pPr>
        <w:rPr>
          <w:sz w:val="21"/>
          <w:szCs w:val="21"/>
        </w:rPr>
      </w:pPr>
      <w:r>
        <w:rPr>
          <w:noProof/>
          <w:lang w:val="en-US"/>
        </w:rPr>
        <w:fldChar w:fldCharType="end"/>
      </w:r>
      <w:bookmarkStart w:id="51" w:name="_Toc149221028"/>
    </w:p>
    <w:p w14:paraId="00690D82" w14:textId="77777777" w:rsidR="00AB205D" w:rsidRPr="000404D2" w:rsidRDefault="00471A3B">
      <w:pPr>
        <w:pStyle w:val="Heading3"/>
        <w:rPr>
          <w:sz w:val="21"/>
          <w:szCs w:val="21"/>
        </w:rPr>
      </w:pPr>
      <w:r w:rsidRPr="000404D2">
        <w:rPr>
          <w:sz w:val="21"/>
          <w:szCs w:val="21"/>
        </w:rPr>
        <w:t>Employee expenses and provision for outstanding employee benefits</w:t>
      </w:r>
      <w:bookmarkEnd w:id="51"/>
    </w:p>
    <w:p w14:paraId="5937F3B1" w14:textId="77777777" w:rsidR="00AB205D" w:rsidRDefault="00471A3B">
      <w:r>
        <w:t>Employee expenses and employee benefits are forecast on the basis of staffing profiles and current salaries, conditions and on</w:t>
      </w:r>
      <w:r>
        <w:noBreakHyphen/>
        <w:t>costs. For the forecast period, employee expenses and employee benefits mainly include the expected financial impact of</w:t>
      </w:r>
      <w:r w:rsidDel="008C057F">
        <w:t xml:space="preserve"> </w:t>
      </w:r>
      <w:r>
        <w:t xml:space="preserve">budget decisions and approved wage outcomes in line with the Government’s Wages Policy. Forecast employee expenses also reflect the estimated impact of budget decisions that affect employee expense levels. Greater than 95 per cent of employee expenses over the budget and forward estimates in the operating statement are salaries and wages. Employee expenses are recognised in the period in which the employee provides the services. </w:t>
      </w:r>
    </w:p>
    <w:p w14:paraId="528CA15F" w14:textId="77777777" w:rsidR="00AB205D" w:rsidRDefault="00471A3B">
      <w:pPr>
        <w:pStyle w:val="TableHeading"/>
      </w:pPr>
      <w:r w:rsidRPr="007F4217">
        <w:t>Employee benefits (balance sheet)</w:t>
      </w:r>
      <w:r w:rsidRPr="007F4217">
        <w:tab/>
        <w:t>($ million)</w:t>
      </w:r>
    </w:p>
    <w:tbl>
      <w:tblPr>
        <w:tblStyle w:val="DTFTableNumeric"/>
        <w:tblW w:w="7710" w:type="dxa"/>
        <w:tblLayout w:type="fixed"/>
        <w:tblLook w:val="06A0" w:firstRow="1" w:lastRow="0" w:firstColumn="1" w:lastColumn="0" w:noHBand="1" w:noVBand="1"/>
        <w:tblDescription w:val="Type:DtfTable|Workbook:Rawdata\BudgetUpdate\Budget Update\Financial Statements\SRIMS exports\SRIMS_BU_EFS_BS.xlsx|Table:Employee_benefits|MergedHeadingRow:1"/>
      </w:tblPr>
      <w:tblGrid>
        <w:gridCol w:w="3740"/>
        <w:gridCol w:w="794"/>
        <w:gridCol w:w="794"/>
        <w:gridCol w:w="794"/>
        <w:gridCol w:w="794"/>
        <w:gridCol w:w="794"/>
      </w:tblGrid>
      <w:tr w:rsidR="009C6724" w14:paraId="7576CD96"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78179A17" w14:textId="77777777" w:rsidR="00AB205D" w:rsidRDefault="00AB205D">
            <w:pPr>
              <w:keepNext/>
            </w:pPr>
          </w:p>
        </w:tc>
        <w:tc>
          <w:tcPr>
            <w:tcW w:w="794" w:type="dxa"/>
          </w:tcPr>
          <w:p w14:paraId="3C7F69BA"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br/>
              <w:t>budget</w:t>
            </w:r>
          </w:p>
        </w:tc>
        <w:tc>
          <w:tcPr>
            <w:tcW w:w="794" w:type="dxa"/>
          </w:tcPr>
          <w:p w14:paraId="7F07EAB2"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br/>
              <w:t>revised</w:t>
            </w:r>
          </w:p>
        </w:tc>
        <w:tc>
          <w:tcPr>
            <w:tcW w:w="794" w:type="dxa"/>
          </w:tcPr>
          <w:p w14:paraId="6DC39E9B"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br/>
              <w:t>estimate</w:t>
            </w:r>
          </w:p>
        </w:tc>
        <w:tc>
          <w:tcPr>
            <w:tcW w:w="794" w:type="dxa"/>
          </w:tcPr>
          <w:p w14:paraId="04A8888A"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br/>
              <w:t>estimate</w:t>
            </w:r>
          </w:p>
        </w:tc>
        <w:tc>
          <w:tcPr>
            <w:tcW w:w="794" w:type="dxa"/>
          </w:tcPr>
          <w:p w14:paraId="508ABCB8"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2027</w:t>
            </w:r>
            <w:r>
              <w:br/>
              <w:t>estimate</w:t>
            </w:r>
          </w:p>
        </w:tc>
      </w:tr>
      <w:tr w:rsidR="009C6724" w14:paraId="14A70D37"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69B9DF29" w14:textId="77777777" w:rsidR="00AB205D" w:rsidRDefault="00471A3B">
            <w:r>
              <w:rPr>
                <w:b/>
              </w:rPr>
              <w:t>Current</w:t>
            </w:r>
          </w:p>
        </w:tc>
        <w:tc>
          <w:tcPr>
            <w:tcW w:w="794" w:type="dxa"/>
          </w:tcPr>
          <w:p w14:paraId="1AB328D9"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6632D775"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4780A069"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2C96AE1E"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2BA283CD"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256FF2CE"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67B2C43B" w14:textId="77777777" w:rsidR="00AB205D" w:rsidRDefault="00471A3B">
            <w:r>
              <w:t>Accrued salaries and wages</w:t>
            </w:r>
          </w:p>
        </w:tc>
        <w:tc>
          <w:tcPr>
            <w:tcW w:w="794" w:type="dxa"/>
          </w:tcPr>
          <w:p w14:paraId="501EEFB0" w14:textId="77777777" w:rsidR="00AB205D" w:rsidRDefault="00471A3B">
            <w:pPr>
              <w:cnfStyle w:val="000000000000" w:firstRow="0" w:lastRow="0" w:firstColumn="0" w:lastColumn="0" w:oddVBand="0" w:evenVBand="0" w:oddHBand="0" w:evenHBand="0" w:firstRowFirstColumn="0" w:firstRowLastColumn="0" w:lastRowFirstColumn="0" w:lastRowLastColumn="0"/>
            </w:pPr>
            <w:r>
              <w:t>595</w:t>
            </w:r>
          </w:p>
        </w:tc>
        <w:tc>
          <w:tcPr>
            <w:tcW w:w="794" w:type="dxa"/>
          </w:tcPr>
          <w:p w14:paraId="4DDE0E20" w14:textId="77777777" w:rsidR="00AB205D" w:rsidRDefault="00471A3B">
            <w:pPr>
              <w:cnfStyle w:val="000000000000" w:firstRow="0" w:lastRow="0" w:firstColumn="0" w:lastColumn="0" w:oddVBand="0" w:evenVBand="0" w:oddHBand="0" w:evenHBand="0" w:firstRowFirstColumn="0" w:firstRowLastColumn="0" w:lastRowFirstColumn="0" w:lastRowLastColumn="0"/>
            </w:pPr>
            <w:r>
              <w:t>595</w:t>
            </w:r>
          </w:p>
        </w:tc>
        <w:tc>
          <w:tcPr>
            <w:tcW w:w="794" w:type="dxa"/>
          </w:tcPr>
          <w:p w14:paraId="5AD0BDA3" w14:textId="77777777" w:rsidR="00AB205D" w:rsidRDefault="00471A3B">
            <w:pPr>
              <w:cnfStyle w:val="000000000000" w:firstRow="0" w:lastRow="0" w:firstColumn="0" w:lastColumn="0" w:oddVBand="0" w:evenVBand="0" w:oddHBand="0" w:evenHBand="0" w:firstRowFirstColumn="0" w:firstRowLastColumn="0" w:lastRowFirstColumn="0" w:lastRowLastColumn="0"/>
            </w:pPr>
            <w:r>
              <w:t>610</w:t>
            </w:r>
          </w:p>
        </w:tc>
        <w:tc>
          <w:tcPr>
            <w:tcW w:w="794" w:type="dxa"/>
          </w:tcPr>
          <w:p w14:paraId="1507F228" w14:textId="77777777" w:rsidR="00AB205D" w:rsidRDefault="00471A3B">
            <w:pPr>
              <w:cnfStyle w:val="000000000000" w:firstRow="0" w:lastRow="0" w:firstColumn="0" w:lastColumn="0" w:oddVBand="0" w:evenVBand="0" w:oddHBand="0" w:evenHBand="0" w:firstRowFirstColumn="0" w:firstRowLastColumn="0" w:lastRowFirstColumn="0" w:lastRowLastColumn="0"/>
            </w:pPr>
            <w:r>
              <w:t>625</w:t>
            </w:r>
          </w:p>
        </w:tc>
        <w:tc>
          <w:tcPr>
            <w:tcW w:w="794" w:type="dxa"/>
          </w:tcPr>
          <w:p w14:paraId="6CE19722" w14:textId="77777777" w:rsidR="00AB205D" w:rsidRDefault="00471A3B">
            <w:pPr>
              <w:cnfStyle w:val="000000000000" w:firstRow="0" w:lastRow="0" w:firstColumn="0" w:lastColumn="0" w:oddVBand="0" w:evenVBand="0" w:oddHBand="0" w:evenHBand="0" w:firstRowFirstColumn="0" w:firstRowLastColumn="0" w:lastRowFirstColumn="0" w:lastRowLastColumn="0"/>
            </w:pPr>
            <w:r>
              <w:t>640</w:t>
            </w:r>
          </w:p>
        </w:tc>
      </w:tr>
      <w:tr w:rsidR="009C6724" w14:paraId="09BFF8FB"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52C2A1A0" w14:textId="77777777" w:rsidR="00AB205D" w:rsidRDefault="00471A3B">
            <w:r>
              <w:t>Other employee benefits</w:t>
            </w:r>
          </w:p>
        </w:tc>
        <w:tc>
          <w:tcPr>
            <w:tcW w:w="794" w:type="dxa"/>
          </w:tcPr>
          <w:p w14:paraId="0FBF5A55" w14:textId="77777777" w:rsidR="00AB205D" w:rsidRDefault="00471A3B">
            <w:pPr>
              <w:cnfStyle w:val="000000000000" w:firstRow="0" w:lastRow="0" w:firstColumn="0" w:lastColumn="0" w:oddVBand="0" w:evenVBand="0" w:oddHBand="0" w:evenHBand="0" w:firstRowFirstColumn="0" w:firstRowLastColumn="0" w:lastRowFirstColumn="0" w:lastRowLastColumn="0"/>
            </w:pPr>
            <w:r>
              <w:t>143</w:t>
            </w:r>
          </w:p>
        </w:tc>
        <w:tc>
          <w:tcPr>
            <w:tcW w:w="794" w:type="dxa"/>
          </w:tcPr>
          <w:p w14:paraId="3AF9353D" w14:textId="77777777" w:rsidR="00AB205D" w:rsidRDefault="00471A3B">
            <w:pPr>
              <w:cnfStyle w:val="000000000000" w:firstRow="0" w:lastRow="0" w:firstColumn="0" w:lastColumn="0" w:oddVBand="0" w:evenVBand="0" w:oddHBand="0" w:evenHBand="0" w:firstRowFirstColumn="0" w:firstRowLastColumn="0" w:lastRowFirstColumn="0" w:lastRowLastColumn="0"/>
            </w:pPr>
            <w:r>
              <w:t>143</w:t>
            </w:r>
          </w:p>
        </w:tc>
        <w:tc>
          <w:tcPr>
            <w:tcW w:w="794" w:type="dxa"/>
          </w:tcPr>
          <w:p w14:paraId="057C2E25" w14:textId="77777777" w:rsidR="00AB205D" w:rsidRDefault="00471A3B">
            <w:pPr>
              <w:cnfStyle w:val="000000000000" w:firstRow="0" w:lastRow="0" w:firstColumn="0" w:lastColumn="0" w:oddVBand="0" w:evenVBand="0" w:oddHBand="0" w:evenHBand="0" w:firstRowFirstColumn="0" w:firstRowLastColumn="0" w:lastRowFirstColumn="0" w:lastRowLastColumn="0"/>
            </w:pPr>
            <w:r>
              <w:t>143</w:t>
            </w:r>
          </w:p>
        </w:tc>
        <w:tc>
          <w:tcPr>
            <w:tcW w:w="794" w:type="dxa"/>
          </w:tcPr>
          <w:p w14:paraId="0802F1C6" w14:textId="77777777" w:rsidR="00AB205D" w:rsidRDefault="00471A3B">
            <w:pPr>
              <w:cnfStyle w:val="000000000000" w:firstRow="0" w:lastRow="0" w:firstColumn="0" w:lastColumn="0" w:oddVBand="0" w:evenVBand="0" w:oddHBand="0" w:evenHBand="0" w:firstRowFirstColumn="0" w:firstRowLastColumn="0" w:lastRowFirstColumn="0" w:lastRowLastColumn="0"/>
            </w:pPr>
            <w:r>
              <w:t>143</w:t>
            </w:r>
          </w:p>
        </w:tc>
        <w:tc>
          <w:tcPr>
            <w:tcW w:w="794" w:type="dxa"/>
          </w:tcPr>
          <w:p w14:paraId="7401F279" w14:textId="77777777" w:rsidR="00AB205D" w:rsidRDefault="00471A3B">
            <w:pPr>
              <w:cnfStyle w:val="000000000000" w:firstRow="0" w:lastRow="0" w:firstColumn="0" w:lastColumn="0" w:oddVBand="0" w:evenVBand="0" w:oddHBand="0" w:evenHBand="0" w:firstRowFirstColumn="0" w:firstRowLastColumn="0" w:lastRowFirstColumn="0" w:lastRowLastColumn="0"/>
            </w:pPr>
            <w:r>
              <w:t>143</w:t>
            </w:r>
          </w:p>
        </w:tc>
      </w:tr>
      <w:tr w:rsidR="009C6724" w14:paraId="7B59A79B"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4BF73C0" w14:textId="77777777" w:rsidR="00AB205D" w:rsidRDefault="00471A3B">
            <w:r>
              <w:t>Annual leave</w:t>
            </w:r>
          </w:p>
        </w:tc>
        <w:tc>
          <w:tcPr>
            <w:tcW w:w="794" w:type="dxa"/>
          </w:tcPr>
          <w:p w14:paraId="5FC859ED" w14:textId="77777777" w:rsidR="00AB205D" w:rsidRDefault="00471A3B">
            <w:pPr>
              <w:cnfStyle w:val="000000000000" w:firstRow="0" w:lastRow="0" w:firstColumn="0" w:lastColumn="0" w:oddVBand="0" w:evenVBand="0" w:oddHBand="0" w:evenHBand="0" w:firstRowFirstColumn="0" w:firstRowLastColumn="0" w:lastRowFirstColumn="0" w:lastRowLastColumn="0"/>
            </w:pPr>
            <w:r>
              <w:t>2 758</w:t>
            </w:r>
          </w:p>
        </w:tc>
        <w:tc>
          <w:tcPr>
            <w:tcW w:w="794" w:type="dxa"/>
          </w:tcPr>
          <w:p w14:paraId="242EB663" w14:textId="77777777" w:rsidR="00AB205D" w:rsidRDefault="00471A3B">
            <w:pPr>
              <w:cnfStyle w:val="000000000000" w:firstRow="0" w:lastRow="0" w:firstColumn="0" w:lastColumn="0" w:oddVBand="0" w:evenVBand="0" w:oddHBand="0" w:evenHBand="0" w:firstRowFirstColumn="0" w:firstRowLastColumn="0" w:lastRowFirstColumn="0" w:lastRowLastColumn="0"/>
            </w:pPr>
            <w:r>
              <w:t>2 758</w:t>
            </w:r>
          </w:p>
        </w:tc>
        <w:tc>
          <w:tcPr>
            <w:tcW w:w="794" w:type="dxa"/>
          </w:tcPr>
          <w:p w14:paraId="2F17ACE9" w14:textId="77777777" w:rsidR="00AB205D" w:rsidRDefault="00471A3B">
            <w:pPr>
              <w:cnfStyle w:val="000000000000" w:firstRow="0" w:lastRow="0" w:firstColumn="0" w:lastColumn="0" w:oddVBand="0" w:evenVBand="0" w:oddHBand="0" w:evenHBand="0" w:firstRowFirstColumn="0" w:firstRowLastColumn="0" w:lastRowFirstColumn="0" w:lastRowLastColumn="0"/>
            </w:pPr>
            <w:r>
              <w:t>2 792</w:t>
            </w:r>
          </w:p>
        </w:tc>
        <w:tc>
          <w:tcPr>
            <w:tcW w:w="794" w:type="dxa"/>
          </w:tcPr>
          <w:p w14:paraId="3A514248" w14:textId="77777777" w:rsidR="00AB205D" w:rsidRDefault="00471A3B">
            <w:pPr>
              <w:cnfStyle w:val="000000000000" w:firstRow="0" w:lastRow="0" w:firstColumn="0" w:lastColumn="0" w:oddVBand="0" w:evenVBand="0" w:oddHBand="0" w:evenHBand="0" w:firstRowFirstColumn="0" w:firstRowLastColumn="0" w:lastRowFirstColumn="0" w:lastRowLastColumn="0"/>
            </w:pPr>
            <w:r>
              <w:t>2 828</w:t>
            </w:r>
          </w:p>
        </w:tc>
        <w:tc>
          <w:tcPr>
            <w:tcW w:w="794" w:type="dxa"/>
          </w:tcPr>
          <w:p w14:paraId="5A68A39D" w14:textId="77777777" w:rsidR="00AB205D" w:rsidRDefault="00471A3B">
            <w:pPr>
              <w:cnfStyle w:val="000000000000" w:firstRow="0" w:lastRow="0" w:firstColumn="0" w:lastColumn="0" w:oddVBand="0" w:evenVBand="0" w:oddHBand="0" w:evenHBand="0" w:firstRowFirstColumn="0" w:firstRowLastColumn="0" w:lastRowFirstColumn="0" w:lastRowLastColumn="0"/>
            </w:pPr>
            <w:r>
              <w:t>2 864</w:t>
            </w:r>
          </w:p>
        </w:tc>
      </w:tr>
      <w:tr w:rsidR="009C6724" w14:paraId="079C3D0B"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397FE2E4" w14:textId="77777777" w:rsidR="00AB205D" w:rsidRDefault="00471A3B">
            <w:r>
              <w:t>Long service leave</w:t>
            </w:r>
          </w:p>
        </w:tc>
        <w:tc>
          <w:tcPr>
            <w:tcW w:w="794" w:type="dxa"/>
            <w:tcBorders>
              <w:bottom w:val="single" w:sz="6" w:space="0" w:color="auto"/>
            </w:tcBorders>
          </w:tcPr>
          <w:p w14:paraId="7A3008C9" w14:textId="77777777" w:rsidR="00AB205D" w:rsidRDefault="00471A3B">
            <w:pPr>
              <w:cnfStyle w:val="000000000000" w:firstRow="0" w:lastRow="0" w:firstColumn="0" w:lastColumn="0" w:oddVBand="0" w:evenVBand="0" w:oddHBand="0" w:evenHBand="0" w:firstRowFirstColumn="0" w:firstRowLastColumn="0" w:lastRowFirstColumn="0" w:lastRowLastColumn="0"/>
            </w:pPr>
            <w:r>
              <w:t>5 778</w:t>
            </w:r>
          </w:p>
        </w:tc>
        <w:tc>
          <w:tcPr>
            <w:tcW w:w="794" w:type="dxa"/>
            <w:tcBorders>
              <w:bottom w:val="single" w:sz="6" w:space="0" w:color="auto"/>
            </w:tcBorders>
          </w:tcPr>
          <w:p w14:paraId="1FCDFD8F" w14:textId="77777777" w:rsidR="00AB205D" w:rsidRDefault="00471A3B">
            <w:pPr>
              <w:cnfStyle w:val="000000000000" w:firstRow="0" w:lastRow="0" w:firstColumn="0" w:lastColumn="0" w:oddVBand="0" w:evenVBand="0" w:oddHBand="0" w:evenHBand="0" w:firstRowFirstColumn="0" w:firstRowLastColumn="0" w:lastRowFirstColumn="0" w:lastRowLastColumn="0"/>
            </w:pPr>
            <w:r>
              <w:t>5 779</w:t>
            </w:r>
          </w:p>
        </w:tc>
        <w:tc>
          <w:tcPr>
            <w:tcW w:w="794" w:type="dxa"/>
            <w:tcBorders>
              <w:bottom w:val="single" w:sz="6" w:space="0" w:color="auto"/>
            </w:tcBorders>
          </w:tcPr>
          <w:p w14:paraId="3C851836" w14:textId="77777777" w:rsidR="00AB205D" w:rsidRDefault="00471A3B">
            <w:pPr>
              <w:cnfStyle w:val="000000000000" w:firstRow="0" w:lastRow="0" w:firstColumn="0" w:lastColumn="0" w:oddVBand="0" w:evenVBand="0" w:oddHBand="0" w:evenHBand="0" w:firstRowFirstColumn="0" w:firstRowLastColumn="0" w:lastRowFirstColumn="0" w:lastRowLastColumn="0"/>
            </w:pPr>
            <w:r>
              <w:t>5 925</w:t>
            </w:r>
          </w:p>
        </w:tc>
        <w:tc>
          <w:tcPr>
            <w:tcW w:w="794" w:type="dxa"/>
            <w:tcBorders>
              <w:bottom w:val="single" w:sz="6" w:space="0" w:color="auto"/>
            </w:tcBorders>
          </w:tcPr>
          <w:p w14:paraId="58FEB179" w14:textId="77777777" w:rsidR="00AB205D" w:rsidRDefault="00471A3B">
            <w:pPr>
              <w:cnfStyle w:val="000000000000" w:firstRow="0" w:lastRow="0" w:firstColumn="0" w:lastColumn="0" w:oddVBand="0" w:evenVBand="0" w:oddHBand="0" w:evenHBand="0" w:firstRowFirstColumn="0" w:firstRowLastColumn="0" w:lastRowFirstColumn="0" w:lastRowLastColumn="0"/>
            </w:pPr>
            <w:r>
              <w:t>6 073</w:t>
            </w:r>
          </w:p>
        </w:tc>
        <w:tc>
          <w:tcPr>
            <w:tcW w:w="794" w:type="dxa"/>
            <w:tcBorders>
              <w:bottom w:val="single" w:sz="6" w:space="0" w:color="auto"/>
            </w:tcBorders>
          </w:tcPr>
          <w:p w14:paraId="3DEB5157" w14:textId="77777777" w:rsidR="00AB205D" w:rsidRDefault="00471A3B">
            <w:pPr>
              <w:cnfStyle w:val="000000000000" w:firstRow="0" w:lastRow="0" w:firstColumn="0" w:lastColumn="0" w:oddVBand="0" w:evenVBand="0" w:oddHBand="0" w:evenHBand="0" w:firstRowFirstColumn="0" w:firstRowLastColumn="0" w:lastRowFirstColumn="0" w:lastRowLastColumn="0"/>
            </w:pPr>
            <w:r>
              <w:t>6 218</w:t>
            </w:r>
          </w:p>
        </w:tc>
      </w:tr>
      <w:tr w:rsidR="009C6724" w14:paraId="40BCE18B"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0FDE7896" w14:textId="77777777" w:rsidR="00AB205D" w:rsidRDefault="00471A3B">
            <w:r>
              <w:rPr>
                <w:b/>
              </w:rPr>
              <w:t>Total current employee benefits and on</w:t>
            </w:r>
            <w:r>
              <w:rPr>
                <w:b/>
              </w:rPr>
              <w:noBreakHyphen/>
              <w:t>costs</w:t>
            </w:r>
          </w:p>
        </w:tc>
        <w:tc>
          <w:tcPr>
            <w:tcW w:w="794" w:type="dxa"/>
            <w:tcBorders>
              <w:top w:val="single" w:sz="6" w:space="0" w:color="auto"/>
            </w:tcBorders>
          </w:tcPr>
          <w:p w14:paraId="64C4BEB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9 274</w:t>
            </w:r>
          </w:p>
        </w:tc>
        <w:tc>
          <w:tcPr>
            <w:tcW w:w="794" w:type="dxa"/>
            <w:tcBorders>
              <w:top w:val="single" w:sz="6" w:space="0" w:color="auto"/>
            </w:tcBorders>
          </w:tcPr>
          <w:p w14:paraId="6AD4B94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9 274</w:t>
            </w:r>
          </w:p>
        </w:tc>
        <w:tc>
          <w:tcPr>
            <w:tcW w:w="794" w:type="dxa"/>
            <w:tcBorders>
              <w:top w:val="single" w:sz="6" w:space="0" w:color="auto"/>
            </w:tcBorders>
          </w:tcPr>
          <w:p w14:paraId="7DD5F53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9 471</w:t>
            </w:r>
          </w:p>
        </w:tc>
        <w:tc>
          <w:tcPr>
            <w:tcW w:w="794" w:type="dxa"/>
            <w:tcBorders>
              <w:top w:val="single" w:sz="6" w:space="0" w:color="auto"/>
            </w:tcBorders>
          </w:tcPr>
          <w:p w14:paraId="142C75C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9 669</w:t>
            </w:r>
          </w:p>
        </w:tc>
        <w:tc>
          <w:tcPr>
            <w:tcW w:w="794" w:type="dxa"/>
            <w:tcBorders>
              <w:top w:val="single" w:sz="6" w:space="0" w:color="auto"/>
            </w:tcBorders>
          </w:tcPr>
          <w:p w14:paraId="08AF1B7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9 865</w:t>
            </w:r>
          </w:p>
        </w:tc>
      </w:tr>
      <w:tr w:rsidR="009C6724" w14:paraId="6805D273"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9257860" w14:textId="77777777" w:rsidR="00AB205D" w:rsidRDefault="00471A3B">
            <w:r>
              <w:rPr>
                <w:b/>
              </w:rPr>
              <w:t>Non</w:t>
            </w:r>
            <w:r>
              <w:rPr>
                <w:b/>
              </w:rPr>
              <w:noBreakHyphen/>
              <w:t>current</w:t>
            </w:r>
          </w:p>
        </w:tc>
        <w:tc>
          <w:tcPr>
            <w:tcW w:w="794" w:type="dxa"/>
          </w:tcPr>
          <w:p w14:paraId="1D87BD6A"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7B7A4A5F"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1D840790"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6D22EC43"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6FCEB515"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7694DCF2"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42676E4D" w14:textId="77777777" w:rsidR="00AB205D" w:rsidRDefault="00471A3B">
            <w:r>
              <w:t>Long service leave</w:t>
            </w:r>
          </w:p>
        </w:tc>
        <w:tc>
          <w:tcPr>
            <w:tcW w:w="794" w:type="dxa"/>
            <w:tcBorders>
              <w:bottom w:val="single" w:sz="6" w:space="0" w:color="auto"/>
            </w:tcBorders>
          </w:tcPr>
          <w:p w14:paraId="14FF68BA" w14:textId="77777777" w:rsidR="00AB205D" w:rsidRDefault="00471A3B">
            <w:pPr>
              <w:cnfStyle w:val="000000000000" w:firstRow="0" w:lastRow="0" w:firstColumn="0" w:lastColumn="0" w:oddVBand="0" w:evenVBand="0" w:oddHBand="0" w:evenHBand="0" w:firstRowFirstColumn="0" w:firstRowLastColumn="0" w:lastRowFirstColumn="0" w:lastRowLastColumn="0"/>
            </w:pPr>
            <w:r>
              <w:t>1 309</w:t>
            </w:r>
          </w:p>
        </w:tc>
        <w:tc>
          <w:tcPr>
            <w:tcW w:w="794" w:type="dxa"/>
            <w:tcBorders>
              <w:bottom w:val="single" w:sz="6" w:space="0" w:color="auto"/>
            </w:tcBorders>
          </w:tcPr>
          <w:p w14:paraId="25615880" w14:textId="77777777" w:rsidR="00AB205D" w:rsidRDefault="00471A3B">
            <w:pPr>
              <w:cnfStyle w:val="000000000000" w:firstRow="0" w:lastRow="0" w:firstColumn="0" w:lastColumn="0" w:oddVBand="0" w:evenVBand="0" w:oddHBand="0" w:evenHBand="0" w:firstRowFirstColumn="0" w:firstRowLastColumn="0" w:lastRowFirstColumn="0" w:lastRowLastColumn="0"/>
            </w:pPr>
            <w:r>
              <w:t>1 310</w:t>
            </w:r>
          </w:p>
        </w:tc>
        <w:tc>
          <w:tcPr>
            <w:tcW w:w="794" w:type="dxa"/>
            <w:tcBorders>
              <w:bottom w:val="single" w:sz="6" w:space="0" w:color="auto"/>
            </w:tcBorders>
          </w:tcPr>
          <w:p w14:paraId="228CF16E" w14:textId="77777777" w:rsidR="00AB205D" w:rsidRDefault="00471A3B">
            <w:pPr>
              <w:cnfStyle w:val="000000000000" w:firstRow="0" w:lastRow="0" w:firstColumn="0" w:lastColumn="0" w:oddVBand="0" w:evenVBand="0" w:oddHBand="0" w:evenHBand="0" w:firstRowFirstColumn="0" w:firstRowLastColumn="0" w:lastRowFirstColumn="0" w:lastRowLastColumn="0"/>
            </w:pPr>
            <w:r>
              <w:t>1 457</w:t>
            </w:r>
          </w:p>
        </w:tc>
        <w:tc>
          <w:tcPr>
            <w:tcW w:w="794" w:type="dxa"/>
            <w:tcBorders>
              <w:bottom w:val="single" w:sz="6" w:space="0" w:color="auto"/>
            </w:tcBorders>
          </w:tcPr>
          <w:p w14:paraId="1416D504" w14:textId="77777777" w:rsidR="00AB205D" w:rsidRDefault="00471A3B">
            <w:pPr>
              <w:cnfStyle w:val="000000000000" w:firstRow="0" w:lastRow="0" w:firstColumn="0" w:lastColumn="0" w:oddVBand="0" w:evenVBand="0" w:oddHBand="0" w:evenHBand="0" w:firstRowFirstColumn="0" w:firstRowLastColumn="0" w:lastRowFirstColumn="0" w:lastRowLastColumn="0"/>
            </w:pPr>
            <w:r>
              <w:t>1 605</w:t>
            </w:r>
          </w:p>
        </w:tc>
        <w:tc>
          <w:tcPr>
            <w:tcW w:w="794" w:type="dxa"/>
            <w:tcBorders>
              <w:bottom w:val="single" w:sz="6" w:space="0" w:color="auto"/>
            </w:tcBorders>
          </w:tcPr>
          <w:p w14:paraId="4AF6BBF1" w14:textId="77777777" w:rsidR="00AB205D" w:rsidRDefault="00471A3B">
            <w:pPr>
              <w:cnfStyle w:val="000000000000" w:firstRow="0" w:lastRow="0" w:firstColumn="0" w:lastColumn="0" w:oddVBand="0" w:evenVBand="0" w:oddHBand="0" w:evenHBand="0" w:firstRowFirstColumn="0" w:firstRowLastColumn="0" w:lastRowFirstColumn="0" w:lastRowLastColumn="0"/>
            </w:pPr>
            <w:r>
              <w:t>1 757</w:t>
            </w:r>
          </w:p>
        </w:tc>
      </w:tr>
      <w:tr w:rsidR="009C6724" w14:paraId="406ABD77"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47ED2C4B" w14:textId="77777777" w:rsidR="00AB205D" w:rsidRDefault="00471A3B">
            <w:r>
              <w:rPr>
                <w:b/>
              </w:rPr>
              <w:t>Total non</w:t>
            </w:r>
            <w:r>
              <w:rPr>
                <w:b/>
              </w:rPr>
              <w:noBreakHyphen/>
              <w:t>current employee benefits and on</w:t>
            </w:r>
            <w:r>
              <w:rPr>
                <w:b/>
              </w:rPr>
              <w:noBreakHyphen/>
              <w:t>costs</w:t>
            </w:r>
          </w:p>
        </w:tc>
        <w:tc>
          <w:tcPr>
            <w:tcW w:w="794" w:type="dxa"/>
            <w:tcBorders>
              <w:top w:val="single" w:sz="6" w:space="0" w:color="auto"/>
              <w:bottom w:val="single" w:sz="6" w:space="0" w:color="auto"/>
            </w:tcBorders>
          </w:tcPr>
          <w:p w14:paraId="70C9272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1 309</w:t>
            </w:r>
          </w:p>
        </w:tc>
        <w:tc>
          <w:tcPr>
            <w:tcW w:w="794" w:type="dxa"/>
            <w:tcBorders>
              <w:top w:val="single" w:sz="6" w:space="0" w:color="auto"/>
              <w:bottom w:val="single" w:sz="6" w:space="0" w:color="auto"/>
            </w:tcBorders>
          </w:tcPr>
          <w:p w14:paraId="6FF0620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1 310</w:t>
            </w:r>
          </w:p>
        </w:tc>
        <w:tc>
          <w:tcPr>
            <w:tcW w:w="794" w:type="dxa"/>
            <w:tcBorders>
              <w:top w:val="single" w:sz="6" w:space="0" w:color="auto"/>
              <w:bottom w:val="single" w:sz="6" w:space="0" w:color="auto"/>
            </w:tcBorders>
          </w:tcPr>
          <w:p w14:paraId="73ECA1F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1 457</w:t>
            </w:r>
          </w:p>
        </w:tc>
        <w:tc>
          <w:tcPr>
            <w:tcW w:w="794" w:type="dxa"/>
            <w:tcBorders>
              <w:top w:val="single" w:sz="6" w:space="0" w:color="auto"/>
              <w:bottom w:val="single" w:sz="6" w:space="0" w:color="auto"/>
            </w:tcBorders>
          </w:tcPr>
          <w:p w14:paraId="580F813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1 605</w:t>
            </w:r>
          </w:p>
        </w:tc>
        <w:tc>
          <w:tcPr>
            <w:tcW w:w="794" w:type="dxa"/>
            <w:tcBorders>
              <w:top w:val="single" w:sz="6" w:space="0" w:color="auto"/>
              <w:bottom w:val="single" w:sz="6" w:space="0" w:color="auto"/>
            </w:tcBorders>
          </w:tcPr>
          <w:p w14:paraId="65DBE84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1 757</w:t>
            </w:r>
          </w:p>
        </w:tc>
      </w:tr>
      <w:tr w:rsidR="009C6724" w14:paraId="6302C113"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59F3579E" w14:textId="77777777" w:rsidR="00AB205D" w:rsidRDefault="00471A3B">
            <w:r>
              <w:rPr>
                <w:b/>
              </w:rPr>
              <w:t>Total employee benefits</w:t>
            </w:r>
          </w:p>
        </w:tc>
        <w:tc>
          <w:tcPr>
            <w:tcW w:w="794" w:type="dxa"/>
            <w:tcBorders>
              <w:top w:val="single" w:sz="6" w:space="0" w:color="auto"/>
              <w:bottom w:val="single" w:sz="12" w:space="0" w:color="auto"/>
            </w:tcBorders>
          </w:tcPr>
          <w:p w14:paraId="67753CF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10 583</w:t>
            </w:r>
          </w:p>
        </w:tc>
        <w:tc>
          <w:tcPr>
            <w:tcW w:w="794" w:type="dxa"/>
            <w:tcBorders>
              <w:top w:val="single" w:sz="6" w:space="0" w:color="auto"/>
              <w:bottom w:val="single" w:sz="12" w:space="0" w:color="auto"/>
            </w:tcBorders>
          </w:tcPr>
          <w:p w14:paraId="17B181A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10 584</w:t>
            </w:r>
          </w:p>
        </w:tc>
        <w:tc>
          <w:tcPr>
            <w:tcW w:w="794" w:type="dxa"/>
            <w:tcBorders>
              <w:top w:val="single" w:sz="6" w:space="0" w:color="auto"/>
              <w:bottom w:val="single" w:sz="12" w:space="0" w:color="auto"/>
            </w:tcBorders>
          </w:tcPr>
          <w:p w14:paraId="0FC822B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10 928</w:t>
            </w:r>
          </w:p>
        </w:tc>
        <w:tc>
          <w:tcPr>
            <w:tcW w:w="794" w:type="dxa"/>
            <w:tcBorders>
              <w:top w:val="single" w:sz="6" w:space="0" w:color="auto"/>
              <w:bottom w:val="single" w:sz="12" w:space="0" w:color="auto"/>
            </w:tcBorders>
          </w:tcPr>
          <w:p w14:paraId="0BE9672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11 274</w:t>
            </w:r>
          </w:p>
        </w:tc>
        <w:tc>
          <w:tcPr>
            <w:tcW w:w="794" w:type="dxa"/>
            <w:tcBorders>
              <w:top w:val="single" w:sz="6" w:space="0" w:color="auto"/>
              <w:bottom w:val="single" w:sz="12" w:space="0" w:color="auto"/>
            </w:tcBorders>
          </w:tcPr>
          <w:p w14:paraId="1428243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11 622</w:t>
            </w:r>
          </w:p>
        </w:tc>
      </w:tr>
    </w:tbl>
    <w:p w14:paraId="7BB5E757" w14:textId="77777777" w:rsidR="00AB205D" w:rsidRPr="000404D2" w:rsidRDefault="00471A3B">
      <w:pPr>
        <w:pStyle w:val="Heading3"/>
        <w:pageBreakBefore/>
        <w:rPr>
          <w:sz w:val="21"/>
          <w:szCs w:val="21"/>
        </w:rPr>
      </w:pPr>
      <w:bookmarkStart w:id="52" w:name="_Toc149221029"/>
      <w:r w:rsidRPr="000404D2">
        <w:rPr>
          <w:sz w:val="21"/>
          <w:szCs w:val="21"/>
        </w:rPr>
        <w:lastRenderedPageBreak/>
        <w:t>Superannuation expense</w:t>
      </w:r>
      <w:bookmarkEnd w:id="52"/>
    </w:p>
    <w:p w14:paraId="0C78F4F6" w14:textId="77777777" w:rsidR="00AB205D" w:rsidRDefault="00471A3B">
      <w:pPr>
        <w:pStyle w:val="TableHeading"/>
      </w:pPr>
      <w:r>
        <w:t>Superannuation expense recognised in the operating statement</w:t>
      </w:r>
      <w:r>
        <w:tab/>
        <w:t>($ million)</w:t>
      </w:r>
    </w:p>
    <w:tbl>
      <w:tblPr>
        <w:tblStyle w:val="DTFTableNumeric"/>
        <w:tblW w:w="7710" w:type="dxa"/>
        <w:tblLayout w:type="fixed"/>
        <w:tblLook w:val="06A0" w:firstRow="1" w:lastRow="0" w:firstColumn="1" w:lastColumn="0" w:noHBand="1" w:noVBand="1"/>
        <w:tblDescription w:val="Type:DtfTable|Workbook:Rawdata\BudgetUpdate\Budget Update\Financial Statements\SRIMS exports\SRIMS_BU_EFS_OS.xlsx|Table:Superannuation_OS|MergedHeadingRow:1"/>
      </w:tblPr>
      <w:tblGrid>
        <w:gridCol w:w="3740"/>
        <w:gridCol w:w="794"/>
        <w:gridCol w:w="794"/>
        <w:gridCol w:w="794"/>
        <w:gridCol w:w="794"/>
        <w:gridCol w:w="794"/>
      </w:tblGrid>
      <w:tr w:rsidR="009C6724" w14:paraId="59DDE5C2"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175A3AB1" w14:textId="77777777" w:rsidR="00AB205D" w:rsidRDefault="00AB205D">
            <w:pPr>
              <w:keepNext/>
            </w:pPr>
          </w:p>
        </w:tc>
        <w:tc>
          <w:tcPr>
            <w:tcW w:w="794" w:type="dxa"/>
          </w:tcPr>
          <w:p w14:paraId="7B8A4A0D"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budget</w:t>
            </w:r>
          </w:p>
        </w:tc>
        <w:tc>
          <w:tcPr>
            <w:tcW w:w="794" w:type="dxa"/>
          </w:tcPr>
          <w:p w14:paraId="0347C5F1"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revised</w:t>
            </w:r>
          </w:p>
        </w:tc>
        <w:tc>
          <w:tcPr>
            <w:tcW w:w="794" w:type="dxa"/>
          </w:tcPr>
          <w:p w14:paraId="738173B5"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r>
              <w:br/>
              <w:t>estimate</w:t>
            </w:r>
          </w:p>
        </w:tc>
        <w:tc>
          <w:tcPr>
            <w:tcW w:w="794" w:type="dxa"/>
          </w:tcPr>
          <w:p w14:paraId="4840D9B2"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7AEC64A4"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r>
      <w:tr w:rsidR="009C6724" w14:paraId="384FFC18"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0C418D2" w14:textId="77777777" w:rsidR="00AB205D" w:rsidRDefault="00471A3B">
            <w:r>
              <w:rPr>
                <w:b/>
              </w:rPr>
              <w:t>Defined benefit plans</w:t>
            </w:r>
          </w:p>
        </w:tc>
        <w:tc>
          <w:tcPr>
            <w:tcW w:w="794" w:type="dxa"/>
          </w:tcPr>
          <w:p w14:paraId="6DF905DB"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5628D09"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0C94A18"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52C3A8F"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7CCF507E"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43DD6C73"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6F86E42E" w14:textId="77777777" w:rsidR="00AB205D" w:rsidRDefault="00471A3B">
            <w:r>
              <w:t>Net superannuation interest expense</w:t>
            </w:r>
          </w:p>
        </w:tc>
        <w:tc>
          <w:tcPr>
            <w:tcW w:w="794" w:type="dxa"/>
          </w:tcPr>
          <w:p w14:paraId="24ECB325" w14:textId="77777777" w:rsidR="00AB205D" w:rsidRDefault="00471A3B">
            <w:pPr>
              <w:cnfStyle w:val="000000000000" w:firstRow="0" w:lastRow="0" w:firstColumn="0" w:lastColumn="0" w:oddVBand="0" w:evenVBand="0" w:oddHBand="0" w:evenHBand="0" w:firstRowFirstColumn="0" w:firstRowLastColumn="0" w:lastRowFirstColumn="0" w:lastRowLastColumn="0"/>
            </w:pPr>
            <w:r>
              <w:t>718</w:t>
            </w:r>
          </w:p>
        </w:tc>
        <w:tc>
          <w:tcPr>
            <w:tcW w:w="794" w:type="dxa"/>
          </w:tcPr>
          <w:p w14:paraId="27A164CA" w14:textId="77777777" w:rsidR="00AB205D" w:rsidRDefault="00471A3B">
            <w:pPr>
              <w:cnfStyle w:val="000000000000" w:firstRow="0" w:lastRow="0" w:firstColumn="0" w:lastColumn="0" w:oddVBand="0" w:evenVBand="0" w:oddHBand="0" w:evenHBand="0" w:firstRowFirstColumn="0" w:firstRowLastColumn="0" w:lastRowFirstColumn="0" w:lastRowLastColumn="0"/>
            </w:pPr>
            <w:r>
              <w:t>774</w:t>
            </w:r>
          </w:p>
        </w:tc>
        <w:tc>
          <w:tcPr>
            <w:tcW w:w="794" w:type="dxa"/>
          </w:tcPr>
          <w:p w14:paraId="75A464C2" w14:textId="77777777" w:rsidR="00AB205D" w:rsidRDefault="00471A3B">
            <w:pPr>
              <w:cnfStyle w:val="000000000000" w:firstRow="0" w:lastRow="0" w:firstColumn="0" w:lastColumn="0" w:oddVBand="0" w:evenVBand="0" w:oddHBand="0" w:evenHBand="0" w:firstRowFirstColumn="0" w:firstRowLastColumn="0" w:lastRowFirstColumn="0" w:lastRowLastColumn="0"/>
            </w:pPr>
            <w:r>
              <w:t>790</w:t>
            </w:r>
          </w:p>
        </w:tc>
        <w:tc>
          <w:tcPr>
            <w:tcW w:w="794" w:type="dxa"/>
          </w:tcPr>
          <w:p w14:paraId="3EBA5C57" w14:textId="77777777" w:rsidR="00AB205D" w:rsidRDefault="00471A3B">
            <w:pPr>
              <w:cnfStyle w:val="000000000000" w:firstRow="0" w:lastRow="0" w:firstColumn="0" w:lastColumn="0" w:oddVBand="0" w:evenVBand="0" w:oddHBand="0" w:evenHBand="0" w:firstRowFirstColumn="0" w:firstRowLastColumn="0" w:lastRowFirstColumn="0" w:lastRowLastColumn="0"/>
            </w:pPr>
            <w:r>
              <w:t>796</w:t>
            </w:r>
          </w:p>
        </w:tc>
        <w:tc>
          <w:tcPr>
            <w:tcW w:w="794" w:type="dxa"/>
          </w:tcPr>
          <w:p w14:paraId="0E7544CF" w14:textId="77777777" w:rsidR="00AB205D" w:rsidRDefault="00471A3B">
            <w:pPr>
              <w:cnfStyle w:val="000000000000" w:firstRow="0" w:lastRow="0" w:firstColumn="0" w:lastColumn="0" w:oddVBand="0" w:evenVBand="0" w:oddHBand="0" w:evenHBand="0" w:firstRowFirstColumn="0" w:firstRowLastColumn="0" w:lastRowFirstColumn="0" w:lastRowLastColumn="0"/>
            </w:pPr>
            <w:r>
              <w:t>806</w:t>
            </w:r>
          </w:p>
        </w:tc>
      </w:tr>
      <w:tr w:rsidR="009C6724" w14:paraId="69F473D3"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0965AE9" w14:textId="77777777" w:rsidR="00AB205D" w:rsidRDefault="00471A3B">
            <w:r>
              <w:t>Current service cost</w:t>
            </w:r>
          </w:p>
        </w:tc>
        <w:tc>
          <w:tcPr>
            <w:tcW w:w="794" w:type="dxa"/>
          </w:tcPr>
          <w:p w14:paraId="432A5C09" w14:textId="77777777" w:rsidR="00AB205D" w:rsidRDefault="00471A3B">
            <w:pPr>
              <w:cnfStyle w:val="000000000000" w:firstRow="0" w:lastRow="0" w:firstColumn="0" w:lastColumn="0" w:oddVBand="0" w:evenVBand="0" w:oddHBand="0" w:evenHBand="0" w:firstRowFirstColumn="0" w:firstRowLastColumn="0" w:lastRowFirstColumn="0" w:lastRowLastColumn="0"/>
            </w:pPr>
            <w:r>
              <w:t>1 131</w:t>
            </w:r>
          </w:p>
        </w:tc>
        <w:tc>
          <w:tcPr>
            <w:tcW w:w="794" w:type="dxa"/>
          </w:tcPr>
          <w:p w14:paraId="4B19925F" w14:textId="77777777" w:rsidR="00AB205D" w:rsidRDefault="00471A3B">
            <w:pPr>
              <w:cnfStyle w:val="000000000000" w:firstRow="0" w:lastRow="0" w:firstColumn="0" w:lastColumn="0" w:oddVBand="0" w:evenVBand="0" w:oddHBand="0" w:evenHBand="0" w:firstRowFirstColumn="0" w:firstRowLastColumn="0" w:lastRowFirstColumn="0" w:lastRowLastColumn="0"/>
            </w:pPr>
            <w:r>
              <w:t>945</w:t>
            </w:r>
          </w:p>
        </w:tc>
        <w:tc>
          <w:tcPr>
            <w:tcW w:w="794" w:type="dxa"/>
          </w:tcPr>
          <w:p w14:paraId="2F111CD5" w14:textId="77777777" w:rsidR="00AB205D" w:rsidRDefault="00471A3B">
            <w:pPr>
              <w:cnfStyle w:val="000000000000" w:firstRow="0" w:lastRow="0" w:firstColumn="0" w:lastColumn="0" w:oddVBand="0" w:evenVBand="0" w:oddHBand="0" w:evenHBand="0" w:firstRowFirstColumn="0" w:firstRowLastColumn="0" w:lastRowFirstColumn="0" w:lastRowLastColumn="0"/>
            </w:pPr>
            <w:r>
              <w:t>923</w:t>
            </w:r>
          </w:p>
        </w:tc>
        <w:tc>
          <w:tcPr>
            <w:tcW w:w="794" w:type="dxa"/>
          </w:tcPr>
          <w:p w14:paraId="3E8BD472" w14:textId="77777777" w:rsidR="00AB205D" w:rsidRDefault="00471A3B">
            <w:pPr>
              <w:cnfStyle w:val="000000000000" w:firstRow="0" w:lastRow="0" w:firstColumn="0" w:lastColumn="0" w:oddVBand="0" w:evenVBand="0" w:oddHBand="0" w:evenHBand="0" w:firstRowFirstColumn="0" w:firstRowLastColumn="0" w:lastRowFirstColumn="0" w:lastRowLastColumn="0"/>
            </w:pPr>
            <w:r>
              <w:t>1 004</w:t>
            </w:r>
          </w:p>
        </w:tc>
        <w:tc>
          <w:tcPr>
            <w:tcW w:w="794" w:type="dxa"/>
          </w:tcPr>
          <w:p w14:paraId="1561F4AE" w14:textId="77777777" w:rsidR="00AB205D" w:rsidRDefault="00471A3B">
            <w:pPr>
              <w:cnfStyle w:val="000000000000" w:firstRow="0" w:lastRow="0" w:firstColumn="0" w:lastColumn="0" w:oddVBand="0" w:evenVBand="0" w:oddHBand="0" w:evenHBand="0" w:firstRowFirstColumn="0" w:firstRowLastColumn="0" w:lastRowFirstColumn="0" w:lastRowLastColumn="0"/>
            </w:pPr>
            <w:r>
              <w:t>1 006</w:t>
            </w:r>
          </w:p>
        </w:tc>
      </w:tr>
      <w:tr w:rsidR="009C6724" w14:paraId="4561A676"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620C63D4" w14:textId="77777777" w:rsidR="00AB205D" w:rsidRDefault="00471A3B">
            <w:r>
              <w:t>Remeasurements:</w:t>
            </w:r>
          </w:p>
        </w:tc>
        <w:tc>
          <w:tcPr>
            <w:tcW w:w="794" w:type="dxa"/>
          </w:tcPr>
          <w:p w14:paraId="105EB7BA"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1CBB09C7"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4E72DB67"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2757DC88"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70B40646"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2CDA2450"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E3BE099" w14:textId="77777777" w:rsidR="00AB205D" w:rsidRDefault="00471A3B">
            <w:r>
              <w:t>Expected return on superannuation assets excluding interest income</w:t>
            </w:r>
          </w:p>
        </w:tc>
        <w:tc>
          <w:tcPr>
            <w:tcW w:w="794" w:type="dxa"/>
          </w:tcPr>
          <w:p w14:paraId="6A241E5A" w14:textId="77777777" w:rsidR="00AB205D" w:rsidRDefault="00471A3B">
            <w:pPr>
              <w:cnfStyle w:val="000000000000" w:firstRow="0" w:lastRow="0" w:firstColumn="0" w:lastColumn="0" w:oddVBand="0" w:evenVBand="0" w:oddHBand="0" w:evenHBand="0" w:firstRowFirstColumn="0" w:firstRowLastColumn="0" w:lastRowFirstColumn="0" w:lastRowLastColumn="0"/>
            </w:pPr>
            <w:r>
              <w:t>(852)</w:t>
            </w:r>
          </w:p>
        </w:tc>
        <w:tc>
          <w:tcPr>
            <w:tcW w:w="794" w:type="dxa"/>
          </w:tcPr>
          <w:p w14:paraId="06AD5B8F" w14:textId="77777777" w:rsidR="00AB205D" w:rsidRDefault="00471A3B">
            <w:pPr>
              <w:cnfStyle w:val="000000000000" w:firstRow="0" w:lastRow="0" w:firstColumn="0" w:lastColumn="0" w:oddVBand="0" w:evenVBand="0" w:oddHBand="0" w:evenHBand="0" w:firstRowFirstColumn="0" w:firstRowLastColumn="0" w:lastRowFirstColumn="0" w:lastRowLastColumn="0"/>
            </w:pPr>
            <w:r>
              <w:t>(722)</w:t>
            </w:r>
          </w:p>
        </w:tc>
        <w:tc>
          <w:tcPr>
            <w:tcW w:w="794" w:type="dxa"/>
          </w:tcPr>
          <w:p w14:paraId="439E2FE7" w14:textId="77777777" w:rsidR="00AB205D" w:rsidRDefault="00471A3B">
            <w:pPr>
              <w:cnfStyle w:val="000000000000" w:firstRow="0" w:lastRow="0" w:firstColumn="0" w:lastColumn="0" w:oddVBand="0" w:evenVBand="0" w:oddHBand="0" w:evenHBand="0" w:firstRowFirstColumn="0" w:firstRowLastColumn="0" w:lastRowFirstColumn="0" w:lastRowLastColumn="0"/>
            </w:pPr>
            <w:r>
              <w:t>(567)</w:t>
            </w:r>
          </w:p>
        </w:tc>
        <w:tc>
          <w:tcPr>
            <w:tcW w:w="794" w:type="dxa"/>
          </w:tcPr>
          <w:p w14:paraId="26A0782D" w14:textId="77777777" w:rsidR="00AB205D" w:rsidRDefault="00471A3B">
            <w:pPr>
              <w:cnfStyle w:val="000000000000" w:firstRow="0" w:lastRow="0" w:firstColumn="0" w:lastColumn="0" w:oddVBand="0" w:evenVBand="0" w:oddHBand="0" w:evenHBand="0" w:firstRowFirstColumn="0" w:firstRowLastColumn="0" w:lastRowFirstColumn="0" w:lastRowLastColumn="0"/>
            </w:pPr>
            <w:r>
              <w:t>(549)</w:t>
            </w:r>
          </w:p>
        </w:tc>
        <w:tc>
          <w:tcPr>
            <w:tcW w:w="794" w:type="dxa"/>
          </w:tcPr>
          <w:p w14:paraId="752F2638" w14:textId="77777777" w:rsidR="00AB205D" w:rsidRDefault="00471A3B">
            <w:pPr>
              <w:cnfStyle w:val="000000000000" w:firstRow="0" w:lastRow="0" w:firstColumn="0" w:lastColumn="0" w:oddVBand="0" w:evenVBand="0" w:oddHBand="0" w:evenHBand="0" w:firstRowFirstColumn="0" w:firstRowLastColumn="0" w:lastRowFirstColumn="0" w:lastRowLastColumn="0"/>
            </w:pPr>
            <w:r>
              <w:t>(528)</w:t>
            </w:r>
          </w:p>
        </w:tc>
      </w:tr>
      <w:tr w:rsidR="009C6724" w14:paraId="54E1EFA7"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7AFCF2E" w14:textId="77777777" w:rsidR="00AB205D" w:rsidRDefault="00471A3B">
            <w:r>
              <w:t>Other actuarial (gain)/loss on superannuation assets</w:t>
            </w:r>
          </w:p>
        </w:tc>
        <w:tc>
          <w:tcPr>
            <w:tcW w:w="794" w:type="dxa"/>
          </w:tcPr>
          <w:p w14:paraId="3EABE171"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62F47BB3" w14:textId="77777777" w:rsidR="00AB205D" w:rsidRDefault="00471A3B">
            <w:pPr>
              <w:cnfStyle w:val="000000000000" w:firstRow="0" w:lastRow="0" w:firstColumn="0" w:lastColumn="0" w:oddVBand="0" w:evenVBand="0" w:oddHBand="0" w:evenHBand="0" w:firstRowFirstColumn="0" w:firstRowLastColumn="0" w:lastRowFirstColumn="0" w:lastRowLastColumn="0"/>
            </w:pPr>
            <w:r>
              <w:t>324</w:t>
            </w:r>
          </w:p>
        </w:tc>
        <w:tc>
          <w:tcPr>
            <w:tcW w:w="794" w:type="dxa"/>
          </w:tcPr>
          <w:p w14:paraId="583A5F16"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525EBFC2"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17EF5D7B"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r>
      <w:tr w:rsidR="009C6724" w14:paraId="4F49F5D2"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7AB3CDCE" w14:textId="77777777" w:rsidR="00AB205D" w:rsidRDefault="00471A3B">
            <w:r>
              <w:t>Actuarial and other adjustments to unfunded superannuation liability</w:t>
            </w:r>
          </w:p>
        </w:tc>
        <w:tc>
          <w:tcPr>
            <w:tcW w:w="794" w:type="dxa"/>
            <w:tcBorders>
              <w:bottom w:val="single" w:sz="6" w:space="0" w:color="auto"/>
            </w:tcBorders>
          </w:tcPr>
          <w:p w14:paraId="5EEB4681"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02FCA7A5" w14:textId="77777777" w:rsidR="00AB205D" w:rsidRDefault="00471A3B">
            <w:pPr>
              <w:cnfStyle w:val="000000000000" w:firstRow="0" w:lastRow="0" w:firstColumn="0" w:lastColumn="0" w:oddVBand="0" w:evenVBand="0" w:oddHBand="0" w:evenHBand="0" w:firstRowFirstColumn="0" w:firstRowLastColumn="0" w:lastRowFirstColumn="0" w:lastRowLastColumn="0"/>
            </w:pPr>
            <w:r>
              <w:t>(2 144)</w:t>
            </w:r>
          </w:p>
        </w:tc>
        <w:tc>
          <w:tcPr>
            <w:tcW w:w="794" w:type="dxa"/>
            <w:tcBorders>
              <w:bottom w:val="single" w:sz="6" w:space="0" w:color="auto"/>
            </w:tcBorders>
          </w:tcPr>
          <w:p w14:paraId="31B8242F"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0050DE3F"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396ABFB9"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r>
      <w:tr w:rsidR="009C6724" w14:paraId="0E50276E"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63686ACE" w14:textId="77777777" w:rsidR="00AB205D" w:rsidRDefault="00471A3B">
            <w:r>
              <w:rPr>
                <w:b/>
              </w:rPr>
              <w:t>Total expense recognised in respect of defined benefit plans</w:t>
            </w:r>
          </w:p>
        </w:tc>
        <w:tc>
          <w:tcPr>
            <w:tcW w:w="794" w:type="dxa"/>
            <w:tcBorders>
              <w:top w:val="single" w:sz="6" w:space="0" w:color="auto"/>
            </w:tcBorders>
          </w:tcPr>
          <w:p w14:paraId="37D641C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997</w:t>
            </w:r>
          </w:p>
        </w:tc>
        <w:tc>
          <w:tcPr>
            <w:tcW w:w="794" w:type="dxa"/>
            <w:tcBorders>
              <w:top w:val="single" w:sz="6" w:space="0" w:color="auto"/>
            </w:tcBorders>
          </w:tcPr>
          <w:p w14:paraId="31A6E43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(823)</w:t>
            </w:r>
          </w:p>
        </w:tc>
        <w:tc>
          <w:tcPr>
            <w:tcW w:w="794" w:type="dxa"/>
            <w:tcBorders>
              <w:top w:val="single" w:sz="6" w:space="0" w:color="auto"/>
            </w:tcBorders>
          </w:tcPr>
          <w:p w14:paraId="6A8EA35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1 146</w:t>
            </w:r>
          </w:p>
        </w:tc>
        <w:tc>
          <w:tcPr>
            <w:tcW w:w="794" w:type="dxa"/>
            <w:tcBorders>
              <w:top w:val="single" w:sz="6" w:space="0" w:color="auto"/>
            </w:tcBorders>
          </w:tcPr>
          <w:p w14:paraId="7D1C4C3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1 251</w:t>
            </w:r>
          </w:p>
        </w:tc>
        <w:tc>
          <w:tcPr>
            <w:tcW w:w="794" w:type="dxa"/>
            <w:tcBorders>
              <w:top w:val="single" w:sz="6" w:space="0" w:color="auto"/>
            </w:tcBorders>
          </w:tcPr>
          <w:p w14:paraId="41A5BCF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1 284</w:t>
            </w:r>
          </w:p>
        </w:tc>
      </w:tr>
      <w:tr w:rsidR="009C6724" w14:paraId="02B72BDC"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405618E" w14:textId="77777777" w:rsidR="00AB205D" w:rsidRDefault="00471A3B">
            <w:r>
              <w:rPr>
                <w:b/>
              </w:rPr>
              <w:t>Defined contribution plans</w:t>
            </w:r>
          </w:p>
        </w:tc>
        <w:tc>
          <w:tcPr>
            <w:tcW w:w="794" w:type="dxa"/>
          </w:tcPr>
          <w:p w14:paraId="4D7C6013"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77E8A6D"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C91430E"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BC62031"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ACDC2CE"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6B6A86E0"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81A544A" w14:textId="77777777" w:rsidR="00AB205D" w:rsidRDefault="00471A3B">
            <w:r>
              <w:t>Employer contributions to defined contribution plans</w:t>
            </w:r>
          </w:p>
        </w:tc>
        <w:tc>
          <w:tcPr>
            <w:tcW w:w="794" w:type="dxa"/>
          </w:tcPr>
          <w:p w14:paraId="35206BA9" w14:textId="77777777" w:rsidR="00AB205D" w:rsidRDefault="00471A3B">
            <w:pPr>
              <w:cnfStyle w:val="000000000000" w:firstRow="0" w:lastRow="0" w:firstColumn="0" w:lastColumn="0" w:oddVBand="0" w:evenVBand="0" w:oddHBand="0" w:evenHBand="0" w:firstRowFirstColumn="0" w:firstRowLastColumn="0" w:lastRowFirstColumn="0" w:lastRowLastColumn="0"/>
            </w:pPr>
            <w:r>
              <w:t>2 573</w:t>
            </w:r>
          </w:p>
        </w:tc>
        <w:tc>
          <w:tcPr>
            <w:tcW w:w="794" w:type="dxa"/>
          </w:tcPr>
          <w:p w14:paraId="37CEF588" w14:textId="77777777" w:rsidR="00AB205D" w:rsidRDefault="00471A3B">
            <w:pPr>
              <w:cnfStyle w:val="000000000000" w:firstRow="0" w:lastRow="0" w:firstColumn="0" w:lastColumn="0" w:oddVBand="0" w:evenVBand="0" w:oddHBand="0" w:evenHBand="0" w:firstRowFirstColumn="0" w:firstRowLastColumn="0" w:lastRowFirstColumn="0" w:lastRowLastColumn="0"/>
            </w:pPr>
            <w:r>
              <w:t>2 584</w:t>
            </w:r>
          </w:p>
        </w:tc>
        <w:tc>
          <w:tcPr>
            <w:tcW w:w="794" w:type="dxa"/>
          </w:tcPr>
          <w:p w14:paraId="19AE32A8" w14:textId="77777777" w:rsidR="00AB205D" w:rsidRDefault="00471A3B">
            <w:pPr>
              <w:cnfStyle w:val="000000000000" w:firstRow="0" w:lastRow="0" w:firstColumn="0" w:lastColumn="0" w:oddVBand="0" w:evenVBand="0" w:oddHBand="0" w:evenHBand="0" w:firstRowFirstColumn="0" w:firstRowLastColumn="0" w:lastRowFirstColumn="0" w:lastRowLastColumn="0"/>
            </w:pPr>
            <w:r>
              <w:t>2 593</w:t>
            </w:r>
          </w:p>
        </w:tc>
        <w:tc>
          <w:tcPr>
            <w:tcW w:w="794" w:type="dxa"/>
          </w:tcPr>
          <w:p w14:paraId="4ADA1F1D" w14:textId="77777777" w:rsidR="00AB205D" w:rsidRDefault="00471A3B">
            <w:pPr>
              <w:cnfStyle w:val="000000000000" w:firstRow="0" w:lastRow="0" w:firstColumn="0" w:lastColumn="0" w:oddVBand="0" w:evenVBand="0" w:oddHBand="0" w:evenHBand="0" w:firstRowFirstColumn="0" w:firstRowLastColumn="0" w:lastRowFirstColumn="0" w:lastRowLastColumn="0"/>
            </w:pPr>
            <w:r>
              <w:t>2 549</w:t>
            </w:r>
          </w:p>
        </w:tc>
        <w:tc>
          <w:tcPr>
            <w:tcW w:w="794" w:type="dxa"/>
          </w:tcPr>
          <w:p w14:paraId="2CE86B56" w14:textId="77777777" w:rsidR="00AB205D" w:rsidRDefault="00471A3B">
            <w:pPr>
              <w:cnfStyle w:val="000000000000" w:firstRow="0" w:lastRow="0" w:firstColumn="0" w:lastColumn="0" w:oddVBand="0" w:evenVBand="0" w:oddHBand="0" w:evenHBand="0" w:firstRowFirstColumn="0" w:firstRowLastColumn="0" w:lastRowFirstColumn="0" w:lastRowLastColumn="0"/>
            </w:pPr>
            <w:r>
              <w:t>2 614</w:t>
            </w:r>
          </w:p>
        </w:tc>
      </w:tr>
      <w:tr w:rsidR="009C6724" w14:paraId="4C0C672A"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70C527E6" w14:textId="77777777" w:rsidR="00AB205D" w:rsidRDefault="00471A3B">
            <w:r>
              <w:t>Other (including pensions)</w:t>
            </w:r>
          </w:p>
        </w:tc>
        <w:tc>
          <w:tcPr>
            <w:tcW w:w="794" w:type="dxa"/>
            <w:tcBorders>
              <w:bottom w:val="single" w:sz="6" w:space="0" w:color="auto"/>
            </w:tcBorders>
          </w:tcPr>
          <w:p w14:paraId="56988B61" w14:textId="77777777" w:rsidR="00AB205D" w:rsidRDefault="00471A3B">
            <w:pPr>
              <w:cnfStyle w:val="000000000000" w:firstRow="0" w:lastRow="0" w:firstColumn="0" w:lastColumn="0" w:oddVBand="0" w:evenVBand="0" w:oddHBand="0" w:evenHBand="0" w:firstRowFirstColumn="0" w:firstRowLastColumn="0" w:lastRowFirstColumn="0" w:lastRowLastColumn="0"/>
            </w:pPr>
            <w:r>
              <w:t>67</w:t>
            </w:r>
          </w:p>
        </w:tc>
        <w:tc>
          <w:tcPr>
            <w:tcW w:w="794" w:type="dxa"/>
            <w:tcBorders>
              <w:bottom w:val="single" w:sz="6" w:space="0" w:color="auto"/>
            </w:tcBorders>
          </w:tcPr>
          <w:p w14:paraId="3527E693" w14:textId="77777777" w:rsidR="00AB205D" w:rsidRDefault="00471A3B">
            <w:pPr>
              <w:cnfStyle w:val="000000000000" w:firstRow="0" w:lastRow="0" w:firstColumn="0" w:lastColumn="0" w:oddVBand="0" w:evenVBand="0" w:oddHBand="0" w:evenHBand="0" w:firstRowFirstColumn="0" w:firstRowLastColumn="0" w:lastRowFirstColumn="0" w:lastRowLastColumn="0"/>
            </w:pPr>
            <w:r>
              <w:t>88</w:t>
            </w:r>
          </w:p>
        </w:tc>
        <w:tc>
          <w:tcPr>
            <w:tcW w:w="794" w:type="dxa"/>
            <w:tcBorders>
              <w:bottom w:val="single" w:sz="6" w:space="0" w:color="auto"/>
            </w:tcBorders>
          </w:tcPr>
          <w:p w14:paraId="56C5632D" w14:textId="77777777" w:rsidR="00AB205D" w:rsidRDefault="00471A3B">
            <w:pPr>
              <w:cnfStyle w:val="000000000000" w:firstRow="0" w:lastRow="0" w:firstColumn="0" w:lastColumn="0" w:oddVBand="0" w:evenVBand="0" w:oddHBand="0" w:evenHBand="0" w:firstRowFirstColumn="0" w:firstRowLastColumn="0" w:lastRowFirstColumn="0" w:lastRowLastColumn="0"/>
            </w:pPr>
            <w:r>
              <w:t>83</w:t>
            </w:r>
          </w:p>
        </w:tc>
        <w:tc>
          <w:tcPr>
            <w:tcW w:w="794" w:type="dxa"/>
            <w:tcBorders>
              <w:bottom w:val="single" w:sz="6" w:space="0" w:color="auto"/>
            </w:tcBorders>
          </w:tcPr>
          <w:p w14:paraId="6D7AA404" w14:textId="77777777" w:rsidR="00AB205D" w:rsidRDefault="00471A3B">
            <w:pPr>
              <w:cnfStyle w:val="000000000000" w:firstRow="0" w:lastRow="0" w:firstColumn="0" w:lastColumn="0" w:oddVBand="0" w:evenVBand="0" w:oddHBand="0" w:evenHBand="0" w:firstRowFirstColumn="0" w:firstRowLastColumn="0" w:lastRowFirstColumn="0" w:lastRowLastColumn="0"/>
            </w:pPr>
            <w:r>
              <w:t>83</w:t>
            </w:r>
          </w:p>
        </w:tc>
        <w:tc>
          <w:tcPr>
            <w:tcW w:w="794" w:type="dxa"/>
            <w:tcBorders>
              <w:bottom w:val="single" w:sz="6" w:space="0" w:color="auto"/>
            </w:tcBorders>
          </w:tcPr>
          <w:p w14:paraId="14F31229" w14:textId="77777777" w:rsidR="00AB205D" w:rsidRDefault="00471A3B">
            <w:pPr>
              <w:cnfStyle w:val="000000000000" w:firstRow="0" w:lastRow="0" w:firstColumn="0" w:lastColumn="0" w:oddVBand="0" w:evenVBand="0" w:oddHBand="0" w:evenHBand="0" w:firstRowFirstColumn="0" w:firstRowLastColumn="0" w:lastRowFirstColumn="0" w:lastRowLastColumn="0"/>
            </w:pPr>
            <w:r>
              <w:t>83</w:t>
            </w:r>
          </w:p>
        </w:tc>
      </w:tr>
      <w:tr w:rsidR="009C6724" w14:paraId="7BD014B2"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12DE9FE9" w14:textId="77777777" w:rsidR="00AB205D" w:rsidRDefault="00471A3B">
            <w:r>
              <w:rPr>
                <w:b/>
              </w:rPr>
              <w:t>Total expense recognised in respect of defined contribution plans</w:t>
            </w:r>
          </w:p>
        </w:tc>
        <w:tc>
          <w:tcPr>
            <w:tcW w:w="794" w:type="dxa"/>
            <w:tcBorders>
              <w:top w:val="single" w:sz="6" w:space="0" w:color="auto"/>
              <w:bottom w:val="single" w:sz="6" w:space="0" w:color="auto"/>
            </w:tcBorders>
          </w:tcPr>
          <w:p w14:paraId="01A9657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2 640</w:t>
            </w:r>
          </w:p>
        </w:tc>
        <w:tc>
          <w:tcPr>
            <w:tcW w:w="794" w:type="dxa"/>
            <w:tcBorders>
              <w:top w:val="single" w:sz="6" w:space="0" w:color="auto"/>
              <w:bottom w:val="single" w:sz="6" w:space="0" w:color="auto"/>
            </w:tcBorders>
          </w:tcPr>
          <w:p w14:paraId="5AA66C6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2 672</w:t>
            </w:r>
          </w:p>
        </w:tc>
        <w:tc>
          <w:tcPr>
            <w:tcW w:w="794" w:type="dxa"/>
            <w:tcBorders>
              <w:top w:val="single" w:sz="6" w:space="0" w:color="auto"/>
              <w:bottom w:val="single" w:sz="6" w:space="0" w:color="auto"/>
            </w:tcBorders>
          </w:tcPr>
          <w:p w14:paraId="3D9AAEE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2 676</w:t>
            </w:r>
          </w:p>
        </w:tc>
        <w:tc>
          <w:tcPr>
            <w:tcW w:w="794" w:type="dxa"/>
            <w:tcBorders>
              <w:top w:val="single" w:sz="6" w:space="0" w:color="auto"/>
              <w:bottom w:val="single" w:sz="6" w:space="0" w:color="auto"/>
            </w:tcBorders>
          </w:tcPr>
          <w:p w14:paraId="7233906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2 633</w:t>
            </w:r>
          </w:p>
        </w:tc>
        <w:tc>
          <w:tcPr>
            <w:tcW w:w="794" w:type="dxa"/>
            <w:tcBorders>
              <w:top w:val="single" w:sz="6" w:space="0" w:color="auto"/>
              <w:bottom w:val="single" w:sz="6" w:space="0" w:color="auto"/>
            </w:tcBorders>
          </w:tcPr>
          <w:p w14:paraId="3F38A99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2 698</w:t>
            </w:r>
          </w:p>
        </w:tc>
      </w:tr>
      <w:tr w:rsidR="009C6724" w14:paraId="7BE38110"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78B6EBFE" w14:textId="77777777" w:rsidR="00AB205D" w:rsidRDefault="00471A3B">
            <w:r>
              <w:rPr>
                <w:b/>
              </w:rPr>
              <w:t>Total superannuation (gain)/expense recognised in operating statement</w:t>
            </w:r>
          </w:p>
        </w:tc>
        <w:tc>
          <w:tcPr>
            <w:tcW w:w="794" w:type="dxa"/>
            <w:tcBorders>
              <w:top w:val="single" w:sz="6" w:space="0" w:color="auto"/>
              <w:bottom w:val="single" w:sz="12" w:space="0" w:color="auto"/>
            </w:tcBorders>
          </w:tcPr>
          <w:p w14:paraId="1C886EE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3 637</w:t>
            </w:r>
          </w:p>
        </w:tc>
        <w:tc>
          <w:tcPr>
            <w:tcW w:w="794" w:type="dxa"/>
            <w:tcBorders>
              <w:top w:val="single" w:sz="6" w:space="0" w:color="auto"/>
              <w:bottom w:val="single" w:sz="12" w:space="0" w:color="auto"/>
            </w:tcBorders>
          </w:tcPr>
          <w:p w14:paraId="39126E1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1 849</w:t>
            </w:r>
          </w:p>
        </w:tc>
        <w:tc>
          <w:tcPr>
            <w:tcW w:w="794" w:type="dxa"/>
            <w:tcBorders>
              <w:top w:val="single" w:sz="6" w:space="0" w:color="auto"/>
              <w:bottom w:val="single" w:sz="12" w:space="0" w:color="auto"/>
            </w:tcBorders>
          </w:tcPr>
          <w:p w14:paraId="1316B66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3 822</w:t>
            </w:r>
          </w:p>
        </w:tc>
        <w:tc>
          <w:tcPr>
            <w:tcW w:w="794" w:type="dxa"/>
            <w:tcBorders>
              <w:top w:val="single" w:sz="6" w:space="0" w:color="auto"/>
              <w:bottom w:val="single" w:sz="12" w:space="0" w:color="auto"/>
            </w:tcBorders>
          </w:tcPr>
          <w:p w14:paraId="6960A14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3 884</w:t>
            </w:r>
          </w:p>
        </w:tc>
        <w:tc>
          <w:tcPr>
            <w:tcW w:w="794" w:type="dxa"/>
            <w:tcBorders>
              <w:top w:val="single" w:sz="6" w:space="0" w:color="auto"/>
              <w:bottom w:val="single" w:sz="12" w:space="0" w:color="auto"/>
            </w:tcBorders>
          </w:tcPr>
          <w:p w14:paraId="3B16FC8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3 982</w:t>
            </w:r>
          </w:p>
        </w:tc>
      </w:tr>
      <w:tr w:rsidR="009C6724" w14:paraId="6E2EADAE"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61DB4CD4" w14:textId="77777777" w:rsidR="00AB205D" w:rsidRDefault="00471A3B">
            <w:r>
              <w:rPr>
                <w:b/>
              </w:rPr>
              <w:t>Represented by:</w:t>
            </w:r>
          </w:p>
        </w:tc>
        <w:tc>
          <w:tcPr>
            <w:tcW w:w="794" w:type="dxa"/>
            <w:tcBorders>
              <w:top w:val="single" w:sz="6" w:space="0" w:color="auto"/>
            </w:tcBorders>
          </w:tcPr>
          <w:p w14:paraId="351F5156"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0D800E70"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04B68907"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69B376B5"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24DDDB31"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0120F439"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0FC9E5F9" w14:textId="77777777" w:rsidR="00AB205D" w:rsidRDefault="00471A3B">
            <w:r>
              <w:t>Net superannuation interest expense</w:t>
            </w:r>
          </w:p>
        </w:tc>
        <w:tc>
          <w:tcPr>
            <w:tcW w:w="794" w:type="dxa"/>
          </w:tcPr>
          <w:p w14:paraId="4F883B60" w14:textId="77777777" w:rsidR="00AB205D" w:rsidRDefault="00471A3B">
            <w:pPr>
              <w:cnfStyle w:val="000000000000" w:firstRow="0" w:lastRow="0" w:firstColumn="0" w:lastColumn="0" w:oddVBand="0" w:evenVBand="0" w:oddHBand="0" w:evenHBand="0" w:firstRowFirstColumn="0" w:firstRowLastColumn="0" w:lastRowFirstColumn="0" w:lastRowLastColumn="0"/>
            </w:pPr>
            <w:r>
              <w:t>718</w:t>
            </w:r>
          </w:p>
        </w:tc>
        <w:tc>
          <w:tcPr>
            <w:tcW w:w="794" w:type="dxa"/>
          </w:tcPr>
          <w:p w14:paraId="385ABB60" w14:textId="77777777" w:rsidR="00AB205D" w:rsidRDefault="00471A3B">
            <w:pPr>
              <w:cnfStyle w:val="000000000000" w:firstRow="0" w:lastRow="0" w:firstColumn="0" w:lastColumn="0" w:oddVBand="0" w:evenVBand="0" w:oddHBand="0" w:evenHBand="0" w:firstRowFirstColumn="0" w:firstRowLastColumn="0" w:lastRowFirstColumn="0" w:lastRowLastColumn="0"/>
            </w:pPr>
            <w:r>
              <w:t>774</w:t>
            </w:r>
          </w:p>
        </w:tc>
        <w:tc>
          <w:tcPr>
            <w:tcW w:w="794" w:type="dxa"/>
          </w:tcPr>
          <w:p w14:paraId="0BD32220" w14:textId="77777777" w:rsidR="00AB205D" w:rsidRDefault="00471A3B">
            <w:pPr>
              <w:cnfStyle w:val="000000000000" w:firstRow="0" w:lastRow="0" w:firstColumn="0" w:lastColumn="0" w:oddVBand="0" w:evenVBand="0" w:oddHBand="0" w:evenHBand="0" w:firstRowFirstColumn="0" w:firstRowLastColumn="0" w:lastRowFirstColumn="0" w:lastRowLastColumn="0"/>
            </w:pPr>
            <w:r>
              <w:t>790</w:t>
            </w:r>
          </w:p>
        </w:tc>
        <w:tc>
          <w:tcPr>
            <w:tcW w:w="794" w:type="dxa"/>
          </w:tcPr>
          <w:p w14:paraId="3DD0EDB5" w14:textId="77777777" w:rsidR="00AB205D" w:rsidRDefault="00471A3B">
            <w:pPr>
              <w:cnfStyle w:val="000000000000" w:firstRow="0" w:lastRow="0" w:firstColumn="0" w:lastColumn="0" w:oddVBand="0" w:evenVBand="0" w:oddHBand="0" w:evenHBand="0" w:firstRowFirstColumn="0" w:firstRowLastColumn="0" w:lastRowFirstColumn="0" w:lastRowLastColumn="0"/>
            </w:pPr>
            <w:r>
              <w:t>796</w:t>
            </w:r>
          </w:p>
        </w:tc>
        <w:tc>
          <w:tcPr>
            <w:tcW w:w="794" w:type="dxa"/>
          </w:tcPr>
          <w:p w14:paraId="133C088E" w14:textId="77777777" w:rsidR="00AB205D" w:rsidRDefault="00471A3B">
            <w:pPr>
              <w:cnfStyle w:val="000000000000" w:firstRow="0" w:lastRow="0" w:firstColumn="0" w:lastColumn="0" w:oddVBand="0" w:evenVBand="0" w:oddHBand="0" w:evenHBand="0" w:firstRowFirstColumn="0" w:firstRowLastColumn="0" w:lastRowFirstColumn="0" w:lastRowLastColumn="0"/>
            </w:pPr>
            <w:r>
              <w:t>806</w:t>
            </w:r>
          </w:p>
        </w:tc>
      </w:tr>
      <w:tr w:rsidR="009C6724" w14:paraId="4ADB2491"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6845F0DE" w14:textId="77777777" w:rsidR="00AB205D" w:rsidRDefault="00471A3B">
            <w:r>
              <w:t>Other superannuation</w:t>
            </w:r>
          </w:p>
        </w:tc>
        <w:tc>
          <w:tcPr>
            <w:tcW w:w="794" w:type="dxa"/>
            <w:tcBorders>
              <w:bottom w:val="single" w:sz="6" w:space="0" w:color="auto"/>
            </w:tcBorders>
          </w:tcPr>
          <w:p w14:paraId="5E365D66" w14:textId="77777777" w:rsidR="00AB205D" w:rsidRDefault="00471A3B">
            <w:pPr>
              <w:cnfStyle w:val="000000000000" w:firstRow="0" w:lastRow="0" w:firstColumn="0" w:lastColumn="0" w:oddVBand="0" w:evenVBand="0" w:oddHBand="0" w:evenHBand="0" w:firstRowFirstColumn="0" w:firstRowLastColumn="0" w:lastRowFirstColumn="0" w:lastRowLastColumn="0"/>
            </w:pPr>
            <w:r>
              <w:t>3 771</w:t>
            </w:r>
          </w:p>
        </w:tc>
        <w:tc>
          <w:tcPr>
            <w:tcW w:w="794" w:type="dxa"/>
            <w:tcBorders>
              <w:bottom w:val="single" w:sz="6" w:space="0" w:color="auto"/>
            </w:tcBorders>
          </w:tcPr>
          <w:p w14:paraId="66A9F4CF" w14:textId="77777777" w:rsidR="00AB205D" w:rsidRDefault="00471A3B">
            <w:pPr>
              <w:cnfStyle w:val="000000000000" w:firstRow="0" w:lastRow="0" w:firstColumn="0" w:lastColumn="0" w:oddVBand="0" w:evenVBand="0" w:oddHBand="0" w:evenHBand="0" w:firstRowFirstColumn="0" w:firstRowLastColumn="0" w:lastRowFirstColumn="0" w:lastRowLastColumn="0"/>
            </w:pPr>
            <w:r>
              <w:t>3 617</w:t>
            </w:r>
          </w:p>
        </w:tc>
        <w:tc>
          <w:tcPr>
            <w:tcW w:w="794" w:type="dxa"/>
            <w:tcBorders>
              <w:bottom w:val="single" w:sz="6" w:space="0" w:color="auto"/>
            </w:tcBorders>
          </w:tcPr>
          <w:p w14:paraId="2121927A" w14:textId="77777777" w:rsidR="00AB205D" w:rsidRDefault="00471A3B">
            <w:pPr>
              <w:cnfStyle w:val="000000000000" w:firstRow="0" w:lastRow="0" w:firstColumn="0" w:lastColumn="0" w:oddVBand="0" w:evenVBand="0" w:oddHBand="0" w:evenHBand="0" w:firstRowFirstColumn="0" w:firstRowLastColumn="0" w:lastRowFirstColumn="0" w:lastRowLastColumn="0"/>
            </w:pPr>
            <w:r>
              <w:t>3 599</w:t>
            </w:r>
          </w:p>
        </w:tc>
        <w:tc>
          <w:tcPr>
            <w:tcW w:w="794" w:type="dxa"/>
            <w:tcBorders>
              <w:bottom w:val="single" w:sz="6" w:space="0" w:color="auto"/>
            </w:tcBorders>
          </w:tcPr>
          <w:p w14:paraId="1FFD0DAA" w14:textId="77777777" w:rsidR="00AB205D" w:rsidRDefault="00471A3B">
            <w:pPr>
              <w:cnfStyle w:val="000000000000" w:firstRow="0" w:lastRow="0" w:firstColumn="0" w:lastColumn="0" w:oddVBand="0" w:evenVBand="0" w:oddHBand="0" w:evenHBand="0" w:firstRowFirstColumn="0" w:firstRowLastColumn="0" w:lastRowFirstColumn="0" w:lastRowLastColumn="0"/>
            </w:pPr>
            <w:r>
              <w:t>3 637</w:t>
            </w:r>
          </w:p>
        </w:tc>
        <w:tc>
          <w:tcPr>
            <w:tcW w:w="794" w:type="dxa"/>
            <w:tcBorders>
              <w:bottom w:val="single" w:sz="6" w:space="0" w:color="auto"/>
            </w:tcBorders>
          </w:tcPr>
          <w:p w14:paraId="4A020734" w14:textId="77777777" w:rsidR="00AB205D" w:rsidRDefault="00471A3B">
            <w:pPr>
              <w:cnfStyle w:val="000000000000" w:firstRow="0" w:lastRow="0" w:firstColumn="0" w:lastColumn="0" w:oddVBand="0" w:evenVBand="0" w:oddHBand="0" w:evenHBand="0" w:firstRowFirstColumn="0" w:firstRowLastColumn="0" w:lastRowFirstColumn="0" w:lastRowLastColumn="0"/>
            </w:pPr>
            <w:r>
              <w:t>3 704</w:t>
            </w:r>
          </w:p>
        </w:tc>
      </w:tr>
      <w:tr w:rsidR="009C6724" w14:paraId="007723A4"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54169DE0" w14:textId="77777777" w:rsidR="00AB205D" w:rsidRDefault="00471A3B">
            <w:r>
              <w:rPr>
                <w:b/>
              </w:rPr>
              <w:t>Superannuation expense from transactions</w:t>
            </w:r>
          </w:p>
        </w:tc>
        <w:tc>
          <w:tcPr>
            <w:tcW w:w="794" w:type="dxa"/>
            <w:tcBorders>
              <w:top w:val="single" w:sz="6" w:space="0" w:color="auto"/>
              <w:bottom w:val="single" w:sz="6" w:space="0" w:color="auto"/>
            </w:tcBorders>
          </w:tcPr>
          <w:p w14:paraId="02B373F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4 489</w:t>
            </w:r>
          </w:p>
        </w:tc>
        <w:tc>
          <w:tcPr>
            <w:tcW w:w="794" w:type="dxa"/>
            <w:tcBorders>
              <w:top w:val="single" w:sz="6" w:space="0" w:color="auto"/>
              <w:bottom w:val="single" w:sz="6" w:space="0" w:color="auto"/>
            </w:tcBorders>
          </w:tcPr>
          <w:p w14:paraId="3975940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4 391</w:t>
            </w:r>
          </w:p>
        </w:tc>
        <w:tc>
          <w:tcPr>
            <w:tcW w:w="794" w:type="dxa"/>
            <w:tcBorders>
              <w:top w:val="single" w:sz="6" w:space="0" w:color="auto"/>
              <w:bottom w:val="single" w:sz="6" w:space="0" w:color="auto"/>
            </w:tcBorders>
          </w:tcPr>
          <w:p w14:paraId="6EBD296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4 389</w:t>
            </w:r>
          </w:p>
        </w:tc>
        <w:tc>
          <w:tcPr>
            <w:tcW w:w="794" w:type="dxa"/>
            <w:tcBorders>
              <w:top w:val="single" w:sz="6" w:space="0" w:color="auto"/>
              <w:bottom w:val="single" w:sz="6" w:space="0" w:color="auto"/>
            </w:tcBorders>
          </w:tcPr>
          <w:p w14:paraId="69E99F1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4 433</w:t>
            </w:r>
          </w:p>
        </w:tc>
        <w:tc>
          <w:tcPr>
            <w:tcW w:w="794" w:type="dxa"/>
            <w:tcBorders>
              <w:top w:val="single" w:sz="6" w:space="0" w:color="auto"/>
              <w:bottom w:val="single" w:sz="6" w:space="0" w:color="auto"/>
            </w:tcBorders>
          </w:tcPr>
          <w:p w14:paraId="428842C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4 510</w:t>
            </w:r>
          </w:p>
        </w:tc>
      </w:tr>
      <w:tr w:rsidR="009C6724" w14:paraId="238E996C"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759EFF66" w14:textId="77777777" w:rsidR="00AB205D" w:rsidRDefault="00471A3B">
            <w:r>
              <w:rPr>
                <w:b/>
              </w:rPr>
              <w:t>Remeasurements recognised in other comprehensive income</w:t>
            </w:r>
          </w:p>
        </w:tc>
        <w:tc>
          <w:tcPr>
            <w:tcW w:w="794" w:type="dxa"/>
            <w:tcBorders>
              <w:top w:val="single" w:sz="6" w:space="0" w:color="auto"/>
              <w:bottom w:val="single" w:sz="6" w:space="0" w:color="auto"/>
            </w:tcBorders>
          </w:tcPr>
          <w:p w14:paraId="6FB8EE6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(852)</w:t>
            </w:r>
          </w:p>
        </w:tc>
        <w:tc>
          <w:tcPr>
            <w:tcW w:w="794" w:type="dxa"/>
            <w:tcBorders>
              <w:top w:val="single" w:sz="6" w:space="0" w:color="auto"/>
              <w:bottom w:val="single" w:sz="6" w:space="0" w:color="auto"/>
            </w:tcBorders>
          </w:tcPr>
          <w:p w14:paraId="249FD97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(2 541)</w:t>
            </w:r>
          </w:p>
        </w:tc>
        <w:tc>
          <w:tcPr>
            <w:tcW w:w="794" w:type="dxa"/>
            <w:tcBorders>
              <w:top w:val="single" w:sz="6" w:space="0" w:color="auto"/>
              <w:bottom w:val="single" w:sz="6" w:space="0" w:color="auto"/>
            </w:tcBorders>
          </w:tcPr>
          <w:p w14:paraId="236571A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(567)</w:t>
            </w:r>
          </w:p>
        </w:tc>
        <w:tc>
          <w:tcPr>
            <w:tcW w:w="794" w:type="dxa"/>
            <w:tcBorders>
              <w:top w:val="single" w:sz="6" w:space="0" w:color="auto"/>
              <w:bottom w:val="single" w:sz="6" w:space="0" w:color="auto"/>
            </w:tcBorders>
          </w:tcPr>
          <w:p w14:paraId="05C711C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(549)</w:t>
            </w:r>
          </w:p>
        </w:tc>
        <w:tc>
          <w:tcPr>
            <w:tcW w:w="794" w:type="dxa"/>
            <w:tcBorders>
              <w:top w:val="single" w:sz="6" w:space="0" w:color="auto"/>
              <w:bottom w:val="single" w:sz="6" w:space="0" w:color="auto"/>
            </w:tcBorders>
          </w:tcPr>
          <w:p w14:paraId="4102CD6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(528)</w:t>
            </w:r>
          </w:p>
        </w:tc>
      </w:tr>
      <w:tr w:rsidR="009C6724" w14:paraId="393957BB"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30A09622" w14:textId="77777777" w:rsidR="00AB205D" w:rsidRDefault="00471A3B">
            <w:r>
              <w:rPr>
                <w:b/>
              </w:rPr>
              <w:t>Total superannuation expense recognised in operating statement</w:t>
            </w:r>
          </w:p>
        </w:tc>
        <w:tc>
          <w:tcPr>
            <w:tcW w:w="794" w:type="dxa"/>
            <w:tcBorders>
              <w:top w:val="single" w:sz="6" w:space="0" w:color="auto"/>
              <w:bottom w:val="single" w:sz="12" w:space="0" w:color="auto"/>
            </w:tcBorders>
          </w:tcPr>
          <w:p w14:paraId="1BAC5E4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3 637</w:t>
            </w:r>
          </w:p>
        </w:tc>
        <w:tc>
          <w:tcPr>
            <w:tcW w:w="794" w:type="dxa"/>
            <w:tcBorders>
              <w:top w:val="single" w:sz="6" w:space="0" w:color="auto"/>
              <w:bottom w:val="single" w:sz="12" w:space="0" w:color="auto"/>
            </w:tcBorders>
          </w:tcPr>
          <w:p w14:paraId="3EA9D86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1 849</w:t>
            </w:r>
          </w:p>
        </w:tc>
        <w:tc>
          <w:tcPr>
            <w:tcW w:w="794" w:type="dxa"/>
            <w:tcBorders>
              <w:top w:val="single" w:sz="6" w:space="0" w:color="auto"/>
              <w:bottom w:val="single" w:sz="12" w:space="0" w:color="auto"/>
            </w:tcBorders>
          </w:tcPr>
          <w:p w14:paraId="14DEF47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3 822</w:t>
            </w:r>
          </w:p>
        </w:tc>
        <w:tc>
          <w:tcPr>
            <w:tcW w:w="794" w:type="dxa"/>
            <w:tcBorders>
              <w:top w:val="single" w:sz="6" w:space="0" w:color="auto"/>
              <w:bottom w:val="single" w:sz="12" w:space="0" w:color="auto"/>
            </w:tcBorders>
          </w:tcPr>
          <w:p w14:paraId="4855D41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3 884</w:t>
            </w:r>
          </w:p>
        </w:tc>
        <w:tc>
          <w:tcPr>
            <w:tcW w:w="794" w:type="dxa"/>
            <w:tcBorders>
              <w:top w:val="single" w:sz="6" w:space="0" w:color="auto"/>
              <w:bottom w:val="single" w:sz="12" w:space="0" w:color="auto"/>
            </w:tcBorders>
          </w:tcPr>
          <w:p w14:paraId="1FB68C8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3 982</w:t>
            </w:r>
          </w:p>
        </w:tc>
      </w:tr>
    </w:tbl>
    <w:p w14:paraId="67E7681D" w14:textId="77777777" w:rsidR="00AB205D" w:rsidRPr="008329E1" w:rsidRDefault="00471A3B">
      <w:pPr>
        <w:pageBreakBefore/>
      </w:pPr>
      <w:r w:rsidRPr="008329E1">
        <w:lastRenderedPageBreak/>
        <w:t xml:space="preserve">The accounting policies relating to superannuation expenses and liabilities are consistent with the </w:t>
      </w:r>
      <w:r w:rsidRPr="008329E1">
        <w:rPr>
          <w:i/>
        </w:rPr>
        <w:t>202</w:t>
      </w:r>
      <w:r>
        <w:rPr>
          <w:i/>
        </w:rPr>
        <w:t>3</w:t>
      </w:r>
      <w:r>
        <w:rPr>
          <w:i/>
        </w:rPr>
        <w:noBreakHyphen/>
        <w:t>24</w:t>
      </w:r>
      <w:r w:rsidRPr="008329E1">
        <w:rPr>
          <w:i/>
        </w:rPr>
        <w:t xml:space="preserve"> Budget</w:t>
      </w:r>
      <w:r w:rsidRPr="008329E1">
        <w:t>. However, the forecast assumptions have been revised for each relevant defined benefit superannuation scheme as in the following table.</w:t>
      </w:r>
    </w:p>
    <w:p w14:paraId="33920FCE" w14:textId="77777777" w:rsidR="00AB205D" w:rsidRDefault="00471A3B">
      <w:pPr>
        <w:pStyle w:val="TableHeading"/>
      </w:pPr>
      <w:r w:rsidRPr="008329E1">
        <w:t>Superannuation assumptions</w:t>
      </w:r>
      <w:r w:rsidRPr="008329E1">
        <w:tab/>
        <w:t>(per cent)</w:t>
      </w:r>
    </w:p>
    <w:tbl>
      <w:tblPr>
        <w:tblStyle w:val="DTFTableNumeric"/>
        <w:tblW w:w="7710" w:type="dxa"/>
        <w:tblLayout w:type="fixed"/>
        <w:tblLook w:val="06A0" w:firstRow="1" w:lastRow="0" w:firstColumn="1" w:lastColumn="0" w:noHBand="1" w:noVBand="1"/>
      </w:tblPr>
      <w:tblGrid>
        <w:gridCol w:w="6663"/>
        <w:gridCol w:w="1047"/>
      </w:tblGrid>
      <w:tr w:rsidR="009C6724" w14:paraId="7003B977"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663" w:type="dxa"/>
          </w:tcPr>
          <w:p w14:paraId="05752190" w14:textId="77777777" w:rsidR="00AB205D" w:rsidRDefault="00471A3B">
            <w:r>
              <w:t>Underlying assumptions for all listed schemes</w:t>
            </w:r>
            <w:r>
              <w:rPr>
                <w:vertAlign w:val="superscript"/>
              </w:rPr>
              <w:t xml:space="preserve"> (a)</w:t>
            </w:r>
          </w:p>
        </w:tc>
        <w:tc>
          <w:tcPr>
            <w:tcW w:w="1047" w:type="dxa"/>
          </w:tcPr>
          <w:p w14:paraId="79954EFA" w14:textId="77777777" w:rsidR="00AB205D" w:rsidRDefault="00AB205D">
            <w:pPr>
              <w:cnfStyle w:val="100000000000" w:firstRow="1" w:lastRow="0" w:firstColumn="0" w:lastColumn="0" w:oddVBand="0" w:evenVBand="0" w:oddHBand="0" w:evenHBand="0" w:firstRowFirstColumn="0" w:firstRowLastColumn="0" w:lastRowFirstColumn="0" w:lastRowLastColumn="0"/>
            </w:pPr>
          </w:p>
        </w:tc>
      </w:tr>
      <w:tr w:rsidR="009C6724" w14:paraId="4220DB73" w14:textId="77777777" w:rsidTr="009C6724">
        <w:tc>
          <w:tcPr>
            <w:cnfStyle w:val="001000000000" w:firstRow="0" w:lastRow="0" w:firstColumn="1" w:lastColumn="0" w:oddVBand="0" w:evenVBand="0" w:oddHBand="0" w:evenHBand="0" w:firstRowFirstColumn="0" w:firstRowLastColumn="0" w:lastRowFirstColumn="0" w:lastRowLastColumn="0"/>
            <w:tcW w:w="6663" w:type="dxa"/>
          </w:tcPr>
          <w:p w14:paraId="59EEF2C1" w14:textId="77777777" w:rsidR="00AB205D" w:rsidRDefault="00471A3B">
            <w:r>
              <w:t xml:space="preserve">Discount rate </w:t>
            </w:r>
            <w:r>
              <w:rPr>
                <w:vertAlign w:val="superscript"/>
              </w:rPr>
              <w:t>(b)</w:t>
            </w:r>
          </w:p>
        </w:tc>
        <w:tc>
          <w:tcPr>
            <w:tcW w:w="1047" w:type="dxa"/>
          </w:tcPr>
          <w:p w14:paraId="3EE3BEF0" w14:textId="77777777" w:rsidR="00AB205D" w:rsidRDefault="00471A3B">
            <w:pPr>
              <w:cnfStyle w:val="000000000000" w:firstRow="0" w:lastRow="0" w:firstColumn="0" w:lastColumn="0" w:oddVBand="0" w:evenVBand="0" w:oddHBand="0" w:evenHBand="0" w:firstRowFirstColumn="0" w:firstRowLastColumn="0" w:lastRowFirstColumn="0" w:lastRowLastColumn="0"/>
            </w:pPr>
            <w:r>
              <w:t>4.6</w:t>
            </w:r>
          </w:p>
        </w:tc>
      </w:tr>
      <w:tr w:rsidR="009C6724" w14:paraId="1A2A62B4" w14:textId="77777777" w:rsidTr="009C6724">
        <w:tc>
          <w:tcPr>
            <w:cnfStyle w:val="001000000000" w:firstRow="0" w:lastRow="0" w:firstColumn="1" w:lastColumn="0" w:oddVBand="0" w:evenVBand="0" w:oddHBand="0" w:evenHBand="0" w:firstRowFirstColumn="0" w:firstRowLastColumn="0" w:lastRowFirstColumn="0" w:lastRowLastColumn="0"/>
            <w:tcW w:w="6663" w:type="dxa"/>
          </w:tcPr>
          <w:p w14:paraId="018F9197" w14:textId="77777777" w:rsidR="00AB205D" w:rsidRDefault="00471A3B">
            <w:r>
              <w:t xml:space="preserve">Wages growth </w:t>
            </w:r>
            <w:r>
              <w:rPr>
                <w:vertAlign w:val="superscript"/>
              </w:rPr>
              <w:t>(c)</w:t>
            </w:r>
          </w:p>
        </w:tc>
        <w:tc>
          <w:tcPr>
            <w:tcW w:w="1047" w:type="dxa"/>
          </w:tcPr>
          <w:p w14:paraId="7BD0F3EA" w14:textId="77777777" w:rsidR="00AB205D" w:rsidRDefault="00471A3B">
            <w:pPr>
              <w:cnfStyle w:val="000000000000" w:firstRow="0" w:lastRow="0" w:firstColumn="0" w:lastColumn="0" w:oddVBand="0" w:evenVBand="0" w:oddHBand="0" w:evenHBand="0" w:firstRowFirstColumn="0" w:firstRowLastColumn="0" w:lastRowFirstColumn="0" w:lastRowLastColumn="0"/>
            </w:pPr>
            <w:r>
              <w:t>3.3</w:t>
            </w:r>
          </w:p>
        </w:tc>
      </w:tr>
      <w:tr w:rsidR="009C6724" w14:paraId="3CCB1E18" w14:textId="77777777" w:rsidTr="009C6724">
        <w:tc>
          <w:tcPr>
            <w:cnfStyle w:val="001000000000" w:firstRow="0" w:lastRow="0" w:firstColumn="1" w:lastColumn="0" w:oddVBand="0" w:evenVBand="0" w:oddHBand="0" w:evenHBand="0" w:firstRowFirstColumn="0" w:firstRowLastColumn="0" w:lastRowFirstColumn="0" w:lastRowLastColumn="0"/>
            <w:tcW w:w="6663" w:type="dxa"/>
          </w:tcPr>
          <w:p w14:paraId="67195ACC" w14:textId="77777777" w:rsidR="00AB205D" w:rsidRDefault="00471A3B">
            <w:r>
              <w:t xml:space="preserve">Inflation rate </w:t>
            </w:r>
            <w:r>
              <w:rPr>
                <w:vertAlign w:val="superscript"/>
              </w:rPr>
              <w:t>(c)(d)</w:t>
            </w:r>
          </w:p>
        </w:tc>
        <w:tc>
          <w:tcPr>
            <w:tcW w:w="1047" w:type="dxa"/>
          </w:tcPr>
          <w:p w14:paraId="52BD21EB" w14:textId="77777777" w:rsidR="00AB205D" w:rsidRDefault="00471A3B">
            <w:pPr>
              <w:cnfStyle w:val="000000000000" w:firstRow="0" w:lastRow="0" w:firstColumn="0" w:lastColumn="0" w:oddVBand="0" w:evenVBand="0" w:oddHBand="0" w:evenHBand="0" w:firstRowFirstColumn="0" w:firstRowLastColumn="0" w:lastRowFirstColumn="0" w:lastRowLastColumn="0"/>
            </w:pPr>
            <w:r>
              <w:t>2.5</w:t>
            </w:r>
          </w:p>
        </w:tc>
      </w:tr>
      <w:tr w:rsidR="009C6724" w14:paraId="22F31DA5" w14:textId="77777777" w:rsidTr="009C6724">
        <w:tc>
          <w:tcPr>
            <w:cnfStyle w:val="001000000000" w:firstRow="0" w:lastRow="0" w:firstColumn="1" w:lastColumn="0" w:oddVBand="0" w:evenVBand="0" w:oddHBand="0" w:evenHBand="0" w:firstRowFirstColumn="0" w:firstRowLastColumn="0" w:lastRowFirstColumn="0" w:lastRowLastColumn="0"/>
            <w:tcW w:w="6663" w:type="dxa"/>
            <w:shd w:val="clear" w:color="auto" w:fill="000000" w:themeFill="text1"/>
          </w:tcPr>
          <w:p w14:paraId="574E63DF" w14:textId="77777777" w:rsidR="00AB205D" w:rsidRPr="00D45A2B" w:rsidRDefault="00471A3B">
            <w:pPr>
              <w:rPr>
                <w:i/>
                <w:iCs/>
              </w:rPr>
            </w:pPr>
            <w:r w:rsidRPr="00D45A2B">
              <w:rPr>
                <w:i/>
                <w:iCs/>
              </w:rPr>
              <w:t xml:space="preserve">Expected return on assets </w:t>
            </w:r>
            <w:r w:rsidRPr="004F2A3C">
              <w:rPr>
                <w:i/>
                <w:iCs/>
                <w:vertAlign w:val="superscript"/>
              </w:rPr>
              <w:t>(e)</w:t>
            </w:r>
          </w:p>
        </w:tc>
        <w:tc>
          <w:tcPr>
            <w:tcW w:w="1047" w:type="dxa"/>
            <w:shd w:val="clear" w:color="auto" w:fill="000000" w:themeFill="text1"/>
          </w:tcPr>
          <w:p w14:paraId="755A4417"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6E706C43" w14:textId="77777777" w:rsidTr="009C6724">
        <w:tc>
          <w:tcPr>
            <w:cnfStyle w:val="001000000000" w:firstRow="0" w:lastRow="0" w:firstColumn="1" w:lastColumn="0" w:oddVBand="0" w:evenVBand="0" w:oddHBand="0" w:evenHBand="0" w:firstRowFirstColumn="0" w:firstRowLastColumn="0" w:lastRowFirstColumn="0" w:lastRowLastColumn="0"/>
            <w:tcW w:w="6663" w:type="dxa"/>
          </w:tcPr>
          <w:p w14:paraId="63C4FD02" w14:textId="77777777" w:rsidR="00AB205D" w:rsidRDefault="00471A3B">
            <w:r>
              <w:t>Emergency Services and State Super</w:t>
            </w:r>
          </w:p>
        </w:tc>
        <w:tc>
          <w:tcPr>
            <w:tcW w:w="1047" w:type="dxa"/>
          </w:tcPr>
          <w:p w14:paraId="172B2D2A" w14:textId="77777777" w:rsidR="00AB205D" w:rsidRDefault="00471A3B">
            <w:pPr>
              <w:cnfStyle w:val="000000000000" w:firstRow="0" w:lastRow="0" w:firstColumn="0" w:lastColumn="0" w:oddVBand="0" w:evenVBand="0" w:oddHBand="0" w:evenHBand="0" w:firstRowFirstColumn="0" w:firstRowLastColumn="0" w:lastRowFirstColumn="0" w:lastRowLastColumn="0"/>
            </w:pPr>
            <w:r>
              <w:t>7.0</w:t>
            </w:r>
          </w:p>
        </w:tc>
      </w:tr>
      <w:tr w:rsidR="009C6724" w14:paraId="6A8BA9D4" w14:textId="77777777" w:rsidTr="009C6724">
        <w:tc>
          <w:tcPr>
            <w:cnfStyle w:val="001000000000" w:firstRow="0" w:lastRow="0" w:firstColumn="1" w:lastColumn="0" w:oddVBand="0" w:evenVBand="0" w:oddHBand="0" w:evenHBand="0" w:firstRowFirstColumn="0" w:firstRowLastColumn="0" w:lastRowFirstColumn="0" w:lastRowLastColumn="0"/>
            <w:tcW w:w="6663" w:type="dxa"/>
          </w:tcPr>
          <w:p w14:paraId="69F63588" w14:textId="77777777" w:rsidR="00AB205D" w:rsidRDefault="00471A3B">
            <w:r>
              <w:t>Health Super Fund Defined Benefit Scheme</w:t>
            </w:r>
          </w:p>
        </w:tc>
        <w:tc>
          <w:tcPr>
            <w:tcW w:w="1047" w:type="dxa"/>
          </w:tcPr>
          <w:p w14:paraId="25709187" w14:textId="77777777" w:rsidR="00AB205D" w:rsidRDefault="00471A3B">
            <w:pPr>
              <w:cnfStyle w:val="000000000000" w:firstRow="0" w:lastRow="0" w:firstColumn="0" w:lastColumn="0" w:oddVBand="0" w:evenVBand="0" w:oddHBand="0" w:evenHBand="0" w:firstRowFirstColumn="0" w:firstRowLastColumn="0" w:lastRowFirstColumn="0" w:lastRowLastColumn="0"/>
            </w:pPr>
            <w:r>
              <w:t>5.0</w:t>
            </w:r>
          </w:p>
        </w:tc>
      </w:tr>
      <w:tr w:rsidR="009C6724" w14:paraId="5CF603ED" w14:textId="77777777" w:rsidTr="009C6724">
        <w:tc>
          <w:tcPr>
            <w:cnfStyle w:val="001000000000" w:firstRow="0" w:lastRow="0" w:firstColumn="1" w:lastColumn="0" w:oddVBand="0" w:evenVBand="0" w:oddHBand="0" w:evenHBand="0" w:firstRowFirstColumn="0" w:firstRowLastColumn="0" w:lastRowFirstColumn="0" w:lastRowLastColumn="0"/>
            <w:tcW w:w="6663" w:type="dxa"/>
            <w:tcBorders>
              <w:bottom w:val="single" w:sz="12" w:space="0" w:color="auto"/>
            </w:tcBorders>
          </w:tcPr>
          <w:p w14:paraId="0AFF164A" w14:textId="77777777" w:rsidR="00AB205D" w:rsidRDefault="00471A3B">
            <w:r>
              <w:t xml:space="preserve">Constitutionally protected schemes </w:t>
            </w:r>
            <w:r>
              <w:rPr>
                <w:vertAlign w:val="superscript"/>
              </w:rPr>
              <w:t>(f)</w:t>
            </w:r>
          </w:p>
        </w:tc>
        <w:tc>
          <w:tcPr>
            <w:tcW w:w="1047" w:type="dxa"/>
            <w:tcBorders>
              <w:bottom w:val="single" w:sz="12" w:space="0" w:color="auto"/>
            </w:tcBorders>
          </w:tcPr>
          <w:p w14:paraId="7706DA6A" w14:textId="55F2836B" w:rsidR="00AB205D" w:rsidRDefault="00471A3B">
            <w:pPr>
              <w:cnfStyle w:val="000000000000" w:firstRow="0" w:lastRow="0" w:firstColumn="0" w:lastColumn="0" w:oddVBand="0" w:evenVBand="0" w:oddHBand="0" w:evenHBand="0" w:firstRowFirstColumn="0" w:firstRowLastColumn="0" w:lastRowFirstColumn="0" w:lastRowLastColumn="0"/>
            </w:pPr>
            <w:r>
              <w:t>n</w:t>
            </w:r>
            <w:r w:rsidR="00117A92">
              <w:t>.a.</w:t>
            </w:r>
          </w:p>
        </w:tc>
      </w:tr>
    </w:tbl>
    <w:p w14:paraId="650178D5" w14:textId="77777777" w:rsidR="00AB205D" w:rsidRPr="00FC6AC0" w:rsidRDefault="00471A3B">
      <w:pPr>
        <w:pStyle w:val="Note"/>
      </w:pPr>
      <w:r w:rsidRPr="00FC6AC0">
        <w:t>Notes:</w:t>
      </w:r>
    </w:p>
    <w:p w14:paraId="04856623" w14:textId="77777777" w:rsidR="00AB205D" w:rsidRPr="00FC6AC0" w:rsidRDefault="00471A3B">
      <w:pPr>
        <w:pStyle w:val="Note"/>
      </w:pPr>
      <w:r w:rsidRPr="00FC6AC0">
        <w:t>(a)</w:t>
      </w:r>
      <w:r w:rsidRPr="00FC6AC0">
        <w:tab/>
        <w:t>All rates are nominal annual rates and are applicable to all the listed schemes.</w:t>
      </w:r>
    </w:p>
    <w:p w14:paraId="0CAC0FA1" w14:textId="77777777" w:rsidR="00AB205D" w:rsidRPr="00FC6AC0" w:rsidRDefault="00471A3B">
      <w:pPr>
        <w:pStyle w:val="Note"/>
      </w:pPr>
      <w:r w:rsidRPr="00FC6AC0">
        <w:t>(b)</w:t>
      </w:r>
      <w:r w:rsidRPr="00FC6AC0">
        <w:tab/>
        <w:t>The discount rate is based on a long</w:t>
      </w:r>
      <w:r>
        <w:noBreakHyphen/>
      </w:r>
      <w:r w:rsidRPr="00FC6AC0">
        <w:t>term fixed interest Commonwealth bond rate. The rate stated above is an annual effective rate, gross of tax.</w:t>
      </w:r>
    </w:p>
    <w:p w14:paraId="3FE04ED5" w14:textId="77777777" w:rsidR="00AB205D" w:rsidRPr="00FC6AC0" w:rsidRDefault="00471A3B">
      <w:pPr>
        <w:pStyle w:val="Note"/>
      </w:pPr>
      <w:r w:rsidRPr="00FC6AC0">
        <w:t>(c)</w:t>
      </w:r>
      <w:r w:rsidRPr="00FC6AC0">
        <w:tab/>
      </w:r>
      <w:r>
        <w:t>The wages growth and inflation rates, for both salary and pension increases, assumed by the actuary are based on the experience of the fund along with long</w:t>
      </w:r>
      <w:r>
        <w:noBreakHyphen/>
        <w:t>term economic and market indicators.</w:t>
      </w:r>
    </w:p>
    <w:p w14:paraId="1B3D15D3" w14:textId="77777777" w:rsidR="00AB205D" w:rsidRPr="00FC6AC0" w:rsidRDefault="00471A3B">
      <w:pPr>
        <w:pStyle w:val="Note"/>
      </w:pPr>
      <w:r w:rsidRPr="00FC6AC0">
        <w:t>(d)</w:t>
      </w:r>
      <w:r w:rsidRPr="00FC6AC0">
        <w:tab/>
      </w:r>
      <w:r>
        <w:t xml:space="preserve"> The superannuation assumptions are determined in accordance with AASB 119 </w:t>
      </w:r>
      <w:r w:rsidRPr="00621A21">
        <w:rPr>
          <w:i w:val="0"/>
        </w:rPr>
        <w:t>Employee Benefits</w:t>
      </w:r>
      <w:r>
        <w:t>.</w:t>
      </w:r>
    </w:p>
    <w:p w14:paraId="117B0E55" w14:textId="77777777" w:rsidR="00AB205D" w:rsidRPr="00FC6AC0" w:rsidRDefault="00471A3B">
      <w:pPr>
        <w:pStyle w:val="Note"/>
      </w:pPr>
      <w:r w:rsidRPr="00FC6AC0">
        <w:t>(e)</w:t>
      </w:r>
      <w:r w:rsidRPr="00FC6AC0">
        <w:tab/>
        <w:t xml:space="preserve">The expected return on assets stated is gross of tax. Estimated tax payments are explicitly allowed for in the calculation process. </w:t>
      </w:r>
    </w:p>
    <w:p w14:paraId="38E17BB7" w14:textId="77777777" w:rsidR="00AB205D" w:rsidRPr="00FC6AC0" w:rsidRDefault="00471A3B">
      <w:pPr>
        <w:pStyle w:val="Note"/>
      </w:pPr>
      <w:r w:rsidRPr="00FC6AC0">
        <w:t>(f)</w:t>
      </w:r>
      <w:r w:rsidRPr="00FC6AC0">
        <w:tab/>
        <w:t>Pensions payable from constitutionally protected schemes are paid from the Consolidated Fund. These schemes hold no assets, so</w:t>
      </w:r>
      <w:r>
        <w:t> </w:t>
      </w:r>
      <w:r w:rsidRPr="00FC6AC0">
        <w:t>there is no expected return on assets.</w:t>
      </w:r>
    </w:p>
    <w:p w14:paraId="3D53F518" w14:textId="55469AC0" w:rsidR="00AB205D" w:rsidRDefault="00AB205D"/>
    <w:p w14:paraId="10AB9231" w14:textId="77777777" w:rsidR="00FA005E" w:rsidRPr="00FC6AC0" w:rsidRDefault="00FA005E"/>
    <w:p w14:paraId="58EE7CD9" w14:textId="77777777" w:rsidR="00AB205D" w:rsidRPr="000A6E7A" w:rsidRDefault="00471A3B">
      <w:pPr>
        <w:pStyle w:val="Heading3"/>
        <w:rPr>
          <w:sz w:val="21"/>
          <w:szCs w:val="21"/>
        </w:rPr>
      </w:pPr>
      <w:bookmarkStart w:id="53" w:name="_Toc149221030"/>
      <w:r w:rsidRPr="000A6E7A">
        <w:rPr>
          <w:sz w:val="21"/>
          <w:szCs w:val="21"/>
        </w:rPr>
        <w:t>Grant expense</w:t>
      </w:r>
      <w:r w:rsidRPr="000A6E7A">
        <w:rPr>
          <w:sz w:val="21"/>
          <w:szCs w:val="21"/>
        </w:rPr>
        <w:tab/>
        <w:t>($ million)</w:t>
      </w:r>
      <w:bookmarkEnd w:id="53"/>
    </w:p>
    <w:tbl>
      <w:tblPr>
        <w:tblStyle w:val="DTFTableNumeric"/>
        <w:tblW w:w="7710" w:type="dxa"/>
        <w:tblLayout w:type="fixed"/>
        <w:tblLook w:val="06A0" w:firstRow="1" w:lastRow="0" w:firstColumn="1" w:lastColumn="0" w:noHBand="1" w:noVBand="1"/>
        <w:tblDescription w:val="Type:DtfTable|Workbook:Rawdata\BudgetUpdate\Budget Update\Financial Statements\SRIMS exports\SRIMS_BU_EFS_OS.xlsx|Table:Grant_expense|MergedHeadingRow:1"/>
      </w:tblPr>
      <w:tblGrid>
        <w:gridCol w:w="3740"/>
        <w:gridCol w:w="794"/>
        <w:gridCol w:w="794"/>
        <w:gridCol w:w="794"/>
        <w:gridCol w:w="794"/>
        <w:gridCol w:w="794"/>
      </w:tblGrid>
      <w:tr w:rsidR="009C6724" w14:paraId="4540A29B"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50387696" w14:textId="77777777" w:rsidR="00AB205D" w:rsidRDefault="00AB205D">
            <w:pPr>
              <w:keepNext/>
            </w:pPr>
          </w:p>
        </w:tc>
        <w:tc>
          <w:tcPr>
            <w:tcW w:w="794" w:type="dxa"/>
          </w:tcPr>
          <w:p w14:paraId="212A2598"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budget</w:t>
            </w:r>
          </w:p>
        </w:tc>
        <w:tc>
          <w:tcPr>
            <w:tcW w:w="794" w:type="dxa"/>
          </w:tcPr>
          <w:p w14:paraId="68F10E89"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revised</w:t>
            </w:r>
          </w:p>
        </w:tc>
        <w:tc>
          <w:tcPr>
            <w:tcW w:w="794" w:type="dxa"/>
          </w:tcPr>
          <w:p w14:paraId="02C78134"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r>
              <w:br/>
              <w:t>estimate</w:t>
            </w:r>
          </w:p>
        </w:tc>
        <w:tc>
          <w:tcPr>
            <w:tcW w:w="794" w:type="dxa"/>
          </w:tcPr>
          <w:p w14:paraId="3AB45CCA"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3458945E"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r>
      <w:tr w:rsidR="009C6724" w14:paraId="6B5BB80A"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5BAAE096" w14:textId="77777777" w:rsidR="00AB205D" w:rsidRDefault="00471A3B">
            <w:r>
              <w:rPr>
                <w:b/>
              </w:rPr>
              <w:t>Current grant expense</w:t>
            </w:r>
          </w:p>
        </w:tc>
        <w:tc>
          <w:tcPr>
            <w:tcW w:w="794" w:type="dxa"/>
          </w:tcPr>
          <w:p w14:paraId="4576B0E2"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756CB87F"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66EEDDA4"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74B9C001"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1507E7FE"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7FC70B6E"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8B03D63" w14:textId="77777777" w:rsidR="00AB205D" w:rsidRDefault="00471A3B">
            <w:r>
              <w:t>Commonwealth Government</w:t>
            </w:r>
          </w:p>
        </w:tc>
        <w:tc>
          <w:tcPr>
            <w:tcW w:w="794" w:type="dxa"/>
          </w:tcPr>
          <w:p w14:paraId="5C2FCC37" w14:textId="77777777" w:rsidR="00AB205D" w:rsidRDefault="00471A3B">
            <w:pPr>
              <w:cnfStyle w:val="000000000000" w:firstRow="0" w:lastRow="0" w:firstColumn="0" w:lastColumn="0" w:oddVBand="0" w:evenVBand="0" w:oddHBand="0" w:evenHBand="0" w:firstRowFirstColumn="0" w:firstRowLastColumn="0" w:lastRowFirstColumn="0" w:lastRowLastColumn="0"/>
            </w:pPr>
            <w:r>
              <w:t>3 075</w:t>
            </w:r>
          </w:p>
        </w:tc>
        <w:tc>
          <w:tcPr>
            <w:tcW w:w="794" w:type="dxa"/>
          </w:tcPr>
          <w:p w14:paraId="30BA3E3C" w14:textId="77777777" w:rsidR="00AB205D" w:rsidRDefault="00471A3B">
            <w:pPr>
              <w:cnfStyle w:val="000000000000" w:firstRow="0" w:lastRow="0" w:firstColumn="0" w:lastColumn="0" w:oddVBand="0" w:evenVBand="0" w:oddHBand="0" w:evenHBand="0" w:firstRowFirstColumn="0" w:firstRowLastColumn="0" w:lastRowFirstColumn="0" w:lastRowLastColumn="0"/>
            </w:pPr>
            <w:r>
              <w:t>3 126</w:t>
            </w:r>
          </w:p>
        </w:tc>
        <w:tc>
          <w:tcPr>
            <w:tcW w:w="794" w:type="dxa"/>
          </w:tcPr>
          <w:p w14:paraId="73F25EFB" w14:textId="77777777" w:rsidR="00AB205D" w:rsidRDefault="00471A3B">
            <w:pPr>
              <w:cnfStyle w:val="000000000000" w:firstRow="0" w:lastRow="0" w:firstColumn="0" w:lastColumn="0" w:oddVBand="0" w:evenVBand="0" w:oddHBand="0" w:evenHBand="0" w:firstRowFirstColumn="0" w:firstRowLastColumn="0" w:lastRowFirstColumn="0" w:lastRowLastColumn="0"/>
            </w:pPr>
            <w:r>
              <w:t>3 254</w:t>
            </w:r>
          </w:p>
        </w:tc>
        <w:tc>
          <w:tcPr>
            <w:tcW w:w="794" w:type="dxa"/>
          </w:tcPr>
          <w:p w14:paraId="3432C58F" w14:textId="77777777" w:rsidR="00AB205D" w:rsidRDefault="00471A3B">
            <w:pPr>
              <w:cnfStyle w:val="000000000000" w:firstRow="0" w:lastRow="0" w:firstColumn="0" w:lastColumn="0" w:oddVBand="0" w:evenVBand="0" w:oddHBand="0" w:evenHBand="0" w:firstRowFirstColumn="0" w:firstRowLastColumn="0" w:lastRowFirstColumn="0" w:lastRowLastColumn="0"/>
            </w:pPr>
            <w:r>
              <w:t>3 419</w:t>
            </w:r>
          </w:p>
        </w:tc>
        <w:tc>
          <w:tcPr>
            <w:tcW w:w="794" w:type="dxa"/>
          </w:tcPr>
          <w:p w14:paraId="1AD1DAE4" w14:textId="77777777" w:rsidR="00AB205D" w:rsidRDefault="00471A3B">
            <w:pPr>
              <w:cnfStyle w:val="000000000000" w:firstRow="0" w:lastRow="0" w:firstColumn="0" w:lastColumn="0" w:oddVBand="0" w:evenVBand="0" w:oddHBand="0" w:evenHBand="0" w:firstRowFirstColumn="0" w:firstRowLastColumn="0" w:lastRowFirstColumn="0" w:lastRowLastColumn="0"/>
            </w:pPr>
            <w:r>
              <w:t>3 551</w:t>
            </w:r>
          </w:p>
        </w:tc>
      </w:tr>
      <w:tr w:rsidR="009C6724" w14:paraId="21B7F0B6"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120E7A6B" w14:textId="77777777" w:rsidR="00AB205D" w:rsidRDefault="00471A3B">
            <w:r>
              <w:t>Local government (including grants for on</w:t>
            </w:r>
            <w:r>
              <w:noBreakHyphen/>
              <w:t>passing)</w:t>
            </w:r>
          </w:p>
        </w:tc>
        <w:tc>
          <w:tcPr>
            <w:tcW w:w="794" w:type="dxa"/>
          </w:tcPr>
          <w:p w14:paraId="507B0D4C" w14:textId="77777777" w:rsidR="00AB205D" w:rsidRDefault="00471A3B">
            <w:pPr>
              <w:cnfStyle w:val="000000000000" w:firstRow="0" w:lastRow="0" w:firstColumn="0" w:lastColumn="0" w:oddVBand="0" w:evenVBand="0" w:oddHBand="0" w:evenHBand="0" w:firstRowFirstColumn="0" w:firstRowLastColumn="0" w:lastRowFirstColumn="0" w:lastRowLastColumn="0"/>
            </w:pPr>
            <w:r>
              <w:t>1 212</w:t>
            </w:r>
          </w:p>
        </w:tc>
        <w:tc>
          <w:tcPr>
            <w:tcW w:w="794" w:type="dxa"/>
          </w:tcPr>
          <w:p w14:paraId="1BB9FFD1" w14:textId="77777777" w:rsidR="00AB205D" w:rsidRDefault="00471A3B">
            <w:pPr>
              <w:cnfStyle w:val="000000000000" w:firstRow="0" w:lastRow="0" w:firstColumn="0" w:lastColumn="0" w:oddVBand="0" w:evenVBand="0" w:oddHBand="0" w:evenHBand="0" w:firstRowFirstColumn="0" w:firstRowLastColumn="0" w:lastRowFirstColumn="0" w:lastRowLastColumn="0"/>
            </w:pPr>
            <w:r>
              <w:t>609</w:t>
            </w:r>
          </w:p>
        </w:tc>
        <w:tc>
          <w:tcPr>
            <w:tcW w:w="794" w:type="dxa"/>
          </w:tcPr>
          <w:p w14:paraId="4997BB48" w14:textId="77777777" w:rsidR="00AB205D" w:rsidRDefault="00471A3B">
            <w:pPr>
              <w:cnfStyle w:val="000000000000" w:firstRow="0" w:lastRow="0" w:firstColumn="0" w:lastColumn="0" w:oddVBand="0" w:evenVBand="0" w:oddHBand="0" w:evenHBand="0" w:firstRowFirstColumn="0" w:firstRowLastColumn="0" w:lastRowFirstColumn="0" w:lastRowLastColumn="0"/>
            </w:pPr>
            <w:r>
              <w:t>1 354</w:t>
            </w:r>
          </w:p>
        </w:tc>
        <w:tc>
          <w:tcPr>
            <w:tcW w:w="794" w:type="dxa"/>
          </w:tcPr>
          <w:p w14:paraId="5CF8A880" w14:textId="77777777" w:rsidR="00AB205D" w:rsidRDefault="00471A3B">
            <w:pPr>
              <w:cnfStyle w:val="000000000000" w:firstRow="0" w:lastRow="0" w:firstColumn="0" w:lastColumn="0" w:oddVBand="0" w:evenVBand="0" w:oddHBand="0" w:evenHBand="0" w:firstRowFirstColumn="0" w:firstRowLastColumn="0" w:lastRowFirstColumn="0" w:lastRowLastColumn="0"/>
            </w:pPr>
            <w:r>
              <w:t>1 414</w:t>
            </w:r>
          </w:p>
        </w:tc>
        <w:tc>
          <w:tcPr>
            <w:tcW w:w="794" w:type="dxa"/>
          </w:tcPr>
          <w:p w14:paraId="4A650D31" w14:textId="77777777" w:rsidR="00AB205D" w:rsidRDefault="00471A3B">
            <w:pPr>
              <w:cnfStyle w:val="000000000000" w:firstRow="0" w:lastRow="0" w:firstColumn="0" w:lastColumn="0" w:oddVBand="0" w:evenVBand="0" w:oddHBand="0" w:evenHBand="0" w:firstRowFirstColumn="0" w:firstRowLastColumn="0" w:lastRowFirstColumn="0" w:lastRowLastColumn="0"/>
            </w:pPr>
            <w:r>
              <w:t>1 099</w:t>
            </w:r>
          </w:p>
        </w:tc>
      </w:tr>
      <w:tr w:rsidR="009C6724" w14:paraId="3564BFA2"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89A3CC7" w14:textId="77777777" w:rsidR="00AB205D" w:rsidRDefault="00471A3B">
            <w:r>
              <w:t>Private sector and not</w:t>
            </w:r>
            <w:r>
              <w:noBreakHyphen/>
              <w:t>for</w:t>
            </w:r>
            <w:r>
              <w:noBreakHyphen/>
              <w:t>profit for on</w:t>
            </w:r>
            <w:r>
              <w:noBreakHyphen/>
              <w:t>passing</w:t>
            </w:r>
          </w:p>
        </w:tc>
        <w:tc>
          <w:tcPr>
            <w:tcW w:w="794" w:type="dxa"/>
          </w:tcPr>
          <w:p w14:paraId="401A5CC9" w14:textId="77777777" w:rsidR="00AB205D" w:rsidRDefault="00471A3B">
            <w:pPr>
              <w:cnfStyle w:val="000000000000" w:firstRow="0" w:lastRow="0" w:firstColumn="0" w:lastColumn="0" w:oddVBand="0" w:evenVBand="0" w:oddHBand="0" w:evenHBand="0" w:firstRowFirstColumn="0" w:firstRowLastColumn="0" w:lastRowFirstColumn="0" w:lastRowLastColumn="0"/>
            </w:pPr>
            <w:r>
              <w:t>4 829</w:t>
            </w:r>
          </w:p>
        </w:tc>
        <w:tc>
          <w:tcPr>
            <w:tcW w:w="794" w:type="dxa"/>
          </w:tcPr>
          <w:p w14:paraId="4E66513A" w14:textId="77777777" w:rsidR="00AB205D" w:rsidRDefault="00471A3B">
            <w:pPr>
              <w:cnfStyle w:val="000000000000" w:firstRow="0" w:lastRow="0" w:firstColumn="0" w:lastColumn="0" w:oddVBand="0" w:evenVBand="0" w:oddHBand="0" w:evenHBand="0" w:firstRowFirstColumn="0" w:firstRowLastColumn="0" w:lastRowFirstColumn="0" w:lastRowLastColumn="0"/>
            </w:pPr>
            <w:r>
              <w:t>4 875</w:t>
            </w:r>
          </w:p>
        </w:tc>
        <w:tc>
          <w:tcPr>
            <w:tcW w:w="794" w:type="dxa"/>
          </w:tcPr>
          <w:p w14:paraId="4646FF7A" w14:textId="77777777" w:rsidR="00AB205D" w:rsidRDefault="00471A3B">
            <w:pPr>
              <w:cnfStyle w:val="000000000000" w:firstRow="0" w:lastRow="0" w:firstColumn="0" w:lastColumn="0" w:oddVBand="0" w:evenVBand="0" w:oddHBand="0" w:evenHBand="0" w:firstRowFirstColumn="0" w:firstRowLastColumn="0" w:lastRowFirstColumn="0" w:lastRowLastColumn="0"/>
            </w:pPr>
            <w:r>
              <w:t>5 073</w:t>
            </w:r>
          </w:p>
        </w:tc>
        <w:tc>
          <w:tcPr>
            <w:tcW w:w="794" w:type="dxa"/>
          </w:tcPr>
          <w:p w14:paraId="2CC3CA42" w14:textId="77777777" w:rsidR="00AB205D" w:rsidRDefault="00471A3B">
            <w:pPr>
              <w:cnfStyle w:val="000000000000" w:firstRow="0" w:lastRow="0" w:firstColumn="0" w:lastColumn="0" w:oddVBand="0" w:evenVBand="0" w:oddHBand="0" w:evenHBand="0" w:firstRowFirstColumn="0" w:firstRowLastColumn="0" w:lastRowFirstColumn="0" w:lastRowLastColumn="0"/>
            </w:pPr>
            <w:r>
              <w:t>5 175</w:t>
            </w:r>
          </w:p>
        </w:tc>
        <w:tc>
          <w:tcPr>
            <w:tcW w:w="794" w:type="dxa"/>
          </w:tcPr>
          <w:p w14:paraId="6E32FEC5" w14:textId="77777777" w:rsidR="00AB205D" w:rsidRDefault="00471A3B">
            <w:pPr>
              <w:cnfStyle w:val="000000000000" w:firstRow="0" w:lastRow="0" w:firstColumn="0" w:lastColumn="0" w:oddVBand="0" w:evenVBand="0" w:oddHBand="0" w:evenHBand="0" w:firstRowFirstColumn="0" w:firstRowLastColumn="0" w:lastRowFirstColumn="0" w:lastRowLastColumn="0"/>
            </w:pPr>
            <w:r>
              <w:t>5 352</w:t>
            </w:r>
          </w:p>
        </w:tc>
      </w:tr>
      <w:tr w:rsidR="009C6724" w14:paraId="40C0022E"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75186B43" w14:textId="77777777" w:rsidR="00AB205D" w:rsidRDefault="00471A3B">
            <w:r>
              <w:t>Other private sector and not</w:t>
            </w:r>
            <w:r>
              <w:noBreakHyphen/>
              <w:t>for</w:t>
            </w:r>
            <w:r>
              <w:noBreakHyphen/>
              <w:t>profit</w:t>
            </w:r>
          </w:p>
        </w:tc>
        <w:tc>
          <w:tcPr>
            <w:tcW w:w="794" w:type="dxa"/>
          </w:tcPr>
          <w:p w14:paraId="44D7D922" w14:textId="77777777" w:rsidR="00AB205D" w:rsidRDefault="00471A3B">
            <w:pPr>
              <w:cnfStyle w:val="000000000000" w:firstRow="0" w:lastRow="0" w:firstColumn="0" w:lastColumn="0" w:oddVBand="0" w:evenVBand="0" w:oddHBand="0" w:evenHBand="0" w:firstRowFirstColumn="0" w:firstRowLastColumn="0" w:lastRowFirstColumn="0" w:lastRowLastColumn="0"/>
            </w:pPr>
            <w:r>
              <w:t>4 988</w:t>
            </w:r>
          </w:p>
        </w:tc>
        <w:tc>
          <w:tcPr>
            <w:tcW w:w="794" w:type="dxa"/>
          </w:tcPr>
          <w:p w14:paraId="27B1C77E" w14:textId="77777777" w:rsidR="00AB205D" w:rsidRDefault="00471A3B">
            <w:pPr>
              <w:cnfStyle w:val="000000000000" w:firstRow="0" w:lastRow="0" w:firstColumn="0" w:lastColumn="0" w:oddVBand="0" w:evenVBand="0" w:oddHBand="0" w:evenHBand="0" w:firstRowFirstColumn="0" w:firstRowLastColumn="0" w:lastRowFirstColumn="0" w:lastRowLastColumn="0"/>
            </w:pPr>
            <w:r>
              <w:t>5 069</w:t>
            </w:r>
          </w:p>
        </w:tc>
        <w:tc>
          <w:tcPr>
            <w:tcW w:w="794" w:type="dxa"/>
          </w:tcPr>
          <w:p w14:paraId="6A3EF3F4" w14:textId="77777777" w:rsidR="00AB205D" w:rsidRDefault="00471A3B">
            <w:pPr>
              <w:cnfStyle w:val="000000000000" w:firstRow="0" w:lastRow="0" w:firstColumn="0" w:lastColumn="0" w:oddVBand="0" w:evenVBand="0" w:oddHBand="0" w:evenHBand="0" w:firstRowFirstColumn="0" w:firstRowLastColumn="0" w:lastRowFirstColumn="0" w:lastRowLastColumn="0"/>
            </w:pPr>
            <w:r>
              <w:t>5 197</w:t>
            </w:r>
          </w:p>
        </w:tc>
        <w:tc>
          <w:tcPr>
            <w:tcW w:w="794" w:type="dxa"/>
          </w:tcPr>
          <w:p w14:paraId="0C21C6EA" w14:textId="77777777" w:rsidR="00AB205D" w:rsidRDefault="00471A3B">
            <w:pPr>
              <w:cnfStyle w:val="000000000000" w:firstRow="0" w:lastRow="0" w:firstColumn="0" w:lastColumn="0" w:oddVBand="0" w:evenVBand="0" w:oddHBand="0" w:evenHBand="0" w:firstRowFirstColumn="0" w:firstRowLastColumn="0" w:lastRowFirstColumn="0" w:lastRowLastColumn="0"/>
            </w:pPr>
            <w:r>
              <w:t>4 733</w:t>
            </w:r>
          </w:p>
        </w:tc>
        <w:tc>
          <w:tcPr>
            <w:tcW w:w="794" w:type="dxa"/>
          </w:tcPr>
          <w:p w14:paraId="06D8A85F" w14:textId="77777777" w:rsidR="00AB205D" w:rsidRDefault="00471A3B">
            <w:pPr>
              <w:cnfStyle w:val="000000000000" w:firstRow="0" w:lastRow="0" w:firstColumn="0" w:lastColumn="0" w:oddVBand="0" w:evenVBand="0" w:oddHBand="0" w:evenHBand="0" w:firstRowFirstColumn="0" w:firstRowLastColumn="0" w:lastRowFirstColumn="0" w:lastRowLastColumn="0"/>
            </w:pPr>
            <w:r>
              <w:t>4 810</w:t>
            </w:r>
          </w:p>
        </w:tc>
      </w:tr>
      <w:tr w:rsidR="009C6724" w14:paraId="4B103571"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12064FF" w14:textId="77777777" w:rsidR="00AB205D" w:rsidRDefault="00471A3B">
            <w:r>
              <w:t>Grants within the Victorian Government</w:t>
            </w:r>
          </w:p>
        </w:tc>
        <w:tc>
          <w:tcPr>
            <w:tcW w:w="794" w:type="dxa"/>
          </w:tcPr>
          <w:p w14:paraId="72CF4CA5" w14:textId="77777777" w:rsidR="00AB205D" w:rsidRDefault="00471A3B">
            <w:pPr>
              <w:cnfStyle w:val="000000000000" w:firstRow="0" w:lastRow="0" w:firstColumn="0" w:lastColumn="0" w:oddVBand="0" w:evenVBand="0" w:oddHBand="0" w:evenHBand="0" w:firstRowFirstColumn="0" w:firstRowLastColumn="0" w:lastRowFirstColumn="0" w:lastRowLastColumn="0"/>
            </w:pPr>
            <w:r>
              <w:t>2 030</w:t>
            </w:r>
          </w:p>
        </w:tc>
        <w:tc>
          <w:tcPr>
            <w:tcW w:w="794" w:type="dxa"/>
          </w:tcPr>
          <w:p w14:paraId="15BC571F" w14:textId="77777777" w:rsidR="00AB205D" w:rsidRDefault="00471A3B">
            <w:pPr>
              <w:cnfStyle w:val="000000000000" w:firstRow="0" w:lastRow="0" w:firstColumn="0" w:lastColumn="0" w:oddVBand="0" w:evenVBand="0" w:oddHBand="0" w:evenHBand="0" w:firstRowFirstColumn="0" w:firstRowLastColumn="0" w:lastRowFirstColumn="0" w:lastRowLastColumn="0"/>
            </w:pPr>
            <w:r>
              <w:t>2 351</w:t>
            </w:r>
          </w:p>
        </w:tc>
        <w:tc>
          <w:tcPr>
            <w:tcW w:w="794" w:type="dxa"/>
          </w:tcPr>
          <w:p w14:paraId="7566F96E" w14:textId="77777777" w:rsidR="00AB205D" w:rsidRDefault="00471A3B">
            <w:pPr>
              <w:cnfStyle w:val="000000000000" w:firstRow="0" w:lastRow="0" w:firstColumn="0" w:lastColumn="0" w:oddVBand="0" w:evenVBand="0" w:oddHBand="0" w:evenHBand="0" w:firstRowFirstColumn="0" w:firstRowLastColumn="0" w:lastRowFirstColumn="0" w:lastRowLastColumn="0"/>
            </w:pPr>
            <w:r>
              <w:t>1 876</w:t>
            </w:r>
          </w:p>
        </w:tc>
        <w:tc>
          <w:tcPr>
            <w:tcW w:w="794" w:type="dxa"/>
          </w:tcPr>
          <w:p w14:paraId="0A7BE182" w14:textId="77777777" w:rsidR="00AB205D" w:rsidRDefault="00471A3B">
            <w:pPr>
              <w:cnfStyle w:val="000000000000" w:firstRow="0" w:lastRow="0" w:firstColumn="0" w:lastColumn="0" w:oddVBand="0" w:evenVBand="0" w:oddHBand="0" w:evenHBand="0" w:firstRowFirstColumn="0" w:firstRowLastColumn="0" w:lastRowFirstColumn="0" w:lastRowLastColumn="0"/>
            </w:pPr>
            <w:r>
              <w:t>1 784</w:t>
            </w:r>
          </w:p>
        </w:tc>
        <w:tc>
          <w:tcPr>
            <w:tcW w:w="794" w:type="dxa"/>
          </w:tcPr>
          <w:p w14:paraId="4D86E51C" w14:textId="77777777" w:rsidR="00AB205D" w:rsidRDefault="00471A3B">
            <w:pPr>
              <w:cnfStyle w:val="000000000000" w:firstRow="0" w:lastRow="0" w:firstColumn="0" w:lastColumn="0" w:oddVBand="0" w:evenVBand="0" w:oddHBand="0" w:evenHBand="0" w:firstRowFirstColumn="0" w:firstRowLastColumn="0" w:lastRowFirstColumn="0" w:lastRowLastColumn="0"/>
            </w:pPr>
            <w:r>
              <w:t>1 744</w:t>
            </w:r>
          </w:p>
        </w:tc>
      </w:tr>
      <w:tr w:rsidR="009C6724" w14:paraId="6469E26B"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47DF1AD3" w14:textId="77777777" w:rsidR="00AB205D" w:rsidRDefault="00471A3B">
            <w:r>
              <w:t>Grants to other state governments</w:t>
            </w:r>
          </w:p>
        </w:tc>
        <w:tc>
          <w:tcPr>
            <w:tcW w:w="794" w:type="dxa"/>
            <w:tcBorders>
              <w:bottom w:val="single" w:sz="6" w:space="0" w:color="auto"/>
            </w:tcBorders>
          </w:tcPr>
          <w:p w14:paraId="5514E445" w14:textId="77777777" w:rsidR="00AB205D" w:rsidRDefault="00471A3B">
            <w:pPr>
              <w:cnfStyle w:val="000000000000" w:firstRow="0" w:lastRow="0" w:firstColumn="0" w:lastColumn="0" w:oddVBand="0" w:evenVBand="0" w:oddHBand="0" w:evenHBand="0" w:firstRowFirstColumn="0" w:firstRowLastColumn="0" w:lastRowFirstColumn="0" w:lastRowLastColumn="0"/>
            </w:pPr>
            <w:r>
              <w:t>84</w:t>
            </w:r>
          </w:p>
        </w:tc>
        <w:tc>
          <w:tcPr>
            <w:tcW w:w="794" w:type="dxa"/>
            <w:tcBorders>
              <w:bottom w:val="single" w:sz="6" w:space="0" w:color="auto"/>
            </w:tcBorders>
          </w:tcPr>
          <w:p w14:paraId="1D86202F" w14:textId="77777777" w:rsidR="00AB205D" w:rsidRDefault="00471A3B">
            <w:pPr>
              <w:cnfStyle w:val="000000000000" w:firstRow="0" w:lastRow="0" w:firstColumn="0" w:lastColumn="0" w:oddVBand="0" w:evenVBand="0" w:oddHBand="0" w:evenHBand="0" w:firstRowFirstColumn="0" w:firstRowLastColumn="0" w:lastRowFirstColumn="0" w:lastRowLastColumn="0"/>
            </w:pPr>
            <w:r>
              <w:t>86</w:t>
            </w:r>
          </w:p>
        </w:tc>
        <w:tc>
          <w:tcPr>
            <w:tcW w:w="794" w:type="dxa"/>
            <w:tcBorders>
              <w:bottom w:val="single" w:sz="6" w:space="0" w:color="auto"/>
            </w:tcBorders>
          </w:tcPr>
          <w:p w14:paraId="3D8D5AE1" w14:textId="77777777" w:rsidR="00AB205D" w:rsidRDefault="00471A3B">
            <w:pPr>
              <w:cnfStyle w:val="000000000000" w:firstRow="0" w:lastRow="0" w:firstColumn="0" w:lastColumn="0" w:oddVBand="0" w:evenVBand="0" w:oddHBand="0" w:evenHBand="0" w:firstRowFirstColumn="0" w:firstRowLastColumn="0" w:lastRowFirstColumn="0" w:lastRowLastColumn="0"/>
            </w:pPr>
            <w:r>
              <w:t>79</w:t>
            </w:r>
          </w:p>
        </w:tc>
        <w:tc>
          <w:tcPr>
            <w:tcW w:w="794" w:type="dxa"/>
            <w:tcBorders>
              <w:bottom w:val="single" w:sz="6" w:space="0" w:color="auto"/>
            </w:tcBorders>
          </w:tcPr>
          <w:p w14:paraId="72E43F3B" w14:textId="77777777" w:rsidR="00AB205D" w:rsidRDefault="00471A3B">
            <w:pPr>
              <w:cnfStyle w:val="000000000000" w:firstRow="0" w:lastRow="0" w:firstColumn="0" w:lastColumn="0" w:oddVBand="0" w:evenVBand="0" w:oddHBand="0" w:evenHBand="0" w:firstRowFirstColumn="0" w:firstRowLastColumn="0" w:lastRowFirstColumn="0" w:lastRowLastColumn="0"/>
            </w:pPr>
            <w:r>
              <w:t>79</w:t>
            </w:r>
          </w:p>
        </w:tc>
        <w:tc>
          <w:tcPr>
            <w:tcW w:w="794" w:type="dxa"/>
            <w:tcBorders>
              <w:bottom w:val="single" w:sz="6" w:space="0" w:color="auto"/>
            </w:tcBorders>
          </w:tcPr>
          <w:p w14:paraId="395A9DF0" w14:textId="77777777" w:rsidR="00AB205D" w:rsidRDefault="00471A3B">
            <w:pPr>
              <w:cnfStyle w:val="000000000000" w:firstRow="0" w:lastRow="0" w:firstColumn="0" w:lastColumn="0" w:oddVBand="0" w:evenVBand="0" w:oddHBand="0" w:evenHBand="0" w:firstRowFirstColumn="0" w:firstRowLastColumn="0" w:lastRowFirstColumn="0" w:lastRowLastColumn="0"/>
            </w:pPr>
            <w:r>
              <w:t>79</w:t>
            </w:r>
          </w:p>
        </w:tc>
      </w:tr>
      <w:tr w:rsidR="009C6724" w14:paraId="28894A43"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4D2001BB" w14:textId="77777777" w:rsidR="00AB205D" w:rsidRDefault="00471A3B">
            <w:r>
              <w:rPr>
                <w:b/>
              </w:rPr>
              <w:t>Total current grant expense</w:t>
            </w:r>
          </w:p>
        </w:tc>
        <w:tc>
          <w:tcPr>
            <w:tcW w:w="794" w:type="dxa"/>
            <w:tcBorders>
              <w:top w:val="single" w:sz="6" w:space="0" w:color="auto"/>
              <w:bottom w:val="single" w:sz="6" w:space="0" w:color="auto"/>
            </w:tcBorders>
          </w:tcPr>
          <w:p w14:paraId="5FEF3B1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16 218</w:t>
            </w:r>
          </w:p>
        </w:tc>
        <w:tc>
          <w:tcPr>
            <w:tcW w:w="794" w:type="dxa"/>
            <w:tcBorders>
              <w:top w:val="single" w:sz="6" w:space="0" w:color="auto"/>
              <w:bottom w:val="single" w:sz="6" w:space="0" w:color="auto"/>
            </w:tcBorders>
          </w:tcPr>
          <w:p w14:paraId="77BC0C7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16 115</w:t>
            </w:r>
          </w:p>
        </w:tc>
        <w:tc>
          <w:tcPr>
            <w:tcW w:w="794" w:type="dxa"/>
            <w:tcBorders>
              <w:top w:val="single" w:sz="6" w:space="0" w:color="auto"/>
              <w:bottom w:val="single" w:sz="6" w:space="0" w:color="auto"/>
            </w:tcBorders>
          </w:tcPr>
          <w:p w14:paraId="043658B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16 833</w:t>
            </w:r>
          </w:p>
        </w:tc>
        <w:tc>
          <w:tcPr>
            <w:tcW w:w="794" w:type="dxa"/>
            <w:tcBorders>
              <w:top w:val="single" w:sz="6" w:space="0" w:color="auto"/>
              <w:bottom w:val="single" w:sz="6" w:space="0" w:color="auto"/>
            </w:tcBorders>
          </w:tcPr>
          <w:p w14:paraId="33F7371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16 604</w:t>
            </w:r>
          </w:p>
        </w:tc>
        <w:tc>
          <w:tcPr>
            <w:tcW w:w="794" w:type="dxa"/>
            <w:tcBorders>
              <w:top w:val="single" w:sz="6" w:space="0" w:color="auto"/>
              <w:bottom w:val="single" w:sz="6" w:space="0" w:color="auto"/>
            </w:tcBorders>
          </w:tcPr>
          <w:p w14:paraId="2E08F41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16 634</w:t>
            </w:r>
          </w:p>
        </w:tc>
      </w:tr>
      <w:tr w:rsidR="009C6724" w14:paraId="79E53D13"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35F2A463" w14:textId="77777777" w:rsidR="00AB205D" w:rsidRDefault="00471A3B">
            <w:r>
              <w:rPr>
                <w:b/>
              </w:rPr>
              <w:t>Capital grant expense</w:t>
            </w:r>
          </w:p>
        </w:tc>
        <w:tc>
          <w:tcPr>
            <w:tcW w:w="794" w:type="dxa"/>
            <w:tcBorders>
              <w:top w:val="single" w:sz="6" w:space="0" w:color="auto"/>
            </w:tcBorders>
          </w:tcPr>
          <w:p w14:paraId="38993EB6"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6A07904D"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F37BF0D"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58A930D6"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6DC356C9"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54506549"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6A64FD02" w14:textId="77777777" w:rsidR="00AB205D" w:rsidRDefault="00471A3B">
            <w:r>
              <w:t>Local government (including grants for on</w:t>
            </w:r>
            <w:r>
              <w:noBreakHyphen/>
              <w:t>passing)</w:t>
            </w:r>
          </w:p>
        </w:tc>
        <w:tc>
          <w:tcPr>
            <w:tcW w:w="794" w:type="dxa"/>
          </w:tcPr>
          <w:p w14:paraId="3F4B205A" w14:textId="77777777" w:rsidR="00AB205D" w:rsidRDefault="00471A3B">
            <w:pPr>
              <w:cnfStyle w:val="000000000000" w:firstRow="0" w:lastRow="0" w:firstColumn="0" w:lastColumn="0" w:oddVBand="0" w:evenVBand="0" w:oddHBand="0" w:evenHBand="0" w:firstRowFirstColumn="0" w:firstRowLastColumn="0" w:lastRowFirstColumn="0" w:lastRowLastColumn="0"/>
            </w:pPr>
            <w:r>
              <w:t>234</w:t>
            </w:r>
          </w:p>
        </w:tc>
        <w:tc>
          <w:tcPr>
            <w:tcW w:w="794" w:type="dxa"/>
          </w:tcPr>
          <w:p w14:paraId="4024E261" w14:textId="77777777" w:rsidR="00AB205D" w:rsidRDefault="00471A3B">
            <w:pPr>
              <w:cnfStyle w:val="000000000000" w:firstRow="0" w:lastRow="0" w:firstColumn="0" w:lastColumn="0" w:oddVBand="0" w:evenVBand="0" w:oddHBand="0" w:evenHBand="0" w:firstRowFirstColumn="0" w:firstRowLastColumn="0" w:lastRowFirstColumn="0" w:lastRowLastColumn="0"/>
            </w:pPr>
            <w:r>
              <w:t>253</w:t>
            </w:r>
          </w:p>
        </w:tc>
        <w:tc>
          <w:tcPr>
            <w:tcW w:w="794" w:type="dxa"/>
          </w:tcPr>
          <w:p w14:paraId="620D7A3A" w14:textId="77777777" w:rsidR="00AB205D" w:rsidRDefault="00471A3B">
            <w:pPr>
              <w:cnfStyle w:val="000000000000" w:firstRow="0" w:lastRow="0" w:firstColumn="0" w:lastColumn="0" w:oddVBand="0" w:evenVBand="0" w:oddHBand="0" w:evenHBand="0" w:firstRowFirstColumn="0" w:firstRowLastColumn="0" w:lastRowFirstColumn="0" w:lastRowLastColumn="0"/>
            </w:pPr>
            <w:r>
              <w:t>124</w:t>
            </w:r>
          </w:p>
        </w:tc>
        <w:tc>
          <w:tcPr>
            <w:tcW w:w="794" w:type="dxa"/>
          </w:tcPr>
          <w:p w14:paraId="3A16FEDA" w14:textId="77777777" w:rsidR="00AB205D" w:rsidRDefault="00471A3B">
            <w:pPr>
              <w:cnfStyle w:val="000000000000" w:firstRow="0" w:lastRow="0" w:firstColumn="0" w:lastColumn="0" w:oddVBand="0" w:evenVBand="0" w:oddHBand="0" w:evenHBand="0" w:firstRowFirstColumn="0" w:firstRowLastColumn="0" w:lastRowFirstColumn="0" w:lastRowLastColumn="0"/>
            </w:pPr>
            <w:r>
              <w:t>120</w:t>
            </w:r>
          </w:p>
        </w:tc>
        <w:tc>
          <w:tcPr>
            <w:tcW w:w="794" w:type="dxa"/>
          </w:tcPr>
          <w:p w14:paraId="1F3BCDBC" w14:textId="77777777" w:rsidR="00AB205D" w:rsidRDefault="00471A3B">
            <w:pPr>
              <w:cnfStyle w:val="000000000000" w:firstRow="0" w:lastRow="0" w:firstColumn="0" w:lastColumn="0" w:oddVBand="0" w:evenVBand="0" w:oddHBand="0" w:evenHBand="0" w:firstRowFirstColumn="0" w:firstRowLastColumn="0" w:lastRowFirstColumn="0" w:lastRowLastColumn="0"/>
            </w:pPr>
            <w:r>
              <w:t>115</w:t>
            </w:r>
          </w:p>
        </w:tc>
      </w:tr>
      <w:tr w:rsidR="009C6724" w14:paraId="20265DCF"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B4A8001" w14:textId="77777777" w:rsidR="00AB205D" w:rsidRDefault="00471A3B">
            <w:r>
              <w:t>Private sector and not</w:t>
            </w:r>
            <w:r>
              <w:noBreakHyphen/>
              <w:t>for</w:t>
            </w:r>
            <w:r>
              <w:noBreakHyphen/>
              <w:t>profit on</w:t>
            </w:r>
            <w:r>
              <w:noBreakHyphen/>
              <w:t>passing</w:t>
            </w:r>
          </w:p>
        </w:tc>
        <w:tc>
          <w:tcPr>
            <w:tcW w:w="794" w:type="dxa"/>
          </w:tcPr>
          <w:p w14:paraId="641D8213" w14:textId="77777777" w:rsidR="00AB205D" w:rsidRDefault="00471A3B">
            <w:pPr>
              <w:cnfStyle w:val="000000000000" w:firstRow="0" w:lastRow="0" w:firstColumn="0" w:lastColumn="0" w:oddVBand="0" w:evenVBand="0" w:oddHBand="0" w:evenHBand="0" w:firstRowFirstColumn="0" w:firstRowLastColumn="0" w:lastRowFirstColumn="0" w:lastRowLastColumn="0"/>
            </w:pPr>
            <w:r>
              <w:t>497</w:t>
            </w:r>
          </w:p>
        </w:tc>
        <w:tc>
          <w:tcPr>
            <w:tcW w:w="794" w:type="dxa"/>
          </w:tcPr>
          <w:p w14:paraId="5B13F954" w14:textId="77777777" w:rsidR="00AB205D" w:rsidRDefault="00471A3B">
            <w:pPr>
              <w:cnfStyle w:val="000000000000" w:firstRow="0" w:lastRow="0" w:firstColumn="0" w:lastColumn="0" w:oddVBand="0" w:evenVBand="0" w:oddHBand="0" w:evenHBand="0" w:firstRowFirstColumn="0" w:firstRowLastColumn="0" w:lastRowFirstColumn="0" w:lastRowLastColumn="0"/>
            </w:pPr>
            <w:r>
              <w:t>558</w:t>
            </w:r>
          </w:p>
        </w:tc>
        <w:tc>
          <w:tcPr>
            <w:tcW w:w="794" w:type="dxa"/>
          </w:tcPr>
          <w:p w14:paraId="2850F0F8" w14:textId="77777777" w:rsidR="00AB205D" w:rsidRDefault="00471A3B">
            <w:pPr>
              <w:cnfStyle w:val="000000000000" w:firstRow="0" w:lastRow="0" w:firstColumn="0" w:lastColumn="0" w:oddVBand="0" w:evenVBand="0" w:oddHBand="0" w:evenHBand="0" w:firstRowFirstColumn="0" w:firstRowLastColumn="0" w:lastRowFirstColumn="0" w:lastRowLastColumn="0"/>
            </w:pPr>
            <w:r>
              <w:t>139</w:t>
            </w:r>
          </w:p>
        </w:tc>
        <w:tc>
          <w:tcPr>
            <w:tcW w:w="794" w:type="dxa"/>
          </w:tcPr>
          <w:p w14:paraId="443931AF" w14:textId="77777777" w:rsidR="00AB205D" w:rsidRDefault="00471A3B">
            <w:pPr>
              <w:cnfStyle w:val="000000000000" w:firstRow="0" w:lastRow="0" w:firstColumn="0" w:lastColumn="0" w:oddVBand="0" w:evenVBand="0" w:oddHBand="0" w:evenHBand="0" w:firstRowFirstColumn="0" w:firstRowLastColumn="0" w:lastRowFirstColumn="0" w:lastRowLastColumn="0"/>
            </w:pPr>
            <w:r>
              <w:t>123</w:t>
            </w:r>
          </w:p>
        </w:tc>
        <w:tc>
          <w:tcPr>
            <w:tcW w:w="794" w:type="dxa"/>
          </w:tcPr>
          <w:p w14:paraId="6133ED60" w14:textId="77777777" w:rsidR="00AB205D" w:rsidRDefault="00471A3B">
            <w:pPr>
              <w:cnfStyle w:val="000000000000" w:firstRow="0" w:lastRow="0" w:firstColumn="0" w:lastColumn="0" w:oddVBand="0" w:evenVBand="0" w:oddHBand="0" w:evenHBand="0" w:firstRowFirstColumn="0" w:firstRowLastColumn="0" w:lastRowFirstColumn="0" w:lastRowLastColumn="0"/>
            </w:pPr>
            <w:r>
              <w:t>123</w:t>
            </w:r>
          </w:p>
        </w:tc>
      </w:tr>
      <w:tr w:rsidR="009C6724" w14:paraId="3092C9C3"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7AE9912F" w14:textId="77777777" w:rsidR="00AB205D" w:rsidRDefault="00471A3B">
            <w:r>
              <w:t>Other private sector and not</w:t>
            </w:r>
            <w:r>
              <w:noBreakHyphen/>
              <w:t>for</w:t>
            </w:r>
            <w:r>
              <w:noBreakHyphen/>
              <w:t>profit</w:t>
            </w:r>
          </w:p>
        </w:tc>
        <w:tc>
          <w:tcPr>
            <w:tcW w:w="794" w:type="dxa"/>
          </w:tcPr>
          <w:p w14:paraId="6D73A0BF" w14:textId="77777777" w:rsidR="00AB205D" w:rsidRDefault="00471A3B">
            <w:pPr>
              <w:cnfStyle w:val="000000000000" w:firstRow="0" w:lastRow="0" w:firstColumn="0" w:lastColumn="0" w:oddVBand="0" w:evenVBand="0" w:oddHBand="0" w:evenHBand="0" w:firstRowFirstColumn="0" w:firstRowLastColumn="0" w:lastRowFirstColumn="0" w:lastRowLastColumn="0"/>
            </w:pPr>
            <w:r>
              <w:t>4</w:t>
            </w:r>
          </w:p>
        </w:tc>
        <w:tc>
          <w:tcPr>
            <w:tcW w:w="794" w:type="dxa"/>
          </w:tcPr>
          <w:p w14:paraId="07EAB627" w14:textId="77777777" w:rsidR="00AB205D" w:rsidRDefault="00471A3B">
            <w:pPr>
              <w:cnfStyle w:val="000000000000" w:firstRow="0" w:lastRow="0" w:firstColumn="0" w:lastColumn="0" w:oddVBand="0" w:evenVBand="0" w:oddHBand="0" w:evenHBand="0" w:firstRowFirstColumn="0" w:firstRowLastColumn="0" w:lastRowFirstColumn="0" w:lastRowLastColumn="0"/>
            </w:pPr>
            <w:r>
              <w:t>31</w:t>
            </w:r>
          </w:p>
        </w:tc>
        <w:tc>
          <w:tcPr>
            <w:tcW w:w="794" w:type="dxa"/>
          </w:tcPr>
          <w:p w14:paraId="525AA5E6" w14:textId="77777777" w:rsidR="00AB205D" w:rsidRDefault="00471A3B">
            <w:pPr>
              <w:cnfStyle w:val="000000000000" w:firstRow="0" w:lastRow="0" w:firstColumn="0" w:lastColumn="0" w:oddVBand="0" w:evenVBand="0" w:oddHBand="0" w:evenHBand="0" w:firstRowFirstColumn="0" w:firstRowLastColumn="0" w:lastRowFirstColumn="0" w:lastRowLastColumn="0"/>
            </w:pPr>
            <w:r>
              <w:t>4</w:t>
            </w:r>
          </w:p>
        </w:tc>
        <w:tc>
          <w:tcPr>
            <w:tcW w:w="794" w:type="dxa"/>
          </w:tcPr>
          <w:p w14:paraId="7A9B3714" w14:textId="77777777" w:rsidR="00AB205D" w:rsidRDefault="00471A3B">
            <w:pPr>
              <w:cnfStyle w:val="000000000000" w:firstRow="0" w:lastRow="0" w:firstColumn="0" w:lastColumn="0" w:oddVBand="0" w:evenVBand="0" w:oddHBand="0" w:evenHBand="0" w:firstRowFirstColumn="0" w:firstRowLastColumn="0" w:lastRowFirstColumn="0" w:lastRowLastColumn="0"/>
            </w:pPr>
            <w:r>
              <w:t>4</w:t>
            </w:r>
          </w:p>
        </w:tc>
        <w:tc>
          <w:tcPr>
            <w:tcW w:w="794" w:type="dxa"/>
          </w:tcPr>
          <w:p w14:paraId="2F9CE1E5" w14:textId="77777777" w:rsidR="00AB205D" w:rsidRDefault="00471A3B">
            <w:pPr>
              <w:cnfStyle w:val="000000000000" w:firstRow="0" w:lastRow="0" w:firstColumn="0" w:lastColumn="0" w:oddVBand="0" w:evenVBand="0" w:oddHBand="0" w:evenHBand="0" w:firstRowFirstColumn="0" w:firstRowLastColumn="0" w:lastRowFirstColumn="0" w:lastRowLastColumn="0"/>
            </w:pPr>
            <w:r>
              <w:t>4</w:t>
            </w:r>
          </w:p>
        </w:tc>
      </w:tr>
      <w:tr w:rsidR="009C6724" w14:paraId="71213304"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0A5300D4" w14:textId="77777777" w:rsidR="00AB205D" w:rsidRDefault="00471A3B">
            <w:r>
              <w:t>Grants within the Victorian Government</w:t>
            </w:r>
          </w:p>
        </w:tc>
        <w:tc>
          <w:tcPr>
            <w:tcW w:w="794" w:type="dxa"/>
          </w:tcPr>
          <w:p w14:paraId="2D538754" w14:textId="77777777" w:rsidR="00AB205D" w:rsidRDefault="00471A3B">
            <w:pPr>
              <w:cnfStyle w:val="000000000000" w:firstRow="0" w:lastRow="0" w:firstColumn="0" w:lastColumn="0" w:oddVBand="0" w:evenVBand="0" w:oddHBand="0" w:evenHBand="0" w:firstRowFirstColumn="0" w:firstRowLastColumn="0" w:lastRowFirstColumn="0" w:lastRowLastColumn="0"/>
            </w:pPr>
            <w:r>
              <w:t>9</w:t>
            </w:r>
          </w:p>
        </w:tc>
        <w:tc>
          <w:tcPr>
            <w:tcW w:w="794" w:type="dxa"/>
          </w:tcPr>
          <w:p w14:paraId="787B71D6" w14:textId="77777777" w:rsidR="00AB205D" w:rsidRDefault="00471A3B">
            <w:pPr>
              <w:cnfStyle w:val="000000000000" w:firstRow="0" w:lastRow="0" w:firstColumn="0" w:lastColumn="0" w:oddVBand="0" w:evenVBand="0" w:oddHBand="0" w:evenHBand="0" w:firstRowFirstColumn="0" w:firstRowLastColumn="0" w:lastRowFirstColumn="0" w:lastRowLastColumn="0"/>
            </w:pPr>
            <w:r>
              <w:t>39</w:t>
            </w:r>
          </w:p>
        </w:tc>
        <w:tc>
          <w:tcPr>
            <w:tcW w:w="794" w:type="dxa"/>
          </w:tcPr>
          <w:p w14:paraId="32CB1428" w14:textId="77777777" w:rsidR="00AB205D" w:rsidRDefault="00471A3B">
            <w:pPr>
              <w:cnfStyle w:val="000000000000" w:firstRow="0" w:lastRow="0" w:firstColumn="0" w:lastColumn="0" w:oddVBand="0" w:evenVBand="0" w:oddHBand="0" w:evenHBand="0" w:firstRowFirstColumn="0" w:firstRowLastColumn="0" w:lastRowFirstColumn="0" w:lastRowLastColumn="0"/>
            </w:pPr>
            <w:r>
              <w:t>5</w:t>
            </w:r>
          </w:p>
        </w:tc>
        <w:tc>
          <w:tcPr>
            <w:tcW w:w="794" w:type="dxa"/>
          </w:tcPr>
          <w:p w14:paraId="33D10E49"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761DD27E"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r>
      <w:tr w:rsidR="009C6724" w14:paraId="387770D2"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21AF1B6A" w14:textId="77777777" w:rsidR="00AB205D" w:rsidRDefault="00471A3B">
            <w:r>
              <w:t>Other grants</w:t>
            </w:r>
          </w:p>
        </w:tc>
        <w:tc>
          <w:tcPr>
            <w:tcW w:w="794" w:type="dxa"/>
            <w:tcBorders>
              <w:bottom w:val="single" w:sz="6" w:space="0" w:color="auto"/>
            </w:tcBorders>
          </w:tcPr>
          <w:p w14:paraId="55BB67D4"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118B244F"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21FC9A95" w14:textId="77777777" w:rsidR="00AB205D" w:rsidRDefault="00471A3B">
            <w:pPr>
              <w:cnfStyle w:val="000000000000" w:firstRow="0" w:lastRow="0" w:firstColumn="0" w:lastColumn="0" w:oddVBand="0" w:evenVBand="0" w:oddHBand="0" w:evenHBand="0" w:firstRowFirstColumn="0" w:firstRowLastColumn="0" w:lastRowFirstColumn="0" w:lastRowLastColumn="0"/>
            </w:pPr>
            <w:r>
              <w:t>19</w:t>
            </w:r>
          </w:p>
        </w:tc>
        <w:tc>
          <w:tcPr>
            <w:tcW w:w="794" w:type="dxa"/>
            <w:tcBorders>
              <w:bottom w:val="single" w:sz="6" w:space="0" w:color="auto"/>
            </w:tcBorders>
          </w:tcPr>
          <w:p w14:paraId="72C2FC39" w14:textId="77777777" w:rsidR="00AB205D" w:rsidRDefault="00471A3B">
            <w:pPr>
              <w:cnfStyle w:val="000000000000" w:firstRow="0" w:lastRow="0" w:firstColumn="0" w:lastColumn="0" w:oddVBand="0" w:evenVBand="0" w:oddHBand="0" w:evenHBand="0" w:firstRowFirstColumn="0" w:firstRowLastColumn="0" w:lastRowFirstColumn="0" w:lastRowLastColumn="0"/>
            </w:pPr>
            <w:r>
              <w:t>30</w:t>
            </w:r>
          </w:p>
        </w:tc>
        <w:tc>
          <w:tcPr>
            <w:tcW w:w="794" w:type="dxa"/>
            <w:tcBorders>
              <w:bottom w:val="single" w:sz="6" w:space="0" w:color="auto"/>
            </w:tcBorders>
          </w:tcPr>
          <w:p w14:paraId="3D531C74" w14:textId="77777777" w:rsidR="00AB205D" w:rsidRDefault="00471A3B">
            <w:pPr>
              <w:cnfStyle w:val="000000000000" w:firstRow="0" w:lastRow="0" w:firstColumn="0" w:lastColumn="0" w:oddVBand="0" w:evenVBand="0" w:oddHBand="0" w:evenHBand="0" w:firstRowFirstColumn="0" w:firstRowLastColumn="0" w:lastRowFirstColumn="0" w:lastRowLastColumn="0"/>
            </w:pPr>
            <w:r>
              <w:t>22</w:t>
            </w:r>
          </w:p>
        </w:tc>
      </w:tr>
      <w:tr w:rsidR="009C6724" w14:paraId="1E8BDEED"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59300A98" w14:textId="77777777" w:rsidR="00AB205D" w:rsidRDefault="00471A3B">
            <w:r>
              <w:rPr>
                <w:b/>
              </w:rPr>
              <w:t>Total capital grant expense</w:t>
            </w:r>
          </w:p>
        </w:tc>
        <w:tc>
          <w:tcPr>
            <w:tcW w:w="794" w:type="dxa"/>
            <w:tcBorders>
              <w:top w:val="single" w:sz="6" w:space="0" w:color="auto"/>
              <w:bottom w:val="single" w:sz="6" w:space="0" w:color="auto"/>
            </w:tcBorders>
          </w:tcPr>
          <w:p w14:paraId="23134F0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744</w:t>
            </w:r>
          </w:p>
        </w:tc>
        <w:tc>
          <w:tcPr>
            <w:tcW w:w="794" w:type="dxa"/>
            <w:tcBorders>
              <w:top w:val="single" w:sz="6" w:space="0" w:color="auto"/>
              <w:bottom w:val="single" w:sz="6" w:space="0" w:color="auto"/>
            </w:tcBorders>
          </w:tcPr>
          <w:p w14:paraId="36CC536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880</w:t>
            </w:r>
          </w:p>
        </w:tc>
        <w:tc>
          <w:tcPr>
            <w:tcW w:w="794" w:type="dxa"/>
            <w:tcBorders>
              <w:top w:val="single" w:sz="6" w:space="0" w:color="auto"/>
              <w:bottom w:val="single" w:sz="6" w:space="0" w:color="auto"/>
            </w:tcBorders>
          </w:tcPr>
          <w:p w14:paraId="57A9752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292</w:t>
            </w:r>
          </w:p>
        </w:tc>
        <w:tc>
          <w:tcPr>
            <w:tcW w:w="794" w:type="dxa"/>
            <w:tcBorders>
              <w:top w:val="single" w:sz="6" w:space="0" w:color="auto"/>
              <w:bottom w:val="single" w:sz="6" w:space="0" w:color="auto"/>
            </w:tcBorders>
          </w:tcPr>
          <w:p w14:paraId="1B00635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277</w:t>
            </w:r>
          </w:p>
        </w:tc>
        <w:tc>
          <w:tcPr>
            <w:tcW w:w="794" w:type="dxa"/>
            <w:tcBorders>
              <w:top w:val="single" w:sz="6" w:space="0" w:color="auto"/>
              <w:bottom w:val="single" w:sz="6" w:space="0" w:color="auto"/>
            </w:tcBorders>
          </w:tcPr>
          <w:p w14:paraId="78EFB1F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265</w:t>
            </w:r>
          </w:p>
        </w:tc>
      </w:tr>
      <w:tr w:rsidR="009C6724" w14:paraId="18D89E46"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76F3DD92" w14:textId="77777777" w:rsidR="00AB205D" w:rsidRDefault="00471A3B">
            <w:r>
              <w:rPr>
                <w:b/>
              </w:rPr>
              <w:t>Total grant expense</w:t>
            </w:r>
          </w:p>
        </w:tc>
        <w:tc>
          <w:tcPr>
            <w:tcW w:w="794" w:type="dxa"/>
            <w:tcBorders>
              <w:top w:val="single" w:sz="6" w:space="0" w:color="auto"/>
              <w:bottom w:val="single" w:sz="12" w:space="0" w:color="auto"/>
            </w:tcBorders>
          </w:tcPr>
          <w:p w14:paraId="0488221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16 962</w:t>
            </w:r>
          </w:p>
        </w:tc>
        <w:tc>
          <w:tcPr>
            <w:tcW w:w="794" w:type="dxa"/>
            <w:tcBorders>
              <w:top w:val="single" w:sz="6" w:space="0" w:color="auto"/>
              <w:bottom w:val="single" w:sz="12" w:space="0" w:color="auto"/>
            </w:tcBorders>
          </w:tcPr>
          <w:p w14:paraId="75900C7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16 995</w:t>
            </w:r>
          </w:p>
        </w:tc>
        <w:tc>
          <w:tcPr>
            <w:tcW w:w="794" w:type="dxa"/>
            <w:tcBorders>
              <w:top w:val="single" w:sz="6" w:space="0" w:color="auto"/>
              <w:bottom w:val="single" w:sz="12" w:space="0" w:color="auto"/>
            </w:tcBorders>
          </w:tcPr>
          <w:p w14:paraId="323A273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17 124</w:t>
            </w:r>
          </w:p>
        </w:tc>
        <w:tc>
          <w:tcPr>
            <w:tcW w:w="794" w:type="dxa"/>
            <w:tcBorders>
              <w:top w:val="single" w:sz="6" w:space="0" w:color="auto"/>
              <w:bottom w:val="single" w:sz="12" w:space="0" w:color="auto"/>
            </w:tcBorders>
          </w:tcPr>
          <w:p w14:paraId="7BFF2CA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16 880</w:t>
            </w:r>
          </w:p>
        </w:tc>
        <w:tc>
          <w:tcPr>
            <w:tcW w:w="794" w:type="dxa"/>
            <w:tcBorders>
              <w:top w:val="single" w:sz="6" w:space="0" w:color="auto"/>
              <w:bottom w:val="single" w:sz="12" w:space="0" w:color="auto"/>
            </w:tcBorders>
          </w:tcPr>
          <w:p w14:paraId="07606A3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16 900</w:t>
            </w:r>
          </w:p>
        </w:tc>
      </w:tr>
    </w:tbl>
    <w:p w14:paraId="493C9D6D" w14:textId="77777777" w:rsidR="00AB205D" w:rsidRDefault="00AB205D"/>
    <w:p w14:paraId="357028B4" w14:textId="77777777" w:rsidR="00AB205D" w:rsidRPr="003822E3" w:rsidRDefault="00471A3B">
      <w:pPr>
        <w:pStyle w:val="Heading3"/>
        <w:pageBreakBefore/>
        <w:rPr>
          <w:sz w:val="21"/>
          <w:szCs w:val="21"/>
        </w:rPr>
      </w:pPr>
      <w:bookmarkStart w:id="54" w:name="_Toc149221031"/>
      <w:r w:rsidRPr="003822E3">
        <w:rPr>
          <w:sz w:val="21"/>
          <w:szCs w:val="21"/>
        </w:rPr>
        <w:lastRenderedPageBreak/>
        <w:t xml:space="preserve">Other operating expenses </w:t>
      </w:r>
      <w:r w:rsidRPr="003822E3">
        <w:rPr>
          <w:sz w:val="21"/>
          <w:szCs w:val="21"/>
        </w:rPr>
        <w:tab/>
        <w:t>($ million)</w:t>
      </w:r>
      <w:bookmarkEnd w:id="54"/>
    </w:p>
    <w:tbl>
      <w:tblPr>
        <w:tblStyle w:val="DTFTableNumeric"/>
        <w:tblW w:w="7710" w:type="dxa"/>
        <w:tblLayout w:type="fixed"/>
        <w:tblLook w:val="06A0" w:firstRow="1" w:lastRow="0" w:firstColumn="1" w:lastColumn="0" w:noHBand="1" w:noVBand="1"/>
        <w:tblDescription w:val="Type:DtfTable|Workbook:Rawdata\BudgetUpdate\Budget Update\Financial Statements\SRIMS exports\SRIMS_BU_EFS_OS.xlsx|Table:Other_operating_expenses|MergedHeadingRow:1"/>
      </w:tblPr>
      <w:tblGrid>
        <w:gridCol w:w="3740"/>
        <w:gridCol w:w="794"/>
        <w:gridCol w:w="794"/>
        <w:gridCol w:w="794"/>
        <w:gridCol w:w="794"/>
        <w:gridCol w:w="794"/>
      </w:tblGrid>
      <w:tr w:rsidR="009C6724" w14:paraId="794C2525"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2AD64D85" w14:textId="77777777" w:rsidR="00AB205D" w:rsidRDefault="00AB205D">
            <w:pPr>
              <w:keepNext/>
            </w:pPr>
          </w:p>
        </w:tc>
        <w:tc>
          <w:tcPr>
            <w:tcW w:w="794" w:type="dxa"/>
          </w:tcPr>
          <w:p w14:paraId="7A68AFC5"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budget</w:t>
            </w:r>
          </w:p>
        </w:tc>
        <w:tc>
          <w:tcPr>
            <w:tcW w:w="794" w:type="dxa"/>
          </w:tcPr>
          <w:p w14:paraId="1D2C0B36"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revised</w:t>
            </w:r>
          </w:p>
        </w:tc>
        <w:tc>
          <w:tcPr>
            <w:tcW w:w="794" w:type="dxa"/>
          </w:tcPr>
          <w:p w14:paraId="3DB6C6CC"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r>
              <w:br/>
              <w:t>estimate</w:t>
            </w:r>
          </w:p>
        </w:tc>
        <w:tc>
          <w:tcPr>
            <w:tcW w:w="794" w:type="dxa"/>
          </w:tcPr>
          <w:p w14:paraId="27F55215"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095ABE88"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r>
      <w:tr w:rsidR="009C6724" w14:paraId="66E4C4AF"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7939F00D" w14:textId="77777777" w:rsidR="00AB205D" w:rsidRDefault="00471A3B">
            <w:r>
              <w:t>Purchase of supplies and consumables</w:t>
            </w:r>
            <w:r>
              <w:rPr>
                <w:vertAlign w:val="superscript"/>
              </w:rPr>
              <w:t xml:space="preserve"> (a)</w:t>
            </w:r>
          </w:p>
        </w:tc>
        <w:tc>
          <w:tcPr>
            <w:tcW w:w="794" w:type="dxa"/>
          </w:tcPr>
          <w:p w14:paraId="3EBB2D6A" w14:textId="77777777" w:rsidR="00AB205D" w:rsidRDefault="00471A3B">
            <w:pPr>
              <w:cnfStyle w:val="000000000000" w:firstRow="0" w:lastRow="0" w:firstColumn="0" w:lastColumn="0" w:oddVBand="0" w:evenVBand="0" w:oddHBand="0" w:evenHBand="0" w:firstRowFirstColumn="0" w:firstRowLastColumn="0" w:lastRowFirstColumn="0" w:lastRowLastColumn="0"/>
            </w:pPr>
            <w:r>
              <w:t>7 442</w:t>
            </w:r>
          </w:p>
        </w:tc>
        <w:tc>
          <w:tcPr>
            <w:tcW w:w="794" w:type="dxa"/>
          </w:tcPr>
          <w:p w14:paraId="2DCA1DBE" w14:textId="77777777" w:rsidR="00AB205D" w:rsidRDefault="00471A3B">
            <w:pPr>
              <w:cnfStyle w:val="000000000000" w:firstRow="0" w:lastRow="0" w:firstColumn="0" w:lastColumn="0" w:oddVBand="0" w:evenVBand="0" w:oddHBand="0" w:evenHBand="0" w:firstRowFirstColumn="0" w:firstRowLastColumn="0" w:lastRowFirstColumn="0" w:lastRowLastColumn="0"/>
            </w:pPr>
            <w:r>
              <w:t>7 236</w:t>
            </w:r>
          </w:p>
        </w:tc>
        <w:tc>
          <w:tcPr>
            <w:tcW w:w="794" w:type="dxa"/>
          </w:tcPr>
          <w:p w14:paraId="3DE3BA85" w14:textId="77777777" w:rsidR="00AB205D" w:rsidRDefault="00471A3B">
            <w:pPr>
              <w:cnfStyle w:val="000000000000" w:firstRow="0" w:lastRow="0" w:firstColumn="0" w:lastColumn="0" w:oddVBand="0" w:evenVBand="0" w:oddHBand="0" w:evenHBand="0" w:firstRowFirstColumn="0" w:firstRowLastColumn="0" w:lastRowFirstColumn="0" w:lastRowLastColumn="0"/>
            </w:pPr>
            <w:r>
              <w:t>7 526</w:t>
            </w:r>
          </w:p>
        </w:tc>
        <w:tc>
          <w:tcPr>
            <w:tcW w:w="794" w:type="dxa"/>
          </w:tcPr>
          <w:p w14:paraId="64775881" w14:textId="77777777" w:rsidR="00AB205D" w:rsidRDefault="00471A3B">
            <w:pPr>
              <w:cnfStyle w:val="000000000000" w:firstRow="0" w:lastRow="0" w:firstColumn="0" w:lastColumn="0" w:oddVBand="0" w:evenVBand="0" w:oddHBand="0" w:evenHBand="0" w:firstRowFirstColumn="0" w:firstRowLastColumn="0" w:lastRowFirstColumn="0" w:lastRowLastColumn="0"/>
            </w:pPr>
            <w:r>
              <w:t>8 039</w:t>
            </w:r>
          </w:p>
        </w:tc>
        <w:tc>
          <w:tcPr>
            <w:tcW w:w="794" w:type="dxa"/>
          </w:tcPr>
          <w:p w14:paraId="518B450C" w14:textId="77777777" w:rsidR="00AB205D" w:rsidRDefault="00471A3B">
            <w:pPr>
              <w:cnfStyle w:val="000000000000" w:firstRow="0" w:lastRow="0" w:firstColumn="0" w:lastColumn="0" w:oddVBand="0" w:evenVBand="0" w:oddHBand="0" w:evenHBand="0" w:firstRowFirstColumn="0" w:firstRowLastColumn="0" w:lastRowFirstColumn="0" w:lastRowLastColumn="0"/>
            </w:pPr>
            <w:r>
              <w:t>9 390</w:t>
            </w:r>
          </w:p>
        </w:tc>
      </w:tr>
      <w:tr w:rsidR="009C6724" w14:paraId="71625F1D"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715A59EB" w14:textId="77777777" w:rsidR="00AB205D" w:rsidRDefault="00471A3B">
            <w:r>
              <w:t>Cost of goods sold</w:t>
            </w:r>
          </w:p>
        </w:tc>
        <w:tc>
          <w:tcPr>
            <w:tcW w:w="794" w:type="dxa"/>
          </w:tcPr>
          <w:p w14:paraId="32387F3D" w14:textId="77777777" w:rsidR="00AB205D" w:rsidRDefault="00471A3B">
            <w:pPr>
              <w:cnfStyle w:val="000000000000" w:firstRow="0" w:lastRow="0" w:firstColumn="0" w:lastColumn="0" w:oddVBand="0" w:evenVBand="0" w:oddHBand="0" w:evenHBand="0" w:firstRowFirstColumn="0" w:firstRowLastColumn="0" w:lastRowFirstColumn="0" w:lastRowLastColumn="0"/>
            </w:pPr>
            <w:r>
              <w:t>27</w:t>
            </w:r>
          </w:p>
        </w:tc>
        <w:tc>
          <w:tcPr>
            <w:tcW w:w="794" w:type="dxa"/>
          </w:tcPr>
          <w:p w14:paraId="3C760C2B" w14:textId="77777777" w:rsidR="00AB205D" w:rsidRDefault="00471A3B">
            <w:pPr>
              <w:cnfStyle w:val="000000000000" w:firstRow="0" w:lastRow="0" w:firstColumn="0" w:lastColumn="0" w:oddVBand="0" w:evenVBand="0" w:oddHBand="0" w:evenHBand="0" w:firstRowFirstColumn="0" w:firstRowLastColumn="0" w:lastRowFirstColumn="0" w:lastRowLastColumn="0"/>
            </w:pPr>
            <w:r>
              <w:t>27</w:t>
            </w:r>
          </w:p>
        </w:tc>
        <w:tc>
          <w:tcPr>
            <w:tcW w:w="794" w:type="dxa"/>
          </w:tcPr>
          <w:p w14:paraId="17BDB2A1" w14:textId="77777777" w:rsidR="00AB205D" w:rsidRDefault="00471A3B">
            <w:pPr>
              <w:cnfStyle w:val="000000000000" w:firstRow="0" w:lastRow="0" w:firstColumn="0" w:lastColumn="0" w:oddVBand="0" w:evenVBand="0" w:oddHBand="0" w:evenHBand="0" w:firstRowFirstColumn="0" w:firstRowLastColumn="0" w:lastRowFirstColumn="0" w:lastRowLastColumn="0"/>
            </w:pPr>
            <w:r>
              <w:t>27</w:t>
            </w:r>
          </w:p>
        </w:tc>
        <w:tc>
          <w:tcPr>
            <w:tcW w:w="794" w:type="dxa"/>
          </w:tcPr>
          <w:p w14:paraId="637A7845" w14:textId="77777777" w:rsidR="00AB205D" w:rsidRDefault="00471A3B">
            <w:pPr>
              <w:cnfStyle w:val="000000000000" w:firstRow="0" w:lastRow="0" w:firstColumn="0" w:lastColumn="0" w:oddVBand="0" w:evenVBand="0" w:oddHBand="0" w:evenHBand="0" w:firstRowFirstColumn="0" w:firstRowLastColumn="0" w:lastRowFirstColumn="0" w:lastRowLastColumn="0"/>
            </w:pPr>
            <w:r>
              <w:t>28</w:t>
            </w:r>
          </w:p>
        </w:tc>
        <w:tc>
          <w:tcPr>
            <w:tcW w:w="794" w:type="dxa"/>
          </w:tcPr>
          <w:p w14:paraId="6C64C83B" w14:textId="77777777" w:rsidR="00AB205D" w:rsidRDefault="00471A3B">
            <w:pPr>
              <w:cnfStyle w:val="000000000000" w:firstRow="0" w:lastRow="0" w:firstColumn="0" w:lastColumn="0" w:oddVBand="0" w:evenVBand="0" w:oddHBand="0" w:evenHBand="0" w:firstRowFirstColumn="0" w:firstRowLastColumn="0" w:lastRowFirstColumn="0" w:lastRowLastColumn="0"/>
            </w:pPr>
            <w:r>
              <w:t>28</w:t>
            </w:r>
          </w:p>
        </w:tc>
      </w:tr>
      <w:tr w:rsidR="009C6724" w14:paraId="7BCFCD35"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65E7DA16" w14:textId="77777777" w:rsidR="00AB205D" w:rsidRDefault="00471A3B">
            <w:r>
              <w:t>Finance expenses and fees</w:t>
            </w:r>
          </w:p>
        </w:tc>
        <w:tc>
          <w:tcPr>
            <w:tcW w:w="794" w:type="dxa"/>
          </w:tcPr>
          <w:p w14:paraId="0AA67641" w14:textId="77777777" w:rsidR="00AB205D" w:rsidRDefault="00471A3B">
            <w:pPr>
              <w:cnfStyle w:val="000000000000" w:firstRow="0" w:lastRow="0" w:firstColumn="0" w:lastColumn="0" w:oddVBand="0" w:evenVBand="0" w:oddHBand="0" w:evenHBand="0" w:firstRowFirstColumn="0" w:firstRowLastColumn="0" w:lastRowFirstColumn="0" w:lastRowLastColumn="0"/>
            </w:pPr>
            <w:r>
              <w:t>45</w:t>
            </w:r>
          </w:p>
        </w:tc>
        <w:tc>
          <w:tcPr>
            <w:tcW w:w="794" w:type="dxa"/>
          </w:tcPr>
          <w:p w14:paraId="2F13638C" w14:textId="77777777" w:rsidR="00AB205D" w:rsidRDefault="00471A3B">
            <w:pPr>
              <w:cnfStyle w:val="000000000000" w:firstRow="0" w:lastRow="0" w:firstColumn="0" w:lastColumn="0" w:oddVBand="0" w:evenVBand="0" w:oddHBand="0" w:evenHBand="0" w:firstRowFirstColumn="0" w:firstRowLastColumn="0" w:lastRowFirstColumn="0" w:lastRowLastColumn="0"/>
            </w:pPr>
            <w:r>
              <w:t>27</w:t>
            </w:r>
          </w:p>
        </w:tc>
        <w:tc>
          <w:tcPr>
            <w:tcW w:w="794" w:type="dxa"/>
          </w:tcPr>
          <w:p w14:paraId="15DEB3B9" w14:textId="77777777" w:rsidR="00AB205D" w:rsidRDefault="00471A3B">
            <w:pPr>
              <w:cnfStyle w:val="000000000000" w:firstRow="0" w:lastRow="0" w:firstColumn="0" w:lastColumn="0" w:oddVBand="0" w:evenVBand="0" w:oddHBand="0" w:evenHBand="0" w:firstRowFirstColumn="0" w:firstRowLastColumn="0" w:lastRowFirstColumn="0" w:lastRowLastColumn="0"/>
            </w:pPr>
            <w:r>
              <w:t>27</w:t>
            </w:r>
          </w:p>
        </w:tc>
        <w:tc>
          <w:tcPr>
            <w:tcW w:w="794" w:type="dxa"/>
          </w:tcPr>
          <w:p w14:paraId="1BA18D16" w14:textId="77777777" w:rsidR="00AB205D" w:rsidRDefault="00471A3B">
            <w:pPr>
              <w:cnfStyle w:val="000000000000" w:firstRow="0" w:lastRow="0" w:firstColumn="0" w:lastColumn="0" w:oddVBand="0" w:evenVBand="0" w:oddHBand="0" w:evenHBand="0" w:firstRowFirstColumn="0" w:firstRowLastColumn="0" w:lastRowFirstColumn="0" w:lastRowLastColumn="0"/>
            </w:pPr>
            <w:r>
              <w:t>27</w:t>
            </w:r>
          </w:p>
        </w:tc>
        <w:tc>
          <w:tcPr>
            <w:tcW w:w="794" w:type="dxa"/>
          </w:tcPr>
          <w:p w14:paraId="1FAE4668" w14:textId="77777777" w:rsidR="00AB205D" w:rsidRDefault="00471A3B">
            <w:pPr>
              <w:cnfStyle w:val="000000000000" w:firstRow="0" w:lastRow="0" w:firstColumn="0" w:lastColumn="0" w:oddVBand="0" w:evenVBand="0" w:oddHBand="0" w:evenHBand="0" w:firstRowFirstColumn="0" w:firstRowLastColumn="0" w:lastRowFirstColumn="0" w:lastRowLastColumn="0"/>
            </w:pPr>
            <w:r>
              <w:t>27</w:t>
            </w:r>
          </w:p>
        </w:tc>
      </w:tr>
      <w:tr w:rsidR="009C6724" w14:paraId="630C6C58"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6E006AC1" w14:textId="77777777" w:rsidR="00AB205D" w:rsidRDefault="00471A3B">
            <w:r>
              <w:t>Purchase of services</w:t>
            </w:r>
            <w:r>
              <w:rPr>
                <w:vertAlign w:val="superscript"/>
              </w:rPr>
              <w:t xml:space="preserve"> (a)</w:t>
            </w:r>
          </w:p>
        </w:tc>
        <w:tc>
          <w:tcPr>
            <w:tcW w:w="794" w:type="dxa"/>
          </w:tcPr>
          <w:p w14:paraId="210C5BBC" w14:textId="77777777" w:rsidR="00AB205D" w:rsidRDefault="00471A3B">
            <w:pPr>
              <w:cnfStyle w:val="000000000000" w:firstRow="0" w:lastRow="0" w:firstColumn="0" w:lastColumn="0" w:oddVBand="0" w:evenVBand="0" w:oddHBand="0" w:evenHBand="0" w:firstRowFirstColumn="0" w:firstRowLastColumn="0" w:lastRowFirstColumn="0" w:lastRowLastColumn="0"/>
            </w:pPr>
            <w:r>
              <w:t>15 730</w:t>
            </w:r>
          </w:p>
        </w:tc>
        <w:tc>
          <w:tcPr>
            <w:tcW w:w="794" w:type="dxa"/>
          </w:tcPr>
          <w:p w14:paraId="72280B3E" w14:textId="77777777" w:rsidR="00AB205D" w:rsidRDefault="00471A3B">
            <w:pPr>
              <w:cnfStyle w:val="000000000000" w:firstRow="0" w:lastRow="0" w:firstColumn="0" w:lastColumn="0" w:oddVBand="0" w:evenVBand="0" w:oddHBand="0" w:evenHBand="0" w:firstRowFirstColumn="0" w:firstRowLastColumn="0" w:lastRowFirstColumn="0" w:lastRowLastColumn="0"/>
            </w:pPr>
            <w:r>
              <w:t>16 345</w:t>
            </w:r>
          </w:p>
        </w:tc>
        <w:tc>
          <w:tcPr>
            <w:tcW w:w="794" w:type="dxa"/>
          </w:tcPr>
          <w:p w14:paraId="05444276" w14:textId="77777777" w:rsidR="00AB205D" w:rsidRDefault="00471A3B">
            <w:pPr>
              <w:cnfStyle w:val="000000000000" w:firstRow="0" w:lastRow="0" w:firstColumn="0" w:lastColumn="0" w:oddVBand="0" w:evenVBand="0" w:oddHBand="0" w:evenHBand="0" w:firstRowFirstColumn="0" w:firstRowLastColumn="0" w:lastRowFirstColumn="0" w:lastRowLastColumn="0"/>
            </w:pPr>
            <w:r>
              <w:t>15 134</w:t>
            </w:r>
          </w:p>
        </w:tc>
        <w:tc>
          <w:tcPr>
            <w:tcW w:w="794" w:type="dxa"/>
          </w:tcPr>
          <w:p w14:paraId="26B662F0" w14:textId="77777777" w:rsidR="00AB205D" w:rsidRDefault="00471A3B">
            <w:pPr>
              <w:cnfStyle w:val="000000000000" w:firstRow="0" w:lastRow="0" w:firstColumn="0" w:lastColumn="0" w:oddVBand="0" w:evenVBand="0" w:oddHBand="0" w:evenHBand="0" w:firstRowFirstColumn="0" w:firstRowLastColumn="0" w:lastRowFirstColumn="0" w:lastRowLastColumn="0"/>
            </w:pPr>
            <w:r>
              <w:t>14 924</w:t>
            </w:r>
          </w:p>
        </w:tc>
        <w:tc>
          <w:tcPr>
            <w:tcW w:w="794" w:type="dxa"/>
          </w:tcPr>
          <w:p w14:paraId="3DFE6243" w14:textId="77777777" w:rsidR="00AB205D" w:rsidRDefault="00471A3B">
            <w:pPr>
              <w:cnfStyle w:val="000000000000" w:firstRow="0" w:lastRow="0" w:firstColumn="0" w:lastColumn="0" w:oddVBand="0" w:evenVBand="0" w:oddHBand="0" w:evenHBand="0" w:firstRowFirstColumn="0" w:firstRowLastColumn="0" w:lastRowFirstColumn="0" w:lastRowLastColumn="0"/>
            </w:pPr>
            <w:r>
              <w:t>14 760</w:t>
            </w:r>
          </w:p>
        </w:tc>
      </w:tr>
      <w:tr w:rsidR="009C6724" w14:paraId="07F4CCDA"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6EA55B29" w14:textId="77777777" w:rsidR="00AB205D" w:rsidRDefault="00471A3B">
            <w:r>
              <w:t>Insurance claims expense</w:t>
            </w:r>
          </w:p>
        </w:tc>
        <w:tc>
          <w:tcPr>
            <w:tcW w:w="794" w:type="dxa"/>
          </w:tcPr>
          <w:p w14:paraId="58A72303" w14:textId="77777777" w:rsidR="00AB205D" w:rsidRDefault="00471A3B">
            <w:pPr>
              <w:cnfStyle w:val="000000000000" w:firstRow="0" w:lastRow="0" w:firstColumn="0" w:lastColumn="0" w:oddVBand="0" w:evenVBand="0" w:oddHBand="0" w:evenHBand="0" w:firstRowFirstColumn="0" w:firstRowLastColumn="0" w:lastRowFirstColumn="0" w:lastRowLastColumn="0"/>
            </w:pPr>
            <w:r>
              <w:t>338</w:t>
            </w:r>
          </w:p>
        </w:tc>
        <w:tc>
          <w:tcPr>
            <w:tcW w:w="794" w:type="dxa"/>
          </w:tcPr>
          <w:p w14:paraId="1EF71251" w14:textId="77777777" w:rsidR="00AB205D" w:rsidRDefault="00471A3B">
            <w:pPr>
              <w:cnfStyle w:val="000000000000" w:firstRow="0" w:lastRow="0" w:firstColumn="0" w:lastColumn="0" w:oddVBand="0" w:evenVBand="0" w:oddHBand="0" w:evenHBand="0" w:firstRowFirstColumn="0" w:firstRowLastColumn="0" w:lastRowFirstColumn="0" w:lastRowLastColumn="0"/>
            </w:pPr>
            <w:r>
              <w:t>340</w:t>
            </w:r>
          </w:p>
        </w:tc>
        <w:tc>
          <w:tcPr>
            <w:tcW w:w="794" w:type="dxa"/>
          </w:tcPr>
          <w:p w14:paraId="07867A4E" w14:textId="77777777" w:rsidR="00AB205D" w:rsidRDefault="00471A3B">
            <w:pPr>
              <w:cnfStyle w:val="000000000000" w:firstRow="0" w:lastRow="0" w:firstColumn="0" w:lastColumn="0" w:oddVBand="0" w:evenVBand="0" w:oddHBand="0" w:evenHBand="0" w:firstRowFirstColumn="0" w:firstRowLastColumn="0" w:lastRowFirstColumn="0" w:lastRowLastColumn="0"/>
            </w:pPr>
            <w:r>
              <w:t>337</w:t>
            </w:r>
          </w:p>
        </w:tc>
        <w:tc>
          <w:tcPr>
            <w:tcW w:w="794" w:type="dxa"/>
          </w:tcPr>
          <w:p w14:paraId="4D0EC3BF" w14:textId="77777777" w:rsidR="00AB205D" w:rsidRDefault="00471A3B">
            <w:pPr>
              <w:cnfStyle w:val="000000000000" w:firstRow="0" w:lastRow="0" w:firstColumn="0" w:lastColumn="0" w:oddVBand="0" w:evenVBand="0" w:oddHBand="0" w:evenHBand="0" w:firstRowFirstColumn="0" w:firstRowLastColumn="0" w:lastRowFirstColumn="0" w:lastRowLastColumn="0"/>
            </w:pPr>
            <w:r>
              <w:t>337</w:t>
            </w:r>
          </w:p>
        </w:tc>
        <w:tc>
          <w:tcPr>
            <w:tcW w:w="794" w:type="dxa"/>
          </w:tcPr>
          <w:p w14:paraId="4A78662E" w14:textId="77777777" w:rsidR="00AB205D" w:rsidRDefault="00471A3B">
            <w:pPr>
              <w:cnfStyle w:val="000000000000" w:firstRow="0" w:lastRow="0" w:firstColumn="0" w:lastColumn="0" w:oddVBand="0" w:evenVBand="0" w:oddHBand="0" w:evenHBand="0" w:firstRowFirstColumn="0" w:firstRowLastColumn="0" w:lastRowFirstColumn="0" w:lastRowLastColumn="0"/>
            </w:pPr>
            <w:r>
              <w:t>341</w:t>
            </w:r>
          </w:p>
        </w:tc>
      </w:tr>
      <w:tr w:rsidR="009C6724" w14:paraId="022995B6"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55638E60" w14:textId="77777777" w:rsidR="00AB205D" w:rsidRDefault="00471A3B">
            <w:r>
              <w:t>Maintenance</w:t>
            </w:r>
          </w:p>
        </w:tc>
        <w:tc>
          <w:tcPr>
            <w:tcW w:w="794" w:type="dxa"/>
          </w:tcPr>
          <w:p w14:paraId="6759E824" w14:textId="77777777" w:rsidR="00AB205D" w:rsidRDefault="00471A3B">
            <w:pPr>
              <w:cnfStyle w:val="000000000000" w:firstRow="0" w:lastRow="0" w:firstColumn="0" w:lastColumn="0" w:oddVBand="0" w:evenVBand="0" w:oddHBand="0" w:evenHBand="0" w:firstRowFirstColumn="0" w:firstRowLastColumn="0" w:lastRowFirstColumn="0" w:lastRowLastColumn="0"/>
            </w:pPr>
            <w:r>
              <w:t>1 232</w:t>
            </w:r>
          </w:p>
        </w:tc>
        <w:tc>
          <w:tcPr>
            <w:tcW w:w="794" w:type="dxa"/>
          </w:tcPr>
          <w:p w14:paraId="7F2BA329" w14:textId="77777777" w:rsidR="00AB205D" w:rsidRDefault="00471A3B">
            <w:pPr>
              <w:cnfStyle w:val="000000000000" w:firstRow="0" w:lastRow="0" w:firstColumn="0" w:lastColumn="0" w:oddVBand="0" w:evenVBand="0" w:oddHBand="0" w:evenHBand="0" w:firstRowFirstColumn="0" w:firstRowLastColumn="0" w:lastRowFirstColumn="0" w:lastRowLastColumn="0"/>
            </w:pPr>
            <w:r>
              <w:t>1 242</w:t>
            </w:r>
          </w:p>
        </w:tc>
        <w:tc>
          <w:tcPr>
            <w:tcW w:w="794" w:type="dxa"/>
          </w:tcPr>
          <w:p w14:paraId="481F6649" w14:textId="77777777" w:rsidR="00AB205D" w:rsidRDefault="00471A3B">
            <w:pPr>
              <w:cnfStyle w:val="000000000000" w:firstRow="0" w:lastRow="0" w:firstColumn="0" w:lastColumn="0" w:oddVBand="0" w:evenVBand="0" w:oddHBand="0" w:evenHBand="0" w:firstRowFirstColumn="0" w:firstRowLastColumn="0" w:lastRowFirstColumn="0" w:lastRowLastColumn="0"/>
            </w:pPr>
            <w:r>
              <w:t>1 218</w:t>
            </w:r>
          </w:p>
        </w:tc>
        <w:tc>
          <w:tcPr>
            <w:tcW w:w="794" w:type="dxa"/>
          </w:tcPr>
          <w:p w14:paraId="77A3EB3D" w14:textId="77777777" w:rsidR="00AB205D" w:rsidRDefault="00471A3B">
            <w:pPr>
              <w:cnfStyle w:val="000000000000" w:firstRow="0" w:lastRow="0" w:firstColumn="0" w:lastColumn="0" w:oddVBand="0" w:evenVBand="0" w:oddHBand="0" w:evenHBand="0" w:firstRowFirstColumn="0" w:firstRowLastColumn="0" w:lastRowFirstColumn="0" w:lastRowLastColumn="0"/>
            </w:pPr>
            <w:r>
              <w:t>1 232</w:t>
            </w:r>
          </w:p>
        </w:tc>
        <w:tc>
          <w:tcPr>
            <w:tcW w:w="794" w:type="dxa"/>
          </w:tcPr>
          <w:p w14:paraId="66847280" w14:textId="77777777" w:rsidR="00AB205D" w:rsidRDefault="00471A3B">
            <w:pPr>
              <w:cnfStyle w:val="000000000000" w:firstRow="0" w:lastRow="0" w:firstColumn="0" w:lastColumn="0" w:oddVBand="0" w:evenVBand="0" w:oddHBand="0" w:evenHBand="0" w:firstRowFirstColumn="0" w:firstRowLastColumn="0" w:lastRowFirstColumn="0" w:lastRowLastColumn="0"/>
            </w:pPr>
            <w:r>
              <w:t>1 259</w:t>
            </w:r>
          </w:p>
        </w:tc>
      </w:tr>
      <w:tr w:rsidR="009C6724" w14:paraId="473A9179"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1061083D" w14:textId="77777777" w:rsidR="00AB205D" w:rsidRDefault="00471A3B">
            <w:r>
              <w:t>Short</w:t>
            </w:r>
            <w:r>
              <w:noBreakHyphen/>
              <w:t>term and low value lease expense</w:t>
            </w:r>
          </w:p>
        </w:tc>
        <w:tc>
          <w:tcPr>
            <w:tcW w:w="794" w:type="dxa"/>
          </w:tcPr>
          <w:p w14:paraId="7585CA93" w14:textId="77777777" w:rsidR="00AB205D" w:rsidRDefault="00471A3B">
            <w:pPr>
              <w:cnfStyle w:val="000000000000" w:firstRow="0" w:lastRow="0" w:firstColumn="0" w:lastColumn="0" w:oddVBand="0" w:evenVBand="0" w:oddHBand="0" w:evenHBand="0" w:firstRowFirstColumn="0" w:firstRowLastColumn="0" w:lastRowFirstColumn="0" w:lastRowLastColumn="0"/>
            </w:pPr>
            <w:r>
              <w:t>115</w:t>
            </w:r>
          </w:p>
        </w:tc>
        <w:tc>
          <w:tcPr>
            <w:tcW w:w="794" w:type="dxa"/>
          </w:tcPr>
          <w:p w14:paraId="28B96603" w14:textId="77777777" w:rsidR="00AB205D" w:rsidRDefault="00471A3B">
            <w:pPr>
              <w:cnfStyle w:val="000000000000" w:firstRow="0" w:lastRow="0" w:firstColumn="0" w:lastColumn="0" w:oddVBand="0" w:evenVBand="0" w:oddHBand="0" w:evenHBand="0" w:firstRowFirstColumn="0" w:firstRowLastColumn="0" w:lastRowFirstColumn="0" w:lastRowLastColumn="0"/>
            </w:pPr>
            <w:r>
              <w:t>112</w:t>
            </w:r>
          </w:p>
        </w:tc>
        <w:tc>
          <w:tcPr>
            <w:tcW w:w="794" w:type="dxa"/>
          </w:tcPr>
          <w:p w14:paraId="6B8B3743" w14:textId="77777777" w:rsidR="00AB205D" w:rsidRDefault="00471A3B">
            <w:pPr>
              <w:cnfStyle w:val="000000000000" w:firstRow="0" w:lastRow="0" w:firstColumn="0" w:lastColumn="0" w:oddVBand="0" w:evenVBand="0" w:oddHBand="0" w:evenHBand="0" w:firstRowFirstColumn="0" w:firstRowLastColumn="0" w:lastRowFirstColumn="0" w:lastRowLastColumn="0"/>
            </w:pPr>
            <w:r>
              <w:t>104</w:t>
            </w:r>
          </w:p>
        </w:tc>
        <w:tc>
          <w:tcPr>
            <w:tcW w:w="794" w:type="dxa"/>
          </w:tcPr>
          <w:p w14:paraId="56D3EBB1" w14:textId="77777777" w:rsidR="00AB205D" w:rsidRDefault="00471A3B">
            <w:pPr>
              <w:cnfStyle w:val="000000000000" w:firstRow="0" w:lastRow="0" w:firstColumn="0" w:lastColumn="0" w:oddVBand="0" w:evenVBand="0" w:oddHBand="0" w:evenHBand="0" w:firstRowFirstColumn="0" w:firstRowLastColumn="0" w:lastRowFirstColumn="0" w:lastRowLastColumn="0"/>
            </w:pPr>
            <w:r>
              <w:t>107</w:t>
            </w:r>
          </w:p>
        </w:tc>
        <w:tc>
          <w:tcPr>
            <w:tcW w:w="794" w:type="dxa"/>
          </w:tcPr>
          <w:p w14:paraId="1B05C3F0" w14:textId="77777777" w:rsidR="00AB205D" w:rsidRDefault="00471A3B">
            <w:pPr>
              <w:cnfStyle w:val="000000000000" w:firstRow="0" w:lastRow="0" w:firstColumn="0" w:lastColumn="0" w:oddVBand="0" w:evenVBand="0" w:oddHBand="0" w:evenHBand="0" w:firstRowFirstColumn="0" w:firstRowLastColumn="0" w:lastRowFirstColumn="0" w:lastRowLastColumn="0"/>
            </w:pPr>
            <w:r>
              <w:t>110</w:t>
            </w:r>
          </w:p>
        </w:tc>
      </w:tr>
      <w:tr w:rsidR="009C6724" w14:paraId="0938A0E9"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2CEBAD25" w14:textId="77777777" w:rsidR="00AB205D" w:rsidRDefault="00471A3B">
            <w:r>
              <w:t>Other</w:t>
            </w:r>
          </w:p>
        </w:tc>
        <w:tc>
          <w:tcPr>
            <w:tcW w:w="794" w:type="dxa"/>
            <w:tcBorders>
              <w:bottom w:val="single" w:sz="6" w:space="0" w:color="auto"/>
            </w:tcBorders>
          </w:tcPr>
          <w:p w14:paraId="685E2447" w14:textId="77777777" w:rsidR="00AB205D" w:rsidRDefault="00471A3B">
            <w:pPr>
              <w:cnfStyle w:val="000000000000" w:firstRow="0" w:lastRow="0" w:firstColumn="0" w:lastColumn="0" w:oddVBand="0" w:evenVBand="0" w:oddHBand="0" w:evenHBand="0" w:firstRowFirstColumn="0" w:firstRowLastColumn="0" w:lastRowFirstColumn="0" w:lastRowLastColumn="0"/>
            </w:pPr>
            <w:r>
              <w:t>1 163</w:t>
            </w:r>
          </w:p>
        </w:tc>
        <w:tc>
          <w:tcPr>
            <w:tcW w:w="794" w:type="dxa"/>
            <w:tcBorders>
              <w:bottom w:val="single" w:sz="6" w:space="0" w:color="auto"/>
            </w:tcBorders>
          </w:tcPr>
          <w:p w14:paraId="7EA2AEB3" w14:textId="77777777" w:rsidR="00AB205D" w:rsidRDefault="00471A3B">
            <w:pPr>
              <w:cnfStyle w:val="000000000000" w:firstRow="0" w:lastRow="0" w:firstColumn="0" w:lastColumn="0" w:oddVBand="0" w:evenVBand="0" w:oddHBand="0" w:evenHBand="0" w:firstRowFirstColumn="0" w:firstRowLastColumn="0" w:lastRowFirstColumn="0" w:lastRowLastColumn="0"/>
            </w:pPr>
            <w:r>
              <w:t>1 727</w:t>
            </w:r>
          </w:p>
        </w:tc>
        <w:tc>
          <w:tcPr>
            <w:tcW w:w="794" w:type="dxa"/>
            <w:tcBorders>
              <w:bottom w:val="single" w:sz="6" w:space="0" w:color="auto"/>
            </w:tcBorders>
          </w:tcPr>
          <w:p w14:paraId="42151358" w14:textId="77777777" w:rsidR="00AB205D" w:rsidRDefault="00471A3B">
            <w:pPr>
              <w:cnfStyle w:val="000000000000" w:firstRow="0" w:lastRow="0" w:firstColumn="0" w:lastColumn="0" w:oddVBand="0" w:evenVBand="0" w:oddHBand="0" w:evenHBand="0" w:firstRowFirstColumn="0" w:firstRowLastColumn="0" w:lastRowFirstColumn="0" w:lastRowLastColumn="0"/>
            </w:pPr>
            <w:r>
              <w:t>1 072</w:t>
            </w:r>
          </w:p>
        </w:tc>
        <w:tc>
          <w:tcPr>
            <w:tcW w:w="794" w:type="dxa"/>
            <w:tcBorders>
              <w:bottom w:val="single" w:sz="6" w:space="0" w:color="auto"/>
            </w:tcBorders>
          </w:tcPr>
          <w:p w14:paraId="3D93FCCC" w14:textId="77777777" w:rsidR="00AB205D" w:rsidRDefault="00471A3B">
            <w:pPr>
              <w:cnfStyle w:val="000000000000" w:firstRow="0" w:lastRow="0" w:firstColumn="0" w:lastColumn="0" w:oddVBand="0" w:evenVBand="0" w:oddHBand="0" w:evenHBand="0" w:firstRowFirstColumn="0" w:firstRowLastColumn="0" w:lastRowFirstColumn="0" w:lastRowLastColumn="0"/>
            </w:pPr>
            <w:r>
              <w:t>1 027</w:t>
            </w:r>
          </w:p>
        </w:tc>
        <w:tc>
          <w:tcPr>
            <w:tcW w:w="794" w:type="dxa"/>
            <w:tcBorders>
              <w:bottom w:val="single" w:sz="6" w:space="0" w:color="auto"/>
            </w:tcBorders>
          </w:tcPr>
          <w:p w14:paraId="7155F22D" w14:textId="77777777" w:rsidR="00AB205D" w:rsidRDefault="00471A3B">
            <w:pPr>
              <w:cnfStyle w:val="000000000000" w:firstRow="0" w:lastRow="0" w:firstColumn="0" w:lastColumn="0" w:oddVBand="0" w:evenVBand="0" w:oddHBand="0" w:evenHBand="0" w:firstRowFirstColumn="0" w:firstRowLastColumn="0" w:lastRowFirstColumn="0" w:lastRowLastColumn="0"/>
            </w:pPr>
            <w:r>
              <w:t>1 076</w:t>
            </w:r>
          </w:p>
        </w:tc>
      </w:tr>
      <w:tr w:rsidR="009C6724" w14:paraId="7782180F"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5C81C829" w14:textId="77777777" w:rsidR="00AB205D" w:rsidRDefault="00471A3B">
            <w:r>
              <w:rPr>
                <w:b/>
              </w:rPr>
              <w:t>Total other operating expenses</w:t>
            </w:r>
          </w:p>
        </w:tc>
        <w:tc>
          <w:tcPr>
            <w:tcW w:w="794" w:type="dxa"/>
            <w:tcBorders>
              <w:top w:val="single" w:sz="6" w:space="0" w:color="auto"/>
              <w:bottom w:val="single" w:sz="12" w:space="0" w:color="auto"/>
            </w:tcBorders>
          </w:tcPr>
          <w:p w14:paraId="79E8AB9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26 091</w:t>
            </w:r>
          </w:p>
        </w:tc>
        <w:tc>
          <w:tcPr>
            <w:tcW w:w="794" w:type="dxa"/>
            <w:tcBorders>
              <w:top w:val="single" w:sz="6" w:space="0" w:color="auto"/>
              <w:bottom w:val="single" w:sz="12" w:space="0" w:color="auto"/>
            </w:tcBorders>
          </w:tcPr>
          <w:p w14:paraId="6E0C238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27 055</w:t>
            </w:r>
          </w:p>
        </w:tc>
        <w:tc>
          <w:tcPr>
            <w:tcW w:w="794" w:type="dxa"/>
            <w:tcBorders>
              <w:top w:val="single" w:sz="6" w:space="0" w:color="auto"/>
              <w:bottom w:val="single" w:sz="12" w:space="0" w:color="auto"/>
            </w:tcBorders>
          </w:tcPr>
          <w:p w14:paraId="62BD257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25 445</w:t>
            </w:r>
          </w:p>
        </w:tc>
        <w:tc>
          <w:tcPr>
            <w:tcW w:w="794" w:type="dxa"/>
            <w:tcBorders>
              <w:top w:val="single" w:sz="6" w:space="0" w:color="auto"/>
              <w:bottom w:val="single" w:sz="12" w:space="0" w:color="auto"/>
            </w:tcBorders>
          </w:tcPr>
          <w:p w14:paraId="0D529A6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25 720</w:t>
            </w:r>
          </w:p>
        </w:tc>
        <w:tc>
          <w:tcPr>
            <w:tcW w:w="794" w:type="dxa"/>
            <w:tcBorders>
              <w:top w:val="single" w:sz="6" w:space="0" w:color="auto"/>
              <w:bottom w:val="single" w:sz="12" w:space="0" w:color="auto"/>
            </w:tcBorders>
          </w:tcPr>
          <w:p w14:paraId="34FA0AE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26 991</w:t>
            </w:r>
          </w:p>
        </w:tc>
      </w:tr>
    </w:tbl>
    <w:p w14:paraId="54E20237" w14:textId="77777777" w:rsidR="00AB205D" w:rsidRPr="00FC6AC0" w:rsidRDefault="00471A3B">
      <w:pPr>
        <w:pStyle w:val="Note"/>
      </w:pPr>
      <w:r w:rsidRPr="00FC6AC0">
        <w:t>Note:</w:t>
      </w:r>
    </w:p>
    <w:p w14:paraId="7D7BE11A" w14:textId="77777777" w:rsidR="00AB205D" w:rsidRPr="00FC6AC0" w:rsidRDefault="00471A3B">
      <w:pPr>
        <w:pStyle w:val="Note"/>
      </w:pPr>
      <w:r w:rsidRPr="00FC6AC0">
        <w:t>(a)</w:t>
      </w:r>
      <w:r w:rsidRPr="00FC6AC0">
        <w:tab/>
        <w:t>The following two tables break down the purchase of supplies and consumables and the purchase of services.</w:t>
      </w:r>
    </w:p>
    <w:p w14:paraId="14779C95" w14:textId="77777777" w:rsidR="00AB205D" w:rsidRDefault="00AB205D"/>
    <w:p w14:paraId="4BBEB69A" w14:textId="77777777" w:rsidR="00AB205D" w:rsidRDefault="00AB205D"/>
    <w:p w14:paraId="6E700DCE" w14:textId="77777777" w:rsidR="00AB205D" w:rsidRPr="00E60C19" w:rsidRDefault="00471A3B">
      <w:pPr>
        <w:pStyle w:val="TableHeading"/>
      </w:pPr>
      <w:r w:rsidRPr="00E60C19">
        <w:t>Purchase of supplies and consumables</w:t>
      </w:r>
      <w:r w:rsidRPr="00E60C19">
        <w:tab/>
        <w:t>($ million)</w:t>
      </w:r>
    </w:p>
    <w:tbl>
      <w:tblPr>
        <w:tblStyle w:val="DTFTableNumeric"/>
        <w:tblW w:w="7710" w:type="dxa"/>
        <w:tblLayout w:type="fixed"/>
        <w:tblLook w:val="06A0" w:firstRow="1" w:lastRow="0" w:firstColumn="1" w:lastColumn="0" w:noHBand="1" w:noVBand="1"/>
        <w:tblDescription w:val="Type:DtfTable|Workbook:Rawdata\BudgetUpdate\Budget Update\Financial Statements\SRIMS exports\SRIMS_BU_EFS_OS.xlsx|Table:Purchase_supplies|MergedHeadingRow:1"/>
      </w:tblPr>
      <w:tblGrid>
        <w:gridCol w:w="3740"/>
        <w:gridCol w:w="794"/>
        <w:gridCol w:w="794"/>
        <w:gridCol w:w="794"/>
        <w:gridCol w:w="794"/>
        <w:gridCol w:w="794"/>
      </w:tblGrid>
      <w:tr w:rsidR="009C6724" w14:paraId="48C42405"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5BCE8C33" w14:textId="77777777" w:rsidR="00AB205D" w:rsidRDefault="00AB205D">
            <w:pPr>
              <w:keepNext/>
            </w:pPr>
          </w:p>
        </w:tc>
        <w:tc>
          <w:tcPr>
            <w:tcW w:w="794" w:type="dxa"/>
          </w:tcPr>
          <w:p w14:paraId="1DE55DD1"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budget</w:t>
            </w:r>
          </w:p>
        </w:tc>
        <w:tc>
          <w:tcPr>
            <w:tcW w:w="794" w:type="dxa"/>
          </w:tcPr>
          <w:p w14:paraId="034CD3E0"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revised</w:t>
            </w:r>
          </w:p>
        </w:tc>
        <w:tc>
          <w:tcPr>
            <w:tcW w:w="794" w:type="dxa"/>
          </w:tcPr>
          <w:p w14:paraId="3568EDA6"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r>
              <w:br/>
              <w:t>estimate</w:t>
            </w:r>
          </w:p>
        </w:tc>
        <w:tc>
          <w:tcPr>
            <w:tcW w:w="794" w:type="dxa"/>
          </w:tcPr>
          <w:p w14:paraId="1571D8C5"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4B95B16B"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r>
      <w:tr w:rsidR="009C6724" w14:paraId="2033E155"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7A6BEF7" w14:textId="77777777" w:rsidR="00AB205D" w:rsidRDefault="00471A3B">
            <w:r>
              <w:t>Medicinal pharmacy and medical supplies</w:t>
            </w:r>
          </w:p>
        </w:tc>
        <w:tc>
          <w:tcPr>
            <w:tcW w:w="794" w:type="dxa"/>
          </w:tcPr>
          <w:p w14:paraId="42F8D9D4" w14:textId="77777777" w:rsidR="00AB205D" w:rsidRDefault="00471A3B">
            <w:pPr>
              <w:cnfStyle w:val="000000000000" w:firstRow="0" w:lastRow="0" w:firstColumn="0" w:lastColumn="0" w:oddVBand="0" w:evenVBand="0" w:oddHBand="0" w:evenHBand="0" w:firstRowFirstColumn="0" w:firstRowLastColumn="0" w:lastRowFirstColumn="0" w:lastRowLastColumn="0"/>
            </w:pPr>
            <w:r>
              <w:t>2 275</w:t>
            </w:r>
          </w:p>
        </w:tc>
        <w:tc>
          <w:tcPr>
            <w:tcW w:w="794" w:type="dxa"/>
          </w:tcPr>
          <w:p w14:paraId="5FC97A86" w14:textId="77777777" w:rsidR="00AB205D" w:rsidRDefault="00471A3B">
            <w:pPr>
              <w:cnfStyle w:val="000000000000" w:firstRow="0" w:lastRow="0" w:firstColumn="0" w:lastColumn="0" w:oddVBand="0" w:evenVBand="0" w:oddHBand="0" w:evenHBand="0" w:firstRowFirstColumn="0" w:firstRowLastColumn="0" w:lastRowFirstColumn="0" w:lastRowLastColumn="0"/>
            </w:pPr>
            <w:r>
              <w:t>2 191</w:t>
            </w:r>
          </w:p>
        </w:tc>
        <w:tc>
          <w:tcPr>
            <w:tcW w:w="794" w:type="dxa"/>
          </w:tcPr>
          <w:p w14:paraId="4F6E3EB8" w14:textId="77777777" w:rsidR="00AB205D" w:rsidRDefault="00471A3B">
            <w:pPr>
              <w:cnfStyle w:val="000000000000" w:firstRow="0" w:lastRow="0" w:firstColumn="0" w:lastColumn="0" w:oddVBand="0" w:evenVBand="0" w:oddHBand="0" w:evenHBand="0" w:firstRowFirstColumn="0" w:firstRowLastColumn="0" w:lastRowFirstColumn="0" w:lastRowLastColumn="0"/>
            </w:pPr>
            <w:r>
              <w:t>2 086</w:t>
            </w:r>
          </w:p>
        </w:tc>
        <w:tc>
          <w:tcPr>
            <w:tcW w:w="794" w:type="dxa"/>
          </w:tcPr>
          <w:p w14:paraId="53690317" w14:textId="77777777" w:rsidR="00AB205D" w:rsidRDefault="00471A3B">
            <w:pPr>
              <w:cnfStyle w:val="000000000000" w:firstRow="0" w:lastRow="0" w:firstColumn="0" w:lastColumn="0" w:oddVBand="0" w:evenVBand="0" w:oddHBand="0" w:evenHBand="0" w:firstRowFirstColumn="0" w:firstRowLastColumn="0" w:lastRowFirstColumn="0" w:lastRowLastColumn="0"/>
            </w:pPr>
            <w:r>
              <w:t>2 074</w:t>
            </w:r>
          </w:p>
        </w:tc>
        <w:tc>
          <w:tcPr>
            <w:tcW w:w="794" w:type="dxa"/>
          </w:tcPr>
          <w:p w14:paraId="7EA878EC" w14:textId="77777777" w:rsidR="00AB205D" w:rsidRDefault="00471A3B">
            <w:pPr>
              <w:cnfStyle w:val="000000000000" w:firstRow="0" w:lastRow="0" w:firstColumn="0" w:lastColumn="0" w:oddVBand="0" w:evenVBand="0" w:oddHBand="0" w:evenHBand="0" w:firstRowFirstColumn="0" w:firstRowLastColumn="0" w:lastRowFirstColumn="0" w:lastRowLastColumn="0"/>
            </w:pPr>
            <w:r>
              <w:t>2 108</w:t>
            </w:r>
          </w:p>
        </w:tc>
      </w:tr>
      <w:tr w:rsidR="009C6724" w14:paraId="3EA6F44F"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01584D6E" w14:textId="77777777" w:rsidR="00AB205D" w:rsidRDefault="00471A3B">
            <w:r>
              <w:t>Office supplies and consumables</w:t>
            </w:r>
          </w:p>
        </w:tc>
        <w:tc>
          <w:tcPr>
            <w:tcW w:w="794" w:type="dxa"/>
          </w:tcPr>
          <w:p w14:paraId="339F1661" w14:textId="77777777" w:rsidR="00AB205D" w:rsidRDefault="00471A3B">
            <w:pPr>
              <w:cnfStyle w:val="000000000000" w:firstRow="0" w:lastRow="0" w:firstColumn="0" w:lastColumn="0" w:oddVBand="0" w:evenVBand="0" w:oddHBand="0" w:evenHBand="0" w:firstRowFirstColumn="0" w:firstRowLastColumn="0" w:lastRowFirstColumn="0" w:lastRowLastColumn="0"/>
            </w:pPr>
            <w:r>
              <w:t>187</w:t>
            </w:r>
          </w:p>
        </w:tc>
        <w:tc>
          <w:tcPr>
            <w:tcW w:w="794" w:type="dxa"/>
          </w:tcPr>
          <w:p w14:paraId="792A6186" w14:textId="77777777" w:rsidR="00AB205D" w:rsidRDefault="00471A3B">
            <w:pPr>
              <w:cnfStyle w:val="000000000000" w:firstRow="0" w:lastRow="0" w:firstColumn="0" w:lastColumn="0" w:oddVBand="0" w:evenVBand="0" w:oddHBand="0" w:evenHBand="0" w:firstRowFirstColumn="0" w:firstRowLastColumn="0" w:lastRowFirstColumn="0" w:lastRowLastColumn="0"/>
            </w:pPr>
            <w:r>
              <w:t>195</w:t>
            </w:r>
          </w:p>
        </w:tc>
        <w:tc>
          <w:tcPr>
            <w:tcW w:w="794" w:type="dxa"/>
          </w:tcPr>
          <w:p w14:paraId="69EC58A9" w14:textId="77777777" w:rsidR="00AB205D" w:rsidRDefault="00471A3B">
            <w:pPr>
              <w:cnfStyle w:val="000000000000" w:firstRow="0" w:lastRow="0" w:firstColumn="0" w:lastColumn="0" w:oddVBand="0" w:evenVBand="0" w:oddHBand="0" w:evenHBand="0" w:firstRowFirstColumn="0" w:firstRowLastColumn="0" w:lastRowFirstColumn="0" w:lastRowLastColumn="0"/>
            </w:pPr>
            <w:r>
              <w:t>183</w:t>
            </w:r>
          </w:p>
        </w:tc>
        <w:tc>
          <w:tcPr>
            <w:tcW w:w="794" w:type="dxa"/>
          </w:tcPr>
          <w:p w14:paraId="2B12411C" w14:textId="77777777" w:rsidR="00AB205D" w:rsidRDefault="00471A3B">
            <w:pPr>
              <w:cnfStyle w:val="000000000000" w:firstRow="0" w:lastRow="0" w:firstColumn="0" w:lastColumn="0" w:oddVBand="0" w:evenVBand="0" w:oddHBand="0" w:evenHBand="0" w:firstRowFirstColumn="0" w:firstRowLastColumn="0" w:lastRowFirstColumn="0" w:lastRowLastColumn="0"/>
            </w:pPr>
            <w:r>
              <w:t>184</w:t>
            </w:r>
          </w:p>
        </w:tc>
        <w:tc>
          <w:tcPr>
            <w:tcW w:w="794" w:type="dxa"/>
          </w:tcPr>
          <w:p w14:paraId="7658905B" w14:textId="77777777" w:rsidR="00AB205D" w:rsidRDefault="00471A3B">
            <w:pPr>
              <w:cnfStyle w:val="000000000000" w:firstRow="0" w:lastRow="0" w:firstColumn="0" w:lastColumn="0" w:oddVBand="0" w:evenVBand="0" w:oddHBand="0" w:evenHBand="0" w:firstRowFirstColumn="0" w:firstRowLastColumn="0" w:lastRowFirstColumn="0" w:lastRowLastColumn="0"/>
            </w:pPr>
            <w:r>
              <w:t>186</w:t>
            </w:r>
          </w:p>
        </w:tc>
      </w:tr>
      <w:tr w:rsidR="009C6724" w14:paraId="752403FA"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5F76147" w14:textId="77777777" w:rsidR="00AB205D" w:rsidRDefault="00471A3B">
            <w:r>
              <w:t>Specialised operational supplies and consumables</w:t>
            </w:r>
          </w:p>
        </w:tc>
        <w:tc>
          <w:tcPr>
            <w:tcW w:w="794" w:type="dxa"/>
          </w:tcPr>
          <w:p w14:paraId="1E5BADD2" w14:textId="77777777" w:rsidR="00AB205D" w:rsidRDefault="00471A3B">
            <w:pPr>
              <w:cnfStyle w:val="000000000000" w:firstRow="0" w:lastRow="0" w:firstColumn="0" w:lastColumn="0" w:oddVBand="0" w:evenVBand="0" w:oddHBand="0" w:evenHBand="0" w:firstRowFirstColumn="0" w:firstRowLastColumn="0" w:lastRowFirstColumn="0" w:lastRowLastColumn="0"/>
            </w:pPr>
            <w:r>
              <w:t>136</w:t>
            </w:r>
          </w:p>
        </w:tc>
        <w:tc>
          <w:tcPr>
            <w:tcW w:w="794" w:type="dxa"/>
          </w:tcPr>
          <w:p w14:paraId="3E2820A3" w14:textId="77777777" w:rsidR="00AB205D" w:rsidRDefault="00471A3B">
            <w:pPr>
              <w:cnfStyle w:val="000000000000" w:firstRow="0" w:lastRow="0" w:firstColumn="0" w:lastColumn="0" w:oddVBand="0" w:evenVBand="0" w:oddHBand="0" w:evenHBand="0" w:firstRowFirstColumn="0" w:firstRowLastColumn="0" w:lastRowFirstColumn="0" w:lastRowLastColumn="0"/>
            </w:pPr>
            <w:r>
              <w:t>165</w:t>
            </w:r>
          </w:p>
        </w:tc>
        <w:tc>
          <w:tcPr>
            <w:tcW w:w="794" w:type="dxa"/>
          </w:tcPr>
          <w:p w14:paraId="2478F4C5" w14:textId="77777777" w:rsidR="00AB205D" w:rsidRDefault="00471A3B">
            <w:pPr>
              <w:cnfStyle w:val="000000000000" w:firstRow="0" w:lastRow="0" w:firstColumn="0" w:lastColumn="0" w:oddVBand="0" w:evenVBand="0" w:oddHBand="0" w:evenHBand="0" w:firstRowFirstColumn="0" w:firstRowLastColumn="0" w:lastRowFirstColumn="0" w:lastRowLastColumn="0"/>
            </w:pPr>
            <w:r>
              <w:t>148</w:t>
            </w:r>
          </w:p>
        </w:tc>
        <w:tc>
          <w:tcPr>
            <w:tcW w:w="794" w:type="dxa"/>
          </w:tcPr>
          <w:p w14:paraId="4F52DE17" w14:textId="77777777" w:rsidR="00AB205D" w:rsidRDefault="00471A3B">
            <w:pPr>
              <w:cnfStyle w:val="000000000000" w:firstRow="0" w:lastRow="0" w:firstColumn="0" w:lastColumn="0" w:oddVBand="0" w:evenVBand="0" w:oddHBand="0" w:evenHBand="0" w:firstRowFirstColumn="0" w:firstRowLastColumn="0" w:lastRowFirstColumn="0" w:lastRowLastColumn="0"/>
            </w:pPr>
            <w:r>
              <w:t>118</w:t>
            </w:r>
          </w:p>
        </w:tc>
        <w:tc>
          <w:tcPr>
            <w:tcW w:w="794" w:type="dxa"/>
          </w:tcPr>
          <w:p w14:paraId="391EFEDC" w14:textId="77777777" w:rsidR="00AB205D" w:rsidRDefault="00471A3B">
            <w:pPr>
              <w:cnfStyle w:val="000000000000" w:firstRow="0" w:lastRow="0" w:firstColumn="0" w:lastColumn="0" w:oddVBand="0" w:evenVBand="0" w:oddHBand="0" w:evenHBand="0" w:firstRowFirstColumn="0" w:firstRowLastColumn="0" w:lastRowFirstColumn="0" w:lastRowLastColumn="0"/>
            </w:pPr>
            <w:r>
              <w:t>111</w:t>
            </w:r>
          </w:p>
        </w:tc>
      </w:tr>
      <w:tr w:rsidR="009C6724" w14:paraId="52E48DA2"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01B987A8" w14:textId="77777777" w:rsidR="00AB205D" w:rsidRDefault="00471A3B">
            <w:r>
              <w:t>Other purchase of supplies and consumables</w:t>
            </w:r>
          </w:p>
        </w:tc>
        <w:tc>
          <w:tcPr>
            <w:tcW w:w="794" w:type="dxa"/>
            <w:tcBorders>
              <w:bottom w:val="single" w:sz="6" w:space="0" w:color="auto"/>
            </w:tcBorders>
          </w:tcPr>
          <w:p w14:paraId="4595F8FE" w14:textId="77777777" w:rsidR="00AB205D" w:rsidRDefault="00471A3B">
            <w:pPr>
              <w:cnfStyle w:val="000000000000" w:firstRow="0" w:lastRow="0" w:firstColumn="0" w:lastColumn="0" w:oddVBand="0" w:evenVBand="0" w:oddHBand="0" w:evenHBand="0" w:firstRowFirstColumn="0" w:firstRowLastColumn="0" w:lastRowFirstColumn="0" w:lastRowLastColumn="0"/>
            </w:pPr>
            <w:r>
              <w:t>4 844</w:t>
            </w:r>
          </w:p>
        </w:tc>
        <w:tc>
          <w:tcPr>
            <w:tcW w:w="794" w:type="dxa"/>
            <w:tcBorders>
              <w:bottom w:val="single" w:sz="6" w:space="0" w:color="auto"/>
            </w:tcBorders>
          </w:tcPr>
          <w:p w14:paraId="257E14A0" w14:textId="77777777" w:rsidR="00AB205D" w:rsidRDefault="00471A3B">
            <w:pPr>
              <w:cnfStyle w:val="000000000000" w:firstRow="0" w:lastRow="0" w:firstColumn="0" w:lastColumn="0" w:oddVBand="0" w:evenVBand="0" w:oddHBand="0" w:evenHBand="0" w:firstRowFirstColumn="0" w:firstRowLastColumn="0" w:lastRowFirstColumn="0" w:lastRowLastColumn="0"/>
            </w:pPr>
            <w:r>
              <w:t>4 685</w:t>
            </w:r>
          </w:p>
        </w:tc>
        <w:tc>
          <w:tcPr>
            <w:tcW w:w="794" w:type="dxa"/>
            <w:tcBorders>
              <w:bottom w:val="single" w:sz="6" w:space="0" w:color="auto"/>
            </w:tcBorders>
          </w:tcPr>
          <w:p w14:paraId="70E9FB44" w14:textId="77777777" w:rsidR="00AB205D" w:rsidRDefault="00471A3B">
            <w:pPr>
              <w:cnfStyle w:val="000000000000" w:firstRow="0" w:lastRow="0" w:firstColumn="0" w:lastColumn="0" w:oddVBand="0" w:evenVBand="0" w:oddHBand="0" w:evenHBand="0" w:firstRowFirstColumn="0" w:firstRowLastColumn="0" w:lastRowFirstColumn="0" w:lastRowLastColumn="0"/>
            </w:pPr>
            <w:r>
              <w:t>5 108</w:t>
            </w:r>
          </w:p>
        </w:tc>
        <w:tc>
          <w:tcPr>
            <w:tcW w:w="794" w:type="dxa"/>
            <w:tcBorders>
              <w:bottom w:val="single" w:sz="6" w:space="0" w:color="auto"/>
            </w:tcBorders>
          </w:tcPr>
          <w:p w14:paraId="5B5941EF" w14:textId="77777777" w:rsidR="00AB205D" w:rsidRDefault="00471A3B">
            <w:pPr>
              <w:cnfStyle w:val="000000000000" w:firstRow="0" w:lastRow="0" w:firstColumn="0" w:lastColumn="0" w:oddVBand="0" w:evenVBand="0" w:oddHBand="0" w:evenHBand="0" w:firstRowFirstColumn="0" w:firstRowLastColumn="0" w:lastRowFirstColumn="0" w:lastRowLastColumn="0"/>
            </w:pPr>
            <w:r>
              <w:t>5 663</w:t>
            </w:r>
          </w:p>
        </w:tc>
        <w:tc>
          <w:tcPr>
            <w:tcW w:w="794" w:type="dxa"/>
            <w:tcBorders>
              <w:bottom w:val="single" w:sz="6" w:space="0" w:color="auto"/>
            </w:tcBorders>
          </w:tcPr>
          <w:p w14:paraId="0A434CC3" w14:textId="77777777" w:rsidR="00AB205D" w:rsidRDefault="00471A3B">
            <w:pPr>
              <w:cnfStyle w:val="000000000000" w:firstRow="0" w:lastRow="0" w:firstColumn="0" w:lastColumn="0" w:oddVBand="0" w:evenVBand="0" w:oddHBand="0" w:evenHBand="0" w:firstRowFirstColumn="0" w:firstRowLastColumn="0" w:lastRowFirstColumn="0" w:lastRowLastColumn="0"/>
            </w:pPr>
            <w:r>
              <w:t>6 986</w:t>
            </w:r>
          </w:p>
        </w:tc>
      </w:tr>
      <w:tr w:rsidR="009C6724" w14:paraId="5E0A4D06"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251A73EB" w14:textId="77777777" w:rsidR="00AB205D" w:rsidRDefault="00471A3B">
            <w:r>
              <w:rPr>
                <w:b/>
              </w:rPr>
              <w:t>Total purchase of supplies and consumables</w:t>
            </w:r>
          </w:p>
        </w:tc>
        <w:tc>
          <w:tcPr>
            <w:tcW w:w="794" w:type="dxa"/>
            <w:tcBorders>
              <w:top w:val="single" w:sz="6" w:space="0" w:color="auto"/>
              <w:bottom w:val="single" w:sz="12" w:space="0" w:color="auto"/>
            </w:tcBorders>
          </w:tcPr>
          <w:p w14:paraId="02DDBFB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7 442</w:t>
            </w:r>
          </w:p>
        </w:tc>
        <w:tc>
          <w:tcPr>
            <w:tcW w:w="794" w:type="dxa"/>
            <w:tcBorders>
              <w:top w:val="single" w:sz="6" w:space="0" w:color="auto"/>
              <w:bottom w:val="single" w:sz="12" w:space="0" w:color="auto"/>
            </w:tcBorders>
          </w:tcPr>
          <w:p w14:paraId="10106B9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7 236</w:t>
            </w:r>
          </w:p>
        </w:tc>
        <w:tc>
          <w:tcPr>
            <w:tcW w:w="794" w:type="dxa"/>
            <w:tcBorders>
              <w:top w:val="single" w:sz="6" w:space="0" w:color="auto"/>
              <w:bottom w:val="single" w:sz="12" w:space="0" w:color="auto"/>
            </w:tcBorders>
          </w:tcPr>
          <w:p w14:paraId="60FBEB0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7 526</w:t>
            </w:r>
          </w:p>
        </w:tc>
        <w:tc>
          <w:tcPr>
            <w:tcW w:w="794" w:type="dxa"/>
            <w:tcBorders>
              <w:top w:val="single" w:sz="6" w:space="0" w:color="auto"/>
              <w:bottom w:val="single" w:sz="12" w:space="0" w:color="auto"/>
            </w:tcBorders>
          </w:tcPr>
          <w:p w14:paraId="3B74495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8 039</w:t>
            </w:r>
          </w:p>
        </w:tc>
        <w:tc>
          <w:tcPr>
            <w:tcW w:w="794" w:type="dxa"/>
            <w:tcBorders>
              <w:top w:val="single" w:sz="6" w:space="0" w:color="auto"/>
              <w:bottom w:val="single" w:sz="12" w:space="0" w:color="auto"/>
            </w:tcBorders>
          </w:tcPr>
          <w:p w14:paraId="772EEB6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9 390</w:t>
            </w:r>
          </w:p>
        </w:tc>
      </w:tr>
    </w:tbl>
    <w:p w14:paraId="4C39C169" w14:textId="77777777" w:rsidR="00AB205D" w:rsidRDefault="00AB205D"/>
    <w:p w14:paraId="5EBDB801" w14:textId="77777777" w:rsidR="00AB205D" w:rsidRDefault="00AB205D"/>
    <w:p w14:paraId="2F48D68E" w14:textId="77777777" w:rsidR="00AB205D" w:rsidRPr="00E60C19" w:rsidRDefault="00471A3B">
      <w:pPr>
        <w:pStyle w:val="TableHeading"/>
      </w:pPr>
      <w:r w:rsidRPr="00E60C19">
        <w:t>Purchase of services</w:t>
      </w:r>
      <w:r w:rsidRPr="00E60C19">
        <w:tab/>
        <w:t>($ million)</w:t>
      </w:r>
    </w:p>
    <w:tbl>
      <w:tblPr>
        <w:tblStyle w:val="DTFTableNumeric"/>
        <w:tblW w:w="7710" w:type="dxa"/>
        <w:tblLayout w:type="fixed"/>
        <w:tblLook w:val="06A0" w:firstRow="1" w:lastRow="0" w:firstColumn="1" w:lastColumn="0" w:noHBand="1" w:noVBand="1"/>
        <w:tblDescription w:val="Type:DtfTable|Workbook:Rawdata\BudgetUpdate\Budget Update\Financial Statements\SRIMS exports\SRIMS_BU_EFS_OS.xlsx|Table:Purchase_services|MergedHeadingRow:1"/>
      </w:tblPr>
      <w:tblGrid>
        <w:gridCol w:w="3740"/>
        <w:gridCol w:w="794"/>
        <w:gridCol w:w="794"/>
        <w:gridCol w:w="794"/>
        <w:gridCol w:w="794"/>
        <w:gridCol w:w="794"/>
      </w:tblGrid>
      <w:tr w:rsidR="009C6724" w14:paraId="3049195D"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185BD769" w14:textId="77777777" w:rsidR="00AB205D" w:rsidRDefault="00AB205D">
            <w:pPr>
              <w:keepNext/>
            </w:pPr>
          </w:p>
        </w:tc>
        <w:tc>
          <w:tcPr>
            <w:tcW w:w="794" w:type="dxa"/>
          </w:tcPr>
          <w:p w14:paraId="1663981C"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budget</w:t>
            </w:r>
          </w:p>
        </w:tc>
        <w:tc>
          <w:tcPr>
            <w:tcW w:w="794" w:type="dxa"/>
          </w:tcPr>
          <w:p w14:paraId="05CF3029"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revised</w:t>
            </w:r>
          </w:p>
        </w:tc>
        <w:tc>
          <w:tcPr>
            <w:tcW w:w="794" w:type="dxa"/>
          </w:tcPr>
          <w:p w14:paraId="78773B08"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r>
              <w:br/>
              <w:t>estimate</w:t>
            </w:r>
          </w:p>
        </w:tc>
        <w:tc>
          <w:tcPr>
            <w:tcW w:w="794" w:type="dxa"/>
          </w:tcPr>
          <w:p w14:paraId="11208D35"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28D5E1ED"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r>
      <w:tr w:rsidR="009C6724" w14:paraId="224293EA"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7F5EDD92" w14:textId="77777777" w:rsidR="00AB205D" w:rsidRDefault="00471A3B">
            <w:r>
              <w:t>Service contracts</w:t>
            </w:r>
          </w:p>
        </w:tc>
        <w:tc>
          <w:tcPr>
            <w:tcW w:w="794" w:type="dxa"/>
          </w:tcPr>
          <w:p w14:paraId="7567339B" w14:textId="77777777" w:rsidR="00AB205D" w:rsidRDefault="00471A3B">
            <w:pPr>
              <w:cnfStyle w:val="000000000000" w:firstRow="0" w:lastRow="0" w:firstColumn="0" w:lastColumn="0" w:oddVBand="0" w:evenVBand="0" w:oddHBand="0" w:evenHBand="0" w:firstRowFirstColumn="0" w:firstRowLastColumn="0" w:lastRowFirstColumn="0" w:lastRowLastColumn="0"/>
            </w:pPr>
            <w:r>
              <w:t>10 069</w:t>
            </w:r>
          </w:p>
        </w:tc>
        <w:tc>
          <w:tcPr>
            <w:tcW w:w="794" w:type="dxa"/>
          </w:tcPr>
          <w:p w14:paraId="1333AE08" w14:textId="77777777" w:rsidR="00AB205D" w:rsidRDefault="00471A3B">
            <w:pPr>
              <w:cnfStyle w:val="000000000000" w:firstRow="0" w:lastRow="0" w:firstColumn="0" w:lastColumn="0" w:oddVBand="0" w:evenVBand="0" w:oddHBand="0" w:evenHBand="0" w:firstRowFirstColumn="0" w:firstRowLastColumn="0" w:lastRowFirstColumn="0" w:lastRowLastColumn="0"/>
            </w:pPr>
            <w:r>
              <w:t>10 272</w:t>
            </w:r>
          </w:p>
        </w:tc>
        <w:tc>
          <w:tcPr>
            <w:tcW w:w="794" w:type="dxa"/>
          </w:tcPr>
          <w:p w14:paraId="40A831F6" w14:textId="77777777" w:rsidR="00AB205D" w:rsidRDefault="00471A3B">
            <w:pPr>
              <w:cnfStyle w:val="000000000000" w:firstRow="0" w:lastRow="0" w:firstColumn="0" w:lastColumn="0" w:oddVBand="0" w:evenVBand="0" w:oddHBand="0" w:evenHBand="0" w:firstRowFirstColumn="0" w:firstRowLastColumn="0" w:lastRowFirstColumn="0" w:lastRowLastColumn="0"/>
            </w:pPr>
            <w:r>
              <w:t>9 542</w:t>
            </w:r>
          </w:p>
        </w:tc>
        <w:tc>
          <w:tcPr>
            <w:tcW w:w="794" w:type="dxa"/>
          </w:tcPr>
          <w:p w14:paraId="0F918808" w14:textId="77777777" w:rsidR="00AB205D" w:rsidRDefault="00471A3B">
            <w:pPr>
              <w:cnfStyle w:val="000000000000" w:firstRow="0" w:lastRow="0" w:firstColumn="0" w:lastColumn="0" w:oddVBand="0" w:evenVBand="0" w:oddHBand="0" w:evenHBand="0" w:firstRowFirstColumn="0" w:firstRowLastColumn="0" w:lastRowFirstColumn="0" w:lastRowLastColumn="0"/>
            </w:pPr>
            <w:r>
              <w:t>9 492</w:t>
            </w:r>
          </w:p>
        </w:tc>
        <w:tc>
          <w:tcPr>
            <w:tcW w:w="794" w:type="dxa"/>
          </w:tcPr>
          <w:p w14:paraId="5D1C5054" w14:textId="77777777" w:rsidR="00AB205D" w:rsidRDefault="00471A3B">
            <w:pPr>
              <w:cnfStyle w:val="000000000000" w:firstRow="0" w:lastRow="0" w:firstColumn="0" w:lastColumn="0" w:oddVBand="0" w:evenVBand="0" w:oddHBand="0" w:evenHBand="0" w:firstRowFirstColumn="0" w:firstRowLastColumn="0" w:lastRowFirstColumn="0" w:lastRowLastColumn="0"/>
            </w:pPr>
            <w:r>
              <w:t>9 285</w:t>
            </w:r>
          </w:p>
        </w:tc>
      </w:tr>
      <w:tr w:rsidR="009C6724" w14:paraId="03BDC58B"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6F3132F9" w14:textId="77777777" w:rsidR="00AB205D" w:rsidRDefault="00471A3B">
            <w:r>
              <w:t>Accommodation/occupancy</w:t>
            </w:r>
          </w:p>
        </w:tc>
        <w:tc>
          <w:tcPr>
            <w:tcW w:w="794" w:type="dxa"/>
          </w:tcPr>
          <w:p w14:paraId="4D7D78C9" w14:textId="77777777" w:rsidR="00AB205D" w:rsidRDefault="00471A3B">
            <w:pPr>
              <w:cnfStyle w:val="000000000000" w:firstRow="0" w:lastRow="0" w:firstColumn="0" w:lastColumn="0" w:oddVBand="0" w:evenVBand="0" w:oddHBand="0" w:evenHBand="0" w:firstRowFirstColumn="0" w:firstRowLastColumn="0" w:lastRowFirstColumn="0" w:lastRowLastColumn="0"/>
            </w:pPr>
            <w:r>
              <w:t>938</w:t>
            </w:r>
          </w:p>
        </w:tc>
        <w:tc>
          <w:tcPr>
            <w:tcW w:w="794" w:type="dxa"/>
          </w:tcPr>
          <w:p w14:paraId="618F9A73" w14:textId="77777777" w:rsidR="00AB205D" w:rsidRDefault="00471A3B">
            <w:pPr>
              <w:cnfStyle w:val="000000000000" w:firstRow="0" w:lastRow="0" w:firstColumn="0" w:lastColumn="0" w:oddVBand="0" w:evenVBand="0" w:oddHBand="0" w:evenHBand="0" w:firstRowFirstColumn="0" w:firstRowLastColumn="0" w:lastRowFirstColumn="0" w:lastRowLastColumn="0"/>
            </w:pPr>
            <w:r>
              <w:t>945</w:t>
            </w:r>
          </w:p>
        </w:tc>
        <w:tc>
          <w:tcPr>
            <w:tcW w:w="794" w:type="dxa"/>
          </w:tcPr>
          <w:p w14:paraId="5D25090A" w14:textId="77777777" w:rsidR="00AB205D" w:rsidRDefault="00471A3B">
            <w:pPr>
              <w:cnfStyle w:val="000000000000" w:firstRow="0" w:lastRow="0" w:firstColumn="0" w:lastColumn="0" w:oddVBand="0" w:evenVBand="0" w:oddHBand="0" w:evenHBand="0" w:firstRowFirstColumn="0" w:firstRowLastColumn="0" w:lastRowFirstColumn="0" w:lastRowLastColumn="0"/>
            </w:pPr>
            <w:r>
              <w:t>935</w:t>
            </w:r>
          </w:p>
        </w:tc>
        <w:tc>
          <w:tcPr>
            <w:tcW w:w="794" w:type="dxa"/>
          </w:tcPr>
          <w:p w14:paraId="70D8A79C" w14:textId="77777777" w:rsidR="00AB205D" w:rsidRDefault="00471A3B">
            <w:pPr>
              <w:cnfStyle w:val="000000000000" w:firstRow="0" w:lastRow="0" w:firstColumn="0" w:lastColumn="0" w:oddVBand="0" w:evenVBand="0" w:oddHBand="0" w:evenHBand="0" w:firstRowFirstColumn="0" w:firstRowLastColumn="0" w:lastRowFirstColumn="0" w:lastRowLastColumn="0"/>
            </w:pPr>
            <w:r>
              <w:t>939</w:t>
            </w:r>
          </w:p>
        </w:tc>
        <w:tc>
          <w:tcPr>
            <w:tcW w:w="794" w:type="dxa"/>
          </w:tcPr>
          <w:p w14:paraId="42A309DA" w14:textId="77777777" w:rsidR="00AB205D" w:rsidRDefault="00471A3B">
            <w:pPr>
              <w:cnfStyle w:val="000000000000" w:firstRow="0" w:lastRow="0" w:firstColumn="0" w:lastColumn="0" w:oddVBand="0" w:evenVBand="0" w:oddHBand="0" w:evenHBand="0" w:firstRowFirstColumn="0" w:firstRowLastColumn="0" w:lastRowFirstColumn="0" w:lastRowLastColumn="0"/>
            </w:pPr>
            <w:r>
              <w:t>960</w:t>
            </w:r>
          </w:p>
        </w:tc>
      </w:tr>
      <w:tr w:rsidR="009C6724" w14:paraId="17ADFFC3"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25014B4" w14:textId="77777777" w:rsidR="00AB205D" w:rsidRDefault="00471A3B">
            <w:r>
              <w:t>Medical and client care services</w:t>
            </w:r>
          </w:p>
        </w:tc>
        <w:tc>
          <w:tcPr>
            <w:tcW w:w="794" w:type="dxa"/>
          </w:tcPr>
          <w:p w14:paraId="7537017F" w14:textId="77777777" w:rsidR="00AB205D" w:rsidRDefault="00471A3B">
            <w:pPr>
              <w:cnfStyle w:val="000000000000" w:firstRow="0" w:lastRow="0" w:firstColumn="0" w:lastColumn="0" w:oddVBand="0" w:evenVBand="0" w:oddHBand="0" w:evenHBand="0" w:firstRowFirstColumn="0" w:firstRowLastColumn="0" w:lastRowFirstColumn="0" w:lastRowLastColumn="0"/>
            </w:pPr>
            <w:r>
              <w:t>494</w:t>
            </w:r>
          </w:p>
        </w:tc>
        <w:tc>
          <w:tcPr>
            <w:tcW w:w="794" w:type="dxa"/>
          </w:tcPr>
          <w:p w14:paraId="5A41699C" w14:textId="77777777" w:rsidR="00AB205D" w:rsidRDefault="00471A3B">
            <w:pPr>
              <w:cnfStyle w:val="000000000000" w:firstRow="0" w:lastRow="0" w:firstColumn="0" w:lastColumn="0" w:oddVBand="0" w:evenVBand="0" w:oddHBand="0" w:evenHBand="0" w:firstRowFirstColumn="0" w:firstRowLastColumn="0" w:lastRowFirstColumn="0" w:lastRowLastColumn="0"/>
            </w:pPr>
            <w:r>
              <w:t>495</w:t>
            </w:r>
          </w:p>
        </w:tc>
        <w:tc>
          <w:tcPr>
            <w:tcW w:w="794" w:type="dxa"/>
          </w:tcPr>
          <w:p w14:paraId="1A7D64E9" w14:textId="77777777" w:rsidR="00AB205D" w:rsidRDefault="00471A3B">
            <w:pPr>
              <w:cnfStyle w:val="000000000000" w:firstRow="0" w:lastRow="0" w:firstColumn="0" w:lastColumn="0" w:oddVBand="0" w:evenVBand="0" w:oddHBand="0" w:evenHBand="0" w:firstRowFirstColumn="0" w:firstRowLastColumn="0" w:lastRowFirstColumn="0" w:lastRowLastColumn="0"/>
            </w:pPr>
            <w:r>
              <w:t>489</w:t>
            </w:r>
          </w:p>
        </w:tc>
        <w:tc>
          <w:tcPr>
            <w:tcW w:w="794" w:type="dxa"/>
          </w:tcPr>
          <w:p w14:paraId="5794ECF3" w14:textId="77777777" w:rsidR="00AB205D" w:rsidRDefault="00471A3B">
            <w:pPr>
              <w:cnfStyle w:val="000000000000" w:firstRow="0" w:lastRow="0" w:firstColumn="0" w:lastColumn="0" w:oddVBand="0" w:evenVBand="0" w:oddHBand="0" w:evenHBand="0" w:firstRowFirstColumn="0" w:firstRowLastColumn="0" w:lastRowFirstColumn="0" w:lastRowLastColumn="0"/>
            </w:pPr>
            <w:r>
              <w:t>487</w:t>
            </w:r>
          </w:p>
        </w:tc>
        <w:tc>
          <w:tcPr>
            <w:tcW w:w="794" w:type="dxa"/>
          </w:tcPr>
          <w:p w14:paraId="075309DC" w14:textId="77777777" w:rsidR="00AB205D" w:rsidRDefault="00471A3B">
            <w:pPr>
              <w:cnfStyle w:val="000000000000" w:firstRow="0" w:lastRow="0" w:firstColumn="0" w:lastColumn="0" w:oddVBand="0" w:evenVBand="0" w:oddHBand="0" w:evenHBand="0" w:firstRowFirstColumn="0" w:firstRowLastColumn="0" w:lastRowFirstColumn="0" w:lastRowLastColumn="0"/>
            </w:pPr>
            <w:r>
              <w:t>495</w:t>
            </w:r>
          </w:p>
        </w:tc>
      </w:tr>
      <w:tr w:rsidR="009C6724" w14:paraId="51C14404"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09399038" w14:textId="77777777" w:rsidR="00AB205D" w:rsidRDefault="00471A3B">
            <w:r>
              <w:t>Staff related expenses (non</w:t>
            </w:r>
            <w:r>
              <w:noBreakHyphen/>
              <w:t>labour related)</w:t>
            </w:r>
          </w:p>
        </w:tc>
        <w:tc>
          <w:tcPr>
            <w:tcW w:w="794" w:type="dxa"/>
          </w:tcPr>
          <w:p w14:paraId="005E668D" w14:textId="77777777" w:rsidR="00AB205D" w:rsidRDefault="00471A3B">
            <w:pPr>
              <w:cnfStyle w:val="000000000000" w:firstRow="0" w:lastRow="0" w:firstColumn="0" w:lastColumn="0" w:oddVBand="0" w:evenVBand="0" w:oddHBand="0" w:evenHBand="0" w:firstRowFirstColumn="0" w:firstRowLastColumn="0" w:lastRowFirstColumn="0" w:lastRowLastColumn="0"/>
            </w:pPr>
            <w:r>
              <w:t>402</w:t>
            </w:r>
          </w:p>
        </w:tc>
        <w:tc>
          <w:tcPr>
            <w:tcW w:w="794" w:type="dxa"/>
          </w:tcPr>
          <w:p w14:paraId="4090D729" w14:textId="77777777" w:rsidR="00AB205D" w:rsidRDefault="00471A3B">
            <w:pPr>
              <w:cnfStyle w:val="000000000000" w:firstRow="0" w:lastRow="0" w:firstColumn="0" w:lastColumn="0" w:oddVBand="0" w:evenVBand="0" w:oddHBand="0" w:evenHBand="0" w:firstRowFirstColumn="0" w:firstRowLastColumn="0" w:lastRowFirstColumn="0" w:lastRowLastColumn="0"/>
            </w:pPr>
            <w:r>
              <w:t>422</w:t>
            </w:r>
          </w:p>
        </w:tc>
        <w:tc>
          <w:tcPr>
            <w:tcW w:w="794" w:type="dxa"/>
          </w:tcPr>
          <w:p w14:paraId="0F9B129F" w14:textId="77777777" w:rsidR="00AB205D" w:rsidRDefault="00471A3B">
            <w:pPr>
              <w:cnfStyle w:val="000000000000" w:firstRow="0" w:lastRow="0" w:firstColumn="0" w:lastColumn="0" w:oddVBand="0" w:evenVBand="0" w:oddHBand="0" w:evenHBand="0" w:firstRowFirstColumn="0" w:firstRowLastColumn="0" w:lastRowFirstColumn="0" w:lastRowLastColumn="0"/>
            </w:pPr>
            <w:r>
              <w:t>365</w:t>
            </w:r>
          </w:p>
        </w:tc>
        <w:tc>
          <w:tcPr>
            <w:tcW w:w="794" w:type="dxa"/>
          </w:tcPr>
          <w:p w14:paraId="4B260DA4" w14:textId="77777777" w:rsidR="00AB205D" w:rsidRDefault="00471A3B">
            <w:pPr>
              <w:cnfStyle w:val="000000000000" w:firstRow="0" w:lastRow="0" w:firstColumn="0" w:lastColumn="0" w:oddVBand="0" w:evenVBand="0" w:oddHBand="0" w:evenHBand="0" w:firstRowFirstColumn="0" w:firstRowLastColumn="0" w:lastRowFirstColumn="0" w:lastRowLastColumn="0"/>
            </w:pPr>
            <w:r>
              <w:t>347</w:t>
            </w:r>
          </w:p>
        </w:tc>
        <w:tc>
          <w:tcPr>
            <w:tcW w:w="794" w:type="dxa"/>
          </w:tcPr>
          <w:p w14:paraId="0DE6290B" w14:textId="77777777" w:rsidR="00AB205D" w:rsidRDefault="00471A3B">
            <w:pPr>
              <w:cnfStyle w:val="000000000000" w:firstRow="0" w:lastRow="0" w:firstColumn="0" w:lastColumn="0" w:oddVBand="0" w:evenVBand="0" w:oddHBand="0" w:evenHBand="0" w:firstRowFirstColumn="0" w:firstRowLastColumn="0" w:lastRowFirstColumn="0" w:lastRowLastColumn="0"/>
            </w:pPr>
            <w:r>
              <w:t>344</w:t>
            </w:r>
          </w:p>
        </w:tc>
      </w:tr>
      <w:tr w:rsidR="009C6724" w14:paraId="07BD57E3"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7E5B300E" w14:textId="77777777" w:rsidR="00AB205D" w:rsidRDefault="00471A3B">
            <w:r>
              <w:t>Other purchase of services</w:t>
            </w:r>
          </w:p>
        </w:tc>
        <w:tc>
          <w:tcPr>
            <w:tcW w:w="794" w:type="dxa"/>
            <w:tcBorders>
              <w:bottom w:val="single" w:sz="6" w:space="0" w:color="auto"/>
            </w:tcBorders>
          </w:tcPr>
          <w:p w14:paraId="0B4F8ACA" w14:textId="77777777" w:rsidR="00AB205D" w:rsidRDefault="00471A3B">
            <w:pPr>
              <w:cnfStyle w:val="000000000000" w:firstRow="0" w:lastRow="0" w:firstColumn="0" w:lastColumn="0" w:oddVBand="0" w:evenVBand="0" w:oddHBand="0" w:evenHBand="0" w:firstRowFirstColumn="0" w:firstRowLastColumn="0" w:lastRowFirstColumn="0" w:lastRowLastColumn="0"/>
            </w:pPr>
            <w:r>
              <w:t>3 827</w:t>
            </w:r>
          </w:p>
        </w:tc>
        <w:tc>
          <w:tcPr>
            <w:tcW w:w="794" w:type="dxa"/>
            <w:tcBorders>
              <w:bottom w:val="single" w:sz="6" w:space="0" w:color="auto"/>
            </w:tcBorders>
          </w:tcPr>
          <w:p w14:paraId="058C2B0C" w14:textId="77777777" w:rsidR="00AB205D" w:rsidRDefault="00471A3B">
            <w:pPr>
              <w:cnfStyle w:val="000000000000" w:firstRow="0" w:lastRow="0" w:firstColumn="0" w:lastColumn="0" w:oddVBand="0" w:evenVBand="0" w:oddHBand="0" w:evenHBand="0" w:firstRowFirstColumn="0" w:firstRowLastColumn="0" w:lastRowFirstColumn="0" w:lastRowLastColumn="0"/>
            </w:pPr>
            <w:r>
              <w:t>4 211</w:t>
            </w:r>
          </w:p>
        </w:tc>
        <w:tc>
          <w:tcPr>
            <w:tcW w:w="794" w:type="dxa"/>
            <w:tcBorders>
              <w:bottom w:val="single" w:sz="6" w:space="0" w:color="auto"/>
            </w:tcBorders>
          </w:tcPr>
          <w:p w14:paraId="6D5C1FA8" w14:textId="77777777" w:rsidR="00AB205D" w:rsidRDefault="00471A3B">
            <w:pPr>
              <w:cnfStyle w:val="000000000000" w:firstRow="0" w:lastRow="0" w:firstColumn="0" w:lastColumn="0" w:oddVBand="0" w:evenVBand="0" w:oddHBand="0" w:evenHBand="0" w:firstRowFirstColumn="0" w:firstRowLastColumn="0" w:lastRowFirstColumn="0" w:lastRowLastColumn="0"/>
            </w:pPr>
            <w:r>
              <w:t>3 804</w:t>
            </w:r>
          </w:p>
        </w:tc>
        <w:tc>
          <w:tcPr>
            <w:tcW w:w="794" w:type="dxa"/>
            <w:tcBorders>
              <w:bottom w:val="single" w:sz="6" w:space="0" w:color="auto"/>
            </w:tcBorders>
          </w:tcPr>
          <w:p w14:paraId="023767FF" w14:textId="77777777" w:rsidR="00AB205D" w:rsidRDefault="00471A3B">
            <w:pPr>
              <w:cnfStyle w:val="000000000000" w:firstRow="0" w:lastRow="0" w:firstColumn="0" w:lastColumn="0" w:oddVBand="0" w:evenVBand="0" w:oddHBand="0" w:evenHBand="0" w:firstRowFirstColumn="0" w:firstRowLastColumn="0" w:lastRowFirstColumn="0" w:lastRowLastColumn="0"/>
            </w:pPr>
            <w:r>
              <w:t>3 659</w:t>
            </w:r>
          </w:p>
        </w:tc>
        <w:tc>
          <w:tcPr>
            <w:tcW w:w="794" w:type="dxa"/>
            <w:tcBorders>
              <w:bottom w:val="single" w:sz="6" w:space="0" w:color="auto"/>
            </w:tcBorders>
          </w:tcPr>
          <w:p w14:paraId="229D4DC6" w14:textId="77777777" w:rsidR="00AB205D" w:rsidRDefault="00471A3B">
            <w:pPr>
              <w:cnfStyle w:val="000000000000" w:firstRow="0" w:lastRow="0" w:firstColumn="0" w:lastColumn="0" w:oddVBand="0" w:evenVBand="0" w:oddHBand="0" w:evenHBand="0" w:firstRowFirstColumn="0" w:firstRowLastColumn="0" w:lastRowFirstColumn="0" w:lastRowLastColumn="0"/>
            </w:pPr>
            <w:r>
              <w:t>3 676</w:t>
            </w:r>
          </w:p>
        </w:tc>
      </w:tr>
      <w:tr w:rsidR="009C6724" w14:paraId="53353AE5"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05E1575D" w14:textId="77777777" w:rsidR="00AB205D" w:rsidRDefault="00471A3B">
            <w:r>
              <w:rPr>
                <w:b/>
              </w:rPr>
              <w:t>Total purchase of services</w:t>
            </w:r>
          </w:p>
        </w:tc>
        <w:tc>
          <w:tcPr>
            <w:tcW w:w="794" w:type="dxa"/>
            <w:tcBorders>
              <w:top w:val="single" w:sz="6" w:space="0" w:color="auto"/>
              <w:bottom w:val="single" w:sz="12" w:space="0" w:color="auto"/>
            </w:tcBorders>
          </w:tcPr>
          <w:p w14:paraId="30E1519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15 730</w:t>
            </w:r>
          </w:p>
        </w:tc>
        <w:tc>
          <w:tcPr>
            <w:tcW w:w="794" w:type="dxa"/>
            <w:tcBorders>
              <w:top w:val="single" w:sz="6" w:space="0" w:color="auto"/>
              <w:bottom w:val="single" w:sz="12" w:space="0" w:color="auto"/>
            </w:tcBorders>
          </w:tcPr>
          <w:p w14:paraId="4F0400A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16 345</w:t>
            </w:r>
          </w:p>
        </w:tc>
        <w:tc>
          <w:tcPr>
            <w:tcW w:w="794" w:type="dxa"/>
            <w:tcBorders>
              <w:top w:val="single" w:sz="6" w:space="0" w:color="auto"/>
              <w:bottom w:val="single" w:sz="12" w:space="0" w:color="auto"/>
            </w:tcBorders>
          </w:tcPr>
          <w:p w14:paraId="67999E4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15 134</w:t>
            </w:r>
          </w:p>
        </w:tc>
        <w:tc>
          <w:tcPr>
            <w:tcW w:w="794" w:type="dxa"/>
            <w:tcBorders>
              <w:top w:val="single" w:sz="6" w:space="0" w:color="auto"/>
              <w:bottom w:val="single" w:sz="12" w:space="0" w:color="auto"/>
            </w:tcBorders>
          </w:tcPr>
          <w:p w14:paraId="0B599F3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14 924</w:t>
            </w:r>
          </w:p>
        </w:tc>
        <w:tc>
          <w:tcPr>
            <w:tcW w:w="794" w:type="dxa"/>
            <w:tcBorders>
              <w:top w:val="single" w:sz="6" w:space="0" w:color="auto"/>
              <w:bottom w:val="single" w:sz="12" w:space="0" w:color="auto"/>
            </w:tcBorders>
          </w:tcPr>
          <w:p w14:paraId="083E259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14 760</w:t>
            </w:r>
          </w:p>
        </w:tc>
      </w:tr>
    </w:tbl>
    <w:p w14:paraId="3C2134A4" w14:textId="77777777" w:rsidR="00AB205D" w:rsidRPr="000404D2" w:rsidRDefault="00471A3B">
      <w:pPr>
        <w:pStyle w:val="Heading3"/>
        <w:pageBreakBefore/>
        <w:rPr>
          <w:sz w:val="21"/>
          <w:szCs w:val="21"/>
        </w:rPr>
      </w:pPr>
      <w:bookmarkStart w:id="55" w:name="_Toc149221032"/>
      <w:r w:rsidRPr="000404D2">
        <w:rPr>
          <w:sz w:val="21"/>
          <w:szCs w:val="21"/>
        </w:rPr>
        <w:lastRenderedPageBreak/>
        <w:t xml:space="preserve">Total expenses by classification of the functions of government </w:t>
      </w:r>
      <w:r w:rsidRPr="000404D2">
        <w:rPr>
          <w:sz w:val="21"/>
          <w:szCs w:val="21"/>
        </w:rPr>
        <w:br/>
        <w:t>and by portfolio department</w:t>
      </w:r>
      <w:bookmarkEnd w:id="55"/>
    </w:p>
    <w:p w14:paraId="60ED3C10" w14:textId="77777777" w:rsidR="00AB205D" w:rsidRDefault="00471A3B">
      <w:pPr>
        <w:pStyle w:val="TableHeading"/>
      </w:pPr>
      <w:r>
        <w:t xml:space="preserve">Expenses from transactions by classification of the functions of government </w:t>
      </w:r>
      <w:r>
        <w:tab/>
        <w:t>($ million)</w:t>
      </w:r>
    </w:p>
    <w:tbl>
      <w:tblPr>
        <w:tblStyle w:val="DTFTableNumeric"/>
        <w:tblW w:w="7710" w:type="dxa"/>
        <w:tblLayout w:type="fixed"/>
        <w:tblLook w:val="06A0" w:firstRow="1" w:lastRow="0" w:firstColumn="1" w:lastColumn="0" w:noHBand="1" w:noVBand="1"/>
        <w:tblDescription w:val="Type:DtfTable|Workbook:Rawdata\BudgetUpdate\Budget Update\Financial Statements\Manual reports\COFOG\Link_BU_COFOG.xlsx|Table:Total_expenses_by_COFOG|MergedHeadingRow:1"/>
      </w:tblPr>
      <w:tblGrid>
        <w:gridCol w:w="3740"/>
        <w:gridCol w:w="794"/>
        <w:gridCol w:w="794"/>
        <w:gridCol w:w="794"/>
        <w:gridCol w:w="794"/>
        <w:gridCol w:w="794"/>
      </w:tblGrid>
      <w:tr w:rsidR="009C6724" w14:paraId="51945D19"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08260C68" w14:textId="77777777" w:rsidR="00AB205D" w:rsidRDefault="00AB205D">
            <w:pPr>
              <w:keepNext/>
            </w:pPr>
          </w:p>
        </w:tc>
        <w:tc>
          <w:tcPr>
            <w:tcW w:w="794" w:type="dxa"/>
          </w:tcPr>
          <w:p w14:paraId="36B6960C"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budget</w:t>
            </w:r>
          </w:p>
        </w:tc>
        <w:tc>
          <w:tcPr>
            <w:tcW w:w="794" w:type="dxa"/>
          </w:tcPr>
          <w:p w14:paraId="15A720E8"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revised</w:t>
            </w:r>
          </w:p>
        </w:tc>
        <w:tc>
          <w:tcPr>
            <w:tcW w:w="794" w:type="dxa"/>
          </w:tcPr>
          <w:p w14:paraId="47A60FE4"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r>
              <w:br/>
              <w:t>estimate</w:t>
            </w:r>
          </w:p>
        </w:tc>
        <w:tc>
          <w:tcPr>
            <w:tcW w:w="794" w:type="dxa"/>
          </w:tcPr>
          <w:p w14:paraId="48BC6CBA"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7FA3FFAC"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r>
      <w:tr w:rsidR="009C6724" w14:paraId="1A3EAA08"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3C46C69" w14:textId="77777777" w:rsidR="00AB205D" w:rsidRDefault="00471A3B">
            <w:r>
              <w:t>General public services</w:t>
            </w:r>
          </w:p>
        </w:tc>
        <w:tc>
          <w:tcPr>
            <w:tcW w:w="794" w:type="dxa"/>
          </w:tcPr>
          <w:p w14:paraId="617FDA4D" w14:textId="77777777" w:rsidR="00AB205D" w:rsidRDefault="00471A3B">
            <w:pPr>
              <w:cnfStyle w:val="000000000000" w:firstRow="0" w:lastRow="0" w:firstColumn="0" w:lastColumn="0" w:oddVBand="0" w:evenVBand="0" w:oddHBand="0" w:evenHBand="0" w:firstRowFirstColumn="0" w:firstRowLastColumn="0" w:lastRowFirstColumn="0" w:lastRowLastColumn="0"/>
            </w:pPr>
            <w:r>
              <w:t>8 930</w:t>
            </w:r>
          </w:p>
        </w:tc>
        <w:tc>
          <w:tcPr>
            <w:tcW w:w="794" w:type="dxa"/>
          </w:tcPr>
          <w:p w14:paraId="00E693DE" w14:textId="77777777" w:rsidR="00AB205D" w:rsidRDefault="00471A3B">
            <w:pPr>
              <w:cnfStyle w:val="000000000000" w:firstRow="0" w:lastRow="0" w:firstColumn="0" w:lastColumn="0" w:oddVBand="0" w:evenVBand="0" w:oddHBand="0" w:evenHBand="0" w:firstRowFirstColumn="0" w:firstRowLastColumn="0" w:lastRowFirstColumn="0" w:lastRowLastColumn="0"/>
            </w:pPr>
            <w:r>
              <w:t>9 093</w:t>
            </w:r>
          </w:p>
        </w:tc>
        <w:tc>
          <w:tcPr>
            <w:tcW w:w="794" w:type="dxa"/>
          </w:tcPr>
          <w:p w14:paraId="28C36199" w14:textId="77777777" w:rsidR="00AB205D" w:rsidRDefault="00471A3B">
            <w:pPr>
              <w:cnfStyle w:val="000000000000" w:firstRow="0" w:lastRow="0" w:firstColumn="0" w:lastColumn="0" w:oddVBand="0" w:evenVBand="0" w:oddHBand="0" w:evenHBand="0" w:firstRowFirstColumn="0" w:firstRowLastColumn="0" w:lastRowFirstColumn="0" w:lastRowLastColumn="0"/>
            </w:pPr>
            <w:r>
              <w:t>9 914</w:t>
            </w:r>
          </w:p>
        </w:tc>
        <w:tc>
          <w:tcPr>
            <w:tcW w:w="794" w:type="dxa"/>
          </w:tcPr>
          <w:p w14:paraId="6A83FC07" w14:textId="77777777" w:rsidR="00AB205D" w:rsidRDefault="00471A3B">
            <w:pPr>
              <w:cnfStyle w:val="000000000000" w:firstRow="0" w:lastRow="0" w:firstColumn="0" w:lastColumn="0" w:oddVBand="0" w:evenVBand="0" w:oddHBand="0" w:evenHBand="0" w:firstRowFirstColumn="0" w:firstRowLastColumn="0" w:lastRowFirstColumn="0" w:lastRowLastColumn="0"/>
            </w:pPr>
            <w:r>
              <w:t>10 918</w:t>
            </w:r>
          </w:p>
        </w:tc>
        <w:tc>
          <w:tcPr>
            <w:tcW w:w="794" w:type="dxa"/>
          </w:tcPr>
          <w:p w14:paraId="64688EE4" w14:textId="77777777" w:rsidR="00AB205D" w:rsidRDefault="00471A3B">
            <w:pPr>
              <w:cnfStyle w:val="000000000000" w:firstRow="0" w:lastRow="0" w:firstColumn="0" w:lastColumn="0" w:oddVBand="0" w:evenVBand="0" w:oddHBand="0" w:evenHBand="0" w:firstRowFirstColumn="0" w:firstRowLastColumn="0" w:lastRowFirstColumn="0" w:lastRowLastColumn="0"/>
            </w:pPr>
            <w:r>
              <w:t>12 040</w:t>
            </w:r>
          </w:p>
        </w:tc>
      </w:tr>
      <w:tr w:rsidR="009C6724" w14:paraId="341CCA69"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710DA947" w14:textId="77777777" w:rsidR="00AB205D" w:rsidRDefault="00471A3B">
            <w:r>
              <w:t>Public order and safety</w:t>
            </w:r>
          </w:p>
        </w:tc>
        <w:tc>
          <w:tcPr>
            <w:tcW w:w="794" w:type="dxa"/>
          </w:tcPr>
          <w:p w14:paraId="342407B9" w14:textId="77777777" w:rsidR="00AB205D" w:rsidRDefault="00471A3B">
            <w:pPr>
              <w:cnfStyle w:val="000000000000" w:firstRow="0" w:lastRow="0" w:firstColumn="0" w:lastColumn="0" w:oddVBand="0" w:evenVBand="0" w:oddHBand="0" w:evenHBand="0" w:firstRowFirstColumn="0" w:firstRowLastColumn="0" w:lastRowFirstColumn="0" w:lastRowLastColumn="0"/>
            </w:pPr>
            <w:r>
              <w:t>11 150</w:t>
            </w:r>
          </w:p>
        </w:tc>
        <w:tc>
          <w:tcPr>
            <w:tcW w:w="794" w:type="dxa"/>
          </w:tcPr>
          <w:p w14:paraId="654912A8" w14:textId="77777777" w:rsidR="00AB205D" w:rsidRDefault="00471A3B">
            <w:pPr>
              <w:cnfStyle w:val="000000000000" w:firstRow="0" w:lastRow="0" w:firstColumn="0" w:lastColumn="0" w:oddVBand="0" w:evenVBand="0" w:oddHBand="0" w:evenHBand="0" w:firstRowFirstColumn="0" w:firstRowLastColumn="0" w:lastRowFirstColumn="0" w:lastRowLastColumn="0"/>
            </w:pPr>
            <w:r>
              <w:t>11 649</w:t>
            </w:r>
          </w:p>
        </w:tc>
        <w:tc>
          <w:tcPr>
            <w:tcW w:w="794" w:type="dxa"/>
          </w:tcPr>
          <w:p w14:paraId="3F5D97B0" w14:textId="77777777" w:rsidR="00AB205D" w:rsidRDefault="00471A3B">
            <w:pPr>
              <w:cnfStyle w:val="000000000000" w:firstRow="0" w:lastRow="0" w:firstColumn="0" w:lastColumn="0" w:oddVBand="0" w:evenVBand="0" w:oddHBand="0" w:evenHBand="0" w:firstRowFirstColumn="0" w:firstRowLastColumn="0" w:lastRowFirstColumn="0" w:lastRowLastColumn="0"/>
            </w:pPr>
            <w:r>
              <w:t>10 849</w:t>
            </w:r>
          </w:p>
        </w:tc>
        <w:tc>
          <w:tcPr>
            <w:tcW w:w="794" w:type="dxa"/>
          </w:tcPr>
          <w:p w14:paraId="049120EB" w14:textId="77777777" w:rsidR="00AB205D" w:rsidRDefault="00471A3B">
            <w:pPr>
              <w:cnfStyle w:val="000000000000" w:firstRow="0" w:lastRow="0" w:firstColumn="0" w:lastColumn="0" w:oddVBand="0" w:evenVBand="0" w:oddHBand="0" w:evenHBand="0" w:firstRowFirstColumn="0" w:firstRowLastColumn="0" w:lastRowFirstColumn="0" w:lastRowLastColumn="0"/>
            </w:pPr>
            <w:r>
              <w:t>10 636</w:t>
            </w:r>
          </w:p>
        </w:tc>
        <w:tc>
          <w:tcPr>
            <w:tcW w:w="794" w:type="dxa"/>
          </w:tcPr>
          <w:p w14:paraId="4EA89303" w14:textId="77777777" w:rsidR="00AB205D" w:rsidRDefault="00471A3B">
            <w:pPr>
              <w:cnfStyle w:val="000000000000" w:firstRow="0" w:lastRow="0" w:firstColumn="0" w:lastColumn="0" w:oddVBand="0" w:evenVBand="0" w:oddHBand="0" w:evenHBand="0" w:firstRowFirstColumn="0" w:firstRowLastColumn="0" w:lastRowFirstColumn="0" w:lastRowLastColumn="0"/>
            </w:pPr>
            <w:r>
              <w:t>10 621</w:t>
            </w:r>
          </w:p>
        </w:tc>
      </w:tr>
      <w:tr w:rsidR="009C6724" w14:paraId="073006DD"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F8DDC56" w14:textId="77777777" w:rsidR="00AB205D" w:rsidRDefault="00471A3B">
            <w:r>
              <w:t>Economic affairs</w:t>
            </w:r>
            <w:r>
              <w:rPr>
                <w:vertAlign w:val="superscript"/>
              </w:rPr>
              <w:t xml:space="preserve"> (a)</w:t>
            </w:r>
          </w:p>
        </w:tc>
        <w:tc>
          <w:tcPr>
            <w:tcW w:w="794" w:type="dxa"/>
          </w:tcPr>
          <w:p w14:paraId="104A9FF1" w14:textId="77777777" w:rsidR="00AB205D" w:rsidRDefault="00471A3B">
            <w:pPr>
              <w:cnfStyle w:val="000000000000" w:firstRow="0" w:lastRow="0" w:firstColumn="0" w:lastColumn="0" w:oddVBand="0" w:evenVBand="0" w:oddHBand="0" w:evenHBand="0" w:firstRowFirstColumn="0" w:firstRowLastColumn="0" w:lastRowFirstColumn="0" w:lastRowLastColumn="0"/>
            </w:pPr>
            <w:r>
              <w:t>2 975</w:t>
            </w:r>
          </w:p>
        </w:tc>
        <w:tc>
          <w:tcPr>
            <w:tcW w:w="794" w:type="dxa"/>
          </w:tcPr>
          <w:p w14:paraId="19E6AC15" w14:textId="77777777" w:rsidR="00AB205D" w:rsidRDefault="00471A3B">
            <w:pPr>
              <w:cnfStyle w:val="000000000000" w:firstRow="0" w:lastRow="0" w:firstColumn="0" w:lastColumn="0" w:oddVBand="0" w:evenVBand="0" w:oddHBand="0" w:evenHBand="0" w:firstRowFirstColumn="0" w:firstRowLastColumn="0" w:lastRowFirstColumn="0" w:lastRowLastColumn="0"/>
            </w:pPr>
            <w:r>
              <w:t>3 797</w:t>
            </w:r>
          </w:p>
        </w:tc>
        <w:tc>
          <w:tcPr>
            <w:tcW w:w="794" w:type="dxa"/>
          </w:tcPr>
          <w:p w14:paraId="416458B4" w14:textId="77777777" w:rsidR="00AB205D" w:rsidRDefault="00471A3B">
            <w:pPr>
              <w:cnfStyle w:val="000000000000" w:firstRow="0" w:lastRow="0" w:firstColumn="0" w:lastColumn="0" w:oddVBand="0" w:evenVBand="0" w:oddHBand="0" w:evenHBand="0" w:firstRowFirstColumn="0" w:firstRowLastColumn="0" w:lastRowFirstColumn="0" w:lastRowLastColumn="0"/>
            </w:pPr>
            <w:r>
              <w:t>2 566</w:t>
            </w:r>
          </w:p>
        </w:tc>
        <w:tc>
          <w:tcPr>
            <w:tcW w:w="794" w:type="dxa"/>
          </w:tcPr>
          <w:p w14:paraId="41ABB846" w14:textId="77777777" w:rsidR="00AB205D" w:rsidRDefault="00471A3B">
            <w:pPr>
              <w:cnfStyle w:val="000000000000" w:firstRow="0" w:lastRow="0" w:firstColumn="0" w:lastColumn="0" w:oddVBand="0" w:evenVBand="0" w:oddHBand="0" w:evenHBand="0" w:firstRowFirstColumn="0" w:firstRowLastColumn="0" w:lastRowFirstColumn="0" w:lastRowLastColumn="0"/>
            </w:pPr>
            <w:r>
              <w:t>1 864</w:t>
            </w:r>
          </w:p>
        </w:tc>
        <w:tc>
          <w:tcPr>
            <w:tcW w:w="794" w:type="dxa"/>
          </w:tcPr>
          <w:p w14:paraId="73C928D2" w14:textId="77777777" w:rsidR="00AB205D" w:rsidRDefault="00471A3B">
            <w:pPr>
              <w:cnfStyle w:val="000000000000" w:firstRow="0" w:lastRow="0" w:firstColumn="0" w:lastColumn="0" w:oddVBand="0" w:evenVBand="0" w:oddHBand="0" w:evenHBand="0" w:firstRowFirstColumn="0" w:firstRowLastColumn="0" w:lastRowFirstColumn="0" w:lastRowLastColumn="0"/>
            </w:pPr>
            <w:r>
              <w:t>1 543</w:t>
            </w:r>
          </w:p>
        </w:tc>
      </w:tr>
      <w:tr w:rsidR="009C6724" w14:paraId="1A3B8435"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58840874" w14:textId="77777777" w:rsidR="00AB205D" w:rsidRDefault="00471A3B">
            <w:r>
              <w:t>Environmental protection</w:t>
            </w:r>
          </w:p>
        </w:tc>
        <w:tc>
          <w:tcPr>
            <w:tcW w:w="794" w:type="dxa"/>
          </w:tcPr>
          <w:p w14:paraId="5C451E82" w14:textId="77777777" w:rsidR="00AB205D" w:rsidRDefault="00471A3B">
            <w:pPr>
              <w:cnfStyle w:val="000000000000" w:firstRow="0" w:lastRow="0" w:firstColumn="0" w:lastColumn="0" w:oddVBand="0" w:evenVBand="0" w:oddHBand="0" w:evenHBand="0" w:firstRowFirstColumn="0" w:firstRowLastColumn="0" w:lastRowFirstColumn="0" w:lastRowLastColumn="0"/>
            </w:pPr>
            <w:r>
              <w:t>952</w:t>
            </w:r>
          </w:p>
        </w:tc>
        <w:tc>
          <w:tcPr>
            <w:tcW w:w="794" w:type="dxa"/>
          </w:tcPr>
          <w:p w14:paraId="62B04F4B" w14:textId="77777777" w:rsidR="00AB205D" w:rsidRDefault="00471A3B">
            <w:pPr>
              <w:cnfStyle w:val="000000000000" w:firstRow="0" w:lastRow="0" w:firstColumn="0" w:lastColumn="0" w:oddVBand="0" w:evenVBand="0" w:oddHBand="0" w:evenHBand="0" w:firstRowFirstColumn="0" w:firstRowLastColumn="0" w:lastRowFirstColumn="0" w:lastRowLastColumn="0"/>
            </w:pPr>
            <w:r>
              <w:t>1 061</w:t>
            </w:r>
          </w:p>
        </w:tc>
        <w:tc>
          <w:tcPr>
            <w:tcW w:w="794" w:type="dxa"/>
          </w:tcPr>
          <w:p w14:paraId="20DEE9EF" w14:textId="77777777" w:rsidR="00AB205D" w:rsidRDefault="00471A3B">
            <w:pPr>
              <w:cnfStyle w:val="000000000000" w:firstRow="0" w:lastRow="0" w:firstColumn="0" w:lastColumn="0" w:oddVBand="0" w:evenVBand="0" w:oddHBand="0" w:evenHBand="0" w:firstRowFirstColumn="0" w:firstRowLastColumn="0" w:lastRowFirstColumn="0" w:lastRowLastColumn="0"/>
            </w:pPr>
            <w:r>
              <w:t>865</w:t>
            </w:r>
          </w:p>
        </w:tc>
        <w:tc>
          <w:tcPr>
            <w:tcW w:w="794" w:type="dxa"/>
          </w:tcPr>
          <w:p w14:paraId="22C128B4" w14:textId="77777777" w:rsidR="00AB205D" w:rsidRDefault="00471A3B">
            <w:pPr>
              <w:cnfStyle w:val="000000000000" w:firstRow="0" w:lastRow="0" w:firstColumn="0" w:lastColumn="0" w:oddVBand="0" w:evenVBand="0" w:oddHBand="0" w:evenHBand="0" w:firstRowFirstColumn="0" w:firstRowLastColumn="0" w:lastRowFirstColumn="0" w:lastRowLastColumn="0"/>
            </w:pPr>
            <w:r>
              <w:t>841</w:t>
            </w:r>
          </w:p>
        </w:tc>
        <w:tc>
          <w:tcPr>
            <w:tcW w:w="794" w:type="dxa"/>
          </w:tcPr>
          <w:p w14:paraId="674341AD" w14:textId="77777777" w:rsidR="00AB205D" w:rsidRDefault="00471A3B">
            <w:pPr>
              <w:cnfStyle w:val="000000000000" w:firstRow="0" w:lastRow="0" w:firstColumn="0" w:lastColumn="0" w:oddVBand="0" w:evenVBand="0" w:oddHBand="0" w:evenHBand="0" w:firstRowFirstColumn="0" w:firstRowLastColumn="0" w:lastRowFirstColumn="0" w:lastRowLastColumn="0"/>
            </w:pPr>
            <w:r>
              <w:t>828</w:t>
            </w:r>
          </w:p>
        </w:tc>
      </w:tr>
      <w:tr w:rsidR="009C6724" w14:paraId="23C98AB6"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784BB07B" w14:textId="77777777" w:rsidR="00AB205D" w:rsidRDefault="00471A3B">
            <w:r>
              <w:t>Housing and community amenities</w:t>
            </w:r>
          </w:p>
        </w:tc>
        <w:tc>
          <w:tcPr>
            <w:tcW w:w="794" w:type="dxa"/>
          </w:tcPr>
          <w:p w14:paraId="0ABE469D" w14:textId="77777777" w:rsidR="00AB205D" w:rsidRDefault="00471A3B">
            <w:pPr>
              <w:cnfStyle w:val="000000000000" w:firstRow="0" w:lastRow="0" w:firstColumn="0" w:lastColumn="0" w:oddVBand="0" w:evenVBand="0" w:oddHBand="0" w:evenHBand="0" w:firstRowFirstColumn="0" w:firstRowLastColumn="0" w:lastRowFirstColumn="0" w:lastRowLastColumn="0"/>
            </w:pPr>
            <w:r>
              <w:t>2 649</w:t>
            </w:r>
          </w:p>
        </w:tc>
        <w:tc>
          <w:tcPr>
            <w:tcW w:w="794" w:type="dxa"/>
          </w:tcPr>
          <w:p w14:paraId="40A7A61D" w14:textId="77777777" w:rsidR="00AB205D" w:rsidRDefault="00471A3B">
            <w:pPr>
              <w:cnfStyle w:val="000000000000" w:firstRow="0" w:lastRow="0" w:firstColumn="0" w:lastColumn="0" w:oddVBand="0" w:evenVBand="0" w:oddHBand="0" w:evenHBand="0" w:firstRowFirstColumn="0" w:firstRowLastColumn="0" w:lastRowFirstColumn="0" w:lastRowLastColumn="0"/>
            </w:pPr>
            <w:r>
              <w:t>1 829</w:t>
            </w:r>
          </w:p>
        </w:tc>
        <w:tc>
          <w:tcPr>
            <w:tcW w:w="794" w:type="dxa"/>
          </w:tcPr>
          <w:p w14:paraId="7A9C7F66" w14:textId="77777777" w:rsidR="00AB205D" w:rsidRDefault="00471A3B">
            <w:pPr>
              <w:cnfStyle w:val="000000000000" w:firstRow="0" w:lastRow="0" w:firstColumn="0" w:lastColumn="0" w:oddVBand="0" w:evenVBand="0" w:oddHBand="0" w:evenHBand="0" w:firstRowFirstColumn="0" w:firstRowLastColumn="0" w:lastRowFirstColumn="0" w:lastRowLastColumn="0"/>
            </w:pPr>
            <w:r>
              <w:t>2 191</w:t>
            </w:r>
          </w:p>
        </w:tc>
        <w:tc>
          <w:tcPr>
            <w:tcW w:w="794" w:type="dxa"/>
          </w:tcPr>
          <w:p w14:paraId="60D0563A" w14:textId="77777777" w:rsidR="00AB205D" w:rsidRDefault="00471A3B">
            <w:pPr>
              <w:cnfStyle w:val="000000000000" w:firstRow="0" w:lastRow="0" w:firstColumn="0" w:lastColumn="0" w:oddVBand="0" w:evenVBand="0" w:oddHBand="0" w:evenHBand="0" w:firstRowFirstColumn="0" w:firstRowLastColumn="0" w:lastRowFirstColumn="0" w:lastRowLastColumn="0"/>
            </w:pPr>
            <w:r>
              <w:t>2 058</w:t>
            </w:r>
          </w:p>
        </w:tc>
        <w:tc>
          <w:tcPr>
            <w:tcW w:w="794" w:type="dxa"/>
          </w:tcPr>
          <w:p w14:paraId="3388D7BF" w14:textId="77777777" w:rsidR="00AB205D" w:rsidRDefault="00471A3B">
            <w:pPr>
              <w:cnfStyle w:val="000000000000" w:firstRow="0" w:lastRow="0" w:firstColumn="0" w:lastColumn="0" w:oddVBand="0" w:evenVBand="0" w:oddHBand="0" w:evenHBand="0" w:firstRowFirstColumn="0" w:firstRowLastColumn="0" w:lastRowFirstColumn="0" w:lastRowLastColumn="0"/>
            </w:pPr>
            <w:r>
              <w:t>2 064</w:t>
            </w:r>
          </w:p>
        </w:tc>
      </w:tr>
      <w:tr w:rsidR="009C6724" w14:paraId="287072EE"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05DB372C" w14:textId="77777777" w:rsidR="00AB205D" w:rsidRDefault="00471A3B">
            <w:r>
              <w:t>Health</w:t>
            </w:r>
          </w:p>
        </w:tc>
        <w:tc>
          <w:tcPr>
            <w:tcW w:w="794" w:type="dxa"/>
          </w:tcPr>
          <w:p w14:paraId="45E0384C" w14:textId="77777777" w:rsidR="00AB205D" w:rsidRDefault="00471A3B">
            <w:pPr>
              <w:cnfStyle w:val="000000000000" w:firstRow="0" w:lastRow="0" w:firstColumn="0" w:lastColumn="0" w:oddVBand="0" w:evenVBand="0" w:oddHBand="0" w:evenHBand="0" w:firstRowFirstColumn="0" w:firstRowLastColumn="0" w:lastRowFirstColumn="0" w:lastRowLastColumn="0"/>
            </w:pPr>
            <w:r>
              <w:t>29 141</w:t>
            </w:r>
          </w:p>
        </w:tc>
        <w:tc>
          <w:tcPr>
            <w:tcW w:w="794" w:type="dxa"/>
          </w:tcPr>
          <w:p w14:paraId="45DCA6FB" w14:textId="77777777" w:rsidR="00AB205D" w:rsidRDefault="00471A3B">
            <w:pPr>
              <w:cnfStyle w:val="000000000000" w:firstRow="0" w:lastRow="0" w:firstColumn="0" w:lastColumn="0" w:oddVBand="0" w:evenVBand="0" w:oddHBand="0" w:evenHBand="0" w:firstRowFirstColumn="0" w:firstRowLastColumn="0" w:lastRowFirstColumn="0" w:lastRowLastColumn="0"/>
            </w:pPr>
            <w:r>
              <w:t>28 210</w:t>
            </w:r>
          </w:p>
        </w:tc>
        <w:tc>
          <w:tcPr>
            <w:tcW w:w="794" w:type="dxa"/>
          </w:tcPr>
          <w:p w14:paraId="3CFED030" w14:textId="77777777" w:rsidR="00AB205D" w:rsidRDefault="00471A3B">
            <w:pPr>
              <w:cnfStyle w:val="000000000000" w:firstRow="0" w:lastRow="0" w:firstColumn="0" w:lastColumn="0" w:oddVBand="0" w:evenVBand="0" w:oddHBand="0" w:evenHBand="0" w:firstRowFirstColumn="0" w:firstRowLastColumn="0" w:lastRowFirstColumn="0" w:lastRowLastColumn="0"/>
            </w:pPr>
            <w:r>
              <w:t>28 547</w:t>
            </w:r>
          </w:p>
        </w:tc>
        <w:tc>
          <w:tcPr>
            <w:tcW w:w="794" w:type="dxa"/>
          </w:tcPr>
          <w:p w14:paraId="16859596" w14:textId="77777777" w:rsidR="00AB205D" w:rsidRDefault="00471A3B">
            <w:pPr>
              <w:cnfStyle w:val="000000000000" w:firstRow="0" w:lastRow="0" w:firstColumn="0" w:lastColumn="0" w:oddVBand="0" w:evenVBand="0" w:oddHBand="0" w:evenHBand="0" w:firstRowFirstColumn="0" w:firstRowLastColumn="0" w:lastRowFirstColumn="0" w:lastRowLastColumn="0"/>
            </w:pPr>
            <w:r>
              <w:t>29 281</w:t>
            </w:r>
          </w:p>
        </w:tc>
        <w:tc>
          <w:tcPr>
            <w:tcW w:w="794" w:type="dxa"/>
          </w:tcPr>
          <w:p w14:paraId="1DC84E4C" w14:textId="77777777" w:rsidR="00AB205D" w:rsidRDefault="00471A3B">
            <w:pPr>
              <w:cnfStyle w:val="000000000000" w:firstRow="0" w:lastRow="0" w:firstColumn="0" w:lastColumn="0" w:oddVBand="0" w:evenVBand="0" w:oddHBand="0" w:evenHBand="0" w:firstRowFirstColumn="0" w:firstRowLastColumn="0" w:lastRowFirstColumn="0" w:lastRowLastColumn="0"/>
            </w:pPr>
            <w:r>
              <w:t>29 923</w:t>
            </w:r>
          </w:p>
        </w:tc>
      </w:tr>
      <w:tr w:rsidR="009C6724" w14:paraId="3B4FBADB"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7CF5EC93" w14:textId="77777777" w:rsidR="00AB205D" w:rsidRDefault="00471A3B">
            <w:r>
              <w:t>Recreation, culture and religion</w:t>
            </w:r>
          </w:p>
        </w:tc>
        <w:tc>
          <w:tcPr>
            <w:tcW w:w="794" w:type="dxa"/>
          </w:tcPr>
          <w:p w14:paraId="0181B4A0" w14:textId="77777777" w:rsidR="00AB205D" w:rsidRDefault="00471A3B">
            <w:pPr>
              <w:cnfStyle w:val="000000000000" w:firstRow="0" w:lastRow="0" w:firstColumn="0" w:lastColumn="0" w:oddVBand="0" w:evenVBand="0" w:oddHBand="0" w:evenHBand="0" w:firstRowFirstColumn="0" w:firstRowLastColumn="0" w:lastRowFirstColumn="0" w:lastRowLastColumn="0"/>
            </w:pPr>
            <w:r>
              <w:t>996</w:t>
            </w:r>
          </w:p>
        </w:tc>
        <w:tc>
          <w:tcPr>
            <w:tcW w:w="794" w:type="dxa"/>
          </w:tcPr>
          <w:p w14:paraId="67FAFCEB" w14:textId="77777777" w:rsidR="00AB205D" w:rsidRDefault="00471A3B">
            <w:pPr>
              <w:cnfStyle w:val="000000000000" w:firstRow="0" w:lastRow="0" w:firstColumn="0" w:lastColumn="0" w:oddVBand="0" w:evenVBand="0" w:oddHBand="0" w:evenHBand="0" w:firstRowFirstColumn="0" w:firstRowLastColumn="0" w:lastRowFirstColumn="0" w:lastRowLastColumn="0"/>
            </w:pPr>
            <w:r>
              <w:t>1 397</w:t>
            </w:r>
          </w:p>
        </w:tc>
        <w:tc>
          <w:tcPr>
            <w:tcW w:w="794" w:type="dxa"/>
          </w:tcPr>
          <w:p w14:paraId="22C5B650" w14:textId="77777777" w:rsidR="00AB205D" w:rsidRDefault="00471A3B">
            <w:pPr>
              <w:cnfStyle w:val="000000000000" w:firstRow="0" w:lastRow="0" w:firstColumn="0" w:lastColumn="0" w:oddVBand="0" w:evenVBand="0" w:oddHBand="0" w:evenHBand="0" w:firstRowFirstColumn="0" w:firstRowLastColumn="0" w:lastRowFirstColumn="0" w:lastRowLastColumn="0"/>
            </w:pPr>
            <w:r>
              <w:t>1 005</w:t>
            </w:r>
          </w:p>
        </w:tc>
        <w:tc>
          <w:tcPr>
            <w:tcW w:w="794" w:type="dxa"/>
          </w:tcPr>
          <w:p w14:paraId="15EFF26F" w14:textId="77777777" w:rsidR="00AB205D" w:rsidRDefault="00471A3B">
            <w:pPr>
              <w:cnfStyle w:val="000000000000" w:firstRow="0" w:lastRow="0" w:firstColumn="0" w:lastColumn="0" w:oddVBand="0" w:evenVBand="0" w:oddHBand="0" w:evenHBand="0" w:firstRowFirstColumn="0" w:firstRowLastColumn="0" w:lastRowFirstColumn="0" w:lastRowLastColumn="0"/>
            </w:pPr>
            <w:r>
              <w:t>790</w:t>
            </w:r>
          </w:p>
        </w:tc>
        <w:tc>
          <w:tcPr>
            <w:tcW w:w="794" w:type="dxa"/>
          </w:tcPr>
          <w:p w14:paraId="313437DC" w14:textId="77777777" w:rsidR="00AB205D" w:rsidRDefault="00471A3B">
            <w:pPr>
              <w:cnfStyle w:val="000000000000" w:firstRow="0" w:lastRow="0" w:firstColumn="0" w:lastColumn="0" w:oddVBand="0" w:evenVBand="0" w:oddHBand="0" w:evenHBand="0" w:firstRowFirstColumn="0" w:firstRowLastColumn="0" w:lastRowFirstColumn="0" w:lastRowLastColumn="0"/>
            </w:pPr>
            <w:r>
              <w:t>647</w:t>
            </w:r>
          </w:p>
        </w:tc>
      </w:tr>
      <w:tr w:rsidR="009C6724" w14:paraId="7117B4B8"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7CC0256B" w14:textId="77777777" w:rsidR="00AB205D" w:rsidRDefault="00471A3B">
            <w:r>
              <w:t>Education</w:t>
            </w:r>
          </w:p>
        </w:tc>
        <w:tc>
          <w:tcPr>
            <w:tcW w:w="794" w:type="dxa"/>
          </w:tcPr>
          <w:p w14:paraId="72686D1C" w14:textId="77777777" w:rsidR="00AB205D" w:rsidRDefault="00471A3B">
            <w:pPr>
              <w:cnfStyle w:val="000000000000" w:firstRow="0" w:lastRow="0" w:firstColumn="0" w:lastColumn="0" w:oddVBand="0" w:evenVBand="0" w:oddHBand="0" w:evenHBand="0" w:firstRowFirstColumn="0" w:firstRowLastColumn="0" w:lastRowFirstColumn="0" w:lastRowLastColumn="0"/>
            </w:pPr>
            <w:r>
              <w:t>22 389</w:t>
            </w:r>
          </w:p>
        </w:tc>
        <w:tc>
          <w:tcPr>
            <w:tcW w:w="794" w:type="dxa"/>
          </w:tcPr>
          <w:p w14:paraId="2B2EB319" w14:textId="77777777" w:rsidR="00AB205D" w:rsidRDefault="00471A3B">
            <w:pPr>
              <w:cnfStyle w:val="000000000000" w:firstRow="0" w:lastRow="0" w:firstColumn="0" w:lastColumn="0" w:oddVBand="0" w:evenVBand="0" w:oddHBand="0" w:evenHBand="0" w:firstRowFirstColumn="0" w:firstRowLastColumn="0" w:lastRowFirstColumn="0" w:lastRowLastColumn="0"/>
            </w:pPr>
            <w:r>
              <w:t>22 607</w:t>
            </w:r>
          </w:p>
        </w:tc>
        <w:tc>
          <w:tcPr>
            <w:tcW w:w="794" w:type="dxa"/>
          </w:tcPr>
          <w:p w14:paraId="39999D86" w14:textId="77777777" w:rsidR="00AB205D" w:rsidRDefault="00471A3B">
            <w:pPr>
              <w:cnfStyle w:val="000000000000" w:firstRow="0" w:lastRow="0" w:firstColumn="0" w:lastColumn="0" w:oddVBand="0" w:evenVBand="0" w:oddHBand="0" w:evenHBand="0" w:firstRowFirstColumn="0" w:firstRowLastColumn="0" w:lastRowFirstColumn="0" w:lastRowLastColumn="0"/>
            </w:pPr>
            <w:r>
              <w:t>23 437</w:t>
            </w:r>
          </w:p>
        </w:tc>
        <w:tc>
          <w:tcPr>
            <w:tcW w:w="794" w:type="dxa"/>
          </w:tcPr>
          <w:p w14:paraId="553CF68B" w14:textId="77777777" w:rsidR="00AB205D" w:rsidRDefault="00471A3B">
            <w:pPr>
              <w:cnfStyle w:val="000000000000" w:firstRow="0" w:lastRow="0" w:firstColumn="0" w:lastColumn="0" w:oddVBand="0" w:evenVBand="0" w:oddHBand="0" w:evenHBand="0" w:firstRowFirstColumn="0" w:firstRowLastColumn="0" w:lastRowFirstColumn="0" w:lastRowLastColumn="0"/>
            </w:pPr>
            <w:r>
              <w:t>24 176</w:t>
            </w:r>
          </w:p>
        </w:tc>
        <w:tc>
          <w:tcPr>
            <w:tcW w:w="794" w:type="dxa"/>
          </w:tcPr>
          <w:p w14:paraId="1ECB1CAC" w14:textId="77777777" w:rsidR="00AB205D" w:rsidRDefault="00471A3B">
            <w:pPr>
              <w:cnfStyle w:val="000000000000" w:firstRow="0" w:lastRow="0" w:firstColumn="0" w:lastColumn="0" w:oddVBand="0" w:evenVBand="0" w:oddHBand="0" w:evenHBand="0" w:firstRowFirstColumn="0" w:firstRowLastColumn="0" w:lastRowFirstColumn="0" w:lastRowLastColumn="0"/>
            </w:pPr>
            <w:r>
              <w:t>25 544</w:t>
            </w:r>
          </w:p>
        </w:tc>
      </w:tr>
      <w:tr w:rsidR="009C6724" w14:paraId="598E096B"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57CE690" w14:textId="77777777" w:rsidR="00AB205D" w:rsidRDefault="00471A3B">
            <w:r>
              <w:t>Social protection</w:t>
            </w:r>
          </w:p>
        </w:tc>
        <w:tc>
          <w:tcPr>
            <w:tcW w:w="794" w:type="dxa"/>
          </w:tcPr>
          <w:p w14:paraId="13A5F590" w14:textId="77777777" w:rsidR="00AB205D" w:rsidRDefault="00471A3B">
            <w:pPr>
              <w:cnfStyle w:val="000000000000" w:firstRow="0" w:lastRow="0" w:firstColumn="0" w:lastColumn="0" w:oddVBand="0" w:evenVBand="0" w:oddHBand="0" w:evenHBand="0" w:firstRowFirstColumn="0" w:firstRowLastColumn="0" w:lastRowFirstColumn="0" w:lastRowLastColumn="0"/>
            </w:pPr>
            <w:r>
              <w:t>7 909</w:t>
            </w:r>
          </w:p>
        </w:tc>
        <w:tc>
          <w:tcPr>
            <w:tcW w:w="794" w:type="dxa"/>
          </w:tcPr>
          <w:p w14:paraId="60CA4138" w14:textId="77777777" w:rsidR="00AB205D" w:rsidRDefault="00471A3B">
            <w:pPr>
              <w:cnfStyle w:val="000000000000" w:firstRow="0" w:lastRow="0" w:firstColumn="0" w:lastColumn="0" w:oddVBand="0" w:evenVBand="0" w:oddHBand="0" w:evenHBand="0" w:firstRowFirstColumn="0" w:firstRowLastColumn="0" w:lastRowFirstColumn="0" w:lastRowLastColumn="0"/>
            </w:pPr>
            <w:r>
              <w:t>8 362</w:t>
            </w:r>
          </w:p>
        </w:tc>
        <w:tc>
          <w:tcPr>
            <w:tcW w:w="794" w:type="dxa"/>
          </w:tcPr>
          <w:p w14:paraId="4A34EC1E" w14:textId="77777777" w:rsidR="00AB205D" w:rsidRDefault="00471A3B">
            <w:pPr>
              <w:cnfStyle w:val="000000000000" w:firstRow="0" w:lastRow="0" w:firstColumn="0" w:lastColumn="0" w:oddVBand="0" w:evenVBand="0" w:oddHBand="0" w:evenHBand="0" w:firstRowFirstColumn="0" w:firstRowLastColumn="0" w:lastRowFirstColumn="0" w:lastRowLastColumn="0"/>
            </w:pPr>
            <w:r>
              <w:t>7 919</w:t>
            </w:r>
          </w:p>
        </w:tc>
        <w:tc>
          <w:tcPr>
            <w:tcW w:w="794" w:type="dxa"/>
          </w:tcPr>
          <w:p w14:paraId="6B530E84" w14:textId="77777777" w:rsidR="00AB205D" w:rsidRDefault="00471A3B">
            <w:pPr>
              <w:cnfStyle w:val="000000000000" w:firstRow="0" w:lastRow="0" w:firstColumn="0" w:lastColumn="0" w:oddVBand="0" w:evenVBand="0" w:oddHBand="0" w:evenHBand="0" w:firstRowFirstColumn="0" w:firstRowLastColumn="0" w:lastRowFirstColumn="0" w:lastRowLastColumn="0"/>
            </w:pPr>
            <w:r>
              <w:t>7 849</w:t>
            </w:r>
          </w:p>
        </w:tc>
        <w:tc>
          <w:tcPr>
            <w:tcW w:w="794" w:type="dxa"/>
          </w:tcPr>
          <w:p w14:paraId="6C60D310" w14:textId="77777777" w:rsidR="00AB205D" w:rsidRDefault="00471A3B">
            <w:pPr>
              <w:cnfStyle w:val="000000000000" w:firstRow="0" w:lastRow="0" w:firstColumn="0" w:lastColumn="0" w:oddVBand="0" w:evenVBand="0" w:oddHBand="0" w:evenHBand="0" w:firstRowFirstColumn="0" w:firstRowLastColumn="0" w:lastRowFirstColumn="0" w:lastRowLastColumn="0"/>
            </w:pPr>
            <w:r>
              <w:t>8 011</w:t>
            </w:r>
          </w:p>
        </w:tc>
      </w:tr>
      <w:tr w:rsidR="009C6724" w14:paraId="16BFCE95"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90C2A69" w14:textId="77777777" w:rsidR="00AB205D" w:rsidRDefault="00471A3B">
            <w:r>
              <w:t>Transport</w:t>
            </w:r>
          </w:p>
        </w:tc>
        <w:tc>
          <w:tcPr>
            <w:tcW w:w="794" w:type="dxa"/>
          </w:tcPr>
          <w:p w14:paraId="22C3BE23" w14:textId="77777777" w:rsidR="00AB205D" w:rsidRDefault="00471A3B">
            <w:pPr>
              <w:cnfStyle w:val="000000000000" w:firstRow="0" w:lastRow="0" w:firstColumn="0" w:lastColumn="0" w:oddVBand="0" w:evenVBand="0" w:oddHBand="0" w:evenHBand="0" w:firstRowFirstColumn="0" w:firstRowLastColumn="0" w:lastRowFirstColumn="0" w:lastRowLastColumn="0"/>
            </w:pPr>
            <w:r>
              <w:t>7 484</w:t>
            </w:r>
          </w:p>
        </w:tc>
        <w:tc>
          <w:tcPr>
            <w:tcW w:w="794" w:type="dxa"/>
          </w:tcPr>
          <w:p w14:paraId="4A61FCD6" w14:textId="77777777" w:rsidR="00AB205D" w:rsidRDefault="00471A3B">
            <w:pPr>
              <w:cnfStyle w:val="000000000000" w:firstRow="0" w:lastRow="0" w:firstColumn="0" w:lastColumn="0" w:oddVBand="0" w:evenVBand="0" w:oddHBand="0" w:evenHBand="0" w:firstRowFirstColumn="0" w:firstRowLastColumn="0" w:lastRowFirstColumn="0" w:lastRowLastColumn="0"/>
            </w:pPr>
            <w:r>
              <w:t>7 884</w:t>
            </w:r>
          </w:p>
        </w:tc>
        <w:tc>
          <w:tcPr>
            <w:tcW w:w="794" w:type="dxa"/>
          </w:tcPr>
          <w:p w14:paraId="2C2D7975" w14:textId="77777777" w:rsidR="00AB205D" w:rsidRDefault="00471A3B">
            <w:pPr>
              <w:cnfStyle w:val="000000000000" w:firstRow="0" w:lastRow="0" w:firstColumn="0" w:lastColumn="0" w:oddVBand="0" w:evenVBand="0" w:oddHBand="0" w:evenHBand="0" w:firstRowFirstColumn="0" w:firstRowLastColumn="0" w:lastRowFirstColumn="0" w:lastRowLastColumn="0"/>
            </w:pPr>
            <w:r>
              <w:t>7 306</w:t>
            </w:r>
          </w:p>
        </w:tc>
        <w:tc>
          <w:tcPr>
            <w:tcW w:w="794" w:type="dxa"/>
          </w:tcPr>
          <w:p w14:paraId="67993D91" w14:textId="77777777" w:rsidR="00AB205D" w:rsidRDefault="00471A3B">
            <w:pPr>
              <w:cnfStyle w:val="000000000000" w:firstRow="0" w:lastRow="0" w:firstColumn="0" w:lastColumn="0" w:oddVBand="0" w:evenVBand="0" w:oddHBand="0" w:evenHBand="0" w:firstRowFirstColumn="0" w:firstRowLastColumn="0" w:lastRowFirstColumn="0" w:lastRowLastColumn="0"/>
            </w:pPr>
            <w:r>
              <w:t>7 479</w:t>
            </w:r>
          </w:p>
        </w:tc>
        <w:tc>
          <w:tcPr>
            <w:tcW w:w="794" w:type="dxa"/>
          </w:tcPr>
          <w:p w14:paraId="7CDBC920" w14:textId="77777777" w:rsidR="00AB205D" w:rsidRDefault="00471A3B">
            <w:pPr>
              <w:cnfStyle w:val="000000000000" w:firstRow="0" w:lastRow="0" w:firstColumn="0" w:lastColumn="0" w:oddVBand="0" w:evenVBand="0" w:oddHBand="0" w:evenHBand="0" w:firstRowFirstColumn="0" w:firstRowLastColumn="0" w:lastRowFirstColumn="0" w:lastRowLastColumn="0"/>
            </w:pPr>
            <w:r>
              <w:t>7 728</w:t>
            </w:r>
          </w:p>
        </w:tc>
      </w:tr>
      <w:tr w:rsidR="009C6724" w14:paraId="765C42C2"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5764EAA4" w14:textId="77777777" w:rsidR="00AB205D" w:rsidRDefault="00471A3B">
            <w:r>
              <w:t>Not allocated by function</w:t>
            </w:r>
            <w:r>
              <w:rPr>
                <w:vertAlign w:val="superscript"/>
              </w:rPr>
              <w:t xml:space="preserve"> (b)</w:t>
            </w:r>
          </w:p>
        </w:tc>
        <w:tc>
          <w:tcPr>
            <w:tcW w:w="794" w:type="dxa"/>
            <w:tcBorders>
              <w:bottom w:val="single" w:sz="6" w:space="0" w:color="auto"/>
            </w:tcBorders>
          </w:tcPr>
          <w:p w14:paraId="558A7E7A" w14:textId="77777777" w:rsidR="00AB205D" w:rsidRDefault="00471A3B">
            <w:pPr>
              <w:cnfStyle w:val="000000000000" w:firstRow="0" w:lastRow="0" w:firstColumn="0" w:lastColumn="0" w:oddVBand="0" w:evenVBand="0" w:oddHBand="0" w:evenHBand="0" w:firstRowFirstColumn="0" w:firstRowLastColumn="0" w:lastRowFirstColumn="0" w:lastRowLastColumn="0"/>
            </w:pPr>
            <w:r>
              <w:t>(1 299)</w:t>
            </w:r>
          </w:p>
        </w:tc>
        <w:tc>
          <w:tcPr>
            <w:tcW w:w="794" w:type="dxa"/>
            <w:tcBorders>
              <w:bottom w:val="single" w:sz="6" w:space="0" w:color="auto"/>
            </w:tcBorders>
          </w:tcPr>
          <w:p w14:paraId="3D22F38D" w14:textId="77777777" w:rsidR="00AB205D" w:rsidRDefault="00471A3B">
            <w:pPr>
              <w:cnfStyle w:val="000000000000" w:firstRow="0" w:lastRow="0" w:firstColumn="0" w:lastColumn="0" w:oddVBand="0" w:evenVBand="0" w:oddHBand="0" w:evenHBand="0" w:firstRowFirstColumn="0" w:firstRowLastColumn="0" w:lastRowFirstColumn="0" w:lastRowLastColumn="0"/>
            </w:pPr>
            <w:r>
              <w:t>(2 071)</w:t>
            </w:r>
          </w:p>
        </w:tc>
        <w:tc>
          <w:tcPr>
            <w:tcW w:w="794" w:type="dxa"/>
            <w:tcBorders>
              <w:bottom w:val="single" w:sz="6" w:space="0" w:color="auto"/>
            </w:tcBorders>
          </w:tcPr>
          <w:p w14:paraId="00E62AEA" w14:textId="77777777" w:rsidR="00AB205D" w:rsidRDefault="00471A3B">
            <w:pPr>
              <w:cnfStyle w:val="000000000000" w:firstRow="0" w:lastRow="0" w:firstColumn="0" w:lastColumn="0" w:oddVBand="0" w:evenVBand="0" w:oddHBand="0" w:evenHBand="0" w:firstRowFirstColumn="0" w:firstRowLastColumn="0" w:lastRowFirstColumn="0" w:lastRowLastColumn="0"/>
            </w:pPr>
            <w:r>
              <w:t>(58)</w:t>
            </w:r>
          </w:p>
        </w:tc>
        <w:tc>
          <w:tcPr>
            <w:tcW w:w="794" w:type="dxa"/>
            <w:tcBorders>
              <w:bottom w:val="single" w:sz="6" w:space="0" w:color="auto"/>
            </w:tcBorders>
          </w:tcPr>
          <w:p w14:paraId="1908F973" w14:textId="77777777" w:rsidR="00AB205D" w:rsidRDefault="00471A3B">
            <w:pPr>
              <w:cnfStyle w:val="000000000000" w:firstRow="0" w:lastRow="0" w:firstColumn="0" w:lastColumn="0" w:oddVBand="0" w:evenVBand="0" w:oddHBand="0" w:evenHBand="0" w:firstRowFirstColumn="0" w:firstRowLastColumn="0" w:lastRowFirstColumn="0" w:lastRowLastColumn="0"/>
            </w:pPr>
            <w:r>
              <w:t>1 264</w:t>
            </w:r>
          </w:p>
        </w:tc>
        <w:tc>
          <w:tcPr>
            <w:tcW w:w="794" w:type="dxa"/>
            <w:tcBorders>
              <w:bottom w:val="single" w:sz="6" w:space="0" w:color="auto"/>
            </w:tcBorders>
          </w:tcPr>
          <w:p w14:paraId="08566B3A" w14:textId="77777777" w:rsidR="00AB205D" w:rsidRDefault="00471A3B">
            <w:pPr>
              <w:cnfStyle w:val="000000000000" w:firstRow="0" w:lastRow="0" w:firstColumn="0" w:lastColumn="0" w:oddVBand="0" w:evenVBand="0" w:oddHBand="0" w:evenHBand="0" w:firstRowFirstColumn="0" w:firstRowLastColumn="0" w:lastRowFirstColumn="0" w:lastRowLastColumn="0"/>
            </w:pPr>
            <w:r>
              <w:t>2 453</w:t>
            </w:r>
          </w:p>
        </w:tc>
      </w:tr>
      <w:tr w:rsidR="009C6724" w14:paraId="11011622"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4C79F4E4" w14:textId="77777777" w:rsidR="00AB205D" w:rsidRDefault="00471A3B">
            <w:r>
              <w:rPr>
                <w:b/>
              </w:rPr>
              <w:t>Total expenses from transactions</w:t>
            </w:r>
          </w:p>
        </w:tc>
        <w:tc>
          <w:tcPr>
            <w:tcW w:w="794" w:type="dxa"/>
            <w:tcBorders>
              <w:top w:val="single" w:sz="6" w:space="0" w:color="auto"/>
              <w:bottom w:val="single" w:sz="12" w:space="0" w:color="auto"/>
            </w:tcBorders>
          </w:tcPr>
          <w:p w14:paraId="7DB499F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93 277</w:t>
            </w:r>
          </w:p>
        </w:tc>
        <w:tc>
          <w:tcPr>
            <w:tcW w:w="794" w:type="dxa"/>
            <w:tcBorders>
              <w:top w:val="single" w:sz="6" w:space="0" w:color="auto"/>
              <w:bottom w:val="single" w:sz="12" w:space="0" w:color="auto"/>
            </w:tcBorders>
          </w:tcPr>
          <w:p w14:paraId="1484132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93 816</w:t>
            </w:r>
          </w:p>
        </w:tc>
        <w:tc>
          <w:tcPr>
            <w:tcW w:w="794" w:type="dxa"/>
            <w:tcBorders>
              <w:top w:val="single" w:sz="6" w:space="0" w:color="auto"/>
              <w:bottom w:val="single" w:sz="12" w:space="0" w:color="auto"/>
            </w:tcBorders>
          </w:tcPr>
          <w:p w14:paraId="29DF27B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94 541</w:t>
            </w:r>
          </w:p>
        </w:tc>
        <w:tc>
          <w:tcPr>
            <w:tcW w:w="794" w:type="dxa"/>
            <w:tcBorders>
              <w:top w:val="single" w:sz="6" w:space="0" w:color="auto"/>
              <w:bottom w:val="single" w:sz="12" w:space="0" w:color="auto"/>
            </w:tcBorders>
          </w:tcPr>
          <w:p w14:paraId="710376F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97 158</w:t>
            </w:r>
          </w:p>
        </w:tc>
        <w:tc>
          <w:tcPr>
            <w:tcW w:w="794" w:type="dxa"/>
            <w:tcBorders>
              <w:top w:val="single" w:sz="6" w:space="0" w:color="auto"/>
              <w:bottom w:val="single" w:sz="12" w:space="0" w:color="auto"/>
            </w:tcBorders>
          </w:tcPr>
          <w:p w14:paraId="2CF6BEC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101 403</w:t>
            </w:r>
          </w:p>
        </w:tc>
      </w:tr>
    </w:tbl>
    <w:p w14:paraId="71BAE147" w14:textId="77777777" w:rsidR="00AB205D" w:rsidRPr="00FC6AC0" w:rsidRDefault="00471A3B">
      <w:pPr>
        <w:pStyle w:val="Note"/>
      </w:pPr>
      <w:bookmarkStart w:id="56" w:name="_Hlk151121147"/>
      <w:r w:rsidRPr="00FC6AC0">
        <w:t>Note</w:t>
      </w:r>
      <w:r>
        <w:t>s</w:t>
      </w:r>
      <w:r w:rsidRPr="00FC6AC0">
        <w:t>:</w:t>
      </w:r>
    </w:p>
    <w:p w14:paraId="29615336" w14:textId="77777777" w:rsidR="00AB205D" w:rsidRDefault="00471A3B">
      <w:pPr>
        <w:pStyle w:val="Note"/>
      </w:pPr>
      <w:r>
        <w:t>(a)</w:t>
      </w:r>
      <w:r>
        <w:tab/>
      </w:r>
      <w:r w:rsidRPr="00952BCD">
        <w:t xml:space="preserve">The increase in </w:t>
      </w:r>
      <w:r>
        <w:t xml:space="preserve">the </w:t>
      </w:r>
      <w:r w:rsidRPr="00952BCD">
        <w:t>economic affairs classification in 2023</w:t>
      </w:r>
      <w:r>
        <w:noBreakHyphen/>
      </w:r>
      <w:r w:rsidRPr="00952BCD">
        <w:t>24 and the decrease over the forward estimates is driven by the funding profile of fixed</w:t>
      </w:r>
      <w:r>
        <w:noBreakHyphen/>
      </w:r>
      <w:r w:rsidRPr="00952BCD">
        <w:t>term initiatives.</w:t>
      </w:r>
      <w:r>
        <w:t xml:space="preserve"> </w:t>
      </w:r>
    </w:p>
    <w:bookmarkEnd w:id="56"/>
    <w:p w14:paraId="15C2002F" w14:textId="77777777" w:rsidR="00AB205D" w:rsidRDefault="00471A3B">
      <w:pPr>
        <w:pStyle w:val="Note"/>
      </w:pPr>
      <w:r>
        <w:t>(b)</w:t>
      </w:r>
      <w:r>
        <w:tab/>
      </w:r>
      <w:r w:rsidRPr="007B7059">
        <w:t>Mainly comprises the provision for future demand growth, departmental underspending, eliminated purchases of supplies and consumables between government entities, and items not yet formalised at the time of publication.</w:t>
      </w:r>
      <w:r>
        <w:t xml:space="preserve"> </w:t>
      </w:r>
    </w:p>
    <w:p w14:paraId="4E8DBC14" w14:textId="77777777" w:rsidR="00AB205D" w:rsidRDefault="00AB205D"/>
    <w:p w14:paraId="2E751D2A" w14:textId="77777777" w:rsidR="00AB205D" w:rsidRDefault="00471A3B">
      <w:pPr>
        <w:pStyle w:val="TableHeading"/>
        <w:pageBreakBefore/>
      </w:pPr>
      <w:r w:rsidRPr="004D1DC3">
        <w:lastRenderedPageBreak/>
        <w:t>Total expenses</w:t>
      </w:r>
      <w:r>
        <w:t xml:space="preserve"> from transactions</w:t>
      </w:r>
      <w:r w:rsidRPr="004D1DC3">
        <w:t xml:space="preserve"> by portfolio department</w:t>
      </w:r>
      <w:r w:rsidRPr="004D1DC3">
        <w:tab/>
        <w:t>($ million)</w:t>
      </w:r>
    </w:p>
    <w:tbl>
      <w:tblPr>
        <w:tblStyle w:val="DTFTableNumeric"/>
        <w:tblW w:w="7710" w:type="dxa"/>
        <w:tblLayout w:type="fixed"/>
        <w:tblLook w:val="06A0" w:firstRow="1" w:lastRow="0" w:firstColumn="1" w:lastColumn="0" w:noHBand="1" w:noVBand="1"/>
        <w:tblDescription w:val="Type:DtfTable|Workbook:Rawdata\BudgetUpdate\Budget Update\Financial Statements\Manual reports\COFOG\Link_BU_COFOG.xlsx|Table:Total_expenses_by_dept_incl_con|MergedHeadingRow:1"/>
      </w:tblPr>
      <w:tblGrid>
        <w:gridCol w:w="3828"/>
        <w:gridCol w:w="706"/>
        <w:gridCol w:w="794"/>
        <w:gridCol w:w="794"/>
        <w:gridCol w:w="794"/>
        <w:gridCol w:w="794"/>
      </w:tblGrid>
      <w:tr w:rsidR="009C6724" w14:paraId="1C01F3C7"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28" w:type="dxa"/>
          </w:tcPr>
          <w:p w14:paraId="5DEC9C30" w14:textId="77777777" w:rsidR="00AB205D" w:rsidRDefault="00AB205D">
            <w:pPr>
              <w:keepNext/>
            </w:pPr>
          </w:p>
        </w:tc>
        <w:tc>
          <w:tcPr>
            <w:tcW w:w="706" w:type="dxa"/>
          </w:tcPr>
          <w:p w14:paraId="5930C5A9"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budget</w:t>
            </w:r>
          </w:p>
        </w:tc>
        <w:tc>
          <w:tcPr>
            <w:tcW w:w="794" w:type="dxa"/>
          </w:tcPr>
          <w:p w14:paraId="3F1BD7A2"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revised</w:t>
            </w:r>
          </w:p>
        </w:tc>
        <w:tc>
          <w:tcPr>
            <w:tcW w:w="794" w:type="dxa"/>
          </w:tcPr>
          <w:p w14:paraId="2A2C49A1"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r>
              <w:br/>
              <w:t>estimate</w:t>
            </w:r>
          </w:p>
        </w:tc>
        <w:tc>
          <w:tcPr>
            <w:tcW w:w="794" w:type="dxa"/>
          </w:tcPr>
          <w:p w14:paraId="00116EEC"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37D90783"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r>
      <w:tr w:rsidR="009C6724" w14:paraId="199810B1" w14:textId="77777777" w:rsidTr="009C6724">
        <w:tc>
          <w:tcPr>
            <w:cnfStyle w:val="001000000000" w:firstRow="0" w:lastRow="0" w:firstColumn="1" w:lastColumn="0" w:oddVBand="0" w:evenVBand="0" w:oddHBand="0" w:evenHBand="0" w:firstRowFirstColumn="0" w:firstRowLastColumn="0" w:lastRowFirstColumn="0" w:lastRowLastColumn="0"/>
            <w:tcW w:w="3828" w:type="dxa"/>
          </w:tcPr>
          <w:p w14:paraId="11F1C97A" w14:textId="77777777" w:rsidR="00AB205D" w:rsidRDefault="00471A3B">
            <w:r>
              <w:t>Education</w:t>
            </w:r>
          </w:p>
        </w:tc>
        <w:tc>
          <w:tcPr>
            <w:tcW w:w="706" w:type="dxa"/>
          </w:tcPr>
          <w:p w14:paraId="03CAF8EF" w14:textId="77777777" w:rsidR="00AB205D" w:rsidRDefault="00471A3B">
            <w:pPr>
              <w:cnfStyle w:val="000000000000" w:firstRow="0" w:lastRow="0" w:firstColumn="0" w:lastColumn="0" w:oddVBand="0" w:evenVBand="0" w:oddHBand="0" w:evenHBand="0" w:firstRowFirstColumn="0" w:firstRowLastColumn="0" w:lastRowFirstColumn="0" w:lastRowLastColumn="0"/>
            </w:pPr>
            <w:r>
              <w:t>20 400</w:t>
            </w:r>
          </w:p>
        </w:tc>
        <w:tc>
          <w:tcPr>
            <w:tcW w:w="794" w:type="dxa"/>
          </w:tcPr>
          <w:p w14:paraId="1CBC915D" w14:textId="77777777" w:rsidR="00AB205D" w:rsidRDefault="00471A3B">
            <w:pPr>
              <w:cnfStyle w:val="000000000000" w:firstRow="0" w:lastRow="0" w:firstColumn="0" w:lastColumn="0" w:oddVBand="0" w:evenVBand="0" w:oddHBand="0" w:evenHBand="0" w:firstRowFirstColumn="0" w:firstRowLastColumn="0" w:lastRowFirstColumn="0" w:lastRowLastColumn="0"/>
            </w:pPr>
            <w:r>
              <w:t>20 937</w:t>
            </w:r>
          </w:p>
        </w:tc>
        <w:tc>
          <w:tcPr>
            <w:tcW w:w="794" w:type="dxa"/>
          </w:tcPr>
          <w:p w14:paraId="09215A88" w14:textId="77777777" w:rsidR="00AB205D" w:rsidRDefault="00471A3B">
            <w:pPr>
              <w:cnfStyle w:val="000000000000" w:firstRow="0" w:lastRow="0" w:firstColumn="0" w:lastColumn="0" w:oddVBand="0" w:evenVBand="0" w:oddHBand="0" w:evenHBand="0" w:firstRowFirstColumn="0" w:firstRowLastColumn="0" w:lastRowFirstColumn="0" w:lastRowLastColumn="0"/>
            </w:pPr>
            <w:r>
              <w:t>20 769</w:t>
            </w:r>
          </w:p>
        </w:tc>
        <w:tc>
          <w:tcPr>
            <w:tcW w:w="794" w:type="dxa"/>
          </w:tcPr>
          <w:p w14:paraId="5F9ABA4B" w14:textId="77777777" w:rsidR="00AB205D" w:rsidRDefault="00471A3B">
            <w:pPr>
              <w:cnfStyle w:val="000000000000" w:firstRow="0" w:lastRow="0" w:firstColumn="0" w:lastColumn="0" w:oddVBand="0" w:evenVBand="0" w:oddHBand="0" w:evenHBand="0" w:firstRowFirstColumn="0" w:firstRowLastColumn="0" w:lastRowFirstColumn="0" w:lastRowLastColumn="0"/>
            </w:pPr>
            <w:r>
              <w:t>21 087</w:t>
            </w:r>
          </w:p>
        </w:tc>
        <w:tc>
          <w:tcPr>
            <w:tcW w:w="794" w:type="dxa"/>
          </w:tcPr>
          <w:p w14:paraId="4DE9B380" w14:textId="77777777" w:rsidR="00AB205D" w:rsidRDefault="00471A3B">
            <w:pPr>
              <w:cnfStyle w:val="000000000000" w:firstRow="0" w:lastRow="0" w:firstColumn="0" w:lastColumn="0" w:oddVBand="0" w:evenVBand="0" w:oddHBand="0" w:evenHBand="0" w:firstRowFirstColumn="0" w:firstRowLastColumn="0" w:lastRowFirstColumn="0" w:lastRowLastColumn="0"/>
            </w:pPr>
            <w:r>
              <w:t>21 075</w:t>
            </w:r>
          </w:p>
        </w:tc>
      </w:tr>
      <w:tr w:rsidR="009C6724" w14:paraId="48604887" w14:textId="77777777" w:rsidTr="009C6724">
        <w:tc>
          <w:tcPr>
            <w:cnfStyle w:val="001000000000" w:firstRow="0" w:lastRow="0" w:firstColumn="1" w:lastColumn="0" w:oddVBand="0" w:evenVBand="0" w:oddHBand="0" w:evenHBand="0" w:firstRowFirstColumn="0" w:firstRowLastColumn="0" w:lastRowFirstColumn="0" w:lastRowLastColumn="0"/>
            <w:tcW w:w="3828" w:type="dxa"/>
          </w:tcPr>
          <w:p w14:paraId="79C50BF2" w14:textId="77777777" w:rsidR="00AB205D" w:rsidRDefault="00471A3B">
            <w:r>
              <w:t>Energy, Environment and Climate Action</w:t>
            </w:r>
          </w:p>
        </w:tc>
        <w:tc>
          <w:tcPr>
            <w:tcW w:w="706" w:type="dxa"/>
          </w:tcPr>
          <w:p w14:paraId="17684538" w14:textId="77777777" w:rsidR="00AB205D" w:rsidRDefault="00471A3B">
            <w:pPr>
              <w:cnfStyle w:val="000000000000" w:firstRow="0" w:lastRow="0" w:firstColumn="0" w:lastColumn="0" w:oddVBand="0" w:evenVBand="0" w:oddHBand="0" w:evenHBand="0" w:firstRowFirstColumn="0" w:firstRowLastColumn="0" w:lastRowFirstColumn="0" w:lastRowLastColumn="0"/>
            </w:pPr>
            <w:r>
              <w:t>3 411</w:t>
            </w:r>
          </w:p>
        </w:tc>
        <w:tc>
          <w:tcPr>
            <w:tcW w:w="794" w:type="dxa"/>
          </w:tcPr>
          <w:p w14:paraId="16342407" w14:textId="77777777" w:rsidR="00AB205D" w:rsidRDefault="00471A3B">
            <w:pPr>
              <w:cnfStyle w:val="000000000000" w:firstRow="0" w:lastRow="0" w:firstColumn="0" w:lastColumn="0" w:oddVBand="0" w:evenVBand="0" w:oddHBand="0" w:evenHBand="0" w:firstRowFirstColumn="0" w:firstRowLastColumn="0" w:lastRowFirstColumn="0" w:lastRowLastColumn="0"/>
            </w:pPr>
            <w:r>
              <w:t>4 036</w:t>
            </w:r>
          </w:p>
        </w:tc>
        <w:tc>
          <w:tcPr>
            <w:tcW w:w="794" w:type="dxa"/>
          </w:tcPr>
          <w:p w14:paraId="6956DA3C" w14:textId="77777777" w:rsidR="00AB205D" w:rsidRDefault="00471A3B">
            <w:pPr>
              <w:cnfStyle w:val="000000000000" w:firstRow="0" w:lastRow="0" w:firstColumn="0" w:lastColumn="0" w:oddVBand="0" w:evenVBand="0" w:oddHBand="0" w:evenHBand="0" w:firstRowFirstColumn="0" w:firstRowLastColumn="0" w:lastRowFirstColumn="0" w:lastRowLastColumn="0"/>
            </w:pPr>
            <w:r>
              <w:t>2 613</w:t>
            </w:r>
          </w:p>
        </w:tc>
        <w:tc>
          <w:tcPr>
            <w:tcW w:w="794" w:type="dxa"/>
          </w:tcPr>
          <w:p w14:paraId="43FF2AC1" w14:textId="77777777" w:rsidR="00AB205D" w:rsidRDefault="00471A3B">
            <w:pPr>
              <w:cnfStyle w:val="000000000000" w:firstRow="0" w:lastRow="0" w:firstColumn="0" w:lastColumn="0" w:oddVBand="0" w:evenVBand="0" w:oddHBand="0" w:evenHBand="0" w:firstRowFirstColumn="0" w:firstRowLastColumn="0" w:lastRowFirstColumn="0" w:lastRowLastColumn="0"/>
            </w:pPr>
            <w:r>
              <w:t>2 410</w:t>
            </w:r>
          </w:p>
        </w:tc>
        <w:tc>
          <w:tcPr>
            <w:tcW w:w="794" w:type="dxa"/>
          </w:tcPr>
          <w:p w14:paraId="2F180ABA" w14:textId="77777777" w:rsidR="00AB205D" w:rsidRDefault="00471A3B">
            <w:pPr>
              <w:cnfStyle w:val="000000000000" w:firstRow="0" w:lastRow="0" w:firstColumn="0" w:lastColumn="0" w:oddVBand="0" w:evenVBand="0" w:oddHBand="0" w:evenHBand="0" w:firstRowFirstColumn="0" w:firstRowLastColumn="0" w:lastRowFirstColumn="0" w:lastRowLastColumn="0"/>
            </w:pPr>
            <w:r>
              <w:t>2 363</w:t>
            </w:r>
          </w:p>
        </w:tc>
      </w:tr>
      <w:tr w:rsidR="009C6724" w14:paraId="28249B24" w14:textId="77777777" w:rsidTr="009C6724">
        <w:tc>
          <w:tcPr>
            <w:cnfStyle w:val="001000000000" w:firstRow="0" w:lastRow="0" w:firstColumn="1" w:lastColumn="0" w:oddVBand="0" w:evenVBand="0" w:oddHBand="0" w:evenHBand="0" w:firstRowFirstColumn="0" w:firstRowLastColumn="0" w:lastRowFirstColumn="0" w:lastRowLastColumn="0"/>
            <w:tcW w:w="3828" w:type="dxa"/>
          </w:tcPr>
          <w:p w14:paraId="30CB3D68" w14:textId="77777777" w:rsidR="00AB205D" w:rsidRDefault="00471A3B">
            <w:r>
              <w:t>Families, Fairness and Housing</w:t>
            </w:r>
          </w:p>
        </w:tc>
        <w:tc>
          <w:tcPr>
            <w:tcW w:w="706" w:type="dxa"/>
          </w:tcPr>
          <w:p w14:paraId="7FFF9ADD" w14:textId="77777777" w:rsidR="00AB205D" w:rsidRDefault="00471A3B">
            <w:pPr>
              <w:cnfStyle w:val="000000000000" w:firstRow="0" w:lastRow="0" w:firstColumn="0" w:lastColumn="0" w:oddVBand="0" w:evenVBand="0" w:oddHBand="0" w:evenHBand="0" w:firstRowFirstColumn="0" w:firstRowLastColumn="0" w:lastRowFirstColumn="0" w:lastRowLastColumn="0"/>
            </w:pPr>
            <w:r>
              <w:t>7 794</w:t>
            </w:r>
          </w:p>
        </w:tc>
        <w:tc>
          <w:tcPr>
            <w:tcW w:w="794" w:type="dxa"/>
          </w:tcPr>
          <w:p w14:paraId="0BE5198F" w14:textId="77777777" w:rsidR="00AB205D" w:rsidRDefault="00471A3B">
            <w:pPr>
              <w:cnfStyle w:val="000000000000" w:firstRow="0" w:lastRow="0" w:firstColumn="0" w:lastColumn="0" w:oddVBand="0" w:evenVBand="0" w:oddHBand="0" w:evenHBand="0" w:firstRowFirstColumn="0" w:firstRowLastColumn="0" w:lastRowFirstColumn="0" w:lastRowLastColumn="0"/>
            </w:pPr>
            <w:r>
              <w:t>8 267</w:t>
            </w:r>
          </w:p>
        </w:tc>
        <w:tc>
          <w:tcPr>
            <w:tcW w:w="794" w:type="dxa"/>
          </w:tcPr>
          <w:p w14:paraId="6F122D6E" w14:textId="77777777" w:rsidR="00AB205D" w:rsidRDefault="00471A3B">
            <w:pPr>
              <w:cnfStyle w:val="000000000000" w:firstRow="0" w:lastRow="0" w:firstColumn="0" w:lastColumn="0" w:oddVBand="0" w:evenVBand="0" w:oddHBand="0" w:evenHBand="0" w:firstRowFirstColumn="0" w:firstRowLastColumn="0" w:lastRowFirstColumn="0" w:lastRowLastColumn="0"/>
            </w:pPr>
            <w:r>
              <w:t>7 783</w:t>
            </w:r>
          </w:p>
        </w:tc>
        <w:tc>
          <w:tcPr>
            <w:tcW w:w="794" w:type="dxa"/>
          </w:tcPr>
          <w:p w14:paraId="2765D4CA" w14:textId="77777777" w:rsidR="00AB205D" w:rsidRDefault="00471A3B">
            <w:pPr>
              <w:cnfStyle w:val="000000000000" w:firstRow="0" w:lastRow="0" w:firstColumn="0" w:lastColumn="0" w:oddVBand="0" w:evenVBand="0" w:oddHBand="0" w:evenHBand="0" w:firstRowFirstColumn="0" w:firstRowLastColumn="0" w:lastRowFirstColumn="0" w:lastRowLastColumn="0"/>
            </w:pPr>
            <w:r>
              <w:t>7 727</w:t>
            </w:r>
          </w:p>
        </w:tc>
        <w:tc>
          <w:tcPr>
            <w:tcW w:w="794" w:type="dxa"/>
          </w:tcPr>
          <w:p w14:paraId="08A11EBB" w14:textId="77777777" w:rsidR="00AB205D" w:rsidRDefault="00471A3B">
            <w:pPr>
              <w:cnfStyle w:val="000000000000" w:firstRow="0" w:lastRow="0" w:firstColumn="0" w:lastColumn="0" w:oddVBand="0" w:evenVBand="0" w:oddHBand="0" w:evenHBand="0" w:firstRowFirstColumn="0" w:firstRowLastColumn="0" w:lastRowFirstColumn="0" w:lastRowLastColumn="0"/>
            </w:pPr>
            <w:r>
              <w:t>7 885</w:t>
            </w:r>
          </w:p>
        </w:tc>
      </w:tr>
      <w:tr w:rsidR="009C6724" w14:paraId="41252767" w14:textId="77777777" w:rsidTr="009C6724">
        <w:tc>
          <w:tcPr>
            <w:cnfStyle w:val="001000000000" w:firstRow="0" w:lastRow="0" w:firstColumn="1" w:lastColumn="0" w:oddVBand="0" w:evenVBand="0" w:oddHBand="0" w:evenHBand="0" w:firstRowFirstColumn="0" w:firstRowLastColumn="0" w:lastRowFirstColumn="0" w:lastRowLastColumn="0"/>
            <w:tcW w:w="3828" w:type="dxa"/>
          </w:tcPr>
          <w:p w14:paraId="1F607831" w14:textId="77777777" w:rsidR="00AB205D" w:rsidRDefault="00471A3B">
            <w:r>
              <w:t>Government Services</w:t>
            </w:r>
          </w:p>
        </w:tc>
        <w:tc>
          <w:tcPr>
            <w:tcW w:w="706" w:type="dxa"/>
          </w:tcPr>
          <w:p w14:paraId="52EFA78C" w14:textId="77777777" w:rsidR="00AB205D" w:rsidRDefault="00471A3B">
            <w:pPr>
              <w:cnfStyle w:val="000000000000" w:firstRow="0" w:lastRow="0" w:firstColumn="0" w:lastColumn="0" w:oddVBand="0" w:evenVBand="0" w:oddHBand="0" w:evenHBand="0" w:firstRowFirstColumn="0" w:firstRowLastColumn="0" w:lastRowFirstColumn="0" w:lastRowLastColumn="0"/>
            </w:pPr>
            <w:r>
              <w:t>2 167</w:t>
            </w:r>
          </w:p>
        </w:tc>
        <w:tc>
          <w:tcPr>
            <w:tcW w:w="794" w:type="dxa"/>
          </w:tcPr>
          <w:p w14:paraId="4EFB8518" w14:textId="77777777" w:rsidR="00AB205D" w:rsidRDefault="00471A3B">
            <w:pPr>
              <w:cnfStyle w:val="000000000000" w:firstRow="0" w:lastRow="0" w:firstColumn="0" w:lastColumn="0" w:oddVBand="0" w:evenVBand="0" w:oddHBand="0" w:evenHBand="0" w:firstRowFirstColumn="0" w:firstRowLastColumn="0" w:lastRowFirstColumn="0" w:lastRowLastColumn="0"/>
            </w:pPr>
            <w:r>
              <w:t>1 532</w:t>
            </w:r>
          </w:p>
        </w:tc>
        <w:tc>
          <w:tcPr>
            <w:tcW w:w="794" w:type="dxa"/>
          </w:tcPr>
          <w:p w14:paraId="222DBE64" w14:textId="77777777" w:rsidR="00AB205D" w:rsidRDefault="00471A3B">
            <w:pPr>
              <w:cnfStyle w:val="000000000000" w:firstRow="0" w:lastRow="0" w:firstColumn="0" w:lastColumn="0" w:oddVBand="0" w:evenVBand="0" w:oddHBand="0" w:evenHBand="0" w:firstRowFirstColumn="0" w:firstRowLastColumn="0" w:lastRowFirstColumn="0" w:lastRowLastColumn="0"/>
            </w:pPr>
            <w:r>
              <w:t>2 122</w:t>
            </w:r>
          </w:p>
        </w:tc>
        <w:tc>
          <w:tcPr>
            <w:tcW w:w="794" w:type="dxa"/>
          </w:tcPr>
          <w:p w14:paraId="4FEDBF8B" w14:textId="77777777" w:rsidR="00AB205D" w:rsidRDefault="00471A3B">
            <w:pPr>
              <w:cnfStyle w:val="000000000000" w:firstRow="0" w:lastRow="0" w:firstColumn="0" w:lastColumn="0" w:oddVBand="0" w:evenVBand="0" w:oddHBand="0" w:evenHBand="0" w:firstRowFirstColumn="0" w:firstRowLastColumn="0" w:lastRowFirstColumn="0" w:lastRowLastColumn="0"/>
            </w:pPr>
            <w:r>
              <w:t>2 090</w:t>
            </w:r>
          </w:p>
        </w:tc>
        <w:tc>
          <w:tcPr>
            <w:tcW w:w="794" w:type="dxa"/>
          </w:tcPr>
          <w:p w14:paraId="6EDA20B1" w14:textId="77777777" w:rsidR="00AB205D" w:rsidRDefault="00471A3B">
            <w:pPr>
              <w:cnfStyle w:val="000000000000" w:firstRow="0" w:lastRow="0" w:firstColumn="0" w:lastColumn="0" w:oddVBand="0" w:evenVBand="0" w:oddHBand="0" w:evenHBand="0" w:firstRowFirstColumn="0" w:firstRowLastColumn="0" w:lastRowFirstColumn="0" w:lastRowLastColumn="0"/>
            </w:pPr>
            <w:r>
              <w:t>2 016</w:t>
            </w:r>
          </w:p>
        </w:tc>
      </w:tr>
      <w:tr w:rsidR="009C6724" w14:paraId="1456E764" w14:textId="77777777" w:rsidTr="009C6724">
        <w:tc>
          <w:tcPr>
            <w:cnfStyle w:val="001000000000" w:firstRow="0" w:lastRow="0" w:firstColumn="1" w:lastColumn="0" w:oddVBand="0" w:evenVBand="0" w:oddHBand="0" w:evenHBand="0" w:firstRowFirstColumn="0" w:firstRowLastColumn="0" w:lastRowFirstColumn="0" w:lastRowLastColumn="0"/>
            <w:tcW w:w="3828" w:type="dxa"/>
          </w:tcPr>
          <w:p w14:paraId="4965730F" w14:textId="77777777" w:rsidR="00AB205D" w:rsidRDefault="00471A3B">
            <w:r>
              <w:t>Health</w:t>
            </w:r>
          </w:p>
        </w:tc>
        <w:tc>
          <w:tcPr>
            <w:tcW w:w="706" w:type="dxa"/>
          </w:tcPr>
          <w:p w14:paraId="53FBDBB7" w14:textId="77777777" w:rsidR="00AB205D" w:rsidRDefault="00471A3B">
            <w:pPr>
              <w:cnfStyle w:val="000000000000" w:firstRow="0" w:lastRow="0" w:firstColumn="0" w:lastColumn="0" w:oddVBand="0" w:evenVBand="0" w:oddHBand="0" w:evenHBand="0" w:firstRowFirstColumn="0" w:firstRowLastColumn="0" w:lastRowFirstColumn="0" w:lastRowLastColumn="0"/>
            </w:pPr>
            <w:r>
              <w:t>28 071</w:t>
            </w:r>
          </w:p>
        </w:tc>
        <w:tc>
          <w:tcPr>
            <w:tcW w:w="794" w:type="dxa"/>
          </w:tcPr>
          <w:p w14:paraId="0028F073" w14:textId="77777777" w:rsidR="00AB205D" w:rsidRDefault="00471A3B">
            <w:pPr>
              <w:cnfStyle w:val="000000000000" w:firstRow="0" w:lastRow="0" w:firstColumn="0" w:lastColumn="0" w:oddVBand="0" w:evenVBand="0" w:oddHBand="0" w:evenHBand="0" w:firstRowFirstColumn="0" w:firstRowLastColumn="0" w:lastRowFirstColumn="0" w:lastRowLastColumn="0"/>
            </w:pPr>
            <w:r>
              <w:t>27 875</w:t>
            </w:r>
          </w:p>
        </w:tc>
        <w:tc>
          <w:tcPr>
            <w:tcW w:w="794" w:type="dxa"/>
          </w:tcPr>
          <w:p w14:paraId="3D9D0DA5" w14:textId="77777777" w:rsidR="00AB205D" w:rsidRDefault="00471A3B">
            <w:pPr>
              <w:cnfStyle w:val="000000000000" w:firstRow="0" w:lastRow="0" w:firstColumn="0" w:lastColumn="0" w:oddVBand="0" w:evenVBand="0" w:oddHBand="0" w:evenHBand="0" w:firstRowFirstColumn="0" w:firstRowLastColumn="0" w:lastRowFirstColumn="0" w:lastRowLastColumn="0"/>
            </w:pPr>
            <w:r>
              <w:t>27 036</w:t>
            </w:r>
          </w:p>
        </w:tc>
        <w:tc>
          <w:tcPr>
            <w:tcW w:w="794" w:type="dxa"/>
          </w:tcPr>
          <w:p w14:paraId="4D2150AD" w14:textId="77777777" w:rsidR="00AB205D" w:rsidRDefault="00471A3B">
            <w:pPr>
              <w:cnfStyle w:val="000000000000" w:firstRow="0" w:lastRow="0" w:firstColumn="0" w:lastColumn="0" w:oddVBand="0" w:evenVBand="0" w:oddHBand="0" w:evenHBand="0" w:firstRowFirstColumn="0" w:firstRowLastColumn="0" w:lastRowFirstColumn="0" w:lastRowLastColumn="0"/>
            </w:pPr>
            <w:r>
              <w:t>27 114</w:t>
            </w:r>
          </w:p>
        </w:tc>
        <w:tc>
          <w:tcPr>
            <w:tcW w:w="794" w:type="dxa"/>
          </w:tcPr>
          <w:p w14:paraId="1220EDFE" w14:textId="77777777" w:rsidR="00AB205D" w:rsidRDefault="00471A3B">
            <w:pPr>
              <w:cnfStyle w:val="000000000000" w:firstRow="0" w:lastRow="0" w:firstColumn="0" w:lastColumn="0" w:oddVBand="0" w:evenVBand="0" w:oddHBand="0" w:evenHBand="0" w:firstRowFirstColumn="0" w:firstRowLastColumn="0" w:lastRowFirstColumn="0" w:lastRowLastColumn="0"/>
            </w:pPr>
            <w:r>
              <w:t>27 388</w:t>
            </w:r>
          </w:p>
        </w:tc>
      </w:tr>
      <w:tr w:rsidR="009C6724" w14:paraId="15E17450" w14:textId="77777777" w:rsidTr="009C6724">
        <w:tc>
          <w:tcPr>
            <w:cnfStyle w:val="001000000000" w:firstRow="0" w:lastRow="0" w:firstColumn="1" w:lastColumn="0" w:oddVBand="0" w:evenVBand="0" w:oddHBand="0" w:evenHBand="0" w:firstRowFirstColumn="0" w:firstRowLastColumn="0" w:lastRowFirstColumn="0" w:lastRowLastColumn="0"/>
            <w:tcW w:w="3828" w:type="dxa"/>
          </w:tcPr>
          <w:p w14:paraId="64F7B10E" w14:textId="77777777" w:rsidR="00AB205D" w:rsidRDefault="00471A3B">
            <w:r>
              <w:t>Jobs, Skills, Industry and Regions</w:t>
            </w:r>
          </w:p>
        </w:tc>
        <w:tc>
          <w:tcPr>
            <w:tcW w:w="706" w:type="dxa"/>
          </w:tcPr>
          <w:p w14:paraId="0D505C1A" w14:textId="77777777" w:rsidR="00AB205D" w:rsidRDefault="00471A3B">
            <w:pPr>
              <w:cnfStyle w:val="000000000000" w:firstRow="0" w:lastRow="0" w:firstColumn="0" w:lastColumn="0" w:oddVBand="0" w:evenVBand="0" w:oddHBand="0" w:evenHBand="0" w:firstRowFirstColumn="0" w:firstRowLastColumn="0" w:lastRowFirstColumn="0" w:lastRowLastColumn="0"/>
            </w:pPr>
            <w:r>
              <w:t>4 107</w:t>
            </w:r>
          </w:p>
        </w:tc>
        <w:tc>
          <w:tcPr>
            <w:tcW w:w="794" w:type="dxa"/>
          </w:tcPr>
          <w:p w14:paraId="5EEA0824" w14:textId="77777777" w:rsidR="00AB205D" w:rsidRDefault="00471A3B">
            <w:pPr>
              <w:cnfStyle w:val="000000000000" w:firstRow="0" w:lastRow="0" w:firstColumn="0" w:lastColumn="0" w:oddVBand="0" w:evenVBand="0" w:oddHBand="0" w:evenHBand="0" w:firstRowFirstColumn="0" w:firstRowLastColumn="0" w:lastRowFirstColumn="0" w:lastRowLastColumn="0"/>
            </w:pPr>
            <w:r>
              <w:t>4 647</w:t>
            </w:r>
          </w:p>
        </w:tc>
        <w:tc>
          <w:tcPr>
            <w:tcW w:w="794" w:type="dxa"/>
          </w:tcPr>
          <w:p w14:paraId="53473DD8" w14:textId="77777777" w:rsidR="00AB205D" w:rsidRDefault="00471A3B">
            <w:pPr>
              <w:cnfStyle w:val="000000000000" w:firstRow="0" w:lastRow="0" w:firstColumn="0" w:lastColumn="0" w:oddVBand="0" w:evenVBand="0" w:oddHBand="0" w:evenHBand="0" w:firstRowFirstColumn="0" w:firstRowLastColumn="0" w:lastRowFirstColumn="0" w:lastRowLastColumn="0"/>
            </w:pPr>
            <w:r>
              <w:t>3 786</w:t>
            </w:r>
          </w:p>
        </w:tc>
        <w:tc>
          <w:tcPr>
            <w:tcW w:w="794" w:type="dxa"/>
          </w:tcPr>
          <w:p w14:paraId="6F1C6F77" w14:textId="77777777" w:rsidR="00AB205D" w:rsidRDefault="00471A3B">
            <w:pPr>
              <w:cnfStyle w:val="000000000000" w:firstRow="0" w:lastRow="0" w:firstColumn="0" w:lastColumn="0" w:oddVBand="0" w:evenVBand="0" w:oddHBand="0" w:evenHBand="0" w:firstRowFirstColumn="0" w:firstRowLastColumn="0" w:lastRowFirstColumn="0" w:lastRowLastColumn="0"/>
            </w:pPr>
            <w:r>
              <w:t>3 114</w:t>
            </w:r>
          </w:p>
        </w:tc>
        <w:tc>
          <w:tcPr>
            <w:tcW w:w="794" w:type="dxa"/>
          </w:tcPr>
          <w:p w14:paraId="30ED2CEE" w14:textId="77777777" w:rsidR="00AB205D" w:rsidRDefault="00471A3B">
            <w:pPr>
              <w:cnfStyle w:val="000000000000" w:firstRow="0" w:lastRow="0" w:firstColumn="0" w:lastColumn="0" w:oddVBand="0" w:evenVBand="0" w:oddHBand="0" w:evenHBand="0" w:firstRowFirstColumn="0" w:firstRowLastColumn="0" w:lastRowFirstColumn="0" w:lastRowLastColumn="0"/>
            </w:pPr>
            <w:r>
              <w:t>2 979</w:t>
            </w:r>
          </w:p>
        </w:tc>
      </w:tr>
      <w:tr w:rsidR="009C6724" w14:paraId="4DC122C4" w14:textId="77777777" w:rsidTr="009C6724">
        <w:tc>
          <w:tcPr>
            <w:cnfStyle w:val="001000000000" w:firstRow="0" w:lastRow="0" w:firstColumn="1" w:lastColumn="0" w:oddVBand="0" w:evenVBand="0" w:oddHBand="0" w:evenHBand="0" w:firstRowFirstColumn="0" w:firstRowLastColumn="0" w:lastRowFirstColumn="0" w:lastRowLastColumn="0"/>
            <w:tcW w:w="3828" w:type="dxa"/>
          </w:tcPr>
          <w:p w14:paraId="0537F057" w14:textId="77777777" w:rsidR="00AB205D" w:rsidRDefault="00471A3B">
            <w:r>
              <w:t>Justice and Community Safety</w:t>
            </w:r>
          </w:p>
        </w:tc>
        <w:tc>
          <w:tcPr>
            <w:tcW w:w="706" w:type="dxa"/>
          </w:tcPr>
          <w:p w14:paraId="4E0BF3D3" w14:textId="77777777" w:rsidR="00AB205D" w:rsidRDefault="00471A3B">
            <w:pPr>
              <w:cnfStyle w:val="000000000000" w:firstRow="0" w:lastRow="0" w:firstColumn="0" w:lastColumn="0" w:oddVBand="0" w:evenVBand="0" w:oddHBand="0" w:evenHBand="0" w:firstRowFirstColumn="0" w:firstRowLastColumn="0" w:lastRowFirstColumn="0" w:lastRowLastColumn="0"/>
            </w:pPr>
            <w:r>
              <w:t>9 234</w:t>
            </w:r>
          </w:p>
        </w:tc>
        <w:tc>
          <w:tcPr>
            <w:tcW w:w="794" w:type="dxa"/>
          </w:tcPr>
          <w:p w14:paraId="3B95C4A9" w14:textId="77777777" w:rsidR="00AB205D" w:rsidRDefault="00471A3B">
            <w:pPr>
              <w:cnfStyle w:val="000000000000" w:firstRow="0" w:lastRow="0" w:firstColumn="0" w:lastColumn="0" w:oddVBand="0" w:evenVBand="0" w:oddHBand="0" w:evenHBand="0" w:firstRowFirstColumn="0" w:firstRowLastColumn="0" w:lastRowFirstColumn="0" w:lastRowLastColumn="0"/>
            </w:pPr>
            <w:r>
              <w:t>9 700</w:t>
            </w:r>
          </w:p>
        </w:tc>
        <w:tc>
          <w:tcPr>
            <w:tcW w:w="794" w:type="dxa"/>
          </w:tcPr>
          <w:p w14:paraId="7BA66D85" w14:textId="77777777" w:rsidR="00AB205D" w:rsidRDefault="00471A3B">
            <w:pPr>
              <w:cnfStyle w:val="000000000000" w:firstRow="0" w:lastRow="0" w:firstColumn="0" w:lastColumn="0" w:oddVBand="0" w:evenVBand="0" w:oddHBand="0" w:evenHBand="0" w:firstRowFirstColumn="0" w:firstRowLastColumn="0" w:lastRowFirstColumn="0" w:lastRowLastColumn="0"/>
            </w:pPr>
            <w:r>
              <w:t>9 016</w:t>
            </w:r>
          </w:p>
        </w:tc>
        <w:tc>
          <w:tcPr>
            <w:tcW w:w="794" w:type="dxa"/>
          </w:tcPr>
          <w:p w14:paraId="3AC47743" w14:textId="77777777" w:rsidR="00AB205D" w:rsidRDefault="00471A3B">
            <w:pPr>
              <w:cnfStyle w:val="000000000000" w:firstRow="0" w:lastRow="0" w:firstColumn="0" w:lastColumn="0" w:oddVBand="0" w:evenVBand="0" w:oddHBand="0" w:evenHBand="0" w:firstRowFirstColumn="0" w:firstRowLastColumn="0" w:lastRowFirstColumn="0" w:lastRowLastColumn="0"/>
            </w:pPr>
            <w:r>
              <w:t>8 786</w:t>
            </w:r>
          </w:p>
        </w:tc>
        <w:tc>
          <w:tcPr>
            <w:tcW w:w="794" w:type="dxa"/>
          </w:tcPr>
          <w:p w14:paraId="1E200734" w14:textId="77777777" w:rsidR="00AB205D" w:rsidRDefault="00471A3B">
            <w:pPr>
              <w:cnfStyle w:val="000000000000" w:firstRow="0" w:lastRow="0" w:firstColumn="0" w:lastColumn="0" w:oddVBand="0" w:evenVBand="0" w:oddHBand="0" w:evenHBand="0" w:firstRowFirstColumn="0" w:firstRowLastColumn="0" w:lastRowFirstColumn="0" w:lastRowLastColumn="0"/>
            </w:pPr>
            <w:r>
              <w:t>8 857</w:t>
            </w:r>
          </w:p>
        </w:tc>
      </w:tr>
      <w:tr w:rsidR="009C6724" w14:paraId="6F6BF10C" w14:textId="77777777" w:rsidTr="009C6724">
        <w:tc>
          <w:tcPr>
            <w:cnfStyle w:val="001000000000" w:firstRow="0" w:lastRow="0" w:firstColumn="1" w:lastColumn="0" w:oddVBand="0" w:evenVBand="0" w:oddHBand="0" w:evenHBand="0" w:firstRowFirstColumn="0" w:firstRowLastColumn="0" w:lastRowFirstColumn="0" w:lastRowLastColumn="0"/>
            <w:tcW w:w="3828" w:type="dxa"/>
          </w:tcPr>
          <w:p w14:paraId="055FA0FC" w14:textId="77777777" w:rsidR="00AB205D" w:rsidRDefault="00471A3B">
            <w:r>
              <w:t>Premier and Cabinet</w:t>
            </w:r>
          </w:p>
        </w:tc>
        <w:tc>
          <w:tcPr>
            <w:tcW w:w="706" w:type="dxa"/>
          </w:tcPr>
          <w:p w14:paraId="40AF869D" w14:textId="77777777" w:rsidR="00AB205D" w:rsidRDefault="00471A3B">
            <w:pPr>
              <w:cnfStyle w:val="000000000000" w:firstRow="0" w:lastRow="0" w:firstColumn="0" w:lastColumn="0" w:oddVBand="0" w:evenVBand="0" w:oddHBand="0" w:evenHBand="0" w:firstRowFirstColumn="0" w:firstRowLastColumn="0" w:lastRowFirstColumn="0" w:lastRowLastColumn="0"/>
            </w:pPr>
            <w:r>
              <w:t>427</w:t>
            </w:r>
          </w:p>
        </w:tc>
        <w:tc>
          <w:tcPr>
            <w:tcW w:w="794" w:type="dxa"/>
          </w:tcPr>
          <w:p w14:paraId="28CC0F2D" w14:textId="77777777" w:rsidR="00AB205D" w:rsidRDefault="00471A3B">
            <w:pPr>
              <w:cnfStyle w:val="000000000000" w:firstRow="0" w:lastRow="0" w:firstColumn="0" w:lastColumn="0" w:oddVBand="0" w:evenVBand="0" w:oddHBand="0" w:evenHBand="0" w:firstRowFirstColumn="0" w:firstRowLastColumn="0" w:lastRowFirstColumn="0" w:lastRowLastColumn="0"/>
            </w:pPr>
            <w:r>
              <w:t>468</w:t>
            </w:r>
          </w:p>
        </w:tc>
        <w:tc>
          <w:tcPr>
            <w:tcW w:w="794" w:type="dxa"/>
          </w:tcPr>
          <w:p w14:paraId="376EF888" w14:textId="77777777" w:rsidR="00AB205D" w:rsidRDefault="00471A3B">
            <w:pPr>
              <w:cnfStyle w:val="000000000000" w:firstRow="0" w:lastRow="0" w:firstColumn="0" w:lastColumn="0" w:oddVBand="0" w:evenVBand="0" w:oddHBand="0" w:evenHBand="0" w:firstRowFirstColumn="0" w:firstRowLastColumn="0" w:lastRowFirstColumn="0" w:lastRowLastColumn="0"/>
            </w:pPr>
            <w:r>
              <w:t>450</w:t>
            </w:r>
          </w:p>
        </w:tc>
        <w:tc>
          <w:tcPr>
            <w:tcW w:w="794" w:type="dxa"/>
          </w:tcPr>
          <w:p w14:paraId="37414250" w14:textId="77777777" w:rsidR="00AB205D" w:rsidRDefault="00471A3B">
            <w:pPr>
              <w:cnfStyle w:val="000000000000" w:firstRow="0" w:lastRow="0" w:firstColumn="0" w:lastColumn="0" w:oddVBand="0" w:evenVBand="0" w:oddHBand="0" w:evenHBand="0" w:firstRowFirstColumn="0" w:firstRowLastColumn="0" w:lastRowFirstColumn="0" w:lastRowLastColumn="0"/>
            </w:pPr>
            <w:r>
              <w:t>344</w:t>
            </w:r>
          </w:p>
        </w:tc>
        <w:tc>
          <w:tcPr>
            <w:tcW w:w="794" w:type="dxa"/>
          </w:tcPr>
          <w:p w14:paraId="5D99C6C9" w14:textId="77777777" w:rsidR="00AB205D" w:rsidRDefault="00471A3B">
            <w:pPr>
              <w:cnfStyle w:val="000000000000" w:firstRow="0" w:lastRow="0" w:firstColumn="0" w:lastColumn="0" w:oddVBand="0" w:evenVBand="0" w:oddHBand="0" w:evenHBand="0" w:firstRowFirstColumn="0" w:firstRowLastColumn="0" w:lastRowFirstColumn="0" w:lastRowLastColumn="0"/>
            </w:pPr>
            <w:r>
              <w:t>327</w:t>
            </w:r>
          </w:p>
        </w:tc>
      </w:tr>
      <w:tr w:rsidR="009C6724" w14:paraId="652864CE" w14:textId="77777777" w:rsidTr="009C6724">
        <w:tc>
          <w:tcPr>
            <w:cnfStyle w:val="001000000000" w:firstRow="0" w:lastRow="0" w:firstColumn="1" w:lastColumn="0" w:oddVBand="0" w:evenVBand="0" w:oddHBand="0" w:evenHBand="0" w:firstRowFirstColumn="0" w:firstRowLastColumn="0" w:lastRowFirstColumn="0" w:lastRowLastColumn="0"/>
            <w:tcW w:w="3828" w:type="dxa"/>
          </w:tcPr>
          <w:p w14:paraId="1B0B4602" w14:textId="77777777" w:rsidR="00AB205D" w:rsidRDefault="00471A3B">
            <w:r>
              <w:t>Transport and Planning</w:t>
            </w:r>
          </w:p>
        </w:tc>
        <w:tc>
          <w:tcPr>
            <w:tcW w:w="706" w:type="dxa"/>
          </w:tcPr>
          <w:p w14:paraId="1A897CE4" w14:textId="77777777" w:rsidR="00AB205D" w:rsidRDefault="00471A3B">
            <w:pPr>
              <w:cnfStyle w:val="000000000000" w:firstRow="0" w:lastRow="0" w:firstColumn="0" w:lastColumn="0" w:oddVBand="0" w:evenVBand="0" w:oddHBand="0" w:evenHBand="0" w:firstRowFirstColumn="0" w:firstRowLastColumn="0" w:lastRowFirstColumn="0" w:lastRowLastColumn="0"/>
            </w:pPr>
            <w:r>
              <w:t>8 015</w:t>
            </w:r>
          </w:p>
        </w:tc>
        <w:tc>
          <w:tcPr>
            <w:tcW w:w="794" w:type="dxa"/>
          </w:tcPr>
          <w:p w14:paraId="2788F937" w14:textId="77777777" w:rsidR="00AB205D" w:rsidRDefault="00471A3B">
            <w:pPr>
              <w:cnfStyle w:val="000000000000" w:firstRow="0" w:lastRow="0" w:firstColumn="0" w:lastColumn="0" w:oddVBand="0" w:evenVBand="0" w:oddHBand="0" w:evenHBand="0" w:firstRowFirstColumn="0" w:firstRowLastColumn="0" w:lastRowFirstColumn="0" w:lastRowLastColumn="0"/>
            </w:pPr>
            <w:r>
              <w:t>8 555</w:t>
            </w:r>
          </w:p>
        </w:tc>
        <w:tc>
          <w:tcPr>
            <w:tcW w:w="794" w:type="dxa"/>
          </w:tcPr>
          <w:p w14:paraId="4CCD8A45" w14:textId="77777777" w:rsidR="00AB205D" w:rsidRDefault="00471A3B">
            <w:pPr>
              <w:cnfStyle w:val="000000000000" w:firstRow="0" w:lastRow="0" w:firstColumn="0" w:lastColumn="0" w:oddVBand="0" w:evenVBand="0" w:oddHBand="0" w:evenHBand="0" w:firstRowFirstColumn="0" w:firstRowLastColumn="0" w:lastRowFirstColumn="0" w:lastRowLastColumn="0"/>
            </w:pPr>
            <w:r>
              <w:t>7 306</w:t>
            </w:r>
          </w:p>
        </w:tc>
        <w:tc>
          <w:tcPr>
            <w:tcW w:w="794" w:type="dxa"/>
          </w:tcPr>
          <w:p w14:paraId="043E6A5D" w14:textId="77777777" w:rsidR="00AB205D" w:rsidRDefault="00471A3B">
            <w:pPr>
              <w:cnfStyle w:val="000000000000" w:firstRow="0" w:lastRow="0" w:firstColumn="0" w:lastColumn="0" w:oddVBand="0" w:evenVBand="0" w:oddHBand="0" w:evenHBand="0" w:firstRowFirstColumn="0" w:firstRowLastColumn="0" w:lastRowFirstColumn="0" w:lastRowLastColumn="0"/>
            </w:pPr>
            <w:r>
              <w:t>7 490</w:t>
            </w:r>
          </w:p>
        </w:tc>
        <w:tc>
          <w:tcPr>
            <w:tcW w:w="794" w:type="dxa"/>
          </w:tcPr>
          <w:p w14:paraId="69831779" w14:textId="77777777" w:rsidR="00AB205D" w:rsidRDefault="00471A3B">
            <w:pPr>
              <w:cnfStyle w:val="000000000000" w:firstRow="0" w:lastRow="0" w:firstColumn="0" w:lastColumn="0" w:oddVBand="0" w:evenVBand="0" w:oddHBand="0" w:evenHBand="0" w:firstRowFirstColumn="0" w:firstRowLastColumn="0" w:lastRowFirstColumn="0" w:lastRowLastColumn="0"/>
            </w:pPr>
            <w:r>
              <w:t>7 696</w:t>
            </w:r>
          </w:p>
        </w:tc>
      </w:tr>
      <w:tr w:rsidR="009C6724" w14:paraId="7F7B90C2" w14:textId="77777777" w:rsidTr="009C6724">
        <w:tc>
          <w:tcPr>
            <w:cnfStyle w:val="001000000000" w:firstRow="0" w:lastRow="0" w:firstColumn="1" w:lastColumn="0" w:oddVBand="0" w:evenVBand="0" w:oddHBand="0" w:evenHBand="0" w:firstRowFirstColumn="0" w:firstRowLastColumn="0" w:lastRowFirstColumn="0" w:lastRowLastColumn="0"/>
            <w:tcW w:w="3828" w:type="dxa"/>
          </w:tcPr>
          <w:p w14:paraId="59B02999" w14:textId="77777777" w:rsidR="00AB205D" w:rsidRDefault="00471A3B">
            <w:r>
              <w:t>Treasury and Finance</w:t>
            </w:r>
          </w:p>
        </w:tc>
        <w:tc>
          <w:tcPr>
            <w:tcW w:w="706" w:type="dxa"/>
          </w:tcPr>
          <w:p w14:paraId="5638A899" w14:textId="77777777" w:rsidR="00AB205D" w:rsidRDefault="00471A3B">
            <w:pPr>
              <w:cnfStyle w:val="000000000000" w:firstRow="0" w:lastRow="0" w:firstColumn="0" w:lastColumn="0" w:oddVBand="0" w:evenVBand="0" w:oddHBand="0" w:evenHBand="0" w:firstRowFirstColumn="0" w:firstRowLastColumn="0" w:lastRowFirstColumn="0" w:lastRowLastColumn="0"/>
            </w:pPr>
            <w:r>
              <w:t>12 518</w:t>
            </w:r>
          </w:p>
        </w:tc>
        <w:tc>
          <w:tcPr>
            <w:tcW w:w="794" w:type="dxa"/>
          </w:tcPr>
          <w:p w14:paraId="56A8E380" w14:textId="77777777" w:rsidR="00AB205D" w:rsidRDefault="00471A3B">
            <w:pPr>
              <w:cnfStyle w:val="000000000000" w:firstRow="0" w:lastRow="0" w:firstColumn="0" w:lastColumn="0" w:oddVBand="0" w:evenVBand="0" w:oddHBand="0" w:evenHBand="0" w:firstRowFirstColumn="0" w:firstRowLastColumn="0" w:lastRowFirstColumn="0" w:lastRowLastColumn="0"/>
            </w:pPr>
            <w:r>
              <w:t>13 386</w:t>
            </w:r>
          </w:p>
        </w:tc>
        <w:tc>
          <w:tcPr>
            <w:tcW w:w="794" w:type="dxa"/>
          </w:tcPr>
          <w:p w14:paraId="282C9140" w14:textId="77777777" w:rsidR="00AB205D" w:rsidRDefault="00471A3B">
            <w:pPr>
              <w:cnfStyle w:val="000000000000" w:firstRow="0" w:lastRow="0" w:firstColumn="0" w:lastColumn="0" w:oddVBand="0" w:evenVBand="0" w:oddHBand="0" w:evenHBand="0" w:firstRowFirstColumn="0" w:firstRowLastColumn="0" w:lastRowFirstColumn="0" w:lastRowLastColumn="0"/>
            </w:pPr>
            <w:r>
              <w:t>13 880</w:t>
            </w:r>
          </w:p>
        </w:tc>
        <w:tc>
          <w:tcPr>
            <w:tcW w:w="794" w:type="dxa"/>
          </w:tcPr>
          <w:p w14:paraId="50CCFF5E" w14:textId="77777777" w:rsidR="00AB205D" w:rsidRDefault="00471A3B">
            <w:pPr>
              <w:cnfStyle w:val="000000000000" w:firstRow="0" w:lastRow="0" w:firstColumn="0" w:lastColumn="0" w:oddVBand="0" w:evenVBand="0" w:oddHBand="0" w:evenHBand="0" w:firstRowFirstColumn="0" w:firstRowLastColumn="0" w:lastRowFirstColumn="0" w:lastRowLastColumn="0"/>
            </w:pPr>
            <w:r>
              <w:t>14 850</w:t>
            </w:r>
          </w:p>
        </w:tc>
        <w:tc>
          <w:tcPr>
            <w:tcW w:w="794" w:type="dxa"/>
          </w:tcPr>
          <w:p w14:paraId="636D9F0D" w14:textId="77777777" w:rsidR="00AB205D" w:rsidRDefault="00471A3B">
            <w:pPr>
              <w:cnfStyle w:val="000000000000" w:firstRow="0" w:lastRow="0" w:firstColumn="0" w:lastColumn="0" w:oddVBand="0" w:evenVBand="0" w:oddHBand="0" w:evenHBand="0" w:firstRowFirstColumn="0" w:firstRowLastColumn="0" w:lastRowFirstColumn="0" w:lastRowLastColumn="0"/>
            </w:pPr>
            <w:r>
              <w:t>16 040</w:t>
            </w:r>
          </w:p>
        </w:tc>
      </w:tr>
      <w:tr w:rsidR="009C6724" w14:paraId="10C618F3" w14:textId="77777777" w:rsidTr="009C6724">
        <w:tc>
          <w:tcPr>
            <w:cnfStyle w:val="001000000000" w:firstRow="0" w:lastRow="0" w:firstColumn="1" w:lastColumn="0" w:oddVBand="0" w:evenVBand="0" w:oddHBand="0" w:evenHBand="0" w:firstRowFirstColumn="0" w:firstRowLastColumn="0" w:lastRowFirstColumn="0" w:lastRowLastColumn="0"/>
            <w:tcW w:w="3828" w:type="dxa"/>
          </w:tcPr>
          <w:p w14:paraId="426D56EA" w14:textId="77777777" w:rsidR="00AB205D" w:rsidRDefault="00471A3B">
            <w:r>
              <w:t>Parliament</w:t>
            </w:r>
          </w:p>
        </w:tc>
        <w:tc>
          <w:tcPr>
            <w:tcW w:w="706" w:type="dxa"/>
          </w:tcPr>
          <w:p w14:paraId="77AC3355" w14:textId="77777777" w:rsidR="00AB205D" w:rsidRDefault="00471A3B">
            <w:pPr>
              <w:cnfStyle w:val="000000000000" w:firstRow="0" w:lastRow="0" w:firstColumn="0" w:lastColumn="0" w:oddVBand="0" w:evenVBand="0" w:oddHBand="0" w:evenHBand="0" w:firstRowFirstColumn="0" w:firstRowLastColumn="0" w:lastRowFirstColumn="0" w:lastRowLastColumn="0"/>
            </w:pPr>
            <w:r>
              <w:t>366</w:t>
            </w:r>
          </w:p>
        </w:tc>
        <w:tc>
          <w:tcPr>
            <w:tcW w:w="794" w:type="dxa"/>
          </w:tcPr>
          <w:p w14:paraId="243A4C66" w14:textId="77777777" w:rsidR="00AB205D" w:rsidRDefault="00471A3B">
            <w:pPr>
              <w:cnfStyle w:val="000000000000" w:firstRow="0" w:lastRow="0" w:firstColumn="0" w:lastColumn="0" w:oddVBand="0" w:evenVBand="0" w:oddHBand="0" w:evenHBand="0" w:firstRowFirstColumn="0" w:firstRowLastColumn="0" w:lastRowFirstColumn="0" w:lastRowLastColumn="0"/>
            </w:pPr>
            <w:r>
              <w:t>372</w:t>
            </w:r>
          </w:p>
        </w:tc>
        <w:tc>
          <w:tcPr>
            <w:tcW w:w="794" w:type="dxa"/>
          </w:tcPr>
          <w:p w14:paraId="6B91BD18" w14:textId="77777777" w:rsidR="00AB205D" w:rsidRDefault="00471A3B">
            <w:pPr>
              <w:cnfStyle w:val="000000000000" w:firstRow="0" w:lastRow="0" w:firstColumn="0" w:lastColumn="0" w:oddVBand="0" w:evenVBand="0" w:oddHBand="0" w:evenHBand="0" w:firstRowFirstColumn="0" w:firstRowLastColumn="0" w:lastRowFirstColumn="0" w:lastRowLastColumn="0"/>
            </w:pPr>
            <w:r>
              <w:t>372</w:t>
            </w:r>
          </w:p>
        </w:tc>
        <w:tc>
          <w:tcPr>
            <w:tcW w:w="794" w:type="dxa"/>
          </w:tcPr>
          <w:p w14:paraId="51102BF7" w14:textId="77777777" w:rsidR="00AB205D" w:rsidRDefault="00471A3B">
            <w:pPr>
              <w:cnfStyle w:val="000000000000" w:firstRow="0" w:lastRow="0" w:firstColumn="0" w:lastColumn="0" w:oddVBand="0" w:evenVBand="0" w:oddHBand="0" w:evenHBand="0" w:firstRowFirstColumn="0" w:firstRowLastColumn="0" w:lastRowFirstColumn="0" w:lastRowLastColumn="0"/>
            </w:pPr>
            <w:r>
              <w:t>376</w:t>
            </w:r>
          </w:p>
        </w:tc>
        <w:tc>
          <w:tcPr>
            <w:tcW w:w="794" w:type="dxa"/>
          </w:tcPr>
          <w:p w14:paraId="74739272" w14:textId="77777777" w:rsidR="00AB205D" w:rsidRDefault="00471A3B">
            <w:pPr>
              <w:cnfStyle w:val="000000000000" w:firstRow="0" w:lastRow="0" w:firstColumn="0" w:lastColumn="0" w:oddVBand="0" w:evenVBand="0" w:oddHBand="0" w:evenHBand="0" w:firstRowFirstColumn="0" w:firstRowLastColumn="0" w:lastRowFirstColumn="0" w:lastRowLastColumn="0"/>
            </w:pPr>
            <w:r>
              <w:t>379</w:t>
            </w:r>
          </w:p>
        </w:tc>
      </w:tr>
      <w:tr w:rsidR="009C6724" w14:paraId="58A8E985" w14:textId="77777777" w:rsidTr="009C6724">
        <w:tc>
          <w:tcPr>
            <w:cnfStyle w:val="001000000000" w:firstRow="0" w:lastRow="0" w:firstColumn="1" w:lastColumn="0" w:oddVBand="0" w:evenVBand="0" w:oddHBand="0" w:evenHBand="0" w:firstRowFirstColumn="0" w:firstRowLastColumn="0" w:lastRowFirstColumn="0" w:lastRowLastColumn="0"/>
            <w:tcW w:w="3828" w:type="dxa"/>
          </w:tcPr>
          <w:p w14:paraId="1AB7EDBC" w14:textId="77777777" w:rsidR="00AB205D" w:rsidRDefault="00471A3B">
            <w:r>
              <w:t>Courts</w:t>
            </w:r>
          </w:p>
        </w:tc>
        <w:tc>
          <w:tcPr>
            <w:tcW w:w="706" w:type="dxa"/>
          </w:tcPr>
          <w:p w14:paraId="1D27F567" w14:textId="77777777" w:rsidR="00AB205D" w:rsidRDefault="00471A3B">
            <w:pPr>
              <w:cnfStyle w:val="000000000000" w:firstRow="0" w:lastRow="0" w:firstColumn="0" w:lastColumn="0" w:oddVBand="0" w:evenVBand="0" w:oddHBand="0" w:evenHBand="0" w:firstRowFirstColumn="0" w:firstRowLastColumn="0" w:lastRowFirstColumn="0" w:lastRowLastColumn="0"/>
            </w:pPr>
            <w:r>
              <w:t>891</w:t>
            </w:r>
          </w:p>
        </w:tc>
        <w:tc>
          <w:tcPr>
            <w:tcW w:w="794" w:type="dxa"/>
          </w:tcPr>
          <w:p w14:paraId="20FE3B6C" w14:textId="77777777" w:rsidR="00AB205D" w:rsidRDefault="00471A3B">
            <w:pPr>
              <w:cnfStyle w:val="000000000000" w:firstRow="0" w:lastRow="0" w:firstColumn="0" w:lastColumn="0" w:oddVBand="0" w:evenVBand="0" w:oddHBand="0" w:evenHBand="0" w:firstRowFirstColumn="0" w:firstRowLastColumn="0" w:lastRowFirstColumn="0" w:lastRowLastColumn="0"/>
            </w:pPr>
            <w:r>
              <w:t>901</w:t>
            </w:r>
          </w:p>
        </w:tc>
        <w:tc>
          <w:tcPr>
            <w:tcW w:w="794" w:type="dxa"/>
          </w:tcPr>
          <w:p w14:paraId="543A7141" w14:textId="77777777" w:rsidR="00AB205D" w:rsidRDefault="00471A3B">
            <w:pPr>
              <w:cnfStyle w:val="000000000000" w:firstRow="0" w:lastRow="0" w:firstColumn="0" w:lastColumn="0" w:oddVBand="0" w:evenVBand="0" w:oddHBand="0" w:evenHBand="0" w:firstRowFirstColumn="0" w:firstRowLastColumn="0" w:lastRowFirstColumn="0" w:lastRowLastColumn="0"/>
            </w:pPr>
            <w:r>
              <w:t>866</w:t>
            </w:r>
          </w:p>
        </w:tc>
        <w:tc>
          <w:tcPr>
            <w:tcW w:w="794" w:type="dxa"/>
          </w:tcPr>
          <w:p w14:paraId="6117AE57" w14:textId="77777777" w:rsidR="00AB205D" w:rsidRDefault="00471A3B">
            <w:pPr>
              <w:cnfStyle w:val="000000000000" w:firstRow="0" w:lastRow="0" w:firstColumn="0" w:lastColumn="0" w:oddVBand="0" w:evenVBand="0" w:oddHBand="0" w:evenHBand="0" w:firstRowFirstColumn="0" w:firstRowLastColumn="0" w:lastRowFirstColumn="0" w:lastRowLastColumn="0"/>
            </w:pPr>
            <w:r>
              <w:t>883</w:t>
            </w:r>
          </w:p>
        </w:tc>
        <w:tc>
          <w:tcPr>
            <w:tcW w:w="794" w:type="dxa"/>
          </w:tcPr>
          <w:p w14:paraId="648836BD" w14:textId="77777777" w:rsidR="00AB205D" w:rsidRDefault="00471A3B">
            <w:pPr>
              <w:cnfStyle w:val="000000000000" w:firstRow="0" w:lastRow="0" w:firstColumn="0" w:lastColumn="0" w:oddVBand="0" w:evenVBand="0" w:oddHBand="0" w:evenHBand="0" w:firstRowFirstColumn="0" w:firstRowLastColumn="0" w:lastRowFirstColumn="0" w:lastRowLastColumn="0"/>
            </w:pPr>
            <w:r>
              <w:t>897</w:t>
            </w:r>
          </w:p>
        </w:tc>
      </w:tr>
      <w:tr w:rsidR="009C6724" w14:paraId="60389079" w14:textId="77777777" w:rsidTr="009C6724">
        <w:tc>
          <w:tcPr>
            <w:cnfStyle w:val="001000000000" w:firstRow="0" w:lastRow="0" w:firstColumn="1" w:lastColumn="0" w:oddVBand="0" w:evenVBand="0" w:oddHBand="0" w:evenHBand="0" w:firstRowFirstColumn="0" w:firstRowLastColumn="0" w:lastRowFirstColumn="0" w:lastRowLastColumn="0"/>
            <w:tcW w:w="3828" w:type="dxa"/>
          </w:tcPr>
          <w:p w14:paraId="63136CA1" w14:textId="77777777" w:rsidR="00AB205D" w:rsidRDefault="00471A3B">
            <w:r>
              <w:t>Regulatory bodies and other part funded agencies</w:t>
            </w:r>
            <w:r>
              <w:rPr>
                <w:vertAlign w:val="superscript"/>
              </w:rPr>
              <w:t xml:space="preserve"> (a)</w:t>
            </w:r>
          </w:p>
        </w:tc>
        <w:tc>
          <w:tcPr>
            <w:tcW w:w="706" w:type="dxa"/>
          </w:tcPr>
          <w:p w14:paraId="7B3B4A1B" w14:textId="77777777" w:rsidR="00AB205D" w:rsidRDefault="00471A3B">
            <w:pPr>
              <w:cnfStyle w:val="000000000000" w:firstRow="0" w:lastRow="0" w:firstColumn="0" w:lastColumn="0" w:oddVBand="0" w:evenVBand="0" w:oddHBand="0" w:evenHBand="0" w:firstRowFirstColumn="0" w:firstRowLastColumn="0" w:lastRowFirstColumn="0" w:lastRowLastColumn="0"/>
            </w:pPr>
            <w:r>
              <w:t>3 135</w:t>
            </w:r>
          </w:p>
        </w:tc>
        <w:tc>
          <w:tcPr>
            <w:tcW w:w="794" w:type="dxa"/>
          </w:tcPr>
          <w:p w14:paraId="2C96E40C" w14:textId="77777777" w:rsidR="00AB205D" w:rsidRDefault="00471A3B">
            <w:pPr>
              <w:cnfStyle w:val="000000000000" w:firstRow="0" w:lastRow="0" w:firstColumn="0" w:lastColumn="0" w:oddVBand="0" w:evenVBand="0" w:oddHBand="0" w:evenHBand="0" w:firstRowFirstColumn="0" w:firstRowLastColumn="0" w:lastRowFirstColumn="0" w:lastRowLastColumn="0"/>
            </w:pPr>
            <w:r>
              <w:t>3 465</w:t>
            </w:r>
          </w:p>
        </w:tc>
        <w:tc>
          <w:tcPr>
            <w:tcW w:w="794" w:type="dxa"/>
          </w:tcPr>
          <w:p w14:paraId="33B76C1D" w14:textId="77777777" w:rsidR="00AB205D" w:rsidRDefault="00471A3B">
            <w:pPr>
              <w:cnfStyle w:val="000000000000" w:firstRow="0" w:lastRow="0" w:firstColumn="0" w:lastColumn="0" w:oddVBand="0" w:evenVBand="0" w:oddHBand="0" w:evenHBand="0" w:firstRowFirstColumn="0" w:firstRowLastColumn="0" w:lastRowFirstColumn="0" w:lastRowLastColumn="0"/>
            </w:pPr>
            <w:r>
              <w:t>3 010</w:t>
            </w:r>
          </w:p>
        </w:tc>
        <w:tc>
          <w:tcPr>
            <w:tcW w:w="794" w:type="dxa"/>
          </w:tcPr>
          <w:p w14:paraId="1EBB6084" w14:textId="77777777" w:rsidR="00AB205D" w:rsidRDefault="00471A3B">
            <w:pPr>
              <w:cnfStyle w:val="000000000000" w:firstRow="0" w:lastRow="0" w:firstColumn="0" w:lastColumn="0" w:oddVBand="0" w:evenVBand="0" w:oddHBand="0" w:evenHBand="0" w:firstRowFirstColumn="0" w:firstRowLastColumn="0" w:lastRowFirstColumn="0" w:lastRowLastColumn="0"/>
            </w:pPr>
            <w:r>
              <w:t>2 837</w:t>
            </w:r>
          </w:p>
        </w:tc>
        <w:tc>
          <w:tcPr>
            <w:tcW w:w="794" w:type="dxa"/>
          </w:tcPr>
          <w:p w14:paraId="1572627A" w14:textId="77777777" w:rsidR="00AB205D" w:rsidRDefault="00471A3B">
            <w:pPr>
              <w:cnfStyle w:val="000000000000" w:firstRow="0" w:lastRow="0" w:firstColumn="0" w:lastColumn="0" w:oddVBand="0" w:evenVBand="0" w:oddHBand="0" w:evenHBand="0" w:firstRowFirstColumn="0" w:firstRowLastColumn="0" w:lastRowFirstColumn="0" w:lastRowLastColumn="0"/>
            </w:pPr>
            <w:r>
              <w:t>2 817</w:t>
            </w:r>
          </w:p>
        </w:tc>
      </w:tr>
      <w:tr w:rsidR="009C6724" w14:paraId="02B72458" w14:textId="77777777" w:rsidTr="009C6724">
        <w:tc>
          <w:tcPr>
            <w:cnfStyle w:val="001000000000" w:firstRow="0" w:lastRow="0" w:firstColumn="1" w:lastColumn="0" w:oddVBand="0" w:evenVBand="0" w:oddHBand="0" w:evenHBand="0" w:firstRowFirstColumn="0" w:firstRowLastColumn="0" w:lastRowFirstColumn="0" w:lastRowLastColumn="0"/>
            <w:tcW w:w="3828" w:type="dxa"/>
            <w:tcBorders>
              <w:bottom w:val="single" w:sz="6" w:space="0" w:color="auto"/>
            </w:tcBorders>
          </w:tcPr>
          <w:p w14:paraId="750B6DF6" w14:textId="77777777" w:rsidR="00AB205D" w:rsidRDefault="00471A3B">
            <w:r>
              <w:t>Output contingencies not allocated to departments</w:t>
            </w:r>
            <w:r>
              <w:rPr>
                <w:vertAlign w:val="superscript"/>
              </w:rPr>
              <w:t xml:space="preserve"> (b)</w:t>
            </w:r>
          </w:p>
        </w:tc>
        <w:tc>
          <w:tcPr>
            <w:tcW w:w="706" w:type="dxa"/>
            <w:tcBorders>
              <w:bottom w:val="single" w:sz="6" w:space="0" w:color="auto"/>
            </w:tcBorders>
          </w:tcPr>
          <w:p w14:paraId="528667CF" w14:textId="77777777" w:rsidR="00AB205D" w:rsidRDefault="00471A3B">
            <w:pPr>
              <w:cnfStyle w:val="000000000000" w:firstRow="0" w:lastRow="0" w:firstColumn="0" w:lastColumn="0" w:oddVBand="0" w:evenVBand="0" w:oddHBand="0" w:evenHBand="0" w:firstRowFirstColumn="0" w:firstRowLastColumn="0" w:lastRowFirstColumn="0" w:lastRowLastColumn="0"/>
            </w:pPr>
            <w:r>
              <w:t>4 951</w:t>
            </w:r>
          </w:p>
        </w:tc>
        <w:tc>
          <w:tcPr>
            <w:tcW w:w="794" w:type="dxa"/>
            <w:tcBorders>
              <w:bottom w:val="single" w:sz="6" w:space="0" w:color="auto"/>
            </w:tcBorders>
          </w:tcPr>
          <w:p w14:paraId="09494A57" w14:textId="77777777" w:rsidR="00AB205D" w:rsidRDefault="00471A3B">
            <w:pPr>
              <w:cnfStyle w:val="000000000000" w:firstRow="0" w:lastRow="0" w:firstColumn="0" w:lastColumn="0" w:oddVBand="0" w:evenVBand="0" w:oddHBand="0" w:evenHBand="0" w:firstRowFirstColumn="0" w:firstRowLastColumn="0" w:lastRowFirstColumn="0" w:lastRowLastColumn="0"/>
            </w:pPr>
            <w:r>
              <w:t>3 199</w:t>
            </w:r>
          </w:p>
        </w:tc>
        <w:tc>
          <w:tcPr>
            <w:tcW w:w="794" w:type="dxa"/>
            <w:tcBorders>
              <w:bottom w:val="single" w:sz="6" w:space="0" w:color="auto"/>
            </w:tcBorders>
          </w:tcPr>
          <w:p w14:paraId="5BB5B2C9" w14:textId="77777777" w:rsidR="00AB205D" w:rsidRDefault="00471A3B">
            <w:pPr>
              <w:cnfStyle w:val="000000000000" w:firstRow="0" w:lastRow="0" w:firstColumn="0" w:lastColumn="0" w:oddVBand="0" w:evenVBand="0" w:oddHBand="0" w:evenHBand="0" w:firstRowFirstColumn="0" w:firstRowLastColumn="0" w:lastRowFirstColumn="0" w:lastRowLastColumn="0"/>
            </w:pPr>
            <w:r>
              <w:t>7 219</w:t>
            </w:r>
          </w:p>
        </w:tc>
        <w:tc>
          <w:tcPr>
            <w:tcW w:w="794" w:type="dxa"/>
            <w:tcBorders>
              <w:bottom w:val="single" w:sz="6" w:space="0" w:color="auto"/>
            </w:tcBorders>
          </w:tcPr>
          <w:p w14:paraId="6498B849" w14:textId="77777777" w:rsidR="00AB205D" w:rsidRDefault="00471A3B">
            <w:pPr>
              <w:cnfStyle w:val="000000000000" w:firstRow="0" w:lastRow="0" w:firstColumn="0" w:lastColumn="0" w:oddVBand="0" w:evenVBand="0" w:oddHBand="0" w:evenHBand="0" w:firstRowFirstColumn="0" w:firstRowLastColumn="0" w:lastRowFirstColumn="0" w:lastRowLastColumn="0"/>
            </w:pPr>
            <w:r>
              <w:t>9 696</w:t>
            </w:r>
          </w:p>
        </w:tc>
        <w:tc>
          <w:tcPr>
            <w:tcW w:w="794" w:type="dxa"/>
            <w:tcBorders>
              <w:bottom w:val="single" w:sz="6" w:space="0" w:color="auto"/>
            </w:tcBorders>
          </w:tcPr>
          <w:p w14:paraId="51E2BE9B" w14:textId="77777777" w:rsidR="00AB205D" w:rsidRDefault="00471A3B">
            <w:pPr>
              <w:cnfStyle w:val="000000000000" w:firstRow="0" w:lastRow="0" w:firstColumn="0" w:lastColumn="0" w:oddVBand="0" w:evenVBand="0" w:oddHBand="0" w:evenHBand="0" w:firstRowFirstColumn="0" w:firstRowLastColumn="0" w:lastRowFirstColumn="0" w:lastRowLastColumn="0"/>
            </w:pPr>
            <w:r>
              <w:t>12 393</w:t>
            </w:r>
          </w:p>
        </w:tc>
      </w:tr>
      <w:tr w:rsidR="009C6724" w14:paraId="138F405E" w14:textId="77777777" w:rsidTr="009C6724">
        <w:tc>
          <w:tcPr>
            <w:cnfStyle w:val="001000000000" w:firstRow="0" w:lastRow="0" w:firstColumn="1" w:lastColumn="0" w:oddVBand="0" w:evenVBand="0" w:oddHBand="0" w:evenHBand="0" w:firstRowFirstColumn="0" w:firstRowLastColumn="0" w:lastRowFirstColumn="0" w:lastRowLastColumn="0"/>
            <w:tcW w:w="3828" w:type="dxa"/>
            <w:tcBorders>
              <w:top w:val="single" w:sz="6" w:space="0" w:color="auto"/>
            </w:tcBorders>
          </w:tcPr>
          <w:p w14:paraId="46F9E3E3" w14:textId="77777777" w:rsidR="00AB205D" w:rsidRDefault="00471A3B">
            <w:r>
              <w:rPr>
                <w:b/>
              </w:rPr>
              <w:t>Total expenses by department</w:t>
            </w:r>
          </w:p>
        </w:tc>
        <w:tc>
          <w:tcPr>
            <w:tcW w:w="706" w:type="dxa"/>
            <w:tcBorders>
              <w:top w:val="single" w:sz="6" w:space="0" w:color="auto"/>
            </w:tcBorders>
          </w:tcPr>
          <w:p w14:paraId="7BA863D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105 486</w:t>
            </w:r>
          </w:p>
        </w:tc>
        <w:tc>
          <w:tcPr>
            <w:tcW w:w="794" w:type="dxa"/>
            <w:tcBorders>
              <w:top w:val="single" w:sz="6" w:space="0" w:color="auto"/>
            </w:tcBorders>
          </w:tcPr>
          <w:p w14:paraId="060B20E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107 340</w:t>
            </w:r>
          </w:p>
        </w:tc>
        <w:tc>
          <w:tcPr>
            <w:tcW w:w="794" w:type="dxa"/>
            <w:tcBorders>
              <w:top w:val="single" w:sz="6" w:space="0" w:color="auto"/>
            </w:tcBorders>
          </w:tcPr>
          <w:p w14:paraId="73FAD44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106 228</w:t>
            </w:r>
          </w:p>
        </w:tc>
        <w:tc>
          <w:tcPr>
            <w:tcW w:w="794" w:type="dxa"/>
            <w:tcBorders>
              <w:top w:val="single" w:sz="6" w:space="0" w:color="auto"/>
            </w:tcBorders>
          </w:tcPr>
          <w:p w14:paraId="78AE79C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108 805</w:t>
            </w:r>
          </w:p>
        </w:tc>
        <w:tc>
          <w:tcPr>
            <w:tcW w:w="794" w:type="dxa"/>
            <w:tcBorders>
              <w:top w:val="single" w:sz="6" w:space="0" w:color="auto"/>
            </w:tcBorders>
          </w:tcPr>
          <w:p w14:paraId="5882234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113 110</w:t>
            </w:r>
          </w:p>
        </w:tc>
      </w:tr>
      <w:tr w:rsidR="009C6724" w14:paraId="630542BF" w14:textId="77777777" w:rsidTr="009C6724">
        <w:tc>
          <w:tcPr>
            <w:cnfStyle w:val="001000000000" w:firstRow="0" w:lastRow="0" w:firstColumn="1" w:lastColumn="0" w:oddVBand="0" w:evenVBand="0" w:oddHBand="0" w:evenHBand="0" w:firstRowFirstColumn="0" w:firstRowLastColumn="0" w:lastRowFirstColumn="0" w:lastRowLastColumn="0"/>
            <w:tcW w:w="3828" w:type="dxa"/>
            <w:tcBorders>
              <w:bottom w:val="single" w:sz="6" w:space="0" w:color="auto"/>
            </w:tcBorders>
          </w:tcPr>
          <w:p w14:paraId="79A5221F" w14:textId="77777777" w:rsidR="00AB205D" w:rsidRDefault="00471A3B">
            <w:r>
              <w:rPr>
                <w:i/>
              </w:rPr>
              <w:t>Less eliminations and adjustments</w:t>
            </w:r>
            <w:r>
              <w:rPr>
                <w:i/>
                <w:vertAlign w:val="superscript"/>
              </w:rPr>
              <w:t xml:space="preserve"> (c)</w:t>
            </w:r>
          </w:p>
        </w:tc>
        <w:tc>
          <w:tcPr>
            <w:tcW w:w="706" w:type="dxa"/>
            <w:tcBorders>
              <w:bottom w:val="single" w:sz="6" w:space="0" w:color="auto"/>
            </w:tcBorders>
          </w:tcPr>
          <w:p w14:paraId="4F1B068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i/>
              </w:rPr>
              <w:t>(12 209)</w:t>
            </w:r>
          </w:p>
        </w:tc>
        <w:tc>
          <w:tcPr>
            <w:tcW w:w="794" w:type="dxa"/>
            <w:tcBorders>
              <w:bottom w:val="single" w:sz="6" w:space="0" w:color="auto"/>
            </w:tcBorders>
          </w:tcPr>
          <w:p w14:paraId="5AD57DD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i/>
              </w:rPr>
              <w:t>(13 523)</w:t>
            </w:r>
          </w:p>
        </w:tc>
        <w:tc>
          <w:tcPr>
            <w:tcW w:w="794" w:type="dxa"/>
            <w:tcBorders>
              <w:bottom w:val="single" w:sz="6" w:space="0" w:color="auto"/>
            </w:tcBorders>
          </w:tcPr>
          <w:p w14:paraId="4B48BDE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i/>
              </w:rPr>
              <w:t>(11 686)</w:t>
            </w:r>
          </w:p>
        </w:tc>
        <w:tc>
          <w:tcPr>
            <w:tcW w:w="794" w:type="dxa"/>
            <w:tcBorders>
              <w:bottom w:val="single" w:sz="6" w:space="0" w:color="auto"/>
            </w:tcBorders>
          </w:tcPr>
          <w:p w14:paraId="40AA0DE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i/>
              </w:rPr>
              <w:t>(11 648)</w:t>
            </w:r>
          </w:p>
        </w:tc>
        <w:tc>
          <w:tcPr>
            <w:tcW w:w="794" w:type="dxa"/>
            <w:tcBorders>
              <w:bottom w:val="single" w:sz="6" w:space="0" w:color="auto"/>
            </w:tcBorders>
          </w:tcPr>
          <w:p w14:paraId="56E324B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i/>
              </w:rPr>
              <w:t>(11 707)</w:t>
            </w:r>
          </w:p>
        </w:tc>
      </w:tr>
      <w:tr w:rsidR="009C6724" w14:paraId="68BE58A6" w14:textId="77777777" w:rsidTr="009C6724">
        <w:tc>
          <w:tcPr>
            <w:cnfStyle w:val="001000000000" w:firstRow="0" w:lastRow="0" w:firstColumn="1" w:lastColumn="0" w:oddVBand="0" w:evenVBand="0" w:oddHBand="0" w:evenHBand="0" w:firstRowFirstColumn="0" w:firstRowLastColumn="0" w:lastRowFirstColumn="0" w:lastRowLastColumn="0"/>
            <w:tcW w:w="3828" w:type="dxa"/>
            <w:tcBorders>
              <w:top w:val="single" w:sz="6" w:space="0" w:color="auto"/>
              <w:bottom w:val="single" w:sz="12" w:space="0" w:color="auto"/>
            </w:tcBorders>
          </w:tcPr>
          <w:p w14:paraId="5BDE7C4A" w14:textId="77777777" w:rsidR="00AB205D" w:rsidRDefault="00471A3B">
            <w:r>
              <w:rPr>
                <w:b/>
              </w:rPr>
              <w:t>Total expenses from transactions</w:t>
            </w:r>
          </w:p>
        </w:tc>
        <w:tc>
          <w:tcPr>
            <w:tcW w:w="706" w:type="dxa"/>
            <w:tcBorders>
              <w:top w:val="single" w:sz="6" w:space="0" w:color="auto"/>
              <w:bottom w:val="single" w:sz="12" w:space="0" w:color="auto"/>
            </w:tcBorders>
          </w:tcPr>
          <w:p w14:paraId="01531A1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93 277</w:t>
            </w:r>
          </w:p>
        </w:tc>
        <w:tc>
          <w:tcPr>
            <w:tcW w:w="794" w:type="dxa"/>
            <w:tcBorders>
              <w:top w:val="single" w:sz="6" w:space="0" w:color="auto"/>
              <w:bottom w:val="single" w:sz="12" w:space="0" w:color="auto"/>
            </w:tcBorders>
          </w:tcPr>
          <w:p w14:paraId="6C1CE42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93 816</w:t>
            </w:r>
          </w:p>
        </w:tc>
        <w:tc>
          <w:tcPr>
            <w:tcW w:w="794" w:type="dxa"/>
            <w:tcBorders>
              <w:top w:val="single" w:sz="6" w:space="0" w:color="auto"/>
              <w:bottom w:val="single" w:sz="12" w:space="0" w:color="auto"/>
            </w:tcBorders>
          </w:tcPr>
          <w:p w14:paraId="2B6AB44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94 541</w:t>
            </w:r>
          </w:p>
        </w:tc>
        <w:tc>
          <w:tcPr>
            <w:tcW w:w="794" w:type="dxa"/>
            <w:tcBorders>
              <w:top w:val="single" w:sz="6" w:space="0" w:color="auto"/>
              <w:bottom w:val="single" w:sz="12" w:space="0" w:color="auto"/>
            </w:tcBorders>
          </w:tcPr>
          <w:p w14:paraId="37928E5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97 158</w:t>
            </w:r>
          </w:p>
        </w:tc>
        <w:tc>
          <w:tcPr>
            <w:tcW w:w="794" w:type="dxa"/>
            <w:tcBorders>
              <w:top w:val="single" w:sz="6" w:space="0" w:color="auto"/>
              <w:bottom w:val="single" w:sz="12" w:space="0" w:color="auto"/>
            </w:tcBorders>
          </w:tcPr>
          <w:p w14:paraId="0C6A655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101 403</w:t>
            </w:r>
          </w:p>
        </w:tc>
      </w:tr>
    </w:tbl>
    <w:p w14:paraId="695BD249" w14:textId="77777777" w:rsidR="00AB205D" w:rsidRPr="00057F58" w:rsidRDefault="00471A3B">
      <w:pPr>
        <w:pStyle w:val="Note"/>
      </w:pPr>
      <w:r>
        <w:t>Notes:</w:t>
      </w:r>
    </w:p>
    <w:p w14:paraId="029F2FA3" w14:textId="77777777" w:rsidR="00AB205D" w:rsidRDefault="00471A3B">
      <w:pPr>
        <w:pStyle w:val="Note"/>
      </w:pPr>
      <w:r>
        <w:t>(a)</w:t>
      </w:r>
      <w:r>
        <w:tab/>
        <w:t>Other general government sector agencies not allocated to departmental portfolios.</w:t>
      </w:r>
    </w:p>
    <w:p w14:paraId="2FF33005" w14:textId="77777777" w:rsidR="00AB205D" w:rsidRDefault="00471A3B">
      <w:pPr>
        <w:pStyle w:val="Note"/>
      </w:pPr>
      <w:r>
        <w:t>(b)</w:t>
      </w:r>
      <w:r>
        <w:tab/>
        <w:t>The following table provides a breakdown of the general government output contingencies not allocated to departments.</w:t>
      </w:r>
    </w:p>
    <w:p w14:paraId="1F860550" w14:textId="77777777" w:rsidR="00AB205D" w:rsidRDefault="00471A3B">
      <w:pPr>
        <w:pStyle w:val="Note"/>
      </w:pPr>
      <w:r>
        <w:t>(c)</w:t>
      </w:r>
      <w:r>
        <w:tab/>
        <w:t>Mainly payroll tax</w:t>
      </w:r>
      <w:r w:rsidRPr="004C1B44">
        <w:t xml:space="preserve"> (including the COVID Debt Levy – Payroll $10m+), the mental health and wellbeing levy</w:t>
      </w:r>
      <w:r>
        <w:t>, departmental underspend estimates and inter</w:t>
      </w:r>
      <w:r>
        <w:noBreakHyphen/>
        <w:t>departmental transfers.</w:t>
      </w:r>
    </w:p>
    <w:p w14:paraId="7386A234" w14:textId="31786847" w:rsidR="00AB205D" w:rsidRDefault="00AB205D" w:rsidP="00FA005E"/>
    <w:p w14:paraId="734534FF" w14:textId="77777777" w:rsidR="00FA005E" w:rsidRDefault="00FA005E" w:rsidP="00FA005E"/>
    <w:p w14:paraId="0F09A46C" w14:textId="77777777" w:rsidR="00AB205D" w:rsidRDefault="00471A3B">
      <w:pPr>
        <w:pStyle w:val="TableHeading"/>
      </w:pPr>
      <w:r w:rsidRPr="004D1DC3">
        <w:t>General government output contingencies not allocated to departments</w:t>
      </w:r>
      <w:r>
        <w:t xml:space="preserve"> </w:t>
      </w:r>
      <w:r>
        <w:rPr>
          <w:vertAlign w:val="superscript"/>
        </w:rPr>
        <w:t>(a)</w:t>
      </w:r>
      <w:r w:rsidRPr="004D1DC3">
        <w:tab/>
        <w:t>($ million)</w:t>
      </w:r>
    </w:p>
    <w:tbl>
      <w:tblPr>
        <w:tblStyle w:val="DTFTableNumeric"/>
        <w:tblW w:w="7710" w:type="dxa"/>
        <w:tblLayout w:type="fixed"/>
        <w:tblLook w:val="06A0" w:firstRow="1" w:lastRow="0" w:firstColumn="1" w:lastColumn="0" w:noHBand="1" w:noVBand="1"/>
        <w:tblDescription w:val="Type:DtfTable|Workbook:Rawdata\BudgetUpdate\Budget Update\Financial Statements\Manual reports\COFOG\Link_BU_COFOG.xlsx|Table:Output_contingencies|MergedHeadingRow:1"/>
      </w:tblPr>
      <w:tblGrid>
        <w:gridCol w:w="3740"/>
        <w:gridCol w:w="794"/>
        <w:gridCol w:w="794"/>
        <w:gridCol w:w="794"/>
        <w:gridCol w:w="794"/>
        <w:gridCol w:w="794"/>
      </w:tblGrid>
      <w:tr w:rsidR="009C6724" w14:paraId="538B521B"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7FF57CB3" w14:textId="77777777" w:rsidR="00AB205D" w:rsidRDefault="00AB205D">
            <w:pPr>
              <w:keepNext/>
            </w:pPr>
          </w:p>
        </w:tc>
        <w:tc>
          <w:tcPr>
            <w:tcW w:w="794" w:type="dxa"/>
          </w:tcPr>
          <w:p w14:paraId="07BDEB72"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budget</w:t>
            </w:r>
          </w:p>
        </w:tc>
        <w:tc>
          <w:tcPr>
            <w:tcW w:w="794" w:type="dxa"/>
          </w:tcPr>
          <w:p w14:paraId="1BFE372D"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revised</w:t>
            </w:r>
          </w:p>
        </w:tc>
        <w:tc>
          <w:tcPr>
            <w:tcW w:w="794" w:type="dxa"/>
          </w:tcPr>
          <w:p w14:paraId="02978D1F"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r>
              <w:br/>
              <w:t>estimate</w:t>
            </w:r>
          </w:p>
        </w:tc>
        <w:tc>
          <w:tcPr>
            <w:tcW w:w="794" w:type="dxa"/>
          </w:tcPr>
          <w:p w14:paraId="0B0D9497"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230A0C6C"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r>
      <w:tr w:rsidR="009C6724" w14:paraId="505FF05F"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2D9C052" w14:textId="77777777" w:rsidR="00AB205D" w:rsidRDefault="00471A3B">
            <w:r>
              <w:t>Decisions made but not yet allocated</w:t>
            </w:r>
            <w:r>
              <w:rPr>
                <w:vertAlign w:val="superscript"/>
              </w:rPr>
              <w:t xml:space="preserve"> (b)</w:t>
            </w:r>
          </w:p>
        </w:tc>
        <w:tc>
          <w:tcPr>
            <w:tcW w:w="794" w:type="dxa"/>
          </w:tcPr>
          <w:p w14:paraId="16B3D82B" w14:textId="77777777" w:rsidR="00AB205D" w:rsidRDefault="00471A3B">
            <w:pPr>
              <w:cnfStyle w:val="000000000000" w:firstRow="0" w:lastRow="0" w:firstColumn="0" w:lastColumn="0" w:oddVBand="0" w:evenVBand="0" w:oddHBand="0" w:evenHBand="0" w:firstRowFirstColumn="0" w:firstRowLastColumn="0" w:lastRowFirstColumn="0" w:lastRowLastColumn="0"/>
            </w:pPr>
            <w:r>
              <w:t>4 851</w:t>
            </w:r>
          </w:p>
        </w:tc>
        <w:tc>
          <w:tcPr>
            <w:tcW w:w="794" w:type="dxa"/>
          </w:tcPr>
          <w:p w14:paraId="0C789CF3" w14:textId="77777777" w:rsidR="00AB205D" w:rsidRDefault="00471A3B">
            <w:pPr>
              <w:cnfStyle w:val="000000000000" w:firstRow="0" w:lastRow="0" w:firstColumn="0" w:lastColumn="0" w:oddVBand="0" w:evenVBand="0" w:oddHBand="0" w:evenHBand="0" w:firstRowFirstColumn="0" w:firstRowLastColumn="0" w:lastRowFirstColumn="0" w:lastRowLastColumn="0"/>
            </w:pPr>
            <w:r>
              <w:t>3 099</w:t>
            </w:r>
          </w:p>
        </w:tc>
        <w:tc>
          <w:tcPr>
            <w:tcW w:w="794" w:type="dxa"/>
          </w:tcPr>
          <w:p w14:paraId="0A29DA04" w14:textId="77777777" w:rsidR="00AB205D" w:rsidRDefault="00471A3B">
            <w:pPr>
              <w:cnfStyle w:val="000000000000" w:firstRow="0" w:lastRow="0" w:firstColumn="0" w:lastColumn="0" w:oddVBand="0" w:evenVBand="0" w:oddHBand="0" w:evenHBand="0" w:firstRowFirstColumn="0" w:firstRowLastColumn="0" w:lastRowFirstColumn="0" w:lastRowLastColumn="0"/>
            </w:pPr>
            <w:r>
              <w:t>6 719</w:t>
            </w:r>
          </w:p>
        </w:tc>
        <w:tc>
          <w:tcPr>
            <w:tcW w:w="794" w:type="dxa"/>
          </w:tcPr>
          <w:p w14:paraId="029D86BA" w14:textId="77777777" w:rsidR="00AB205D" w:rsidRDefault="00471A3B">
            <w:pPr>
              <w:cnfStyle w:val="000000000000" w:firstRow="0" w:lastRow="0" w:firstColumn="0" w:lastColumn="0" w:oddVBand="0" w:evenVBand="0" w:oddHBand="0" w:evenHBand="0" w:firstRowFirstColumn="0" w:firstRowLastColumn="0" w:lastRowFirstColumn="0" w:lastRowLastColumn="0"/>
            </w:pPr>
            <w:r>
              <w:t>9 196</w:t>
            </w:r>
          </w:p>
        </w:tc>
        <w:tc>
          <w:tcPr>
            <w:tcW w:w="794" w:type="dxa"/>
          </w:tcPr>
          <w:p w14:paraId="704634AE" w14:textId="77777777" w:rsidR="00AB205D" w:rsidRDefault="00471A3B">
            <w:pPr>
              <w:cnfStyle w:val="000000000000" w:firstRow="0" w:lastRow="0" w:firstColumn="0" w:lastColumn="0" w:oddVBand="0" w:evenVBand="0" w:oddHBand="0" w:evenHBand="0" w:firstRowFirstColumn="0" w:firstRowLastColumn="0" w:lastRowFirstColumn="0" w:lastRowLastColumn="0"/>
            </w:pPr>
            <w:r>
              <w:t>11 293</w:t>
            </w:r>
          </w:p>
        </w:tc>
      </w:tr>
      <w:tr w:rsidR="009C6724" w14:paraId="4B966FF3"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0B955258" w14:textId="77777777" w:rsidR="00AB205D" w:rsidRDefault="00471A3B">
            <w:r>
              <w:t>Funding not allocated to specific purposes</w:t>
            </w:r>
            <w:r>
              <w:rPr>
                <w:vertAlign w:val="superscript"/>
              </w:rPr>
              <w:t xml:space="preserve"> (c)</w:t>
            </w:r>
          </w:p>
        </w:tc>
        <w:tc>
          <w:tcPr>
            <w:tcW w:w="794" w:type="dxa"/>
            <w:tcBorders>
              <w:bottom w:val="single" w:sz="6" w:space="0" w:color="auto"/>
            </w:tcBorders>
          </w:tcPr>
          <w:p w14:paraId="7A84A7AC" w14:textId="77777777" w:rsidR="00AB205D" w:rsidRDefault="00471A3B">
            <w:pPr>
              <w:cnfStyle w:val="000000000000" w:firstRow="0" w:lastRow="0" w:firstColumn="0" w:lastColumn="0" w:oddVBand="0" w:evenVBand="0" w:oddHBand="0" w:evenHBand="0" w:firstRowFirstColumn="0" w:firstRowLastColumn="0" w:lastRowFirstColumn="0" w:lastRowLastColumn="0"/>
            </w:pPr>
            <w:r>
              <w:t>100</w:t>
            </w:r>
          </w:p>
        </w:tc>
        <w:tc>
          <w:tcPr>
            <w:tcW w:w="794" w:type="dxa"/>
            <w:tcBorders>
              <w:bottom w:val="single" w:sz="6" w:space="0" w:color="auto"/>
            </w:tcBorders>
          </w:tcPr>
          <w:p w14:paraId="4E216A0B" w14:textId="77777777" w:rsidR="00AB205D" w:rsidRDefault="00471A3B">
            <w:pPr>
              <w:cnfStyle w:val="000000000000" w:firstRow="0" w:lastRow="0" w:firstColumn="0" w:lastColumn="0" w:oddVBand="0" w:evenVBand="0" w:oddHBand="0" w:evenHBand="0" w:firstRowFirstColumn="0" w:firstRowLastColumn="0" w:lastRowFirstColumn="0" w:lastRowLastColumn="0"/>
            </w:pPr>
            <w:r>
              <w:t>100</w:t>
            </w:r>
          </w:p>
        </w:tc>
        <w:tc>
          <w:tcPr>
            <w:tcW w:w="794" w:type="dxa"/>
            <w:tcBorders>
              <w:bottom w:val="single" w:sz="6" w:space="0" w:color="auto"/>
            </w:tcBorders>
          </w:tcPr>
          <w:p w14:paraId="72EE0BDF" w14:textId="77777777" w:rsidR="00AB205D" w:rsidRDefault="00471A3B">
            <w:pPr>
              <w:cnfStyle w:val="000000000000" w:firstRow="0" w:lastRow="0" w:firstColumn="0" w:lastColumn="0" w:oddVBand="0" w:evenVBand="0" w:oddHBand="0" w:evenHBand="0" w:firstRowFirstColumn="0" w:firstRowLastColumn="0" w:lastRowFirstColumn="0" w:lastRowLastColumn="0"/>
            </w:pPr>
            <w:r>
              <w:t>500</w:t>
            </w:r>
          </w:p>
        </w:tc>
        <w:tc>
          <w:tcPr>
            <w:tcW w:w="794" w:type="dxa"/>
            <w:tcBorders>
              <w:bottom w:val="single" w:sz="6" w:space="0" w:color="auto"/>
            </w:tcBorders>
          </w:tcPr>
          <w:p w14:paraId="314A6F16" w14:textId="77777777" w:rsidR="00AB205D" w:rsidRDefault="00471A3B">
            <w:pPr>
              <w:cnfStyle w:val="000000000000" w:firstRow="0" w:lastRow="0" w:firstColumn="0" w:lastColumn="0" w:oddVBand="0" w:evenVBand="0" w:oddHBand="0" w:evenHBand="0" w:firstRowFirstColumn="0" w:firstRowLastColumn="0" w:lastRowFirstColumn="0" w:lastRowLastColumn="0"/>
            </w:pPr>
            <w:r>
              <w:t>500</w:t>
            </w:r>
          </w:p>
        </w:tc>
        <w:tc>
          <w:tcPr>
            <w:tcW w:w="794" w:type="dxa"/>
            <w:tcBorders>
              <w:bottom w:val="single" w:sz="6" w:space="0" w:color="auto"/>
            </w:tcBorders>
          </w:tcPr>
          <w:p w14:paraId="0F946940" w14:textId="77777777" w:rsidR="00AB205D" w:rsidRDefault="00471A3B">
            <w:pPr>
              <w:cnfStyle w:val="000000000000" w:firstRow="0" w:lastRow="0" w:firstColumn="0" w:lastColumn="0" w:oddVBand="0" w:evenVBand="0" w:oddHBand="0" w:evenHBand="0" w:firstRowFirstColumn="0" w:firstRowLastColumn="0" w:lastRowFirstColumn="0" w:lastRowLastColumn="0"/>
            </w:pPr>
            <w:r>
              <w:t>1 100</w:t>
            </w:r>
          </w:p>
        </w:tc>
      </w:tr>
      <w:tr w:rsidR="009C6724" w14:paraId="01F0C470"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6551A3DA" w14:textId="77777777" w:rsidR="00AB205D" w:rsidRDefault="00471A3B">
            <w:r>
              <w:rPr>
                <w:b/>
              </w:rPr>
              <w:t>Total general government output contingencies</w:t>
            </w:r>
          </w:p>
        </w:tc>
        <w:tc>
          <w:tcPr>
            <w:tcW w:w="794" w:type="dxa"/>
            <w:tcBorders>
              <w:top w:val="single" w:sz="6" w:space="0" w:color="auto"/>
              <w:bottom w:val="single" w:sz="12" w:space="0" w:color="auto"/>
            </w:tcBorders>
          </w:tcPr>
          <w:p w14:paraId="0807D59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4 951</w:t>
            </w:r>
          </w:p>
        </w:tc>
        <w:tc>
          <w:tcPr>
            <w:tcW w:w="794" w:type="dxa"/>
            <w:tcBorders>
              <w:top w:val="single" w:sz="6" w:space="0" w:color="auto"/>
              <w:bottom w:val="single" w:sz="12" w:space="0" w:color="auto"/>
            </w:tcBorders>
          </w:tcPr>
          <w:p w14:paraId="2F99AAD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3 199</w:t>
            </w:r>
          </w:p>
        </w:tc>
        <w:tc>
          <w:tcPr>
            <w:tcW w:w="794" w:type="dxa"/>
            <w:tcBorders>
              <w:top w:val="single" w:sz="6" w:space="0" w:color="auto"/>
              <w:bottom w:val="single" w:sz="12" w:space="0" w:color="auto"/>
            </w:tcBorders>
          </w:tcPr>
          <w:p w14:paraId="353BE1A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7 219</w:t>
            </w:r>
          </w:p>
        </w:tc>
        <w:tc>
          <w:tcPr>
            <w:tcW w:w="794" w:type="dxa"/>
            <w:tcBorders>
              <w:top w:val="single" w:sz="6" w:space="0" w:color="auto"/>
              <w:bottom w:val="single" w:sz="12" w:space="0" w:color="auto"/>
            </w:tcBorders>
          </w:tcPr>
          <w:p w14:paraId="554CC4E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9 696</w:t>
            </w:r>
          </w:p>
        </w:tc>
        <w:tc>
          <w:tcPr>
            <w:tcW w:w="794" w:type="dxa"/>
            <w:tcBorders>
              <w:top w:val="single" w:sz="6" w:space="0" w:color="auto"/>
              <w:bottom w:val="single" w:sz="12" w:space="0" w:color="auto"/>
            </w:tcBorders>
          </w:tcPr>
          <w:p w14:paraId="7D2B51D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12 393</w:t>
            </w:r>
          </w:p>
        </w:tc>
      </w:tr>
    </w:tbl>
    <w:p w14:paraId="0CACA9DF" w14:textId="77777777" w:rsidR="00AB205D" w:rsidRPr="00DA1FBC" w:rsidRDefault="00471A3B">
      <w:pPr>
        <w:pStyle w:val="Note"/>
      </w:pPr>
      <w:r w:rsidRPr="00DA1FBC">
        <w:t>Notes:</w:t>
      </w:r>
    </w:p>
    <w:p w14:paraId="56FD97CB" w14:textId="77777777" w:rsidR="00AB205D" w:rsidRPr="00DA1FBC" w:rsidRDefault="00471A3B">
      <w:pPr>
        <w:pStyle w:val="Note"/>
      </w:pPr>
      <w:r w:rsidRPr="00DA1FBC">
        <w:t>(a)</w:t>
      </w:r>
      <w:r w:rsidRPr="00DA1FBC">
        <w:tab/>
      </w:r>
      <w:r>
        <w:t>The general government output contingencies have primarily been allocated proportionally across the relevant expense lines in the operating statement.</w:t>
      </w:r>
    </w:p>
    <w:p w14:paraId="59B53807" w14:textId="77777777" w:rsidR="00AB205D" w:rsidRDefault="00471A3B">
      <w:pPr>
        <w:pStyle w:val="Note"/>
      </w:pPr>
      <w:r w:rsidRPr="00DA1FBC">
        <w:t>(b)</w:t>
      </w:r>
      <w:r w:rsidRPr="00DA1FBC">
        <w:tab/>
        <w:t xml:space="preserve">Reflects existing </w:t>
      </w:r>
      <w:r>
        <w:t>g</w:t>
      </w:r>
      <w:r w:rsidRPr="00DA1FBC">
        <w:t>overnment policy decisions for which funding has yet to be allocated to departments and provisions not yet allocated to meet additional price and demand growth for health, disability and education.</w:t>
      </w:r>
    </w:p>
    <w:p w14:paraId="183347AD" w14:textId="77777777" w:rsidR="00AB205D" w:rsidRPr="00DA1FBC" w:rsidRDefault="00471A3B">
      <w:pPr>
        <w:pStyle w:val="Note"/>
      </w:pPr>
      <w:r>
        <w:t>(c)</w:t>
      </w:r>
      <w:r>
        <w:tab/>
      </w:r>
      <w:r w:rsidRPr="00DA1FBC">
        <w:t>An unallocated provision available to contribute to future government policy decisions and commitments.</w:t>
      </w:r>
    </w:p>
    <w:p w14:paraId="0251773E" w14:textId="77777777" w:rsidR="00AB205D" w:rsidRPr="000404D2" w:rsidRDefault="00471A3B">
      <w:pPr>
        <w:pStyle w:val="Heading3"/>
        <w:pageBreakBefore/>
        <w:rPr>
          <w:sz w:val="21"/>
          <w:szCs w:val="21"/>
        </w:rPr>
      </w:pPr>
      <w:bookmarkStart w:id="57" w:name="_Toc149221033"/>
      <w:r w:rsidRPr="000404D2">
        <w:rPr>
          <w:sz w:val="21"/>
          <w:szCs w:val="21"/>
        </w:rPr>
        <w:lastRenderedPageBreak/>
        <w:t>Purchases of non</w:t>
      </w:r>
      <w:r>
        <w:rPr>
          <w:sz w:val="21"/>
          <w:szCs w:val="21"/>
        </w:rPr>
        <w:noBreakHyphen/>
      </w:r>
      <w:r w:rsidRPr="000404D2">
        <w:rPr>
          <w:sz w:val="21"/>
          <w:szCs w:val="21"/>
        </w:rPr>
        <w:t>financial assets by classification of the functions of government and by portfolio department</w:t>
      </w:r>
      <w:bookmarkEnd w:id="57"/>
    </w:p>
    <w:p w14:paraId="0A582C44" w14:textId="77777777" w:rsidR="00AB205D" w:rsidRDefault="00471A3B">
      <w:pPr>
        <w:pStyle w:val="TableHeading"/>
      </w:pPr>
      <w:r>
        <w:t>Purchases of non</w:t>
      </w:r>
      <w:r>
        <w:noBreakHyphen/>
        <w:t xml:space="preserve">financial assets by classification of the functions of government </w:t>
      </w:r>
      <w:r>
        <w:tab/>
        <w:t>($ million)</w:t>
      </w:r>
    </w:p>
    <w:tbl>
      <w:tblPr>
        <w:tblStyle w:val="DTFTableNumeric"/>
        <w:tblW w:w="7710" w:type="dxa"/>
        <w:tblLayout w:type="fixed"/>
        <w:tblLook w:val="06A0" w:firstRow="1" w:lastRow="0" w:firstColumn="1" w:lastColumn="0" w:noHBand="1" w:noVBand="1"/>
        <w:tblDescription w:val="Type:DtfTable|Workbook:Rawdata\BudgetUpdate\Budget Update\Financial Statements\Manual reports\COFOG\Link_BU_COFOG.xlsx|Table:PNFA_COFOG|MergedHeadingRow:1"/>
      </w:tblPr>
      <w:tblGrid>
        <w:gridCol w:w="3740"/>
        <w:gridCol w:w="794"/>
        <w:gridCol w:w="794"/>
        <w:gridCol w:w="794"/>
        <w:gridCol w:w="794"/>
        <w:gridCol w:w="794"/>
      </w:tblGrid>
      <w:tr w:rsidR="009C6724" w14:paraId="28B8B73D"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73A6DCA8" w14:textId="77777777" w:rsidR="00AB205D" w:rsidRDefault="00AB205D">
            <w:pPr>
              <w:keepNext/>
            </w:pPr>
          </w:p>
        </w:tc>
        <w:tc>
          <w:tcPr>
            <w:tcW w:w="794" w:type="dxa"/>
          </w:tcPr>
          <w:p w14:paraId="636C1374"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budget</w:t>
            </w:r>
          </w:p>
        </w:tc>
        <w:tc>
          <w:tcPr>
            <w:tcW w:w="794" w:type="dxa"/>
          </w:tcPr>
          <w:p w14:paraId="44333291"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revised</w:t>
            </w:r>
          </w:p>
        </w:tc>
        <w:tc>
          <w:tcPr>
            <w:tcW w:w="794" w:type="dxa"/>
          </w:tcPr>
          <w:p w14:paraId="7B27ADF4"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r>
              <w:br/>
              <w:t>estimate</w:t>
            </w:r>
          </w:p>
        </w:tc>
        <w:tc>
          <w:tcPr>
            <w:tcW w:w="794" w:type="dxa"/>
          </w:tcPr>
          <w:p w14:paraId="3C495C35"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65632CC0"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r>
      <w:tr w:rsidR="009C6724" w14:paraId="5530CA6B"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515A71CE" w14:textId="77777777" w:rsidR="00AB205D" w:rsidRDefault="00471A3B">
            <w:r>
              <w:t>General public services</w:t>
            </w:r>
          </w:p>
        </w:tc>
        <w:tc>
          <w:tcPr>
            <w:tcW w:w="794" w:type="dxa"/>
          </w:tcPr>
          <w:p w14:paraId="15CCD317" w14:textId="77777777" w:rsidR="00AB205D" w:rsidRDefault="00471A3B">
            <w:pPr>
              <w:cnfStyle w:val="000000000000" w:firstRow="0" w:lastRow="0" w:firstColumn="0" w:lastColumn="0" w:oddVBand="0" w:evenVBand="0" w:oddHBand="0" w:evenHBand="0" w:firstRowFirstColumn="0" w:firstRowLastColumn="0" w:lastRowFirstColumn="0" w:lastRowLastColumn="0"/>
            </w:pPr>
            <w:r>
              <w:t>135</w:t>
            </w:r>
          </w:p>
        </w:tc>
        <w:tc>
          <w:tcPr>
            <w:tcW w:w="794" w:type="dxa"/>
          </w:tcPr>
          <w:p w14:paraId="6DCAD85E" w14:textId="77777777" w:rsidR="00AB205D" w:rsidRDefault="00471A3B">
            <w:pPr>
              <w:cnfStyle w:val="000000000000" w:firstRow="0" w:lastRow="0" w:firstColumn="0" w:lastColumn="0" w:oddVBand="0" w:evenVBand="0" w:oddHBand="0" w:evenHBand="0" w:firstRowFirstColumn="0" w:firstRowLastColumn="0" w:lastRowFirstColumn="0" w:lastRowLastColumn="0"/>
            </w:pPr>
            <w:r>
              <w:t>164</w:t>
            </w:r>
          </w:p>
        </w:tc>
        <w:tc>
          <w:tcPr>
            <w:tcW w:w="794" w:type="dxa"/>
          </w:tcPr>
          <w:p w14:paraId="19DB8523" w14:textId="77777777" w:rsidR="00AB205D" w:rsidRDefault="00471A3B">
            <w:pPr>
              <w:cnfStyle w:val="000000000000" w:firstRow="0" w:lastRow="0" w:firstColumn="0" w:lastColumn="0" w:oddVBand="0" w:evenVBand="0" w:oddHBand="0" w:evenHBand="0" w:firstRowFirstColumn="0" w:firstRowLastColumn="0" w:lastRowFirstColumn="0" w:lastRowLastColumn="0"/>
            </w:pPr>
            <w:r>
              <w:t>115</w:t>
            </w:r>
          </w:p>
        </w:tc>
        <w:tc>
          <w:tcPr>
            <w:tcW w:w="794" w:type="dxa"/>
          </w:tcPr>
          <w:p w14:paraId="158F5447" w14:textId="77777777" w:rsidR="00AB205D" w:rsidRDefault="00471A3B">
            <w:pPr>
              <w:cnfStyle w:val="000000000000" w:firstRow="0" w:lastRow="0" w:firstColumn="0" w:lastColumn="0" w:oddVBand="0" w:evenVBand="0" w:oddHBand="0" w:evenHBand="0" w:firstRowFirstColumn="0" w:firstRowLastColumn="0" w:lastRowFirstColumn="0" w:lastRowLastColumn="0"/>
            </w:pPr>
            <w:r>
              <w:t>103</w:t>
            </w:r>
          </w:p>
        </w:tc>
        <w:tc>
          <w:tcPr>
            <w:tcW w:w="794" w:type="dxa"/>
          </w:tcPr>
          <w:p w14:paraId="36A0E2FD" w14:textId="77777777" w:rsidR="00AB205D" w:rsidRDefault="00471A3B">
            <w:pPr>
              <w:cnfStyle w:val="000000000000" w:firstRow="0" w:lastRow="0" w:firstColumn="0" w:lastColumn="0" w:oddVBand="0" w:evenVBand="0" w:oddHBand="0" w:evenHBand="0" w:firstRowFirstColumn="0" w:firstRowLastColumn="0" w:lastRowFirstColumn="0" w:lastRowLastColumn="0"/>
            </w:pPr>
            <w:r>
              <w:t>106</w:t>
            </w:r>
          </w:p>
        </w:tc>
      </w:tr>
      <w:tr w:rsidR="009C6724" w14:paraId="659457FE"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BD241CA" w14:textId="77777777" w:rsidR="00AB205D" w:rsidRDefault="00471A3B">
            <w:r>
              <w:t>Public order and safety</w:t>
            </w:r>
          </w:p>
        </w:tc>
        <w:tc>
          <w:tcPr>
            <w:tcW w:w="794" w:type="dxa"/>
          </w:tcPr>
          <w:p w14:paraId="5C32B0D5" w14:textId="77777777" w:rsidR="00AB205D" w:rsidRDefault="00471A3B">
            <w:pPr>
              <w:cnfStyle w:val="000000000000" w:firstRow="0" w:lastRow="0" w:firstColumn="0" w:lastColumn="0" w:oddVBand="0" w:evenVBand="0" w:oddHBand="0" w:evenHBand="0" w:firstRowFirstColumn="0" w:firstRowLastColumn="0" w:lastRowFirstColumn="0" w:lastRowLastColumn="0"/>
            </w:pPr>
            <w:r>
              <w:t>1 165</w:t>
            </w:r>
          </w:p>
        </w:tc>
        <w:tc>
          <w:tcPr>
            <w:tcW w:w="794" w:type="dxa"/>
          </w:tcPr>
          <w:p w14:paraId="1FB6BC0A" w14:textId="77777777" w:rsidR="00AB205D" w:rsidRDefault="00471A3B">
            <w:pPr>
              <w:cnfStyle w:val="000000000000" w:firstRow="0" w:lastRow="0" w:firstColumn="0" w:lastColumn="0" w:oddVBand="0" w:evenVBand="0" w:oddHBand="0" w:evenHBand="0" w:firstRowFirstColumn="0" w:firstRowLastColumn="0" w:lastRowFirstColumn="0" w:lastRowLastColumn="0"/>
            </w:pPr>
            <w:r>
              <w:t>1 163</w:t>
            </w:r>
          </w:p>
        </w:tc>
        <w:tc>
          <w:tcPr>
            <w:tcW w:w="794" w:type="dxa"/>
          </w:tcPr>
          <w:p w14:paraId="40588B3F" w14:textId="77777777" w:rsidR="00AB205D" w:rsidRDefault="00471A3B">
            <w:pPr>
              <w:cnfStyle w:val="000000000000" w:firstRow="0" w:lastRow="0" w:firstColumn="0" w:lastColumn="0" w:oddVBand="0" w:evenVBand="0" w:oddHBand="0" w:evenHBand="0" w:firstRowFirstColumn="0" w:firstRowLastColumn="0" w:lastRowFirstColumn="0" w:lastRowLastColumn="0"/>
            </w:pPr>
            <w:r>
              <w:t>723</w:t>
            </w:r>
          </w:p>
        </w:tc>
        <w:tc>
          <w:tcPr>
            <w:tcW w:w="794" w:type="dxa"/>
          </w:tcPr>
          <w:p w14:paraId="1FE2D1E5" w14:textId="77777777" w:rsidR="00AB205D" w:rsidRDefault="00471A3B">
            <w:pPr>
              <w:cnfStyle w:val="000000000000" w:firstRow="0" w:lastRow="0" w:firstColumn="0" w:lastColumn="0" w:oddVBand="0" w:evenVBand="0" w:oddHBand="0" w:evenHBand="0" w:firstRowFirstColumn="0" w:firstRowLastColumn="0" w:lastRowFirstColumn="0" w:lastRowLastColumn="0"/>
            </w:pPr>
            <w:r>
              <w:t>381</w:t>
            </w:r>
          </w:p>
        </w:tc>
        <w:tc>
          <w:tcPr>
            <w:tcW w:w="794" w:type="dxa"/>
          </w:tcPr>
          <w:p w14:paraId="5B9B0825" w14:textId="77777777" w:rsidR="00AB205D" w:rsidRDefault="00471A3B">
            <w:pPr>
              <w:cnfStyle w:val="000000000000" w:firstRow="0" w:lastRow="0" w:firstColumn="0" w:lastColumn="0" w:oddVBand="0" w:evenVBand="0" w:oddHBand="0" w:evenHBand="0" w:firstRowFirstColumn="0" w:firstRowLastColumn="0" w:lastRowFirstColumn="0" w:lastRowLastColumn="0"/>
            </w:pPr>
            <w:r>
              <w:t>273</w:t>
            </w:r>
          </w:p>
        </w:tc>
      </w:tr>
      <w:tr w:rsidR="009C6724" w14:paraId="0CB83431"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0700A257" w14:textId="77777777" w:rsidR="00AB205D" w:rsidRDefault="00471A3B">
            <w:r>
              <w:t>Economic affairs</w:t>
            </w:r>
          </w:p>
        </w:tc>
        <w:tc>
          <w:tcPr>
            <w:tcW w:w="794" w:type="dxa"/>
          </w:tcPr>
          <w:p w14:paraId="3E6088C5" w14:textId="77777777" w:rsidR="00AB205D" w:rsidRDefault="00471A3B">
            <w:pPr>
              <w:cnfStyle w:val="000000000000" w:firstRow="0" w:lastRow="0" w:firstColumn="0" w:lastColumn="0" w:oddVBand="0" w:evenVBand="0" w:oddHBand="0" w:evenHBand="0" w:firstRowFirstColumn="0" w:firstRowLastColumn="0" w:lastRowFirstColumn="0" w:lastRowLastColumn="0"/>
            </w:pPr>
            <w:r>
              <w:t>222</w:t>
            </w:r>
          </w:p>
        </w:tc>
        <w:tc>
          <w:tcPr>
            <w:tcW w:w="794" w:type="dxa"/>
          </w:tcPr>
          <w:p w14:paraId="186BCB01" w14:textId="77777777" w:rsidR="00AB205D" w:rsidRDefault="00471A3B">
            <w:pPr>
              <w:cnfStyle w:val="000000000000" w:firstRow="0" w:lastRow="0" w:firstColumn="0" w:lastColumn="0" w:oddVBand="0" w:evenVBand="0" w:oddHBand="0" w:evenHBand="0" w:firstRowFirstColumn="0" w:firstRowLastColumn="0" w:lastRowFirstColumn="0" w:lastRowLastColumn="0"/>
            </w:pPr>
            <w:r>
              <w:t>197</w:t>
            </w:r>
          </w:p>
        </w:tc>
        <w:tc>
          <w:tcPr>
            <w:tcW w:w="794" w:type="dxa"/>
          </w:tcPr>
          <w:p w14:paraId="7A57AC3E" w14:textId="77777777" w:rsidR="00AB205D" w:rsidRDefault="00471A3B">
            <w:pPr>
              <w:cnfStyle w:val="000000000000" w:firstRow="0" w:lastRow="0" w:firstColumn="0" w:lastColumn="0" w:oddVBand="0" w:evenVBand="0" w:oddHBand="0" w:evenHBand="0" w:firstRowFirstColumn="0" w:firstRowLastColumn="0" w:lastRowFirstColumn="0" w:lastRowLastColumn="0"/>
            </w:pPr>
            <w:r>
              <w:t>139</w:t>
            </w:r>
          </w:p>
        </w:tc>
        <w:tc>
          <w:tcPr>
            <w:tcW w:w="794" w:type="dxa"/>
          </w:tcPr>
          <w:p w14:paraId="1077C049" w14:textId="77777777" w:rsidR="00AB205D" w:rsidRDefault="00471A3B">
            <w:pPr>
              <w:cnfStyle w:val="000000000000" w:firstRow="0" w:lastRow="0" w:firstColumn="0" w:lastColumn="0" w:oddVBand="0" w:evenVBand="0" w:oddHBand="0" w:evenHBand="0" w:firstRowFirstColumn="0" w:firstRowLastColumn="0" w:lastRowFirstColumn="0" w:lastRowLastColumn="0"/>
            </w:pPr>
            <w:r>
              <w:t>108</w:t>
            </w:r>
          </w:p>
        </w:tc>
        <w:tc>
          <w:tcPr>
            <w:tcW w:w="794" w:type="dxa"/>
          </w:tcPr>
          <w:p w14:paraId="5D186A70" w14:textId="77777777" w:rsidR="00AB205D" w:rsidRDefault="00471A3B">
            <w:pPr>
              <w:cnfStyle w:val="000000000000" w:firstRow="0" w:lastRow="0" w:firstColumn="0" w:lastColumn="0" w:oddVBand="0" w:evenVBand="0" w:oddHBand="0" w:evenHBand="0" w:firstRowFirstColumn="0" w:firstRowLastColumn="0" w:lastRowFirstColumn="0" w:lastRowLastColumn="0"/>
            </w:pPr>
            <w:r>
              <w:t>89</w:t>
            </w:r>
          </w:p>
        </w:tc>
      </w:tr>
      <w:tr w:rsidR="009C6724" w14:paraId="629FE247"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11B6E5B0" w14:textId="77777777" w:rsidR="00AB205D" w:rsidRDefault="00471A3B">
            <w:r>
              <w:t>Environmental protection</w:t>
            </w:r>
          </w:p>
        </w:tc>
        <w:tc>
          <w:tcPr>
            <w:tcW w:w="794" w:type="dxa"/>
          </w:tcPr>
          <w:p w14:paraId="30965905" w14:textId="77777777" w:rsidR="00AB205D" w:rsidRDefault="00471A3B">
            <w:pPr>
              <w:cnfStyle w:val="000000000000" w:firstRow="0" w:lastRow="0" w:firstColumn="0" w:lastColumn="0" w:oddVBand="0" w:evenVBand="0" w:oddHBand="0" w:evenHBand="0" w:firstRowFirstColumn="0" w:firstRowLastColumn="0" w:lastRowFirstColumn="0" w:lastRowLastColumn="0"/>
            </w:pPr>
            <w:r>
              <w:t>177</w:t>
            </w:r>
          </w:p>
        </w:tc>
        <w:tc>
          <w:tcPr>
            <w:tcW w:w="794" w:type="dxa"/>
          </w:tcPr>
          <w:p w14:paraId="12E1E49E" w14:textId="77777777" w:rsidR="00AB205D" w:rsidRDefault="00471A3B">
            <w:pPr>
              <w:cnfStyle w:val="000000000000" w:firstRow="0" w:lastRow="0" w:firstColumn="0" w:lastColumn="0" w:oddVBand="0" w:evenVBand="0" w:oddHBand="0" w:evenHBand="0" w:firstRowFirstColumn="0" w:firstRowLastColumn="0" w:lastRowFirstColumn="0" w:lastRowLastColumn="0"/>
            </w:pPr>
            <w:r>
              <w:t>151</w:t>
            </w:r>
          </w:p>
        </w:tc>
        <w:tc>
          <w:tcPr>
            <w:tcW w:w="794" w:type="dxa"/>
          </w:tcPr>
          <w:p w14:paraId="7F0C4607" w14:textId="77777777" w:rsidR="00AB205D" w:rsidRDefault="00471A3B">
            <w:pPr>
              <w:cnfStyle w:val="000000000000" w:firstRow="0" w:lastRow="0" w:firstColumn="0" w:lastColumn="0" w:oddVBand="0" w:evenVBand="0" w:oddHBand="0" w:evenHBand="0" w:firstRowFirstColumn="0" w:firstRowLastColumn="0" w:lastRowFirstColumn="0" w:lastRowLastColumn="0"/>
            </w:pPr>
            <w:r>
              <w:t>93</w:t>
            </w:r>
          </w:p>
        </w:tc>
        <w:tc>
          <w:tcPr>
            <w:tcW w:w="794" w:type="dxa"/>
          </w:tcPr>
          <w:p w14:paraId="14E7896F" w14:textId="77777777" w:rsidR="00AB205D" w:rsidRDefault="00471A3B">
            <w:pPr>
              <w:cnfStyle w:val="000000000000" w:firstRow="0" w:lastRow="0" w:firstColumn="0" w:lastColumn="0" w:oddVBand="0" w:evenVBand="0" w:oddHBand="0" w:evenHBand="0" w:firstRowFirstColumn="0" w:firstRowLastColumn="0" w:lastRowFirstColumn="0" w:lastRowLastColumn="0"/>
            </w:pPr>
            <w:r>
              <w:t>65</w:t>
            </w:r>
          </w:p>
        </w:tc>
        <w:tc>
          <w:tcPr>
            <w:tcW w:w="794" w:type="dxa"/>
          </w:tcPr>
          <w:p w14:paraId="119029CA" w14:textId="77777777" w:rsidR="00AB205D" w:rsidRDefault="00471A3B">
            <w:pPr>
              <w:cnfStyle w:val="000000000000" w:firstRow="0" w:lastRow="0" w:firstColumn="0" w:lastColumn="0" w:oddVBand="0" w:evenVBand="0" w:oddHBand="0" w:evenHBand="0" w:firstRowFirstColumn="0" w:firstRowLastColumn="0" w:lastRowFirstColumn="0" w:lastRowLastColumn="0"/>
            </w:pPr>
            <w:r>
              <w:t>56</w:t>
            </w:r>
          </w:p>
        </w:tc>
      </w:tr>
      <w:tr w:rsidR="009C6724" w14:paraId="3D211EEB"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AB8AAF7" w14:textId="77777777" w:rsidR="00AB205D" w:rsidRDefault="00471A3B">
            <w:r>
              <w:t>Housing and community amenities</w:t>
            </w:r>
          </w:p>
        </w:tc>
        <w:tc>
          <w:tcPr>
            <w:tcW w:w="794" w:type="dxa"/>
          </w:tcPr>
          <w:p w14:paraId="09839229" w14:textId="77777777" w:rsidR="00AB205D" w:rsidRDefault="00471A3B">
            <w:pPr>
              <w:cnfStyle w:val="000000000000" w:firstRow="0" w:lastRow="0" w:firstColumn="0" w:lastColumn="0" w:oddVBand="0" w:evenVBand="0" w:oddHBand="0" w:evenHBand="0" w:firstRowFirstColumn="0" w:firstRowLastColumn="0" w:lastRowFirstColumn="0" w:lastRowLastColumn="0"/>
            </w:pPr>
            <w:r>
              <w:t>86</w:t>
            </w:r>
          </w:p>
        </w:tc>
        <w:tc>
          <w:tcPr>
            <w:tcW w:w="794" w:type="dxa"/>
          </w:tcPr>
          <w:p w14:paraId="178AECDD" w14:textId="77777777" w:rsidR="00AB205D" w:rsidRDefault="00471A3B">
            <w:pPr>
              <w:cnfStyle w:val="000000000000" w:firstRow="0" w:lastRow="0" w:firstColumn="0" w:lastColumn="0" w:oddVBand="0" w:evenVBand="0" w:oddHBand="0" w:evenHBand="0" w:firstRowFirstColumn="0" w:firstRowLastColumn="0" w:lastRowFirstColumn="0" w:lastRowLastColumn="0"/>
            </w:pPr>
            <w:r>
              <w:t>81</w:t>
            </w:r>
          </w:p>
        </w:tc>
        <w:tc>
          <w:tcPr>
            <w:tcW w:w="794" w:type="dxa"/>
          </w:tcPr>
          <w:p w14:paraId="47AD9614" w14:textId="77777777" w:rsidR="00AB205D" w:rsidRDefault="00471A3B">
            <w:pPr>
              <w:cnfStyle w:val="000000000000" w:firstRow="0" w:lastRow="0" w:firstColumn="0" w:lastColumn="0" w:oddVBand="0" w:evenVBand="0" w:oddHBand="0" w:evenHBand="0" w:firstRowFirstColumn="0" w:firstRowLastColumn="0" w:lastRowFirstColumn="0" w:lastRowLastColumn="0"/>
            </w:pPr>
            <w:r>
              <w:t>118</w:t>
            </w:r>
          </w:p>
        </w:tc>
        <w:tc>
          <w:tcPr>
            <w:tcW w:w="794" w:type="dxa"/>
          </w:tcPr>
          <w:p w14:paraId="69635528" w14:textId="77777777" w:rsidR="00AB205D" w:rsidRDefault="00471A3B">
            <w:pPr>
              <w:cnfStyle w:val="000000000000" w:firstRow="0" w:lastRow="0" w:firstColumn="0" w:lastColumn="0" w:oddVBand="0" w:evenVBand="0" w:oddHBand="0" w:evenHBand="0" w:firstRowFirstColumn="0" w:firstRowLastColumn="0" w:lastRowFirstColumn="0" w:lastRowLastColumn="0"/>
            </w:pPr>
            <w:r>
              <w:t>100</w:t>
            </w:r>
          </w:p>
        </w:tc>
        <w:tc>
          <w:tcPr>
            <w:tcW w:w="794" w:type="dxa"/>
          </w:tcPr>
          <w:p w14:paraId="22C6BBD8" w14:textId="77777777" w:rsidR="00AB205D" w:rsidRDefault="00471A3B">
            <w:pPr>
              <w:cnfStyle w:val="000000000000" w:firstRow="0" w:lastRow="0" w:firstColumn="0" w:lastColumn="0" w:oddVBand="0" w:evenVBand="0" w:oddHBand="0" w:evenHBand="0" w:firstRowFirstColumn="0" w:firstRowLastColumn="0" w:lastRowFirstColumn="0" w:lastRowLastColumn="0"/>
            </w:pPr>
            <w:r>
              <w:t>6</w:t>
            </w:r>
          </w:p>
        </w:tc>
      </w:tr>
      <w:tr w:rsidR="009C6724" w14:paraId="1073E03E"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AABE1DB" w14:textId="77777777" w:rsidR="00AB205D" w:rsidRDefault="00471A3B">
            <w:r>
              <w:t>Health</w:t>
            </w:r>
          </w:p>
        </w:tc>
        <w:tc>
          <w:tcPr>
            <w:tcW w:w="794" w:type="dxa"/>
          </w:tcPr>
          <w:p w14:paraId="6F046925" w14:textId="77777777" w:rsidR="00AB205D" w:rsidRDefault="00471A3B">
            <w:pPr>
              <w:cnfStyle w:val="000000000000" w:firstRow="0" w:lastRow="0" w:firstColumn="0" w:lastColumn="0" w:oddVBand="0" w:evenVBand="0" w:oddHBand="0" w:evenHBand="0" w:firstRowFirstColumn="0" w:firstRowLastColumn="0" w:lastRowFirstColumn="0" w:lastRowLastColumn="0"/>
            </w:pPr>
            <w:r>
              <w:t>2 585</w:t>
            </w:r>
          </w:p>
        </w:tc>
        <w:tc>
          <w:tcPr>
            <w:tcW w:w="794" w:type="dxa"/>
          </w:tcPr>
          <w:p w14:paraId="1742A170" w14:textId="77777777" w:rsidR="00AB205D" w:rsidRDefault="00471A3B">
            <w:pPr>
              <w:cnfStyle w:val="000000000000" w:firstRow="0" w:lastRow="0" w:firstColumn="0" w:lastColumn="0" w:oddVBand="0" w:evenVBand="0" w:oddHBand="0" w:evenHBand="0" w:firstRowFirstColumn="0" w:firstRowLastColumn="0" w:lastRowFirstColumn="0" w:lastRowLastColumn="0"/>
            </w:pPr>
            <w:r>
              <w:t>2 770</w:t>
            </w:r>
          </w:p>
        </w:tc>
        <w:tc>
          <w:tcPr>
            <w:tcW w:w="794" w:type="dxa"/>
          </w:tcPr>
          <w:p w14:paraId="7237F5DD" w14:textId="77777777" w:rsidR="00AB205D" w:rsidRDefault="00471A3B">
            <w:pPr>
              <w:cnfStyle w:val="000000000000" w:firstRow="0" w:lastRow="0" w:firstColumn="0" w:lastColumn="0" w:oddVBand="0" w:evenVBand="0" w:oddHBand="0" w:evenHBand="0" w:firstRowFirstColumn="0" w:firstRowLastColumn="0" w:lastRowFirstColumn="0" w:lastRowLastColumn="0"/>
            </w:pPr>
            <w:r>
              <w:t>1 757</w:t>
            </w:r>
          </w:p>
        </w:tc>
        <w:tc>
          <w:tcPr>
            <w:tcW w:w="794" w:type="dxa"/>
          </w:tcPr>
          <w:p w14:paraId="67E0179E" w14:textId="77777777" w:rsidR="00AB205D" w:rsidRDefault="00471A3B">
            <w:pPr>
              <w:cnfStyle w:val="000000000000" w:firstRow="0" w:lastRow="0" w:firstColumn="0" w:lastColumn="0" w:oddVBand="0" w:evenVBand="0" w:oddHBand="0" w:evenHBand="0" w:firstRowFirstColumn="0" w:firstRowLastColumn="0" w:lastRowFirstColumn="0" w:lastRowLastColumn="0"/>
            </w:pPr>
            <w:r>
              <w:t>1 493</w:t>
            </w:r>
          </w:p>
        </w:tc>
        <w:tc>
          <w:tcPr>
            <w:tcW w:w="794" w:type="dxa"/>
          </w:tcPr>
          <w:p w14:paraId="1AF6FDD0" w14:textId="77777777" w:rsidR="00AB205D" w:rsidRDefault="00471A3B">
            <w:pPr>
              <w:cnfStyle w:val="000000000000" w:firstRow="0" w:lastRow="0" w:firstColumn="0" w:lastColumn="0" w:oddVBand="0" w:evenVBand="0" w:oddHBand="0" w:evenHBand="0" w:firstRowFirstColumn="0" w:firstRowLastColumn="0" w:lastRowFirstColumn="0" w:lastRowLastColumn="0"/>
            </w:pPr>
            <w:r>
              <w:t>978</w:t>
            </w:r>
          </w:p>
        </w:tc>
      </w:tr>
      <w:tr w:rsidR="009C6724" w14:paraId="41F4BA56"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86E6F88" w14:textId="77777777" w:rsidR="00AB205D" w:rsidRDefault="00471A3B">
            <w:r>
              <w:t>Recreation, culture and religion</w:t>
            </w:r>
          </w:p>
        </w:tc>
        <w:tc>
          <w:tcPr>
            <w:tcW w:w="794" w:type="dxa"/>
          </w:tcPr>
          <w:p w14:paraId="4FB99969" w14:textId="77777777" w:rsidR="00AB205D" w:rsidRDefault="00471A3B">
            <w:pPr>
              <w:cnfStyle w:val="000000000000" w:firstRow="0" w:lastRow="0" w:firstColumn="0" w:lastColumn="0" w:oddVBand="0" w:evenVBand="0" w:oddHBand="0" w:evenHBand="0" w:firstRowFirstColumn="0" w:firstRowLastColumn="0" w:lastRowFirstColumn="0" w:lastRowLastColumn="0"/>
            </w:pPr>
            <w:r>
              <w:t>97</w:t>
            </w:r>
          </w:p>
        </w:tc>
        <w:tc>
          <w:tcPr>
            <w:tcW w:w="794" w:type="dxa"/>
          </w:tcPr>
          <w:p w14:paraId="1E3F254B" w14:textId="77777777" w:rsidR="00AB205D" w:rsidRDefault="00471A3B">
            <w:pPr>
              <w:cnfStyle w:val="000000000000" w:firstRow="0" w:lastRow="0" w:firstColumn="0" w:lastColumn="0" w:oddVBand="0" w:evenVBand="0" w:oddHBand="0" w:evenHBand="0" w:firstRowFirstColumn="0" w:firstRowLastColumn="0" w:lastRowFirstColumn="0" w:lastRowLastColumn="0"/>
            </w:pPr>
            <w:r>
              <w:t>160</w:t>
            </w:r>
          </w:p>
        </w:tc>
        <w:tc>
          <w:tcPr>
            <w:tcW w:w="794" w:type="dxa"/>
          </w:tcPr>
          <w:p w14:paraId="7786610B" w14:textId="77777777" w:rsidR="00AB205D" w:rsidRDefault="00471A3B">
            <w:pPr>
              <w:cnfStyle w:val="000000000000" w:firstRow="0" w:lastRow="0" w:firstColumn="0" w:lastColumn="0" w:oddVBand="0" w:evenVBand="0" w:oddHBand="0" w:evenHBand="0" w:firstRowFirstColumn="0" w:firstRowLastColumn="0" w:lastRowFirstColumn="0" w:lastRowLastColumn="0"/>
            </w:pPr>
            <w:r>
              <w:t>180</w:t>
            </w:r>
          </w:p>
        </w:tc>
        <w:tc>
          <w:tcPr>
            <w:tcW w:w="794" w:type="dxa"/>
          </w:tcPr>
          <w:p w14:paraId="7945E90A" w14:textId="77777777" w:rsidR="00AB205D" w:rsidRDefault="00471A3B">
            <w:pPr>
              <w:cnfStyle w:val="000000000000" w:firstRow="0" w:lastRow="0" w:firstColumn="0" w:lastColumn="0" w:oddVBand="0" w:evenVBand="0" w:oddHBand="0" w:evenHBand="0" w:firstRowFirstColumn="0" w:firstRowLastColumn="0" w:lastRowFirstColumn="0" w:lastRowLastColumn="0"/>
            </w:pPr>
            <w:r>
              <w:t>257</w:t>
            </w:r>
          </w:p>
        </w:tc>
        <w:tc>
          <w:tcPr>
            <w:tcW w:w="794" w:type="dxa"/>
          </w:tcPr>
          <w:p w14:paraId="0A0A2331" w14:textId="77777777" w:rsidR="00AB205D" w:rsidRDefault="00471A3B">
            <w:pPr>
              <w:cnfStyle w:val="000000000000" w:firstRow="0" w:lastRow="0" w:firstColumn="0" w:lastColumn="0" w:oddVBand="0" w:evenVBand="0" w:oddHBand="0" w:evenHBand="0" w:firstRowFirstColumn="0" w:firstRowLastColumn="0" w:lastRowFirstColumn="0" w:lastRowLastColumn="0"/>
            </w:pPr>
            <w:r>
              <w:t>221</w:t>
            </w:r>
          </w:p>
        </w:tc>
      </w:tr>
      <w:tr w:rsidR="009C6724" w14:paraId="2DD976AE"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649D3D2C" w14:textId="77777777" w:rsidR="00AB205D" w:rsidRDefault="00471A3B">
            <w:r>
              <w:t>Education</w:t>
            </w:r>
          </w:p>
        </w:tc>
        <w:tc>
          <w:tcPr>
            <w:tcW w:w="794" w:type="dxa"/>
          </w:tcPr>
          <w:p w14:paraId="7F40A935" w14:textId="77777777" w:rsidR="00AB205D" w:rsidRDefault="00471A3B">
            <w:pPr>
              <w:cnfStyle w:val="000000000000" w:firstRow="0" w:lastRow="0" w:firstColumn="0" w:lastColumn="0" w:oddVBand="0" w:evenVBand="0" w:oddHBand="0" w:evenHBand="0" w:firstRowFirstColumn="0" w:firstRowLastColumn="0" w:lastRowFirstColumn="0" w:lastRowLastColumn="0"/>
            </w:pPr>
            <w:r>
              <w:t>2 899</w:t>
            </w:r>
          </w:p>
        </w:tc>
        <w:tc>
          <w:tcPr>
            <w:tcW w:w="794" w:type="dxa"/>
          </w:tcPr>
          <w:p w14:paraId="6EA8497E" w14:textId="77777777" w:rsidR="00AB205D" w:rsidRDefault="00471A3B">
            <w:pPr>
              <w:cnfStyle w:val="000000000000" w:firstRow="0" w:lastRow="0" w:firstColumn="0" w:lastColumn="0" w:oddVBand="0" w:evenVBand="0" w:oddHBand="0" w:evenHBand="0" w:firstRowFirstColumn="0" w:firstRowLastColumn="0" w:lastRowFirstColumn="0" w:lastRowLastColumn="0"/>
            </w:pPr>
            <w:r>
              <w:t>3 240</w:t>
            </w:r>
          </w:p>
        </w:tc>
        <w:tc>
          <w:tcPr>
            <w:tcW w:w="794" w:type="dxa"/>
          </w:tcPr>
          <w:p w14:paraId="49184EB3" w14:textId="77777777" w:rsidR="00AB205D" w:rsidRDefault="00471A3B">
            <w:pPr>
              <w:cnfStyle w:val="000000000000" w:firstRow="0" w:lastRow="0" w:firstColumn="0" w:lastColumn="0" w:oddVBand="0" w:evenVBand="0" w:oddHBand="0" w:evenHBand="0" w:firstRowFirstColumn="0" w:firstRowLastColumn="0" w:lastRowFirstColumn="0" w:lastRowLastColumn="0"/>
            </w:pPr>
            <w:r>
              <w:t>1 983</w:t>
            </w:r>
          </w:p>
        </w:tc>
        <w:tc>
          <w:tcPr>
            <w:tcW w:w="794" w:type="dxa"/>
          </w:tcPr>
          <w:p w14:paraId="44900078" w14:textId="77777777" w:rsidR="00AB205D" w:rsidRDefault="00471A3B">
            <w:pPr>
              <w:cnfStyle w:val="000000000000" w:firstRow="0" w:lastRow="0" w:firstColumn="0" w:lastColumn="0" w:oddVBand="0" w:evenVBand="0" w:oddHBand="0" w:evenHBand="0" w:firstRowFirstColumn="0" w:firstRowLastColumn="0" w:lastRowFirstColumn="0" w:lastRowLastColumn="0"/>
            </w:pPr>
            <w:r>
              <w:t>1 807</w:t>
            </w:r>
          </w:p>
        </w:tc>
        <w:tc>
          <w:tcPr>
            <w:tcW w:w="794" w:type="dxa"/>
          </w:tcPr>
          <w:p w14:paraId="636ED475" w14:textId="77777777" w:rsidR="00AB205D" w:rsidRDefault="00471A3B">
            <w:pPr>
              <w:cnfStyle w:val="000000000000" w:firstRow="0" w:lastRow="0" w:firstColumn="0" w:lastColumn="0" w:oddVBand="0" w:evenVBand="0" w:oddHBand="0" w:evenHBand="0" w:firstRowFirstColumn="0" w:firstRowLastColumn="0" w:lastRowFirstColumn="0" w:lastRowLastColumn="0"/>
            </w:pPr>
            <w:r>
              <w:t>1 859</w:t>
            </w:r>
          </w:p>
        </w:tc>
      </w:tr>
      <w:tr w:rsidR="009C6724" w14:paraId="62B3FBDC"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0AAAB373" w14:textId="77777777" w:rsidR="00AB205D" w:rsidRDefault="00471A3B">
            <w:r>
              <w:t>Social protection</w:t>
            </w:r>
          </w:p>
        </w:tc>
        <w:tc>
          <w:tcPr>
            <w:tcW w:w="794" w:type="dxa"/>
          </w:tcPr>
          <w:p w14:paraId="51B30C22" w14:textId="77777777" w:rsidR="00AB205D" w:rsidRDefault="00471A3B">
            <w:pPr>
              <w:cnfStyle w:val="000000000000" w:firstRow="0" w:lastRow="0" w:firstColumn="0" w:lastColumn="0" w:oddVBand="0" w:evenVBand="0" w:oddHBand="0" w:evenHBand="0" w:firstRowFirstColumn="0" w:firstRowLastColumn="0" w:lastRowFirstColumn="0" w:lastRowLastColumn="0"/>
            </w:pPr>
            <w:r>
              <w:t>116</w:t>
            </w:r>
          </w:p>
        </w:tc>
        <w:tc>
          <w:tcPr>
            <w:tcW w:w="794" w:type="dxa"/>
          </w:tcPr>
          <w:p w14:paraId="5CE54785" w14:textId="77777777" w:rsidR="00AB205D" w:rsidRDefault="00471A3B">
            <w:pPr>
              <w:cnfStyle w:val="000000000000" w:firstRow="0" w:lastRow="0" w:firstColumn="0" w:lastColumn="0" w:oddVBand="0" w:evenVBand="0" w:oddHBand="0" w:evenHBand="0" w:firstRowFirstColumn="0" w:firstRowLastColumn="0" w:lastRowFirstColumn="0" w:lastRowLastColumn="0"/>
            </w:pPr>
            <w:r>
              <w:t>131</w:t>
            </w:r>
          </w:p>
        </w:tc>
        <w:tc>
          <w:tcPr>
            <w:tcW w:w="794" w:type="dxa"/>
          </w:tcPr>
          <w:p w14:paraId="62F5AAFB" w14:textId="77777777" w:rsidR="00AB205D" w:rsidRDefault="00471A3B">
            <w:pPr>
              <w:cnfStyle w:val="000000000000" w:firstRow="0" w:lastRow="0" w:firstColumn="0" w:lastColumn="0" w:oddVBand="0" w:evenVBand="0" w:oddHBand="0" w:evenHBand="0" w:firstRowFirstColumn="0" w:firstRowLastColumn="0" w:lastRowFirstColumn="0" w:lastRowLastColumn="0"/>
            </w:pPr>
            <w:r>
              <w:t>75</w:t>
            </w:r>
          </w:p>
        </w:tc>
        <w:tc>
          <w:tcPr>
            <w:tcW w:w="794" w:type="dxa"/>
          </w:tcPr>
          <w:p w14:paraId="05AD4E15" w14:textId="77777777" w:rsidR="00AB205D" w:rsidRDefault="00471A3B">
            <w:pPr>
              <w:cnfStyle w:val="000000000000" w:firstRow="0" w:lastRow="0" w:firstColumn="0" w:lastColumn="0" w:oddVBand="0" w:evenVBand="0" w:oddHBand="0" w:evenHBand="0" w:firstRowFirstColumn="0" w:firstRowLastColumn="0" w:lastRowFirstColumn="0" w:lastRowLastColumn="0"/>
            </w:pPr>
            <w:r>
              <w:t>71</w:t>
            </w:r>
          </w:p>
        </w:tc>
        <w:tc>
          <w:tcPr>
            <w:tcW w:w="794" w:type="dxa"/>
          </w:tcPr>
          <w:p w14:paraId="64992882" w14:textId="77777777" w:rsidR="00AB205D" w:rsidRDefault="00471A3B">
            <w:pPr>
              <w:cnfStyle w:val="000000000000" w:firstRow="0" w:lastRow="0" w:firstColumn="0" w:lastColumn="0" w:oddVBand="0" w:evenVBand="0" w:oddHBand="0" w:evenHBand="0" w:firstRowFirstColumn="0" w:firstRowLastColumn="0" w:lastRowFirstColumn="0" w:lastRowLastColumn="0"/>
            </w:pPr>
            <w:r>
              <w:t>71</w:t>
            </w:r>
          </w:p>
        </w:tc>
      </w:tr>
      <w:tr w:rsidR="009C6724" w14:paraId="3AE63E24"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DD211B2" w14:textId="77777777" w:rsidR="00AB205D" w:rsidRDefault="00471A3B">
            <w:r>
              <w:t>Transport</w:t>
            </w:r>
          </w:p>
        </w:tc>
        <w:tc>
          <w:tcPr>
            <w:tcW w:w="794" w:type="dxa"/>
          </w:tcPr>
          <w:p w14:paraId="6EFDAD48" w14:textId="77777777" w:rsidR="00AB205D" w:rsidRDefault="00471A3B">
            <w:pPr>
              <w:cnfStyle w:val="000000000000" w:firstRow="0" w:lastRow="0" w:firstColumn="0" w:lastColumn="0" w:oddVBand="0" w:evenVBand="0" w:oddHBand="0" w:evenHBand="0" w:firstRowFirstColumn="0" w:firstRowLastColumn="0" w:lastRowFirstColumn="0" w:lastRowLastColumn="0"/>
            </w:pPr>
            <w:r>
              <w:t>12 342</w:t>
            </w:r>
          </w:p>
        </w:tc>
        <w:tc>
          <w:tcPr>
            <w:tcW w:w="794" w:type="dxa"/>
          </w:tcPr>
          <w:p w14:paraId="14ED9846" w14:textId="77777777" w:rsidR="00AB205D" w:rsidRDefault="00471A3B">
            <w:pPr>
              <w:cnfStyle w:val="000000000000" w:firstRow="0" w:lastRow="0" w:firstColumn="0" w:lastColumn="0" w:oddVBand="0" w:evenVBand="0" w:oddHBand="0" w:evenHBand="0" w:firstRowFirstColumn="0" w:firstRowLastColumn="0" w:lastRowFirstColumn="0" w:lastRowLastColumn="0"/>
            </w:pPr>
            <w:r>
              <w:t>13 258</w:t>
            </w:r>
          </w:p>
        </w:tc>
        <w:tc>
          <w:tcPr>
            <w:tcW w:w="794" w:type="dxa"/>
          </w:tcPr>
          <w:p w14:paraId="79F7654E" w14:textId="77777777" w:rsidR="00AB205D" w:rsidRDefault="00471A3B">
            <w:pPr>
              <w:cnfStyle w:val="000000000000" w:firstRow="0" w:lastRow="0" w:firstColumn="0" w:lastColumn="0" w:oddVBand="0" w:evenVBand="0" w:oddHBand="0" w:evenHBand="0" w:firstRowFirstColumn="0" w:firstRowLastColumn="0" w:lastRowFirstColumn="0" w:lastRowLastColumn="0"/>
            </w:pPr>
            <w:r>
              <w:t>10 777</w:t>
            </w:r>
          </w:p>
        </w:tc>
        <w:tc>
          <w:tcPr>
            <w:tcW w:w="794" w:type="dxa"/>
          </w:tcPr>
          <w:p w14:paraId="22F6642A" w14:textId="77777777" w:rsidR="00AB205D" w:rsidRDefault="00471A3B">
            <w:pPr>
              <w:cnfStyle w:val="000000000000" w:firstRow="0" w:lastRow="0" w:firstColumn="0" w:lastColumn="0" w:oddVBand="0" w:evenVBand="0" w:oddHBand="0" w:evenHBand="0" w:firstRowFirstColumn="0" w:firstRowLastColumn="0" w:lastRowFirstColumn="0" w:lastRowLastColumn="0"/>
            </w:pPr>
            <w:r>
              <w:t>9 947</w:t>
            </w:r>
          </w:p>
        </w:tc>
        <w:tc>
          <w:tcPr>
            <w:tcW w:w="794" w:type="dxa"/>
          </w:tcPr>
          <w:p w14:paraId="616D586D" w14:textId="77777777" w:rsidR="00AB205D" w:rsidRDefault="00471A3B">
            <w:pPr>
              <w:cnfStyle w:val="000000000000" w:firstRow="0" w:lastRow="0" w:firstColumn="0" w:lastColumn="0" w:oddVBand="0" w:evenVBand="0" w:oddHBand="0" w:evenHBand="0" w:firstRowFirstColumn="0" w:firstRowLastColumn="0" w:lastRowFirstColumn="0" w:lastRowLastColumn="0"/>
            </w:pPr>
            <w:r>
              <w:t>8 216</w:t>
            </w:r>
          </w:p>
        </w:tc>
      </w:tr>
      <w:tr w:rsidR="009C6724" w14:paraId="11177914"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2DEABE2D" w14:textId="77777777" w:rsidR="00AB205D" w:rsidRDefault="00471A3B">
            <w:r>
              <w:t>Not allocated by function</w:t>
            </w:r>
            <w:r>
              <w:rPr>
                <w:vertAlign w:val="superscript"/>
              </w:rPr>
              <w:t xml:space="preserve"> (a)</w:t>
            </w:r>
          </w:p>
        </w:tc>
        <w:tc>
          <w:tcPr>
            <w:tcW w:w="794" w:type="dxa"/>
            <w:tcBorders>
              <w:bottom w:val="single" w:sz="6" w:space="0" w:color="auto"/>
            </w:tcBorders>
          </w:tcPr>
          <w:p w14:paraId="218E88AF" w14:textId="77777777" w:rsidR="00AB205D" w:rsidRDefault="00471A3B">
            <w:pPr>
              <w:cnfStyle w:val="000000000000" w:firstRow="0" w:lastRow="0" w:firstColumn="0" w:lastColumn="0" w:oddVBand="0" w:evenVBand="0" w:oddHBand="0" w:evenHBand="0" w:firstRowFirstColumn="0" w:firstRowLastColumn="0" w:lastRowFirstColumn="0" w:lastRowLastColumn="0"/>
            </w:pPr>
            <w:r>
              <w:t>(4 178)</w:t>
            </w:r>
          </w:p>
        </w:tc>
        <w:tc>
          <w:tcPr>
            <w:tcW w:w="794" w:type="dxa"/>
            <w:tcBorders>
              <w:bottom w:val="single" w:sz="6" w:space="0" w:color="auto"/>
            </w:tcBorders>
          </w:tcPr>
          <w:p w14:paraId="741E6E39" w14:textId="77777777" w:rsidR="00AB205D" w:rsidRDefault="00471A3B">
            <w:pPr>
              <w:cnfStyle w:val="000000000000" w:firstRow="0" w:lastRow="0" w:firstColumn="0" w:lastColumn="0" w:oddVBand="0" w:evenVBand="0" w:oddHBand="0" w:evenHBand="0" w:firstRowFirstColumn="0" w:firstRowLastColumn="0" w:lastRowFirstColumn="0" w:lastRowLastColumn="0"/>
            </w:pPr>
            <w:r>
              <w:t>(4 146)</w:t>
            </w:r>
          </w:p>
        </w:tc>
        <w:tc>
          <w:tcPr>
            <w:tcW w:w="794" w:type="dxa"/>
            <w:tcBorders>
              <w:bottom w:val="single" w:sz="6" w:space="0" w:color="auto"/>
            </w:tcBorders>
          </w:tcPr>
          <w:p w14:paraId="4E7779F1" w14:textId="77777777" w:rsidR="00AB205D" w:rsidRDefault="00471A3B">
            <w:pPr>
              <w:cnfStyle w:val="000000000000" w:firstRow="0" w:lastRow="0" w:firstColumn="0" w:lastColumn="0" w:oddVBand="0" w:evenVBand="0" w:oddHBand="0" w:evenHBand="0" w:firstRowFirstColumn="0" w:firstRowLastColumn="0" w:lastRowFirstColumn="0" w:lastRowLastColumn="0"/>
            </w:pPr>
            <w:r>
              <w:t>1 326</w:t>
            </w:r>
          </w:p>
        </w:tc>
        <w:tc>
          <w:tcPr>
            <w:tcW w:w="794" w:type="dxa"/>
            <w:tcBorders>
              <w:bottom w:val="single" w:sz="6" w:space="0" w:color="auto"/>
            </w:tcBorders>
          </w:tcPr>
          <w:p w14:paraId="588DE87E" w14:textId="77777777" w:rsidR="00AB205D" w:rsidRDefault="00471A3B">
            <w:pPr>
              <w:cnfStyle w:val="000000000000" w:firstRow="0" w:lastRow="0" w:firstColumn="0" w:lastColumn="0" w:oddVBand="0" w:evenVBand="0" w:oddHBand="0" w:evenHBand="0" w:firstRowFirstColumn="0" w:firstRowLastColumn="0" w:lastRowFirstColumn="0" w:lastRowLastColumn="0"/>
            </w:pPr>
            <w:r>
              <w:t>2 809</w:t>
            </w:r>
          </w:p>
        </w:tc>
        <w:tc>
          <w:tcPr>
            <w:tcW w:w="794" w:type="dxa"/>
            <w:tcBorders>
              <w:bottom w:val="single" w:sz="6" w:space="0" w:color="auto"/>
            </w:tcBorders>
          </w:tcPr>
          <w:p w14:paraId="571D10B9" w14:textId="77777777" w:rsidR="00AB205D" w:rsidRDefault="00471A3B">
            <w:pPr>
              <w:cnfStyle w:val="000000000000" w:firstRow="0" w:lastRow="0" w:firstColumn="0" w:lastColumn="0" w:oddVBand="0" w:evenVBand="0" w:oddHBand="0" w:evenHBand="0" w:firstRowFirstColumn="0" w:firstRowLastColumn="0" w:lastRowFirstColumn="0" w:lastRowLastColumn="0"/>
            </w:pPr>
            <w:r>
              <w:t>3 191</w:t>
            </w:r>
          </w:p>
        </w:tc>
      </w:tr>
      <w:tr w:rsidR="009C6724" w14:paraId="0CB302AD"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4C8CAF02" w14:textId="77777777" w:rsidR="00AB205D" w:rsidRDefault="00471A3B">
            <w:r>
              <w:rPr>
                <w:b/>
              </w:rPr>
              <w:t>Total purchases of non</w:t>
            </w:r>
            <w:r>
              <w:rPr>
                <w:b/>
              </w:rPr>
              <w:noBreakHyphen/>
              <w:t>financial assets</w:t>
            </w:r>
          </w:p>
        </w:tc>
        <w:tc>
          <w:tcPr>
            <w:tcW w:w="794" w:type="dxa"/>
            <w:tcBorders>
              <w:top w:val="single" w:sz="6" w:space="0" w:color="auto"/>
              <w:bottom w:val="single" w:sz="12" w:space="0" w:color="auto"/>
            </w:tcBorders>
          </w:tcPr>
          <w:p w14:paraId="4C22C92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15 647</w:t>
            </w:r>
          </w:p>
        </w:tc>
        <w:tc>
          <w:tcPr>
            <w:tcW w:w="794" w:type="dxa"/>
            <w:tcBorders>
              <w:top w:val="single" w:sz="6" w:space="0" w:color="auto"/>
              <w:bottom w:val="single" w:sz="12" w:space="0" w:color="auto"/>
            </w:tcBorders>
          </w:tcPr>
          <w:p w14:paraId="6D8BA67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17 170</w:t>
            </w:r>
          </w:p>
        </w:tc>
        <w:tc>
          <w:tcPr>
            <w:tcW w:w="794" w:type="dxa"/>
            <w:tcBorders>
              <w:top w:val="single" w:sz="6" w:space="0" w:color="auto"/>
              <w:bottom w:val="single" w:sz="12" w:space="0" w:color="auto"/>
            </w:tcBorders>
          </w:tcPr>
          <w:p w14:paraId="217D55F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17 287</w:t>
            </w:r>
          </w:p>
        </w:tc>
        <w:tc>
          <w:tcPr>
            <w:tcW w:w="794" w:type="dxa"/>
            <w:tcBorders>
              <w:top w:val="single" w:sz="6" w:space="0" w:color="auto"/>
              <w:bottom w:val="single" w:sz="12" w:space="0" w:color="auto"/>
            </w:tcBorders>
          </w:tcPr>
          <w:p w14:paraId="60584DA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17 141</w:t>
            </w:r>
          </w:p>
        </w:tc>
        <w:tc>
          <w:tcPr>
            <w:tcW w:w="794" w:type="dxa"/>
            <w:tcBorders>
              <w:top w:val="single" w:sz="6" w:space="0" w:color="auto"/>
              <w:bottom w:val="single" w:sz="12" w:space="0" w:color="auto"/>
            </w:tcBorders>
          </w:tcPr>
          <w:p w14:paraId="36A901B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15 066</w:t>
            </w:r>
          </w:p>
        </w:tc>
      </w:tr>
    </w:tbl>
    <w:p w14:paraId="4A7A67BC" w14:textId="77777777" w:rsidR="00AB205D" w:rsidRPr="00DA1FBC" w:rsidRDefault="00471A3B">
      <w:pPr>
        <w:pStyle w:val="Note"/>
      </w:pPr>
      <w:r w:rsidRPr="00DA1FBC">
        <w:t>Note:</w:t>
      </w:r>
    </w:p>
    <w:p w14:paraId="54EA7CAD" w14:textId="77777777" w:rsidR="00AB205D" w:rsidRDefault="00471A3B">
      <w:pPr>
        <w:pStyle w:val="Note"/>
      </w:pPr>
      <w:r w:rsidRPr="00DA1FBC">
        <w:t>(a)</w:t>
      </w:r>
      <w:r w:rsidRPr="00DA1FBC">
        <w:tab/>
        <w:t>Estimated amount available to be allocated to departments and projects in future budgets, including major capital investment. It also includes estimated underspends, which may be subject to carryover.</w:t>
      </w:r>
    </w:p>
    <w:p w14:paraId="42BDC978" w14:textId="21141E7F" w:rsidR="00AB205D" w:rsidRDefault="00AB205D"/>
    <w:p w14:paraId="1BE2A68F" w14:textId="77777777" w:rsidR="00FA005E" w:rsidRDefault="00FA005E"/>
    <w:p w14:paraId="05E6EB85" w14:textId="77777777" w:rsidR="00AB205D" w:rsidRDefault="00471A3B">
      <w:pPr>
        <w:pStyle w:val="TableHeading"/>
      </w:pPr>
      <w:r w:rsidRPr="00181E4A">
        <w:t>Purchases of non</w:t>
      </w:r>
      <w:r>
        <w:noBreakHyphen/>
      </w:r>
      <w:r w:rsidRPr="00181E4A">
        <w:t>financial assets by portfolio department</w:t>
      </w:r>
      <w:r w:rsidRPr="00181E4A">
        <w:tab/>
        <w:t>($ million)</w:t>
      </w:r>
    </w:p>
    <w:tbl>
      <w:tblPr>
        <w:tblStyle w:val="DTFTableNumeric"/>
        <w:tblW w:w="7710" w:type="dxa"/>
        <w:tblLayout w:type="fixed"/>
        <w:tblLook w:val="06A0" w:firstRow="1" w:lastRow="0" w:firstColumn="1" w:lastColumn="0" w:noHBand="1" w:noVBand="1"/>
        <w:tblDescription w:val="Type:DtfTable|Workbook:Rawdata\BudgetUpdate\Budget Update\Financial Statements\Manual reports\COFOG\Link_BU_COFOG.xlsx|Table:PNFA_by_dept|MergedHeadingRow:1"/>
      </w:tblPr>
      <w:tblGrid>
        <w:gridCol w:w="3740"/>
        <w:gridCol w:w="794"/>
        <w:gridCol w:w="794"/>
        <w:gridCol w:w="794"/>
        <w:gridCol w:w="794"/>
        <w:gridCol w:w="794"/>
      </w:tblGrid>
      <w:tr w:rsidR="009C6724" w14:paraId="5A04C605"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06E60883" w14:textId="77777777" w:rsidR="00AB205D" w:rsidRDefault="00AB205D">
            <w:pPr>
              <w:keepNext/>
            </w:pPr>
          </w:p>
        </w:tc>
        <w:tc>
          <w:tcPr>
            <w:tcW w:w="794" w:type="dxa"/>
          </w:tcPr>
          <w:p w14:paraId="41E15019"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budget</w:t>
            </w:r>
          </w:p>
        </w:tc>
        <w:tc>
          <w:tcPr>
            <w:tcW w:w="794" w:type="dxa"/>
          </w:tcPr>
          <w:p w14:paraId="7BCAA5FF"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revised</w:t>
            </w:r>
          </w:p>
        </w:tc>
        <w:tc>
          <w:tcPr>
            <w:tcW w:w="794" w:type="dxa"/>
          </w:tcPr>
          <w:p w14:paraId="284F1C74"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r>
              <w:br/>
              <w:t>estimate</w:t>
            </w:r>
          </w:p>
        </w:tc>
        <w:tc>
          <w:tcPr>
            <w:tcW w:w="794" w:type="dxa"/>
          </w:tcPr>
          <w:p w14:paraId="7E034882"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5F01902C"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r>
      <w:tr w:rsidR="009C6724" w14:paraId="54120468"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042D8616" w14:textId="77777777" w:rsidR="00AB205D" w:rsidRDefault="00471A3B">
            <w:r>
              <w:t>Education</w:t>
            </w:r>
          </w:p>
        </w:tc>
        <w:tc>
          <w:tcPr>
            <w:tcW w:w="794" w:type="dxa"/>
          </w:tcPr>
          <w:p w14:paraId="617DAC6B" w14:textId="77777777" w:rsidR="00AB205D" w:rsidRDefault="00471A3B">
            <w:pPr>
              <w:cnfStyle w:val="000000000000" w:firstRow="0" w:lastRow="0" w:firstColumn="0" w:lastColumn="0" w:oddVBand="0" w:evenVBand="0" w:oddHBand="0" w:evenHBand="0" w:firstRowFirstColumn="0" w:firstRowLastColumn="0" w:lastRowFirstColumn="0" w:lastRowLastColumn="0"/>
            </w:pPr>
            <w:r>
              <w:t>2 642</w:t>
            </w:r>
          </w:p>
        </w:tc>
        <w:tc>
          <w:tcPr>
            <w:tcW w:w="794" w:type="dxa"/>
          </w:tcPr>
          <w:p w14:paraId="2D4C6814" w14:textId="77777777" w:rsidR="00AB205D" w:rsidRDefault="00471A3B">
            <w:pPr>
              <w:cnfStyle w:val="000000000000" w:firstRow="0" w:lastRow="0" w:firstColumn="0" w:lastColumn="0" w:oddVBand="0" w:evenVBand="0" w:oddHBand="0" w:evenHBand="0" w:firstRowFirstColumn="0" w:firstRowLastColumn="0" w:lastRowFirstColumn="0" w:lastRowLastColumn="0"/>
            </w:pPr>
            <w:r>
              <w:t>2 992</w:t>
            </w:r>
          </w:p>
        </w:tc>
        <w:tc>
          <w:tcPr>
            <w:tcW w:w="794" w:type="dxa"/>
          </w:tcPr>
          <w:p w14:paraId="67418D9F" w14:textId="77777777" w:rsidR="00AB205D" w:rsidRDefault="00471A3B">
            <w:pPr>
              <w:cnfStyle w:val="000000000000" w:firstRow="0" w:lastRow="0" w:firstColumn="0" w:lastColumn="0" w:oddVBand="0" w:evenVBand="0" w:oddHBand="0" w:evenHBand="0" w:firstRowFirstColumn="0" w:firstRowLastColumn="0" w:lastRowFirstColumn="0" w:lastRowLastColumn="0"/>
            </w:pPr>
            <w:r>
              <w:t>1 445</w:t>
            </w:r>
          </w:p>
        </w:tc>
        <w:tc>
          <w:tcPr>
            <w:tcW w:w="794" w:type="dxa"/>
          </w:tcPr>
          <w:p w14:paraId="58E2FC1B" w14:textId="77777777" w:rsidR="00AB205D" w:rsidRDefault="00471A3B">
            <w:pPr>
              <w:cnfStyle w:val="000000000000" w:firstRow="0" w:lastRow="0" w:firstColumn="0" w:lastColumn="0" w:oddVBand="0" w:evenVBand="0" w:oddHBand="0" w:evenHBand="0" w:firstRowFirstColumn="0" w:firstRowLastColumn="0" w:lastRowFirstColumn="0" w:lastRowLastColumn="0"/>
            </w:pPr>
            <w:r>
              <w:t>748</w:t>
            </w:r>
          </w:p>
        </w:tc>
        <w:tc>
          <w:tcPr>
            <w:tcW w:w="794" w:type="dxa"/>
          </w:tcPr>
          <w:p w14:paraId="16EE6E81" w14:textId="77777777" w:rsidR="00AB205D" w:rsidRDefault="00471A3B">
            <w:pPr>
              <w:cnfStyle w:val="000000000000" w:firstRow="0" w:lastRow="0" w:firstColumn="0" w:lastColumn="0" w:oddVBand="0" w:evenVBand="0" w:oddHBand="0" w:evenHBand="0" w:firstRowFirstColumn="0" w:firstRowLastColumn="0" w:lastRowFirstColumn="0" w:lastRowLastColumn="0"/>
            </w:pPr>
            <w:r>
              <w:t>327</w:t>
            </w:r>
          </w:p>
        </w:tc>
      </w:tr>
      <w:tr w:rsidR="009C6724" w14:paraId="2AA8EA85"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523FF6CD" w14:textId="77777777" w:rsidR="00AB205D" w:rsidRDefault="00471A3B">
            <w:r>
              <w:t>Energy, Environment and Climate Action</w:t>
            </w:r>
          </w:p>
        </w:tc>
        <w:tc>
          <w:tcPr>
            <w:tcW w:w="794" w:type="dxa"/>
          </w:tcPr>
          <w:p w14:paraId="7AEBFB53" w14:textId="77777777" w:rsidR="00AB205D" w:rsidRDefault="00471A3B">
            <w:pPr>
              <w:cnfStyle w:val="000000000000" w:firstRow="0" w:lastRow="0" w:firstColumn="0" w:lastColumn="0" w:oddVBand="0" w:evenVBand="0" w:oddHBand="0" w:evenHBand="0" w:firstRowFirstColumn="0" w:firstRowLastColumn="0" w:lastRowFirstColumn="0" w:lastRowLastColumn="0"/>
            </w:pPr>
            <w:r>
              <w:t>324</w:t>
            </w:r>
          </w:p>
        </w:tc>
        <w:tc>
          <w:tcPr>
            <w:tcW w:w="794" w:type="dxa"/>
          </w:tcPr>
          <w:p w14:paraId="4A158BB9" w14:textId="77777777" w:rsidR="00AB205D" w:rsidRDefault="00471A3B">
            <w:pPr>
              <w:cnfStyle w:val="000000000000" w:firstRow="0" w:lastRow="0" w:firstColumn="0" w:lastColumn="0" w:oddVBand="0" w:evenVBand="0" w:oddHBand="0" w:evenHBand="0" w:firstRowFirstColumn="0" w:firstRowLastColumn="0" w:lastRowFirstColumn="0" w:lastRowLastColumn="0"/>
            </w:pPr>
            <w:r>
              <w:t>326</w:t>
            </w:r>
          </w:p>
        </w:tc>
        <w:tc>
          <w:tcPr>
            <w:tcW w:w="794" w:type="dxa"/>
          </w:tcPr>
          <w:p w14:paraId="379E19B1" w14:textId="77777777" w:rsidR="00AB205D" w:rsidRDefault="00471A3B">
            <w:pPr>
              <w:cnfStyle w:val="000000000000" w:firstRow="0" w:lastRow="0" w:firstColumn="0" w:lastColumn="0" w:oddVBand="0" w:evenVBand="0" w:oddHBand="0" w:evenHBand="0" w:firstRowFirstColumn="0" w:firstRowLastColumn="0" w:lastRowFirstColumn="0" w:lastRowLastColumn="0"/>
            </w:pPr>
            <w:r>
              <w:t>249</w:t>
            </w:r>
          </w:p>
        </w:tc>
        <w:tc>
          <w:tcPr>
            <w:tcW w:w="794" w:type="dxa"/>
          </w:tcPr>
          <w:p w14:paraId="474C5AD7" w14:textId="77777777" w:rsidR="00AB205D" w:rsidRDefault="00471A3B">
            <w:pPr>
              <w:cnfStyle w:val="000000000000" w:firstRow="0" w:lastRow="0" w:firstColumn="0" w:lastColumn="0" w:oddVBand="0" w:evenVBand="0" w:oddHBand="0" w:evenHBand="0" w:firstRowFirstColumn="0" w:firstRowLastColumn="0" w:lastRowFirstColumn="0" w:lastRowLastColumn="0"/>
            </w:pPr>
            <w:r>
              <w:t>205</w:t>
            </w:r>
          </w:p>
        </w:tc>
        <w:tc>
          <w:tcPr>
            <w:tcW w:w="794" w:type="dxa"/>
          </w:tcPr>
          <w:p w14:paraId="5745C524" w14:textId="77777777" w:rsidR="00AB205D" w:rsidRDefault="00471A3B">
            <w:pPr>
              <w:cnfStyle w:val="000000000000" w:firstRow="0" w:lastRow="0" w:firstColumn="0" w:lastColumn="0" w:oddVBand="0" w:evenVBand="0" w:oddHBand="0" w:evenHBand="0" w:firstRowFirstColumn="0" w:firstRowLastColumn="0" w:lastRowFirstColumn="0" w:lastRowLastColumn="0"/>
            </w:pPr>
            <w:r>
              <w:t>172</w:t>
            </w:r>
          </w:p>
        </w:tc>
      </w:tr>
      <w:tr w:rsidR="009C6724" w14:paraId="212F8C63"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D39AE22" w14:textId="77777777" w:rsidR="00AB205D" w:rsidRDefault="00471A3B">
            <w:r>
              <w:t>Families, Fairness and Housing</w:t>
            </w:r>
          </w:p>
        </w:tc>
        <w:tc>
          <w:tcPr>
            <w:tcW w:w="794" w:type="dxa"/>
          </w:tcPr>
          <w:p w14:paraId="18DA2293" w14:textId="77777777" w:rsidR="00AB205D" w:rsidRDefault="00471A3B">
            <w:pPr>
              <w:cnfStyle w:val="000000000000" w:firstRow="0" w:lastRow="0" w:firstColumn="0" w:lastColumn="0" w:oddVBand="0" w:evenVBand="0" w:oddHBand="0" w:evenHBand="0" w:firstRowFirstColumn="0" w:firstRowLastColumn="0" w:lastRowFirstColumn="0" w:lastRowLastColumn="0"/>
            </w:pPr>
            <w:r>
              <w:t>85</w:t>
            </w:r>
          </w:p>
        </w:tc>
        <w:tc>
          <w:tcPr>
            <w:tcW w:w="794" w:type="dxa"/>
          </w:tcPr>
          <w:p w14:paraId="036D1B2D" w14:textId="77777777" w:rsidR="00AB205D" w:rsidRDefault="00471A3B">
            <w:pPr>
              <w:cnfStyle w:val="000000000000" w:firstRow="0" w:lastRow="0" w:firstColumn="0" w:lastColumn="0" w:oddVBand="0" w:evenVBand="0" w:oddHBand="0" w:evenHBand="0" w:firstRowFirstColumn="0" w:firstRowLastColumn="0" w:lastRowFirstColumn="0" w:lastRowLastColumn="0"/>
            </w:pPr>
            <w:r>
              <w:t>99</w:t>
            </w:r>
          </w:p>
        </w:tc>
        <w:tc>
          <w:tcPr>
            <w:tcW w:w="794" w:type="dxa"/>
          </w:tcPr>
          <w:p w14:paraId="0BB8428D" w14:textId="77777777" w:rsidR="00AB205D" w:rsidRDefault="00471A3B">
            <w:pPr>
              <w:cnfStyle w:val="000000000000" w:firstRow="0" w:lastRow="0" w:firstColumn="0" w:lastColumn="0" w:oddVBand="0" w:evenVBand="0" w:oddHBand="0" w:evenHBand="0" w:firstRowFirstColumn="0" w:firstRowLastColumn="0" w:lastRowFirstColumn="0" w:lastRowLastColumn="0"/>
            </w:pPr>
            <w:r>
              <w:t>49</w:t>
            </w:r>
          </w:p>
        </w:tc>
        <w:tc>
          <w:tcPr>
            <w:tcW w:w="794" w:type="dxa"/>
          </w:tcPr>
          <w:p w14:paraId="36DDCD5A" w14:textId="77777777" w:rsidR="00AB205D" w:rsidRDefault="00471A3B">
            <w:pPr>
              <w:cnfStyle w:val="000000000000" w:firstRow="0" w:lastRow="0" w:firstColumn="0" w:lastColumn="0" w:oddVBand="0" w:evenVBand="0" w:oddHBand="0" w:evenHBand="0" w:firstRowFirstColumn="0" w:firstRowLastColumn="0" w:lastRowFirstColumn="0" w:lastRowLastColumn="0"/>
            </w:pPr>
            <w:r>
              <w:t>44</w:t>
            </w:r>
          </w:p>
        </w:tc>
        <w:tc>
          <w:tcPr>
            <w:tcW w:w="794" w:type="dxa"/>
          </w:tcPr>
          <w:p w14:paraId="761BBD06" w14:textId="77777777" w:rsidR="00AB205D" w:rsidRDefault="00471A3B">
            <w:pPr>
              <w:cnfStyle w:val="000000000000" w:firstRow="0" w:lastRow="0" w:firstColumn="0" w:lastColumn="0" w:oddVBand="0" w:evenVBand="0" w:oddHBand="0" w:evenHBand="0" w:firstRowFirstColumn="0" w:firstRowLastColumn="0" w:lastRowFirstColumn="0" w:lastRowLastColumn="0"/>
            </w:pPr>
            <w:r>
              <w:t>45</w:t>
            </w:r>
          </w:p>
        </w:tc>
      </w:tr>
      <w:tr w:rsidR="009C6724" w14:paraId="63B7E9AC"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8297986" w14:textId="77777777" w:rsidR="00AB205D" w:rsidRDefault="00471A3B">
            <w:r>
              <w:t>Government Services</w:t>
            </w:r>
          </w:p>
        </w:tc>
        <w:tc>
          <w:tcPr>
            <w:tcW w:w="794" w:type="dxa"/>
          </w:tcPr>
          <w:p w14:paraId="2A27CF11" w14:textId="77777777" w:rsidR="00AB205D" w:rsidRDefault="00471A3B">
            <w:pPr>
              <w:cnfStyle w:val="000000000000" w:firstRow="0" w:lastRow="0" w:firstColumn="0" w:lastColumn="0" w:oddVBand="0" w:evenVBand="0" w:oddHBand="0" w:evenHBand="0" w:firstRowFirstColumn="0" w:firstRowLastColumn="0" w:lastRowFirstColumn="0" w:lastRowLastColumn="0"/>
            </w:pPr>
            <w:r>
              <w:t>115</w:t>
            </w:r>
          </w:p>
        </w:tc>
        <w:tc>
          <w:tcPr>
            <w:tcW w:w="794" w:type="dxa"/>
          </w:tcPr>
          <w:p w14:paraId="543F7A4B" w14:textId="77777777" w:rsidR="00AB205D" w:rsidRDefault="00471A3B">
            <w:pPr>
              <w:cnfStyle w:val="000000000000" w:firstRow="0" w:lastRow="0" w:firstColumn="0" w:lastColumn="0" w:oddVBand="0" w:evenVBand="0" w:oddHBand="0" w:evenHBand="0" w:firstRowFirstColumn="0" w:firstRowLastColumn="0" w:lastRowFirstColumn="0" w:lastRowLastColumn="0"/>
            </w:pPr>
            <w:r>
              <w:t>131</w:t>
            </w:r>
          </w:p>
        </w:tc>
        <w:tc>
          <w:tcPr>
            <w:tcW w:w="794" w:type="dxa"/>
          </w:tcPr>
          <w:p w14:paraId="22437527" w14:textId="77777777" w:rsidR="00AB205D" w:rsidRDefault="00471A3B">
            <w:pPr>
              <w:cnfStyle w:val="000000000000" w:firstRow="0" w:lastRow="0" w:firstColumn="0" w:lastColumn="0" w:oddVBand="0" w:evenVBand="0" w:oddHBand="0" w:evenHBand="0" w:firstRowFirstColumn="0" w:firstRowLastColumn="0" w:lastRowFirstColumn="0" w:lastRowLastColumn="0"/>
            </w:pPr>
            <w:r>
              <w:t>92</w:t>
            </w:r>
          </w:p>
        </w:tc>
        <w:tc>
          <w:tcPr>
            <w:tcW w:w="794" w:type="dxa"/>
          </w:tcPr>
          <w:p w14:paraId="10F20DD9" w14:textId="77777777" w:rsidR="00AB205D" w:rsidRDefault="00471A3B">
            <w:pPr>
              <w:cnfStyle w:val="000000000000" w:firstRow="0" w:lastRow="0" w:firstColumn="0" w:lastColumn="0" w:oddVBand="0" w:evenVBand="0" w:oddHBand="0" w:evenHBand="0" w:firstRowFirstColumn="0" w:firstRowLastColumn="0" w:lastRowFirstColumn="0" w:lastRowLastColumn="0"/>
            </w:pPr>
            <w:r>
              <w:t>91</w:t>
            </w:r>
          </w:p>
        </w:tc>
        <w:tc>
          <w:tcPr>
            <w:tcW w:w="794" w:type="dxa"/>
          </w:tcPr>
          <w:p w14:paraId="3109E58C" w14:textId="77777777" w:rsidR="00AB205D" w:rsidRDefault="00471A3B">
            <w:pPr>
              <w:cnfStyle w:val="000000000000" w:firstRow="0" w:lastRow="0" w:firstColumn="0" w:lastColumn="0" w:oddVBand="0" w:evenVBand="0" w:oddHBand="0" w:evenHBand="0" w:firstRowFirstColumn="0" w:firstRowLastColumn="0" w:lastRowFirstColumn="0" w:lastRowLastColumn="0"/>
            </w:pPr>
            <w:r>
              <w:t>92</w:t>
            </w:r>
          </w:p>
        </w:tc>
      </w:tr>
      <w:tr w:rsidR="009C6724" w14:paraId="2D6440DA"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18C6612" w14:textId="77777777" w:rsidR="00AB205D" w:rsidRDefault="00471A3B">
            <w:r>
              <w:t>Health</w:t>
            </w:r>
          </w:p>
        </w:tc>
        <w:tc>
          <w:tcPr>
            <w:tcW w:w="794" w:type="dxa"/>
          </w:tcPr>
          <w:p w14:paraId="22347A50" w14:textId="77777777" w:rsidR="00AB205D" w:rsidRDefault="00471A3B">
            <w:pPr>
              <w:cnfStyle w:val="000000000000" w:firstRow="0" w:lastRow="0" w:firstColumn="0" w:lastColumn="0" w:oddVBand="0" w:evenVBand="0" w:oddHBand="0" w:evenHBand="0" w:firstRowFirstColumn="0" w:firstRowLastColumn="0" w:lastRowFirstColumn="0" w:lastRowLastColumn="0"/>
            </w:pPr>
            <w:r>
              <w:t>2 001</w:t>
            </w:r>
          </w:p>
        </w:tc>
        <w:tc>
          <w:tcPr>
            <w:tcW w:w="794" w:type="dxa"/>
          </w:tcPr>
          <w:p w14:paraId="52450443" w14:textId="77777777" w:rsidR="00AB205D" w:rsidRDefault="00471A3B">
            <w:pPr>
              <w:cnfStyle w:val="000000000000" w:firstRow="0" w:lastRow="0" w:firstColumn="0" w:lastColumn="0" w:oddVBand="0" w:evenVBand="0" w:oddHBand="0" w:evenHBand="0" w:firstRowFirstColumn="0" w:firstRowLastColumn="0" w:lastRowFirstColumn="0" w:lastRowLastColumn="0"/>
            </w:pPr>
            <w:r>
              <w:t>2 263</w:t>
            </w:r>
          </w:p>
        </w:tc>
        <w:tc>
          <w:tcPr>
            <w:tcW w:w="794" w:type="dxa"/>
          </w:tcPr>
          <w:p w14:paraId="3CC156D5" w14:textId="77777777" w:rsidR="00AB205D" w:rsidRDefault="00471A3B">
            <w:pPr>
              <w:cnfStyle w:val="000000000000" w:firstRow="0" w:lastRow="0" w:firstColumn="0" w:lastColumn="0" w:oddVBand="0" w:evenVBand="0" w:oddHBand="0" w:evenHBand="0" w:firstRowFirstColumn="0" w:firstRowLastColumn="0" w:lastRowFirstColumn="0" w:lastRowLastColumn="0"/>
            </w:pPr>
            <w:r>
              <w:t>1 257</w:t>
            </w:r>
          </w:p>
        </w:tc>
        <w:tc>
          <w:tcPr>
            <w:tcW w:w="794" w:type="dxa"/>
          </w:tcPr>
          <w:p w14:paraId="602CF0B6" w14:textId="77777777" w:rsidR="00AB205D" w:rsidRDefault="00471A3B">
            <w:pPr>
              <w:cnfStyle w:val="000000000000" w:firstRow="0" w:lastRow="0" w:firstColumn="0" w:lastColumn="0" w:oddVBand="0" w:evenVBand="0" w:oddHBand="0" w:evenHBand="0" w:firstRowFirstColumn="0" w:firstRowLastColumn="0" w:lastRowFirstColumn="0" w:lastRowLastColumn="0"/>
            </w:pPr>
            <w:r>
              <w:t>876</w:t>
            </w:r>
          </w:p>
        </w:tc>
        <w:tc>
          <w:tcPr>
            <w:tcW w:w="794" w:type="dxa"/>
          </w:tcPr>
          <w:p w14:paraId="371B4CF6" w14:textId="77777777" w:rsidR="00AB205D" w:rsidRDefault="00471A3B">
            <w:pPr>
              <w:cnfStyle w:val="000000000000" w:firstRow="0" w:lastRow="0" w:firstColumn="0" w:lastColumn="0" w:oddVBand="0" w:evenVBand="0" w:oddHBand="0" w:evenHBand="0" w:firstRowFirstColumn="0" w:firstRowLastColumn="0" w:lastRowFirstColumn="0" w:lastRowLastColumn="0"/>
            </w:pPr>
            <w:r>
              <w:t>254</w:t>
            </w:r>
          </w:p>
        </w:tc>
      </w:tr>
      <w:tr w:rsidR="009C6724" w14:paraId="4DCA55E4"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7A18A99B" w14:textId="77777777" w:rsidR="00AB205D" w:rsidRDefault="00471A3B">
            <w:r>
              <w:t>Jobs, Skills, Industry and Regions</w:t>
            </w:r>
          </w:p>
        </w:tc>
        <w:tc>
          <w:tcPr>
            <w:tcW w:w="794" w:type="dxa"/>
          </w:tcPr>
          <w:p w14:paraId="1F2FAB47" w14:textId="77777777" w:rsidR="00AB205D" w:rsidRDefault="00471A3B">
            <w:pPr>
              <w:cnfStyle w:val="000000000000" w:firstRow="0" w:lastRow="0" w:firstColumn="0" w:lastColumn="0" w:oddVBand="0" w:evenVBand="0" w:oddHBand="0" w:evenHBand="0" w:firstRowFirstColumn="0" w:firstRowLastColumn="0" w:lastRowFirstColumn="0" w:lastRowLastColumn="0"/>
            </w:pPr>
            <w:r>
              <w:t>219</w:t>
            </w:r>
          </w:p>
        </w:tc>
        <w:tc>
          <w:tcPr>
            <w:tcW w:w="794" w:type="dxa"/>
          </w:tcPr>
          <w:p w14:paraId="02CA81F6" w14:textId="77777777" w:rsidR="00AB205D" w:rsidRDefault="00471A3B">
            <w:pPr>
              <w:cnfStyle w:val="000000000000" w:firstRow="0" w:lastRow="0" w:firstColumn="0" w:lastColumn="0" w:oddVBand="0" w:evenVBand="0" w:oddHBand="0" w:evenHBand="0" w:firstRowFirstColumn="0" w:firstRowLastColumn="0" w:lastRowFirstColumn="0" w:lastRowLastColumn="0"/>
            </w:pPr>
            <w:r>
              <w:t>352</w:t>
            </w:r>
          </w:p>
        </w:tc>
        <w:tc>
          <w:tcPr>
            <w:tcW w:w="794" w:type="dxa"/>
          </w:tcPr>
          <w:p w14:paraId="2DE87291" w14:textId="77777777" w:rsidR="00AB205D" w:rsidRDefault="00471A3B">
            <w:pPr>
              <w:cnfStyle w:val="000000000000" w:firstRow="0" w:lastRow="0" w:firstColumn="0" w:lastColumn="0" w:oddVBand="0" w:evenVBand="0" w:oddHBand="0" w:evenHBand="0" w:firstRowFirstColumn="0" w:firstRowLastColumn="0" w:lastRowFirstColumn="0" w:lastRowLastColumn="0"/>
            </w:pPr>
            <w:r>
              <w:t>176</w:t>
            </w:r>
          </w:p>
        </w:tc>
        <w:tc>
          <w:tcPr>
            <w:tcW w:w="794" w:type="dxa"/>
          </w:tcPr>
          <w:p w14:paraId="497FE0FF" w14:textId="77777777" w:rsidR="00AB205D" w:rsidRDefault="00471A3B">
            <w:pPr>
              <w:cnfStyle w:val="000000000000" w:firstRow="0" w:lastRow="0" w:firstColumn="0" w:lastColumn="0" w:oddVBand="0" w:evenVBand="0" w:oddHBand="0" w:evenHBand="0" w:firstRowFirstColumn="0" w:firstRowLastColumn="0" w:lastRowFirstColumn="0" w:lastRowLastColumn="0"/>
            </w:pPr>
            <w:r>
              <w:t>141</w:t>
            </w:r>
          </w:p>
        </w:tc>
        <w:tc>
          <w:tcPr>
            <w:tcW w:w="794" w:type="dxa"/>
          </w:tcPr>
          <w:p w14:paraId="49E76995" w14:textId="77777777" w:rsidR="00AB205D" w:rsidRDefault="00471A3B">
            <w:pPr>
              <w:cnfStyle w:val="000000000000" w:firstRow="0" w:lastRow="0" w:firstColumn="0" w:lastColumn="0" w:oddVBand="0" w:evenVBand="0" w:oddHBand="0" w:evenHBand="0" w:firstRowFirstColumn="0" w:firstRowLastColumn="0" w:lastRowFirstColumn="0" w:lastRowLastColumn="0"/>
            </w:pPr>
            <w:r>
              <w:t>141</w:t>
            </w:r>
          </w:p>
        </w:tc>
      </w:tr>
      <w:tr w:rsidR="009C6724" w14:paraId="2B13AF89"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664DE0B8" w14:textId="77777777" w:rsidR="00AB205D" w:rsidRDefault="00471A3B">
            <w:r>
              <w:t>Justice and Community Safety</w:t>
            </w:r>
          </w:p>
        </w:tc>
        <w:tc>
          <w:tcPr>
            <w:tcW w:w="794" w:type="dxa"/>
          </w:tcPr>
          <w:p w14:paraId="54B2EB54" w14:textId="77777777" w:rsidR="00AB205D" w:rsidRDefault="00471A3B">
            <w:pPr>
              <w:cnfStyle w:val="000000000000" w:firstRow="0" w:lastRow="0" w:firstColumn="0" w:lastColumn="0" w:oddVBand="0" w:evenVBand="0" w:oddHBand="0" w:evenHBand="0" w:firstRowFirstColumn="0" w:firstRowLastColumn="0" w:lastRowFirstColumn="0" w:lastRowLastColumn="0"/>
            </w:pPr>
            <w:r>
              <w:t>578</w:t>
            </w:r>
          </w:p>
        </w:tc>
        <w:tc>
          <w:tcPr>
            <w:tcW w:w="794" w:type="dxa"/>
          </w:tcPr>
          <w:p w14:paraId="6EFAD259" w14:textId="77777777" w:rsidR="00AB205D" w:rsidRDefault="00471A3B">
            <w:pPr>
              <w:cnfStyle w:val="000000000000" w:firstRow="0" w:lastRow="0" w:firstColumn="0" w:lastColumn="0" w:oddVBand="0" w:evenVBand="0" w:oddHBand="0" w:evenHBand="0" w:firstRowFirstColumn="0" w:firstRowLastColumn="0" w:lastRowFirstColumn="0" w:lastRowLastColumn="0"/>
            </w:pPr>
            <w:r>
              <w:t>585</w:t>
            </w:r>
          </w:p>
        </w:tc>
        <w:tc>
          <w:tcPr>
            <w:tcW w:w="794" w:type="dxa"/>
          </w:tcPr>
          <w:p w14:paraId="2764A28F" w14:textId="77777777" w:rsidR="00AB205D" w:rsidRDefault="00471A3B">
            <w:pPr>
              <w:cnfStyle w:val="000000000000" w:firstRow="0" w:lastRow="0" w:firstColumn="0" w:lastColumn="0" w:oddVBand="0" w:evenVBand="0" w:oddHBand="0" w:evenHBand="0" w:firstRowFirstColumn="0" w:firstRowLastColumn="0" w:lastRowFirstColumn="0" w:lastRowLastColumn="0"/>
            </w:pPr>
            <w:r>
              <w:t>261</w:t>
            </w:r>
          </w:p>
        </w:tc>
        <w:tc>
          <w:tcPr>
            <w:tcW w:w="794" w:type="dxa"/>
          </w:tcPr>
          <w:p w14:paraId="5ABD1619" w14:textId="77777777" w:rsidR="00AB205D" w:rsidRDefault="00471A3B">
            <w:pPr>
              <w:cnfStyle w:val="000000000000" w:firstRow="0" w:lastRow="0" w:firstColumn="0" w:lastColumn="0" w:oddVBand="0" w:evenVBand="0" w:oddHBand="0" w:evenHBand="0" w:firstRowFirstColumn="0" w:firstRowLastColumn="0" w:lastRowFirstColumn="0" w:lastRowLastColumn="0"/>
            </w:pPr>
            <w:r>
              <w:t>138</w:t>
            </w:r>
          </w:p>
        </w:tc>
        <w:tc>
          <w:tcPr>
            <w:tcW w:w="794" w:type="dxa"/>
          </w:tcPr>
          <w:p w14:paraId="2305A83B" w14:textId="77777777" w:rsidR="00AB205D" w:rsidRDefault="00471A3B">
            <w:pPr>
              <w:cnfStyle w:val="000000000000" w:firstRow="0" w:lastRow="0" w:firstColumn="0" w:lastColumn="0" w:oddVBand="0" w:evenVBand="0" w:oddHBand="0" w:evenHBand="0" w:firstRowFirstColumn="0" w:firstRowLastColumn="0" w:lastRowFirstColumn="0" w:lastRowLastColumn="0"/>
            </w:pPr>
            <w:r>
              <w:t>106</w:t>
            </w:r>
          </w:p>
        </w:tc>
      </w:tr>
      <w:tr w:rsidR="009C6724" w14:paraId="33C52A25"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D41D4EA" w14:textId="77777777" w:rsidR="00AB205D" w:rsidRDefault="00471A3B">
            <w:r>
              <w:t>Premier and Cabinet</w:t>
            </w:r>
          </w:p>
        </w:tc>
        <w:tc>
          <w:tcPr>
            <w:tcW w:w="794" w:type="dxa"/>
          </w:tcPr>
          <w:p w14:paraId="5191ED0C" w14:textId="77777777" w:rsidR="00AB205D" w:rsidRDefault="00471A3B">
            <w:pPr>
              <w:cnfStyle w:val="000000000000" w:firstRow="0" w:lastRow="0" w:firstColumn="0" w:lastColumn="0" w:oddVBand="0" w:evenVBand="0" w:oddHBand="0" w:evenHBand="0" w:firstRowFirstColumn="0" w:firstRowLastColumn="0" w:lastRowFirstColumn="0" w:lastRowLastColumn="0"/>
            </w:pPr>
            <w:r>
              <w:t>3</w:t>
            </w:r>
          </w:p>
        </w:tc>
        <w:tc>
          <w:tcPr>
            <w:tcW w:w="794" w:type="dxa"/>
          </w:tcPr>
          <w:p w14:paraId="663FCF9B" w14:textId="77777777" w:rsidR="00AB205D" w:rsidRDefault="00471A3B">
            <w:pPr>
              <w:cnfStyle w:val="000000000000" w:firstRow="0" w:lastRow="0" w:firstColumn="0" w:lastColumn="0" w:oddVBand="0" w:evenVBand="0" w:oddHBand="0" w:evenHBand="0" w:firstRowFirstColumn="0" w:firstRowLastColumn="0" w:lastRowFirstColumn="0" w:lastRowLastColumn="0"/>
            </w:pPr>
            <w:r>
              <w:t>3</w:t>
            </w:r>
          </w:p>
        </w:tc>
        <w:tc>
          <w:tcPr>
            <w:tcW w:w="794" w:type="dxa"/>
          </w:tcPr>
          <w:p w14:paraId="390C5CE1" w14:textId="77777777" w:rsidR="00AB205D" w:rsidRDefault="00471A3B">
            <w:pPr>
              <w:cnfStyle w:val="000000000000" w:firstRow="0" w:lastRow="0" w:firstColumn="0" w:lastColumn="0" w:oddVBand="0" w:evenVBand="0" w:oddHBand="0" w:evenHBand="0" w:firstRowFirstColumn="0" w:firstRowLastColumn="0" w:lastRowFirstColumn="0" w:lastRowLastColumn="0"/>
            </w:pPr>
            <w:r>
              <w:t>4</w:t>
            </w:r>
          </w:p>
        </w:tc>
        <w:tc>
          <w:tcPr>
            <w:tcW w:w="794" w:type="dxa"/>
          </w:tcPr>
          <w:p w14:paraId="2A53E8F9" w14:textId="77777777" w:rsidR="00AB205D" w:rsidRDefault="00471A3B">
            <w:pPr>
              <w:cnfStyle w:val="000000000000" w:firstRow="0" w:lastRow="0" w:firstColumn="0" w:lastColumn="0" w:oddVBand="0" w:evenVBand="0" w:oddHBand="0" w:evenHBand="0" w:firstRowFirstColumn="0" w:firstRowLastColumn="0" w:lastRowFirstColumn="0" w:lastRowLastColumn="0"/>
            </w:pPr>
            <w:r>
              <w:t>5</w:t>
            </w:r>
          </w:p>
        </w:tc>
        <w:tc>
          <w:tcPr>
            <w:tcW w:w="794" w:type="dxa"/>
          </w:tcPr>
          <w:p w14:paraId="701D6C00" w14:textId="77777777" w:rsidR="00AB205D" w:rsidRDefault="00471A3B">
            <w:pPr>
              <w:cnfStyle w:val="000000000000" w:firstRow="0" w:lastRow="0" w:firstColumn="0" w:lastColumn="0" w:oddVBand="0" w:evenVBand="0" w:oddHBand="0" w:evenHBand="0" w:firstRowFirstColumn="0" w:firstRowLastColumn="0" w:lastRowFirstColumn="0" w:lastRowLastColumn="0"/>
            </w:pPr>
            <w:r>
              <w:t>5</w:t>
            </w:r>
          </w:p>
        </w:tc>
      </w:tr>
      <w:tr w:rsidR="009C6724" w14:paraId="3119DF84"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DEEA7E2" w14:textId="77777777" w:rsidR="00AB205D" w:rsidRDefault="00471A3B">
            <w:r>
              <w:t>Transport and Planning</w:t>
            </w:r>
          </w:p>
        </w:tc>
        <w:tc>
          <w:tcPr>
            <w:tcW w:w="794" w:type="dxa"/>
          </w:tcPr>
          <w:p w14:paraId="37AB45CB" w14:textId="77777777" w:rsidR="00AB205D" w:rsidRDefault="00471A3B">
            <w:pPr>
              <w:cnfStyle w:val="000000000000" w:firstRow="0" w:lastRow="0" w:firstColumn="0" w:lastColumn="0" w:oddVBand="0" w:evenVBand="0" w:oddHBand="0" w:evenHBand="0" w:firstRowFirstColumn="0" w:firstRowLastColumn="0" w:lastRowFirstColumn="0" w:lastRowLastColumn="0"/>
            </w:pPr>
            <w:r>
              <w:t>6 635</w:t>
            </w:r>
          </w:p>
        </w:tc>
        <w:tc>
          <w:tcPr>
            <w:tcW w:w="794" w:type="dxa"/>
          </w:tcPr>
          <w:p w14:paraId="40A15B88" w14:textId="77777777" w:rsidR="00AB205D" w:rsidRDefault="00471A3B">
            <w:pPr>
              <w:cnfStyle w:val="000000000000" w:firstRow="0" w:lastRow="0" w:firstColumn="0" w:lastColumn="0" w:oddVBand="0" w:evenVBand="0" w:oddHBand="0" w:evenHBand="0" w:firstRowFirstColumn="0" w:firstRowLastColumn="0" w:lastRowFirstColumn="0" w:lastRowLastColumn="0"/>
            </w:pPr>
            <w:r>
              <w:t>8 970</w:t>
            </w:r>
          </w:p>
        </w:tc>
        <w:tc>
          <w:tcPr>
            <w:tcW w:w="794" w:type="dxa"/>
          </w:tcPr>
          <w:p w14:paraId="094141A2" w14:textId="77777777" w:rsidR="00AB205D" w:rsidRDefault="00471A3B">
            <w:pPr>
              <w:cnfStyle w:val="000000000000" w:firstRow="0" w:lastRow="0" w:firstColumn="0" w:lastColumn="0" w:oddVBand="0" w:evenVBand="0" w:oddHBand="0" w:evenHBand="0" w:firstRowFirstColumn="0" w:firstRowLastColumn="0" w:lastRowFirstColumn="0" w:lastRowLastColumn="0"/>
            </w:pPr>
            <w:r>
              <w:t>5 086</w:t>
            </w:r>
          </w:p>
        </w:tc>
        <w:tc>
          <w:tcPr>
            <w:tcW w:w="794" w:type="dxa"/>
          </w:tcPr>
          <w:p w14:paraId="277F936F" w14:textId="77777777" w:rsidR="00AB205D" w:rsidRDefault="00471A3B">
            <w:pPr>
              <w:cnfStyle w:val="000000000000" w:firstRow="0" w:lastRow="0" w:firstColumn="0" w:lastColumn="0" w:oddVBand="0" w:evenVBand="0" w:oddHBand="0" w:evenHBand="0" w:firstRowFirstColumn="0" w:firstRowLastColumn="0" w:lastRowFirstColumn="0" w:lastRowLastColumn="0"/>
            </w:pPr>
            <w:r>
              <w:t>2 870</w:t>
            </w:r>
          </w:p>
        </w:tc>
        <w:tc>
          <w:tcPr>
            <w:tcW w:w="794" w:type="dxa"/>
          </w:tcPr>
          <w:p w14:paraId="6447C9E9" w14:textId="77777777" w:rsidR="00AB205D" w:rsidRDefault="00471A3B">
            <w:pPr>
              <w:cnfStyle w:val="000000000000" w:firstRow="0" w:lastRow="0" w:firstColumn="0" w:lastColumn="0" w:oddVBand="0" w:evenVBand="0" w:oddHBand="0" w:evenHBand="0" w:firstRowFirstColumn="0" w:firstRowLastColumn="0" w:lastRowFirstColumn="0" w:lastRowLastColumn="0"/>
            </w:pPr>
            <w:r>
              <w:t>819</w:t>
            </w:r>
          </w:p>
        </w:tc>
      </w:tr>
      <w:tr w:rsidR="009C6724" w14:paraId="243B8FF9"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8A085B2" w14:textId="77777777" w:rsidR="00AB205D" w:rsidRDefault="00471A3B">
            <w:r>
              <w:t>Treasury and Finance</w:t>
            </w:r>
          </w:p>
        </w:tc>
        <w:tc>
          <w:tcPr>
            <w:tcW w:w="794" w:type="dxa"/>
          </w:tcPr>
          <w:p w14:paraId="5135E716" w14:textId="77777777" w:rsidR="00AB205D" w:rsidRDefault="00471A3B">
            <w:pPr>
              <w:cnfStyle w:val="000000000000" w:firstRow="0" w:lastRow="0" w:firstColumn="0" w:lastColumn="0" w:oddVBand="0" w:evenVBand="0" w:oddHBand="0" w:evenHBand="0" w:firstRowFirstColumn="0" w:firstRowLastColumn="0" w:lastRowFirstColumn="0" w:lastRowLastColumn="0"/>
            </w:pPr>
            <w:r>
              <w:t>15</w:t>
            </w:r>
          </w:p>
        </w:tc>
        <w:tc>
          <w:tcPr>
            <w:tcW w:w="794" w:type="dxa"/>
          </w:tcPr>
          <w:p w14:paraId="1BEF26A3" w14:textId="77777777" w:rsidR="00AB205D" w:rsidRDefault="00471A3B">
            <w:pPr>
              <w:cnfStyle w:val="000000000000" w:firstRow="0" w:lastRow="0" w:firstColumn="0" w:lastColumn="0" w:oddVBand="0" w:evenVBand="0" w:oddHBand="0" w:evenHBand="0" w:firstRowFirstColumn="0" w:firstRowLastColumn="0" w:lastRowFirstColumn="0" w:lastRowLastColumn="0"/>
            </w:pPr>
            <w:r>
              <w:t>19</w:t>
            </w:r>
          </w:p>
        </w:tc>
        <w:tc>
          <w:tcPr>
            <w:tcW w:w="794" w:type="dxa"/>
          </w:tcPr>
          <w:p w14:paraId="40AA076B" w14:textId="77777777" w:rsidR="00AB205D" w:rsidRDefault="00471A3B">
            <w:pPr>
              <w:cnfStyle w:val="000000000000" w:firstRow="0" w:lastRow="0" w:firstColumn="0" w:lastColumn="0" w:oddVBand="0" w:evenVBand="0" w:oddHBand="0" w:evenHBand="0" w:firstRowFirstColumn="0" w:firstRowLastColumn="0" w:lastRowFirstColumn="0" w:lastRowLastColumn="0"/>
            </w:pPr>
            <w:r>
              <w:t>14</w:t>
            </w:r>
          </w:p>
        </w:tc>
        <w:tc>
          <w:tcPr>
            <w:tcW w:w="794" w:type="dxa"/>
          </w:tcPr>
          <w:p w14:paraId="55EB634B" w14:textId="77777777" w:rsidR="00AB205D" w:rsidRDefault="00471A3B">
            <w:pPr>
              <w:cnfStyle w:val="000000000000" w:firstRow="0" w:lastRow="0" w:firstColumn="0" w:lastColumn="0" w:oddVBand="0" w:evenVBand="0" w:oddHBand="0" w:evenHBand="0" w:firstRowFirstColumn="0" w:firstRowLastColumn="0" w:lastRowFirstColumn="0" w:lastRowLastColumn="0"/>
            </w:pPr>
            <w:r>
              <w:t>6</w:t>
            </w:r>
          </w:p>
        </w:tc>
        <w:tc>
          <w:tcPr>
            <w:tcW w:w="794" w:type="dxa"/>
          </w:tcPr>
          <w:p w14:paraId="424D22C4" w14:textId="77777777" w:rsidR="00AB205D" w:rsidRDefault="00471A3B">
            <w:pPr>
              <w:cnfStyle w:val="000000000000" w:firstRow="0" w:lastRow="0" w:firstColumn="0" w:lastColumn="0" w:oddVBand="0" w:evenVBand="0" w:oddHBand="0" w:evenHBand="0" w:firstRowFirstColumn="0" w:firstRowLastColumn="0" w:lastRowFirstColumn="0" w:lastRowLastColumn="0"/>
            </w:pPr>
            <w:r>
              <w:t>6</w:t>
            </w:r>
          </w:p>
        </w:tc>
      </w:tr>
      <w:tr w:rsidR="009C6724" w14:paraId="7830F075"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1C0F03F9" w14:textId="77777777" w:rsidR="00AB205D" w:rsidRDefault="00471A3B">
            <w:r>
              <w:t>Parliament</w:t>
            </w:r>
          </w:p>
        </w:tc>
        <w:tc>
          <w:tcPr>
            <w:tcW w:w="794" w:type="dxa"/>
          </w:tcPr>
          <w:p w14:paraId="071829FF" w14:textId="77777777" w:rsidR="00AB205D" w:rsidRDefault="00471A3B">
            <w:pPr>
              <w:cnfStyle w:val="000000000000" w:firstRow="0" w:lastRow="0" w:firstColumn="0" w:lastColumn="0" w:oddVBand="0" w:evenVBand="0" w:oddHBand="0" w:evenHBand="0" w:firstRowFirstColumn="0" w:firstRowLastColumn="0" w:lastRowFirstColumn="0" w:lastRowLastColumn="0"/>
            </w:pPr>
            <w:r>
              <w:t>11</w:t>
            </w:r>
          </w:p>
        </w:tc>
        <w:tc>
          <w:tcPr>
            <w:tcW w:w="794" w:type="dxa"/>
          </w:tcPr>
          <w:p w14:paraId="450FDA80" w14:textId="77777777" w:rsidR="00AB205D" w:rsidRDefault="00471A3B">
            <w:pPr>
              <w:cnfStyle w:val="000000000000" w:firstRow="0" w:lastRow="0" w:firstColumn="0" w:lastColumn="0" w:oddVBand="0" w:evenVBand="0" w:oddHBand="0" w:evenHBand="0" w:firstRowFirstColumn="0" w:firstRowLastColumn="0" w:lastRowFirstColumn="0" w:lastRowLastColumn="0"/>
            </w:pPr>
            <w:r>
              <w:t>20</w:t>
            </w:r>
          </w:p>
        </w:tc>
        <w:tc>
          <w:tcPr>
            <w:tcW w:w="794" w:type="dxa"/>
          </w:tcPr>
          <w:p w14:paraId="0C3E498E" w14:textId="77777777" w:rsidR="00AB205D" w:rsidRDefault="00471A3B">
            <w:pPr>
              <w:cnfStyle w:val="000000000000" w:firstRow="0" w:lastRow="0" w:firstColumn="0" w:lastColumn="0" w:oddVBand="0" w:evenVBand="0" w:oddHBand="0" w:evenHBand="0" w:firstRowFirstColumn="0" w:firstRowLastColumn="0" w:lastRowFirstColumn="0" w:lastRowLastColumn="0"/>
            </w:pPr>
            <w:r>
              <w:t>8</w:t>
            </w:r>
          </w:p>
        </w:tc>
        <w:tc>
          <w:tcPr>
            <w:tcW w:w="794" w:type="dxa"/>
          </w:tcPr>
          <w:p w14:paraId="4C987306" w14:textId="77777777" w:rsidR="00AB205D" w:rsidRDefault="00471A3B">
            <w:pPr>
              <w:cnfStyle w:val="000000000000" w:firstRow="0" w:lastRow="0" w:firstColumn="0" w:lastColumn="0" w:oddVBand="0" w:evenVBand="0" w:oddHBand="0" w:evenHBand="0" w:firstRowFirstColumn="0" w:firstRowLastColumn="0" w:lastRowFirstColumn="0" w:lastRowLastColumn="0"/>
            </w:pPr>
            <w:r>
              <w:t>4</w:t>
            </w:r>
          </w:p>
        </w:tc>
        <w:tc>
          <w:tcPr>
            <w:tcW w:w="794" w:type="dxa"/>
          </w:tcPr>
          <w:p w14:paraId="0F818DFE" w14:textId="77777777" w:rsidR="00AB205D" w:rsidRDefault="00471A3B">
            <w:pPr>
              <w:cnfStyle w:val="000000000000" w:firstRow="0" w:lastRow="0" w:firstColumn="0" w:lastColumn="0" w:oddVBand="0" w:evenVBand="0" w:oddHBand="0" w:evenHBand="0" w:firstRowFirstColumn="0" w:firstRowLastColumn="0" w:lastRowFirstColumn="0" w:lastRowLastColumn="0"/>
            </w:pPr>
            <w:r>
              <w:t>5</w:t>
            </w:r>
          </w:p>
        </w:tc>
      </w:tr>
      <w:tr w:rsidR="009C6724" w14:paraId="6EB5E794"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0885B8A3" w14:textId="77777777" w:rsidR="00AB205D" w:rsidRDefault="00471A3B">
            <w:r>
              <w:t>Courts</w:t>
            </w:r>
          </w:p>
        </w:tc>
        <w:tc>
          <w:tcPr>
            <w:tcW w:w="794" w:type="dxa"/>
          </w:tcPr>
          <w:p w14:paraId="0D08E9B5" w14:textId="77777777" w:rsidR="00AB205D" w:rsidRDefault="00471A3B">
            <w:pPr>
              <w:cnfStyle w:val="000000000000" w:firstRow="0" w:lastRow="0" w:firstColumn="0" w:lastColumn="0" w:oddVBand="0" w:evenVBand="0" w:oddHBand="0" w:evenHBand="0" w:firstRowFirstColumn="0" w:firstRowLastColumn="0" w:lastRowFirstColumn="0" w:lastRowLastColumn="0"/>
            </w:pPr>
            <w:r>
              <w:t>292</w:t>
            </w:r>
          </w:p>
        </w:tc>
        <w:tc>
          <w:tcPr>
            <w:tcW w:w="794" w:type="dxa"/>
          </w:tcPr>
          <w:p w14:paraId="29FA89D7" w14:textId="77777777" w:rsidR="00AB205D" w:rsidRDefault="00471A3B">
            <w:pPr>
              <w:cnfStyle w:val="000000000000" w:firstRow="0" w:lastRow="0" w:firstColumn="0" w:lastColumn="0" w:oddVBand="0" w:evenVBand="0" w:oddHBand="0" w:evenHBand="0" w:firstRowFirstColumn="0" w:firstRowLastColumn="0" w:lastRowFirstColumn="0" w:lastRowLastColumn="0"/>
            </w:pPr>
            <w:r>
              <w:t>320</w:t>
            </w:r>
          </w:p>
        </w:tc>
        <w:tc>
          <w:tcPr>
            <w:tcW w:w="794" w:type="dxa"/>
          </w:tcPr>
          <w:p w14:paraId="0B86C2B8" w14:textId="77777777" w:rsidR="00AB205D" w:rsidRDefault="00471A3B">
            <w:pPr>
              <w:cnfStyle w:val="000000000000" w:firstRow="0" w:lastRow="0" w:firstColumn="0" w:lastColumn="0" w:oddVBand="0" w:evenVBand="0" w:oddHBand="0" w:evenHBand="0" w:firstRowFirstColumn="0" w:firstRowLastColumn="0" w:lastRowFirstColumn="0" w:lastRowLastColumn="0"/>
            </w:pPr>
            <w:r>
              <w:t>197</w:t>
            </w:r>
          </w:p>
        </w:tc>
        <w:tc>
          <w:tcPr>
            <w:tcW w:w="794" w:type="dxa"/>
          </w:tcPr>
          <w:p w14:paraId="4BE8B681" w14:textId="77777777" w:rsidR="00AB205D" w:rsidRDefault="00471A3B">
            <w:pPr>
              <w:cnfStyle w:val="000000000000" w:firstRow="0" w:lastRow="0" w:firstColumn="0" w:lastColumn="0" w:oddVBand="0" w:evenVBand="0" w:oddHBand="0" w:evenHBand="0" w:firstRowFirstColumn="0" w:firstRowLastColumn="0" w:lastRowFirstColumn="0" w:lastRowLastColumn="0"/>
            </w:pPr>
            <w:r>
              <w:t>20</w:t>
            </w:r>
          </w:p>
        </w:tc>
        <w:tc>
          <w:tcPr>
            <w:tcW w:w="794" w:type="dxa"/>
          </w:tcPr>
          <w:p w14:paraId="39AE4C67" w14:textId="77777777" w:rsidR="00AB205D" w:rsidRDefault="00471A3B">
            <w:pPr>
              <w:cnfStyle w:val="000000000000" w:firstRow="0" w:lastRow="0" w:firstColumn="0" w:lastColumn="0" w:oddVBand="0" w:evenVBand="0" w:oddHBand="0" w:evenHBand="0" w:firstRowFirstColumn="0" w:firstRowLastColumn="0" w:lastRowFirstColumn="0" w:lastRowLastColumn="0"/>
            </w:pPr>
            <w:r>
              <w:t>22</w:t>
            </w:r>
          </w:p>
        </w:tc>
      </w:tr>
      <w:tr w:rsidR="009C6724" w14:paraId="22E78D58"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538202A3" w14:textId="77777777" w:rsidR="00AB205D" w:rsidRDefault="00471A3B">
            <w:r>
              <w:t>Regulatory bodies and other part funded agencies</w:t>
            </w:r>
            <w:r>
              <w:rPr>
                <w:vertAlign w:val="superscript"/>
              </w:rPr>
              <w:t xml:space="preserve"> (a)</w:t>
            </w:r>
          </w:p>
        </w:tc>
        <w:tc>
          <w:tcPr>
            <w:tcW w:w="794" w:type="dxa"/>
          </w:tcPr>
          <w:p w14:paraId="3DAC1A61" w14:textId="77777777" w:rsidR="00AB205D" w:rsidRDefault="00471A3B">
            <w:pPr>
              <w:cnfStyle w:val="000000000000" w:firstRow="0" w:lastRow="0" w:firstColumn="0" w:lastColumn="0" w:oddVBand="0" w:evenVBand="0" w:oddHBand="0" w:evenHBand="0" w:firstRowFirstColumn="0" w:firstRowLastColumn="0" w:lastRowFirstColumn="0" w:lastRowLastColumn="0"/>
            </w:pPr>
            <w:r>
              <w:t>196</w:t>
            </w:r>
          </w:p>
        </w:tc>
        <w:tc>
          <w:tcPr>
            <w:tcW w:w="794" w:type="dxa"/>
          </w:tcPr>
          <w:p w14:paraId="0E7CDC0D" w14:textId="77777777" w:rsidR="00AB205D" w:rsidRDefault="00471A3B">
            <w:pPr>
              <w:cnfStyle w:val="000000000000" w:firstRow="0" w:lastRow="0" w:firstColumn="0" w:lastColumn="0" w:oddVBand="0" w:evenVBand="0" w:oddHBand="0" w:evenHBand="0" w:firstRowFirstColumn="0" w:firstRowLastColumn="0" w:lastRowFirstColumn="0" w:lastRowLastColumn="0"/>
            </w:pPr>
            <w:r>
              <w:t>181</w:t>
            </w:r>
          </w:p>
        </w:tc>
        <w:tc>
          <w:tcPr>
            <w:tcW w:w="794" w:type="dxa"/>
          </w:tcPr>
          <w:p w14:paraId="671285E8" w14:textId="77777777" w:rsidR="00AB205D" w:rsidRDefault="00471A3B">
            <w:pPr>
              <w:cnfStyle w:val="000000000000" w:firstRow="0" w:lastRow="0" w:firstColumn="0" w:lastColumn="0" w:oddVBand="0" w:evenVBand="0" w:oddHBand="0" w:evenHBand="0" w:firstRowFirstColumn="0" w:firstRowLastColumn="0" w:lastRowFirstColumn="0" w:lastRowLastColumn="0"/>
            </w:pPr>
            <w:r>
              <w:t>167</w:t>
            </w:r>
          </w:p>
        </w:tc>
        <w:tc>
          <w:tcPr>
            <w:tcW w:w="794" w:type="dxa"/>
          </w:tcPr>
          <w:p w14:paraId="4CA81568" w14:textId="77777777" w:rsidR="00AB205D" w:rsidRDefault="00471A3B">
            <w:pPr>
              <w:cnfStyle w:val="000000000000" w:firstRow="0" w:lastRow="0" w:firstColumn="0" w:lastColumn="0" w:oddVBand="0" w:evenVBand="0" w:oddHBand="0" w:evenHBand="0" w:firstRowFirstColumn="0" w:firstRowLastColumn="0" w:lastRowFirstColumn="0" w:lastRowLastColumn="0"/>
            </w:pPr>
            <w:r>
              <w:t>146</w:t>
            </w:r>
          </w:p>
        </w:tc>
        <w:tc>
          <w:tcPr>
            <w:tcW w:w="794" w:type="dxa"/>
          </w:tcPr>
          <w:p w14:paraId="674A27D9" w14:textId="77777777" w:rsidR="00AB205D" w:rsidRDefault="00471A3B">
            <w:pPr>
              <w:cnfStyle w:val="000000000000" w:firstRow="0" w:lastRow="0" w:firstColumn="0" w:lastColumn="0" w:oddVBand="0" w:evenVBand="0" w:oddHBand="0" w:evenHBand="0" w:firstRowFirstColumn="0" w:firstRowLastColumn="0" w:lastRowFirstColumn="0" w:lastRowLastColumn="0"/>
            </w:pPr>
            <w:r>
              <w:t>143</w:t>
            </w:r>
          </w:p>
        </w:tc>
      </w:tr>
      <w:tr w:rsidR="009C6724" w14:paraId="6A6AA5BF"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82636D2" w14:textId="77777777" w:rsidR="00AB205D" w:rsidRDefault="00471A3B">
            <w:r>
              <w:t>Asset contingencies not allocated to departments</w:t>
            </w:r>
            <w:r>
              <w:rPr>
                <w:vertAlign w:val="superscript"/>
              </w:rPr>
              <w:t xml:space="preserve"> (b)</w:t>
            </w:r>
          </w:p>
        </w:tc>
        <w:tc>
          <w:tcPr>
            <w:tcW w:w="794" w:type="dxa"/>
          </w:tcPr>
          <w:p w14:paraId="5D11E590" w14:textId="77777777" w:rsidR="00AB205D" w:rsidRDefault="00471A3B">
            <w:pPr>
              <w:cnfStyle w:val="000000000000" w:firstRow="0" w:lastRow="0" w:firstColumn="0" w:lastColumn="0" w:oddVBand="0" w:evenVBand="0" w:oddHBand="0" w:evenHBand="0" w:firstRowFirstColumn="0" w:firstRowLastColumn="0" w:lastRowFirstColumn="0" w:lastRowLastColumn="0"/>
            </w:pPr>
            <w:r>
              <w:t>6 661</w:t>
            </w:r>
          </w:p>
        </w:tc>
        <w:tc>
          <w:tcPr>
            <w:tcW w:w="794" w:type="dxa"/>
          </w:tcPr>
          <w:p w14:paraId="12A0A5E6" w14:textId="77777777" w:rsidR="00AB205D" w:rsidRDefault="00471A3B">
            <w:pPr>
              <w:cnfStyle w:val="000000000000" w:firstRow="0" w:lastRow="0" w:firstColumn="0" w:lastColumn="0" w:oddVBand="0" w:evenVBand="0" w:oddHBand="0" w:evenHBand="0" w:firstRowFirstColumn="0" w:firstRowLastColumn="0" w:lastRowFirstColumn="0" w:lastRowLastColumn="0"/>
            </w:pPr>
            <w:r>
              <w:t>5 087</w:t>
            </w:r>
          </w:p>
        </w:tc>
        <w:tc>
          <w:tcPr>
            <w:tcW w:w="794" w:type="dxa"/>
          </w:tcPr>
          <w:p w14:paraId="38092134" w14:textId="77777777" w:rsidR="00AB205D" w:rsidRDefault="00471A3B">
            <w:pPr>
              <w:cnfStyle w:val="000000000000" w:firstRow="0" w:lastRow="0" w:firstColumn="0" w:lastColumn="0" w:oddVBand="0" w:evenVBand="0" w:oddHBand="0" w:evenHBand="0" w:firstRowFirstColumn="0" w:firstRowLastColumn="0" w:lastRowFirstColumn="0" w:lastRowLastColumn="0"/>
            </w:pPr>
            <w:r>
              <w:t>7 114</w:t>
            </w:r>
          </w:p>
        </w:tc>
        <w:tc>
          <w:tcPr>
            <w:tcW w:w="794" w:type="dxa"/>
          </w:tcPr>
          <w:p w14:paraId="514B87A7" w14:textId="77777777" w:rsidR="00AB205D" w:rsidRDefault="00471A3B">
            <w:pPr>
              <w:cnfStyle w:val="000000000000" w:firstRow="0" w:lastRow="0" w:firstColumn="0" w:lastColumn="0" w:oddVBand="0" w:evenVBand="0" w:oddHBand="0" w:evenHBand="0" w:firstRowFirstColumn="0" w:firstRowLastColumn="0" w:lastRowFirstColumn="0" w:lastRowLastColumn="0"/>
            </w:pPr>
            <w:r>
              <w:t>10 006</w:t>
            </w:r>
          </w:p>
        </w:tc>
        <w:tc>
          <w:tcPr>
            <w:tcW w:w="794" w:type="dxa"/>
          </w:tcPr>
          <w:p w14:paraId="59A0019C" w14:textId="77777777" w:rsidR="00AB205D" w:rsidRDefault="00471A3B">
            <w:pPr>
              <w:cnfStyle w:val="000000000000" w:firstRow="0" w:lastRow="0" w:firstColumn="0" w:lastColumn="0" w:oddVBand="0" w:evenVBand="0" w:oddHBand="0" w:evenHBand="0" w:firstRowFirstColumn="0" w:firstRowLastColumn="0" w:lastRowFirstColumn="0" w:lastRowLastColumn="0"/>
            </w:pPr>
            <w:r>
              <w:t>11 458</w:t>
            </w:r>
          </w:p>
        </w:tc>
      </w:tr>
      <w:tr w:rsidR="009C6724" w14:paraId="6B925F8A"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186575B1" w14:textId="77777777" w:rsidR="00AB205D" w:rsidRDefault="00471A3B">
            <w:r>
              <w:t>Adjustments</w:t>
            </w:r>
            <w:r>
              <w:rPr>
                <w:vertAlign w:val="superscript"/>
              </w:rPr>
              <w:t xml:space="preserve"> (c)</w:t>
            </w:r>
          </w:p>
        </w:tc>
        <w:tc>
          <w:tcPr>
            <w:tcW w:w="794" w:type="dxa"/>
            <w:tcBorders>
              <w:bottom w:val="single" w:sz="6" w:space="0" w:color="auto"/>
            </w:tcBorders>
          </w:tcPr>
          <w:p w14:paraId="0760D0F6" w14:textId="77777777" w:rsidR="00AB205D" w:rsidRDefault="00471A3B">
            <w:pPr>
              <w:cnfStyle w:val="000000000000" w:firstRow="0" w:lastRow="0" w:firstColumn="0" w:lastColumn="0" w:oddVBand="0" w:evenVBand="0" w:oddHBand="0" w:evenHBand="0" w:firstRowFirstColumn="0" w:firstRowLastColumn="0" w:lastRowFirstColumn="0" w:lastRowLastColumn="0"/>
            </w:pPr>
            <w:r>
              <w:t>(4 130)</w:t>
            </w:r>
          </w:p>
        </w:tc>
        <w:tc>
          <w:tcPr>
            <w:tcW w:w="794" w:type="dxa"/>
            <w:tcBorders>
              <w:bottom w:val="single" w:sz="6" w:space="0" w:color="auto"/>
            </w:tcBorders>
          </w:tcPr>
          <w:p w14:paraId="283D0FB0" w14:textId="77777777" w:rsidR="00AB205D" w:rsidRDefault="00471A3B">
            <w:pPr>
              <w:cnfStyle w:val="000000000000" w:firstRow="0" w:lastRow="0" w:firstColumn="0" w:lastColumn="0" w:oddVBand="0" w:evenVBand="0" w:oddHBand="0" w:evenHBand="0" w:firstRowFirstColumn="0" w:firstRowLastColumn="0" w:lastRowFirstColumn="0" w:lastRowLastColumn="0"/>
            </w:pPr>
            <w:r>
              <w:t>(4 177)</w:t>
            </w:r>
          </w:p>
        </w:tc>
        <w:tc>
          <w:tcPr>
            <w:tcW w:w="794" w:type="dxa"/>
            <w:tcBorders>
              <w:bottom w:val="single" w:sz="6" w:space="0" w:color="auto"/>
            </w:tcBorders>
          </w:tcPr>
          <w:p w14:paraId="498F8DC2" w14:textId="77777777" w:rsidR="00AB205D" w:rsidRDefault="00471A3B">
            <w:pPr>
              <w:cnfStyle w:val="000000000000" w:firstRow="0" w:lastRow="0" w:firstColumn="0" w:lastColumn="0" w:oddVBand="0" w:evenVBand="0" w:oddHBand="0" w:evenHBand="0" w:firstRowFirstColumn="0" w:firstRowLastColumn="0" w:lastRowFirstColumn="0" w:lastRowLastColumn="0"/>
            </w:pPr>
            <w:r>
              <w:t>1 169</w:t>
            </w:r>
          </w:p>
        </w:tc>
        <w:tc>
          <w:tcPr>
            <w:tcW w:w="794" w:type="dxa"/>
            <w:tcBorders>
              <w:bottom w:val="single" w:sz="6" w:space="0" w:color="auto"/>
            </w:tcBorders>
          </w:tcPr>
          <w:p w14:paraId="233E1582" w14:textId="77777777" w:rsidR="00AB205D" w:rsidRDefault="00471A3B">
            <w:pPr>
              <w:cnfStyle w:val="000000000000" w:firstRow="0" w:lastRow="0" w:firstColumn="0" w:lastColumn="0" w:oddVBand="0" w:evenVBand="0" w:oddHBand="0" w:evenHBand="0" w:firstRowFirstColumn="0" w:firstRowLastColumn="0" w:lastRowFirstColumn="0" w:lastRowLastColumn="0"/>
            </w:pPr>
            <w:r>
              <w:t>1 841</w:t>
            </w:r>
          </w:p>
        </w:tc>
        <w:tc>
          <w:tcPr>
            <w:tcW w:w="794" w:type="dxa"/>
            <w:tcBorders>
              <w:bottom w:val="single" w:sz="6" w:space="0" w:color="auto"/>
            </w:tcBorders>
          </w:tcPr>
          <w:p w14:paraId="1FCBE163" w14:textId="77777777" w:rsidR="00AB205D" w:rsidRDefault="00471A3B">
            <w:pPr>
              <w:cnfStyle w:val="000000000000" w:firstRow="0" w:lastRow="0" w:firstColumn="0" w:lastColumn="0" w:oddVBand="0" w:evenVBand="0" w:oddHBand="0" w:evenHBand="0" w:firstRowFirstColumn="0" w:firstRowLastColumn="0" w:lastRowFirstColumn="0" w:lastRowLastColumn="0"/>
            </w:pPr>
            <w:r>
              <w:t>1 473</w:t>
            </w:r>
          </w:p>
        </w:tc>
      </w:tr>
      <w:tr w:rsidR="009C6724" w14:paraId="24165FD3"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69682365" w14:textId="77777777" w:rsidR="00AB205D" w:rsidRDefault="00471A3B">
            <w:r>
              <w:rPr>
                <w:b/>
              </w:rPr>
              <w:t>Total purchases of non</w:t>
            </w:r>
            <w:r>
              <w:rPr>
                <w:b/>
              </w:rPr>
              <w:noBreakHyphen/>
              <w:t>financial assets</w:t>
            </w:r>
          </w:p>
        </w:tc>
        <w:tc>
          <w:tcPr>
            <w:tcW w:w="794" w:type="dxa"/>
            <w:tcBorders>
              <w:top w:val="single" w:sz="6" w:space="0" w:color="auto"/>
              <w:bottom w:val="single" w:sz="12" w:space="0" w:color="auto"/>
            </w:tcBorders>
          </w:tcPr>
          <w:p w14:paraId="5B22DA0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15 647</w:t>
            </w:r>
          </w:p>
        </w:tc>
        <w:tc>
          <w:tcPr>
            <w:tcW w:w="794" w:type="dxa"/>
            <w:tcBorders>
              <w:top w:val="single" w:sz="6" w:space="0" w:color="auto"/>
              <w:bottom w:val="single" w:sz="12" w:space="0" w:color="auto"/>
            </w:tcBorders>
          </w:tcPr>
          <w:p w14:paraId="6313B79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17 170</w:t>
            </w:r>
          </w:p>
        </w:tc>
        <w:tc>
          <w:tcPr>
            <w:tcW w:w="794" w:type="dxa"/>
            <w:tcBorders>
              <w:top w:val="single" w:sz="6" w:space="0" w:color="auto"/>
              <w:bottom w:val="single" w:sz="12" w:space="0" w:color="auto"/>
            </w:tcBorders>
          </w:tcPr>
          <w:p w14:paraId="0677867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17 287</w:t>
            </w:r>
          </w:p>
        </w:tc>
        <w:tc>
          <w:tcPr>
            <w:tcW w:w="794" w:type="dxa"/>
            <w:tcBorders>
              <w:top w:val="single" w:sz="6" w:space="0" w:color="auto"/>
              <w:bottom w:val="single" w:sz="12" w:space="0" w:color="auto"/>
            </w:tcBorders>
          </w:tcPr>
          <w:p w14:paraId="326E057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17 141</w:t>
            </w:r>
          </w:p>
        </w:tc>
        <w:tc>
          <w:tcPr>
            <w:tcW w:w="794" w:type="dxa"/>
            <w:tcBorders>
              <w:top w:val="single" w:sz="6" w:space="0" w:color="auto"/>
              <w:bottom w:val="single" w:sz="12" w:space="0" w:color="auto"/>
            </w:tcBorders>
          </w:tcPr>
          <w:p w14:paraId="41D5046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15 066</w:t>
            </w:r>
          </w:p>
        </w:tc>
      </w:tr>
    </w:tbl>
    <w:p w14:paraId="0966DFEC" w14:textId="77777777" w:rsidR="00AB205D" w:rsidRPr="00DA1FBC" w:rsidRDefault="00471A3B">
      <w:pPr>
        <w:pStyle w:val="Note"/>
      </w:pPr>
      <w:r w:rsidRPr="00DA1FBC">
        <w:t>Notes:</w:t>
      </w:r>
    </w:p>
    <w:p w14:paraId="4AA91209" w14:textId="77777777" w:rsidR="00AB205D" w:rsidRPr="00DA1FBC" w:rsidRDefault="00471A3B">
      <w:pPr>
        <w:pStyle w:val="Note"/>
      </w:pPr>
      <w:r w:rsidRPr="00DA1FBC">
        <w:t>(a)</w:t>
      </w:r>
      <w:r w:rsidRPr="00DA1FBC">
        <w:tab/>
        <w:t>Other general government sector agencies not allocated to departmental portfolios.</w:t>
      </w:r>
    </w:p>
    <w:p w14:paraId="5325D10A" w14:textId="77777777" w:rsidR="00AB205D" w:rsidRPr="00DA1FBC" w:rsidRDefault="00471A3B">
      <w:pPr>
        <w:pStyle w:val="Note"/>
      </w:pPr>
      <w:r w:rsidRPr="00DA1FBC">
        <w:t>(b)</w:t>
      </w:r>
      <w:r w:rsidRPr="00DA1FBC">
        <w:tab/>
        <w:t>The following table provides a breakdown of the general government sector asset contingencies not allocated to departments.</w:t>
      </w:r>
    </w:p>
    <w:p w14:paraId="6CD14A71" w14:textId="77777777" w:rsidR="00AB205D" w:rsidRPr="00DA1FBC" w:rsidRDefault="00471A3B">
      <w:pPr>
        <w:pStyle w:val="Note"/>
      </w:pPr>
      <w:r w:rsidRPr="00DA1FBC">
        <w:t>(c)</w:t>
      </w:r>
      <w:r w:rsidRPr="00DA1FBC">
        <w:tab/>
        <w:t>Mainly comprises estimated departmental underspend, which may be subject to carryover, and estimated underspends by other regulatory bodies and other part</w:t>
      </w:r>
      <w:r w:rsidRPr="00DA1FBC">
        <w:noBreakHyphen/>
        <w:t>funded agencies.</w:t>
      </w:r>
    </w:p>
    <w:p w14:paraId="3421BAC7" w14:textId="77777777" w:rsidR="00AB205D" w:rsidRDefault="00471A3B">
      <w:pPr>
        <w:pStyle w:val="TableHeading"/>
      </w:pPr>
      <w:r w:rsidRPr="00181E4A">
        <w:lastRenderedPageBreak/>
        <w:t xml:space="preserve">General government asset contingencies not allocated to departments </w:t>
      </w:r>
      <w:r w:rsidRPr="00181E4A">
        <w:tab/>
        <w:t>($ million)</w:t>
      </w:r>
    </w:p>
    <w:tbl>
      <w:tblPr>
        <w:tblStyle w:val="DTFTableNumeric"/>
        <w:tblW w:w="7710" w:type="dxa"/>
        <w:tblLayout w:type="fixed"/>
        <w:tblLook w:val="06A0" w:firstRow="1" w:lastRow="0" w:firstColumn="1" w:lastColumn="0" w:noHBand="1" w:noVBand="1"/>
        <w:tblDescription w:val="Type:DtfTable|Workbook:Rawdata\BudgetUpdate\Budget Update\Financial Statements\Manual reports\COFOG\Link_BU_COFOG.xlsx|Table:Asset_contingencies|MergedHeadingRow:1"/>
      </w:tblPr>
      <w:tblGrid>
        <w:gridCol w:w="3740"/>
        <w:gridCol w:w="794"/>
        <w:gridCol w:w="794"/>
        <w:gridCol w:w="794"/>
        <w:gridCol w:w="794"/>
        <w:gridCol w:w="794"/>
      </w:tblGrid>
      <w:tr w:rsidR="009C6724" w14:paraId="1E7F81F7"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0D072329" w14:textId="77777777" w:rsidR="00AB205D" w:rsidRDefault="00AB205D">
            <w:pPr>
              <w:keepNext/>
            </w:pPr>
          </w:p>
        </w:tc>
        <w:tc>
          <w:tcPr>
            <w:tcW w:w="794" w:type="dxa"/>
          </w:tcPr>
          <w:p w14:paraId="65DC9E94"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budget</w:t>
            </w:r>
          </w:p>
        </w:tc>
        <w:tc>
          <w:tcPr>
            <w:tcW w:w="794" w:type="dxa"/>
          </w:tcPr>
          <w:p w14:paraId="5BBC86EE"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revised</w:t>
            </w:r>
          </w:p>
        </w:tc>
        <w:tc>
          <w:tcPr>
            <w:tcW w:w="794" w:type="dxa"/>
          </w:tcPr>
          <w:p w14:paraId="6A913944"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r>
              <w:br/>
              <w:t>estimate</w:t>
            </w:r>
          </w:p>
        </w:tc>
        <w:tc>
          <w:tcPr>
            <w:tcW w:w="794" w:type="dxa"/>
          </w:tcPr>
          <w:p w14:paraId="604ED99E"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4BFF5C2A"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r>
      <w:tr w:rsidR="009C6724" w14:paraId="0B4F58FE"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1CA997E1" w14:textId="77777777" w:rsidR="00AB205D" w:rsidRDefault="00471A3B">
            <w:r>
              <w:t>Decisions made but not yet allocated</w:t>
            </w:r>
            <w:r>
              <w:rPr>
                <w:vertAlign w:val="superscript"/>
              </w:rPr>
              <w:t xml:space="preserve"> (a)(b)</w:t>
            </w:r>
          </w:p>
        </w:tc>
        <w:tc>
          <w:tcPr>
            <w:tcW w:w="794" w:type="dxa"/>
          </w:tcPr>
          <w:p w14:paraId="31346097" w14:textId="77777777" w:rsidR="00AB205D" w:rsidRDefault="00471A3B">
            <w:pPr>
              <w:cnfStyle w:val="000000000000" w:firstRow="0" w:lastRow="0" w:firstColumn="0" w:lastColumn="0" w:oddVBand="0" w:evenVBand="0" w:oddHBand="0" w:evenHBand="0" w:firstRowFirstColumn="0" w:firstRowLastColumn="0" w:lastRowFirstColumn="0" w:lastRowLastColumn="0"/>
            </w:pPr>
            <w:r>
              <w:t>8 785</w:t>
            </w:r>
          </w:p>
        </w:tc>
        <w:tc>
          <w:tcPr>
            <w:tcW w:w="794" w:type="dxa"/>
          </w:tcPr>
          <w:p w14:paraId="416A5021" w14:textId="77777777" w:rsidR="00AB205D" w:rsidRDefault="00471A3B">
            <w:pPr>
              <w:cnfStyle w:val="000000000000" w:firstRow="0" w:lastRow="0" w:firstColumn="0" w:lastColumn="0" w:oddVBand="0" w:evenVBand="0" w:oddHBand="0" w:evenHBand="0" w:firstRowFirstColumn="0" w:firstRowLastColumn="0" w:lastRowFirstColumn="0" w:lastRowLastColumn="0"/>
            </w:pPr>
            <w:r>
              <w:t>5 913</w:t>
            </w:r>
          </w:p>
        </w:tc>
        <w:tc>
          <w:tcPr>
            <w:tcW w:w="794" w:type="dxa"/>
          </w:tcPr>
          <w:p w14:paraId="2690E293" w14:textId="77777777" w:rsidR="00AB205D" w:rsidRDefault="00471A3B">
            <w:pPr>
              <w:cnfStyle w:val="000000000000" w:firstRow="0" w:lastRow="0" w:firstColumn="0" w:lastColumn="0" w:oddVBand="0" w:evenVBand="0" w:oddHBand="0" w:evenHBand="0" w:firstRowFirstColumn="0" w:firstRowLastColumn="0" w:lastRowFirstColumn="0" w:lastRowLastColumn="0"/>
            </w:pPr>
            <w:r>
              <w:t>10 436</w:t>
            </w:r>
          </w:p>
        </w:tc>
        <w:tc>
          <w:tcPr>
            <w:tcW w:w="794" w:type="dxa"/>
          </w:tcPr>
          <w:p w14:paraId="1F50DA0D" w14:textId="77777777" w:rsidR="00AB205D" w:rsidRDefault="00471A3B">
            <w:pPr>
              <w:cnfStyle w:val="000000000000" w:firstRow="0" w:lastRow="0" w:firstColumn="0" w:lastColumn="0" w:oddVBand="0" w:evenVBand="0" w:oddHBand="0" w:evenHBand="0" w:firstRowFirstColumn="0" w:firstRowLastColumn="0" w:lastRowFirstColumn="0" w:lastRowLastColumn="0"/>
            </w:pPr>
            <w:r>
              <w:t>12 915</w:t>
            </w:r>
          </w:p>
        </w:tc>
        <w:tc>
          <w:tcPr>
            <w:tcW w:w="794" w:type="dxa"/>
          </w:tcPr>
          <w:p w14:paraId="7BC9E47C" w14:textId="77777777" w:rsidR="00AB205D" w:rsidRDefault="00471A3B">
            <w:pPr>
              <w:cnfStyle w:val="000000000000" w:firstRow="0" w:lastRow="0" w:firstColumn="0" w:lastColumn="0" w:oddVBand="0" w:evenVBand="0" w:oddHBand="0" w:evenHBand="0" w:firstRowFirstColumn="0" w:firstRowLastColumn="0" w:lastRowFirstColumn="0" w:lastRowLastColumn="0"/>
            </w:pPr>
            <w:r>
              <w:t>13 542</w:t>
            </w:r>
          </w:p>
        </w:tc>
      </w:tr>
      <w:tr w:rsidR="009C6724" w14:paraId="0C130A57"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7E15CA22" w14:textId="77777777" w:rsidR="00AB205D" w:rsidRDefault="00471A3B">
            <w:r>
              <w:t>Funding not allocated to specific purposes</w:t>
            </w:r>
            <w:r>
              <w:rPr>
                <w:vertAlign w:val="superscript"/>
              </w:rPr>
              <w:t xml:space="preserve"> (c)</w:t>
            </w:r>
          </w:p>
        </w:tc>
        <w:tc>
          <w:tcPr>
            <w:tcW w:w="794" w:type="dxa"/>
            <w:tcBorders>
              <w:bottom w:val="single" w:sz="6" w:space="0" w:color="auto"/>
            </w:tcBorders>
          </w:tcPr>
          <w:p w14:paraId="24F86D98"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699121C7"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7FC9CD05" w14:textId="77777777" w:rsidR="00AB205D" w:rsidRDefault="00471A3B">
            <w:pPr>
              <w:cnfStyle w:val="000000000000" w:firstRow="0" w:lastRow="0" w:firstColumn="0" w:lastColumn="0" w:oddVBand="0" w:evenVBand="0" w:oddHBand="0" w:evenHBand="0" w:firstRowFirstColumn="0" w:firstRowLastColumn="0" w:lastRowFirstColumn="0" w:lastRowLastColumn="0"/>
            </w:pPr>
            <w:r>
              <w:t>500</w:t>
            </w:r>
          </w:p>
        </w:tc>
        <w:tc>
          <w:tcPr>
            <w:tcW w:w="794" w:type="dxa"/>
            <w:tcBorders>
              <w:bottom w:val="single" w:sz="6" w:space="0" w:color="auto"/>
            </w:tcBorders>
          </w:tcPr>
          <w:p w14:paraId="7BCB3113" w14:textId="77777777" w:rsidR="00AB205D" w:rsidRDefault="00471A3B">
            <w:pPr>
              <w:cnfStyle w:val="000000000000" w:firstRow="0" w:lastRow="0" w:firstColumn="0" w:lastColumn="0" w:oddVBand="0" w:evenVBand="0" w:oddHBand="0" w:evenHBand="0" w:firstRowFirstColumn="0" w:firstRowLastColumn="0" w:lastRowFirstColumn="0" w:lastRowLastColumn="0"/>
            </w:pPr>
            <w:r>
              <w:t>1 000</w:t>
            </w:r>
          </w:p>
        </w:tc>
        <w:tc>
          <w:tcPr>
            <w:tcW w:w="794" w:type="dxa"/>
            <w:tcBorders>
              <w:bottom w:val="single" w:sz="6" w:space="0" w:color="auto"/>
            </w:tcBorders>
          </w:tcPr>
          <w:p w14:paraId="3D269446" w14:textId="77777777" w:rsidR="00AB205D" w:rsidRDefault="00471A3B">
            <w:pPr>
              <w:cnfStyle w:val="000000000000" w:firstRow="0" w:lastRow="0" w:firstColumn="0" w:lastColumn="0" w:oddVBand="0" w:evenVBand="0" w:oddHBand="0" w:evenHBand="0" w:firstRowFirstColumn="0" w:firstRowLastColumn="0" w:lastRowFirstColumn="0" w:lastRowLastColumn="0"/>
            </w:pPr>
            <w:r>
              <w:t>1 700</w:t>
            </w:r>
          </w:p>
        </w:tc>
      </w:tr>
      <w:tr w:rsidR="009C6724" w14:paraId="28950C72"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518054F7" w14:textId="77777777" w:rsidR="00AB205D" w:rsidRDefault="00471A3B">
            <w:r>
              <w:rPr>
                <w:b/>
              </w:rPr>
              <w:t>Total general government asset contingencies</w:t>
            </w:r>
          </w:p>
        </w:tc>
        <w:tc>
          <w:tcPr>
            <w:tcW w:w="794" w:type="dxa"/>
            <w:tcBorders>
              <w:top w:val="single" w:sz="6" w:space="0" w:color="auto"/>
              <w:bottom w:val="single" w:sz="12" w:space="0" w:color="auto"/>
            </w:tcBorders>
          </w:tcPr>
          <w:p w14:paraId="43486BC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8 785</w:t>
            </w:r>
          </w:p>
        </w:tc>
        <w:tc>
          <w:tcPr>
            <w:tcW w:w="794" w:type="dxa"/>
            <w:tcBorders>
              <w:top w:val="single" w:sz="6" w:space="0" w:color="auto"/>
              <w:bottom w:val="single" w:sz="12" w:space="0" w:color="auto"/>
            </w:tcBorders>
          </w:tcPr>
          <w:p w14:paraId="4C5ADE1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5 913</w:t>
            </w:r>
          </w:p>
        </w:tc>
        <w:tc>
          <w:tcPr>
            <w:tcW w:w="794" w:type="dxa"/>
            <w:tcBorders>
              <w:top w:val="single" w:sz="6" w:space="0" w:color="auto"/>
              <w:bottom w:val="single" w:sz="12" w:space="0" w:color="auto"/>
            </w:tcBorders>
          </w:tcPr>
          <w:p w14:paraId="550833A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10 936</w:t>
            </w:r>
          </w:p>
        </w:tc>
        <w:tc>
          <w:tcPr>
            <w:tcW w:w="794" w:type="dxa"/>
            <w:tcBorders>
              <w:top w:val="single" w:sz="6" w:space="0" w:color="auto"/>
              <w:bottom w:val="single" w:sz="12" w:space="0" w:color="auto"/>
            </w:tcBorders>
          </w:tcPr>
          <w:p w14:paraId="36B1CF0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13 915</w:t>
            </w:r>
          </w:p>
        </w:tc>
        <w:tc>
          <w:tcPr>
            <w:tcW w:w="794" w:type="dxa"/>
            <w:tcBorders>
              <w:top w:val="single" w:sz="6" w:space="0" w:color="auto"/>
              <w:bottom w:val="single" w:sz="12" w:space="0" w:color="auto"/>
            </w:tcBorders>
          </w:tcPr>
          <w:p w14:paraId="5E601F1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15 242</w:t>
            </w:r>
          </w:p>
        </w:tc>
      </w:tr>
    </w:tbl>
    <w:p w14:paraId="790B4482" w14:textId="77777777" w:rsidR="00AB205D" w:rsidRPr="00DA1FBC" w:rsidRDefault="00471A3B">
      <w:pPr>
        <w:pStyle w:val="Note"/>
      </w:pPr>
      <w:r w:rsidRPr="00DA1FBC">
        <w:t>Notes:</w:t>
      </w:r>
    </w:p>
    <w:p w14:paraId="405019ED" w14:textId="77777777" w:rsidR="00AB205D" w:rsidRPr="00DA1FBC" w:rsidRDefault="00471A3B">
      <w:pPr>
        <w:pStyle w:val="Note"/>
      </w:pPr>
      <w:r w:rsidRPr="00DA1FBC">
        <w:t>(a)</w:t>
      </w:r>
      <w:r w:rsidRPr="00DA1FBC">
        <w:tab/>
        <w:t>A provision to account for asset policy decisions for which the funding has yet to be allocated to departments.</w:t>
      </w:r>
    </w:p>
    <w:p w14:paraId="5BFF65BF" w14:textId="77777777" w:rsidR="00AB205D" w:rsidRPr="00DA1FBC" w:rsidRDefault="00471A3B">
      <w:pPr>
        <w:pStyle w:val="Note"/>
      </w:pPr>
      <w:r w:rsidRPr="00DA1FBC">
        <w:t>(b)</w:t>
      </w:r>
      <w:r w:rsidRPr="00DA1FBC">
        <w:tab/>
        <w:t>Asset contingencies include equity contributions to other sectors for capital projects which are included as part of net cash flows from investments in financial assets for policy purposes, rather than purchases of non</w:t>
      </w:r>
      <w:r>
        <w:noBreakHyphen/>
      </w:r>
      <w:r w:rsidRPr="00DA1FBC">
        <w:t>financial assets, on the cash flow statement.</w:t>
      </w:r>
    </w:p>
    <w:p w14:paraId="6FEF499E" w14:textId="77777777" w:rsidR="00AB205D" w:rsidRDefault="00471A3B">
      <w:pPr>
        <w:pStyle w:val="Note"/>
      </w:pPr>
      <w:r w:rsidRPr="00DA1FBC">
        <w:t>(c)</w:t>
      </w:r>
      <w:r w:rsidRPr="00DA1FBC">
        <w:tab/>
        <w:t>An unallocated provision available for future government asset investment decisions.</w:t>
      </w:r>
    </w:p>
    <w:p w14:paraId="49E82E8E" w14:textId="77777777" w:rsidR="00AB205D" w:rsidRPr="00A4543A" w:rsidRDefault="00AB205D"/>
    <w:p w14:paraId="6B4ED6AC" w14:textId="77777777" w:rsidR="00AB205D" w:rsidRPr="00A4543A" w:rsidRDefault="00AB205D"/>
    <w:p w14:paraId="4A8E8390" w14:textId="77777777" w:rsidR="00AB205D" w:rsidRPr="00DD6232" w:rsidRDefault="00471A3B">
      <w:pPr>
        <w:pStyle w:val="Heading3"/>
        <w:rPr>
          <w:sz w:val="21"/>
          <w:szCs w:val="21"/>
        </w:rPr>
      </w:pPr>
      <w:bookmarkStart w:id="58" w:name="_Toc149221034"/>
      <w:r w:rsidRPr="00DD6232">
        <w:rPr>
          <w:sz w:val="21"/>
          <w:szCs w:val="21"/>
        </w:rPr>
        <w:t>Net acquisition of non</w:t>
      </w:r>
      <w:r>
        <w:rPr>
          <w:sz w:val="21"/>
          <w:szCs w:val="21"/>
        </w:rPr>
        <w:noBreakHyphen/>
      </w:r>
      <w:r w:rsidRPr="00DD6232">
        <w:rPr>
          <w:sz w:val="21"/>
          <w:szCs w:val="21"/>
        </w:rPr>
        <w:t>financial assets from transactions</w:t>
      </w:r>
      <w:r w:rsidRPr="00DD6232">
        <w:rPr>
          <w:sz w:val="21"/>
          <w:szCs w:val="21"/>
        </w:rPr>
        <w:tab/>
        <w:t>($ million)</w:t>
      </w:r>
      <w:bookmarkEnd w:id="58"/>
    </w:p>
    <w:tbl>
      <w:tblPr>
        <w:tblStyle w:val="DTFTableNumeric"/>
        <w:tblW w:w="7710" w:type="dxa"/>
        <w:tblLayout w:type="fixed"/>
        <w:tblLook w:val="06A0" w:firstRow="1" w:lastRow="0" w:firstColumn="1" w:lastColumn="0" w:noHBand="1" w:noVBand="1"/>
        <w:tblDescription w:val="Type:DtfTable|Workbook:Rawdata\BudgetUpdate\Budget Update\Financial Statements\SRIMS exports\SRIMS_BU_EFS_OS.xlsx|Table:Net_acquisition_NFA|MergedHeadingRow:1"/>
      </w:tblPr>
      <w:tblGrid>
        <w:gridCol w:w="3740"/>
        <w:gridCol w:w="794"/>
        <w:gridCol w:w="794"/>
        <w:gridCol w:w="794"/>
        <w:gridCol w:w="794"/>
        <w:gridCol w:w="794"/>
      </w:tblGrid>
      <w:tr w:rsidR="009C6724" w14:paraId="14A83E00"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585A078C" w14:textId="77777777" w:rsidR="00AB205D" w:rsidRDefault="00AB205D">
            <w:pPr>
              <w:keepNext/>
            </w:pPr>
          </w:p>
        </w:tc>
        <w:tc>
          <w:tcPr>
            <w:tcW w:w="794" w:type="dxa"/>
          </w:tcPr>
          <w:p w14:paraId="10E076B4"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budget</w:t>
            </w:r>
          </w:p>
        </w:tc>
        <w:tc>
          <w:tcPr>
            <w:tcW w:w="794" w:type="dxa"/>
          </w:tcPr>
          <w:p w14:paraId="0E36A000"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revised</w:t>
            </w:r>
          </w:p>
        </w:tc>
        <w:tc>
          <w:tcPr>
            <w:tcW w:w="794" w:type="dxa"/>
          </w:tcPr>
          <w:p w14:paraId="60A4D3D9"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r>
              <w:br/>
              <w:t>estimate</w:t>
            </w:r>
          </w:p>
        </w:tc>
        <w:tc>
          <w:tcPr>
            <w:tcW w:w="794" w:type="dxa"/>
          </w:tcPr>
          <w:p w14:paraId="2E602059"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38C5BB1E"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r>
      <w:tr w:rsidR="009C6724" w14:paraId="3012AE27"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155F4026" w14:textId="77777777" w:rsidR="00AB205D" w:rsidRDefault="00471A3B">
            <w:r>
              <w:t>Purchases of non</w:t>
            </w:r>
            <w:r>
              <w:noBreakHyphen/>
              <w:t>financial assets (including change in inventories)</w:t>
            </w:r>
          </w:p>
        </w:tc>
        <w:tc>
          <w:tcPr>
            <w:tcW w:w="794" w:type="dxa"/>
          </w:tcPr>
          <w:p w14:paraId="022CA37C" w14:textId="77777777" w:rsidR="00AB205D" w:rsidRDefault="00471A3B">
            <w:pPr>
              <w:cnfStyle w:val="000000000000" w:firstRow="0" w:lastRow="0" w:firstColumn="0" w:lastColumn="0" w:oddVBand="0" w:evenVBand="0" w:oddHBand="0" w:evenHBand="0" w:firstRowFirstColumn="0" w:firstRowLastColumn="0" w:lastRowFirstColumn="0" w:lastRowLastColumn="0"/>
            </w:pPr>
            <w:r>
              <w:t>15 230</w:t>
            </w:r>
          </w:p>
        </w:tc>
        <w:tc>
          <w:tcPr>
            <w:tcW w:w="794" w:type="dxa"/>
          </w:tcPr>
          <w:p w14:paraId="05888FF0" w14:textId="77777777" w:rsidR="00AB205D" w:rsidRDefault="00471A3B">
            <w:pPr>
              <w:cnfStyle w:val="000000000000" w:firstRow="0" w:lastRow="0" w:firstColumn="0" w:lastColumn="0" w:oddVBand="0" w:evenVBand="0" w:oddHBand="0" w:evenHBand="0" w:firstRowFirstColumn="0" w:firstRowLastColumn="0" w:lastRowFirstColumn="0" w:lastRowLastColumn="0"/>
            </w:pPr>
            <w:r>
              <w:t>17 134</w:t>
            </w:r>
          </w:p>
        </w:tc>
        <w:tc>
          <w:tcPr>
            <w:tcW w:w="794" w:type="dxa"/>
          </w:tcPr>
          <w:p w14:paraId="63068D08" w14:textId="77777777" w:rsidR="00AB205D" w:rsidRDefault="00471A3B">
            <w:pPr>
              <w:cnfStyle w:val="000000000000" w:firstRow="0" w:lastRow="0" w:firstColumn="0" w:lastColumn="0" w:oddVBand="0" w:evenVBand="0" w:oddHBand="0" w:evenHBand="0" w:firstRowFirstColumn="0" w:firstRowLastColumn="0" w:lastRowFirstColumn="0" w:lastRowLastColumn="0"/>
            </w:pPr>
            <w:r>
              <w:t>17 273</w:t>
            </w:r>
          </w:p>
        </w:tc>
        <w:tc>
          <w:tcPr>
            <w:tcW w:w="794" w:type="dxa"/>
          </w:tcPr>
          <w:p w14:paraId="0D5D4823" w14:textId="77777777" w:rsidR="00AB205D" w:rsidRDefault="00471A3B">
            <w:pPr>
              <w:cnfStyle w:val="000000000000" w:firstRow="0" w:lastRow="0" w:firstColumn="0" w:lastColumn="0" w:oddVBand="0" w:evenVBand="0" w:oddHBand="0" w:evenHBand="0" w:firstRowFirstColumn="0" w:firstRowLastColumn="0" w:lastRowFirstColumn="0" w:lastRowLastColumn="0"/>
            </w:pPr>
            <w:r>
              <w:t>17 129</w:t>
            </w:r>
          </w:p>
        </w:tc>
        <w:tc>
          <w:tcPr>
            <w:tcW w:w="794" w:type="dxa"/>
          </w:tcPr>
          <w:p w14:paraId="4EA521E8" w14:textId="77777777" w:rsidR="00AB205D" w:rsidRDefault="00471A3B">
            <w:pPr>
              <w:cnfStyle w:val="000000000000" w:firstRow="0" w:lastRow="0" w:firstColumn="0" w:lastColumn="0" w:oddVBand="0" w:evenVBand="0" w:oddHBand="0" w:evenHBand="0" w:firstRowFirstColumn="0" w:firstRowLastColumn="0" w:lastRowFirstColumn="0" w:lastRowLastColumn="0"/>
            </w:pPr>
            <w:r>
              <w:t>15 057</w:t>
            </w:r>
          </w:p>
        </w:tc>
      </w:tr>
      <w:tr w:rsidR="009C6724" w14:paraId="09630A6C"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57AFE515" w14:textId="77777777" w:rsidR="00AB205D" w:rsidRDefault="00471A3B">
            <w:r>
              <w:t>Less: Sales of non</w:t>
            </w:r>
            <w:r>
              <w:noBreakHyphen/>
              <w:t>financial assets</w:t>
            </w:r>
          </w:p>
        </w:tc>
        <w:tc>
          <w:tcPr>
            <w:tcW w:w="794" w:type="dxa"/>
          </w:tcPr>
          <w:p w14:paraId="11F44B72" w14:textId="77777777" w:rsidR="00AB205D" w:rsidRDefault="00471A3B">
            <w:pPr>
              <w:cnfStyle w:val="000000000000" w:firstRow="0" w:lastRow="0" w:firstColumn="0" w:lastColumn="0" w:oddVBand="0" w:evenVBand="0" w:oddHBand="0" w:evenHBand="0" w:firstRowFirstColumn="0" w:firstRowLastColumn="0" w:lastRowFirstColumn="0" w:lastRowLastColumn="0"/>
            </w:pPr>
            <w:r>
              <w:t>(545)</w:t>
            </w:r>
          </w:p>
        </w:tc>
        <w:tc>
          <w:tcPr>
            <w:tcW w:w="794" w:type="dxa"/>
          </w:tcPr>
          <w:p w14:paraId="63FF0EB5" w14:textId="77777777" w:rsidR="00AB205D" w:rsidRDefault="00471A3B">
            <w:pPr>
              <w:cnfStyle w:val="000000000000" w:firstRow="0" w:lastRow="0" w:firstColumn="0" w:lastColumn="0" w:oddVBand="0" w:evenVBand="0" w:oddHBand="0" w:evenHBand="0" w:firstRowFirstColumn="0" w:firstRowLastColumn="0" w:lastRowFirstColumn="0" w:lastRowLastColumn="0"/>
            </w:pPr>
            <w:r>
              <w:t>(570)</w:t>
            </w:r>
          </w:p>
        </w:tc>
        <w:tc>
          <w:tcPr>
            <w:tcW w:w="794" w:type="dxa"/>
          </w:tcPr>
          <w:p w14:paraId="4AE41BBB" w14:textId="77777777" w:rsidR="00AB205D" w:rsidRDefault="00471A3B">
            <w:pPr>
              <w:cnfStyle w:val="000000000000" w:firstRow="0" w:lastRow="0" w:firstColumn="0" w:lastColumn="0" w:oddVBand="0" w:evenVBand="0" w:oddHBand="0" w:evenHBand="0" w:firstRowFirstColumn="0" w:firstRowLastColumn="0" w:lastRowFirstColumn="0" w:lastRowLastColumn="0"/>
            </w:pPr>
            <w:r>
              <w:t>(585)</w:t>
            </w:r>
          </w:p>
        </w:tc>
        <w:tc>
          <w:tcPr>
            <w:tcW w:w="794" w:type="dxa"/>
          </w:tcPr>
          <w:p w14:paraId="2C08B6F1" w14:textId="77777777" w:rsidR="00AB205D" w:rsidRDefault="00471A3B">
            <w:pPr>
              <w:cnfStyle w:val="000000000000" w:firstRow="0" w:lastRow="0" w:firstColumn="0" w:lastColumn="0" w:oddVBand="0" w:evenVBand="0" w:oddHBand="0" w:evenHBand="0" w:firstRowFirstColumn="0" w:firstRowLastColumn="0" w:lastRowFirstColumn="0" w:lastRowLastColumn="0"/>
            </w:pPr>
            <w:r>
              <w:t>(735)</w:t>
            </w:r>
          </w:p>
        </w:tc>
        <w:tc>
          <w:tcPr>
            <w:tcW w:w="794" w:type="dxa"/>
          </w:tcPr>
          <w:p w14:paraId="655F0581" w14:textId="77777777" w:rsidR="00AB205D" w:rsidRDefault="00471A3B">
            <w:pPr>
              <w:cnfStyle w:val="000000000000" w:firstRow="0" w:lastRow="0" w:firstColumn="0" w:lastColumn="0" w:oddVBand="0" w:evenVBand="0" w:oddHBand="0" w:evenHBand="0" w:firstRowFirstColumn="0" w:firstRowLastColumn="0" w:lastRowFirstColumn="0" w:lastRowLastColumn="0"/>
            </w:pPr>
            <w:r>
              <w:t>(466)</w:t>
            </w:r>
          </w:p>
        </w:tc>
      </w:tr>
      <w:tr w:rsidR="009C6724" w14:paraId="47B94B2D"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7937B92" w14:textId="77777777" w:rsidR="00AB205D" w:rsidRDefault="00471A3B">
            <w:r>
              <w:t>Less: Depreciation and amortisation</w:t>
            </w:r>
          </w:p>
        </w:tc>
        <w:tc>
          <w:tcPr>
            <w:tcW w:w="794" w:type="dxa"/>
          </w:tcPr>
          <w:p w14:paraId="2FF85B91" w14:textId="77777777" w:rsidR="00AB205D" w:rsidRDefault="00471A3B">
            <w:pPr>
              <w:cnfStyle w:val="000000000000" w:firstRow="0" w:lastRow="0" w:firstColumn="0" w:lastColumn="0" w:oddVBand="0" w:evenVBand="0" w:oddHBand="0" w:evenHBand="0" w:firstRowFirstColumn="0" w:firstRowLastColumn="0" w:lastRowFirstColumn="0" w:lastRowLastColumn="0"/>
            </w:pPr>
            <w:r>
              <w:t>(4 890)</w:t>
            </w:r>
          </w:p>
        </w:tc>
        <w:tc>
          <w:tcPr>
            <w:tcW w:w="794" w:type="dxa"/>
          </w:tcPr>
          <w:p w14:paraId="65DDA71C" w14:textId="77777777" w:rsidR="00AB205D" w:rsidRDefault="00471A3B">
            <w:pPr>
              <w:cnfStyle w:val="000000000000" w:firstRow="0" w:lastRow="0" w:firstColumn="0" w:lastColumn="0" w:oddVBand="0" w:evenVBand="0" w:oddHBand="0" w:evenHBand="0" w:firstRowFirstColumn="0" w:firstRowLastColumn="0" w:lastRowFirstColumn="0" w:lastRowLastColumn="0"/>
            </w:pPr>
            <w:r>
              <w:t>(4 897)</w:t>
            </w:r>
          </w:p>
        </w:tc>
        <w:tc>
          <w:tcPr>
            <w:tcW w:w="794" w:type="dxa"/>
          </w:tcPr>
          <w:p w14:paraId="0360CA6C" w14:textId="77777777" w:rsidR="00AB205D" w:rsidRDefault="00471A3B">
            <w:pPr>
              <w:cnfStyle w:val="000000000000" w:firstRow="0" w:lastRow="0" w:firstColumn="0" w:lastColumn="0" w:oddVBand="0" w:evenVBand="0" w:oddHBand="0" w:evenHBand="0" w:firstRowFirstColumn="0" w:firstRowLastColumn="0" w:lastRowFirstColumn="0" w:lastRowLastColumn="0"/>
            </w:pPr>
            <w:r>
              <w:t>(5 037)</w:t>
            </w:r>
          </w:p>
        </w:tc>
        <w:tc>
          <w:tcPr>
            <w:tcW w:w="794" w:type="dxa"/>
          </w:tcPr>
          <w:p w14:paraId="33423E44" w14:textId="77777777" w:rsidR="00AB205D" w:rsidRDefault="00471A3B">
            <w:pPr>
              <w:cnfStyle w:val="000000000000" w:firstRow="0" w:lastRow="0" w:firstColumn="0" w:lastColumn="0" w:oddVBand="0" w:evenVBand="0" w:oddHBand="0" w:evenHBand="0" w:firstRowFirstColumn="0" w:firstRowLastColumn="0" w:lastRowFirstColumn="0" w:lastRowLastColumn="0"/>
            </w:pPr>
            <w:r>
              <w:t>(5 348)</w:t>
            </w:r>
          </w:p>
        </w:tc>
        <w:tc>
          <w:tcPr>
            <w:tcW w:w="794" w:type="dxa"/>
          </w:tcPr>
          <w:p w14:paraId="0F5B96EA" w14:textId="77777777" w:rsidR="00AB205D" w:rsidRDefault="00471A3B">
            <w:pPr>
              <w:cnfStyle w:val="000000000000" w:firstRow="0" w:lastRow="0" w:firstColumn="0" w:lastColumn="0" w:oddVBand="0" w:evenVBand="0" w:oddHBand="0" w:evenHBand="0" w:firstRowFirstColumn="0" w:firstRowLastColumn="0" w:lastRowFirstColumn="0" w:lastRowLastColumn="0"/>
            </w:pPr>
            <w:r>
              <w:t>(5 557)</w:t>
            </w:r>
          </w:p>
        </w:tc>
      </w:tr>
      <w:tr w:rsidR="009C6724" w14:paraId="04C140A9"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2A85D1B8" w14:textId="77777777" w:rsidR="00AB205D" w:rsidRDefault="00471A3B">
            <w:r>
              <w:t>Less: Other movements in non</w:t>
            </w:r>
            <w:r>
              <w:noBreakHyphen/>
              <w:t>financial assets</w:t>
            </w:r>
            <w:r>
              <w:rPr>
                <w:vertAlign w:val="superscript"/>
              </w:rPr>
              <w:t xml:space="preserve"> (a)(b)</w:t>
            </w:r>
          </w:p>
        </w:tc>
        <w:tc>
          <w:tcPr>
            <w:tcW w:w="794" w:type="dxa"/>
            <w:tcBorders>
              <w:bottom w:val="single" w:sz="6" w:space="0" w:color="auto"/>
            </w:tcBorders>
          </w:tcPr>
          <w:p w14:paraId="6ACB478C" w14:textId="77777777" w:rsidR="00AB205D" w:rsidRDefault="00471A3B">
            <w:pPr>
              <w:cnfStyle w:val="000000000000" w:firstRow="0" w:lastRow="0" w:firstColumn="0" w:lastColumn="0" w:oddVBand="0" w:evenVBand="0" w:oddHBand="0" w:evenHBand="0" w:firstRowFirstColumn="0" w:firstRowLastColumn="0" w:lastRowFirstColumn="0" w:lastRowLastColumn="0"/>
            </w:pPr>
            <w:r>
              <w:t>(2 757)</w:t>
            </w:r>
          </w:p>
        </w:tc>
        <w:tc>
          <w:tcPr>
            <w:tcW w:w="794" w:type="dxa"/>
            <w:tcBorders>
              <w:bottom w:val="single" w:sz="6" w:space="0" w:color="auto"/>
            </w:tcBorders>
          </w:tcPr>
          <w:p w14:paraId="1384BF8C" w14:textId="77777777" w:rsidR="00AB205D" w:rsidRDefault="00471A3B">
            <w:pPr>
              <w:cnfStyle w:val="000000000000" w:firstRow="0" w:lastRow="0" w:firstColumn="0" w:lastColumn="0" w:oddVBand="0" w:evenVBand="0" w:oddHBand="0" w:evenHBand="0" w:firstRowFirstColumn="0" w:firstRowLastColumn="0" w:lastRowFirstColumn="0" w:lastRowLastColumn="0"/>
            </w:pPr>
            <w:r>
              <w:t>(1 875)</w:t>
            </w:r>
          </w:p>
        </w:tc>
        <w:tc>
          <w:tcPr>
            <w:tcW w:w="794" w:type="dxa"/>
            <w:tcBorders>
              <w:bottom w:val="single" w:sz="6" w:space="0" w:color="auto"/>
            </w:tcBorders>
          </w:tcPr>
          <w:p w14:paraId="66B510BC" w14:textId="77777777" w:rsidR="00AB205D" w:rsidRDefault="00471A3B">
            <w:pPr>
              <w:cnfStyle w:val="000000000000" w:firstRow="0" w:lastRow="0" w:firstColumn="0" w:lastColumn="0" w:oddVBand="0" w:evenVBand="0" w:oddHBand="0" w:evenHBand="0" w:firstRowFirstColumn="0" w:firstRowLastColumn="0" w:lastRowFirstColumn="0" w:lastRowLastColumn="0"/>
            </w:pPr>
            <w:r>
              <w:t>(2 812)</w:t>
            </w:r>
          </w:p>
        </w:tc>
        <w:tc>
          <w:tcPr>
            <w:tcW w:w="794" w:type="dxa"/>
            <w:tcBorders>
              <w:bottom w:val="single" w:sz="6" w:space="0" w:color="auto"/>
            </w:tcBorders>
          </w:tcPr>
          <w:p w14:paraId="4B4FE2F3" w14:textId="77777777" w:rsidR="00AB205D" w:rsidRDefault="00471A3B">
            <w:pPr>
              <w:cnfStyle w:val="000000000000" w:firstRow="0" w:lastRow="0" w:firstColumn="0" w:lastColumn="0" w:oddVBand="0" w:evenVBand="0" w:oddHBand="0" w:evenHBand="0" w:firstRowFirstColumn="0" w:firstRowLastColumn="0" w:lastRowFirstColumn="0" w:lastRowLastColumn="0"/>
            </w:pPr>
            <w:r>
              <w:t>(20 875)</w:t>
            </w:r>
          </w:p>
        </w:tc>
        <w:tc>
          <w:tcPr>
            <w:tcW w:w="794" w:type="dxa"/>
            <w:tcBorders>
              <w:bottom w:val="single" w:sz="6" w:space="0" w:color="auto"/>
            </w:tcBorders>
          </w:tcPr>
          <w:p w14:paraId="52C25845" w14:textId="77777777" w:rsidR="00AB205D" w:rsidRDefault="00471A3B">
            <w:pPr>
              <w:cnfStyle w:val="000000000000" w:firstRow="0" w:lastRow="0" w:firstColumn="0" w:lastColumn="0" w:oddVBand="0" w:evenVBand="0" w:oddHBand="0" w:evenHBand="0" w:firstRowFirstColumn="0" w:firstRowLastColumn="0" w:lastRowFirstColumn="0" w:lastRowLastColumn="0"/>
            </w:pPr>
            <w:r>
              <w:t>(3 039)</w:t>
            </w:r>
          </w:p>
        </w:tc>
      </w:tr>
      <w:tr w:rsidR="009C6724" w14:paraId="6B43B96E"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04DA54F6" w14:textId="77777777" w:rsidR="00AB205D" w:rsidRDefault="00471A3B">
            <w:r>
              <w:rPr>
                <w:b/>
              </w:rPr>
              <w:t>Total net acquisition of non</w:t>
            </w:r>
            <w:r>
              <w:rPr>
                <w:b/>
              </w:rPr>
              <w:noBreakHyphen/>
              <w:t>financial assets from transactions</w:t>
            </w:r>
          </w:p>
        </w:tc>
        <w:tc>
          <w:tcPr>
            <w:tcW w:w="794" w:type="dxa"/>
            <w:tcBorders>
              <w:top w:val="single" w:sz="6" w:space="0" w:color="auto"/>
              <w:bottom w:val="single" w:sz="12" w:space="0" w:color="auto"/>
            </w:tcBorders>
          </w:tcPr>
          <w:p w14:paraId="46FA125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7 039</w:t>
            </w:r>
          </w:p>
        </w:tc>
        <w:tc>
          <w:tcPr>
            <w:tcW w:w="794" w:type="dxa"/>
            <w:tcBorders>
              <w:top w:val="single" w:sz="6" w:space="0" w:color="auto"/>
              <w:bottom w:val="single" w:sz="12" w:space="0" w:color="auto"/>
            </w:tcBorders>
          </w:tcPr>
          <w:p w14:paraId="029F986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9 792</w:t>
            </w:r>
          </w:p>
        </w:tc>
        <w:tc>
          <w:tcPr>
            <w:tcW w:w="794" w:type="dxa"/>
            <w:tcBorders>
              <w:top w:val="single" w:sz="6" w:space="0" w:color="auto"/>
              <w:bottom w:val="single" w:sz="12" w:space="0" w:color="auto"/>
            </w:tcBorders>
          </w:tcPr>
          <w:p w14:paraId="3FA6BC1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8 840</w:t>
            </w:r>
          </w:p>
        </w:tc>
        <w:tc>
          <w:tcPr>
            <w:tcW w:w="794" w:type="dxa"/>
            <w:tcBorders>
              <w:top w:val="single" w:sz="6" w:space="0" w:color="auto"/>
              <w:bottom w:val="single" w:sz="12" w:space="0" w:color="auto"/>
            </w:tcBorders>
          </w:tcPr>
          <w:p w14:paraId="7A8A0D2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(9 829)</w:t>
            </w:r>
          </w:p>
        </w:tc>
        <w:tc>
          <w:tcPr>
            <w:tcW w:w="794" w:type="dxa"/>
            <w:tcBorders>
              <w:top w:val="single" w:sz="6" w:space="0" w:color="auto"/>
              <w:bottom w:val="single" w:sz="12" w:space="0" w:color="auto"/>
            </w:tcBorders>
          </w:tcPr>
          <w:p w14:paraId="1D268ED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5 995</w:t>
            </w:r>
          </w:p>
        </w:tc>
      </w:tr>
    </w:tbl>
    <w:p w14:paraId="202DA88C" w14:textId="77777777" w:rsidR="00AB205D" w:rsidRPr="00DA1FBC" w:rsidRDefault="00471A3B">
      <w:pPr>
        <w:pStyle w:val="Note"/>
      </w:pPr>
      <w:r w:rsidRPr="00DA1FBC">
        <w:t>Notes:</w:t>
      </w:r>
    </w:p>
    <w:p w14:paraId="12A7D8CE" w14:textId="77777777" w:rsidR="00AB205D" w:rsidRPr="00DA1FBC" w:rsidRDefault="00471A3B">
      <w:pPr>
        <w:pStyle w:val="Note"/>
      </w:pPr>
      <w:bookmarkStart w:id="59" w:name="_Hlk5278972"/>
      <w:r w:rsidRPr="00DA1FBC">
        <w:t>(a)</w:t>
      </w:r>
      <w:r w:rsidRPr="00DA1FBC">
        <w:tab/>
        <w:t>Other movements in non</w:t>
      </w:r>
      <w:r>
        <w:noBreakHyphen/>
      </w:r>
      <w:r w:rsidRPr="00DA1FBC">
        <w:t>financial assets includes transferring fixed assets to other sectors of government, recognising the right</w:t>
      </w:r>
      <w:r w:rsidRPr="00DA1FBC">
        <w:noBreakHyphen/>
        <w:t>of</w:t>
      </w:r>
      <w:r w:rsidRPr="00DA1FBC">
        <w:noBreakHyphen/>
        <w:t xml:space="preserve">use assets under lease arrangements, and recognising service concession arrangements, including from public private partnerships. </w:t>
      </w:r>
    </w:p>
    <w:bookmarkEnd w:id="59"/>
    <w:p w14:paraId="4C35176C" w14:textId="77777777" w:rsidR="00AB205D" w:rsidRPr="00DA1FBC" w:rsidRDefault="00471A3B">
      <w:pPr>
        <w:pStyle w:val="Note"/>
      </w:pPr>
      <w:r w:rsidRPr="00DA1FBC">
        <w:t>(b)</w:t>
      </w:r>
      <w:r w:rsidRPr="00DA1FBC">
        <w:tab/>
      </w:r>
      <w:bookmarkStart w:id="60" w:name="_Hlk5279049"/>
      <w:r w:rsidRPr="00DA1FBC">
        <w:t>The public private partnerships across the budget and forward estimates relate to the High Capacity Metro Trains</w:t>
      </w:r>
      <w:r>
        <w:t>,</w:t>
      </w:r>
      <w:r w:rsidRPr="00DA1FBC" w:rsidDel="007B7C20">
        <w:t xml:space="preserve"> </w:t>
      </w:r>
      <w:r w:rsidRPr="00DA1FBC">
        <w:t>the</w:t>
      </w:r>
      <w:r>
        <w:t> </w:t>
      </w:r>
      <w:r w:rsidRPr="00DA1FBC">
        <w:t>Metro</w:t>
      </w:r>
      <w:r>
        <w:t> </w:t>
      </w:r>
      <w:r w:rsidRPr="00DA1FBC">
        <w:t xml:space="preserve">Tunnel, the new Footscray Hospital, </w:t>
      </w:r>
      <w:r>
        <w:t xml:space="preserve">the new Melton Hospital, the </w:t>
      </w:r>
      <w:r w:rsidRPr="00DA1FBC">
        <w:t>Frankston Hospital Redevelopment</w:t>
      </w:r>
      <w:bookmarkEnd w:id="60"/>
      <w:r>
        <w:t xml:space="preserve"> and </w:t>
      </w:r>
      <w:r>
        <w:br/>
        <w:t>the West Gate Tunnel.</w:t>
      </w:r>
      <w:r w:rsidRPr="00DA1FBC">
        <w:t xml:space="preserve"> </w:t>
      </w:r>
    </w:p>
    <w:p w14:paraId="2BD07A1B" w14:textId="77777777" w:rsidR="00AB205D" w:rsidRPr="00DA1FBC" w:rsidRDefault="00AB205D"/>
    <w:bookmarkEnd w:id="50"/>
    <w:p w14:paraId="77E9188D" w14:textId="77777777" w:rsidR="00AB205D" w:rsidRDefault="00AB205D">
      <w:pPr>
        <w:sectPr w:rsidR="00AB205D" w:rsidSect="00570639">
          <w:headerReference w:type="even" r:id="rId65"/>
          <w:headerReference w:type="default" r:id="rId66"/>
          <w:footerReference w:type="even" r:id="rId67"/>
          <w:headerReference w:type="first" r:id="rId68"/>
          <w:footerReference w:type="first" r:id="rId69"/>
          <w:type w:val="continuous"/>
          <w:pgSz w:w="9979" w:h="14175" w:code="34"/>
          <w:pgMar w:top="1134" w:right="1134" w:bottom="1134" w:left="1134" w:header="624" w:footer="567" w:gutter="0"/>
          <w:cols w:space="708"/>
          <w:docGrid w:linePitch="360"/>
        </w:sectPr>
      </w:pPr>
    </w:p>
    <w:p w14:paraId="445FC2A6" w14:textId="77777777" w:rsidR="00AB205D" w:rsidRDefault="00471A3B" w:rsidP="00FA005E">
      <w:pPr>
        <w:pStyle w:val="Heading2"/>
        <w:pageBreakBefore/>
        <w:spacing w:before="0"/>
      </w:pPr>
      <w:bookmarkStart w:id="61" w:name="Section_4"/>
      <w:r w:rsidRPr="00890874">
        <w:lastRenderedPageBreak/>
        <w:t>Major assets and investments</w:t>
      </w:r>
    </w:p>
    <w:p w14:paraId="28BB23A9" w14:textId="77777777" w:rsidR="00AB205D" w:rsidRDefault="00AB205D">
      <w:pPr>
        <w:pStyle w:val="Heading30"/>
        <w:spacing w:before="0"/>
        <w:sectPr w:rsidR="00AB205D" w:rsidSect="00570639">
          <w:headerReference w:type="even" r:id="rId70"/>
          <w:headerReference w:type="default" r:id="rId71"/>
          <w:footerReference w:type="even" r:id="rId72"/>
          <w:footerReference w:type="default" r:id="rId73"/>
          <w:headerReference w:type="first" r:id="rId74"/>
          <w:footerReference w:type="first" r:id="rId75"/>
          <w:type w:val="continuous"/>
          <w:pgSz w:w="9979" w:h="14175" w:code="34"/>
          <w:pgMar w:top="1134" w:right="1134" w:bottom="1134" w:left="1134" w:header="624" w:footer="567" w:gutter="0"/>
          <w:cols w:space="708"/>
          <w:docGrid w:linePitch="360"/>
        </w:sectPr>
      </w:pPr>
    </w:p>
    <w:p w14:paraId="2E53DD91" w14:textId="77777777" w:rsidR="00AB205D" w:rsidRPr="00CB3BFE" w:rsidRDefault="00471A3B">
      <w:pPr>
        <w:pStyle w:val="Heading30"/>
      </w:pPr>
      <w:r w:rsidRPr="00890874">
        <w:t>Introduction</w:t>
      </w:r>
    </w:p>
    <w:p w14:paraId="6267CEFA" w14:textId="77777777" w:rsidR="00AB205D" w:rsidRDefault="00471A3B">
      <w:r>
        <w:t xml:space="preserve">This </w:t>
      </w:r>
      <w:r w:rsidRPr="00890874">
        <w:t>section</w:t>
      </w:r>
      <w:r>
        <w:t xml:space="preserve"> outlines the major assets that the general government sector controls </w:t>
      </w:r>
      <w:r w:rsidRPr="00CB3BFE">
        <w:t>reflecting</w:t>
      </w:r>
      <w:r>
        <w:t xml:space="preserve"> investing activities in the previous year, current year and future years.</w:t>
      </w:r>
    </w:p>
    <w:p w14:paraId="437C3BB7" w14:textId="77777777" w:rsidR="00AB205D" w:rsidRPr="00CB3BFE" w:rsidRDefault="00471A3B">
      <w:pPr>
        <w:pStyle w:val="Heading30"/>
      </w:pPr>
      <w:r>
        <w:br w:type="column"/>
      </w:r>
      <w:r w:rsidRPr="00890874">
        <w:t>Structure</w:t>
      </w:r>
    </w:p>
    <w:p w14:paraId="100BAEBB" w14:textId="34FB8BD7" w:rsidR="00AB205D" w:rsidRDefault="00471A3B">
      <w:pPr>
        <w:pStyle w:val="TOC9"/>
        <w:rPr>
          <w:rFonts w:eastAsiaTheme="minorEastAsia"/>
          <w:noProof/>
          <w:sz w:val="22"/>
          <w:lang w:eastAsia="en-AU"/>
        </w:rPr>
      </w:pPr>
      <w:r>
        <w:fldChar w:fldCharType="begin"/>
      </w:r>
      <w:r>
        <w:instrText xml:space="preserve"> TOC \h \z \t "Heading 3 [#],9" \b Section_4 \* MERGEFORMAT </w:instrText>
      </w:r>
      <w:r>
        <w:fldChar w:fldCharType="separate"/>
      </w:r>
      <w:hyperlink w:anchor="_Toc149221055" w:history="1">
        <w:r w:rsidRPr="00302077">
          <w:rPr>
            <w:rStyle w:val="Hyperlink"/>
            <w:noProof/>
          </w:rPr>
          <w:t>4.4.1</w:t>
        </w:r>
        <w:r>
          <w:rPr>
            <w:rFonts w:eastAsiaTheme="minorEastAsia"/>
            <w:noProof/>
            <w:sz w:val="22"/>
            <w:lang w:eastAsia="en-AU"/>
          </w:rPr>
          <w:tab/>
        </w:r>
        <w:r w:rsidRPr="00302077">
          <w:rPr>
            <w:rStyle w:val="Hyperlink"/>
            <w:noProof/>
          </w:rPr>
          <w:t>Total land, buildings, infrastructure, plant and equipment</w:t>
        </w:r>
        <w:r>
          <w:rPr>
            <w:noProof/>
            <w:webHidden/>
          </w:rPr>
          <w:tab/>
        </w:r>
        <w:r>
          <w:rPr>
            <w:noProof/>
            <w:webHidden/>
          </w:rPr>
          <w:fldChar w:fldCharType="begin"/>
        </w:r>
        <w:r>
          <w:rPr>
            <w:noProof/>
            <w:webHidden/>
          </w:rPr>
          <w:instrText xml:space="preserve"> PAGEREF _Toc149221055 \h </w:instrText>
        </w:r>
        <w:r>
          <w:rPr>
            <w:noProof/>
            <w:webHidden/>
          </w:rPr>
        </w:r>
        <w:r>
          <w:rPr>
            <w:noProof/>
            <w:webHidden/>
          </w:rPr>
          <w:fldChar w:fldCharType="separate"/>
        </w:r>
        <w:r w:rsidR="00315D9A">
          <w:rPr>
            <w:noProof/>
            <w:webHidden/>
          </w:rPr>
          <w:t>66</w:t>
        </w:r>
        <w:r>
          <w:rPr>
            <w:noProof/>
            <w:webHidden/>
          </w:rPr>
          <w:fldChar w:fldCharType="end"/>
        </w:r>
      </w:hyperlink>
    </w:p>
    <w:p w14:paraId="2B3AE7D8" w14:textId="2E8EAD17" w:rsidR="00AB205D" w:rsidRDefault="00000000">
      <w:pPr>
        <w:pStyle w:val="TOC9"/>
        <w:rPr>
          <w:rFonts w:eastAsiaTheme="minorEastAsia"/>
          <w:noProof/>
          <w:sz w:val="22"/>
          <w:lang w:eastAsia="en-AU"/>
        </w:rPr>
      </w:pPr>
      <w:hyperlink w:anchor="_Toc149221056" w:history="1">
        <w:r w:rsidR="00471A3B" w:rsidRPr="00302077">
          <w:rPr>
            <w:rStyle w:val="Hyperlink"/>
            <w:noProof/>
          </w:rPr>
          <w:t>4.4.2</w:t>
        </w:r>
        <w:r w:rsidR="00471A3B">
          <w:rPr>
            <w:rFonts w:eastAsiaTheme="minorEastAsia"/>
            <w:noProof/>
            <w:sz w:val="22"/>
            <w:lang w:eastAsia="en-AU"/>
          </w:rPr>
          <w:tab/>
        </w:r>
        <w:r w:rsidR="00471A3B" w:rsidRPr="00302077">
          <w:rPr>
            <w:rStyle w:val="Hyperlink"/>
            <w:noProof/>
          </w:rPr>
          <w:t>Depreciation</w:t>
        </w:r>
        <w:r w:rsidR="00471A3B">
          <w:rPr>
            <w:noProof/>
            <w:webHidden/>
          </w:rPr>
          <w:tab/>
        </w:r>
        <w:r w:rsidR="00471A3B">
          <w:rPr>
            <w:noProof/>
            <w:webHidden/>
          </w:rPr>
          <w:fldChar w:fldCharType="begin"/>
        </w:r>
        <w:r w:rsidR="00471A3B">
          <w:rPr>
            <w:noProof/>
            <w:webHidden/>
          </w:rPr>
          <w:instrText xml:space="preserve"> PAGEREF _Toc149221056 \h </w:instrText>
        </w:r>
        <w:r w:rsidR="00471A3B">
          <w:rPr>
            <w:noProof/>
            <w:webHidden/>
          </w:rPr>
        </w:r>
        <w:r w:rsidR="00471A3B">
          <w:rPr>
            <w:noProof/>
            <w:webHidden/>
          </w:rPr>
          <w:fldChar w:fldCharType="separate"/>
        </w:r>
        <w:r w:rsidR="00315D9A">
          <w:rPr>
            <w:noProof/>
            <w:webHidden/>
          </w:rPr>
          <w:t>68</w:t>
        </w:r>
        <w:r w:rsidR="00471A3B">
          <w:rPr>
            <w:noProof/>
            <w:webHidden/>
          </w:rPr>
          <w:fldChar w:fldCharType="end"/>
        </w:r>
      </w:hyperlink>
    </w:p>
    <w:p w14:paraId="0DDD0DE2" w14:textId="4D88F491" w:rsidR="00AB205D" w:rsidRDefault="00000000">
      <w:pPr>
        <w:pStyle w:val="TOC9"/>
        <w:rPr>
          <w:rFonts w:eastAsiaTheme="minorEastAsia"/>
          <w:noProof/>
          <w:sz w:val="22"/>
          <w:lang w:eastAsia="en-AU"/>
        </w:rPr>
      </w:pPr>
      <w:hyperlink w:anchor="_Toc149221057" w:history="1">
        <w:r w:rsidR="00471A3B" w:rsidRPr="00302077">
          <w:rPr>
            <w:rStyle w:val="Hyperlink"/>
            <w:noProof/>
          </w:rPr>
          <w:t>4.4.3</w:t>
        </w:r>
        <w:r w:rsidR="00471A3B">
          <w:rPr>
            <w:rFonts w:eastAsiaTheme="minorEastAsia"/>
            <w:noProof/>
            <w:sz w:val="22"/>
            <w:lang w:eastAsia="en-AU"/>
          </w:rPr>
          <w:tab/>
        </w:r>
        <w:r w:rsidR="00471A3B" w:rsidRPr="00302077">
          <w:rPr>
            <w:rStyle w:val="Hyperlink"/>
            <w:noProof/>
          </w:rPr>
          <w:t xml:space="preserve">Reconciliation of movements in </w:t>
        </w:r>
        <w:r w:rsidR="00471A3B">
          <w:rPr>
            <w:rStyle w:val="Hyperlink"/>
            <w:noProof/>
          </w:rPr>
          <w:br/>
        </w:r>
        <w:r w:rsidR="00471A3B" w:rsidRPr="00302077">
          <w:rPr>
            <w:rStyle w:val="Hyperlink"/>
            <w:noProof/>
          </w:rPr>
          <w:t xml:space="preserve">land, buildings, infrastructure,  </w:t>
        </w:r>
        <w:r w:rsidR="00471A3B">
          <w:rPr>
            <w:rStyle w:val="Hyperlink"/>
            <w:noProof/>
          </w:rPr>
          <w:br/>
        </w:r>
        <w:r w:rsidR="00471A3B" w:rsidRPr="00302077">
          <w:rPr>
            <w:rStyle w:val="Hyperlink"/>
            <w:noProof/>
          </w:rPr>
          <w:t>plant and equipment</w:t>
        </w:r>
        <w:r w:rsidR="00471A3B">
          <w:rPr>
            <w:noProof/>
            <w:webHidden/>
          </w:rPr>
          <w:tab/>
        </w:r>
        <w:r w:rsidR="00471A3B">
          <w:rPr>
            <w:noProof/>
            <w:webHidden/>
          </w:rPr>
          <w:fldChar w:fldCharType="begin"/>
        </w:r>
        <w:r w:rsidR="00471A3B">
          <w:rPr>
            <w:noProof/>
            <w:webHidden/>
          </w:rPr>
          <w:instrText xml:space="preserve"> PAGEREF _Toc149221057 \h </w:instrText>
        </w:r>
        <w:r w:rsidR="00471A3B">
          <w:rPr>
            <w:noProof/>
            <w:webHidden/>
          </w:rPr>
        </w:r>
        <w:r w:rsidR="00471A3B">
          <w:rPr>
            <w:noProof/>
            <w:webHidden/>
          </w:rPr>
          <w:fldChar w:fldCharType="separate"/>
        </w:r>
        <w:r w:rsidR="00315D9A">
          <w:rPr>
            <w:noProof/>
            <w:webHidden/>
          </w:rPr>
          <w:t>69</w:t>
        </w:r>
        <w:r w:rsidR="00471A3B">
          <w:rPr>
            <w:noProof/>
            <w:webHidden/>
          </w:rPr>
          <w:fldChar w:fldCharType="end"/>
        </w:r>
      </w:hyperlink>
    </w:p>
    <w:p w14:paraId="746A445B" w14:textId="2114B479" w:rsidR="00AB205D" w:rsidRDefault="00000000">
      <w:pPr>
        <w:pStyle w:val="TOC9"/>
        <w:rPr>
          <w:rFonts w:eastAsiaTheme="minorEastAsia"/>
          <w:noProof/>
          <w:sz w:val="22"/>
          <w:lang w:eastAsia="en-AU"/>
        </w:rPr>
      </w:pPr>
      <w:hyperlink w:anchor="_Toc149221058" w:history="1">
        <w:r w:rsidR="00471A3B" w:rsidRPr="00302077">
          <w:rPr>
            <w:rStyle w:val="Hyperlink"/>
            <w:noProof/>
          </w:rPr>
          <w:t>4.4.4</w:t>
        </w:r>
        <w:r w:rsidR="00471A3B">
          <w:rPr>
            <w:rFonts w:eastAsiaTheme="minorEastAsia"/>
            <w:noProof/>
            <w:sz w:val="22"/>
            <w:lang w:eastAsia="en-AU"/>
          </w:rPr>
          <w:tab/>
        </w:r>
        <w:r w:rsidR="00471A3B" w:rsidRPr="00302077">
          <w:rPr>
            <w:rStyle w:val="Hyperlink"/>
            <w:noProof/>
          </w:rPr>
          <w:t>Other non</w:t>
        </w:r>
        <w:r w:rsidR="00471A3B">
          <w:rPr>
            <w:rStyle w:val="Hyperlink"/>
            <w:noProof/>
          </w:rPr>
          <w:noBreakHyphen/>
        </w:r>
        <w:r w:rsidR="00471A3B" w:rsidRPr="00302077">
          <w:rPr>
            <w:rStyle w:val="Hyperlink"/>
            <w:noProof/>
          </w:rPr>
          <w:t xml:space="preserve">financial assets </w:t>
        </w:r>
        <w:r w:rsidR="00471A3B">
          <w:rPr>
            <w:noProof/>
            <w:webHidden/>
          </w:rPr>
          <w:tab/>
        </w:r>
        <w:r w:rsidR="00471A3B">
          <w:rPr>
            <w:noProof/>
            <w:webHidden/>
          </w:rPr>
          <w:fldChar w:fldCharType="begin"/>
        </w:r>
        <w:r w:rsidR="00471A3B">
          <w:rPr>
            <w:noProof/>
            <w:webHidden/>
          </w:rPr>
          <w:instrText xml:space="preserve"> PAGEREF _Toc149221058 \h </w:instrText>
        </w:r>
        <w:r w:rsidR="00471A3B">
          <w:rPr>
            <w:noProof/>
            <w:webHidden/>
          </w:rPr>
        </w:r>
        <w:r w:rsidR="00471A3B">
          <w:rPr>
            <w:noProof/>
            <w:webHidden/>
          </w:rPr>
          <w:fldChar w:fldCharType="separate"/>
        </w:r>
        <w:r w:rsidR="00315D9A">
          <w:rPr>
            <w:noProof/>
            <w:webHidden/>
          </w:rPr>
          <w:t>69</w:t>
        </w:r>
        <w:r w:rsidR="00471A3B">
          <w:rPr>
            <w:noProof/>
            <w:webHidden/>
          </w:rPr>
          <w:fldChar w:fldCharType="end"/>
        </w:r>
      </w:hyperlink>
    </w:p>
    <w:p w14:paraId="2BCD4C2C" w14:textId="191991B8" w:rsidR="00AB205D" w:rsidRDefault="00000000">
      <w:pPr>
        <w:pStyle w:val="TOC9"/>
        <w:rPr>
          <w:rFonts w:eastAsiaTheme="minorEastAsia"/>
          <w:noProof/>
          <w:sz w:val="22"/>
          <w:lang w:eastAsia="en-AU"/>
        </w:rPr>
      </w:pPr>
      <w:hyperlink w:anchor="_Toc149221059" w:history="1">
        <w:r w:rsidR="00471A3B" w:rsidRPr="00302077">
          <w:rPr>
            <w:rStyle w:val="Hyperlink"/>
            <w:noProof/>
          </w:rPr>
          <w:t>4.4.5</w:t>
        </w:r>
        <w:r w:rsidR="00471A3B">
          <w:rPr>
            <w:rFonts w:eastAsiaTheme="minorEastAsia"/>
            <w:noProof/>
            <w:sz w:val="22"/>
            <w:lang w:eastAsia="en-AU"/>
          </w:rPr>
          <w:tab/>
        </w:r>
        <w:r w:rsidR="00471A3B" w:rsidRPr="00302077">
          <w:rPr>
            <w:rStyle w:val="Hyperlink"/>
            <w:noProof/>
          </w:rPr>
          <w:t xml:space="preserve">Total assets by classification of the functions of government  </w:t>
        </w:r>
        <w:r w:rsidR="00471A3B">
          <w:rPr>
            <w:noProof/>
            <w:webHidden/>
          </w:rPr>
          <w:tab/>
        </w:r>
        <w:r w:rsidR="00471A3B">
          <w:rPr>
            <w:noProof/>
            <w:webHidden/>
          </w:rPr>
          <w:fldChar w:fldCharType="begin"/>
        </w:r>
        <w:r w:rsidR="00471A3B">
          <w:rPr>
            <w:noProof/>
            <w:webHidden/>
          </w:rPr>
          <w:instrText xml:space="preserve"> PAGEREF _Toc149221059 \h </w:instrText>
        </w:r>
        <w:r w:rsidR="00471A3B">
          <w:rPr>
            <w:noProof/>
            <w:webHidden/>
          </w:rPr>
        </w:r>
        <w:r w:rsidR="00471A3B">
          <w:rPr>
            <w:noProof/>
            <w:webHidden/>
          </w:rPr>
          <w:fldChar w:fldCharType="separate"/>
        </w:r>
        <w:r w:rsidR="00315D9A">
          <w:rPr>
            <w:noProof/>
            <w:webHidden/>
          </w:rPr>
          <w:t>70</w:t>
        </w:r>
        <w:r w:rsidR="00471A3B">
          <w:rPr>
            <w:noProof/>
            <w:webHidden/>
          </w:rPr>
          <w:fldChar w:fldCharType="end"/>
        </w:r>
      </w:hyperlink>
    </w:p>
    <w:p w14:paraId="7DF00A39" w14:textId="77777777" w:rsidR="00AB205D" w:rsidRDefault="00471A3B">
      <w:pPr>
        <w:rPr>
          <w:b/>
          <w:bCs/>
          <w:noProof/>
          <w:lang w:val="en-US"/>
        </w:rPr>
        <w:sectPr w:rsidR="00AB205D" w:rsidSect="00570639">
          <w:headerReference w:type="even" r:id="rId76"/>
          <w:headerReference w:type="default" r:id="rId77"/>
          <w:footerReference w:type="even" r:id="rId78"/>
          <w:footerReference w:type="default" r:id="rId79"/>
          <w:headerReference w:type="first" r:id="rId80"/>
          <w:footerReference w:type="first" r:id="rId81"/>
          <w:type w:val="continuous"/>
          <w:pgSz w:w="9979" w:h="14175" w:code="34"/>
          <w:pgMar w:top="1134" w:right="1134" w:bottom="1134" w:left="1134" w:header="624" w:footer="567" w:gutter="0"/>
          <w:cols w:num="2" w:space="708"/>
          <w:docGrid w:linePitch="360"/>
        </w:sectPr>
      </w:pPr>
      <w:r>
        <w:rPr>
          <w:b/>
          <w:bCs/>
          <w:noProof/>
          <w:lang w:val="en-US"/>
        </w:rPr>
        <w:fldChar w:fldCharType="end"/>
      </w:r>
    </w:p>
    <w:p w14:paraId="7CC52F87" w14:textId="77777777" w:rsidR="00AB205D" w:rsidRPr="007946A4" w:rsidRDefault="00471A3B">
      <w:pPr>
        <w:pStyle w:val="Heading3"/>
        <w:rPr>
          <w:sz w:val="21"/>
          <w:szCs w:val="21"/>
        </w:rPr>
      </w:pPr>
      <w:bookmarkStart w:id="62" w:name="_Toc149221055"/>
      <w:r w:rsidRPr="007946A4">
        <w:rPr>
          <w:sz w:val="21"/>
          <w:szCs w:val="21"/>
        </w:rPr>
        <w:t xml:space="preserve">Total land, buildings, infrastructure, plant and equipment </w:t>
      </w:r>
      <w:r w:rsidRPr="007946A4">
        <w:rPr>
          <w:sz w:val="21"/>
          <w:szCs w:val="21"/>
          <w:vertAlign w:val="superscript"/>
        </w:rPr>
        <w:t>(a)</w:t>
      </w:r>
      <w:r w:rsidRPr="007946A4">
        <w:rPr>
          <w:sz w:val="21"/>
          <w:szCs w:val="21"/>
        </w:rPr>
        <w:tab/>
        <w:t>($ million)</w:t>
      </w:r>
      <w:bookmarkEnd w:id="62"/>
    </w:p>
    <w:tbl>
      <w:tblPr>
        <w:tblStyle w:val="DTFTableNumeric"/>
        <w:tblW w:w="7710" w:type="dxa"/>
        <w:tblLayout w:type="fixed"/>
        <w:tblLook w:val="06A0" w:firstRow="1" w:lastRow="0" w:firstColumn="1" w:lastColumn="0" w:noHBand="1" w:noVBand="1"/>
        <w:tblDescription w:val="Type:DtfTable|Workbook:Rawdata\BudgetUpdate\Budget Update\Financial Statements\SRIMS exports\SRIMS_BU_EFS_BS.xlsx|Table:Land_buildings_infrastructure|MergedHeadingRow:1"/>
      </w:tblPr>
      <w:tblGrid>
        <w:gridCol w:w="3740"/>
        <w:gridCol w:w="794"/>
        <w:gridCol w:w="794"/>
        <w:gridCol w:w="794"/>
        <w:gridCol w:w="794"/>
        <w:gridCol w:w="794"/>
      </w:tblGrid>
      <w:tr w:rsidR="009C6724" w14:paraId="5565A94C"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33BD53F1" w14:textId="77777777" w:rsidR="00AB205D" w:rsidRDefault="00AB205D">
            <w:pPr>
              <w:keepNext/>
            </w:pPr>
          </w:p>
        </w:tc>
        <w:tc>
          <w:tcPr>
            <w:tcW w:w="794" w:type="dxa"/>
          </w:tcPr>
          <w:p w14:paraId="014A0ECF"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br/>
              <w:t>budget</w:t>
            </w:r>
          </w:p>
        </w:tc>
        <w:tc>
          <w:tcPr>
            <w:tcW w:w="794" w:type="dxa"/>
          </w:tcPr>
          <w:p w14:paraId="1126CEE7"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br/>
              <w:t>revised</w:t>
            </w:r>
          </w:p>
        </w:tc>
        <w:tc>
          <w:tcPr>
            <w:tcW w:w="794" w:type="dxa"/>
          </w:tcPr>
          <w:p w14:paraId="18DC3423"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br/>
              <w:t>estimate</w:t>
            </w:r>
          </w:p>
        </w:tc>
        <w:tc>
          <w:tcPr>
            <w:tcW w:w="794" w:type="dxa"/>
          </w:tcPr>
          <w:p w14:paraId="52C8D4E1"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br/>
              <w:t>estimate</w:t>
            </w:r>
          </w:p>
        </w:tc>
        <w:tc>
          <w:tcPr>
            <w:tcW w:w="794" w:type="dxa"/>
          </w:tcPr>
          <w:p w14:paraId="7D9B99BB"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2027</w:t>
            </w:r>
            <w:r>
              <w:br/>
              <w:t>estimate</w:t>
            </w:r>
          </w:p>
        </w:tc>
      </w:tr>
      <w:tr w:rsidR="009C6724" w14:paraId="4D385EBE"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81CA6F2" w14:textId="77777777" w:rsidR="00AB205D" w:rsidRDefault="00471A3B">
            <w:r>
              <w:t>Buildings</w:t>
            </w:r>
          </w:p>
        </w:tc>
        <w:tc>
          <w:tcPr>
            <w:tcW w:w="794" w:type="dxa"/>
          </w:tcPr>
          <w:p w14:paraId="3E3D5FB1" w14:textId="77777777" w:rsidR="00AB205D" w:rsidRDefault="00471A3B">
            <w:pPr>
              <w:cnfStyle w:val="000000000000" w:firstRow="0" w:lastRow="0" w:firstColumn="0" w:lastColumn="0" w:oddVBand="0" w:evenVBand="0" w:oddHBand="0" w:evenHBand="0" w:firstRowFirstColumn="0" w:firstRowLastColumn="0" w:lastRowFirstColumn="0" w:lastRowLastColumn="0"/>
            </w:pPr>
            <w:r>
              <w:t>61 108</w:t>
            </w:r>
          </w:p>
        </w:tc>
        <w:tc>
          <w:tcPr>
            <w:tcW w:w="794" w:type="dxa"/>
          </w:tcPr>
          <w:p w14:paraId="538CD19B" w14:textId="77777777" w:rsidR="00AB205D" w:rsidRDefault="00471A3B">
            <w:pPr>
              <w:cnfStyle w:val="000000000000" w:firstRow="0" w:lastRow="0" w:firstColumn="0" w:lastColumn="0" w:oddVBand="0" w:evenVBand="0" w:oddHBand="0" w:evenHBand="0" w:firstRowFirstColumn="0" w:firstRowLastColumn="0" w:lastRowFirstColumn="0" w:lastRowLastColumn="0"/>
            </w:pPr>
            <w:r>
              <w:t>61 624</w:t>
            </w:r>
          </w:p>
        </w:tc>
        <w:tc>
          <w:tcPr>
            <w:tcW w:w="794" w:type="dxa"/>
          </w:tcPr>
          <w:p w14:paraId="5C520C03" w14:textId="77777777" w:rsidR="00AB205D" w:rsidRDefault="00471A3B">
            <w:pPr>
              <w:cnfStyle w:val="000000000000" w:firstRow="0" w:lastRow="0" w:firstColumn="0" w:lastColumn="0" w:oddVBand="0" w:evenVBand="0" w:oddHBand="0" w:evenHBand="0" w:firstRowFirstColumn="0" w:firstRowLastColumn="0" w:lastRowFirstColumn="0" w:lastRowLastColumn="0"/>
            </w:pPr>
            <w:r>
              <w:t>64 342</w:t>
            </w:r>
          </w:p>
        </w:tc>
        <w:tc>
          <w:tcPr>
            <w:tcW w:w="794" w:type="dxa"/>
          </w:tcPr>
          <w:p w14:paraId="52A3ADB9" w14:textId="77777777" w:rsidR="00AB205D" w:rsidRDefault="00471A3B">
            <w:pPr>
              <w:cnfStyle w:val="000000000000" w:firstRow="0" w:lastRow="0" w:firstColumn="0" w:lastColumn="0" w:oddVBand="0" w:evenVBand="0" w:oddHBand="0" w:evenHBand="0" w:firstRowFirstColumn="0" w:firstRowLastColumn="0" w:lastRowFirstColumn="0" w:lastRowLastColumn="0"/>
            </w:pPr>
            <w:r>
              <w:t>68 293</w:t>
            </w:r>
          </w:p>
        </w:tc>
        <w:tc>
          <w:tcPr>
            <w:tcW w:w="794" w:type="dxa"/>
          </w:tcPr>
          <w:p w14:paraId="6C4C7BDB" w14:textId="77777777" w:rsidR="00AB205D" w:rsidRDefault="00471A3B">
            <w:pPr>
              <w:cnfStyle w:val="000000000000" w:firstRow="0" w:lastRow="0" w:firstColumn="0" w:lastColumn="0" w:oddVBand="0" w:evenVBand="0" w:oddHBand="0" w:evenHBand="0" w:firstRowFirstColumn="0" w:firstRowLastColumn="0" w:lastRowFirstColumn="0" w:lastRowLastColumn="0"/>
            </w:pPr>
            <w:r>
              <w:t>75 764</w:t>
            </w:r>
          </w:p>
        </w:tc>
      </w:tr>
      <w:tr w:rsidR="009C6724" w14:paraId="1C690F6B"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0697854E" w14:textId="77777777" w:rsidR="00AB205D" w:rsidRDefault="00471A3B">
            <w:r>
              <w:t>Land and national parks</w:t>
            </w:r>
          </w:p>
        </w:tc>
        <w:tc>
          <w:tcPr>
            <w:tcW w:w="794" w:type="dxa"/>
          </w:tcPr>
          <w:p w14:paraId="7DE1B27C" w14:textId="77777777" w:rsidR="00AB205D" w:rsidRDefault="00471A3B">
            <w:pPr>
              <w:cnfStyle w:val="000000000000" w:firstRow="0" w:lastRow="0" w:firstColumn="0" w:lastColumn="0" w:oddVBand="0" w:evenVBand="0" w:oddHBand="0" w:evenHBand="0" w:firstRowFirstColumn="0" w:firstRowLastColumn="0" w:lastRowFirstColumn="0" w:lastRowLastColumn="0"/>
            </w:pPr>
            <w:r>
              <w:t>95 972</w:t>
            </w:r>
          </w:p>
        </w:tc>
        <w:tc>
          <w:tcPr>
            <w:tcW w:w="794" w:type="dxa"/>
          </w:tcPr>
          <w:p w14:paraId="5689453E" w14:textId="77777777" w:rsidR="00AB205D" w:rsidRDefault="00471A3B">
            <w:pPr>
              <w:cnfStyle w:val="000000000000" w:firstRow="0" w:lastRow="0" w:firstColumn="0" w:lastColumn="0" w:oddVBand="0" w:evenVBand="0" w:oddHBand="0" w:evenHBand="0" w:firstRowFirstColumn="0" w:firstRowLastColumn="0" w:lastRowFirstColumn="0" w:lastRowLastColumn="0"/>
            </w:pPr>
            <w:r>
              <w:t>96 136</w:t>
            </w:r>
          </w:p>
        </w:tc>
        <w:tc>
          <w:tcPr>
            <w:tcW w:w="794" w:type="dxa"/>
          </w:tcPr>
          <w:p w14:paraId="6B3241A6" w14:textId="77777777" w:rsidR="00AB205D" w:rsidRDefault="00471A3B">
            <w:pPr>
              <w:cnfStyle w:val="000000000000" w:firstRow="0" w:lastRow="0" w:firstColumn="0" w:lastColumn="0" w:oddVBand="0" w:evenVBand="0" w:oddHBand="0" w:evenHBand="0" w:firstRowFirstColumn="0" w:firstRowLastColumn="0" w:lastRowFirstColumn="0" w:lastRowLastColumn="0"/>
            </w:pPr>
            <w:r>
              <w:t>104 231</w:t>
            </w:r>
          </w:p>
        </w:tc>
        <w:tc>
          <w:tcPr>
            <w:tcW w:w="794" w:type="dxa"/>
          </w:tcPr>
          <w:p w14:paraId="020D6D40" w14:textId="77777777" w:rsidR="00AB205D" w:rsidRDefault="00471A3B">
            <w:pPr>
              <w:cnfStyle w:val="000000000000" w:firstRow="0" w:lastRow="0" w:firstColumn="0" w:lastColumn="0" w:oddVBand="0" w:evenVBand="0" w:oddHBand="0" w:evenHBand="0" w:firstRowFirstColumn="0" w:firstRowLastColumn="0" w:lastRowFirstColumn="0" w:lastRowLastColumn="0"/>
            </w:pPr>
            <w:r>
              <w:t>104 721</w:t>
            </w:r>
          </w:p>
        </w:tc>
        <w:tc>
          <w:tcPr>
            <w:tcW w:w="794" w:type="dxa"/>
          </w:tcPr>
          <w:p w14:paraId="5824F21C" w14:textId="77777777" w:rsidR="00AB205D" w:rsidRDefault="00471A3B">
            <w:pPr>
              <w:cnfStyle w:val="000000000000" w:firstRow="0" w:lastRow="0" w:firstColumn="0" w:lastColumn="0" w:oddVBand="0" w:evenVBand="0" w:oddHBand="0" w:evenHBand="0" w:firstRowFirstColumn="0" w:firstRowLastColumn="0" w:lastRowFirstColumn="0" w:lastRowLastColumn="0"/>
            </w:pPr>
            <w:r>
              <w:t>108 148</w:t>
            </w:r>
          </w:p>
        </w:tc>
      </w:tr>
      <w:tr w:rsidR="009C6724" w14:paraId="0E9BB501"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05812DED" w14:textId="77777777" w:rsidR="00AB205D" w:rsidRDefault="00471A3B">
            <w:r>
              <w:t>Infrastructure systems</w:t>
            </w:r>
          </w:p>
        </w:tc>
        <w:tc>
          <w:tcPr>
            <w:tcW w:w="794" w:type="dxa"/>
          </w:tcPr>
          <w:p w14:paraId="47CB9D76" w14:textId="77777777" w:rsidR="00AB205D" w:rsidRDefault="00471A3B">
            <w:pPr>
              <w:cnfStyle w:val="000000000000" w:firstRow="0" w:lastRow="0" w:firstColumn="0" w:lastColumn="0" w:oddVBand="0" w:evenVBand="0" w:oddHBand="0" w:evenHBand="0" w:firstRowFirstColumn="0" w:firstRowLastColumn="0" w:lastRowFirstColumn="0" w:lastRowLastColumn="0"/>
            </w:pPr>
            <w:r>
              <w:t>29 790</w:t>
            </w:r>
          </w:p>
        </w:tc>
        <w:tc>
          <w:tcPr>
            <w:tcW w:w="794" w:type="dxa"/>
          </w:tcPr>
          <w:p w14:paraId="696492D4" w14:textId="77777777" w:rsidR="00AB205D" w:rsidRDefault="00471A3B">
            <w:pPr>
              <w:cnfStyle w:val="000000000000" w:firstRow="0" w:lastRow="0" w:firstColumn="0" w:lastColumn="0" w:oddVBand="0" w:evenVBand="0" w:oddHBand="0" w:evenHBand="0" w:firstRowFirstColumn="0" w:firstRowLastColumn="0" w:lastRowFirstColumn="0" w:lastRowLastColumn="0"/>
            </w:pPr>
            <w:r>
              <w:t>31 123</w:t>
            </w:r>
          </w:p>
        </w:tc>
        <w:tc>
          <w:tcPr>
            <w:tcW w:w="794" w:type="dxa"/>
          </w:tcPr>
          <w:p w14:paraId="5261BC7C" w14:textId="77777777" w:rsidR="00AB205D" w:rsidRDefault="00471A3B">
            <w:pPr>
              <w:cnfStyle w:val="000000000000" w:firstRow="0" w:lastRow="0" w:firstColumn="0" w:lastColumn="0" w:oddVBand="0" w:evenVBand="0" w:oddHBand="0" w:evenHBand="0" w:firstRowFirstColumn="0" w:firstRowLastColumn="0" w:lastRowFirstColumn="0" w:lastRowLastColumn="0"/>
            </w:pPr>
            <w:r>
              <w:t>33 463</w:t>
            </w:r>
          </w:p>
        </w:tc>
        <w:tc>
          <w:tcPr>
            <w:tcW w:w="794" w:type="dxa"/>
          </w:tcPr>
          <w:p w14:paraId="0A88C95A" w14:textId="77777777" w:rsidR="00AB205D" w:rsidRDefault="00471A3B">
            <w:pPr>
              <w:cnfStyle w:val="000000000000" w:firstRow="0" w:lastRow="0" w:firstColumn="0" w:lastColumn="0" w:oddVBand="0" w:evenVBand="0" w:oddHBand="0" w:evenHBand="0" w:firstRowFirstColumn="0" w:firstRowLastColumn="0" w:lastRowFirstColumn="0" w:lastRowLastColumn="0"/>
            </w:pPr>
            <w:r>
              <w:t>17 790</w:t>
            </w:r>
          </w:p>
        </w:tc>
        <w:tc>
          <w:tcPr>
            <w:tcW w:w="794" w:type="dxa"/>
          </w:tcPr>
          <w:p w14:paraId="3CA12F2D" w14:textId="77777777" w:rsidR="00AB205D" w:rsidRDefault="00471A3B">
            <w:pPr>
              <w:cnfStyle w:val="000000000000" w:firstRow="0" w:lastRow="0" w:firstColumn="0" w:lastColumn="0" w:oddVBand="0" w:evenVBand="0" w:oddHBand="0" w:evenHBand="0" w:firstRowFirstColumn="0" w:firstRowLastColumn="0" w:lastRowFirstColumn="0" w:lastRowLastColumn="0"/>
            </w:pPr>
            <w:r>
              <w:t>21 604</w:t>
            </w:r>
          </w:p>
        </w:tc>
      </w:tr>
      <w:tr w:rsidR="009C6724" w14:paraId="478E8545"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067BB12C" w14:textId="77777777" w:rsidR="00AB205D" w:rsidRDefault="00471A3B">
            <w:r>
              <w:t>Plant, equipment and vehicles</w:t>
            </w:r>
          </w:p>
        </w:tc>
        <w:tc>
          <w:tcPr>
            <w:tcW w:w="794" w:type="dxa"/>
          </w:tcPr>
          <w:p w14:paraId="5248953D" w14:textId="77777777" w:rsidR="00AB205D" w:rsidRDefault="00471A3B">
            <w:pPr>
              <w:cnfStyle w:val="000000000000" w:firstRow="0" w:lastRow="0" w:firstColumn="0" w:lastColumn="0" w:oddVBand="0" w:evenVBand="0" w:oddHBand="0" w:evenHBand="0" w:firstRowFirstColumn="0" w:firstRowLastColumn="0" w:lastRowFirstColumn="0" w:lastRowLastColumn="0"/>
            </w:pPr>
            <w:r>
              <w:t>5 382</w:t>
            </w:r>
          </w:p>
        </w:tc>
        <w:tc>
          <w:tcPr>
            <w:tcW w:w="794" w:type="dxa"/>
          </w:tcPr>
          <w:p w14:paraId="45921E1A" w14:textId="77777777" w:rsidR="00AB205D" w:rsidRDefault="00471A3B">
            <w:pPr>
              <w:cnfStyle w:val="000000000000" w:firstRow="0" w:lastRow="0" w:firstColumn="0" w:lastColumn="0" w:oddVBand="0" w:evenVBand="0" w:oddHBand="0" w:evenHBand="0" w:firstRowFirstColumn="0" w:firstRowLastColumn="0" w:lastRowFirstColumn="0" w:lastRowLastColumn="0"/>
            </w:pPr>
            <w:r>
              <w:t>5 714</w:t>
            </w:r>
          </w:p>
        </w:tc>
        <w:tc>
          <w:tcPr>
            <w:tcW w:w="794" w:type="dxa"/>
          </w:tcPr>
          <w:p w14:paraId="1199963A" w14:textId="77777777" w:rsidR="00AB205D" w:rsidRDefault="00471A3B">
            <w:pPr>
              <w:cnfStyle w:val="000000000000" w:firstRow="0" w:lastRow="0" w:firstColumn="0" w:lastColumn="0" w:oddVBand="0" w:evenVBand="0" w:oddHBand="0" w:evenHBand="0" w:firstRowFirstColumn="0" w:firstRowLastColumn="0" w:lastRowFirstColumn="0" w:lastRowLastColumn="0"/>
            </w:pPr>
            <w:r>
              <w:t>5 850</w:t>
            </w:r>
          </w:p>
        </w:tc>
        <w:tc>
          <w:tcPr>
            <w:tcW w:w="794" w:type="dxa"/>
          </w:tcPr>
          <w:p w14:paraId="4C24ED2F" w14:textId="77777777" w:rsidR="00AB205D" w:rsidRDefault="00471A3B">
            <w:pPr>
              <w:cnfStyle w:val="000000000000" w:firstRow="0" w:lastRow="0" w:firstColumn="0" w:lastColumn="0" w:oddVBand="0" w:evenVBand="0" w:oddHBand="0" w:evenHBand="0" w:firstRowFirstColumn="0" w:firstRowLastColumn="0" w:lastRowFirstColumn="0" w:lastRowLastColumn="0"/>
            </w:pPr>
            <w:r>
              <w:t>5 494</w:t>
            </w:r>
          </w:p>
        </w:tc>
        <w:tc>
          <w:tcPr>
            <w:tcW w:w="794" w:type="dxa"/>
          </w:tcPr>
          <w:p w14:paraId="3FAC142B" w14:textId="77777777" w:rsidR="00AB205D" w:rsidRDefault="00471A3B">
            <w:pPr>
              <w:cnfStyle w:val="000000000000" w:firstRow="0" w:lastRow="0" w:firstColumn="0" w:lastColumn="0" w:oddVBand="0" w:evenVBand="0" w:oddHBand="0" w:evenHBand="0" w:firstRowFirstColumn="0" w:firstRowLastColumn="0" w:lastRowFirstColumn="0" w:lastRowLastColumn="0"/>
            </w:pPr>
            <w:r>
              <w:t>3 598</w:t>
            </w:r>
          </w:p>
        </w:tc>
      </w:tr>
      <w:tr w:rsidR="009C6724" w14:paraId="77937E8A"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19B8521" w14:textId="77777777" w:rsidR="00AB205D" w:rsidRDefault="00471A3B">
            <w:r>
              <w:t>Roads and road infrastructure</w:t>
            </w:r>
          </w:p>
        </w:tc>
        <w:tc>
          <w:tcPr>
            <w:tcW w:w="794" w:type="dxa"/>
          </w:tcPr>
          <w:p w14:paraId="064F0D65" w14:textId="77777777" w:rsidR="00AB205D" w:rsidRDefault="00471A3B">
            <w:pPr>
              <w:cnfStyle w:val="000000000000" w:firstRow="0" w:lastRow="0" w:firstColumn="0" w:lastColumn="0" w:oddVBand="0" w:evenVBand="0" w:oddHBand="0" w:evenHBand="0" w:firstRowFirstColumn="0" w:firstRowLastColumn="0" w:lastRowFirstColumn="0" w:lastRowLastColumn="0"/>
            </w:pPr>
            <w:r>
              <w:t>47 571</w:t>
            </w:r>
          </w:p>
        </w:tc>
        <w:tc>
          <w:tcPr>
            <w:tcW w:w="794" w:type="dxa"/>
          </w:tcPr>
          <w:p w14:paraId="21C19D55" w14:textId="77777777" w:rsidR="00AB205D" w:rsidRDefault="00471A3B">
            <w:pPr>
              <w:cnfStyle w:val="000000000000" w:firstRow="0" w:lastRow="0" w:firstColumn="0" w:lastColumn="0" w:oddVBand="0" w:evenVBand="0" w:oddHBand="0" w:evenHBand="0" w:firstRowFirstColumn="0" w:firstRowLastColumn="0" w:lastRowFirstColumn="0" w:lastRowLastColumn="0"/>
            </w:pPr>
            <w:r>
              <w:t>47 455</w:t>
            </w:r>
          </w:p>
        </w:tc>
        <w:tc>
          <w:tcPr>
            <w:tcW w:w="794" w:type="dxa"/>
          </w:tcPr>
          <w:p w14:paraId="1BBD7DDA" w14:textId="77777777" w:rsidR="00AB205D" w:rsidRDefault="00471A3B">
            <w:pPr>
              <w:cnfStyle w:val="000000000000" w:firstRow="0" w:lastRow="0" w:firstColumn="0" w:lastColumn="0" w:oddVBand="0" w:evenVBand="0" w:oddHBand="0" w:evenHBand="0" w:firstRowFirstColumn="0" w:firstRowLastColumn="0" w:lastRowFirstColumn="0" w:lastRowLastColumn="0"/>
            </w:pPr>
            <w:r>
              <w:t>57 151</w:t>
            </w:r>
          </w:p>
        </w:tc>
        <w:tc>
          <w:tcPr>
            <w:tcW w:w="794" w:type="dxa"/>
          </w:tcPr>
          <w:p w14:paraId="4F91E1F8" w14:textId="77777777" w:rsidR="00AB205D" w:rsidRDefault="00471A3B">
            <w:pPr>
              <w:cnfStyle w:val="000000000000" w:firstRow="0" w:lastRow="0" w:firstColumn="0" w:lastColumn="0" w:oddVBand="0" w:evenVBand="0" w:oddHBand="0" w:evenHBand="0" w:firstRowFirstColumn="0" w:firstRowLastColumn="0" w:lastRowFirstColumn="0" w:lastRowLastColumn="0"/>
            </w:pPr>
            <w:r>
              <w:t>61 745</w:t>
            </w:r>
          </w:p>
        </w:tc>
        <w:tc>
          <w:tcPr>
            <w:tcW w:w="794" w:type="dxa"/>
          </w:tcPr>
          <w:p w14:paraId="2A96D5C4" w14:textId="77777777" w:rsidR="00AB205D" w:rsidRDefault="00471A3B">
            <w:pPr>
              <w:cnfStyle w:val="000000000000" w:firstRow="0" w:lastRow="0" w:firstColumn="0" w:lastColumn="0" w:oddVBand="0" w:evenVBand="0" w:oddHBand="0" w:evenHBand="0" w:firstRowFirstColumn="0" w:firstRowLastColumn="0" w:lastRowFirstColumn="0" w:lastRowLastColumn="0"/>
            </w:pPr>
            <w:r>
              <w:t>64 479</w:t>
            </w:r>
          </w:p>
        </w:tc>
      </w:tr>
      <w:tr w:rsidR="009C6724" w14:paraId="31A368CE"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706A7921" w14:textId="77777777" w:rsidR="00AB205D" w:rsidRDefault="00471A3B">
            <w:r>
              <w:t>Earthworks</w:t>
            </w:r>
          </w:p>
        </w:tc>
        <w:tc>
          <w:tcPr>
            <w:tcW w:w="794" w:type="dxa"/>
          </w:tcPr>
          <w:p w14:paraId="3FB5D0B6" w14:textId="77777777" w:rsidR="00AB205D" w:rsidRDefault="00471A3B">
            <w:pPr>
              <w:cnfStyle w:val="000000000000" w:firstRow="0" w:lastRow="0" w:firstColumn="0" w:lastColumn="0" w:oddVBand="0" w:evenVBand="0" w:oddHBand="0" w:evenHBand="0" w:firstRowFirstColumn="0" w:firstRowLastColumn="0" w:lastRowFirstColumn="0" w:lastRowLastColumn="0"/>
            </w:pPr>
            <w:r>
              <w:t>12 085</w:t>
            </w:r>
          </w:p>
        </w:tc>
        <w:tc>
          <w:tcPr>
            <w:tcW w:w="794" w:type="dxa"/>
          </w:tcPr>
          <w:p w14:paraId="3D14BB59" w14:textId="77777777" w:rsidR="00AB205D" w:rsidRDefault="00471A3B">
            <w:pPr>
              <w:cnfStyle w:val="000000000000" w:firstRow="0" w:lastRow="0" w:firstColumn="0" w:lastColumn="0" w:oddVBand="0" w:evenVBand="0" w:oddHBand="0" w:evenHBand="0" w:firstRowFirstColumn="0" w:firstRowLastColumn="0" w:lastRowFirstColumn="0" w:lastRowLastColumn="0"/>
            </w:pPr>
            <w:r>
              <w:t>12 182</w:t>
            </w:r>
          </w:p>
        </w:tc>
        <w:tc>
          <w:tcPr>
            <w:tcW w:w="794" w:type="dxa"/>
          </w:tcPr>
          <w:p w14:paraId="5F640804" w14:textId="77777777" w:rsidR="00AB205D" w:rsidRDefault="00471A3B">
            <w:pPr>
              <w:cnfStyle w:val="000000000000" w:firstRow="0" w:lastRow="0" w:firstColumn="0" w:lastColumn="0" w:oddVBand="0" w:evenVBand="0" w:oddHBand="0" w:evenHBand="0" w:firstRowFirstColumn="0" w:firstRowLastColumn="0" w:lastRowFirstColumn="0" w:lastRowLastColumn="0"/>
            </w:pPr>
            <w:r>
              <w:t>12 268</w:t>
            </w:r>
          </w:p>
        </w:tc>
        <w:tc>
          <w:tcPr>
            <w:tcW w:w="794" w:type="dxa"/>
          </w:tcPr>
          <w:p w14:paraId="1B94749F" w14:textId="77777777" w:rsidR="00AB205D" w:rsidRDefault="00471A3B">
            <w:pPr>
              <w:cnfStyle w:val="000000000000" w:firstRow="0" w:lastRow="0" w:firstColumn="0" w:lastColumn="0" w:oddVBand="0" w:evenVBand="0" w:oddHBand="0" w:evenHBand="0" w:firstRowFirstColumn="0" w:firstRowLastColumn="0" w:lastRowFirstColumn="0" w:lastRowLastColumn="0"/>
            </w:pPr>
            <w:r>
              <w:t>12 280</w:t>
            </w:r>
          </w:p>
        </w:tc>
        <w:tc>
          <w:tcPr>
            <w:tcW w:w="794" w:type="dxa"/>
          </w:tcPr>
          <w:p w14:paraId="294AB235" w14:textId="77777777" w:rsidR="00AB205D" w:rsidRDefault="00471A3B">
            <w:pPr>
              <w:cnfStyle w:val="000000000000" w:firstRow="0" w:lastRow="0" w:firstColumn="0" w:lastColumn="0" w:oddVBand="0" w:evenVBand="0" w:oddHBand="0" w:evenHBand="0" w:firstRowFirstColumn="0" w:firstRowLastColumn="0" w:lastRowFirstColumn="0" w:lastRowLastColumn="0"/>
            </w:pPr>
            <w:r>
              <w:t>12 292</w:t>
            </w:r>
          </w:p>
        </w:tc>
      </w:tr>
      <w:tr w:rsidR="009C6724" w14:paraId="2B7068FD"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64F88099" w14:textId="77777777" w:rsidR="00AB205D" w:rsidRDefault="00471A3B">
            <w:r>
              <w:t>Cultural assets</w:t>
            </w:r>
          </w:p>
        </w:tc>
        <w:tc>
          <w:tcPr>
            <w:tcW w:w="794" w:type="dxa"/>
            <w:tcBorders>
              <w:bottom w:val="single" w:sz="6" w:space="0" w:color="auto"/>
            </w:tcBorders>
          </w:tcPr>
          <w:p w14:paraId="2C6A5EA6" w14:textId="77777777" w:rsidR="00AB205D" w:rsidRDefault="00471A3B">
            <w:pPr>
              <w:cnfStyle w:val="000000000000" w:firstRow="0" w:lastRow="0" w:firstColumn="0" w:lastColumn="0" w:oddVBand="0" w:evenVBand="0" w:oddHBand="0" w:evenHBand="0" w:firstRowFirstColumn="0" w:firstRowLastColumn="0" w:lastRowFirstColumn="0" w:lastRowLastColumn="0"/>
            </w:pPr>
            <w:r>
              <w:t>6 630</w:t>
            </w:r>
          </w:p>
        </w:tc>
        <w:tc>
          <w:tcPr>
            <w:tcW w:w="794" w:type="dxa"/>
            <w:tcBorders>
              <w:bottom w:val="single" w:sz="6" w:space="0" w:color="auto"/>
            </w:tcBorders>
          </w:tcPr>
          <w:p w14:paraId="07BDE3D2" w14:textId="77777777" w:rsidR="00AB205D" w:rsidRDefault="00471A3B">
            <w:pPr>
              <w:cnfStyle w:val="000000000000" w:firstRow="0" w:lastRow="0" w:firstColumn="0" w:lastColumn="0" w:oddVBand="0" w:evenVBand="0" w:oddHBand="0" w:evenHBand="0" w:firstRowFirstColumn="0" w:firstRowLastColumn="0" w:lastRowFirstColumn="0" w:lastRowLastColumn="0"/>
            </w:pPr>
            <w:r>
              <w:t>6 753</w:t>
            </w:r>
          </w:p>
        </w:tc>
        <w:tc>
          <w:tcPr>
            <w:tcW w:w="794" w:type="dxa"/>
            <w:tcBorders>
              <w:bottom w:val="single" w:sz="6" w:space="0" w:color="auto"/>
            </w:tcBorders>
          </w:tcPr>
          <w:p w14:paraId="1AD996C7" w14:textId="77777777" w:rsidR="00AB205D" w:rsidRDefault="00471A3B">
            <w:pPr>
              <w:cnfStyle w:val="000000000000" w:firstRow="0" w:lastRow="0" w:firstColumn="0" w:lastColumn="0" w:oddVBand="0" w:evenVBand="0" w:oddHBand="0" w:evenHBand="0" w:firstRowFirstColumn="0" w:firstRowLastColumn="0" w:lastRowFirstColumn="0" w:lastRowLastColumn="0"/>
            </w:pPr>
            <w:r>
              <w:t>7 685</w:t>
            </w:r>
          </w:p>
        </w:tc>
        <w:tc>
          <w:tcPr>
            <w:tcW w:w="794" w:type="dxa"/>
            <w:tcBorders>
              <w:bottom w:val="single" w:sz="6" w:space="0" w:color="auto"/>
            </w:tcBorders>
          </w:tcPr>
          <w:p w14:paraId="287A1F92" w14:textId="77777777" w:rsidR="00AB205D" w:rsidRDefault="00471A3B">
            <w:pPr>
              <w:cnfStyle w:val="000000000000" w:firstRow="0" w:lastRow="0" w:firstColumn="0" w:lastColumn="0" w:oddVBand="0" w:evenVBand="0" w:oddHBand="0" w:evenHBand="0" w:firstRowFirstColumn="0" w:firstRowLastColumn="0" w:lastRowFirstColumn="0" w:lastRowLastColumn="0"/>
            </w:pPr>
            <w:r>
              <w:t>8 120</w:t>
            </w:r>
          </w:p>
        </w:tc>
        <w:tc>
          <w:tcPr>
            <w:tcW w:w="794" w:type="dxa"/>
            <w:tcBorders>
              <w:bottom w:val="single" w:sz="6" w:space="0" w:color="auto"/>
            </w:tcBorders>
          </w:tcPr>
          <w:p w14:paraId="7019DE41" w14:textId="77777777" w:rsidR="00AB205D" w:rsidRDefault="00471A3B">
            <w:pPr>
              <w:cnfStyle w:val="000000000000" w:firstRow="0" w:lastRow="0" w:firstColumn="0" w:lastColumn="0" w:oddVBand="0" w:evenVBand="0" w:oddHBand="0" w:evenHBand="0" w:firstRowFirstColumn="0" w:firstRowLastColumn="0" w:lastRowFirstColumn="0" w:lastRowLastColumn="0"/>
            </w:pPr>
            <w:r>
              <w:t>8 529</w:t>
            </w:r>
          </w:p>
        </w:tc>
      </w:tr>
      <w:tr w:rsidR="009C6724" w14:paraId="35AF783F"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127871AD" w14:textId="77777777" w:rsidR="00AB205D" w:rsidRDefault="00471A3B">
            <w:r>
              <w:rPr>
                <w:b/>
              </w:rPr>
              <w:t>Total land, buildings, infrastructure, plant and equipment</w:t>
            </w:r>
          </w:p>
        </w:tc>
        <w:tc>
          <w:tcPr>
            <w:tcW w:w="794" w:type="dxa"/>
            <w:tcBorders>
              <w:top w:val="single" w:sz="6" w:space="0" w:color="auto"/>
              <w:bottom w:val="single" w:sz="12" w:space="0" w:color="auto"/>
            </w:tcBorders>
          </w:tcPr>
          <w:p w14:paraId="31ADC36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258 538</w:t>
            </w:r>
          </w:p>
        </w:tc>
        <w:tc>
          <w:tcPr>
            <w:tcW w:w="794" w:type="dxa"/>
            <w:tcBorders>
              <w:top w:val="single" w:sz="6" w:space="0" w:color="auto"/>
              <w:bottom w:val="single" w:sz="12" w:space="0" w:color="auto"/>
            </w:tcBorders>
          </w:tcPr>
          <w:p w14:paraId="722F14A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260 988</w:t>
            </w:r>
          </w:p>
        </w:tc>
        <w:tc>
          <w:tcPr>
            <w:tcW w:w="794" w:type="dxa"/>
            <w:tcBorders>
              <w:top w:val="single" w:sz="6" w:space="0" w:color="auto"/>
              <w:bottom w:val="single" w:sz="12" w:space="0" w:color="auto"/>
            </w:tcBorders>
          </w:tcPr>
          <w:p w14:paraId="1338EFC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284 990</w:t>
            </w:r>
          </w:p>
        </w:tc>
        <w:tc>
          <w:tcPr>
            <w:tcW w:w="794" w:type="dxa"/>
            <w:tcBorders>
              <w:top w:val="single" w:sz="6" w:space="0" w:color="auto"/>
              <w:bottom w:val="single" w:sz="12" w:space="0" w:color="auto"/>
            </w:tcBorders>
          </w:tcPr>
          <w:p w14:paraId="0A53E20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278 443</w:t>
            </w:r>
          </w:p>
        </w:tc>
        <w:tc>
          <w:tcPr>
            <w:tcW w:w="794" w:type="dxa"/>
            <w:tcBorders>
              <w:top w:val="single" w:sz="6" w:space="0" w:color="auto"/>
              <w:bottom w:val="single" w:sz="12" w:space="0" w:color="auto"/>
            </w:tcBorders>
          </w:tcPr>
          <w:p w14:paraId="4F13625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294 415</w:t>
            </w:r>
          </w:p>
        </w:tc>
      </w:tr>
    </w:tbl>
    <w:p w14:paraId="27A4D2EB" w14:textId="77777777" w:rsidR="00AB205D" w:rsidRPr="003A1BED" w:rsidRDefault="00471A3B">
      <w:pPr>
        <w:pStyle w:val="Note"/>
      </w:pPr>
      <w:r w:rsidRPr="003A1BED">
        <w:t>Note:</w:t>
      </w:r>
    </w:p>
    <w:p w14:paraId="793C4687" w14:textId="77777777" w:rsidR="00AB205D" w:rsidRPr="003A1BED" w:rsidRDefault="00471A3B">
      <w:pPr>
        <w:pStyle w:val="Note"/>
      </w:pPr>
      <w:r w:rsidRPr="003A1BED">
        <w:t>(a)</w:t>
      </w:r>
      <w:r w:rsidRPr="003A1BED">
        <w:tab/>
        <w:t>The balances for each class of assets includes those related to service concession arrangement assets and right</w:t>
      </w:r>
      <w:r>
        <w:noBreakHyphen/>
      </w:r>
      <w:r w:rsidRPr="003A1BED">
        <w:t>of</w:t>
      </w:r>
      <w:r>
        <w:noBreakHyphen/>
      </w:r>
      <w:r w:rsidRPr="003A1BED">
        <w:t>use assets.</w:t>
      </w:r>
    </w:p>
    <w:p w14:paraId="186A9BFC" w14:textId="77777777" w:rsidR="00AB205D" w:rsidRPr="003A1BED" w:rsidRDefault="00AB205D"/>
    <w:p w14:paraId="4CEEDE99" w14:textId="77777777" w:rsidR="00AB205D" w:rsidRPr="003A1BED" w:rsidRDefault="00471A3B" w:rsidP="00FA005E">
      <w:pPr>
        <w:keepNext/>
        <w:pageBreakBefore/>
      </w:pPr>
      <w:r w:rsidRPr="003A1BED">
        <w:lastRenderedPageBreak/>
        <w:t>The following two tables are subsets of total land, buildings, infrastructure, plant and equipment by right</w:t>
      </w:r>
      <w:r>
        <w:noBreakHyphen/>
      </w:r>
      <w:r w:rsidRPr="003A1BED">
        <w:t>of</w:t>
      </w:r>
      <w:r>
        <w:noBreakHyphen/>
      </w:r>
      <w:r w:rsidRPr="003A1BED">
        <w:t>use (leased) assets and service concession assets.</w:t>
      </w:r>
    </w:p>
    <w:p w14:paraId="02DE7B70" w14:textId="77777777" w:rsidR="00AB205D" w:rsidRPr="003A1BED" w:rsidRDefault="00AB205D">
      <w:pPr>
        <w:keepNext/>
      </w:pPr>
    </w:p>
    <w:p w14:paraId="2C3221B9" w14:textId="77777777" w:rsidR="00AB205D" w:rsidRDefault="00471A3B">
      <w:pPr>
        <w:pStyle w:val="TableHeading"/>
      </w:pPr>
      <w:r w:rsidRPr="00E4496E">
        <w:t xml:space="preserve">Total </w:t>
      </w:r>
      <w:r w:rsidRPr="0075710E">
        <w:t>right</w:t>
      </w:r>
      <w:r>
        <w:noBreakHyphen/>
      </w:r>
      <w:r w:rsidRPr="0075710E">
        <w:t>of</w:t>
      </w:r>
      <w:r>
        <w:noBreakHyphen/>
      </w:r>
      <w:r w:rsidRPr="0075710E">
        <w:t xml:space="preserve">use </w:t>
      </w:r>
      <w:r w:rsidRPr="00E4496E">
        <w:t>(leased) assets: Buildings, infrastructure, plant and equipment</w:t>
      </w:r>
      <w:r w:rsidRPr="00E4496E">
        <w:tab/>
        <w:t>($</w:t>
      </w:r>
      <w:r>
        <w:t xml:space="preserve"> </w:t>
      </w:r>
      <w:r w:rsidRPr="00E4496E">
        <w:t>million)</w:t>
      </w:r>
    </w:p>
    <w:tbl>
      <w:tblPr>
        <w:tblStyle w:val="DTFTableNumeric"/>
        <w:tblW w:w="7710" w:type="dxa"/>
        <w:tblLayout w:type="fixed"/>
        <w:tblLook w:val="06A0" w:firstRow="1" w:lastRow="0" w:firstColumn="1" w:lastColumn="0" w:noHBand="1" w:noVBand="1"/>
        <w:tblDescription w:val="Type:DtfTable|Workbook:Rawdata\BudgetUpdate\Budget Update\Financial Statements\SRIMS exports\SRIMS_BU_EFS_BS.xlsx|Table:Right_of_use_assets|MergedHeadingRow:1"/>
      </w:tblPr>
      <w:tblGrid>
        <w:gridCol w:w="3740"/>
        <w:gridCol w:w="794"/>
        <w:gridCol w:w="794"/>
        <w:gridCol w:w="794"/>
        <w:gridCol w:w="794"/>
        <w:gridCol w:w="794"/>
      </w:tblGrid>
      <w:tr w:rsidR="009C6724" w14:paraId="254ACDF8"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1A448C3B" w14:textId="77777777" w:rsidR="00AB205D" w:rsidRDefault="00AB205D">
            <w:pPr>
              <w:keepNext/>
            </w:pPr>
          </w:p>
        </w:tc>
        <w:tc>
          <w:tcPr>
            <w:tcW w:w="794" w:type="dxa"/>
          </w:tcPr>
          <w:p w14:paraId="52C46BA1"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br/>
              <w:t>budget</w:t>
            </w:r>
          </w:p>
        </w:tc>
        <w:tc>
          <w:tcPr>
            <w:tcW w:w="794" w:type="dxa"/>
          </w:tcPr>
          <w:p w14:paraId="5461E22B"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br/>
              <w:t>revised</w:t>
            </w:r>
          </w:p>
        </w:tc>
        <w:tc>
          <w:tcPr>
            <w:tcW w:w="794" w:type="dxa"/>
          </w:tcPr>
          <w:p w14:paraId="4A2E6DED"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br/>
              <w:t>estimate</w:t>
            </w:r>
          </w:p>
        </w:tc>
        <w:tc>
          <w:tcPr>
            <w:tcW w:w="794" w:type="dxa"/>
          </w:tcPr>
          <w:p w14:paraId="723C02EC"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br/>
              <w:t>estimate</w:t>
            </w:r>
          </w:p>
        </w:tc>
        <w:tc>
          <w:tcPr>
            <w:tcW w:w="794" w:type="dxa"/>
          </w:tcPr>
          <w:p w14:paraId="0349122C"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2027</w:t>
            </w:r>
            <w:r>
              <w:br/>
              <w:t>estimate</w:t>
            </w:r>
          </w:p>
        </w:tc>
      </w:tr>
      <w:tr w:rsidR="009C6724" w14:paraId="2275CA0E"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1CC6E79" w14:textId="77777777" w:rsidR="00AB205D" w:rsidRDefault="00471A3B">
            <w:r>
              <w:t>Buildings</w:t>
            </w:r>
          </w:p>
        </w:tc>
        <w:tc>
          <w:tcPr>
            <w:tcW w:w="794" w:type="dxa"/>
          </w:tcPr>
          <w:p w14:paraId="5AB6FE75" w14:textId="77777777" w:rsidR="00AB205D" w:rsidRDefault="00471A3B">
            <w:pPr>
              <w:cnfStyle w:val="000000000000" w:firstRow="0" w:lastRow="0" w:firstColumn="0" w:lastColumn="0" w:oddVBand="0" w:evenVBand="0" w:oddHBand="0" w:evenHBand="0" w:firstRowFirstColumn="0" w:firstRowLastColumn="0" w:lastRowFirstColumn="0" w:lastRowLastColumn="0"/>
            </w:pPr>
            <w:r>
              <w:t>8 356</w:t>
            </w:r>
          </w:p>
        </w:tc>
        <w:tc>
          <w:tcPr>
            <w:tcW w:w="794" w:type="dxa"/>
          </w:tcPr>
          <w:p w14:paraId="394CBAED" w14:textId="77777777" w:rsidR="00AB205D" w:rsidRDefault="00471A3B">
            <w:pPr>
              <w:cnfStyle w:val="000000000000" w:firstRow="0" w:lastRow="0" w:firstColumn="0" w:lastColumn="0" w:oddVBand="0" w:evenVBand="0" w:oddHBand="0" w:evenHBand="0" w:firstRowFirstColumn="0" w:firstRowLastColumn="0" w:lastRowFirstColumn="0" w:lastRowLastColumn="0"/>
            </w:pPr>
            <w:r>
              <w:t>8 617</w:t>
            </w:r>
          </w:p>
        </w:tc>
        <w:tc>
          <w:tcPr>
            <w:tcW w:w="794" w:type="dxa"/>
          </w:tcPr>
          <w:p w14:paraId="4FABE991" w14:textId="77777777" w:rsidR="00AB205D" w:rsidRDefault="00471A3B">
            <w:pPr>
              <w:cnfStyle w:val="000000000000" w:firstRow="0" w:lastRow="0" w:firstColumn="0" w:lastColumn="0" w:oddVBand="0" w:evenVBand="0" w:oddHBand="0" w:evenHBand="0" w:firstRowFirstColumn="0" w:firstRowLastColumn="0" w:lastRowFirstColumn="0" w:lastRowLastColumn="0"/>
            </w:pPr>
            <w:r>
              <w:t>8 032</w:t>
            </w:r>
          </w:p>
        </w:tc>
        <w:tc>
          <w:tcPr>
            <w:tcW w:w="794" w:type="dxa"/>
          </w:tcPr>
          <w:p w14:paraId="112C46DB" w14:textId="77777777" w:rsidR="00AB205D" w:rsidRDefault="00471A3B">
            <w:pPr>
              <w:cnfStyle w:val="000000000000" w:firstRow="0" w:lastRow="0" w:firstColumn="0" w:lastColumn="0" w:oddVBand="0" w:evenVBand="0" w:oddHBand="0" w:evenHBand="0" w:firstRowFirstColumn="0" w:firstRowLastColumn="0" w:lastRowFirstColumn="0" w:lastRowLastColumn="0"/>
            </w:pPr>
            <w:r>
              <w:t>7 543</w:t>
            </w:r>
          </w:p>
        </w:tc>
        <w:tc>
          <w:tcPr>
            <w:tcW w:w="794" w:type="dxa"/>
          </w:tcPr>
          <w:p w14:paraId="6AA6F79A" w14:textId="77777777" w:rsidR="00AB205D" w:rsidRDefault="00471A3B">
            <w:pPr>
              <w:cnfStyle w:val="000000000000" w:firstRow="0" w:lastRow="0" w:firstColumn="0" w:lastColumn="0" w:oddVBand="0" w:evenVBand="0" w:oddHBand="0" w:evenHBand="0" w:firstRowFirstColumn="0" w:firstRowLastColumn="0" w:lastRowFirstColumn="0" w:lastRowLastColumn="0"/>
            </w:pPr>
            <w:r>
              <w:t>6 957</w:t>
            </w:r>
          </w:p>
        </w:tc>
      </w:tr>
      <w:tr w:rsidR="009C6724" w14:paraId="4162B692"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1BD53F46" w14:textId="77777777" w:rsidR="00AB205D" w:rsidRDefault="00471A3B">
            <w:r>
              <w:t>Infrastructure systems</w:t>
            </w:r>
          </w:p>
        </w:tc>
        <w:tc>
          <w:tcPr>
            <w:tcW w:w="794" w:type="dxa"/>
          </w:tcPr>
          <w:p w14:paraId="5EE91F25" w14:textId="77777777" w:rsidR="00AB205D" w:rsidRDefault="00471A3B">
            <w:pPr>
              <w:cnfStyle w:val="000000000000" w:firstRow="0" w:lastRow="0" w:firstColumn="0" w:lastColumn="0" w:oddVBand="0" w:evenVBand="0" w:oddHBand="0" w:evenHBand="0" w:firstRowFirstColumn="0" w:firstRowLastColumn="0" w:lastRowFirstColumn="0" w:lastRowLastColumn="0"/>
            </w:pPr>
            <w:r>
              <w:t>1</w:t>
            </w:r>
          </w:p>
        </w:tc>
        <w:tc>
          <w:tcPr>
            <w:tcW w:w="794" w:type="dxa"/>
          </w:tcPr>
          <w:p w14:paraId="305CA98E" w14:textId="77777777" w:rsidR="00AB205D" w:rsidRDefault="00471A3B">
            <w:pPr>
              <w:cnfStyle w:val="000000000000" w:firstRow="0" w:lastRow="0" w:firstColumn="0" w:lastColumn="0" w:oddVBand="0" w:evenVBand="0" w:oddHBand="0" w:evenHBand="0" w:firstRowFirstColumn="0" w:firstRowLastColumn="0" w:lastRowFirstColumn="0" w:lastRowLastColumn="0"/>
            </w:pPr>
            <w:r>
              <w:t>1</w:t>
            </w:r>
          </w:p>
        </w:tc>
        <w:tc>
          <w:tcPr>
            <w:tcW w:w="794" w:type="dxa"/>
          </w:tcPr>
          <w:p w14:paraId="6DE181A1" w14:textId="77777777" w:rsidR="00AB205D" w:rsidRDefault="00471A3B">
            <w:pPr>
              <w:cnfStyle w:val="000000000000" w:firstRow="0" w:lastRow="0" w:firstColumn="0" w:lastColumn="0" w:oddVBand="0" w:evenVBand="0" w:oddHBand="0" w:evenHBand="0" w:firstRowFirstColumn="0" w:firstRowLastColumn="0" w:lastRowFirstColumn="0" w:lastRowLastColumn="0"/>
            </w:pPr>
            <w:r>
              <w:t>1</w:t>
            </w:r>
          </w:p>
        </w:tc>
        <w:tc>
          <w:tcPr>
            <w:tcW w:w="794" w:type="dxa"/>
          </w:tcPr>
          <w:p w14:paraId="7F36DD8B" w14:textId="77777777" w:rsidR="00AB205D" w:rsidRDefault="00471A3B">
            <w:pPr>
              <w:cnfStyle w:val="000000000000" w:firstRow="0" w:lastRow="0" w:firstColumn="0" w:lastColumn="0" w:oddVBand="0" w:evenVBand="0" w:oddHBand="0" w:evenHBand="0" w:firstRowFirstColumn="0" w:firstRowLastColumn="0" w:lastRowFirstColumn="0" w:lastRowLastColumn="0"/>
            </w:pPr>
            <w:r>
              <w:t>2</w:t>
            </w:r>
          </w:p>
        </w:tc>
        <w:tc>
          <w:tcPr>
            <w:tcW w:w="794" w:type="dxa"/>
          </w:tcPr>
          <w:p w14:paraId="76DE189A" w14:textId="77777777" w:rsidR="00AB205D" w:rsidRDefault="00471A3B">
            <w:pPr>
              <w:cnfStyle w:val="000000000000" w:firstRow="0" w:lastRow="0" w:firstColumn="0" w:lastColumn="0" w:oddVBand="0" w:evenVBand="0" w:oddHBand="0" w:evenHBand="0" w:firstRowFirstColumn="0" w:firstRowLastColumn="0" w:lastRowFirstColumn="0" w:lastRowLastColumn="0"/>
            </w:pPr>
            <w:r>
              <w:t>2</w:t>
            </w:r>
          </w:p>
        </w:tc>
      </w:tr>
      <w:tr w:rsidR="009C6724" w14:paraId="5B06CAE3"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0302C4CD" w14:textId="77777777" w:rsidR="00AB205D" w:rsidRDefault="00471A3B">
            <w:r>
              <w:t>Plant, equipment and vehicles</w:t>
            </w:r>
          </w:p>
        </w:tc>
        <w:tc>
          <w:tcPr>
            <w:tcW w:w="794" w:type="dxa"/>
            <w:tcBorders>
              <w:bottom w:val="single" w:sz="6" w:space="0" w:color="auto"/>
            </w:tcBorders>
          </w:tcPr>
          <w:p w14:paraId="1C44A412" w14:textId="77777777" w:rsidR="00AB205D" w:rsidRDefault="00471A3B">
            <w:pPr>
              <w:cnfStyle w:val="000000000000" w:firstRow="0" w:lastRow="0" w:firstColumn="0" w:lastColumn="0" w:oddVBand="0" w:evenVBand="0" w:oddHBand="0" w:evenHBand="0" w:firstRowFirstColumn="0" w:firstRowLastColumn="0" w:lastRowFirstColumn="0" w:lastRowLastColumn="0"/>
            </w:pPr>
            <w:r>
              <w:t>283</w:t>
            </w:r>
          </w:p>
        </w:tc>
        <w:tc>
          <w:tcPr>
            <w:tcW w:w="794" w:type="dxa"/>
            <w:tcBorders>
              <w:bottom w:val="single" w:sz="6" w:space="0" w:color="auto"/>
            </w:tcBorders>
          </w:tcPr>
          <w:p w14:paraId="105717D8" w14:textId="77777777" w:rsidR="00AB205D" w:rsidRDefault="00471A3B">
            <w:pPr>
              <w:cnfStyle w:val="000000000000" w:firstRow="0" w:lastRow="0" w:firstColumn="0" w:lastColumn="0" w:oddVBand="0" w:evenVBand="0" w:oddHBand="0" w:evenHBand="0" w:firstRowFirstColumn="0" w:firstRowLastColumn="0" w:lastRowFirstColumn="0" w:lastRowLastColumn="0"/>
            </w:pPr>
            <w:r>
              <w:t>283</w:t>
            </w:r>
          </w:p>
        </w:tc>
        <w:tc>
          <w:tcPr>
            <w:tcW w:w="794" w:type="dxa"/>
            <w:tcBorders>
              <w:bottom w:val="single" w:sz="6" w:space="0" w:color="auto"/>
            </w:tcBorders>
          </w:tcPr>
          <w:p w14:paraId="783A60A7" w14:textId="77777777" w:rsidR="00AB205D" w:rsidRDefault="00471A3B">
            <w:pPr>
              <w:cnfStyle w:val="000000000000" w:firstRow="0" w:lastRow="0" w:firstColumn="0" w:lastColumn="0" w:oddVBand="0" w:evenVBand="0" w:oddHBand="0" w:evenHBand="0" w:firstRowFirstColumn="0" w:firstRowLastColumn="0" w:lastRowFirstColumn="0" w:lastRowLastColumn="0"/>
            </w:pPr>
            <w:r>
              <w:t>197</w:t>
            </w:r>
          </w:p>
        </w:tc>
        <w:tc>
          <w:tcPr>
            <w:tcW w:w="794" w:type="dxa"/>
            <w:tcBorders>
              <w:bottom w:val="single" w:sz="6" w:space="0" w:color="auto"/>
            </w:tcBorders>
          </w:tcPr>
          <w:p w14:paraId="729AE6CB" w14:textId="77777777" w:rsidR="00AB205D" w:rsidRDefault="00471A3B">
            <w:pPr>
              <w:cnfStyle w:val="000000000000" w:firstRow="0" w:lastRow="0" w:firstColumn="0" w:lastColumn="0" w:oddVBand="0" w:evenVBand="0" w:oddHBand="0" w:evenHBand="0" w:firstRowFirstColumn="0" w:firstRowLastColumn="0" w:lastRowFirstColumn="0" w:lastRowLastColumn="0"/>
            </w:pPr>
            <w:r>
              <w:t>111</w:t>
            </w:r>
          </w:p>
        </w:tc>
        <w:tc>
          <w:tcPr>
            <w:tcW w:w="794" w:type="dxa"/>
            <w:tcBorders>
              <w:bottom w:val="single" w:sz="6" w:space="0" w:color="auto"/>
            </w:tcBorders>
          </w:tcPr>
          <w:p w14:paraId="3B94EAF7" w14:textId="77777777" w:rsidR="00AB205D" w:rsidRDefault="00471A3B">
            <w:pPr>
              <w:cnfStyle w:val="000000000000" w:firstRow="0" w:lastRow="0" w:firstColumn="0" w:lastColumn="0" w:oddVBand="0" w:evenVBand="0" w:oddHBand="0" w:evenHBand="0" w:firstRowFirstColumn="0" w:firstRowLastColumn="0" w:lastRowFirstColumn="0" w:lastRowLastColumn="0"/>
            </w:pPr>
            <w:r>
              <w:t>26</w:t>
            </w:r>
          </w:p>
        </w:tc>
      </w:tr>
      <w:tr w:rsidR="009C6724" w14:paraId="2E9DE359"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2EA25968" w14:textId="45323C8B" w:rsidR="00AB205D" w:rsidRDefault="00471A3B">
            <w:r>
              <w:rPr>
                <w:b/>
              </w:rPr>
              <w:t>Total right</w:t>
            </w:r>
            <w:r>
              <w:rPr>
                <w:b/>
              </w:rPr>
              <w:noBreakHyphen/>
              <w:t>of</w:t>
            </w:r>
            <w:r>
              <w:rPr>
                <w:b/>
              </w:rPr>
              <w:noBreakHyphen/>
              <w:t xml:space="preserve">use assets: </w:t>
            </w:r>
            <w:r w:rsidR="001F7933">
              <w:rPr>
                <w:b/>
              </w:rPr>
              <w:t>Buildings</w:t>
            </w:r>
            <w:r>
              <w:rPr>
                <w:b/>
              </w:rPr>
              <w:t>, infrastructure, plant and equipment</w:t>
            </w:r>
          </w:p>
        </w:tc>
        <w:tc>
          <w:tcPr>
            <w:tcW w:w="794" w:type="dxa"/>
            <w:tcBorders>
              <w:top w:val="single" w:sz="6" w:space="0" w:color="auto"/>
              <w:bottom w:val="single" w:sz="12" w:space="0" w:color="auto"/>
            </w:tcBorders>
          </w:tcPr>
          <w:p w14:paraId="254CB6B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8 640</w:t>
            </w:r>
          </w:p>
        </w:tc>
        <w:tc>
          <w:tcPr>
            <w:tcW w:w="794" w:type="dxa"/>
            <w:tcBorders>
              <w:top w:val="single" w:sz="6" w:space="0" w:color="auto"/>
              <w:bottom w:val="single" w:sz="12" w:space="0" w:color="auto"/>
            </w:tcBorders>
          </w:tcPr>
          <w:p w14:paraId="0B09317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8 901</w:t>
            </w:r>
          </w:p>
        </w:tc>
        <w:tc>
          <w:tcPr>
            <w:tcW w:w="794" w:type="dxa"/>
            <w:tcBorders>
              <w:top w:val="single" w:sz="6" w:space="0" w:color="auto"/>
              <w:bottom w:val="single" w:sz="12" w:space="0" w:color="auto"/>
            </w:tcBorders>
          </w:tcPr>
          <w:p w14:paraId="7ABC610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8 230</w:t>
            </w:r>
          </w:p>
        </w:tc>
        <w:tc>
          <w:tcPr>
            <w:tcW w:w="794" w:type="dxa"/>
            <w:tcBorders>
              <w:top w:val="single" w:sz="6" w:space="0" w:color="auto"/>
              <w:bottom w:val="single" w:sz="12" w:space="0" w:color="auto"/>
            </w:tcBorders>
          </w:tcPr>
          <w:p w14:paraId="27E404F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7 655</w:t>
            </w:r>
          </w:p>
        </w:tc>
        <w:tc>
          <w:tcPr>
            <w:tcW w:w="794" w:type="dxa"/>
            <w:tcBorders>
              <w:top w:val="single" w:sz="6" w:space="0" w:color="auto"/>
              <w:bottom w:val="single" w:sz="12" w:space="0" w:color="auto"/>
            </w:tcBorders>
          </w:tcPr>
          <w:p w14:paraId="71A0530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6 985</w:t>
            </w:r>
          </w:p>
        </w:tc>
      </w:tr>
    </w:tbl>
    <w:p w14:paraId="7A27A2F9" w14:textId="44543993" w:rsidR="00AB205D" w:rsidRDefault="00AB205D"/>
    <w:p w14:paraId="6E31878E" w14:textId="77777777" w:rsidR="00FA005E" w:rsidRDefault="00FA005E"/>
    <w:p w14:paraId="5DA41BE6" w14:textId="77777777" w:rsidR="00AB205D" w:rsidRDefault="00471A3B">
      <w:pPr>
        <w:pStyle w:val="TableHeading"/>
      </w:pPr>
      <w:r>
        <w:t xml:space="preserve">Total service concession assets: Land, buildings, infrastructure, plant and equipment </w:t>
      </w:r>
    </w:p>
    <w:p w14:paraId="7BCF20B1" w14:textId="77777777" w:rsidR="00AB205D" w:rsidRDefault="00471A3B">
      <w:pPr>
        <w:pStyle w:val="TableHeading"/>
      </w:pPr>
      <w:r>
        <w:tab/>
      </w:r>
      <w:r>
        <w:tab/>
        <w:t>($ million)</w:t>
      </w:r>
    </w:p>
    <w:tbl>
      <w:tblPr>
        <w:tblStyle w:val="DTFTableNumeric"/>
        <w:tblW w:w="7710" w:type="dxa"/>
        <w:tblLayout w:type="fixed"/>
        <w:tblLook w:val="06A0" w:firstRow="1" w:lastRow="0" w:firstColumn="1" w:lastColumn="0" w:noHBand="1" w:noVBand="1"/>
        <w:tblDescription w:val="Type:DtfTable|Workbook:Rawdata\BudgetUpdate\Budget Update\Financial Statements\SRIMS exports\SRIMS_BU_EFS_BS.xlsx|Table:Service_Concessions_Assets|MergedHeadingRow:1"/>
      </w:tblPr>
      <w:tblGrid>
        <w:gridCol w:w="3740"/>
        <w:gridCol w:w="794"/>
        <w:gridCol w:w="794"/>
        <w:gridCol w:w="794"/>
        <w:gridCol w:w="794"/>
        <w:gridCol w:w="794"/>
      </w:tblGrid>
      <w:tr w:rsidR="009C6724" w14:paraId="09783A33"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542613D8" w14:textId="77777777" w:rsidR="00AB205D" w:rsidRDefault="00AB205D">
            <w:pPr>
              <w:keepNext/>
            </w:pPr>
          </w:p>
        </w:tc>
        <w:tc>
          <w:tcPr>
            <w:tcW w:w="794" w:type="dxa"/>
          </w:tcPr>
          <w:p w14:paraId="53D434E3"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br/>
              <w:t>budget</w:t>
            </w:r>
          </w:p>
        </w:tc>
        <w:tc>
          <w:tcPr>
            <w:tcW w:w="794" w:type="dxa"/>
          </w:tcPr>
          <w:p w14:paraId="0EFDC621"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br/>
              <w:t>revised</w:t>
            </w:r>
          </w:p>
        </w:tc>
        <w:tc>
          <w:tcPr>
            <w:tcW w:w="794" w:type="dxa"/>
          </w:tcPr>
          <w:p w14:paraId="38A6956A"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br/>
              <w:t>estimate</w:t>
            </w:r>
          </w:p>
        </w:tc>
        <w:tc>
          <w:tcPr>
            <w:tcW w:w="794" w:type="dxa"/>
          </w:tcPr>
          <w:p w14:paraId="69BECA8A"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br/>
              <w:t>estimate</w:t>
            </w:r>
          </w:p>
        </w:tc>
        <w:tc>
          <w:tcPr>
            <w:tcW w:w="794" w:type="dxa"/>
          </w:tcPr>
          <w:p w14:paraId="576CF177"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2027</w:t>
            </w:r>
            <w:r>
              <w:br/>
              <w:t>estimate</w:t>
            </w:r>
          </w:p>
        </w:tc>
      </w:tr>
      <w:tr w:rsidR="009C6724" w14:paraId="43617FE6"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645D7371" w14:textId="77777777" w:rsidR="00AB205D" w:rsidRDefault="00471A3B">
            <w:r>
              <w:t>Buildings</w:t>
            </w:r>
          </w:p>
        </w:tc>
        <w:tc>
          <w:tcPr>
            <w:tcW w:w="794" w:type="dxa"/>
          </w:tcPr>
          <w:p w14:paraId="7022A9BD" w14:textId="77777777" w:rsidR="00AB205D" w:rsidRDefault="00471A3B">
            <w:pPr>
              <w:cnfStyle w:val="000000000000" w:firstRow="0" w:lastRow="0" w:firstColumn="0" w:lastColumn="0" w:oddVBand="0" w:evenVBand="0" w:oddHBand="0" w:evenHBand="0" w:firstRowFirstColumn="0" w:firstRowLastColumn="0" w:lastRowFirstColumn="0" w:lastRowLastColumn="0"/>
            </w:pPr>
            <w:r>
              <w:t>2 009</w:t>
            </w:r>
          </w:p>
        </w:tc>
        <w:tc>
          <w:tcPr>
            <w:tcW w:w="794" w:type="dxa"/>
          </w:tcPr>
          <w:p w14:paraId="7CD6A2E1" w14:textId="77777777" w:rsidR="00AB205D" w:rsidRDefault="00471A3B">
            <w:pPr>
              <w:cnfStyle w:val="000000000000" w:firstRow="0" w:lastRow="0" w:firstColumn="0" w:lastColumn="0" w:oddVBand="0" w:evenVBand="0" w:oddHBand="0" w:evenHBand="0" w:firstRowFirstColumn="0" w:firstRowLastColumn="0" w:lastRowFirstColumn="0" w:lastRowLastColumn="0"/>
            </w:pPr>
            <w:r>
              <w:t>1 996</w:t>
            </w:r>
          </w:p>
        </w:tc>
        <w:tc>
          <w:tcPr>
            <w:tcW w:w="794" w:type="dxa"/>
          </w:tcPr>
          <w:p w14:paraId="51338F3E" w14:textId="77777777" w:rsidR="00AB205D" w:rsidRDefault="00471A3B">
            <w:pPr>
              <w:cnfStyle w:val="000000000000" w:firstRow="0" w:lastRow="0" w:firstColumn="0" w:lastColumn="0" w:oddVBand="0" w:evenVBand="0" w:oddHBand="0" w:evenHBand="0" w:firstRowFirstColumn="0" w:firstRowLastColumn="0" w:lastRowFirstColumn="0" w:lastRowLastColumn="0"/>
            </w:pPr>
            <w:r>
              <w:t>1 942</w:t>
            </w:r>
          </w:p>
        </w:tc>
        <w:tc>
          <w:tcPr>
            <w:tcW w:w="794" w:type="dxa"/>
          </w:tcPr>
          <w:p w14:paraId="420B20F4" w14:textId="77777777" w:rsidR="00AB205D" w:rsidRDefault="00471A3B">
            <w:pPr>
              <w:cnfStyle w:val="000000000000" w:firstRow="0" w:lastRow="0" w:firstColumn="0" w:lastColumn="0" w:oddVBand="0" w:evenVBand="0" w:oddHBand="0" w:evenHBand="0" w:firstRowFirstColumn="0" w:firstRowLastColumn="0" w:lastRowFirstColumn="0" w:lastRowLastColumn="0"/>
            </w:pPr>
            <w:r>
              <w:t>1 987</w:t>
            </w:r>
          </w:p>
        </w:tc>
        <w:tc>
          <w:tcPr>
            <w:tcW w:w="794" w:type="dxa"/>
          </w:tcPr>
          <w:p w14:paraId="3FFC0BE7" w14:textId="77777777" w:rsidR="00AB205D" w:rsidRDefault="00471A3B">
            <w:pPr>
              <w:cnfStyle w:val="000000000000" w:firstRow="0" w:lastRow="0" w:firstColumn="0" w:lastColumn="0" w:oddVBand="0" w:evenVBand="0" w:oddHBand="0" w:evenHBand="0" w:firstRowFirstColumn="0" w:firstRowLastColumn="0" w:lastRowFirstColumn="0" w:lastRowLastColumn="0"/>
            </w:pPr>
            <w:r>
              <w:t>1 938</w:t>
            </w:r>
          </w:p>
        </w:tc>
      </w:tr>
      <w:tr w:rsidR="009C6724" w14:paraId="2D0D31F1"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0E747260" w14:textId="77777777" w:rsidR="00AB205D" w:rsidRDefault="00471A3B">
            <w:r>
              <w:t>Land</w:t>
            </w:r>
          </w:p>
        </w:tc>
        <w:tc>
          <w:tcPr>
            <w:tcW w:w="794" w:type="dxa"/>
          </w:tcPr>
          <w:p w14:paraId="24547BDB" w14:textId="77777777" w:rsidR="00AB205D" w:rsidRDefault="00471A3B">
            <w:pPr>
              <w:cnfStyle w:val="000000000000" w:firstRow="0" w:lastRow="0" w:firstColumn="0" w:lastColumn="0" w:oddVBand="0" w:evenVBand="0" w:oddHBand="0" w:evenHBand="0" w:firstRowFirstColumn="0" w:firstRowLastColumn="0" w:lastRowFirstColumn="0" w:lastRowLastColumn="0"/>
            </w:pPr>
            <w:r>
              <w:t>3 353</w:t>
            </w:r>
          </w:p>
        </w:tc>
        <w:tc>
          <w:tcPr>
            <w:tcW w:w="794" w:type="dxa"/>
          </w:tcPr>
          <w:p w14:paraId="58205620" w14:textId="77777777" w:rsidR="00AB205D" w:rsidRDefault="00471A3B">
            <w:pPr>
              <w:cnfStyle w:val="000000000000" w:firstRow="0" w:lastRow="0" w:firstColumn="0" w:lastColumn="0" w:oddVBand="0" w:evenVBand="0" w:oddHBand="0" w:evenHBand="0" w:firstRowFirstColumn="0" w:firstRowLastColumn="0" w:lastRowFirstColumn="0" w:lastRowLastColumn="0"/>
            </w:pPr>
            <w:r>
              <w:t>3 353</w:t>
            </w:r>
          </w:p>
        </w:tc>
        <w:tc>
          <w:tcPr>
            <w:tcW w:w="794" w:type="dxa"/>
          </w:tcPr>
          <w:p w14:paraId="6B94F419" w14:textId="77777777" w:rsidR="00AB205D" w:rsidRDefault="00471A3B">
            <w:pPr>
              <w:cnfStyle w:val="000000000000" w:firstRow="0" w:lastRow="0" w:firstColumn="0" w:lastColumn="0" w:oddVBand="0" w:evenVBand="0" w:oddHBand="0" w:evenHBand="0" w:firstRowFirstColumn="0" w:firstRowLastColumn="0" w:lastRowFirstColumn="0" w:lastRowLastColumn="0"/>
            </w:pPr>
            <w:r>
              <w:t>3 701</w:t>
            </w:r>
          </w:p>
        </w:tc>
        <w:tc>
          <w:tcPr>
            <w:tcW w:w="794" w:type="dxa"/>
          </w:tcPr>
          <w:p w14:paraId="4C654131" w14:textId="77777777" w:rsidR="00AB205D" w:rsidRDefault="00471A3B">
            <w:pPr>
              <w:cnfStyle w:val="000000000000" w:firstRow="0" w:lastRow="0" w:firstColumn="0" w:lastColumn="0" w:oddVBand="0" w:evenVBand="0" w:oddHBand="0" w:evenHBand="0" w:firstRowFirstColumn="0" w:firstRowLastColumn="0" w:lastRowFirstColumn="0" w:lastRowLastColumn="0"/>
            </w:pPr>
            <w:r>
              <w:t>3 701</w:t>
            </w:r>
          </w:p>
        </w:tc>
        <w:tc>
          <w:tcPr>
            <w:tcW w:w="794" w:type="dxa"/>
          </w:tcPr>
          <w:p w14:paraId="6382D408" w14:textId="77777777" w:rsidR="00AB205D" w:rsidRDefault="00471A3B">
            <w:pPr>
              <w:cnfStyle w:val="000000000000" w:firstRow="0" w:lastRow="0" w:firstColumn="0" w:lastColumn="0" w:oddVBand="0" w:evenVBand="0" w:oddHBand="0" w:evenHBand="0" w:firstRowFirstColumn="0" w:firstRowLastColumn="0" w:lastRowFirstColumn="0" w:lastRowLastColumn="0"/>
            </w:pPr>
            <w:r>
              <w:t>3 701</w:t>
            </w:r>
          </w:p>
        </w:tc>
      </w:tr>
      <w:tr w:rsidR="009C6724" w14:paraId="6ECDC678"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6E41A7C4" w14:textId="77777777" w:rsidR="00AB205D" w:rsidRDefault="00471A3B">
            <w:r>
              <w:t>Infrastructure systems</w:t>
            </w:r>
          </w:p>
        </w:tc>
        <w:tc>
          <w:tcPr>
            <w:tcW w:w="794" w:type="dxa"/>
          </w:tcPr>
          <w:p w14:paraId="67CDF366" w14:textId="77777777" w:rsidR="00AB205D" w:rsidRDefault="00471A3B">
            <w:pPr>
              <w:cnfStyle w:val="000000000000" w:firstRow="0" w:lastRow="0" w:firstColumn="0" w:lastColumn="0" w:oddVBand="0" w:evenVBand="0" w:oddHBand="0" w:evenHBand="0" w:firstRowFirstColumn="0" w:firstRowLastColumn="0" w:lastRowFirstColumn="0" w:lastRowLastColumn="0"/>
            </w:pPr>
            <w:r>
              <w:t>10 218</w:t>
            </w:r>
          </w:p>
        </w:tc>
        <w:tc>
          <w:tcPr>
            <w:tcW w:w="794" w:type="dxa"/>
          </w:tcPr>
          <w:p w14:paraId="62FF9128" w14:textId="77777777" w:rsidR="00AB205D" w:rsidRDefault="00471A3B">
            <w:pPr>
              <w:cnfStyle w:val="000000000000" w:firstRow="0" w:lastRow="0" w:firstColumn="0" w:lastColumn="0" w:oddVBand="0" w:evenVBand="0" w:oddHBand="0" w:evenHBand="0" w:firstRowFirstColumn="0" w:firstRowLastColumn="0" w:lastRowFirstColumn="0" w:lastRowLastColumn="0"/>
            </w:pPr>
            <w:r>
              <w:t>9 791</w:t>
            </w:r>
          </w:p>
        </w:tc>
        <w:tc>
          <w:tcPr>
            <w:tcW w:w="794" w:type="dxa"/>
          </w:tcPr>
          <w:p w14:paraId="0170841A" w14:textId="77777777" w:rsidR="00AB205D" w:rsidRDefault="00471A3B">
            <w:pPr>
              <w:cnfStyle w:val="000000000000" w:firstRow="0" w:lastRow="0" w:firstColumn="0" w:lastColumn="0" w:oddVBand="0" w:evenVBand="0" w:oddHBand="0" w:evenHBand="0" w:firstRowFirstColumn="0" w:firstRowLastColumn="0" w:lastRowFirstColumn="0" w:lastRowLastColumn="0"/>
            </w:pPr>
            <w:r>
              <w:t>10 178</w:t>
            </w:r>
          </w:p>
        </w:tc>
        <w:tc>
          <w:tcPr>
            <w:tcW w:w="794" w:type="dxa"/>
          </w:tcPr>
          <w:p w14:paraId="54888162" w14:textId="77777777" w:rsidR="00AB205D" w:rsidRDefault="00471A3B">
            <w:pPr>
              <w:cnfStyle w:val="000000000000" w:firstRow="0" w:lastRow="0" w:firstColumn="0" w:lastColumn="0" w:oddVBand="0" w:evenVBand="0" w:oddHBand="0" w:evenHBand="0" w:firstRowFirstColumn="0" w:firstRowLastColumn="0" w:lastRowFirstColumn="0" w:lastRowLastColumn="0"/>
            </w:pPr>
            <w:r>
              <w:t>871</w:t>
            </w:r>
          </w:p>
        </w:tc>
        <w:tc>
          <w:tcPr>
            <w:tcW w:w="794" w:type="dxa"/>
          </w:tcPr>
          <w:p w14:paraId="13D85F54" w14:textId="77777777" w:rsidR="00AB205D" w:rsidRDefault="00471A3B">
            <w:pPr>
              <w:cnfStyle w:val="000000000000" w:firstRow="0" w:lastRow="0" w:firstColumn="0" w:lastColumn="0" w:oddVBand="0" w:evenVBand="0" w:oddHBand="0" w:evenHBand="0" w:firstRowFirstColumn="0" w:firstRowLastColumn="0" w:lastRowFirstColumn="0" w:lastRowLastColumn="0"/>
            </w:pPr>
            <w:r>
              <w:t>1 023</w:t>
            </w:r>
          </w:p>
        </w:tc>
      </w:tr>
      <w:tr w:rsidR="009C6724" w14:paraId="6626ED39"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6743E932" w14:textId="77777777" w:rsidR="00AB205D" w:rsidRDefault="00471A3B">
            <w:r>
              <w:t>Plant, equipment and vehicles</w:t>
            </w:r>
          </w:p>
        </w:tc>
        <w:tc>
          <w:tcPr>
            <w:tcW w:w="794" w:type="dxa"/>
          </w:tcPr>
          <w:p w14:paraId="335609E4" w14:textId="77777777" w:rsidR="00AB205D" w:rsidRDefault="00471A3B">
            <w:pPr>
              <w:cnfStyle w:val="000000000000" w:firstRow="0" w:lastRow="0" w:firstColumn="0" w:lastColumn="0" w:oddVBand="0" w:evenVBand="0" w:oddHBand="0" w:evenHBand="0" w:firstRowFirstColumn="0" w:firstRowLastColumn="0" w:lastRowFirstColumn="0" w:lastRowLastColumn="0"/>
            </w:pPr>
            <w:r>
              <w:t>182</w:t>
            </w:r>
          </w:p>
        </w:tc>
        <w:tc>
          <w:tcPr>
            <w:tcW w:w="794" w:type="dxa"/>
          </w:tcPr>
          <w:p w14:paraId="06C64ACB" w14:textId="77777777" w:rsidR="00AB205D" w:rsidRDefault="00471A3B">
            <w:pPr>
              <w:cnfStyle w:val="000000000000" w:firstRow="0" w:lastRow="0" w:firstColumn="0" w:lastColumn="0" w:oddVBand="0" w:evenVBand="0" w:oddHBand="0" w:evenHBand="0" w:firstRowFirstColumn="0" w:firstRowLastColumn="0" w:lastRowFirstColumn="0" w:lastRowLastColumn="0"/>
            </w:pPr>
            <w:r>
              <w:t>279</w:t>
            </w:r>
          </w:p>
        </w:tc>
        <w:tc>
          <w:tcPr>
            <w:tcW w:w="794" w:type="dxa"/>
          </w:tcPr>
          <w:p w14:paraId="003014DB" w14:textId="77777777" w:rsidR="00AB205D" w:rsidRDefault="00471A3B">
            <w:pPr>
              <w:cnfStyle w:val="000000000000" w:firstRow="0" w:lastRow="0" w:firstColumn="0" w:lastColumn="0" w:oddVBand="0" w:evenVBand="0" w:oddHBand="0" w:evenHBand="0" w:firstRowFirstColumn="0" w:firstRowLastColumn="0" w:lastRowFirstColumn="0" w:lastRowLastColumn="0"/>
            </w:pPr>
            <w:r>
              <w:t>294</w:t>
            </w:r>
          </w:p>
        </w:tc>
        <w:tc>
          <w:tcPr>
            <w:tcW w:w="794" w:type="dxa"/>
          </w:tcPr>
          <w:p w14:paraId="4F9CD77F" w14:textId="77777777" w:rsidR="00AB205D" w:rsidRDefault="00471A3B">
            <w:pPr>
              <w:cnfStyle w:val="000000000000" w:firstRow="0" w:lastRow="0" w:firstColumn="0" w:lastColumn="0" w:oddVBand="0" w:evenVBand="0" w:oddHBand="0" w:evenHBand="0" w:firstRowFirstColumn="0" w:firstRowLastColumn="0" w:lastRowFirstColumn="0" w:lastRowLastColumn="0"/>
            </w:pPr>
            <w:r>
              <w:t>288</w:t>
            </w:r>
          </w:p>
        </w:tc>
        <w:tc>
          <w:tcPr>
            <w:tcW w:w="794" w:type="dxa"/>
          </w:tcPr>
          <w:p w14:paraId="4F03F6FB" w14:textId="77777777" w:rsidR="00AB205D" w:rsidRDefault="00471A3B">
            <w:pPr>
              <w:cnfStyle w:val="000000000000" w:firstRow="0" w:lastRow="0" w:firstColumn="0" w:lastColumn="0" w:oddVBand="0" w:evenVBand="0" w:oddHBand="0" w:evenHBand="0" w:firstRowFirstColumn="0" w:firstRowLastColumn="0" w:lastRowFirstColumn="0" w:lastRowLastColumn="0"/>
            </w:pPr>
            <w:r>
              <w:t>278</w:t>
            </w:r>
          </w:p>
        </w:tc>
      </w:tr>
      <w:tr w:rsidR="009C6724" w14:paraId="64A3AF0F"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7E678F13" w14:textId="77777777" w:rsidR="00AB205D" w:rsidRDefault="00471A3B">
            <w:r>
              <w:t>Roads and road infrastructure</w:t>
            </w:r>
          </w:p>
        </w:tc>
        <w:tc>
          <w:tcPr>
            <w:tcW w:w="794" w:type="dxa"/>
          </w:tcPr>
          <w:p w14:paraId="65E8D744" w14:textId="77777777" w:rsidR="00AB205D" w:rsidRDefault="00471A3B">
            <w:pPr>
              <w:cnfStyle w:val="000000000000" w:firstRow="0" w:lastRow="0" w:firstColumn="0" w:lastColumn="0" w:oddVBand="0" w:evenVBand="0" w:oddHBand="0" w:evenHBand="0" w:firstRowFirstColumn="0" w:firstRowLastColumn="0" w:lastRowFirstColumn="0" w:lastRowLastColumn="0"/>
            </w:pPr>
            <w:r>
              <w:t>17 739</w:t>
            </w:r>
          </w:p>
        </w:tc>
        <w:tc>
          <w:tcPr>
            <w:tcW w:w="794" w:type="dxa"/>
          </w:tcPr>
          <w:p w14:paraId="30974636" w14:textId="77777777" w:rsidR="00AB205D" w:rsidRDefault="00471A3B">
            <w:pPr>
              <w:cnfStyle w:val="000000000000" w:firstRow="0" w:lastRow="0" w:firstColumn="0" w:lastColumn="0" w:oddVBand="0" w:evenVBand="0" w:oddHBand="0" w:evenHBand="0" w:firstRowFirstColumn="0" w:firstRowLastColumn="0" w:lastRowFirstColumn="0" w:lastRowLastColumn="0"/>
            </w:pPr>
            <w:r>
              <w:t>17 366</w:t>
            </w:r>
          </w:p>
        </w:tc>
        <w:tc>
          <w:tcPr>
            <w:tcW w:w="794" w:type="dxa"/>
          </w:tcPr>
          <w:p w14:paraId="366D5EC8" w14:textId="77777777" w:rsidR="00AB205D" w:rsidRDefault="00471A3B">
            <w:pPr>
              <w:cnfStyle w:val="000000000000" w:firstRow="0" w:lastRow="0" w:firstColumn="0" w:lastColumn="0" w:oddVBand="0" w:evenVBand="0" w:oddHBand="0" w:evenHBand="0" w:firstRowFirstColumn="0" w:firstRowLastColumn="0" w:lastRowFirstColumn="0" w:lastRowLastColumn="0"/>
            </w:pPr>
            <w:r>
              <w:t>19 069</w:t>
            </w:r>
          </w:p>
        </w:tc>
        <w:tc>
          <w:tcPr>
            <w:tcW w:w="794" w:type="dxa"/>
          </w:tcPr>
          <w:p w14:paraId="1CD9FE58" w14:textId="77777777" w:rsidR="00AB205D" w:rsidRDefault="00471A3B">
            <w:pPr>
              <w:cnfStyle w:val="000000000000" w:firstRow="0" w:lastRow="0" w:firstColumn="0" w:lastColumn="0" w:oddVBand="0" w:evenVBand="0" w:oddHBand="0" w:evenHBand="0" w:firstRowFirstColumn="0" w:firstRowLastColumn="0" w:lastRowFirstColumn="0" w:lastRowLastColumn="0"/>
            </w:pPr>
            <w:r>
              <w:t>19 447</w:t>
            </w:r>
          </w:p>
        </w:tc>
        <w:tc>
          <w:tcPr>
            <w:tcW w:w="794" w:type="dxa"/>
          </w:tcPr>
          <w:p w14:paraId="71FF27B8" w14:textId="77777777" w:rsidR="00AB205D" w:rsidRDefault="00471A3B">
            <w:pPr>
              <w:cnfStyle w:val="000000000000" w:firstRow="0" w:lastRow="0" w:firstColumn="0" w:lastColumn="0" w:oddVBand="0" w:evenVBand="0" w:oddHBand="0" w:evenHBand="0" w:firstRowFirstColumn="0" w:firstRowLastColumn="0" w:lastRowFirstColumn="0" w:lastRowLastColumn="0"/>
            </w:pPr>
            <w:r>
              <w:t>19 180</w:t>
            </w:r>
          </w:p>
        </w:tc>
      </w:tr>
      <w:tr w:rsidR="009C6724" w14:paraId="791BCEA9"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767FBDF8" w14:textId="77777777" w:rsidR="00AB205D" w:rsidRDefault="00471A3B">
            <w:r>
              <w:t>Earthworks</w:t>
            </w:r>
          </w:p>
        </w:tc>
        <w:tc>
          <w:tcPr>
            <w:tcW w:w="794" w:type="dxa"/>
            <w:tcBorders>
              <w:bottom w:val="single" w:sz="6" w:space="0" w:color="auto"/>
            </w:tcBorders>
          </w:tcPr>
          <w:p w14:paraId="1DA7C609" w14:textId="77777777" w:rsidR="00AB205D" w:rsidRDefault="00471A3B">
            <w:pPr>
              <w:cnfStyle w:val="000000000000" w:firstRow="0" w:lastRow="0" w:firstColumn="0" w:lastColumn="0" w:oddVBand="0" w:evenVBand="0" w:oddHBand="0" w:evenHBand="0" w:firstRowFirstColumn="0" w:firstRowLastColumn="0" w:lastRowFirstColumn="0" w:lastRowLastColumn="0"/>
            </w:pPr>
            <w:r>
              <w:t>1 056</w:t>
            </w:r>
          </w:p>
        </w:tc>
        <w:tc>
          <w:tcPr>
            <w:tcW w:w="794" w:type="dxa"/>
            <w:tcBorders>
              <w:bottom w:val="single" w:sz="6" w:space="0" w:color="auto"/>
            </w:tcBorders>
          </w:tcPr>
          <w:p w14:paraId="48651352" w14:textId="77777777" w:rsidR="00AB205D" w:rsidRDefault="00471A3B">
            <w:pPr>
              <w:cnfStyle w:val="000000000000" w:firstRow="0" w:lastRow="0" w:firstColumn="0" w:lastColumn="0" w:oddVBand="0" w:evenVBand="0" w:oddHBand="0" w:evenHBand="0" w:firstRowFirstColumn="0" w:firstRowLastColumn="0" w:lastRowFirstColumn="0" w:lastRowLastColumn="0"/>
            </w:pPr>
            <w:r>
              <w:t>1 056</w:t>
            </w:r>
          </w:p>
        </w:tc>
        <w:tc>
          <w:tcPr>
            <w:tcW w:w="794" w:type="dxa"/>
            <w:tcBorders>
              <w:bottom w:val="single" w:sz="6" w:space="0" w:color="auto"/>
            </w:tcBorders>
          </w:tcPr>
          <w:p w14:paraId="68A318A3" w14:textId="77777777" w:rsidR="00AB205D" w:rsidRDefault="00471A3B">
            <w:pPr>
              <w:cnfStyle w:val="000000000000" w:firstRow="0" w:lastRow="0" w:firstColumn="0" w:lastColumn="0" w:oddVBand="0" w:evenVBand="0" w:oddHBand="0" w:evenHBand="0" w:firstRowFirstColumn="0" w:firstRowLastColumn="0" w:lastRowFirstColumn="0" w:lastRowLastColumn="0"/>
            </w:pPr>
            <w:r>
              <w:t>1 130</w:t>
            </w:r>
          </w:p>
        </w:tc>
        <w:tc>
          <w:tcPr>
            <w:tcW w:w="794" w:type="dxa"/>
            <w:tcBorders>
              <w:bottom w:val="single" w:sz="6" w:space="0" w:color="auto"/>
            </w:tcBorders>
          </w:tcPr>
          <w:p w14:paraId="53F51BFA" w14:textId="77777777" w:rsidR="00AB205D" w:rsidRDefault="00471A3B">
            <w:pPr>
              <w:cnfStyle w:val="000000000000" w:firstRow="0" w:lastRow="0" w:firstColumn="0" w:lastColumn="0" w:oddVBand="0" w:evenVBand="0" w:oddHBand="0" w:evenHBand="0" w:firstRowFirstColumn="0" w:firstRowLastColumn="0" w:lastRowFirstColumn="0" w:lastRowLastColumn="0"/>
            </w:pPr>
            <w:r>
              <w:t>1 130</w:t>
            </w:r>
          </w:p>
        </w:tc>
        <w:tc>
          <w:tcPr>
            <w:tcW w:w="794" w:type="dxa"/>
            <w:tcBorders>
              <w:bottom w:val="single" w:sz="6" w:space="0" w:color="auto"/>
            </w:tcBorders>
          </w:tcPr>
          <w:p w14:paraId="7D3F1BD6" w14:textId="77777777" w:rsidR="00AB205D" w:rsidRDefault="00471A3B">
            <w:pPr>
              <w:cnfStyle w:val="000000000000" w:firstRow="0" w:lastRow="0" w:firstColumn="0" w:lastColumn="0" w:oddVBand="0" w:evenVBand="0" w:oddHBand="0" w:evenHBand="0" w:firstRowFirstColumn="0" w:firstRowLastColumn="0" w:lastRowFirstColumn="0" w:lastRowLastColumn="0"/>
            </w:pPr>
            <w:r>
              <w:t>1 130</w:t>
            </w:r>
          </w:p>
        </w:tc>
      </w:tr>
      <w:tr w:rsidR="009C6724" w14:paraId="5DC7217C"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3AD41538" w14:textId="2534A36D" w:rsidR="00AB205D" w:rsidRDefault="00471A3B">
            <w:r>
              <w:rPr>
                <w:b/>
              </w:rPr>
              <w:t xml:space="preserve">Total service concession assets: </w:t>
            </w:r>
            <w:r w:rsidR="001F7933">
              <w:rPr>
                <w:b/>
              </w:rPr>
              <w:t>Land</w:t>
            </w:r>
            <w:r>
              <w:rPr>
                <w:b/>
              </w:rPr>
              <w:t>, buildings, infrastructure, plant and equipment</w:t>
            </w:r>
          </w:p>
        </w:tc>
        <w:tc>
          <w:tcPr>
            <w:tcW w:w="794" w:type="dxa"/>
            <w:tcBorders>
              <w:top w:val="single" w:sz="6" w:space="0" w:color="auto"/>
              <w:bottom w:val="single" w:sz="12" w:space="0" w:color="auto"/>
            </w:tcBorders>
          </w:tcPr>
          <w:p w14:paraId="753EC78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34 557</w:t>
            </w:r>
          </w:p>
        </w:tc>
        <w:tc>
          <w:tcPr>
            <w:tcW w:w="794" w:type="dxa"/>
            <w:tcBorders>
              <w:top w:val="single" w:sz="6" w:space="0" w:color="auto"/>
              <w:bottom w:val="single" w:sz="12" w:space="0" w:color="auto"/>
            </w:tcBorders>
          </w:tcPr>
          <w:p w14:paraId="0478889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33 840</w:t>
            </w:r>
          </w:p>
        </w:tc>
        <w:tc>
          <w:tcPr>
            <w:tcW w:w="794" w:type="dxa"/>
            <w:tcBorders>
              <w:top w:val="single" w:sz="6" w:space="0" w:color="auto"/>
              <w:bottom w:val="single" w:sz="12" w:space="0" w:color="auto"/>
            </w:tcBorders>
          </w:tcPr>
          <w:p w14:paraId="1F1DC67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36 315</w:t>
            </w:r>
          </w:p>
        </w:tc>
        <w:tc>
          <w:tcPr>
            <w:tcW w:w="794" w:type="dxa"/>
            <w:tcBorders>
              <w:top w:val="single" w:sz="6" w:space="0" w:color="auto"/>
              <w:bottom w:val="single" w:sz="12" w:space="0" w:color="auto"/>
            </w:tcBorders>
          </w:tcPr>
          <w:p w14:paraId="54540F2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27 423</w:t>
            </w:r>
          </w:p>
        </w:tc>
        <w:tc>
          <w:tcPr>
            <w:tcW w:w="794" w:type="dxa"/>
            <w:tcBorders>
              <w:top w:val="single" w:sz="6" w:space="0" w:color="auto"/>
              <w:bottom w:val="single" w:sz="12" w:space="0" w:color="auto"/>
            </w:tcBorders>
          </w:tcPr>
          <w:p w14:paraId="37D7684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27 250</w:t>
            </w:r>
          </w:p>
        </w:tc>
      </w:tr>
    </w:tbl>
    <w:p w14:paraId="3B5C81C4" w14:textId="77777777" w:rsidR="00AB205D" w:rsidRDefault="00AB205D"/>
    <w:p w14:paraId="66EB0F5F" w14:textId="77777777" w:rsidR="00AB205D" w:rsidRPr="00232F89" w:rsidRDefault="00471A3B">
      <w:pPr>
        <w:pStyle w:val="Heading3"/>
        <w:pageBreakBefore/>
        <w:rPr>
          <w:sz w:val="21"/>
          <w:szCs w:val="21"/>
        </w:rPr>
      </w:pPr>
      <w:bookmarkStart w:id="63" w:name="_Toc149221056"/>
      <w:r w:rsidRPr="00232F89">
        <w:rPr>
          <w:sz w:val="21"/>
          <w:szCs w:val="21"/>
        </w:rPr>
        <w:lastRenderedPageBreak/>
        <w:t>Depreciation</w:t>
      </w:r>
      <w:r w:rsidRPr="00232F89">
        <w:rPr>
          <w:sz w:val="21"/>
          <w:szCs w:val="21"/>
        </w:rPr>
        <w:tab/>
        <w:t>($ million)</w:t>
      </w:r>
      <w:bookmarkEnd w:id="63"/>
    </w:p>
    <w:tbl>
      <w:tblPr>
        <w:tblStyle w:val="DTFTableNumeric"/>
        <w:tblW w:w="7710" w:type="dxa"/>
        <w:tblLayout w:type="fixed"/>
        <w:tblLook w:val="06A0" w:firstRow="1" w:lastRow="0" w:firstColumn="1" w:lastColumn="0" w:noHBand="1" w:noVBand="1"/>
        <w:tblDescription w:val="Type:DtfTable|Workbook:Rawdata\BudgetUpdate\Budget Update\Financial Statements\SRIMS exports\SRIMS_BU_EFS_OS.xlsx|Table:Depreciation|MergedHeadingRow:1"/>
      </w:tblPr>
      <w:tblGrid>
        <w:gridCol w:w="3740"/>
        <w:gridCol w:w="794"/>
        <w:gridCol w:w="794"/>
        <w:gridCol w:w="794"/>
        <w:gridCol w:w="794"/>
        <w:gridCol w:w="794"/>
      </w:tblGrid>
      <w:tr w:rsidR="009C6724" w14:paraId="07134328"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62B9A12D" w14:textId="77777777" w:rsidR="00AB205D" w:rsidRDefault="00AB205D">
            <w:pPr>
              <w:keepNext/>
            </w:pPr>
          </w:p>
        </w:tc>
        <w:tc>
          <w:tcPr>
            <w:tcW w:w="794" w:type="dxa"/>
          </w:tcPr>
          <w:p w14:paraId="06692A3F"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budget</w:t>
            </w:r>
          </w:p>
        </w:tc>
        <w:tc>
          <w:tcPr>
            <w:tcW w:w="794" w:type="dxa"/>
          </w:tcPr>
          <w:p w14:paraId="0B865FC6"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revised</w:t>
            </w:r>
          </w:p>
        </w:tc>
        <w:tc>
          <w:tcPr>
            <w:tcW w:w="794" w:type="dxa"/>
          </w:tcPr>
          <w:p w14:paraId="3D14DAD7"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r>
              <w:br/>
              <w:t>estimate</w:t>
            </w:r>
          </w:p>
        </w:tc>
        <w:tc>
          <w:tcPr>
            <w:tcW w:w="794" w:type="dxa"/>
          </w:tcPr>
          <w:p w14:paraId="641C2E83"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28315193"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r>
      <w:tr w:rsidR="009C6724" w14:paraId="0B9AC1E0"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09040557" w14:textId="77777777" w:rsidR="00AB205D" w:rsidRDefault="00471A3B">
            <w:r>
              <w:t>Buildings</w:t>
            </w:r>
            <w:r>
              <w:rPr>
                <w:vertAlign w:val="superscript"/>
              </w:rPr>
              <w:t xml:space="preserve"> (a)</w:t>
            </w:r>
          </w:p>
        </w:tc>
        <w:tc>
          <w:tcPr>
            <w:tcW w:w="794" w:type="dxa"/>
          </w:tcPr>
          <w:p w14:paraId="7A4D89BB" w14:textId="77777777" w:rsidR="00AB205D" w:rsidRDefault="00471A3B">
            <w:pPr>
              <w:cnfStyle w:val="000000000000" w:firstRow="0" w:lastRow="0" w:firstColumn="0" w:lastColumn="0" w:oddVBand="0" w:evenVBand="0" w:oddHBand="0" w:evenHBand="0" w:firstRowFirstColumn="0" w:firstRowLastColumn="0" w:lastRowFirstColumn="0" w:lastRowLastColumn="0"/>
            </w:pPr>
            <w:r>
              <w:t>2 693</w:t>
            </w:r>
          </w:p>
        </w:tc>
        <w:tc>
          <w:tcPr>
            <w:tcW w:w="794" w:type="dxa"/>
          </w:tcPr>
          <w:p w14:paraId="0BA9D4CE" w14:textId="77777777" w:rsidR="00AB205D" w:rsidRDefault="00471A3B">
            <w:pPr>
              <w:cnfStyle w:val="000000000000" w:firstRow="0" w:lastRow="0" w:firstColumn="0" w:lastColumn="0" w:oddVBand="0" w:evenVBand="0" w:oddHBand="0" w:evenHBand="0" w:firstRowFirstColumn="0" w:firstRowLastColumn="0" w:lastRowFirstColumn="0" w:lastRowLastColumn="0"/>
            </w:pPr>
            <w:r>
              <w:t>2 702</w:t>
            </w:r>
          </w:p>
        </w:tc>
        <w:tc>
          <w:tcPr>
            <w:tcW w:w="794" w:type="dxa"/>
          </w:tcPr>
          <w:p w14:paraId="0D559EB5" w14:textId="77777777" w:rsidR="00AB205D" w:rsidRDefault="00471A3B">
            <w:pPr>
              <w:cnfStyle w:val="000000000000" w:firstRow="0" w:lastRow="0" w:firstColumn="0" w:lastColumn="0" w:oddVBand="0" w:evenVBand="0" w:oddHBand="0" w:evenHBand="0" w:firstRowFirstColumn="0" w:firstRowLastColumn="0" w:lastRowFirstColumn="0" w:lastRowLastColumn="0"/>
            </w:pPr>
            <w:r>
              <w:t>2 818</w:t>
            </w:r>
          </w:p>
        </w:tc>
        <w:tc>
          <w:tcPr>
            <w:tcW w:w="794" w:type="dxa"/>
          </w:tcPr>
          <w:p w14:paraId="28B63E40" w14:textId="77777777" w:rsidR="00AB205D" w:rsidRDefault="00471A3B">
            <w:pPr>
              <w:cnfStyle w:val="000000000000" w:firstRow="0" w:lastRow="0" w:firstColumn="0" w:lastColumn="0" w:oddVBand="0" w:evenVBand="0" w:oddHBand="0" w:evenHBand="0" w:firstRowFirstColumn="0" w:firstRowLastColumn="0" w:lastRowFirstColumn="0" w:lastRowLastColumn="0"/>
            </w:pPr>
            <w:r>
              <w:t>2 978</w:t>
            </w:r>
          </w:p>
        </w:tc>
        <w:tc>
          <w:tcPr>
            <w:tcW w:w="794" w:type="dxa"/>
          </w:tcPr>
          <w:p w14:paraId="727EF570" w14:textId="77777777" w:rsidR="00AB205D" w:rsidRDefault="00471A3B">
            <w:pPr>
              <w:cnfStyle w:val="000000000000" w:firstRow="0" w:lastRow="0" w:firstColumn="0" w:lastColumn="0" w:oddVBand="0" w:evenVBand="0" w:oddHBand="0" w:evenHBand="0" w:firstRowFirstColumn="0" w:firstRowLastColumn="0" w:lastRowFirstColumn="0" w:lastRowLastColumn="0"/>
            </w:pPr>
            <w:r>
              <w:t>3 023</w:t>
            </w:r>
          </w:p>
        </w:tc>
      </w:tr>
      <w:tr w:rsidR="009C6724" w14:paraId="2862D257"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B0C6F56" w14:textId="77777777" w:rsidR="00AB205D" w:rsidRDefault="00471A3B">
            <w:r>
              <w:t>Infrastructure systems</w:t>
            </w:r>
          </w:p>
        </w:tc>
        <w:tc>
          <w:tcPr>
            <w:tcW w:w="794" w:type="dxa"/>
          </w:tcPr>
          <w:p w14:paraId="37182297" w14:textId="77777777" w:rsidR="00AB205D" w:rsidRDefault="00471A3B">
            <w:pPr>
              <w:cnfStyle w:val="000000000000" w:firstRow="0" w:lastRow="0" w:firstColumn="0" w:lastColumn="0" w:oddVBand="0" w:evenVBand="0" w:oddHBand="0" w:evenHBand="0" w:firstRowFirstColumn="0" w:firstRowLastColumn="0" w:lastRowFirstColumn="0" w:lastRowLastColumn="0"/>
            </w:pPr>
            <w:r>
              <w:t>54</w:t>
            </w:r>
          </w:p>
        </w:tc>
        <w:tc>
          <w:tcPr>
            <w:tcW w:w="794" w:type="dxa"/>
          </w:tcPr>
          <w:p w14:paraId="33F3C75C" w14:textId="77777777" w:rsidR="00AB205D" w:rsidRDefault="00471A3B">
            <w:pPr>
              <w:cnfStyle w:val="000000000000" w:firstRow="0" w:lastRow="0" w:firstColumn="0" w:lastColumn="0" w:oddVBand="0" w:evenVBand="0" w:oddHBand="0" w:evenHBand="0" w:firstRowFirstColumn="0" w:firstRowLastColumn="0" w:lastRowFirstColumn="0" w:lastRowLastColumn="0"/>
            </w:pPr>
            <w:r>
              <w:t>55</w:t>
            </w:r>
          </w:p>
        </w:tc>
        <w:tc>
          <w:tcPr>
            <w:tcW w:w="794" w:type="dxa"/>
          </w:tcPr>
          <w:p w14:paraId="2A33D95C" w14:textId="77777777" w:rsidR="00AB205D" w:rsidRDefault="00471A3B">
            <w:pPr>
              <w:cnfStyle w:val="000000000000" w:firstRow="0" w:lastRow="0" w:firstColumn="0" w:lastColumn="0" w:oddVBand="0" w:evenVBand="0" w:oddHBand="0" w:evenHBand="0" w:firstRowFirstColumn="0" w:firstRowLastColumn="0" w:lastRowFirstColumn="0" w:lastRowLastColumn="0"/>
            </w:pPr>
            <w:r>
              <w:t>61</w:t>
            </w:r>
          </w:p>
        </w:tc>
        <w:tc>
          <w:tcPr>
            <w:tcW w:w="794" w:type="dxa"/>
          </w:tcPr>
          <w:p w14:paraId="22265619" w14:textId="77777777" w:rsidR="00AB205D" w:rsidRDefault="00471A3B">
            <w:pPr>
              <w:cnfStyle w:val="000000000000" w:firstRow="0" w:lastRow="0" w:firstColumn="0" w:lastColumn="0" w:oddVBand="0" w:evenVBand="0" w:oddHBand="0" w:evenHBand="0" w:firstRowFirstColumn="0" w:firstRowLastColumn="0" w:lastRowFirstColumn="0" w:lastRowLastColumn="0"/>
            </w:pPr>
            <w:r>
              <w:t>57</w:t>
            </w:r>
          </w:p>
        </w:tc>
        <w:tc>
          <w:tcPr>
            <w:tcW w:w="794" w:type="dxa"/>
          </w:tcPr>
          <w:p w14:paraId="33C1AEFC" w14:textId="77777777" w:rsidR="00AB205D" w:rsidRDefault="00471A3B">
            <w:pPr>
              <w:cnfStyle w:val="000000000000" w:firstRow="0" w:lastRow="0" w:firstColumn="0" w:lastColumn="0" w:oddVBand="0" w:evenVBand="0" w:oddHBand="0" w:evenHBand="0" w:firstRowFirstColumn="0" w:firstRowLastColumn="0" w:lastRowFirstColumn="0" w:lastRowLastColumn="0"/>
            </w:pPr>
            <w:r>
              <w:t>57</w:t>
            </w:r>
          </w:p>
        </w:tc>
      </w:tr>
      <w:tr w:rsidR="009C6724" w14:paraId="218C73FA"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722C1072" w14:textId="77777777" w:rsidR="00AB205D" w:rsidRDefault="00471A3B">
            <w:r>
              <w:t>Plant, equipment and vehicles</w:t>
            </w:r>
            <w:r>
              <w:rPr>
                <w:vertAlign w:val="superscript"/>
              </w:rPr>
              <w:t xml:space="preserve"> (a)</w:t>
            </w:r>
          </w:p>
        </w:tc>
        <w:tc>
          <w:tcPr>
            <w:tcW w:w="794" w:type="dxa"/>
          </w:tcPr>
          <w:p w14:paraId="1F7FD223" w14:textId="77777777" w:rsidR="00AB205D" w:rsidRDefault="00471A3B">
            <w:pPr>
              <w:cnfStyle w:val="000000000000" w:firstRow="0" w:lastRow="0" w:firstColumn="0" w:lastColumn="0" w:oddVBand="0" w:evenVBand="0" w:oddHBand="0" w:evenHBand="0" w:firstRowFirstColumn="0" w:firstRowLastColumn="0" w:lastRowFirstColumn="0" w:lastRowLastColumn="0"/>
            </w:pPr>
            <w:r>
              <w:t>868</w:t>
            </w:r>
          </w:p>
        </w:tc>
        <w:tc>
          <w:tcPr>
            <w:tcW w:w="794" w:type="dxa"/>
          </w:tcPr>
          <w:p w14:paraId="05AD51C6" w14:textId="77777777" w:rsidR="00AB205D" w:rsidRDefault="00471A3B">
            <w:pPr>
              <w:cnfStyle w:val="000000000000" w:firstRow="0" w:lastRow="0" w:firstColumn="0" w:lastColumn="0" w:oddVBand="0" w:evenVBand="0" w:oddHBand="0" w:evenHBand="0" w:firstRowFirstColumn="0" w:firstRowLastColumn="0" w:lastRowFirstColumn="0" w:lastRowLastColumn="0"/>
            </w:pPr>
            <w:r>
              <w:t>866</w:t>
            </w:r>
          </w:p>
        </w:tc>
        <w:tc>
          <w:tcPr>
            <w:tcW w:w="794" w:type="dxa"/>
          </w:tcPr>
          <w:p w14:paraId="6526D03A" w14:textId="77777777" w:rsidR="00AB205D" w:rsidRDefault="00471A3B">
            <w:pPr>
              <w:cnfStyle w:val="000000000000" w:firstRow="0" w:lastRow="0" w:firstColumn="0" w:lastColumn="0" w:oddVBand="0" w:evenVBand="0" w:oddHBand="0" w:evenHBand="0" w:firstRowFirstColumn="0" w:firstRowLastColumn="0" w:lastRowFirstColumn="0" w:lastRowLastColumn="0"/>
            </w:pPr>
            <w:r>
              <w:t>870</w:t>
            </w:r>
          </w:p>
        </w:tc>
        <w:tc>
          <w:tcPr>
            <w:tcW w:w="794" w:type="dxa"/>
          </w:tcPr>
          <w:p w14:paraId="1D0F1CDC" w14:textId="77777777" w:rsidR="00AB205D" w:rsidRDefault="00471A3B">
            <w:pPr>
              <w:cnfStyle w:val="000000000000" w:firstRow="0" w:lastRow="0" w:firstColumn="0" w:lastColumn="0" w:oddVBand="0" w:evenVBand="0" w:oddHBand="0" w:evenHBand="0" w:firstRowFirstColumn="0" w:firstRowLastColumn="0" w:lastRowFirstColumn="0" w:lastRowLastColumn="0"/>
            </w:pPr>
            <w:r>
              <w:t>869</w:t>
            </w:r>
          </w:p>
        </w:tc>
        <w:tc>
          <w:tcPr>
            <w:tcW w:w="794" w:type="dxa"/>
          </w:tcPr>
          <w:p w14:paraId="67D2EAF4" w14:textId="77777777" w:rsidR="00AB205D" w:rsidRDefault="00471A3B">
            <w:pPr>
              <w:cnfStyle w:val="000000000000" w:firstRow="0" w:lastRow="0" w:firstColumn="0" w:lastColumn="0" w:oddVBand="0" w:evenVBand="0" w:oddHBand="0" w:evenHBand="0" w:firstRowFirstColumn="0" w:firstRowLastColumn="0" w:lastRowFirstColumn="0" w:lastRowLastColumn="0"/>
            </w:pPr>
            <w:r>
              <w:t>865</w:t>
            </w:r>
          </w:p>
        </w:tc>
      </w:tr>
      <w:tr w:rsidR="009C6724" w14:paraId="3294548C"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449EF6D" w14:textId="77777777" w:rsidR="00AB205D" w:rsidRDefault="00471A3B">
            <w:r>
              <w:t>Roads and road networks</w:t>
            </w:r>
            <w:r>
              <w:rPr>
                <w:vertAlign w:val="superscript"/>
              </w:rPr>
              <w:t xml:space="preserve"> (a)</w:t>
            </w:r>
          </w:p>
        </w:tc>
        <w:tc>
          <w:tcPr>
            <w:tcW w:w="794" w:type="dxa"/>
          </w:tcPr>
          <w:p w14:paraId="4372E584" w14:textId="77777777" w:rsidR="00AB205D" w:rsidRDefault="00471A3B">
            <w:pPr>
              <w:cnfStyle w:val="000000000000" w:firstRow="0" w:lastRow="0" w:firstColumn="0" w:lastColumn="0" w:oddVBand="0" w:evenVBand="0" w:oddHBand="0" w:evenHBand="0" w:firstRowFirstColumn="0" w:firstRowLastColumn="0" w:lastRowFirstColumn="0" w:lastRowLastColumn="0"/>
            </w:pPr>
            <w:r>
              <w:t>957</w:t>
            </w:r>
          </w:p>
        </w:tc>
        <w:tc>
          <w:tcPr>
            <w:tcW w:w="794" w:type="dxa"/>
          </w:tcPr>
          <w:p w14:paraId="29DBC648" w14:textId="77777777" w:rsidR="00AB205D" w:rsidRDefault="00471A3B">
            <w:pPr>
              <w:cnfStyle w:val="000000000000" w:firstRow="0" w:lastRow="0" w:firstColumn="0" w:lastColumn="0" w:oddVBand="0" w:evenVBand="0" w:oddHBand="0" w:evenHBand="0" w:firstRowFirstColumn="0" w:firstRowLastColumn="0" w:lastRowFirstColumn="0" w:lastRowLastColumn="0"/>
            </w:pPr>
            <w:r>
              <w:t>957</w:t>
            </w:r>
          </w:p>
        </w:tc>
        <w:tc>
          <w:tcPr>
            <w:tcW w:w="794" w:type="dxa"/>
          </w:tcPr>
          <w:p w14:paraId="6F527D03" w14:textId="77777777" w:rsidR="00AB205D" w:rsidRDefault="00471A3B">
            <w:pPr>
              <w:cnfStyle w:val="000000000000" w:firstRow="0" w:lastRow="0" w:firstColumn="0" w:lastColumn="0" w:oddVBand="0" w:evenVBand="0" w:oddHBand="0" w:evenHBand="0" w:firstRowFirstColumn="0" w:firstRowLastColumn="0" w:lastRowFirstColumn="0" w:lastRowLastColumn="0"/>
            </w:pPr>
            <w:r>
              <w:t>957</w:t>
            </w:r>
          </w:p>
        </w:tc>
        <w:tc>
          <w:tcPr>
            <w:tcW w:w="794" w:type="dxa"/>
          </w:tcPr>
          <w:p w14:paraId="4A92D985" w14:textId="77777777" w:rsidR="00AB205D" w:rsidRDefault="00471A3B">
            <w:pPr>
              <w:cnfStyle w:val="000000000000" w:firstRow="0" w:lastRow="0" w:firstColumn="0" w:lastColumn="0" w:oddVBand="0" w:evenVBand="0" w:oddHBand="0" w:evenHBand="0" w:firstRowFirstColumn="0" w:firstRowLastColumn="0" w:lastRowFirstColumn="0" w:lastRowLastColumn="0"/>
            </w:pPr>
            <w:r>
              <w:t>1 112</w:t>
            </w:r>
          </w:p>
        </w:tc>
        <w:tc>
          <w:tcPr>
            <w:tcW w:w="794" w:type="dxa"/>
          </w:tcPr>
          <w:p w14:paraId="7EAF9FD9" w14:textId="77777777" w:rsidR="00AB205D" w:rsidRDefault="00471A3B">
            <w:pPr>
              <w:cnfStyle w:val="000000000000" w:firstRow="0" w:lastRow="0" w:firstColumn="0" w:lastColumn="0" w:oddVBand="0" w:evenVBand="0" w:oddHBand="0" w:evenHBand="0" w:firstRowFirstColumn="0" w:firstRowLastColumn="0" w:lastRowFirstColumn="0" w:lastRowLastColumn="0"/>
            </w:pPr>
            <w:r>
              <w:t>1 282</w:t>
            </w:r>
          </w:p>
        </w:tc>
      </w:tr>
      <w:tr w:rsidR="009C6724" w14:paraId="0F06AE49"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7F7C5D7E" w14:textId="77777777" w:rsidR="00AB205D" w:rsidRDefault="00471A3B">
            <w:r>
              <w:t>Cultural assets</w:t>
            </w:r>
          </w:p>
        </w:tc>
        <w:tc>
          <w:tcPr>
            <w:tcW w:w="794" w:type="dxa"/>
          </w:tcPr>
          <w:p w14:paraId="611B946C" w14:textId="77777777" w:rsidR="00AB205D" w:rsidRDefault="00471A3B">
            <w:pPr>
              <w:cnfStyle w:val="000000000000" w:firstRow="0" w:lastRow="0" w:firstColumn="0" w:lastColumn="0" w:oddVBand="0" w:evenVBand="0" w:oddHBand="0" w:evenHBand="0" w:firstRowFirstColumn="0" w:firstRowLastColumn="0" w:lastRowFirstColumn="0" w:lastRowLastColumn="0"/>
            </w:pPr>
            <w:r>
              <w:t>12</w:t>
            </w:r>
          </w:p>
        </w:tc>
        <w:tc>
          <w:tcPr>
            <w:tcW w:w="794" w:type="dxa"/>
          </w:tcPr>
          <w:p w14:paraId="7A19D191" w14:textId="77777777" w:rsidR="00AB205D" w:rsidRDefault="00471A3B">
            <w:pPr>
              <w:cnfStyle w:val="000000000000" w:firstRow="0" w:lastRow="0" w:firstColumn="0" w:lastColumn="0" w:oddVBand="0" w:evenVBand="0" w:oddHBand="0" w:evenHBand="0" w:firstRowFirstColumn="0" w:firstRowLastColumn="0" w:lastRowFirstColumn="0" w:lastRowLastColumn="0"/>
            </w:pPr>
            <w:r>
              <w:t>12</w:t>
            </w:r>
          </w:p>
        </w:tc>
        <w:tc>
          <w:tcPr>
            <w:tcW w:w="794" w:type="dxa"/>
          </w:tcPr>
          <w:p w14:paraId="4B899BD0" w14:textId="77777777" w:rsidR="00AB205D" w:rsidRDefault="00471A3B">
            <w:pPr>
              <w:cnfStyle w:val="000000000000" w:firstRow="0" w:lastRow="0" w:firstColumn="0" w:lastColumn="0" w:oddVBand="0" w:evenVBand="0" w:oddHBand="0" w:evenHBand="0" w:firstRowFirstColumn="0" w:firstRowLastColumn="0" w:lastRowFirstColumn="0" w:lastRowLastColumn="0"/>
            </w:pPr>
            <w:r>
              <w:t>12</w:t>
            </w:r>
          </w:p>
        </w:tc>
        <w:tc>
          <w:tcPr>
            <w:tcW w:w="794" w:type="dxa"/>
          </w:tcPr>
          <w:p w14:paraId="792B6961" w14:textId="77777777" w:rsidR="00AB205D" w:rsidRDefault="00471A3B">
            <w:pPr>
              <w:cnfStyle w:val="000000000000" w:firstRow="0" w:lastRow="0" w:firstColumn="0" w:lastColumn="0" w:oddVBand="0" w:evenVBand="0" w:oddHBand="0" w:evenHBand="0" w:firstRowFirstColumn="0" w:firstRowLastColumn="0" w:lastRowFirstColumn="0" w:lastRowLastColumn="0"/>
            </w:pPr>
            <w:r>
              <w:t>12</w:t>
            </w:r>
          </w:p>
        </w:tc>
        <w:tc>
          <w:tcPr>
            <w:tcW w:w="794" w:type="dxa"/>
          </w:tcPr>
          <w:p w14:paraId="1176A0E2" w14:textId="77777777" w:rsidR="00AB205D" w:rsidRDefault="00471A3B">
            <w:pPr>
              <w:cnfStyle w:val="000000000000" w:firstRow="0" w:lastRow="0" w:firstColumn="0" w:lastColumn="0" w:oddVBand="0" w:evenVBand="0" w:oddHBand="0" w:evenHBand="0" w:firstRowFirstColumn="0" w:firstRowLastColumn="0" w:lastRowFirstColumn="0" w:lastRowLastColumn="0"/>
            </w:pPr>
            <w:r>
              <w:t>12</w:t>
            </w:r>
          </w:p>
        </w:tc>
      </w:tr>
      <w:tr w:rsidR="009C6724" w14:paraId="5CCEC036"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0E58D222" w14:textId="77777777" w:rsidR="00AB205D" w:rsidRDefault="00471A3B">
            <w:r>
              <w:t>Intangible produced assets</w:t>
            </w:r>
            <w:r>
              <w:rPr>
                <w:vertAlign w:val="superscript"/>
              </w:rPr>
              <w:t xml:space="preserve"> (b)</w:t>
            </w:r>
          </w:p>
        </w:tc>
        <w:tc>
          <w:tcPr>
            <w:tcW w:w="794" w:type="dxa"/>
            <w:tcBorders>
              <w:bottom w:val="single" w:sz="6" w:space="0" w:color="auto"/>
            </w:tcBorders>
          </w:tcPr>
          <w:p w14:paraId="00820AE4" w14:textId="77777777" w:rsidR="00AB205D" w:rsidRDefault="00471A3B">
            <w:pPr>
              <w:cnfStyle w:val="000000000000" w:firstRow="0" w:lastRow="0" w:firstColumn="0" w:lastColumn="0" w:oddVBand="0" w:evenVBand="0" w:oddHBand="0" w:evenHBand="0" w:firstRowFirstColumn="0" w:firstRowLastColumn="0" w:lastRowFirstColumn="0" w:lastRowLastColumn="0"/>
            </w:pPr>
            <w:r>
              <w:t>306</w:t>
            </w:r>
          </w:p>
        </w:tc>
        <w:tc>
          <w:tcPr>
            <w:tcW w:w="794" w:type="dxa"/>
            <w:tcBorders>
              <w:bottom w:val="single" w:sz="6" w:space="0" w:color="auto"/>
            </w:tcBorders>
          </w:tcPr>
          <w:p w14:paraId="17E88A92" w14:textId="77777777" w:rsidR="00AB205D" w:rsidRDefault="00471A3B">
            <w:pPr>
              <w:cnfStyle w:val="000000000000" w:firstRow="0" w:lastRow="0" w:firstColumn="0" w:lastColumn="0" w:oddVBand="0" w:evenVBand="0" w:oddHBand="0" w:evenHBand="0" w:firstRowFirstColumn="0" w:firstRowLastColumn="0" w:lastRowFirstColumn="0" w:lastRowLastColumn="0"/>
            </w:pPr>
            <w:r>
              <w:t>305</w:t>
            </w:r>
          </w:p>
        </w:tc>
        <w:tc>
          <w:tcPr>
            <w:tcW w:w="794" w:type="dxa"/>
            <w:tcBorders>
              <w:bottom w:val="single" w:sz="6" w:space="0" w:color="auto"/>
            </w:tcBorders>
          </w:tcPr>
          <w:p w14:paraId="4F18D04A" w14:textId="77777777" w:rsidR="00AB205D" w:rsidRDefault="00471A3B">
            <w:pPr>
              <w:cnfStyle w:val="000000000000" w:firstRow="0" w:lastRow="0" w:firstColumn="0" w:lastColumn="0" w:oddVBand="0" w:evenVBand="0" w:oddHBand="0" w:evenHBand="0" w:firstRowFirstColumn="0" w:firstRowLastColumn="0" w:lastRowFirstColumn="0" w:lastRowLastColumn="0"/>
            </w:pPr>
            <w:r>
              <w:t>319</w:t>
            </w:r>
          </w:p>
        </w:tc>
        <w:tc>
          <w:tcPr>
            <w:tcW w:w="794" w:type="dxa"/>
            <w:tcBorders>
              <w:bottom w:val="single" w:sz="6" w:space="0" w:color="auto"/>
            </w:tcBorders>
          </w:tcPr>
          <w:p w14:paraId="05FB96A4" w14:textId="77777777" w:rsidR="00AB205D" w:rsidRDefault="00471A3B">
            <w:pPr>
              <w:cnfStyle w:val="000000000000" w:firstRow="0" w:lastRow="0" w:firstColumn="0" w:lastColumn="0" w:oddVBand="0" w:evenVBand="0" w:oddHBand="0" w:evenHBand="0" w:firstRowFirstColumn="0" w:firstRowLastColumn="0" w:lastRowFirstColumn="0" w:lastRowLastColumn="0"/>
            </w:pPr>
            <w:r>
              <w:t>319</w:t>
            </w:r>
          </w:p>
        </w:tc>
        <w:tc>
          <w:tcPr>
            <w:tcW w:w="794" w:type="dxa"/>
            <w:tcBorders>
              <w:bottom w:val="single" w:sz="6" w:space="0" w:color="auto"/>
            </w:tcBorders>
          </w:tcPr>
          <w:p w14:paraId="1FCED504" w14:textId="77777777" w:rsidR="00AB205D" w:rsidRDefault="00471A3B">
            <w:pPr>
              <w:cnfStyle w:val="000000000000" w:firstRow="0" w:lastRow="0" w:firstColumn="0" w:lastColumn="0" w:oddVBand="0" w:evenVBand="0" w:oddHBand="0" w:evenHBand="0" w:firstRowFirstColumn="0" w:firstRowLastColumn="0" w:lastRowFirstColumn="0" w:lastRowLastColumn="0"/>
            </w:pPr>
            <w:r>
              <w:t>318</w:t>
            </w:r>
          </w:p>
        </w:tc>
      </w:tr>
      <w:tr w:rsidR="009C6724" w14:paraId="5305E36A"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02B0B595" w14:textId="77777777" w:rsidR="00AB205D" w:rsidRDefault="00471A3B">
            <w:r>
              <w:rPr>
                <w:b/>
              </w:rPr>
              <w:t>Total depreciation</w:t>
            </w:r>
          </w:p>
        </w:tc>
        <w:tc>
          <w:tcPr>
            <w:tcW w:w="794" w:type="dxa"/>
            <w:tcBorders>
              <w:top w:val="single" w:sz="6" w:space="0" w:color="auto"/>
              <w:bottom w:val="single" w:sz="12" w:space="0" w:color="auto"/>
            </w:tcBorders>
          </w:tcPr>
          <w:p w14:paraId="5032C01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4 890</w:t>
            </w:r>
          </w:p>
        </w:tc>
        <w:tc>
          <w:tcPr>
            <w:tcW w:w="794" w:type="dxa"/>
            <w:tcBorders>
              <w:top w:val="single" w:sz="6" w:space="0" w:color="auto"/>
              <w:bottom w:val="single" w:sz="12" w:space="0" w:color="auto"/>
            </w:tcBorders>
          </w:tcPr>
          <w:p w14:paraId="45FF02B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4 897</w:t>
            </w:r>
          </w:p>
        </w:tc>
        <w:tc>
          <w:tcPr>
            <w:tcW w:w="794" w:type="dxa"/>
            <w:tcBorders>
              <w:top w:val="single" w:sz="6" w:space="0" w:color="auto"/>
              <w:bottom w:val="single" w:sz="12" w:space="0" w:color="auto"/>
            </w:tcBorders>
          </w:tcPr>
          <w:p w14:paraId="63186D0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5 037</w:t>
            </w:r>
          </w:p>
        </w:tc>
        <w:tc>
          <w:tcPr>
            <w:tcW w:w="794" w:type="dxa"/>
            <w:tcBorders>
              <w:top w:val="single" w:sz="6" w:space="0" w:color="auto"/>
              <w:bottom w:val="single" w:sz="12" w:space="0" w:color="auto"/>
            </w:tcBorders>
          </w:tcPr>
          <w:p w14:paraId="3B1BFFC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5 348</w:t>
            </w:r>
          </w:p>
        </w:tc>
        <w:tc>
          <w:tcPr>
            <w:tcW w:w="794" w:type="dxa"/>
            <w:tcBorders>
              <w:top w:val="single" w:sz="6" w:space="0" w:color="auto"/>
              <w:bottom w:val="single" w:sz="12" w:space="0" w:color="auto"/>
            </w:tcBorders>
          </w:tcPr>
          <w:p w14:paraId="3C31869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5 557</w:t>
            </w:r>
          </w:p>
        </w:tc>
      </w:tr>
    </w:tbl>
    <w:p w14:paraId="23F2440F" w14:textId="77777777" w:rsidR="00AB205D" w:rsidRPr="003A1BED" w:rsidRDefault="00471A3B">
      <w:pPr>
        <w:pStyle w:val="Note"/>
      </w:pPr>
      <w:r w:rsidRPr="003A1BED">
        <w:t>Notes:</w:t>
      </w:r>
    </w:p>
    <w:p w14:paraId="2029B22B" w14:textId="77777777" w:rsidR="00AB205D" w:rsidRPr="003A1BED" w:rsidRDefault="00471A3B">
      <w:pPr>
        <w:pStyle w:val="Note"/>
      </w:pPr>
      <w:r w:rsidRPr="003A1BED">
        <w:t>(a)</w:t>
      </w:r>
      <w:r w:rsidRPr="003A1BED">
        <w:tab/>
        <w:t>Includes estimated depreciation on amounts not yet allocated to projects in 20</w:t>
      </w:r>
      <w:r>
        <w:t>23</w:t>
      </w:r>
      <w:r>
        <w:noBreakHyphen/>
        <w:t>24</w:t>
      </w:r>
      <w:r w:rsidRPr="003A1BED">
        <w:t xml:space="preserve"> to 202</w:t>
      </w:r>
      <w:r>
        <w:t>6</w:t>
      </w:r>
      <w:r>
        <w:noBreakHyphen/>
        <w:t>27</w:t>
      </w:r>
      <w:r w:rsidRPr="003A1BED">
        <w:t>.</w:t>
      </w:r>
    </w:p>
    <w:p w14:paraId="7AA4D05E" w14:textId="77777777" w:rsidR="00AB205D" w:rsidRPr="003A1BED" w:rsidRDefault="00471A3B">
      <w:pPr>
        <w:pStyle w:val="Note"/>
      </w:pPr>
      <w:r w:rsidRPr="003A1BED">
        <w:t>(b)</w:t>
      </w:r>
      <w:r w:rsidRPr="003A1BED">
        <w:tab/>
        <w:t>Amortisation of intangible non</w:t>
      </w:r>
      <w:r>
        <w:noBreakHyphen/>
      </w:r>
      <w:r w:rsidRPr="003A1BED">
        <w:t>produced assets is included under other gains/(losses) from other economic flows.</w:t>
      </w:r>
    </w:p>
    <w:p w14:paraId="1FDAA18F" w14:textId="77777777" w:rsidR="00AB205D" w:rsidRPr="003A1BED" w:rsidRDefault="00AB205D"/>
    <w:p w14:paraId="2174A4B9" w14:textId="77777777" w:rsidR="00AB205D" w:rsidRPr="003A1BED" w:rsidRDefault="00471A3B">
      <w:r w:rsidRPr="003A1BED">
        <w:t>The following two tables are subsets of total depreciation expense.</w:t>
      </w:r>
    </w:p>
    <w:p w14:paraId="12E00269" w14:textId="77777777" w:rsidR="00AB205D" w:rsidRPr="003A1BED" w:rsidRDefault="00AB205D"/>
    <w:p w14:paraId="36C92846" w14:textId="77777777" w:rsidR="00AB205D" w:rsidRDefault="00471A3B">
      <w:pPr>
        <w:pStyle w:val="TableHeading"/>
      </w:pPr>
      <w:r w:rsidRPr="003A1BED">
        <w:t>Depreciation of right</w:t>
      </w:r>
      <w:r>
        <w:noBreakHyphen/>
      </w:r>
      <w:r w:rsidRPr="003A1BED">
        <w:t>of</w:t>
      </w:r>
      <w:r>
        <w:noBreakHyphen/>
      </w:r>
      <w:r w:rsidRPr="003A1BED">
        <w:t>use (leased) assets</w:t>
      </w:r>
      <w:r w:rsidRPr="003A1BED">
        <w:tab/>
        <w:t>($ million)</w:t>
      </w:r>
    </w:p>
    <w:tbl>
      <w:tblPr>
        <w:tblStyle w:val="DTFTableNumeric"/>
        <w:tblW w:w="7710" w:type="dxa"/>
        <w:tblLayout w:type="fixed"/>
        <w:tblLook w:val="06A0" w:firstRow="1" w:lastRow="0" w:firstColumn="1" w:lastColumn="0" w:noHBand="1" w:noVBand="1"/>
        <w:tblDescription w:val="Type:DtfTable|Workbook:Rawdata\BudgetUpdate\Budget Update\Financial Statements\SRIMS exports\SRIMS_BU_EFS_OS.xlsx|Table:Depr_Right_of_Use_Assets|MergedHeadingRow:1"/>
      </w:tblPr>
      <w:tblGrid>
        <w:gridCol w:w="3740"/>
        <w:gridCol w:w="794"/>
        <w:gridCol w:w="794"/>
        <w:gridCol w:w="794"/>
        <w:gridCol w:w="794"/>
        <w:gridCol w:w="794"/>
      </w:tblGrid>
      <w:tr w:rsidR="009C6724" w14:paraId="6BAE7FD5"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5E1ACCC3" w14:textId="77777777" w:rsidR="00AB205D" w:rsidRDefault="00AB205D">
            <w:pPr>
              <w:keepNext/>
            </w:pPr>
          </w:p>
        </w:tc>
        <w:tc>
          <w:tcPr>
            <w:tcW w:w="794" w:type="dxa"/>
          </w:tcPr>
          <w:p w14:paraId="452E2BAF"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budget</w:t>
            </w:r>
          </w:p>
        </w:tc>
        <w:tc>
          <w:tcPr>
            <w:tcW w:w="794" w:type="dxa"/>
          </w:tcPr>
          <w:p w14:paraId="174EA00F"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revised</w:t>
            </w:r>
          </w:p>
        </w:tc>
        <w:tc>
          <w:tcPr>
            <w:tcW w:w="794" w:type="dxa"/>
          </w:tcPr>
          <w:p w14:paraId="3E5F1DDD"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r>
              <w:br/>
              <w:t>estimate</w:t>
            </w:r>
          </w:p>
        </w:tc>
        <w:tc>
          <w:tcPr>
            <w:tcW w:w="794" w:type="dxa"/>
          </w:tcPr>
          <w:p w14:paraId="62098CE3"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236EC5FF"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r>
      <w:tr w:rsidR="009C6724" w14:paraId="7C05CA96"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06AF110" w14:textId="77777777" w:rsidR="00AB205D" w:rsidRDefault="00471A3B">
            <w:r>
              <w:t>Buildings</w:t>
            </w:r>
          </w:p>
        </w:tc>
        <w:tc>
          <w:tcPr>
            <w:tcW w:w="794" w:type="dxa"/>
          </w:tcPr>
          <w:p w14:paraId="41AEAED5" w14:textId="77777777" w:rsidR="00AB205D" w:rsidRDefault="00471A3B">
            <w:pPr>
              <w:cnfStyle w:val="000000000000" w:firstRow="0" w:lastRow="0" w:firstColumn="0" w:lastColumn="0" w:oddVBand="0" w:evenVBand="0" w:oddHBand="0" w:evenHBand="0" w:firstRowFirstColumn="0" w:firstRowLastColumn="0" w:lastRowFirstColumn="0" w:lastRowLastColumn="0"/>
            </w:pPr>
            <w:r>
              <w:t>752</w:t>
            </w:r>
          </w:p>
        </w:tc>
        <w:tc>
          <w:tcPr>
            <w:tcW w:w="794" w:type="dxa"/>
          </w:tcPr>
          <w:p w14:paraId="6575E7CF" w14:textId="77777777" w:rsidR="00AB205D" w:rsidRDefault="00471A3B">
            <w:pPr>
              <w:cnfStyle w:val="000000000000" w:firstRow="0" w:lastRow="0" w:firstColumn="0" w:lastColumn="0" w:oddVBand="0" w:evenVBand="0" w:oddHBand="0" w:evenHBand="0" w:firstRowFirstColumn="0" w:firstRowLastColumn="0" w:lastRowFirstColumn="0" w:lastRowLastColumn="0"/>
            </w:pPr>
            <w:r>
              <w:t>752</w:t>
            </w:r>
          </w:p>
        </w:tc>
        <w:tc>
          <w:tcPr>
            <w:tcW w:w="794" w:type="dxa"/>
          </w:tcPr>
          <w:p w14:paraId="774AE682" w14:textId="77777777" w:rsidR="00AB205D" w:rsidRDefault="00471A3B">
            <w:pPr>
              <w:cnfStyle w:val="000000000000" w:firstRow="0" w:lastRow="0" w:firstColumn="0" w:lastColumn="0" w:oddVBand="0" w:evenVBand="0" w:oddHBand="0" w:evenHBand="0" w:firstRowFirstColumn="0" w:firstRowLastColumn="0" w:lastRowFirstColumn="0" w:lastRowLastColumn="0"/>
            </w:pPr>
            <w:r>
              <w:t>801</w:t>
            </w:r>
          </w:p>
        </w:tc>
        <w:tc>
          <w:tcPr>
            <w:tcW w:w="794" w:type="dxa"/>
          </w:tcPr>
          <w:p w14:paraId="0F7A022A" w14:textId="77777777" w:rsidR="00AB205D" w:rsidRDefault="00471A3B">
            <w:pPr>
              <w:cnfStyle w:val="000000000000" w:firstRow="0" w:lastRow="0" w:firstColumn="0" w:lastColumn="0" w:oddVBand="0" w:evenVBand="0" w:oddHBand="0" w:evenHBand="0" w:firstRowFirstColumn="0" w:firstRowLastColumn="0" w:lastRowFirstColumn="0" w:lastRowLastColumn="0"/>
            </w:pPr>
            <w:r>
              <w:t>788</w:t>
            </w:r>
          </w:p>
        </w:tc>
        <w:tc>
          <w:tcPr>
            <w:tcW w:w="794" w:type="dxa"/>
          </w:tcPr>
          <w:p w14:paraId="56B1BF54" w14:textId="77777777" w:rsidR="00AB205D" w:rsidRDefault="00471A3B">
            <w:pPr>
              <w:cnfStyle w:val="000000000000" w:firstRow="0" w:lastRow="0" w:firstColumn="0" w:lastColumn="0" w:oddVBand="0" w:evenVBand="0" w:oddHBand="0" w:evenHBand="0" w:firstRowFirstColumn="0" w:firstRowLastColumn="0" w:lastRowFirstColumn="0" w:lastRowLastColumn="0"/>
            </w:pPr>
            <w:r>
              <w:t>787</w:t>
            </w:r>
          </w:p>
        </w:tc>
      </w:tr>
      <w:tr w:rsidR="009C6724" w14:paraId="0D5FD3C7"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0539CADE" w14:textId="77777777" w:rsidR="00AB205D" w:rsidRDefault="00471A3B">
            <w:r>
              <w:t>Plant, equipment and vehicles</w:t>
            </w:r>
          </w:p>
        </w:tc>
        <w:tc>
          <w:tcPr>
            <w:tcW w:w="794" w:type="dxa"/>
          </w:tcPr>
          <w:p w14:paraId="15284931" w14:textId="77777777" w:rsidR="00AB205D" w:rsidRDefault="00471A3B">
            <w:pPr>
              <w:cnfStyle w:val="000000000000" w:firstRow="0" w:lastRow="0" w:firstColumn="0" w:lastColumn="0" w:oddVBand="0" w:evenVBand="0" w:oddHBand="0" w:evenHBand="0" w:firstRowFirstColumn="0" w:firstRowLastColumn="0" w:lastRowFirstColumn="0" w:lastRowLastColumn="0"/>
            </w:pPr>
            <w:r>
              <w:t>125</w:t>
            </w:r>
          </w:p>
        </w:tc>
        <w:tc>
          <w:tcPr>
            <w:tcW w:w="794" w:type="dxa"/>
          </w:tcPr>
          <w:p w14:paraId="458CAC86" w14:textId="77777777" w:rsidR="00AB205D" w:rsidRDefault="00471A3B">
            <w:pPr>
              <w:cnfStyle w:val="000000000000" w:firstRow="0" w:lastRow="0" w:firstColumn="0" w:lastColumn="0" w:oddVBand="0" w:evenVBand="0" w:oddHBand="0" w:evenHBand="0" w:firstRowFirstColumn="0" w:firstRowLastColumn="0" w:lastRowFirstColumn="0" w:lastRowLastColumn="0"/>
            </w:pPr>
            <w:r>
              <w:t>124</w:t>
            </w:r>
          </w:p>
        </w:tc>
        <w:tc>
          <w:tcPr>
            <w:tcW w:w="794" w:type="dxa"/>
          </w:tcPr>
          <w:p w14:paraId="40C374B6" w14:textId="77777777" w:rsidR="00AB205D" w:rsidRDefault="00471A3B">
            <w:pPr>
              <w:cnfStyle w:val="000000000000" w:firstRow="0" w:lastRow="0" w:firstColumn="0" w:lastColumn="0" w:oddVBand="0" w:evenVBand="0" w:oddHBand="0" w:evenHBand="0" w:firstRowFirstColumn="0" w:firstRowLastColumn="0" w:lastRowFirstColumn="0" w:lastRowLastColumn="0"/>
            </w:pPr>
            <w:r>
              <w:t>124</w:t>
            </w:r>
          </w:p>
        </w:tc>
        <w:tc>
          <w:tcPr>
            <w:tcW w:w="794" w:type="dxa"/>
          </w:tcPr>
          <w:p w14:paraId="25613067" w14:textId="77777777" w:rsidR="00AB205D" w:rsidRDefault="00471A3B">
            <w:pPr>
              <w:cnfStyle w:val="000000000000" w:firstRow="0" w:lastRow="0" w:firstColumn="0" w:lastColumn="0" w:oddVBand="0" w:evenVBand="0" w:oddHBand="0" w:evenHBand="0" w:firstRowFirstColumn="0" w:firstRowLastColumn="0" w:lastRowFirstColumn="0" w:lastRowLastColumn="0"/>
            </w:pPr>
            <w:r>
              <w:t>124</w:t>
            </w:r>
          </w:p>
        </w:tc>
        <w:tc>
          <w:tcPr>
            <w:tcW w:w="794" w:type="dxa"/>
          </w:tcPr>
          <w:p w14:paraId="1C8AA16F" w14:textId="77777777" w:rsidR="00AB205D" w:rsidRDefault="00471A3B">
            <w:pPr>
              <w:cnfStyle w:val="000000000000" w:firstRow="0" w:lastRow="0" w:firstColumn="0" w:lastColumn="0" w:oddVBand="0" w:evenVBand="0" w:oddHBand="0" w:evenHBand="0" w:firstRowFirstColumn="0" w:firstRowLastColumn="0" w:lastRowFirstColumn="0" w:lastRowLastColumn="0"/>
            </w:pPr>
            <w:r>
              <w:t>124</w:t>
            </w:r>
          </w:p>
        </w:tc>
      </w:tr>
      <w:tr w:rsidR="009C6724" w14:paraId="01B83D52"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304C3277" w14:textId="77777777" w:rsidR="00AB205D" w:rsidRDefault="00471A3B">
            <w:r>
              <w:rPr>
                <w:b/>
              </w:rPr>
              <w:t>Total depreciation of right</w:t>
            </w:r>
            <w:r>
              <w:rPr>
                <w:b/>
              </w:rPr>
              <w:noBreakHyphen/>
              <w:t>of</w:t>
            </w:r>
            <w:r>
              <w:rPr>
                <w:b/>
              </w:rPr>
              <w:noBreakHyphen/>
              <w:t>use assets</w:t>
            </w:r>
          </w:p>
        </w:tc>
        <w:tc>
          <w:tcPr>
            <w:tcW w:w="794" w:type="dxa"/>
            <w:tcBorders>
              <w:top w:val="single" w:sz="6" w:space="0" w:color="auto"/>
              <w:bottom w:val="single" w:sz="12" w:space="0" w:color="auto"/>
            </w:tcBorders>
          </w:tcPr>
          <w:p w14:paraId="7638C96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876</w:t>
            </w:r>
          </w:p>
        </w:tc>
        <w:tc>
          <w:tcPr>
            <w:tcW w:w="794" w:type="dxa"/>
            <w:tcBorders>
              <w:top w:val="single" w:sz="6" w:space="0" w:color="auto"/>
              <w:bottom w:val="single" w:sz="12" w:space="0" w:color="auto"/>
            </w:tcBorders>
          </w:tcPr>
          <w:p w14:paraId="7B93943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876</w:t>
            </w:r>
          </w:p>
        </w:tc>
        <w:tc>
          <w:tcPr>
            <w:tcW w:w="794" w:type="dxa"/>
            <w:tcBorders>
              <w:top w:val="single" w:sz="6" w:space="0" w:color="auto"/>
              <w:bottom w:val="single" w:sz="12" w:space="0" w:color="auto"/>
            </w:tcBorders>
          </w:tcPr>
          <w:p w14:paraId="67AAD2E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925</w:t>
            </w:r>
          </w:p>
        </w:tc>
        <w:tc>
          <w:tcPr>
            <w:tcW w:w="794" w:type="dxa"/>
            <w:tcBorders>
              <w:top w:val="single" w:sz="6" w:space="0" w:color="auto"/>
              <w:bottom w:val="single" w:sz="12" w:space="0" w:color="auto"/>
            </w:tcBorders>
          </w:tcPr>
          <w:p w14:paraId="1F6AEE8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912</w:t>
            </w:r>
          </w:p>
        </w:tc>
        <w:tc>
          <w:tcPr>
            <w:tcW w:w="794" w:type="dxa"/>
            <w:tcBorders>
              <w:top w:val="single" w:sz="6" w:space="0" w:color="auto"/>
              <w:bottom w:val="single" w:sz="12" w:space="0" w:color="auto"/>
            </w:tcBorders>
          </w:tcPr>
          <w:p w14:paraId="644D3A0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910</w:t>
            </w:r>
          </w:p>
        </w:tc>
      </w:tr>
    </w:tbl>
    <w:p w14:paraId="1415224C" w14:textId="1BF18C15" w:rsidR="00AB205D" w:rsidRDefault="00AB205D"/>
    <w:p w14:paraId="1C97BB8D" w14:textId="77777777" w:rsidR="00FA005E" w:rsidRDefault="00FA005E"/>
    <w:p w14:paraId="09D1773C" w14:textId="77777777" w:rsidR="00AB205D" w:rsidRDefault="00471A3B">
      <w:pPr>
        <w:pStyle w:val="TableHeading"/>
      </w:pPr>
      <w:r w:rsidRPr="00D804E7">
        <w:t>Depreciation of service concession assets</w:t>
      </w:r>
      <w:r w:rsidRPr="00D804E7">
        <w:tab/>
        <w:t>($ million)</w:t>
      </w:r>
    </w:p>
    <w:tbl>
      <w:tblPr>
        <w:tblStyle w:val="DTFTableNumeric"/>
        <w:tblW w:w="7710" w:type="dxa"/>
        <w:tblLayout w:type="fixed"/>
        <w:tblLook w:val="06A0" w:firstRow="1" w:lastRow="0" w:firstColumn="1" w:lastColumn="0" w:noHBand="1" w:noVBand="1"/>
        <w:tblDescription w:val="Type:DtfTable|Workbook:Rawdata\BudgetUpdate\Budget Update\Financial Statements\SRIMS exports\SRIMS_BU_EFS_OS.xlsx|Table:Depr_Service_Concessions|MergedHeadingRow:1"/>
      </w:tblPr>
      <w:tblGrid>
        <w:gridCol w:w="3740"/>
        <w:gridCol w:w="794"/>
        <w:gridCol w:w="794"/>
        <w:gridCol w:w="794"/>
        <w:gridCol w:w="794"/>
        <w:gridCol w:w="794"/>
      </w:tblGrid>
      <w:tr w:rsidR="009C6724" w14:paraId="7FEC1152"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43D7F710" w14:textId="77777777" w:rsidR="00AB205D" w:rsidRDefault="00AB205D">
            <w:pPr>
              <w:keepNext/>
            </w:pPr>
          </w:p>
        </w:tc>
        <w:tc>
          <w:tcPr>
            <w:tcW w:w="794" w:type="dxa"/>
          </w:tcPr>
          <w:p w14:paraId="4F2DF87A"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budget</w:t>
            </w:r>
          </w:p>
        </w:tc>
        <w:tc>
          <w:tcPr>
            <w:tcW w:w="794" w:type="dxa"/>
          </w:tcPr>
          <w:p w14:paraId="31A24E17"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revised</w:t>
            </w:r>
          </w:p>
        </w:tc>
        <w:tc>
          <w:tcPr>
            <w:tcW w:w="794" w:type="dxa"/>
          </w:tcPr>
          <w:p w14:paraId="3A9AA62B"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r>
              <w:br/>
              <w:t>estimate</w:t>
            </w:r>
          </w:p>
        </w:tc>
        <w:tc>
          <w:tcPr>
            <w:tcW w:w="794" w:type="dxa"/>
          </w:tcPr>
          <w:p w14:paraId="59E582FB"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54DEBC56"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r>
      <w:tr w:rsidR="009C6724" w14:paraId="5756B4AB"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1E616E14" w14:textId="77777777" w:rsidR="00AB205D" w:rsidRDefault="00471A3B">
            <w:r>
              <w:t>Buildings</w:t>
            </w:r>
          </w:p>
        </w:tc>
        <w:tc>
          <w:tcPr>
            <w:tcW w:w="794" w:type="dxa"/>
          </w:tcPr>
          <w:p w14:paraId="1AC8AF56" w14:textId="77777777" w:rsidR="00AB205D" w:rsidRDefault="00471A3B">
            <w:pPr>
              <w:cnfStyle w:val="000000000000" w:firstRow="0" w:lastRow="0" w:firstColumn="0" w:lastColumn="0" w:oddVBand="0" w:evenVBand="0" w:oddHBand="0" w:evenHBand="0" w:firstRowFirstColumn="0" w:firstRowLastColumn="0" w:lastRowFirstColumn="0" w:lastRowLastColumn="0"/>
            </w:pPr>
            <w:r>
              <w:t>47</w:t>
            </w:r>
          </w:p>
        </w:tc>
        <w:tc>
          <w:tcPr>
            <w:tcW w:w="794" w:type="dxa"/>
          </w:tcPr>
          <w:p w14:paraId="1FFB4751" w14:textId="77777777" w:rsidR="00AB205D" w:rsidRDefault="00471A3B">
            <w:pPr>
              <w:cnfStyle w:val="000000000000" w:firstRow="0" w:lastRow="0" w:firstColumn="0" w:lastColumn="0" w:oddVBand="0" w:evenVBand="0" w:oddHBand="0" w:evenHBand="0" w:firstRowFirstColumn="0" w:firstRowLastColumn="0" w:lastRowFirstColumn="0" w:lastRowLastColumn="0"/>
            </w:pPr>
            <w:r>
              <w:t>47</w:t>
            </w:r>
          </w:p>
        </w:tc>
        <w:tc>
          <w:tcPr>
            <w:tcW w:w="794" w:type="dxa"/>
          </w:tcPr>
          <w:p w14:paraId="05EBB670" w14:textId="77777777" w:rsidR="00AB205D" w:rsidRDefault="00471A3B">
            <w:pPr>
              <w:cnfStyle w:val="000000000000" w:firstRow="0" w:lastRow="0" w:firstColumn="0" w:lastColumn="0" w:oddVBand="0" w:evenVBand="0" w:oddHBand="0" w:evenHBand="0" w:firstRowFirstColumn="0" w:firstRowLastColumn="0" w:lastRowFirstColumn="0" w:lastRowLastColumn="0"/>
            </w:pPr>
            <w:r>
              <w:t>47</w:t>
            </w:r>
          </w:p>
        </w:tc>
        <w:tc>
          <w:tcPr>
            <w:tcW w:w="794" w:type="dxa"/>
          </w:tcPr>
          <w:p w14:paraId="3EC28928" w14:textId="77777777" w:rsidR="00AB205D" w:rsidRDefault="00471A3B">
            <w:pPr>
              <w:cnfStyle w:val="000000000000" w:firstRow="0" w:lastRow="0" w:firstColumn="0" w:lastColumn="0" w:oddVBand="0" w:evenVBand="0" w:oddHBand="0" w:evenHBand="0" w:firstRowFirstColumn="0" w:firstRowLastColumn="0" w:lastRowFirstColumn="0" w:lastRowLastColumn="0"/>
            </w:pPr>
            <w:r>
              <w:t>47</w:t>
            </w:r>
          </w:p>
        </w:tc>
        <w:tc>
          <w:tcPr>
            <w:tcW w:w="794" w:type="dxa"/>
          </w:tcPr>
          <w:p w14:paraId="48148C49" w14:textId="77777777" w:rsidR="00AB205D" w:rsidRDefault="00471A3B">
            <w:pPr>
              <w:cnfStyle w:val="000000000000" w:firstRow="0" w:lastRow="0" w:firstColumn="0" w:lastColumn="0" w:oddVBand="0" w:evenVBand="0" w:oddHBand="0" w:evenHBand="0" w:firstRowFirstColumn="0" w:firstRowLastColumn="0" w:lastRowFirstColumn="0" w:lastRowLastColumn="0"/>
            </w:pPr>
            <w:r>
              <w:t>47</w:t>
            </w:r>
          </w:p>
        </w:tc>
      </w:tr>
      <w:tr w:rsidR="009C6724" w14:paraId="2C143B44"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45DF065" w14:textId="77777777" w:rsidR="00AB205D" w:rsidRDefault="00471A3B">
            <w:r>
              <w:t>Plant, equipment and vehicles</w:t>
            </w:r>
          </w:p>
        </w:tc>
        <w:tc>
          <w:tcPr>
            <w:tcW w:w="794" w:type="dxa"/>
          </w:tcPr>
          <w:p w14:paraId="12DC183A" w14:textId="77777777" w:rsidR="00AB205D" w:rsidRDefault="00471A3B">
            <w:pPr>
              <w:cnfStyle w:val="000000000000" w:firstRow="0" w:lastRow="0" w:firstColumn="0" w:lastColumn="0" w:oddVBand="0" w:evenVBand="0" w:oddHBand="0" w:evenHBand="0" w:firstRowFirstColumn="0" w:firstRowLastColumn="0" w:lastRowFirstColumn="0" w:lastRowLastColumn="0"/>
            </w:pPr>
            <w:r>
              <w:t>28</w:t>
            </w:r>
          </w:p>
        </w:tc>
        <w:tc>
          <w:tcPr>
            <w:tcW w:w="794" w:type="dxa"/>
          </w:tcPr>
          <w:p w14:paraId="209A3221" w14:textId="77777777" w:rsidR="00AB205D" w:rsidRDefault="00471A3B">
            <w:pPr>
              <w:cnfStyle w:val="000000000000" w:firstRow="0" w:lastRow="0" w:firstColumn="0" w:lastColumn="0" w:oddVBand="0" w:evenVBand="0" w:oddHBand="0" w:evenHBand="0" w:firstRowFirstColumn="0" w:firstRowLastColumn="0" w:lastRowFirstColumn="0" w:lastRowLastColumn="0"/>
            </w:pPr>
            <w:r>
              <w:t>28</w:t>
            </w:r>
          </w:p>
        </w:tc>
        <w:tc>
          <w:tcPr>
            <w:tcW w:w="794" w:type="dxa"/>
          </w:tcPr>
          <w:p w14:paraId="5681D349" w14:textId="77777777" w:rsidR="00AB205D" w:rsidRDefault="00471A3B">
            <w:pPr>
              <w:cnfStyle w:val="000000000000" w:firstRow="0" w:lastRow="0" w:firstColumn="0" w:lastColumn="0" w:oddVBand="0" w:evenVBand="0" w:oddHBand="0" w:evenHBand="0" w:firstRowFirstColumn="0" w:firstRowLastColumn="0" w:lastRowFirstColumn="0" w:lastRowLastColumn="0"/>
            </w:pPr>
            <w:r>
              <w:t>28</w:t>
            </w:r>
          </w:p>
        </w:tc>
        <w:tc>
          <w:tcPr>
            <w:tcW w:w="794" w:type="dxa"/>
          </w:tcPr>
          <w:p w14:paraId="4D93734E" w14:textId="77777777" w:rsidR="00AB205D" w:rsidRDefault="00471A3B">
            <w:pPr>
              <w:cnfStyle w:val="000000000000" w:firstRow="0" w:lastRow="0" w:firstColumn="0" w:lastColumn="0" w:oddVBand="0" w:evenVBand="0" w:oddHBand="0" w:evenHBand="0" w:firstRowFirstColumn="0" w:firstRowLastColumn="0" w:lastRowFirstColumn="0" w:lastRowLastColumn="0"/>
            </w:pPr>
            <w:r>
              <w:t>28</w:t>
            </w:r>
          </w:p>
        </w:tc>
        <w:tc>
          <w:tcPr>
            <w:tcW w:w="794" w:type="dxa"/>
          </w:tcPr>
          <w:p w14:paraId="2CBB64BC" w14:textId="77777777" w:rsidR="00AB205D" w:rsidRDefault="00471A3B">
            <w:pPr>
              <w:cnfStyle w:val="000000000000" w:firstRow="0" w:lastRow="0" w:firstColumn="0" w:lastColumn="0" w:oddVBand="0" w:evenVBand="0" w:oddHBand="0" w:evenHBand="0" w:firstRowFirstColumn="0" w:firstRowLastColumn="0" w:lastRowFirstColumn="0" w:lastRowLastColumn="0"/>
            </w:pPr>
            <w:r>
              <w:t>28</w:t>
            </w:r>
          </w:p>
        </w:tc>
      </w:tr>
      <w:tr w:rsidR="009C6724" w14:paraId="1EB212F6"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1F3277AC" w14:textId="77777777" w:rsidR="00AB205D" w:rsidRDefault="00471A3B">
            <w:r>
              <w:t>Roads and road infrastructure</w:t>
            </w:r>
          </w:p>
        </w:tc>
        <w:tc>
          <w:tcPr>
            <w:tcW w:w="794" w:type="dxa"/>
          </w:tcPr>
          <w:p w14:paraId="6E25BE66" w14:textId="77777777" w:rsidR="00AB205D" w:rsidRDefault="00471A3B">
            <w:pPr>
              <w:cnfStyle w:val="000000000000" w:firstRow="0" w:lastRow="0" w:firstColumn="0" w:lastColumn="0" w:oddVBand="0" w:evenVBand="0" w:oddHBand="0" w:evenHBand="0" w:firstRowFirstColumn="0" w:firstRowLastColumn="0" w:lastRowFirstColumn="0" w:lastRowLastColumn="0"/>
            </w:pPr>
            <w:r>
              <w:t>178</w:t>
            </w:r>
          </w:p>
        </w:tc>
        <w:tc>
          <w:tcPr>
            <w:tcW w:w="794" w:type="dxa"/>
          </w:tcPr>
          <w:p w14:paraId="390642BF" w14:textId="77777777" w:rsidR="00AB205D" w:rsidRDefault="00471A3B">
            <w:pPr>
              <w:cnfStyle w:val="000000000000" w:firstRow="0" w:lastRow="0" w:firstColumn="0" w:lastColumn="0" w:oddVBand="0" w:evenVBand="0" w:oddHBand="0" w:evenHBand="0" w:firstRowFirstColumn="0" w:firstRowLastColumn="0" w:lastRowFirstColumn="0" w:lastRowLastColumn="0"/>
            </w:pPr>
            <w:r>
              <w:t>178</w:t>
            </w:r>
          </w:p>
        </w:tc>
        <w:tc>
          <w:tcPr>
            <w:tcW w:w="794" w:type="dxa"/>
          </w:tcPr>
          <w:p w14:paraId="403B5E3F" w14:textId="77777777" w:rsidR="00AB205D" w:rsidRDefault="00471A3B">
            <w:pPr>
              <w:cnfStyle w:val="000000000000" w:firstRow="0" w:lastRow="0" w:firstColumn="0" w:lastColumn="0" w:oddVBand="0" w:evenVBand="0" w:oddHBand="0" w:evenHBand="0" w:firstRowFirstColumn="0" w:firstRowLastColumn="0" w:lastRowFirstColumn="0" w:lastRowLastColumn="0"/>
            </w:pPr>
            <w:r>
              <w:t>177</w:t>
            </w:r>
          </w:p>
        </w:tc>
        <w:tc>
          <w:tcPr>
            <w:tcW w:w="794" w:type="dxa"/>
          </w:tcPr>
          <w:p w14:paraId="409B6DF4" w14:textId="77777777" w:rsidR="00AB205D" w:rsidRDefault="00471A3B">
            <w:pPr>
              <w:cnfStyle w:val="000000000000" w:firstRow="0" w:lastRow="0" w:firstColumn="0" w:lastColumn="0" w:oddVBand="0" w:evenVBand="0" w:oddHBand="0" w:evenHBand="0" w:firstRowFirstColumn="0" w:firstRowLastColumn="0" w:lastRowFirstColumn="0" w:lastRowLastColumn="0"/>
            </w:pPr>
            <w:r>
              <w:t>303</w:t>
            </w:r>
          </w:p>
        </w:tc>
        <w:tc>
          <w:tcPr>
            <w:tcW w:w="794" w:type="dxa"/>
          </w:tcPr>
          <w:p w14:paraId="25D60607" w14:textId="77777777" w:rsidR="00AB205D" w:rsidRDefault="00471A3B">
            <w:pPr>
              <w:cnfStyle w:val="000000000000" w:firstRow="0" w:lastRow="0" w:firstColumn="0" w:lastColumn="0" w:oddVBand="0" w:evenVBand="0" w:oddHBand="0" w:evenHBand="0" w:firstRowFirstColumn="0" w:firstRowLastColumn="0" w:lastRowFirstColumn="0" w:lastRowLastColumn="0"/>
            </w:pPr>
            <w:r>
              <w:t>416</w:t>
            </w:r>
          </w:p>
        </w:tc>
      </w:tr>
      <w:tr w:rsidR="009C6724" w14:paraId="23AC420F"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308E27BB" w14:textId="77777777" w:rsidR="00AB205D" w:rsidRDefault="00471A3B">
            <w:r>
              <w:t>Intangible produced assets</w:t>
            </w:r>
          </w:p>
        </w:tc>
        <w:tc>
          <w:tcPr>
            <w:tcW w:w="794" w:type="dxa"/>
            <w:tcBorders>
              <w:bottom w:val="single" w:sz="6" w:space="0" w:color="auto"/>
            </w:tcBorders>
          </w:tcPr>
          <w:p w14:paraId="58970BE5" w14:textId="77777777" w:rsidR="00AB205D" w:rsidRDefault="00471A3B">
            <w:pPr>
              <w:cnfStyle w:val="000000000000" w:firstRow="0" w:lastRow="0" w:firstColumn="0" w:lastColumn="0" w:oddVBand="0" w:evenVBand="0" w:oddHBand="0" w:evenHBand="0" w:firstRowFirstColumn="0" w:firstRowLastColumn="0" w:lastRowFirstColumn="0" w:lastRowLastColumn="0"/>
            </w:pPr>
            <w:r>
              <w:t>1</w:t>
            </w:r>
          </w:p>
        </w:tc>
        <w:tc>
          <w:tcPr>
            <w:tcW w:w="794" w:type="dxa"/>
            <w:tcBorders>
              <w:bottom w:val="single" w:sz="6" w:space="0" w:color="auto"/>
            </w:tcBorders>
          </w:tcPr>
          <w:p w14:paraId="35B03DAA" w14:textId="77777777" w:rsidR="00AB205D" w:rsidRDefault="00471A3B">
            <w:pPr>
              <w:cnfStyle w:val="000000000000" w:firstRow="0" w:lastRow="0" w:firstColumn="0" w:lastColumn="0" w:oddVBand="0" w:evenVBand="0" w:oddHBand="0" w:evenHBand="0" w:firstRowFirstColumn="0" w:firstRowLastColumn="0" w:lastRowFirstColumn="0" w:lastRowLastColumn="0"/>
            </w:pPr>
            <w:r>
              <w:t>1</w:t>
            </w:r>
          </w:p>
        </w:tc>
        <w:tc>
          <w:tcPr>
            <w:tcW w:w="794" w:type="dxa"/>
            <w:tcBorders>
              <w:bottom w:val="single" w:sz="6" w:space="0" w:color="auto"/>
            </w:tcBorders>
          </w:tcPr>
          <w:p w14:paraId="453A64B2" w14:textId="77777777" w:rsidR="00AB205D" w:rsidRDefault="00471A3B">
            <w:pPr>
              <w:cnfStyle w:val="000000000000" w:firstRow="0" w:lastRow="0" w:firstColumn="0" w:lastColumn="0" w:oddVBand="0" w:evenVBand="0" w:oddHBand="0" w:evenHBand="0" w:firstRowFirstColumn="0" w:firstRowLastColumn="0" w:lastRowFirstColumn="0" w:lastRowLastColumn="0"/>
            </w:pPr>
            <w:r>
              <w:t>1</w:t>
            </w:r>
          </w:p>
        </w:tc>
        <w:tc>
          <w:tcPr>
            <w:tcW w:w="794" w:type="dxa"/>
            <w:tcBorders>
              <w:bottom w:val="single" w:sz="6" w:space="0" w:color="auto"/>
            </w:tcBorders>
          </w:tcPr>
          <w:p w14:paraId="6C35D482" w14:textId="77777777" w:rsidR="00AB205D" w:rsidRDefault="00471A3B">
            <w:pPr>
              <w:cnfStyle w:val="000000000000" w:firstRow="0" w:lastRow="0" w:firstColumn="0" w:lastColumn="0" w:oddVBand="0" w:evenVBand="0" w:oddHBand="0" w:evenHBand="0" w:firstRowFirstColumn="0" w:firstRowLastColumn="0" w:lastRowFirstColumn="0" w:lastRowLastColumn="0"/>
            </w:pPr>
            <w:r>
              <w:t>1</w:t>
            </w:r>
          </w:p>
        </w:tc>
        <w:tc>
          <w:tcPr>
            <w:tcW w:w="794" w:type="dxa"/>
            <w:tcBorders>
              <w:bottom w:val="single" w:sz="6" w:space="0" w:color="auto"/>
            </w:tcBorders>
          </w:tcPr>
          <w:p w14:paraId="682662E1" w14:textId="77777777" w:rsidR="00AB205D" w:rsidRDefault="00471A3B">
            <w:pPr>
              <w:cnfStyle w:val="000000000000" w:firstRow="0" w:lastRow="0" w:firstColumn="0" w:lastColumn="0" w:oddVBand="0" w:evenVBand="0" w:oddHBand="0" w:evenHBand="0" w:firstRowFirstColumn="0" w:firstRowLastColumn="0" w:lastRowFirstColumn="0" w:lastRowLastColumn="0"/>
            </w:pPr>
            <w:r>
              <w:t>1</w:t>
            </w:r>
          </w:p>
        </w:tc>
      </w:tr>
      <w:tr w:rsidR="009C6724" w14:paraId="5CE1117A"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226EF7A4" w14:textId="77777777" w:rsidR="00AB205D" w:rsidRDefault="00471A3B">
            <w:r>
              <w:rPr>
                <w:b/>
              </w:rPr>
              <w:t>Total depreciation of service concession assets</w:t>
            </w:r>
          </w:p>
        </w:tc>
        <w:tc>
          <w:tcPr>
            <w:tcW w:w="794" w:type="dxa"/>
            <w:tcBorders>
              <w:top w:val="single" w:sz="6" w:space="0" w:color="auto"/>
              <w:bottom w:val="single" w:sz="12" w:space="0" w:color="auto"/>
            </w:tcBorders>
          </w:tcPr>
          <w:p w14:paraId="161F1F4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255</w:t>
            </w:r>
          </w:p>
        </w:tc>
        <w:tc>
          <w:tcPr>
            <w:tcW w:w="794" w:type="dxa"/>
            <w:tcBorders>
              <w:top w:val="single" w:sz="6" w:space="0" w:color="auto"/>
              <w:bottom w:val="single" w:sz="12" w:space="0" w:color="auto"/>
            </w:tcBorders>
          </w:tcPr>
          <w:p w14:paraId="42FFB25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255</w:t>
            </w:r>
          </w:p>
        </w:tc>
        <w:tc>
          <w:tcPr>
            <w:tcW w:w="794" w:type="dxa"/>
            <w:tcBorders>
              <w:top w:val="single" w:sz="6" w:space="0" w:color="auto"/>
              <w:bottom w:val="single" w:sz="12" w:space="0" w:color="auto"/>
            </w:tcBorders>
          </w:tcPr>
          <w:p w14:paraId="6668D13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254</w:t>
            </w:r>
          </w:p>
        </w:tc>
        <w:tc>
          <w:tcPr>
            <w:tcW w:w="794" w:type="dxa"/>
            <w:tcBorders>
              <w:top w:val="single" w:sz="6" w:space="0" w:color="auto"/>
              <w:bottom w:val="single" w:sz="12" w:space="0" w:color="auto"/>
            </w:tcBorders>
          </w:tcPr>
          <w:p w14:paraId="5E2F64F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380</w:t>
            </w:r>
          </w:p>
        </w:tc>
        <w:tc>
          <w:tcPr>
            <w:tcW w:w="794" w:type="dxa"/>
            <w:tcBorders>
              <w:top w:val="single" w:sz="6" w:space="0" w:color="auto"/>
              <w:bottom w:val="single" w:sz="12" w:space="0" w:color="auto"/>
            </w:tcBorders>
          </w:tcPr>
          <w:p w14:paraId="5B40B80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493</w:t>
            </w:r>
          </w:p>
        </w:tc>
      </w:tr>
    </w:tbl>
    <w:p w14:paraId="416857DA" w14:textId="77777777" w:rsidR="00AB205D" w:rsidRDefault="00AB205D"/>
    <w:p w14:paraId="5AFF1A90" w14:textId="77777777" w:rsidR="00AB205D" w:rsidRPr="00DC3CAB" w:rsidRDefault="00471A3B">
      <w:pPr>
        <w:pStyle w:val="Heading3"/>
        <w:pageBreakBefore/>
        <w:rPr>
          <w:sz w:val="21"/>
          <w:szCs w:val="21"/>
        </w:rPr>
      </w:pPr>
      <w:bookmarkStart w:id="64" w:name="_Toc149221057"/>
      <w:r w:rsidRPr="00DC3CAB">
        <w:rPr>
          <w:sz w:val="21"/>
          <w:szCs w:val="21"/>
        </w:rPr>
        <w:lastRenderedPageBreak/>
        <w:t xml:space="preserve">Reconciliation of movements in land, buildings, infrastructure, </w:t>
      </w:r>
      <w:r w:rsidRPr="00DC3CAB">
        <w:rPr>
          <w:sz w:val="21"/>
          <w:szCs w:val="21"/>
        </w:rPr>
        <w:br/>
        <w:t xml:space="preserve">plant and equipment </w:t>
      </w:r>
      <w:r w:rsidRPr="00DC3CAB">
        <w:rPr>
          <w:sz w:val="21"/>
          <w:szCs w:val="21"/>
          <w:vertAlign w:val="superscript"/>
        </w:rPr>
        <w:t>(a)</w:t>
      </w:r>
      <w:r w:rsidRPr="00DC3CAB">
        <w:rPr>
          <w:sz w:val="21"/>
          <w:szCs w:val="21"/>
        </w:rPr>
        <w:tab/>
        <w:t>($ million)</w:t>
      </w:r>
      <w:bookmarkEnd w:id="64"/>
    </w:p>
    <w:tbl>
      <w:tblPr>
        <w:tblStyle w:val="DTFTableNumeric"/>
        <w:tblW w:w="7710" w:type="dxa"/>
        <w:tblLayout w:type="fixed"/>
        <w:tblLook w:val="06A0" w:firstRow="1" w:lastRow="0" w:firstColumn="1" w:lastColumn="0" w:noHBand="1" w:noVBand="1"/>
        <w:tblDescription w:val="Type:DtfTable|Workbook:Rawdata\BudgetUpdate\Budget Update\Financial Statements\Manual reports\Link_BU_PPE_Reco.xlsx|Table:PPE_reco|MergedHeadingRow:1"/>
      </w:tblPr>
      <w:tblGrid>
        <w:gridCol w:w="3740"/>
        <w:gridCol w:w="794"/>
        <w:gridCol w:w="794"/>
        <w:gridCol w:w="794"/>
        <w:gridCol w:w="794"/>
        <w:gridCol w:w="794"/>
      </w:tblGrid>
      <w:tr w:rsidR="009C6724" w14:paraId="19C845C3"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07AAF463" w14:textId="77777777" w:rsidR="00AB205D" w:rsidRDefault="00AB205D">
            <w:pPr>
              <w:keepNext/>
            </w:pPr>
          </w:p>
        </w:tc>
        <w:tc>
          <w:tcPr>
            <w:tcW w:w="794" w:type="dxa"/>
          </w:tcPr>
          <w:p w14:paraId="446E26EC"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br/>
              <w:t>budget</w:t>
            </w:r>
          </w:p>
        </w:tc>
        <w:tc>
          <w:tcPr>
            <w:tcW w:w="794" w:type="dxa"/>
          </w:tcPr>
          <w:p w14:paraId="50D804F9"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br/>
              <w:t>revised</w:t>
            </w:r>
          </w:p>
        </w:tc>
        <w:tc>
          <w:tcPr>
            <w:tcW w:w="794" w:type="dxa"/>
          </w:tcPr>
          <w:p w14:paraId="0A43AB1D"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br/>
              <w:t>estimate</w:t>
            </w:r>
          </w:p>
        </w:tc>
        <w:tc>
          <w:tcPr>
            <w:tcW w:w="794" w:type="dxa"/>
          </w:tcPr>
          <w:p w14:paraId="6108252A"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br/>
              <w:t>estimate</w:t>
            </w:r>
          </w:p>
        </w:tc>
        <w:tc>
          <w:tcPr>
            <w:tcW w:w="794" w:type="dxa"/>
          </w:tcPr>
          <w:p w14:paraId="1086ADDA"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2027</w:t>
            </w:r>
            <w:r>
              <w:br/>
              <w:t>estimate</w:t>
            </w:r>
          </w:p>
        </w:tc>
      </w:tr>
      <w:tr w:rsidR="009C6724" w14:paraId="420DD022"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328FAD8" w14:textId="77777777" w:rsidR="00AB205D" w:rsidRDefault="00471A3B">
            <w:r>
              <w:t>Carrying amount at the start of the year</w:t>
            </w:r>
          </w:p>
        </w:tc>
        <w:tc>
          <w:tcPr>
            <w:tcW w:w="794" w:type="dxa"/>
          </w:tcPr>
          <w:p w14:paraId="462C025E" w14:textId="77777777" w:rsidR="00AB205D" w:rsidRDefault="00471A3B">
            <w:pPr>
              <w:cnfStyle w:val="000000000000" w:firstRow="0" w:lastRow="0" w:firstColumn="0" w:lastColumn="0" w:oddVBand="0" w:evenVBand="0" w:oddHBand="0" w:evenHBand="0" w:firstRowFirstColumn="0" w:firstRowLastColumn="0" w:lastRowFirstColumn="0" w:lastRowLastColumn="0"/>
            </w:pPr>
            <w:r>
              <w:t>249 480</w:t>
            </w:r>
          </w:p>
        </w:tc>
        <w:tc>
          <w:tcPr>
            <w:tcW w:w="794" w:type="dxa"/>
          </w:tcPr>
          <w:p w14:paraId="21639815" w14:textId="77777777" w:rsidR="00AB205D" w:rsidRDefault="00471A3B">
            <w:pPr>
              <w:cnfStyle w:val="000000000000" w:firstRow="0" w:lastRow="0" w:firstColumn="0" w:lastColumn="0" w:oddVBand="0" w:evenVBand="0" w:oddHBand="0" w:evenHBand="0" w:firstRowFirstColumn="0" w:firstRowLastColumn="0" w:lastRowFirstColumn="0" w:lastRowLastColumn="0"/>
            </w:pPr>
            <w:r>
              <w:t>249 480</w:t>
            </w:r>
          </w:p>
        </w:tc>
        <w:tc>
          <w:tcPr>
            <w:tcW w:w="794" w:type="dxa"/>
          </w:tcPr>
          <w:p w14:paraId="04CE1F7F" w14:textId="77777777" w:rsidR="00AB205D" w:rsidRDefault="00471A3B">
            <w:pPr>
              <w:cnfStyle w:val="000000000000" w:firstRow="0" w:lastRow="0" w:firstColumn="0" w:lastColumn="0" w:oddVBand="0" w:evenVBand="0" w:oddHBand="0" w:evenHBand="0" w:firstRowFirstColumn="0" w:firstRowLastColumn="0" w:lastRowFirstColumn="0" w:lastRowLastColumn="0"/>
            </w:pPr>
            <w:r>
              <w:t>260 988</w:t>
            </w:r>
          </w:p>
        </w:tc>
        <w:tc>
          <w:tcPr>
            <w:tcW w:w="794" w:type="dxa"/>
          </w:tcPr>
          <w:p w14:paraId="729AF1A6" w14:textId="77777777" w:rsidR="00AB205D" w:rsidRDefault="00471A3B">
            <w:pPr>
              <w:cnfStyle w:val="000000000000" w:firstRow="0" w:lastRow="0" w:firstColumn="0" w:lastColumn="0" w:oddVBand="0" w:evenVBand="0" w:oddHBand="0" w:evenHBand="0" w:firstRowFirstColumn="0" w:firstRowLastColumn="0" w:lastRowFirstColumn="0" w:lastRowLastColumn="0"/>
            </w:pPr>
            <w:r>
              <w:t>284 990</w:t>
            </w:r>
          </w:p>
        </w:tc>
        <w:tc>
          <w:tcPr>
            <w:tcW w:w="794" w:type="dxa"/>
          </w:tcPr>
          <w:p w14:paraId="3D355515" w14:textId="77777777" w:rsidR="00AB205D" w:rsidRDefault="00471A3B">
            <w:pPr>
              <w:cnfStyle w:val="000000000000" w:firstRow="0" w:lastRow="0" w:firstColumn="0" w:lastColumn="0" w:oddVBand="0" w:evenVBand="0" w:oddHBand="0" w:evenHBand="0" w:firstRowFirstColumn="0" w:firstRowLastColumn="0" w:lastRowFirstColumn="0" w:lastRowLastColumn="0"/>
            </w:pPr>
            <w:r>
              <w:t>278 443</w:t>
            </w:r>
          </w:p>
        </w:tc>
      </w:tr>
      <w:tr w:rsidR="009C6724" w14:paraId="15FF5E04"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6F68976" w14:textId="77777777" w:rsidR="00AB205D" w:rsidRDefault="00471A3B">
            <w:r>
              <w:t>Additions of self</w:t>
            </w:r>
            <w:r>
              <w:noBreakHyphen/>
              <w:t>owned assets</w:t>
            </w:r>
            <w:r>
              <w:rPr>
                <w:vertAlign w:val="superscript"/>
              </w:rPr>
              <w:t xml:space="preserve"> (b)</w:t>
            </w:r>
          </w:p>
        </w:tc>
        <w:tc>
          <w:tcPr>
            <w:tcW w:w="794" w:type="dxa"/>
          </w:tcPr>
          <w:p w14:paraId="5B0436ED" w14:textId="77777777" w:rsidR="00AB205D" w:rsidRDefault="00471A3B">
            <w:pPr>
              <w:cnfStyle w:val="000000000000" w:firstRow="0" w:lastRow="0" w:firstColumn="0" w:lastColumn="0" w:oddVBand="0" w:evenVBand="0" w:oddHBand="0" w:evenHBand="0" w:firstRowFirstColumn="0" w:firstRowLastColumn="0" w:lastRowFirstColumn="0" w:lastRowLastColumn="0"/>
            </w:pPr>
            <w:r>
              <w:t>16 095</w:t>
            </w:r>
          </w:p>
        </w:tc>
        <w:tc>
          <w:tcPr>
            <w:tcW w:w="794" w:type="dxa"/>
          </w:tcPr>
          <w:p w14:paraId="4BBC11BE" w14:textId="77777777" w:rsidR="00AB205D" w:rsidRDefault="00471A3B">
            <w:pPr>
              <w:cnfStyle w:val="000000000000" w:firstRow="0" w:lastRow="0" w:firstColumn="0" w:lastColumn="0" w:oddVBand="0" w:evenVBand="0" w:oddHBand="0" w:evenHBand="0" w:firstRowFirstColumn="0" w:firstRowLastColumn="0" w:lastRowFirstColumn="0" w:lastRowLastColumn="0"/>
            </w:pPr>
            <w:r>
              <w:t>17 567</w:t>
            </w:r>
          </w:p>
        </w:tc>
        <w:tc>
          <w:tcPr>
            <w:tcW w:w="794" w:type="dxa"/>
          </w:tcPr>
          <w:p w14:paraId="0901723B" w14:textId="77777777" w:rsidR="00AB205D" w:rsidRDefault="00471A3B">
            <w:pPr>
              <w:cnfStyle w:val="000000000000" w:firstRow="0" w:lastRow="0" w:firstColumn="0" w:lastColumn="0" w:oddVBand="0" w:evenVBand="0" w:oddHBand="0" w:evenHBand="0" w:firstRowFirstColumn="0" w:firstRowLastColumn="0" w:lastRowFirstColumn="0" w:lastRowLastColumn="0"/>
            </w:pPr>
            <w:r>
              <w:t>17 503</w:t>
            </w:r>
          </w:p>
        </w:tc>
        <w:tc>
          <w:tcPr>
            <w:tcW w:w="794" w:type="dxa"/>
          </w:tcPr>
          <w:p w14:paraId="1787EA7F" w14:textId="77777777" w:rsidR="00AB205D" w:rsidRDefault="00471A3B">
            <w:pPr>
              <w:cnfStyle w:val="000000000000" w:firstRow="0" w:lastRow="0" w:firstColumn="0" w:lastColumn="0" w:oddVBand="0" w:evenVBand="0" w:oddHBand="0" w:evenHBand="0" w:firstRowFirstColumn="0" w:firstRowLastColumn="0" w:lastRowFirstColumn="0" w:lastRowLastColumn="0"/>
            </w:pPr>
            <w:r>
              <w:t>17 494</w:t>
            </w:r>
          </w:p>
        </w:tc>
        <w:tc>
          <w:tcPr>
            <w:tcW w:w="794" w:type="dxa"/>
          </w:tcPr>
          <w:p w14:paraId="543BD24B" w14:textId="77777777" w:rsidR="00AB205D" w:rsidRDefault="00471A3B">
            <w:pPr>
              <w:cnfStyle w:val="000000000000" w:firstRow="0" w:lastRow="0" w:firstColumn="0" w:lastColumn="0" w:oddVBand="0" w:evenVBand="0" w:oddHBand="0" w:evenHBand="0" w:firstRowFirstColumn="0" w:firstRowLastColumn="0" w:lastRowFirstColumn="0" w:lastRowLastColumn="0"/>
            </w:pPr>
            <w:r>
              <w:t>15 382</w:t>
            </w:r>
          </w:p>
        </w:tc>
      </w:tr>
      <w:tr w:rsidR="009C6724" w14:paraId="7AF22B62"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00C67FF8" w14:textId="77777777" w:rsidR="00AB205D" w:rsidRDefault="00471A3B">
            <w:r>
              <w:t>Additions of right</w:t>
            </w:r>
            <w:r>
              <w:noBreakHyphen/>
              <w:t>of</w:t>
            </w:r>
            <w:r>
              <w:noBreakHyphen/>
              <w:t>use assets</w:t>
            </w:r>
          </w:p>
        </w:tc>
        <w:tc>
          <w:tcPr>
            <w:tcW w:w="794" w:type="dxa"/>
          </w:tcPr>
          <w:p w14:paraId="5A280FA1" w14:textId="77777777" w:rsidR="00AB205D" w:rsidRDefault="00471A3B">
            <w:pPr>
              <w:cnfStyle w:val="000000000000" w:firstRow="0" w:lastRow="0" w:firstColumn="0" w:lastColumn="0" w:oddVBand="0" w:evenVBand="0" w:oddHBand="0" w:evenHBand="0" w:firstRowFirstColumn="0" w:firstRowLastColumn="0" w:lastRowFirstColumn="0" w:lastRowLastColumn="0"/>
            </w:pPr>
            <w:r>
              <w:t>240</w:t>
            </w:r>
          </w:p>
        </w:tc>
        <w:tc>
          <w:tcPr>
            <w:tcW w:w="794" w:type="dxa"/>
          </w:tcPr>
          <w:p w14:paraId="4DEC78B8" w14:textId="77777777" w:rsidR="00AB205D" w:rsidRDefault="00471A3B">
            <w:pPr>
              <w:cnfStyle w:val="000000000000" w:firstRow="0" w:lastRow="0" w:firstColumn="0" w:lastColumn="0" w:oddVBand="0" w:evenVBand="0" w:oddHBand="0" w:evenHBand="0" w:firstRowFirstColumn="0" w:firstRowLastColumn="0" w:lastRowFirstColumn="0" w:lastRowLastColumn="0"/>
            </w:pPr>
            <w:r>
              <w:t>501</w:t>
            </w:r>
          </w:p>
        </w:tc>
        <w:tc>
          <w:tcPr>
            <w:tcW w:w="794" w:type="dxa"/>
          </w:tcPr>
          <w:p w14:paraId="03DFF8FF" w14:textId="77777777" w:rsidR="00AB205D" w:rsidRDefault="00471A3B">
            <w:pPr>
              <w:cnfStyle w:val="000000000000" w:firstRow="0" w:lastRow="0" w:firstColumn="0" w:lastColumn="0" w:oddVBand="0" w:evenVBand="0" w:oddHBand="0" w:evenHBand="0" w:firstRowFirstColumn="0" w:firstRowLastColumn="0" w:lastRowFirstColumn="0" w:lastRowLastColumn="0"/>
            </w:pPr>
            <w:r>
              <w:t>144</w:t>
            </w:r>
          </w:p>
        </w:tc>
        <w:tc>
          <w:tcPr>
            <w:tcW w:w="794" w:type="dxa"/>
          </w:tcPr>
          <w:p w14:paraId="4260136C" w14:textId="77777777" w:rsidR="00AB205D" w:rsidRDefault="00471A3B">
            <w:pPr>
              <w:cnfStyle w:val="000000000000" w:firstRow="0" w:lastRow="0" w:firstColumn="0" w:lastColumn="0" w:oddVBand="0" w:evenVBand="0" w:oddHBand="0" w:evenHBand="0" w:firstRowFirstColumn="0" w:firstRowLastColumn="0" w:lastRowFirstColumn="0" w:lastRowLastColumn="0"/>
            </w:pPr>
            <w:r>
              <w:t>217</w:t>
            </w:r>
          </w:p>
        </w:tc>
        <w:tc>
          <w:tcPr>
            <w:tcW w:w="794" w:type="dxa"/>
          </w:tcPr>
          <w:p w14:paraId="7AD5E654" w14:textId="77777777" w:rsidR="00AB205D" w:rsidRDefault="00471A3B">
            <w:pPr>
              <w:cnfStyle w:val="000000000000" w:firstRow="0" w:lastRow="0" w:firstColumn="0" w:lastColumn="0" w:oddVBand="0" w:evenVBand="0" w:oddHBand="0" w:evenHBand="0" w:firstRowFirstColumn="0" w:firstRowLastColumn="0" w:lastRowFirstColumn="0" w:lastRowLastColumn="0"/>
            </w:pPr>
            <w:r>
              <w:t>101</w:t>
            </w:r>
          </w:p>
        </w:tc>
      </w:tr>
      <w:tr w:rsidR="009C6724" w14:paraId="52DA63DC"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7774D02" w14:textId="77777777" w:rsidR="00AB205D" w:rsidRDefault="00471A3B">
            <w:r>
              <w:t>Additions of service concession arrangement assets</w:t>
            </w:r>
          </w:p>
        </w:tc>
        <w:tc>
          <w:tcPr>
            <w:tcW w:w="794" w:type="dxa"/>
          </w:tcPr>
          <w:p w14:paraId="76D209AF" w14:textId="77777777" w:rsidR="00AB205D" w:rsidRDefault="00471A3B">
            <w:pPr>
              <w:cnfStyle w:val="000000000000" w:firstRow="0" w:lastRow="0" w:firstColumn="0" w:lastColumn="0" w:oddVBand="0" w:evenVBand="0" w:oddHBand="0" w:evenHBand="0" w:firstRowFirstColumn="0" w:firstRowLastColumn="0" w:lastRowFirstColumn="0" w:lastRowLastColumn="0"/>
            </w:pPr>
            <w:r>
              <w:t>2 331</w:t>
            </w:r>
          </w:p>
        </w:tc>
        <w:tc>
          <w:tcPr>
            <w:tcW w:w="794" w:type="dxa"/>
          </w:tcPr>
          <w:p w14:paraId="72CA751C" w14:textId="77777777" w:rsidR="00AB205D" w:rsidRDefault="00471A3B">
            <w:pPr>
              <w:cnfStyle w:val="000000000000" w:firstRow="0" w:lastRow="0" w:firstColumn="0" w:lastColumn="0" w:oddVBand="0" w:evenVBand="0" w:oddHBand="0" w:evenHBand="0" w:firstRowFirstColumn="0" w:firstRowLastColumn="0" w:lastRowFirstColumn="0" w:lastRowLastColumn="0"/>
            </w:pPr>
            <w:r>
              <w:t>2 426</w:t>
            </w:r>
          </w:p>
        </w:tc>
        <w:tc>
          <w:tcPr>
            <w:tcW w:w="794" w:type="dxa"/>
          </w:tcPr>
          <w:p w14:paraId="5BFB9ACC" w14:textId="77777777" w:rsidR="00AB205D" w:rsidRDefault="00471A3B">
            <w:pPr>
              <w:cnfStyle w:val="000000000000" w:firstRow="0" w:lastRow="0" w:firstColumn="0" w:lastColumn="0" w:oddVBand="0" w:evenVBand="0" w:oddHBand="0" w:evenHBand="0" w:firstRowFirstColumn="0" w:firstRowLastColumn="0" w:lastRowFirstColumn="0" w:lastRowLastColumn="0"/>
            </w:pPr>
            <w:r>
              <w:t>596</w:t>
            </w:r>
          </w:p>
        </w:tc>
        <w:tc>
          <w:tcPr>
            <w:tcW w:w="794" w:type="dxa"/>
          </w:tcPr>
          <w:p w14:paraId="5E6E660A" w14:textId="77777777" w:rsidR="00AB205D" w:rsidRDefault="00471A3B">
            <w:pPr>
              <w:cnfStyle w:val="000000000000" w:firstRow="0" w:lastRow="0" w:firstColumn="0" w:lastColumn="0" w:oddVBand="0" w:evenVBand="0" w:oddHBand="0" w:evenHBand="0" w:firstRowFirstColumn="0" w:firstRowLastColumn="0" w:lastRowFirstColumn="0" w:lastRowLastColumn="0"/>
            </w:pPr>
            <w:r>
              <w:t>165</w:t>
            </w:r>
          </w:p>
        </w:tc>
        <w:tc>
          <w:tcPr>
            <w:tcW w:w="794" w:type="dxa"/>
          </w:tcPr>
          <w:p w14:paraId="4C4D76FB" w14:textId="77777777" w:rsidR="00AB205D" w:rsidRDefault="00471A3B">
            <w:pPr>
              <w:cnfStyle w:val="000000000000" w:firstRow="0" w:lastRow="0" w:firstColumn="0" w:lastColumn="0" w:oddVBand="0" w:evenVBand="0" w:oddHBand="0" w:evenHBand="0" w:firstRowFirstColumn="0" w:firstRowLastColumn="0" w:lastRowFirstColumn="0" w:lastRowLastColumn="0"/>
            </w:pPr>
            <w:r>
              <w:t>19</w:t>
            </w:r>
          </w:p>
        </w:tc>
      </w:tr>
      <w:tr w:rsidR="009C6724" w14:paraId="0217A9D8"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1F35BF3F" w14:textId="77777777" w:rsidR="00AB205D" w:rsidRDefault="00471A3B">
            <w:r>
              <w:t>Disposals at written</w:t>
            </w:r>
            <w:r>
              <w:noBreakHyphen/>
              <w:t>down value</w:t>
            </w:r>
          </w:p>
        </w:tc>
        <w:tc>
          <w:tcPr>
            <w:tcW w:w="794" w:type="dxa"/>
          </w:tcPr>
          <w:p w14:paraId="6BF6A2EF" w14:textId="77777777" w:rsidR="00AB205D" w:rsidRDefault="00471A3B">
            <w:pPr>
              <w:cnfStyle w:val="000000000000" w:firstRow="0" w:lastRow="0" w:firstColumn="0" w:lastColumn="0" w:oddVBand="0" w:evenVBand="0" w:oddHBand="0" w:evenHBand="0" w:firstRowFirstColumn="0" w:firstRowLastColumn="0" w:lastRowFirstColumn="0" w:lastRowLastColumn="0"/>
            </w:pPr>
            <w:r>
              <w:t>(419)</w:t>
            </w:r>
          </w:p>
        </w:tc>
        <w:tc>
          <w:tcPr>
            <w:tcW w:w="794" w:type="dxa"/>
          </w:tcPr>
          <w:p w14:paraId="6FD59CDD" w14:textId="77777777" w:rsidR="00AB205D" w:rsidRDefault="00471A3B">
            <w:pPr>
              <w:cnfStyle w:val="000000000000" w:firstRow="0" w:lastRow="0" w:firstColumn="0" w:lastColumn="0" w:oddVBand="0" w:evenVBand="0" w:oddHBand="0" w:evenHBand="0" w:firstRowFirstColumn="0" w:firstRowLastColumn="0" w:lastRowFirstColumn="0" w:lastRowLastColumn="0"/>
            </w:pPr>
            <w:r>
              <w:t>(421)</w:t>
            </w:r>
          </w:p>
        </w:tc>
        <w:tc>
          <w:tcPr>
            <w:tcW w:w="794" w:type="dxa"/>
          </w:tcPr>
          <w:p w14:paraId="70EFB5CE" w14:textId="77777777" w:rsidR="00AB205D" w:rsidRDefault="00471A3B">
            <w:pPr>
              <w:cnfStyle w:val="000000000000" w:firstRow="0" w:lastRow="0" w:firstColumn="0" w:lastColumn="0" w:oddVBand="0" w:evenVBand="0" w:oddHBand="0" w:evenHBand="0" w:firstRowFirstColumn="0" w:firstRowLastColumn="0" w:lastRowFirstColumn="0" w:lastRowLastColumn="0"/>
            </w:pPr>
            <w:r>
              <w:t>(475)</w:t>
            </w:r>
          </w:p>
        </w:tc>
        <w:tc>
          <w:tcPr>
            <w:tcW w:w="794" w:type="dxa"/>
          </w:tcPr>
          <w:p w14:paraId="371E92DA" w14:textId="77777777" w:rsidR="00AB205D" w:rsidRDefault="00471A3B">
            <w:pPr>
              <w:cnfStyle w:val="000000000000" w:firstRow="0" w:lastRow="0" w:firstColumn="0" w:lastColumn="0" w:oddVBand="0" w:evenVBand="0" w:oddHBand="0" w:evenHBand="0" w:firstRowFirstColumn="0" w:firstRowLastColumn="0" w:lastRowFirstColumn="0" w:lastRowLastColumn="0"/>
            </w:pPr>
            <w:r>
              <w:t>(655)</w:t>
            </w:r>
          </w:p>
        </w:tc>
        <w:tc>
          <w:tcPr>
            <w:tcW w:w="794" w:type="dxa"/>
          </w:tcPr>
          <w:p w14:paraId="2AF48824" w14:textId="77777777" w:rsidR="00AB205D" w:rsidRDefault="00471A3B">
            <w:pPr>
              <w:cnfStyle w:val="000000000000" w:firstRow="0" w:lastRow="0" w:firstColumn="0" w:lastColumn="0" w:oddVBand="0" w:evenVBand="0" w:oddHBand="0" w:evenHBand="0" w:firstRowFirstColumn="0" w:firstRowLastColumn="0" w:lastRowFirstColumn="0" w:lastRowLastColumn="0"/>
            </w:pPr>
            <w:r>
              <w:t>(401)</w:t>
            </w:r>
          </w:p>
        </w:tc>
      </w:tr>
      <w:tr w:rsidR="009C6724" w14:paraId="3B6F6BDB"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60DB71FF" w14:textId="77777777" w:rsidR="00AB205D" w:rsidRDefault="00471A3B">
            <w:r>
              <w:t>Revaluations</w:t>
            </w:r>
          </w:p>
        </w:tc>
        <w:tc>
          <w:tcPr>
            <w:tcW w:w="794" w:type="dxa"/>
          </w:tcPr>
          <w:p w14:paraId="5DB13C1F" w14:textId="77777777" w:rsidR="00AB205D" w:rsidRDefault="00471A3B">
            <w:pPr>
              <w:cnfStyle w:val="000000000000" w:firstRow="0" w:lastRow="0" w:firstColumn="0" w:lastColumn="0" w:oddVBand="0" w:evenVBand="0" w:oddHBand="0" w:evenHBand="0" w:firstRowFirstColumn="0" w:firstRowLastColumn="0" w:lastRowFirstColumn="0" w:lastRowLastColumn="0"/>
            </w:pPr>
            <w:r>
              <w:t>1 030</w:t>
            </w:r>
          </w:p>
        </w:tc>
        <w:tc>
          <w:tcPr>
            <w:tcW w:w="794" w:type="dxa"/>
          </w:tcPr>
          <w:p w14:paraId="735C6519" w14:textId="77777777" w:rsidR="00AB205D" w:rsidRDefault="00471A3B">
            <w:pPr>
              <w:cnfStyle w:val="000000000000" w:firstRow="0" w:lastRow="0" w:firstColumn="0" w:lastColumn="0" w:oddVBand="0" w:evenVBand="0" w:oddHBand="0" w:evenHBand="0" w:firstRowFirstColumn="0" w:firstRowLastColumn="0" w:lastRowFirstColumn="0" w:lastRowLastColumn="0"/>
            </w:pPr>
            <w:r>
              <w:t>1 016</w:t>
            </w:r>
          </w:p>
        </w:tc>
        <w:tc>
          <w:tcPr>
            <w:tcW w:w="794" w:type="dxa"/>
          </w:tcPr>
          <w:p w14:paraId="3A9F693E" w14:textId="77777777" w:rsidR="00AB205D" w:rsidRDefault="00471A3B">
            <w:pPr>
              <w:cnfStyle w:val="000000000000" w:firstRow="0" w:lastRow="0" w:firstColumn="0" w:lastColumn="0" w:oddVBand="0" w:evenVBand="0" w:oddHBand="0" w:evenHBand="0" w:firstRowFirstColumn="0" w:firstRowLastColumn="0" w:lastRowFirstColumn="0" w:lastRowLastColumn="0"/>
            </w:pPr>
            <w:r>
              <w:t>15 017</w:t>
            </w:r>
          </w:p>
        </w:tc>
        <w:tc>
          <w:tcPr>
            <w:tcW w:w="794" w:type="dxa"/>
          </w:tcPr>
          <w:p w14:paraId="10953E6D" w14:textId="77777777" w:rsidR="00AB205D" w:rsidRDefault="00471A3B">
            <w:pPr>
              <w:cnfStyle w:val="000000000000" w:firstRow="0" w:lastRow="0" w:firstColumn="0" w:lastColumn="0" w:oddVBand="0" w:evenVBand="0" w:oddHBand="0" w:evenHBand="0" w:firstRowFirstColumn="0" w:firstRowLastColumn="0" w:lastRowFirstColumn="0" w:lastRowLastColumn="0"/>
            </w:pPr>
            <w:r>
              <w:t>2 881</w:t>
            </w:r>
          </w:p>
        </w:tc>
        <w:tc>
          <w:tcPr>
            <w:tcW w:w="794" w:type="dxa"/>
          </w:tcPr>
          <w:p w14:paraId="48889957" w14:textId="77777777" w:rsidR="00AB205D" w:rsidRDefault="00471A3B">
            <w:pPr>
              <w:cnfStyle w:val="000000000000" w:firstRow="0" w:lastRow="0" w:firstColumn="0" w:lastColumn="0" w:oddVBand="0" w:evenVBand="0" w:oddHBand="0" w:evenHBand="0" w:firstRowFirstColumn="0" w:firstRowLastColumn="0" w:lastRowFirstColumn="0" w:lastRowLastColumn="0"/>
            </w:pPr>
            <w:r>
              <w:t>9 656</w:t>
            </w:r>
          </w:p>
        </w:tc>
      </w:tr>
      <w:tr w:rsidR="009C6724" w14:paraId="58F6C1AD"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C8994D0" w14:textId="77777777" w:rsidR="00AB205D" w:rsidRDefault="00471A3B">
            <w:r>
              <w:t>Asset transfers</w:t>
            </w:r>
            <w:r>
              <w:rPr>
                <w:vertAlign w:val="superscript"/>
              </w:rPr>
              <w:t xml:space="preserve"> (c)</w:t>
            </w:r>
          </w:p>
        </w:tc>
        <w:tc>
          <w:tcPr>
            <w:tcW w:w="794" w:type="dxa"/>
          </w:tcPr>
          <w:p w14:paraId="051ECAC1" w14:textId="77777777" w:rsidR="00AB205D" w:rsidRDefault="00471A3B">
            <w:pPr>
              <w:cnfStyle w:val="000000000000" w:firstRow="0" w:lastRow="0" w:firstColumn="0" w:lastColumn="0" w:oddVBand="0" w:evenVBand="0" w:oddHBand="0" w:evenHBand="0" w:firstRowFirstColumn="0" w:firstRowLastColumn="0" w:lastRowFirstColumn="0" w:lastRowLastColumn="0"/>
            </w:pPr>
            <w:r>
              <w:t>(5 636)</w:t>
            </w:r>
          </w:p>
        </w:tc>
        <w:tc>
          <w:tcPr>
            <w:tcW w:w="794" w:type="dxa"/>
          </w:tcPr>
          <w:p w14:paraId="095503C4" w14:textId="77777777" w:rsidR="00AB205D" w:rsidRDefault="00471A3B">
            <w:pPr>
              <w:cnfStyle w:val="000000000000" w:firstRow="0" w:lastRow="0" w:firstColumn="0" w:lastColumn="0" w:oddVBand="0" w:evenVBand="0" w:oddHBand="0" w:evenHBand="0" w:firstRowFirstColumn="0" w:firstRowLastColumn="0" w:lastRowFirstColumn="0" w:lastRowLastColumn="0"/>
            </w:pPr>
            <w:r>
              <w:t>(4 988)</w:t>
            </w:r>
          </w:p>
        </w:tc>
        <w:tc>
          <w:tcPr>
            <w:tcW w:w="794" w:type="dxa"/>
          </w:tcPr>
          <w:p w14:paraId="1D7E2BC7" w14:textId="77777777" w:rsidR="00AB205D" w:rsidRDefault="00471A3B">
            <w:pPr>
              <w:cnfStyle w:val="000000000000" w:firstRow="0" w:lastRow="0" w:firstColumn="0" w:lastColumn="0" w:oddVBand="0" w:evenVBand="0" w:oddHBand="0" w:evenHBand="0" w:firstRowFirstColumn="0" w:firstRowLastColumn="0" w:lastRowFirstColumn="0" w:lastRowLastColumn="0"/>
            </w:pPr>
            <w:r>
              <w:t>(4 065)</w:t>
            </w:r>
          </w:p>
        </w:tc>
        <w:tc>
          <w:tcPr>
            <w:tcW w:w="794" w:type="dxa"/>
          </w:tcPr>
          <w:p w14:paraId="0C624644" w14:textId="77777777" w:rsidR="00AB205D" w:rsidRDefault="00471A3B">
            <w:pPr>
              <w:cnfStyle w:val="000000000000" w:firstRow="0" w:lastRow="0" w:firstColumn="0" w:lastColumn="0" w:oddVBand="0" w:evenVBand="0" w:oddHBand="0" w:evenHBand="0" w:firstRowFirstColumn="0" w:firstRowLastColumn="0" w:lastRowFirstColumn="0" w:lastRowLastColumn="0"/>
            </w:pPr>
            <w:r>
              <w:t>(21 620)</w:t>
            </w:r>
          </w:p>
        </w:tc>
        <w:tc>
          <w:tcPr>
            <w:tcW w:w="794" w:type="dxa"/>
          </w:tcPr>
          <w:p w14:paraId="312E516E" w14:textId="77777777" w:rsidR="00AB205D" w:rsidRDefault="00471A3B">
            <w:pPr>
              <w:cnfStyle w:val="000000000000" w:firstRow="0" w:lastRow="0" w:firstColumn="0" w:lastColumn="0" w:oddVBand="0" w:evenVBand="0" w:oddHBand="0" w:evenHBand="0" w:firstRowFirstColumn="0" w:firstRowLastColumn="0" w:lastRowFirstColumn="0" w:lastRowLastColumn="0"/>
            </w:pPr>
            <w:r>
              <w:t>(3 547)</w:t>
            </w:r>
          </w:p>
        </w:tc>
      </w:tr>
      <w:tr w:rsidR="009C6724" w14:paraId="21E04961"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0D70E616" w14:textId="77777777" w:rsidR="00AB205D" w:rsidRDefault="00471A3B">
            <w:r>
              <w:t>Depreciation expense</w:t>
            </w:r>
          </w:p>
        </w:tc>
        <w:tc>
          <w:tcPr>
            <w:tcW w:w="794" w:type="dxa"/>
            <w:tcBorders>
              <w:bottom w:val="single" w:sz="6" w:space="0" w:color="auto"/>
            </w:tcBorders>
          </w:tcPr>
          <w:p w14:paraId="3F37A479" w14:textId="77777777" w:rsidR="00AB205D" w:rsidRDefault="00471A3B">
            <w:pPr>
              <w:cnfStyle w:val="000000000000" w:firstRow="0" w:lastRow="0" w:firstColumn="0" w:lastColumn="0" w:oddVBand="0" w:evenVBand="0" w:oddHBand="0" w:evenHBand="0" w:firstRowFirstColumn="0" w:firstRowLastColumn="0" w:lastRowFirstColumn="0" w:lastRowLastColumn="0"/>
            </w:pPr>
            <w:r>
              <w:t>(4 584)</w:t>
            </w:r>
          </w:p>
        </w:tc>
        <w:tc>
          <w:tcPr>
            <w:tcW w:w="794" w:type="dxa"/>
            <w:tcBorders>
              <w:bottom w:val="single" w:sz="6" w:space="0" w:color="auto"/>
            </w:tcBorders>
          </w:tcPr>
          <w:p w14:paraId="54AD7E90" w14:textId="77777777" w:rsidR="00AB205D" w:rsidRDefault="00471A3B">
            <w:pPr>
              <w:cnfStyle w:val="000000000000" w:firstRow="0" w:lastRow="0" w:firstColumn="0" w:lastColumn="0" w:oddVBand="0" w:evenVBand="0" w:oddHBand="0" w:evenHBand="0" w:firstRowFirstColumn="0" w:firstRowLastColumn="0" w:lastRowFirstColumn="0" w:lastRowLastColumn="0"/>
            </w:pPr>
            <w:r>
              <w:t>(4 592)</w:t>
            </w:r>
          </w:p>
        </w:tc>
        <w:tc>
          <w:tcPr>
            <w:tcW w:w="794" w:type="dxa"/>
            <w:tcBorders>
              <w:bottom w:val="single" w:sz="6" w:space="0" w:color="auto"/>
            </w:tcBorders>
          </w:tcPr>
          <w:p w14:paraId="1EDD3487" w14:textId="77777777" w:rsidR="00AB205D" w:rsidRDefault="00471A3B">
            <w:pPr>
              <w:cnfStyle w:val="000000000000" w:firstRow="0" w:lastRow="0" w:firstColumn="0" w:lastColumn="0" w:oddVBand="0" w:evenVBand="0" w:oddHBand="0" w:evenHBand="0" w:firstRowFirstColumn="0" w:firstRowLastColumn="0" w:lastRowFirstColumn="0" w:lastRowLastColumn="0"/>
            </w:pPr>
            <w:r>
              <w:t>(4 718)</w:t>
            </w:r>
          </w:p>
        </w:tc>
        <w:tc>
          <w:tcPr>
            <w:tcW w:w="794" w:type="dxa"/>
            <w:tcBorders>
              <w:bottom w:val="single" w:sz="6" w:space="0" w:color="auto"/>
            </w:tcBorders>
          </w:tcPr>
          <w:p w14:paraId="2734ED32" w14:textId="77777777" w:rsidR="00AB205D" w:rsidRDefault="00471A3B">
            <w:pPr>
              <w:cnfStyle w:val="000000000000" w:firstRow="0" w:lastRow="0" w:firstColumn="0" w:lastColumn="0" w:oddVBand="0" w:evenVBand="0" w:oddHBand="0" w:evenHBand="0" w:firstRowFirstColumn="0" w:firstRowLastColumn="0" w:lastRowFirstColumn="0" w:lastRowLastColumn="0"/>
            </w:pPr>
            <w:r>
              <w:t>(5 029)</w:t>
            </w:r>
          </w:p>
        </w:tc>
        <w:tc>
          <w:tcPr>
            <w:tcW w:w="794" w:type="dxa"/>
            <w:tcBorders>
              <w:bottom w:val="single" w:sz="6" w:space="0" w:color="auto"/>
            </w:tcBorders>
          </w:tcPr>
          <w:p w14:paraId="347C5BF3" w14:textId="77777777" w:rsidR="00AB205D" w:rsidRDefault="00471A3B">
            <w:pPr>
              <w:cnfStyle w:val="000000000000" w:firstRow="0" w:lastRow="0" w:firstColumn="0" w:lastColumn="0" w:oddVBand="0" w:evenVBand="0" w:oddHBand="0" w:evenHBand="0" w:firstRowFirstColumn="0" w:firstRowLastColumn="0" w:lastRowFirstColumn="0" w:lastRowLastColumn="0"/>
            </w:pPr>
            <w:r>
              <w:t>(5 239)</w:t>
            </w:r>
          </w:p>
        </w:tc>
      </w:tr>
      <w:tr w:rsidR="009C6724" w14:paraId="0850BAA1"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346BC862" w14:textId="77777777" w:rsidR="00AB205D" w:rsidRDefault="00471A3B">
            <w:r>
              <w:rPr>
                <w:b/>
              </w:rPr>
              <w:t>Carrying amount at the end of the year</w:t>
            </w:r>
          </w:p>
        </w:tc>
        <w:tc>
          <w:tcPr>
            <w:tcW w:w="794" w:type="dxa"/>
            <w:tcBorders>
              <w:top w:val="single" w:sz="6" w:space="0" w:color="auto"/>
              <w:bottom w:val="single" w:sz="12" w:space="0" w:color="auto"/>
            </w:tcBorders>
          </w:tcPr>
          <w:p w14:paraId="25F32FA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258 538</w:t>
            </w:r>
          </w:p>
        </w:tc>
        <w:tc>
          <w:tcPr>
            <w:tcW w:w="794" w:type="dxa"/>
            <w:tcBorders>
              <w:top w:val="single" w:sz="6" w:space="0" w:color="auto"/>
              <w:bottom w:val="single" w:sz="12" w:space="0" w:color="auto"/>
            </w:tcBorders>
          </w:tcPr>
          <w:p w14:paraId="7D7790D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260 988</w:t>
            </w:r>
          </w:p>
        </w:tc>
        <w:tc>
          <w:tcPr>
            <w:tcW w:w="794" w:type="dxa"/>
            <w:tcBorders>
              <w:top w:val="single" w:sz="6" w:space="0" w:color="auto"/>
              <w:bottom w:val="single" w:sz="12" w:space="0" w:color="auto"/>
            </w:tcBorders>
          </w:tcPr>
          <w:p w14:paraId="6EFBDE3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284 990</w:t>
            </w:r>
          </w:p>
        </w:tc>
        <w:tc>
          <w:tcPr>
            <w:tcW w:w="794" w:type="dxa"/>
            <w:tcBorders>
              <w:top w:val="single" w:sz="6" w:space="0" w:color="auto"/>
              <w:bottom w:val="single" w:sz="12" w:space="0" w:color="auto"/>
            </w:tcBorders>
          </w:tcPr>
          <w:p w14:paraId="4F88F60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278 443</w:t>
            </w:r>
          </w:p>
        </w:tc>
        <w:tc>
          <w:tcPr>
            <w:tcW w:w="794" w:type="dxa"/>
            <w:tcBorders>
              <w:top w:val="single" w:sz="6" w:space="0" w:color="auto"/>
              <w:bottom w:val="single" w:sz="12" w:space="0" w:color="auto"/>
            </w:tcBorders>
          </w:tcPr>
          <w:p w14:paraId="5452D20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294 415</w:t>
            </w:r>
          </w:p>
        </w:tc>
      </w:tr>
    </w:tbl>
    <w:p w14:paraId="1C1462AB" w14:textId="77777777" w:rsidR="00AB205D" w:rsidRPr="003A1BED" w:rsidRDefault="00471A3B">
      <w:pPr>
        <w:pStyle w:val="Note"/>
      </w:pPr>
      <w:r w:rsidRPr="003A1BED">
        <w:t>Notes:</w:t>
      </w:r>
    </w:p>
    <w:p w14:paraId="551A0C17" w14:textId="77777777" w:rsidR="00AB205D" w:rsidRDefault="00471A3B">
      <w:pPr>
        <w:pStyle w:val="Note"/>
      </w:pPr>
      <w:r w:rsidRPr="00852CEF">
        <w:t>(a</w:t>
      </w:r>
      <w:r>
        <w:t>)</w:t>
      </w:r>
      <w:r>
        <w:tab/>
      </w:r>
      <w:r w:rsidRPr="003A1BED">
        <w:t>The reconciliation of movements comprises land and buildings, infrastructure systems, plant, equipment, vehicles, roads, roads</w:t>
      </w:r>
      <w:r>
        <w:t> </w:t>
      </w:r>
      <w:r w:rsidRPr="003A1BED">
        <w:t>infrastructure and cultural assets, right</w:t>
      </w:r>
      <w:r w:rsidRPr="003A1BED">
        <w:noBreakHyphen/>
        <w:t>of</w:t>
      </w:r>
      <w:r w:rsidRPr="003A1BED">
        <w:noBreakHyphen/>
        <w:t>use (leased) assets</w:t>
      </w:r>
      <w:r>
        <w:t xml:space="preserve"> and</w:t>
      </w:r>
      <w:r w:rsidRPr="003A1BED">
        <w:t xml:space="preserve"> service concession assets</w:t>
      </w:r>
      <w:r>
        <w:t>. It</w:t>
      </w:r>
      <w:r w:rsidRPr="003A1BED">
        <w:t xml:space="preserve"> excludes intangible assets, investment properties and other non</w:t>
      </w:r>
      <w:r>
        <w:noBreakHyphen/>
      </w:r>
      <w:r w:rsidRPr="003A1BED">
        <w:t>financial assets.</w:t>
      </w:r>
    </w:p>
    <w:p w14:paraId="634EC39E" w14:textId="77777777" w:rsidR="00AB205D" w:rsidRPr="003A1BED" w:rsidRDefault="00471A3B">
      <w:pPr>
        <w:pStyle w:val="Note"/>
      </w:pPr>
      <w:r w:rsidRPr="003A1BED">
        <w:t>(</w:t>
      </w:r>
      <w:r>
        <w:t>b</w:t>
      </w:r>
      <w:r w:rsidRPr="003A1BED">
        <w:t>)</w:t>
      </w:r>
      <w:r w:rsidRPr="003A1BED">
        <w:tab/>
        <w:t xml:space="preserve">Represents additions of assets recognised under AASB 116 </w:t>
      </w:r>
      <w:r w:rsidRPr="00513CCC">
        <w:rPr>
          <w:i w:val="0"/>
        </w:rPr>
        <w:t>Property, Plant and Equipment</w:t>
      </w:r>
      <w:r w:rsidRPr="003A1BED">
        <w:t>.</w:t>
      </w:r>
    </w:p>
    <w:p w14:paraId="5FB36880" w14:textId="77777777" w:rsidR="00AB205D" w:rsidRPr="003A1BED" w:rsidRDefault="00471A3B">
      <w:pPr>
        <w:pStyle w:val="Note"/>
      </w:pPr>
      <w:r w:rsidRPr="003A1BED">
        <w:t>(</w:t>
      </w:r>
      <w:r>
        <w:t>c</w:t>
      </w:r>
      <w:r w:rsidRPr="003A1BED">
        <w:t>)</w:t>
      </w:r>
      <w:r w:rsidRPr="003A1BED">
        <w:tab/>
        <w:t>Represents the transfer of assets to/from the public non</w:t>
      </w:r>
      <w:r>
        <w:noBreakHyphen/>
      </w:r>
      <w:r w:rsidRPr="003A1BED">
        <w:t>financial corporations sector.</w:t>
      </w:r>
    </w:p>
    <w:p w14:paraId="00BCEA1E" w14:textId="2BF8BBE3" w:rsidR="00AB205D" w:rsidRDefault="00AB205D"/>
    <w:p w14:paraId="004CC36B" w14:textId="77777777" w:rsidR="00FA005E" w:rsidRDefault="00FA005E"/>
    <w:p w14:paraId="6A6E3EC9" w14:textId="77777777" w:rsidR="00AB205D" w:rsidRPr="00DC3CAB" w:rsidRDefault="00471A3B">
      <w:pPr>
        <w:pStyle w:val="Heading3"/>
        <w:rPr>
          <w:sz w:val="21"/>
          <w:szCs w:val="21"/>
        </w:rPr>
      </w:pPr>
      <w:bookmarkStart w:id="65" w:name="_Toc149221058"/>
      <w:r w:rsidRPr="00DC3CAB">
        <w:rPr>
          <w:sz w:val="21"/>
          <w:szCs w:val="21"/>
        </w:rPr>
        <w:t>Other non</w:t>
      </w:r>
      <w:r>
        <w:rPr>
          <w:sz w:val="21"/>
          <w:szCs w:val="21"/>
        </w:rPr>
        <w:noBreakHyphen/>
      </w:r>
      <w:r w:rsidRPr="00DC3CAB">
        <w:rPr>
          <w:sz w:val="21"/>
          <w:szCs w:val="21"/>
        </w:rPr>
        <w:t>financial assets</w:t>
      </w:r>
      <w:r w:rsidRPr="00DC3CAB">
        <w:rPr>
          <w:sz w:val="21"/>
          <w:szCs w:val="21"/>
        </w:rPr>
        <w:tab/>
        <w:t>($ million)</w:t>
      </w:r>
      <w:bookmarkEnd w:id="65"/>
    </w:p>
    <w:tbl>
      <w:tblPr>
        <w:tblStyle w:val="DTFTableNumeric"/>
        <w:tblW w:w="7710" w:type="dxa"/>
        <w:tblLayout w:type="fixed"/>
        <w:tblLook w:val="06A0" w:firstRow="1" w:lastRow="0" w:firstColumn="1" w:lastColumn="0" w:noHBand="1" w:noVBand="1"/>
        <w:tblDescription w:val="Type:DtfTable|Workbook:Rawdata\BudgetUpdate\Budget Update\Financial Statements\SRIMS exports\SRIMS_BU_EFS_BS.xlsx|Table:Other_NFA|UseWorksheetCellFormatting:True|MergedHeadingRow:1"/>
      </w:tblPr>
      <w:tblGrid>
        <w:gridCol w:w="3740"/>
        <w:gridCol w:w="794"/>
        <w:gridCol w:w="794"/>
        <w:gridCol w:w="794"/>
        <w:gridCol w:w="794"/>
        <w:gridCol w:w="794"/>
      </w:tblGrid>
      <w:tr w:rsidR="009C6724" w14:paraId="1C0B642C"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226BA693" w14:textId="77777777" w:rsidR="00AB205D" w:rsidRDefault="00AB205D">
            <w:pPr>
              <w:keepNext/>
            </w:pPr>
          </w:p>
        </w:tc>
        <w:tc>
          <w:tcPr>
            <w:tcW w:w="794" w:type="dxa"/>
          </w:tcPr>
          <w:p w14:paraId="16E21685"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br/>
              <w:t>budget</w:t>
            </w:r>
          </w:p>
        </w:tc>
        <w:tc>
          <w:tcPr>
            <w:tcW w:w="794" w:type="dxa"/>
          </w:tcPr>
          <w:p w14:paraId="7A8699DF"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br/>
              <w:t>revised</w:t>
            </w:r>
          </w:p>
        </w:tc>
        <w:tc>
          <w:tcPr>
            <w:tcW w:w="794" w:type="dxa"/>
          </w:tcPr>
          <w:p w14:paraId="18C9EAA3"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br/>
              <w:t>estimate</w:t>
            </w:r>
          </w:p>
        </w:tc>
        <w:tc>
          <w:tcPr>
            <w:tcW w:w="794" w:type="dxa"/>
          </w:tcPr>
          <w:p w14:paraId="153B34FA"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br/>
              <w:t>estimate</w:t>
            </w:r>
          </w:p>
        </w:tc>
        <w:tc>
          <w:tcPr>
            <w:tcW w:w="794" w:type="dxa"/>
          </w:tcPr>
          <w:p w14:paraId="1B6C126B"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2027</w:t>
            </w:r>
            <w:r>
              <w:br/>
              <w:t>estimate</w:t>
            </w:r>
          </w:p>
        </w:tc>
      </w:tr>
      <w:tr w:rsidR="009C6724" w14:paraId="249EEC42"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7C0EA287" w14:textId="77777777" w:rsidR="00AB205D" w:rsidRDefault="00471A3B">
            <w:r>
              <w:t>Intangible produced assets</w:t>
            </w:r>
          </w:p>
        </w:tc>
        <w:tc>
          <w:tcPr>
            <w:tcW w:w="794" w:type="dxa"/>
          </w:tcPr>
          <w:p w14:paraId="587E1E3C" w14:textId="77777777" w:rsidR="00AB205D" w:rsidRDefault="00471A3B">
            <w:pPr>
              <w:cnfStyle w:val="000000000000" w:firstRow="0" w:lastRow="0" w:firstColumn="0" w:lastColumn="0" w:oddVBand="0" w:evenVBand="0" w:oddHBand="0" w:evenHBand="0" w:firstRowFirstColumn="0" w:firstRowLastColumn="0" w:lastRowFirstColumn="0" w:lastRowLastColumn="0"/>
            </w:pPr>
            <w:r>
              <w:t>3 102</w:t>
            </w:r>
          </w:p>
        </w:tc>
        <w:tc>
          <w:tcPr>
            <w:tcW w:w="794" w:type="dxa"/>
          </w:tcPr>
          <w:p w14:paraId="795AD41C" w14:textId="77777777" w:rsidR="00AB205D" w:rsidRDefault="00471A3B">
            <w:pPr>
              <w:cnfStyle w:val="000000000000" w:firstRow="0" w:lastRow="0" w:firstColumn="0" w:lastColumn="0" w:oddVBand="0" w:evenVBand="0" w:oddHBand="0" w:evenHBand="0" w:firstRowFirstColumn="0" w:firstRowLastColumn="0" w:lastRowFirstColumn="0" w:lastRowLastColumn="0"/>
            </w:pPr>
            <w:r>
              <w:t>3 142</w:t>
            </w:r>
          </w:p>
        </w:tc>
        <w:tc>
          <w:tcPr>
            <w:tcW w:w="794" w:type="dxa"/>
          </w:tcPr>
          <w:p w14:paraId="2C884117" w14:textId="77777777" w:rsidR="00AB205D" w:rsidRDefault="00471A3B">
            <w:pPr>
              <w:cnfStyle w:val="000000000000" w:firstRow="0" w:lastRow="0" w:firstColumn="0" w:lastColumn="0" w:oddVBand="0" w:evenVBand="0" w:oddHBand="0" w:evenHBand="0" w:firstRowFirstColumn="0" w:firstRowLastColumn="0" w:lastRowFirstColumn="0" w:lastRowLastColumn="0"/>
            </w:pPr>
            <w:r>
              <w:t>3 246</w:t>
            </w:r>
          </w:p>
        </w:tc>
        <w:tc>
          <w:tcPr>
            <w:tcW w:w="794" w:type="dxa"/>
          </w:tcPr>
          <w:p w14:paraId="0235E035" w14:textId="77777777" w:rsidR="00AB205D" w:rsidRDefault="00471A3B">
            <w:pPr>
              <w:cnfStyle w:val="000000000000" w:firstRow="0" w:lastRow="0" w:firstColumn="0" w:lastColumn="0" w:oddVBand="0" w:evenVBand="0" w:oddHBand="0" w:evenHBand="0" w:firstRowFirstColumn="0" w:firstRowLastColumn="0" w:lastRowFirstColumn="0" w:lastRowLastColumn="0"/>
            </w:pPr>
            <w:r>
              <w:t>3 278</w:t>
            </w:r>
          </w:p>
        </w:tc>
        <w:tc>
          <w:tcPr>
            <w:tcW w:w="794" w:type="dxa"/>
          </w:tcPr>
          <w:p w14:paraId="67E7045A" w14:textId="77777777" w:rsidR="00AB205D" w:rsidRDefault="00471A3B">
            <w:pPr>
              <w:cnfStyle w:val="000000000000" w:firstRow="0" w:lastRow="0" w:firstColumn="0" w:lastColumn="0" w:oddVBand="0" w:evenVBand="0" w:oddHBand="0" w:evenHBand="0" w:firstRowFirstColumn="0" w:firstRowLastColumn="0" w:lastRowFirstColumn="0" w:lastRowLastColumn="0"/>
            </w:pPr>
            <w:r>
              <w:t>3 287</w:t>
            </w:r>
          </w:p>
        </w:tc>
      </w:tr>
      <w:tr w:rsidR="009C6724" w14:paraId="2EB0237C"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7FDA583F" w14:textId="77777777" w:rsidR="00AB205D" w:rsidRDefault="00471A3B">
            <w:r>
              <w:t>Accumulated depreciation</w:t>
            </w:r>
          </w:p>
        </w:tc>
        <w:tc>
          <w:tcPr>
            <w:tcW w:w="794" w:type="dxa"/>
          </w:tcPr>
          <w:p w14:paraId="76785288" w14:textId="77777777" w:rsidR="00AB205D" w:rsidRDefault="00471A3B">
            <w:pPr>
              <w:cnfStyle w:val="000000000000" w:firstRow="0" w:lastRow="0" w:firstColumn="0" w:lastColumn="0" w:oddVBand="0" w:evenVBand="0" w:oddHBand="0" w:evenHBand="0" w:firstRowFirstColumn="0" w:firstRowLastColumn="0" w:lastRowFirstColumn="0" w:lastRowLastColumn="0"/>
            </w:pPr>
            <w:r>
              <w:t>(1 914)</w:t>
            </w:r>
          </w:p>
        </w:tc>
        <w:tc>
          <w:tcPr>
            <w:tcW w:w="794" w:type="dxa"/>
          </w:tcPr>
          <w:p w14:paraId="0103301C" w14:textId="77777777" w:rsidR="00AB205D" w:rsidRDefault="00471A3B">
            <w:pPr>
              <w:cnfStyle w:val="000000000000" w:firstRow="0" w:lastRow="0" w:firstColumn="0" w:lastColumn="0" w:oddVBand="0" w:evenVBand="0" w:oddHBand="0" w:evenHBand="0" w:firstRowFirstColumn="0" w:firstRowLastColumn="0" w:lastRowFirstColumn="0" w:lastRowLastColumn="0"/>
            </w:pPr>
            <w:r>
              <w:t>(1 913)</w:t>
            </w:r>
          </w:p>
        </w:tc>
        <w:tc>
          <w:tcPr>
            <w:tcW w:w="794" w:type="dxa"/>
          </w:tcPr>
          <w:p w14:paraId="725949A8" w14:textId="77777777" w:rsidR="00AB205D" w:rsidRDefault="00471A3B">
            <w:pPr>
              <w:cnfStyle w:val="000000000000" w:firstRow="0" w:lastRow="0" w:firstColumn="0" w:lastColumn="0" w:oddVBand="0" w:evenVBand="0" w:oddHBand="0" w:evenHBand="0" w:firstRowFirstColumn="0" w:firstRowLastColumn="0" w:lastRowFirstColumn="0" w:lastRowLastColumn="0"/>
            </w:pPr>
            <w:r>
              <w:t>(2 217)</w:t>
            </w:r>
          </w:p>
        </w:tc>
        <w:tc>
          <w:tcPr>
            <w:tcW w:w="794" w:type="dxa"/>
          </w:tcPr>
          <w:p w14:paraId="666BA7AB" w14:textId="77777777" w:rsidR="00AB205D" w:rsidRDefault="00471A3B">
            <w:pPr>
              <w:cnfStyle w:val="000000000000" w:firstRow="0" w:lastRow="0" w:firstColumn="0" w:lastColumn="0" w:oddVBand="0" w:evenVBand="0" w:oddHBand="0" w:evenHBand="0" w:firstRowFirstColumn="0" w:firstRowLastColumn="0" w:lastRowFirstColumn="0" w:lastRowLastColumn="0"/>
            </w:pPr>
            <w:r>
              <w:t>(2 511)</w:t>
            </w:r>
          </w:p>
        </w:tc>
        <w:tc>
          <w:tcPr>
            <w:tcW w:w="794" w:type="dxa"/>
          </w:tcPr>
          <w:p w14:paraId="4B0C373E" w14:textId="77777777" w:rsidR="00AB205D" w:rsidRDefault="00471A3B">
            <w:pPr>
              <w:cnfStyle w:val="000000000000" w:firstRow="0" w:lastRow="0" w:firstColumn="0" w:lastColumn="0" w:oddVBand="0" w:evenVBand="0" w:oddHBand="0" w:evenHBand="0" w:firstRowFirstColumn="0" w:firstRowLastColumn="0" w:lastRowFirstColumn="0" w:lastRowLastColumn="0"/>
            </w:pPr>
            <w:r>
              <w:t>(2 794)</w:t>
            </w:r>
          </w:p>
        </w:tc>
      </w:tr>
      <w:tr w:rsidR="009C6724" w14:paraId="3F3AEA02"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64E1D58" w14:textId="08F1B7A2" w:rsidR="00AB205D" w:rsidRDefault="00471A3B">
            <w:r>
              <w:t xml:space="preserve">Service concession assets – </w:t>
            </w:r>
            <w:r w:rsidR="003F6D78">
              <w:t xml:space="preserve">Intangible </w:t>
            </w:r>
            <w:r>
              <w:t>produced</w:t>
            </w:r>
          </w:p>
        </w:tc>
        <w:tc>
          <w:tcPr>
            <w:tcW w:w="794" w:type="dxa"/>
          </w:tcPr>
          <w:p w14:paraId="6DC895E1" w14:textId="77777777" w:rsidR="00AB205D" w:rsidRDefault="00471A3B">
            <w:pPr>
              <w:cnfStyle w:val="000000000000" w:firstRow="0" w:lastRow="0" w:firstColumn="0" w:lastColumn="0" w:oddVBand="0" w:evenVBand="0" w:oddHBand="0" w:evenHBand="0" w:firstRowFirstColumn="0" w:firstRowLastColumn="0" w:lastRowFirstColumn="0" w:lastRowLastColumn="0"/>
            </w:pPr>
            <w:r>
              <w:t>3 370</w:t>
            </w:r>
          </w:p>
        </w:tc>
        <w:tc>
          <w:tcPr>
            <w:tcW w:w="794" w:type="dxa"/>
          </w:tcPr>
          <w:p w14:paraId="432ABB92" w14:textId="77777777" w:rsidR="00AB205D" w:rsidRDefault="00471A3B">
            <w:pPr>
              <w:cnfStyle w:val="000000000000" w:firstRow="0" w:lastRow="0" w:firstColumn="0" w:lastColumn="0" w:oddVBand="0" w:evenVBand="0" w:oddHBand="0" w:evenHBand="0" w:firstRowFirstColumn="0" w:firstRowLastColumn="0" w:lastRowFirstColumn="0" w:lastRowLastColumn="0"/>
            </w:pPr>
            <w:r>
              <w:t>3 370</w:t>
            </w:r>
          </w:p>
        </w:tc>
        <w:tc>
          <w:tcPr>
            <w:tcW w:w="794" w:type="dxa"/>
          </w:tcPr>
          <w:p w14:paraId="596A99FE" w14:textId="77777777" w:rsidR="00AB205D" w:rsidRDefault="00471A3B">
            <w:pPr>
              <w:cnfStyle w:val="000000000000" w:firstRow="0" w:lastRow="0" w:firstColumn="0" w:lastColumn="0" w:oddVBand="0" w:evenVBand="0" w:oddHBand="0" w:evenHBand="0" w:firstRowFirstColumn="0" w:firstRowLastColumn="0" w:lastRowFirstColumn="0" w:lastRowLastColumn="0"/>
            </w:pPr>
            <w:r>
              <w:t>3 370</w:t>
            </w:r>
          </w:p>
        </w:tc>
        <w:tc>
          <w:tcPr>
            <w:tcW w:w="794" w:type="dxa"/>
          </w:tcPr>
          <w:p w14:paraId="69A289D3" w14:textId="77777777" w:rsidR="00AB205D" w:rsidRDefault="00471A3B">
            <w:pPr>
              <w:cnfStyle w:val="000000000000" w:firstRow="0" w:lastRow="0" w:firstColumn="0" w:lastColumn="0" w:oddVBand="0" w:evenVBand="0" w:oddHBand="0" w:evenHBand="0" w:firstRowFirstColumn="0" w:firstRowLastColumn="0" w:lastRowFirstColumn="0" w:lastRowLastColumn="0"/>
            </w:pPr>
            <w:r>
              <w:t>3 370</w:t>
            </w:r>
          </w:p>
        </w:tc>
        <w:tc>
          <w:tcPr>
            <w:tcW w:w="794" w:type="dxa"/>
          </w:tcPr>
          <w:p w14:paraId="1B8E5AB7" w14:textId="77777777" w:rsidR="00AB205D" w:rsidRDefault="00471A3B">
            <w:pPr>
              <w:cnfStyle w:val="000000000000" w:firstRow="0" w:lastRow="0" w:firstColumn="0" w:lastColumn="0" w:oddVBand="0" w:evenVBand="0" w:oddHBand="0" w:evenHBand="0" w:firstRowFirstColumn="0" w:firstRowLastColumn="0" w:lastRowFirstColumn="0" w:lastRowLastColumn="0"/>
            </w:pPr>
            <w:r>
              <w:t>3 370</w:t>
            </w:r>
          </w:p>
        </w:tc>
      </w:tr>
      <w:tr w:rsidR="009C6724" w14:paraId="06B5D5D3"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52302C29" w14:textId="77777777" w:rsidR="00AB205D" w:rsidRDefault="00471A3B">
            <w:r>
              <w:t>Accumulated depreciation</w:t>
            </w:r>
          </w:p>
        </w:tc>
        <w:tc>
          <w:tcPr>
            <w:tcW w:w="794" w:type="dxa"/>
          </w:tcPr>
          <w:p w14:paraId="1D1B0E24" w14:textId="77777777" w:rsidR="00AB205D" w:rsidRDefault="00471A3B">
            <w:pPr>
              <w:cnfStyle w:val="000000000000" w:firstRow="0" w:lastRow="0" w:firstColumn="0" w:lastColumn="0" w:oddVBand="0" w:evenVBand="0" w:oddHBand="0" w:evenHBand="0" w:firstRowFirstColumn="0" w:firstRowLastColumn="0" w:lastRowFirstColumn="0" w:lastRowLastColumn="0"/>
            </w:pPr>
            <w:r>
              <w:t>(5)</w:t>
            </w:r>
          </w:p>
        </w:tc>
        <w:tc>
          <w:tcPr>
            <w:tcW w:w="794" w:type="dxa"/>
          </w:tcPr>
          <w:p w14:paraId="31FA4E79" w14:textId="77777777" w:rsidR="00AB205D" w:rsidRDefault="00471A3B">
            <w:pPr>
              <w:cnfStyle w:val="000000000000" w:firstRow="0" w:lastRow="0" w:firstColumn="0" w:lastColumn="0" w:oddVBand="0" w:evenVBand="0" w:oddHBand="0" w:evenHBand="0" w:firstRowFirstColumn="0" w:firstRowLastColumn="0" w:lastRowFirstColumn="0" w:lastRowLastColumn="0"/>
            </w:pPr>
            <w:r>
              <w:t>(5)</w:t>
            </w:r>
          </w:p>
        </w:tc>
        <w:tc>
          <w:tcPr>
            <w:tcW w:w="794" w:type="dxa"/>
          </w:tcPr>
          <w:p w14:paraId="6AA1582A" w14:textId="77777777" w:rsidR="00AB205D" w:rsidRDefault="00471A3B">
            <w:pPr>
              <w:cnfStyle w:val="000000000000" w:firstRow="0" w:lastRow="0" w:firstColumn="0" w:lastColumn="0" w:oddVBand="0" w:evenVBand="0" w:oddHBand="0" w:evenHBand="0" w:firstRowFirstColumn="0" w:firstRowLastColumn="0" w:lastRowFirstColumn="0" w:lastRowLastColumn="0"/>
            </w:pPr>
            <w:r>
              <w:t>(7)</w:t>
            </w:r>
          </w:p>
        </w:tc>
        <w:tc>
          <w:tcPr>
            <w:tcW w:w="794" w:type="dxa"/>
          </w:tcPr>
          <w:p w14:paraId="4AC025CA" w14:textId="77777777" w:rsidR="00AB205D" w:rsidRDefault="00471A3B">
            <w:pPr>
              <w:cnfStyle w:val="000000000000" w:firstRow="0" w:lastRow="0" w:firstColumn="0" w:lastColumn="0" w:oddVBand="0" w:evenVBand="0" w:oddHBand="0" w:evenHBand="0" w:firstRowFirstColumn="0" w:firstRowLastColumn="0" w:lastRowFirstColumn="0" w:lastRowLastColumn="0"/>
            </w:pPr>
            <w:r>
              <w:t>(8)</w:t>
            </w:r>
          </w:p>
        </w:tc>
        <w:tc>
          <w:tcPr>
            <w:tcW w:w="794" w:type="dxa"/>
          </w:tcPr>
          <w:p w14:paraId="48768AC0" w14:textId="77777777" w:rsidR="00AB205D" w:rsidRDefault="00471A3B">
            <w:pPr>
              <w:cnfStyle w:val="000000000000" w:firstRow="0" w:lastRow="0" w:firstColumn="0" w:lastColumn="0" w:oddVBand="0" w:evenVBand="0" w:oddHBand="0" w:evenHBand="0" w:firstRowFirstColumn="0" w:firstRowLastColumn="0" w:lastRowFirstColumn="0" w:lastRowLastColumn="0"/>
            </w:pPr>
            <w:r>
              <w:t>(10)</w:t>
            </w:r>
          </w:p>
        </w:tc>
      </w:tr>
      <w:tr w:rsidR="009C6724" w14:paraId="2937A970"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08D8AC9D" w14:textId="77777777" w:rsidR="00AB205D" w:rsidRDefault="00471A3B">
            <w:r>
              <w:t>Intangible non</w:t>
            </w:r>
            <w:r>
              <w:noBreakHyphen/>
              <w:t>produced assets</w:t>
            </w:r>
          </w:p>
        </w:tc>
        <w:tc>
          <w:tcPr>
            <w:tcW w:w="794" w:type="dxa"/>
          </w:tcPr>
          <w:p w14:paraId="7B62B5E8" w14:textId="77777777" w:rsidR="00AB205D" w:rsidRDefault="00471A3B">
            <w:pPr>
              <w:cnfStyle w:val="000000000000" w:firstRow="0" w:lastRow="0" w:firstColumn="0" w:lastColumn="0" w:oddVBand="0" w:evenVBand="0" w:oddHBand="0" w:evenHBand="0" w:firstRowFirstColumn="0" w:firstRowLastColumn="0" w:lastRowFirstColumn="0" w:lastRowLastColumn="0"/>
            </w:pPr>
            <w:r>
              <w:t>81</w:t>
            </w:r>
          </w:p>
        </w:tc>
        <w:tc>
          <w:tcPr>
            <w:tcW w:w="794" w:type="dxa"/>
          </w:tcPr>
          <w:p w14:paraId="14E9924D" w14:textId="77777777" w:rsidR="00AB205D" w:rsidRDefault="00471A3B">
            <w:pPr>
              <w:cnfStyle w:val="000000000000" w:firstRow="0" w:lastRow="0" w:firstColumn="0" w:lastColumn="0" w:oddVBand="0" w:evenVBand="0" w:oddHBand="0" w:evenHBand="0" w:firstRowFirstColumn="0" w:firstRowLastColumn="0" w:lastRowFirstColumn="0" w:lastRowLastColumn="0"/>
            </w:pPr>
            <w:r>
              <w:t>81</w:t>
            </w:r>
          </w:p>
        </w:tc>
        <w:tc>
          <w:tcPr>
            <w:tcW w:w="794" w:type="dxa"/>
          </w:tcPr>
          <w:p w14:paraId="5F9E41C1" w14:textId="77777777" w:rsidR="00AB205D" w:rsidRDefault="00471A3B">
            <w:pPr>
              <w:cnfStyle w:val="000000000000" w:firstRow="0" w:lastRow="0" w:firstColumn="0" w:lastColumn="0" w:oddVBand="0" w:evenVBand="0" w:oddHBand="0" w:evenHBand="0" w:firstRowFirstColumn="0" w:firstRowLastColumn="0" w:lastRowFirstColumn="0" w:lastRowLastColumn="0"/>
            </w:pPr>
            <w:r>
              <w:t>82</w:t>
            </w:r>
          </w:p>
        </w:tc>
        <w:tc>
          <w:tcPr>
            <w:tcW w:w="794" w:type="dxa"/>
          </w:tcPr>
          <w:p w14:paraId="554D6247" w14:textId="77777777" w:rsidR="00AB205D" w:rsidRDefault="00471A3B">
            <w:pPr>
              <w:cnfStyle w:val="000000000000" w:firstRow="0" w:lastRow="0" w:firstColumn="0" w:lastColumn="0" w:oddVBand="0" w:evenVBand="0" w:oddHBand="0" w:evenHBand="0" w:firstRowFirstColumn="0" w:firstRowLastColumn="0" w:lastRowFirstColumn="0" w:lastRowLastColumn="0"/>
            </w:pPr>
            <w:r>
              <w:t>83</w:t>
            </w:r>
          </w:p>
        </w:tc>
        <w:tc>
          <w:tcPr>
            <w:tcW w:w="794" w:type="dxa"/>
          </w:tcPr>
          <w:p w14:paraId="14C01D7B" w14:textId="77777777" w:rsidR="00AB205D" w:rsidRDefault="00471A3B">
            <w:pPr>
              <w:cnfStyle w:val="000000000000" w:firstRow="0" w:lastRow="0" w:firstColumn="0" w:lastColumn="0" w:oddVBand="0" w:evenVBand="0" w:oddHBand="0" w:evenHBand="0" w:firstRowFirstColumn="0" w:firstRowLastColumn="0" w:lastRowFirstColumn="0" w:lastRowLastColumn="0"/>
            </w:pPr>
            <w:r>
              <w:t>84</w:t>
            </w:r>
          </w:p>
        </w:tc>
      </w:tr>
      <w:tr w:rsidR="009C6724" w14:paraId="506A5589"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4" w:space="0" w:color="auto"/>
            </w:tcBorders>
          </w:tcPr>
          <w:p w14:paraId="576BF88A" w14:textId="77777777" w:rsidR="00AB205D" w:rsidRDefault="00471A3B">
            <w:r>
              <w:t>Accumulated amortisation</w:t>
            </w:r>
          </w:p>
        </w:tc>
        <w:tc>
          <w:tcPr>
            <w:tcW w:w="794" w:type="dxa"/>
            <w:tcBorders>
              <w:bottom w:val="single" w:sz="4" w:space="0" w:color="auto"/>
            </w:tcBorders>
          </w:tcPr>
          <w:p w14:paraId="642AB194" w14:textId="77777777" w:rsidR="00AB205D" w:rsidRDefault="00471A3B">
            <w:pPr>
              <w:cnfStyle w:val="000000000000" w:firstRow="0" w:lastRow="0" w:firstColumn="0" w:lastColumn="0" w:oddVBand="0" w:evenVBand="0" w:oddHBand="0" w:evenHBand="0" w:firstRowFirstColumn="0" w:firstRowLastColumn="0" w:lastRowFirstColumn="0" w:lastRowLastColumn="0"/>
            </w:pPr>
            <w:r>
              <w:t>(65)</w:t>
            </w:r>
          </w:p>
        </w:tc>
        <w:tc>
          <w:tcPr>
            <w:tcW w:w="794" w:type="dxa"/>
            <w:tcBorders>
              <w:bottom w:val="single" w:sz="4" w:space="0" w:color="auto"/>
            </w:tcBorders>
          </w:tcPr>
          <w:p w14:paraId="54EB66BD" w14:textId="77777777" w:rsidR="00AB205D" w:rsidRDefault="00471A3B">
            <w:pPr>
              <w:cnfStyle w:val="000000000000" w:firstRow="0" w:lastRow="0" w:firstColumn="0" w:lastColumn="0" w:oddVBand="0" w:evenVBand="0" w:oddHBand="0" w:evenHBand="0" w:firstRowFirstColumn="0" w:firstRowLastColumn="0" w:lastRowFirstColumn="0" w:lastRowLastColumn="0"/>
            </w:pPr>
            <w:r>
              <w:t>(65)</w:t>
            </w:r>
          </w:p>
        </w:tc>
        <w:tc>
          <w:tcPr>
            <w:tcW w:w="794" w:type="dxa"/>
            <w:tcBorders>
              <w:bottom w:val="single" w:sz="4" w:space="0" w:color="auto"/>
            </w:tcBorders>
          </w:tcPr>
          <w:p w14:paraId="65D130AE" w14:textId="77777777" w:rsidR="00AB205D" w:rsidRDefault="00471A3B">
            <w:pPr>
              <w:cnfStyle w:val="000000000000" w:firstRow="0" w:lastRow="0" w:firstColumn="0" w:lastColumn="0" w:oddVBand="0" w:evenVBand="0" w:oddHBand="0" w:evenHBand="0" w:firstRowFirstColumn="0" w:firstRowLastColumn="0" w:lastRowFirstColumn="0" w:lastRowLastColumn="0"/>
            </w:pPr>
            <w:r>
              <w:t>(70)</w:t>
            </w:r>
          </w:p>
        </w:tc>
        <w:tc>
          <w:tcPr>
            <w:tcW w:w="794" w:type="dxa"/>
            <w:tcBorders>
              <w:bottom w:val="single" w:sz="4" w:space="0" w:color="auto"/>
            </w:tcBorders>
          </w:tcPr>
          <w:p w14:paraId="2545831E" w14:textId="77777777" w:rsidR="00AB205D" w:rsidRDefault="00471A3B">
            <w:pPr>
              <w:cnfStyle w:val="000000000000" w:firstRow="0" w:lastRow="0" w:firstColumn="0" w:lastColumn="0" w:oddVBand="0" w:evenVBand="0" w:oddHBand="0" w:evenHBand="0" w:firstRowFirstColumn="0" w:firstRowLastColumn="0" w:lastRowFirstColumn="0" w:lastRowLastColumn="0"/>
            </w:pPr>
            <w:r>
              <w:t>(75)</w:t>
            </w:r>
          </w:p>
        </w:tc>
        <w:tc>
          <w:tcPr>
            <w:tcW w:w="794" w:type="dxa"/>
            <w:tcBorders>
              <w:bottom w:val="single" w:sz="4" w:space="0" w:color="auto"/>
            </w:tcBorders>
          </w:tcPr>
          <w:p w14:paraId="76C3CBB2" w14:textId="77777777" w:rsidR="00AB205D" w:rsidRDefault="00471A3B">
            <w:pPr>
              <w:cnfStyle w:val="000000000000" w:firstRow="0" w:lastRow="0" w:firstColumn="0" w:lastColumn="0" w:oddVBand="0" w:evenVBand="0" w:oddHBand="0" w:evenHBand="0" w:firstRowFirstColumn="0" w:firstRowLastColumn="0" w:lastRowFirstColumn="0" w:lastRowLastColumn="0"/>
            </w:pPr>
            <w:r>
              <w:t>(80)</w:t>
            </w:r>
          </w:p>
        </w:tc>
      </w:tr>
      <w:tr w:rsidR="009C6724" w14:paraId="535CB7C7"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4" w:space="0" w:color="auto"/>
              <w:bottom w:val="nil"/>
            </w:tcBorders>
          </w:tcPr>
          <w:p w14:paraId="1A605BF0" w14:textId="77777777" w:rsidR="00AB205D" w:rsidRDefault="00471A3B">
            <w:r>
              <w:rPr>
                <w:b/>
              </w:rPr>
              <w:t>Total intangibles</w:t>
            </w:r>
          </w:p>
        </w:tc>
        <w:tc>
          <w:tcPr>
            <w:tcW w:w="794" w:type="dxa"/>
            <w:tcBorders>
              <w:top w:val="single" w:sz="4" w:space="0" w:color="auto"/>
              <w:bottom w:val="nil"/>
            </w:tcBorders>
          </w:tcPr>
          <w:p w14:paraId="7DB3C0A1" w14:textId="77777777" w:rsidR="00AB205D" w:rsidRPr="00E97EE3" w:rsidRDefault="00471A3B">
            <w:pPr>
              <w:cnfStyle w:val="000000000000" w:firstRow="0" w:lastRow="0" w:firstColumn="0" w:lastColumn="0" w:oddVBand="0" w:evenVBand="0" w:oddHBand="0" w:evenHBand="0" w:firstRowFirstColumn="0" w:firstRowLastColumn="0" w:lastRowFirstColumn="0" w:lastRowLastColumn="0"/>
              <w:rPr>
                <w:b/>
              </w:rPr>
            </w:pPr>
            <w:r w:rsidRPr="00E97EE3">
              <w:rPr>
                <w:b/>
              </w:rPr>
              <w:t>4 569</w:t>
            </w:r>
          </w:p>
        </w:tc>
        <w:tc>
          <w:tcPr>
            <w:tcW w:w="794" w:type="dxa"/>
            <w:tcBorders>
              <w:top w:val="single" w:sz="4" w:space="0" w:color="auto"/>
              <w:bottom w:val="nil"/>
            </w:tcBorders>
          </w:tcPr>
          <w:p w14:paraId="73F1D466" w14:textId="77777777" w:rsidR="00AB205D" w:rsidRPr="00E97EE3" w:rsidRDefault="00471A3B">
            <w:pPr>
              <w:cnfStyle w:val="000000000000" w:firstRow="0" w:lastRow="0" w:firstColumn="0" w:lastColumn="0" w:oddVBand="0" w:evenVBand="0" w:oddHBand="0" w:evenHBand="0" w:firstRowFirstColumn="0" w:firstRowLastColumn="0" w:lastRowFirstColumn="0" w:lastRowLastColumn="0"/>
              <w:rPr>
                <w:b/>
              </w:rPr>
            </w:pPr>
            <w:r w:rsidRPr="00E97EE3">
              <w:rPr>
                <w:b/>
              </w:rPr>
              <w:t>4 610</w:t>
            </w:r>
          </w:p>
        </w:tc>
        <w:tc>
          <w:tcPr>
            <w:tcW w:w="794" w:type="dxa"/>
            <w:tcBorders>
              <w:top w:val="single" w:sz="4" w:space="0" w:color="auto"/>
              <w:bottom w:val="nil"/>
            </w:tcBorders>
          </w:tcPr>
          <w:p w14:paraId="1F6E4D42" w14:textId="77777777" w:rsidR="00AB205D" w:rsidRPr="00E97EE3" w:rsidRDefault="00471A3B">
            <w:pPr>
              <w:cnfStyle w:val="000000000000" w:firstRow="0" w:lastRow="0" w:firstColumn="0" w:lastColumn="0" w:oddVBand="0" w:evenVBand="0" w:oddHBand="0" w:evenHBand="0" w:firstRowFirstColumn="0" w:firstRowLastColumn="0" w:lastRowFirstColumn="0" w:lastRowLastColumn="0"/>
              <w:rPr>
                <w:b/>
              </w:rPr>
            </w:pPr>
            <w:r w:rsidRPr="00E97EE3">
              <w:rPr>
                <w:b/>
              </w:rPr>
              <w:t>4 405</w:t>
            </w:r>
          </w:p>
        </w:tc>
        <w:tc>
          <w:tcPr>
            <w:tcW w:w="794" w:type="dxa"/>
            <w:tcBorders>
              <w:top w:val="single" w:sz="4" w:space="0" w:color="auto"/>
              <w:bottom w:val="nil"/>
            </w:tcBorders>
          </w:tcPr>
          <w:p w14:paraId="6596AEB9" w14:textId="77777777" w:rsidR="00AB205D" w:rsidRPr="00E97EE3" w:rsidRDefault="00471A3B">
            <w:pPr>
              <w:cnfStyle w:val="000000000000" w:firstRow="0" w:lastRow="0" w:firstColumn="0" w:lastColumn="0" w:oddVBand="0" w:evenVBand="0" w:oddHBand="0" w:evenHBand="0" w:firstRowFirstColumn="0" w:firstRowLastColumn="0" w:lastRowFirstColumn="0" w:lastRowLastColumn="0"/>
              <w:rPr>
                <w:b/>
              </w:rPr>
            </w:pPr>
            <w:r w:rsidRPr="00E97EE3">
              <w:rPr>
                <w:b/>
              </w:rPr>
              <w:t>4 137</w:t>
            </w:r>
          </w:p>
        </w:tc>
        <w:tc>
          <w:tcPr>
            <w:tcW w:w="794" w:type="dxa"/>
            <w:tcBorders>
              <w:top w:val="single" w:sz="4" w:space="0" w:color="auto"/>
              <w:bottom w:val="nil"/>
            </w:tcBorders>
          </w:tcPr>
          <w:p w14:paraId="60B9CF90" w14:textId="77777777" w:rsidR="00AB205D" w:rsidRPr="00E97EE3" w:rsidRDefault="00471A3B">
            <w:pPr>
              <w:cnfStyle w:val="000000000000" w:firstRow="0" w:lastRow="0" w:firstColumn="0" w:lastColumn="0" w:oddVBand="0" w:evenVBand="0" w:oddHBand="0" w:evenHBand="0" w:firstRowFirstColumn="0" w:firstRowLastColumn="0" w:lastRowFirstColumn="0" w:lastRowLastColumn="0"/>
              <w:rPr>
                <w:b/>
              </w:rPr>
            </w:pPr>
            <w:r w:rsidRPr="00E97EE3">
              <w:rPr>
                <w:b/>
              </w:rPr>
              <w:t>3 859</w:t>
            </w:r>
          </w:p>
        </w:tc>
      </w:tr>
      <w:tr w:rsidR="009C6724" w14:paraId="25426D62"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nil"/>
            </w:tcBorders>
          </w:tcPr>
          <w:p w14:paraId="27033FC9" w14:textId="77777777" w:rsidR="00AB205D" w:rsidRDefault="00471A3B">
            <w:r>
              <w:t>Investment properties</w:t>
            </w:r>
          </w:p>
        </w:tc>
        <w:tc>
          <w:tcPr>
            <w:tcW w:w="794" w:type="dxa"/>
            <w:tcBorders>
              <w:top w:val="nil"/>
            </w:tcBorders>
          </w:tcPr>
          <w:p w14:paraId="42B2CA7A" w14:textId="77777777" w:rsidR="00AB205D" w:rsidRDefault="00471A3B">
            <w:pPr>
              <w:cnfStyle w:val="000000000000" w:firstRow="0" w:lastRow="0" w:firstColumn="0" w:lastColumn="0" w:oddVBand="0" w:evenVBand="0" w:oddHBand="0" w:evenHBand="0" w:firstRowFirstColumn="0" w:firstRowLastColumn="0" w:lastRowFirstColumn="0" w:lastRowLastColumn="0"/>
            </w:pPr>
            <w:r>
              <w:t>306</w:t>
            </w:r>
          </w:p>
        </w:tc>
        <w:tc>
          <w:tcPr>
            <w:tcW w:w="794" w:type="dxa"/>
            <w:tcBorders>
              <w:top w:val="nil"/>
            </w:tcBorders>
          </w:tcPr>
          <w:p w14:paraId="600E7698" w14:textId="77777777" w:rsidR="00AB205D" w:rsidRDefault="00471A3B">
            <w:pPr>
              <w:cnfStyle w:val="000000000000" w:firstRow="0" w:lastRow="0" w:firstColumn="0" w:lastColumn="0" w:oddVBand="0" w:evenVBand="0" w:oddHBand="0" w:evenHBand="0" w:firstRowFirstColumn="0" w:firstRowLastColumn="0" w:lastRowFirstColumn="0" w:lastRowLastColumn="0"/>
            </w:pPr>
            <w:r>
              <w:t>306</w:t>
            </w:r>
          </w:p>
        </w:tc>
        <w:tc>
          <w:tcPr>
            <w:tcW w:w="794" w:type="dxa"/>
            <w:tcBorders>
              <w:top w:val="nil"/>
            </w:tcBorders>
          </w:tcPr>
          <w:p w14:paraId="25E8A1FA" w14:textId="77777777" w:rsidR="00AB205D" w:rsidRDefault="00471A3B">
            <w:pPr>
              <w:cnfStyle w:val="000000000000" w:firstRow="0" w:lastRow="0" w:firstColumn="0" w:lastColumn="0" w:oddVBand="0" w:evenVBand="0" w:oddHBand="0" w:evenHBand="0" w:firstRowFirstColumn="0" w:firstRowLastColumn="0" w:lastRowFirstColumn="0" w:lastRowLastColumn="0"/>
            </w:pPr>
            <w:r>
              <w:t>306</w:t>
            </w:r>
          </w:p>
        </w:tc>
        <w:tc>
          <w:tcPr>
            <w:tcW w:w="794" w:type="dxa"/>
            <w:tcBorders>
              <w:top w:val="nil"/>
            </w:tcBorders>
          </w:tcPr>
          <w:p w14:paraId="689AB7DA" w14:textId="77777777" w:rsidR="00AB205D" w:rsidRDefault="00471A3B">
            <w:pPr>
              <w:cnfStyle w:val="000000000000" w:firstRow="0" w:lastRow="0" w:firstColumn="0" w:lastColumn="0" w:oddVBand="0" w:evenVBand="0" w:oddHBand="0" w:evenHBand="0" w:firstRowFirstColumn="0" w:firstRowLastColumn="0" w:lastRowFirstColumn="0" w:lastRowLastColumn="0"/>
            </w:pPr>
            <w:r>
              <w:t>306</w:t>
            </w:r>
          </w:p>
        </w:tc>
        <w:tc>
          <w:tcPr>
            <w:tcW w:w="794" w:type="dxa"/>
            <w:tcBorders>
              <w:top w:val="nil"/>
            </w:tcBorders>
          </w:tcPr>
          <w:p w14:paraId="128C23B4" w14:textId="77777777" w:rsidR="00AB205D" w:rsidRDefault="00471A3B">
            <w:pPr>
              <w:cnfStyle w:val="000000000000" w:firstRow="0" w:lastRow="0" w:firstColumn="0" w:lastColumn="0" w:oddVBand="0" w:evenVBand="0" w:oddHBand="0" w:evenHBand="0" w:firstRowFirstColumn="0" w:firstRowLastColumn="0" w:lastRowFirstColumn="0" w:lastRowLastColumn="0"/>
            </w:pPr>
            <w:r>
              <w:t>306</w:t>
            </w:r>
          </w:p>
        </w:tc>
      </w:tr>
      <w:tr w:rsidR="009C6724" w14:paraId="22198C08"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006B1CE6" w14:textId="77777777" w:rsidR="00AB205D" w:rsidRDefault="00471A3B">
            <w:r>
              <w:t>Biological assets</w:t>
            </w:r>
          </w:p>
        </w:tc>
        <w:tc>
          <w:tcPr>
            <w:tcW w:w="794" w:type="dxa"/>
          </w:tcPr>
          <w:p w14:paraId="2840644B" w14:textId="77777777" w:rsidR="00AB205D" w:rsidRDefault="00471A3B">
            <w:pPr>
              <w:cnfStyle w:val="000000000000" w:firstRow="0" w:lastRow="0" w:firstColumn="0" w:lastColumn="0" w:oddVBand="0" w:evenVBand="0" w:oddHBand="0" w:evenHBand="0" w:firstRowFirstColumn="0" w:firstRowLastColumn="0" w:lastRowFirstColumn="0" w:lastRowLastColumn="0"/>
            </w:pPr>
            <w:r>
              <w:t>6</w:t>
            </w:r>
          </w:p>
        </w:tc>
        <w:tc>
          <w:tcPr>
            <w:tcW w:w="794" w:type="dxa"/>
          </w:tcPr>
          <w:p w14:paraId="495468B0" w14:textId="77777777" w:rsidR="00AB205D" w:rsidRDefault="00471A3B">
            <w:pPr>
              <w:cnfStyle w:val="000000000000" w:firstRow="0" w:lastRow="0" w:firstColumn="0" w:lastColumn="0" w:oddVBand="0" w:evenVBand="0" w:oddHBand="0" w:evenHBand="0" w:firstRowFirstColumn="0" w:firstRowLastColumn="0" w:lastRowFirstColumn="0" w:lastRowLastColumn="0"/>
            </w:pPr>
            <w:r>
              <w:t>6</w:t>
            </w:r>
          </w:p>
        </w:tc>
        <w:tc>
          <w:tcPr>
            <w:tcW w:w="794" w:type="dxa"/>
          </w:tcPr>
          <w:p w14:paraId="46410C4E" w14:textId="77777777" w:rsidR="00AB205D" w:rsidRDefault="00471A3B">
            <w:pPr>
              <w:cnfStyle w:val="000000000000" w:firstRow="0" w:lastRow="0" w:firstColumn="0" w:lastColumn="0" w:oddVBand="0" w:evenVBand="0" w:oddHBand="0" w:evenHBand="0" w:firstRowFirstColumn="0" w:firstRowLastColumn="0" w:lastRowFirstColumn="0" w:lastRowLastColumn="0"/>
            </w:pPr>
            <w:r>
              <w:t>7</w:t>
            </w:r>
          </w:p>
        </w:tc>
        <w:tc>
          <w:tcPr>
            <w:tcW w:w="794" w:type="dxa"/>
          </w:tcPr>
          <w:p w14:paraId="4881DEC2" w14:textId="77777777" w:rsidR="00AB205D" w:rsidRDefault="00471A3B">
            <w:pPr>
              <w:cnfStyle w:val="000000000000" w:firstRow="0" w:lastRow="0" w:firstColumn="0" w:lastColumn="0" w:oddVBand="0" w:evenVBand="0" w:oddHBand="0" w:evenHBand="0" w:firstRowFirstColumn="0" w:firstRowLastColumn="0" w:lastRowFirstColumn="0" w:lastRowLastColumn="0"/>
            </w:pPr>
            <w:r>
              <w:t>9</w:t>
            </w:r>
          </w:p>
        </w:tc>
        <w:tc>
          <w:tcPr>
            <w:tcW w:w="794" w:type="dxa"/>
          </w:tcPr>
          <w:p w14:paraId="394B8AD3" w14:textId="77777777" w:rsidR="00AB205D" w:rsidRDefault="00471A3B">
            <w:pPr>
              <w:cnfStyle w:val="000000000000" w:firstRow="0" w:lastRow="0" w:firstColumn="0" w:lastColumn="0" w:oddVBand="0" w:evenVBand="0" w:oddHBand="0" w:evenHBand="0" w:firstRowFirstColumn="0" w:firstRowLastColumn="0" w:lastRowFirstColumn="0" w:lastRowLastColumn="0"/>
            </w:pPr>
            <w:r>
              <w:t>10</w:t>
            </w:r>
          </w:p>
        </w:tc>
      </w:tr>
      <w:tr w:rsidR="009C6724" w14:paraId="62E55D95"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4" w:space="0" w:color="auto"/>
            </w:tcBorders>
          </w:tcPr>
          <w:p w14:paraId="491DDE68" w14:textId="77777777" w:rsidR="00AB205D" w:rsidRDefault="00471A3B">
            <w:r>
              <w:t>Other assets</w:t>
            </w:r>
          </w:p>
        </w:tc>
        <w:tc>
          <w:tcPr>
            <w:tcW w:w="794" w:type="dxa"/>
            <w:tcBorders>
              <w:bottom w:val="single" w:sz="4" w:space="0" w:color="auto"/>
            </w:tcBorders>
          </w:tcPr>
          <w:p w14:paraId="19EA0AE8" w14:textId="77777777" w:rsidR="00AB205D" w:rsidRDefault="00471A3B">
            <w:pPr>
              <w:cnfStyle w:val="000000000000" w:firstRow="0" w:lastRow="0" w:firstColumn="0" w:lastColumn="0" w:oddVBand="0" w:evenVBand="0" w:oddHBand="0" w:evenHBand="0" w:firstRowFirstColumn="0" w:firstRowLastColumn="0" w:lastRowFirstColumn="0" w:lastRowLastColumn="0"/>
            </w:pPr>
            <w:r>
              <w:t>892</w:t>
            </w:r>
          </w:p>
        </w:tc>
        <w:tc>
          <w:tcPr>
            <w:tcW w:w="794" w:type="dxa"/>
            <w:tcBorders>
              <w:bottom w:val="single" w:sz="4" w:space="0" w:color="auto"/>
            </w:tcBorders>
          </w:tcPr>
          <w:p w14:paraId="42B138ED" w14:textId="77777777" w:rsidR="00AB205D" w:rsidRDefault="00471A3B">
            <w:pPr>
              <w:cnfStyle w:val="000000000000" w:firstRow="0" w:lastRow="0" w:firstColumn="0" w:lastColumn="0" w:oddVBand="0" w:evenVBand="0" w:oddHBand="0" w:evenHBand="0" w:firstRowFirstColumn="0" w:firstRowLastColumn="0" w:lastRowFirstColumn="0" w:lastRowLastColumn="0"/>
            </w:pPr>
            <w:r>
              <w:t>893</w:t>
            </w:r>
          </w:p>
        </w:tc>
        <w:tc>
          <w:tcPr>
            <w:tcW w:w="794" w:type="dxa"/>
            <w:tcBorders>
              <w:bottom w:val="single" w:sz="4" w:space="0" w:color="auto"/>
            </w:tcBorders>
          </w:tcPr>
          <w:p w14:paraId="23E1C35A" w14:textId="77777777" w:rsidR="00AB205D" w:rsidRDefault="00471A3B">
            <w:pPr>
              <w:cnfStyle w:val="000000000000" w:firstRow="0" w:lastRow="0" w:firstColumn="0" w:lastColumn="0" w:oddVBand="0" w:evenVBand="0" w:oddHBand="0" w:evenHBand="0" w:firstRowFirstColumn="0" w:firstRowLastColumn="0" w:lastRowFirstColumn="0" w:lastRowLastColumn="0"/>
            </w:pPr>
            <w:r>
              <w:t>893</w:t>
            </w:r>
          </w:p>
        </w:tc>
        <w:tc>
          <w:tcPr>
            <w:tcW w:w="794" w:type="dxa"/>
            <w:tcBorders>
              <w:bottom w:val="single" w:sz="4" w:space="0" w:color="auto"/>
            </w:tcBorders>
          </w:tcPr>
          <w:p w14:paraId="271012B6" w14:textId="77777777" w:rsidR="00AB205D" w:rsidRDefault="00471A3B">
            <w:pPr>
              <w:cnfStyle w:val="000000000000" w:firstRow="0" w:lastRow="0" w:firstColumn="0" w:lastColumn="0" w:oddVBand="0" w:evenVBand="0" w:oddHBand="0" w:evenHBand="0" w:firstRowFirstColumn="0" w:firstRowLastColumn="0" w:lastRowFirstColumn="0" w:lastRowLastColumn="0"/>
            </w:pPr>
            <w:r>
              <w:t>893</w:t>
            </w:r>
          </w:p>
        </w:tc>
        <w:tc>
          <w:tcPr>
            <w:tcW w:w="794" w:type="dxa"/>
            <w:tcBorders>
              <w:bottom w:val="single" w:sz="4" w:space="0" w:color="auto"/>
            </w:tcBorders>
          </w:tcPr>
          <w:p w14:paraId="2EAAA0BE" w14:textId="77777777" w:rsidR="00AB205D" w:rsidRDefault="00471A3B">
            <w:pPr>
              <w:cnfStyle w:val="000000000000" w:firstRow="0" w:lastRow="0" w:firstColumn="0" w:lastColumn="0" w:oddVBand="0" w:evenVBand="0" w:oddHBand="0" w:evenHBand="0" w:firstRowFirstColumn="0" w:firstRowLastColumn="0" w:lastRowFirstColumn="0" w:lastRowLastColumn="0"/>
            </w:pPr>
            <w:r>
              <w:t>892</w:t>
            </w:r>
          </w:p>
        </w:tc>
      </w:tr>
      <w:tr w:rsidR="009C6724" w14:paraId="5350F65F"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4" w:space="0" w:color="auto"/>
              <w:bottom w:val="single" w:sz="12" w:space="0" w:color="auto"/>
            </w:tcBorders>
          </w:tcPr>
          <w:p w14:paraId="1443FEB0" w14:textId="77777777" w:rsidR="00AB205D" w:rsidRDefault="00471A3B">
            <w:r>
              <w:rPr>
                <w:b/>
              </w:rPr>
              <w:t>Total other non</w:t>
            </w:r>
            <w:r>
              <w:rPr>
                <w:b/>
              </w:rPr>
              <w:noBreakHyphen/>
              <w:t>financial assets</w:t>
            </w:r>
          </w:p>
        </w:tc>
        <w:tc>
          <w:tcPr>
            <w:tcW w:w="794" w:type="dxa"/>
            <w:tcBorders>
              <w:top w:val="single" w:sz="4" w:space="0" w:color="auto"/>
              <w:bottom w:val="single" w:sz="12" w:space="0" w:color="auto"/>
            </w:tcBorders>
          </w:tcPr>
          <w:p w14:paraId="0F8E6C73" w14:textId="77777777" w:rsidR="00AB205D" w:rsidRPr="00E97EE3" w:rsidRDefault="00471A3B">
            <w:pPr>
              <w:cnfStyle w:val="000000000000" w:firstRow="0" w:lastRow="0" w:firstColumn="0" w:lastColumn="0" w:oddVBand="0" w:evenVBand="0" w:oddHBand="0" w:evenHBand="0" w:firstRowFirstColumn="0" w:firstRowLastColumn="0" w:lastRowFirstColumn="0" w:lastRowLastColumn="0"/>
              <w:rPr>
                <w:b/>
              </w:rPr>
            </w:pPr>
            <w:r w:rsidRPr="00E97EE3">
              <w:rPr>
                <w:b/>
              </w:rPr>
              <w:t>5 772</w:t>
            </w:r>
          </w:p>
        </w:tc>
        <w:tc>
          <w:tcPr>
            <w:tcW w:w="794" w:type="dxa"/>
            <w:tcBorders>
              <w:top w:val="single" w:sz="4" w:space="0" w:color="auto"/>
              <w:bottom w:val="single" w:sz="12" w:space="0" w:color="auto"/>
            </w:tcBorders>
          </w:tcPr>
          <w:p w14:paraId="65E32854" w14:textId="77777777" w:rsidR="00AB205D" w:rsidRPr="00E97EE3" w:rsidRDefault="00471A3B">
            <w:pPr>
              <w:cnfStyle w:val="000000000000" w:firstRow="0" w:lastRow="0" w:firstColumn="0" w:lastColumn="0" w:oddVBand="0" w:evenVBand="0" w:oddHBand="0" w:evenHBand="0" w:firstRowFirstColumn="0" w:firstRowLastColumn="0" w:lastRowFirstColumn="0" w:lastRowLastColumn="0"/>
              <w:rPr>
                <w:b/>
              </w:rPr>
            </w:pPr>
            <w:r w:rsidRPr="00E97EE3">
              <w:rPr>
                <w:b/>
              </w:rPr>
              <w:t>5 814</w:t>
            </w:r>
          </w:p>
        </w:tc>
        <w:tc>
          <w:tcPr>
            <w:tcW w:w="794" w:type="dxa"/>
            <w:tcBorders>
              <w:top w:val="single" w:sz="4" w:space="0" w:color="auto"/>
              <w:bottom w:val="single" w:sz="12" w:space="0" w:color="auto"/>
            </w:tcBorders>
          </w:tcPr>
          <w:p w14:paraId="568F1354" w14:textId="77777777" w:rsidR="00AB205D" w:rsidRPr="00E97EE3" w:rsidRDefault="00471A3B">
            <w:pPr>
              <w:cnfStyle w:val="000000000000" w:firstRow="0" w:lastRow="0" w:firstColumn="0" w:lastColumn="0" w:oddVBand="0" w:evenVBand="0" w:oddHBand="0" w:evenHBand="0" w:firstRowFirstColumn="0" w:firstRowLastColumn="0" w:lastRowFirstColumn="0" w:lastRowLastColumn="0"/>
              <w:rPr>
                <w:b/>
              </w:rPr>
            </w:pPr>
            <w:r w:rsidRPr="00E97EE3">
              <w:rPr>
                <w:b/>
              </w:rPr>
              <w:t>5 611</w:t>
            </w:r>
          </w:p>
        </w:tc>
        <w:tc>
          <w:tcPr>
            <w:tcW w:w="794" w:type="dxa"/>
            <w:tcBorders>
              <w:top w:val="single" w:sz="4" w:space="0" w:color="auto"/>
              <w:bottom w:val="single" w:sz="12" w:space="0" w:color="auto"/>
            </w:tcBorders>
          </w:tcPr>
          <w:p w14:paraId="49E55E2C" w14:textId="77777777" w:rsidR="00AB205D" w:rsidRPr="00E97EE3" w:rsidRDefault="00471A3B">
            <w:pPr>
              <w:cnfStyle w:val="000000000000" w:firstRow="0" w:lastRow="0" w:firstColumn="0" w:lastColumn="0" w:oddVBand="0" w:evenVBand="0" w:oddHBand="0" w:evenHBand="0" w:firstRowFirstColumn="0" w:firstRowLastColumn="0" w:lastRowFirstColumn="0" w:lastRowLastColumn="0"/>
              <w:rPr>
                <w:b/>
              </w:rPr>
            </w:pPr>
            <w:r w:rsidRPr="00E97EE3">
              <w:rPr>
                <w:b/>
              </w:rPr>
              <w:t>5 345</w:t>
            </w:r>
          </w:p>
        </w:tc>
        <w:tc>
          <w:tcPr>
            <w:tcW w:w="794" w:type="dxa"/>
            <w:tcBorders>
              <w:top w:val="single" w:sz="4" w:space="0" w:color="auto"/>
              <w:bottom w:val="single" w:sz="12" w:space="0" w:color="auto"/>
            </w:tcBorders>
          </w:tcPr>
          <w:p w14:paraId="7F5AA3F5" w14:textId="77777777" w:rsidR="00AB205D" w:rsidRPr="00E97EE3" w:rsidRDefault="00471A3B">
            <w:pPr>
              <w:cnfStyle w:val="000000000000" w:firstRow="0" w:lastRow="0" w:firstColumn="0" w:lastColumn="0" w:oddVBand="0" w:evenVBand="0" w:oddHBand="0" w:evenHBand="0" w:firstRowFirstColumn="0" w:firstRowLastColumn="0" w:lastRowFirstColumn="0" w:lastRowLastColumn="0"/>
              <w:rPr>
                <w:b/>
              </w:rPr>
            </w:pPr>
            <w:r w:rsidRPr="00E97EE3">
              <w:rPr>
                <w:b/>
              </w:rPr>
              <w:t>5 067</w:t>
            </w:r>
          </w:p>
        </w:tc>
      </w:tr>
    </w:tbl>
    <w:p w14:paraId="64088AD4" w14:textId="77777777" w:rsidR="00AB205D" w:rsidRDefault="00AB205D"/>
    <w:p w14:paraId="36C2CB92" w14:textId="77777777" w:rsidR="00AB205D" w:rsidRPr="00DC3CAB" w:rsidRDefault="00471A3B">
      <w:pPr>
        <w:pStyle w:val="Heading3"/>
        <w:pageBreakBefore/>
        <w:rPr>
          <w:sz w:val="21"/>
          <w:szCs w:val="21"/>
        </w:rPr>
      </w:pPr>
      <w:bookmarkStart w:id="66" w:name="_Toc149221059"/>
      <w:r w:rsidRPr="00DC3CAB">
        <w:rPr>
          <w:sz w:val="21"/>
          <w:szCs w:val="21"/>
        </w:rPr>
        <w:lastRenderedPageBreak/>
        <w:t xml:space="preserve">Total assets by classification of the functions of government </w:t>
      </w:r>
      <w:r w:rsidRPr="00DC3CAB">
        <w:rPr>
          <w:sz w:val="21"/>
          <w:szCs w:val="21"/>
        </w:rPr>
        <w:tab/>
        <w:t>($ million)</w:t>
      </w:r>
      <w:bookmarkEnd w:id="66"/>
    </w:p>
    <w:tbl>
      <w:tblPr>
        <w:tblStyle w:val="DTFTableNumeric"/>
        <w:tblW w:w="7710" w:type="dxa"/>
        <w:tblLayout w:type="fixed"/>
        <w:tblLook w:val="06A0" w:firstRow="1" w:lastRow="0" w:firstColumn="1" w:lastColumn="0" w:noHBand="1" w:noVBand="1"/>
        <w:tblDescription w:val="Type:DtfTable|Workbook:Rawdata\BudgetUpdate\Budget Update\Financial Statements\Manual reports\COFOG\Link_BU_COFOG.xlsx|Table:Total_assets_by_COFOG|MergedHeadingRow:1"/>
      </w:tblPr>
      <w:tblGrid>
        <w:gridCol w:w="3740"/>
        <w:gridCol w:w="794"/>
        <w:gridCol w:w="794"/>
        <w:gridCol w:w="794"/>
        <w:gridCol w:w="794"/>
        <w:gridCol w:w="794"/>
      </w:tblGrid>
      <w:tr w:rsidR="009C6724" w14:paraId="5FB20C3E"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6A0870BC" w14:textId="77777777" w:rsidR="00AB205D" w:rsidRDefault="00AB205D">
            <w:pPr>
              <w:keepNext/>
            </w:pPr>
          </w:p>
        </w:tc>
        <w:tc>
          <w:tcPr>
            <w:tcW w:w="794" w:type="dxa"/>
          </w:tcPr>
          <w:p w14:paraId="60D9CE30"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br/>
              <w:t>budget</w:t>
            </w:r>
          </w:p>
        </w:tc>
        <w:tc>
          <w:tcPr>
            <w:tcW w:w="794" w:type="dxa"/>
          </w:tcPr>
          <w:p w14:paraId="1EC7E4E0"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br/>
              <w:t>revised</w:t>
            </w:r>
          </w:p>
        </w:tc>
        <w:tc>
          <w:tcPr>
            <w:tcW w:w="794" w:type="dxa"/>
          </w:tcPr>
          <w:p w14:paraId="75A42C41"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br/>
              <w:t>estimate</w:t>
            </w:r>
          </w:p>
        </w:tc>
        <w:tc>
          <w:tcPr>
            <w:tcW w:w="794" w:type="dxa"/>
          </w:tcPr>
          <w:p w14:paraId="3642B35F"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br/>
              <w:t>estimate</w:t>
            </w:r>
          </w:p>
        </w:tc>
        <w:tc>
          <w:tcPr>
            <w:tcW w:w="794" w:type="dxa"/>
          </w:tcPr>
          <w:p w14:paraId="37E823CC"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2027</w:t>
            </w:r>
            <w:r>
              <w:br/>
              <w:t>estimate</w:t>
            </w:r>
          </w:p>
        </w:tc>
      </w:tr>
      <w:tr w:rsidR="009C6724" w14:paraId="39485CA4"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C8C9D22" w14:textId="77777777" w:rsidR="00AB205D" w:rsidRDefault="00471A3B">
            <w:r>
              <w:t>General public services</w:t>
            </w:r>
          </w:p>
        </w:tc>
        <w:tc>
          <w:tcPr>
            <w:tcW w:w="794" w:type="dxa"/>
          </w:tcPr>
          <w:p w14:paraId="49750FCC" w14:textId="77777777" w:rsidR="00AB205D" w:rsidRDefault="00471A3B">
            <w:pPr>
              <w:cnfStyle w:val="000000000000" w:firstRow="0" w:lastRow="0" w:firstColumn="0" w:lastColumn="0" w:oddVBand="0" w:evenVBand="0" w:oddHBand="0" w:evenHBand="0" w:firstRowFirstColumn="0" w:firstRowLastColumn="0" w:lastRowFirstColumn="0" w:lastRowLastColumn="0"/>
            </w:pPr>
            <w:r>
              <w:t>3 069</w:t>
            </w:r>
          </w:p>
        </w:tc>
        <w:tc>
          <w:tcPr>
            <w:tcW w:w="794" w:type="dxa"/>
          </w:tcPr>
          <w:p w14:paraId="2AEBD4E9" w14:textId="77777777" w:rsidR="00AB205D" w:rsidRDefault="00471A3B">
            <w:pPr>
              <w:cnfStyle w:val="000000000000" w:firstRow="0" w:lastRow="0" w:firstColumn="0" w:lastColumn="0" w:oddVBand="0" w:evenVBand="0" w:oddHBand="0" w:evenHBand="0" w:firstRowFirstColumn="0" w:firstRowLastColumn="0" w:lastRowFirstColumn="0" w:lastRowLastColumn="0"/>
            </w:pPr>
            <w:r>
              <w:t>3 097</w:t>
            </w:r>
          </w:p>
        </w:tc>
        <w:tc>
          <w:tcPr>
            <w:tcW w:w="794" w:type="dxa"/>
          </w:tcPr>
          <w:p w14:paraId="3453B348" w14:textId="77777777" w:rsidR="00AB205D" w:rsidRDefault="00471A3B">
            <w:pPr>
              <w:cnfStyle w:val="000000000000" w:firstRow="0" w:lastRow="0" w:firstColumn="0" w:lastColumn="0" w:oddVBand="0" w:evenVBand="0" w:oddHBand="0" w:evenHBand="0" w:firstRowFirstColumn="0" w:firstRowLastColumn="0" w:lastRowFirstColumn="0" w:lastRowLastColumn="0"/>
            </w:pPr>
            <w:r>
              <w:t>2 967</w:t>
            </w:r>
          </w:p>
        </w:tc>
        <w:tc>
          <w:tcPr>
            <w:tcW w:w="794" w:type="dxa"/>
          </w:tcPr>
          <w:p w14:paraId="0A119352" w14:textId="77777777" w:rsidR="00AB205D" w:rsidRDefault="00471A3B">
            <w:pPr>
              <w:cnfStyle w:val="000000000000" w:firstRow="0" w:lastRow="0" w:firstColumn="0" w:lastColumn="0" w:oddVBand="0" w:evenVBand="0" w:oddHBand="0" w:evenHBand="0" w:firstRowFirstColumn="0" w:firstRowLastColumn="0" w:lastRowFirstColumn="0" w:lastRowLastColumn="0"/>
            </w:pPr>
            <w:r>
              <w:t>2 786</w:t>
            </w:r>
          </w:p>
        </w:tc>
        <w:tc>
          <w:tcPr>
            <w:tcW w:w="794" w:type="dxa"/>
          </w:tcPr>
          <w:p w14:paraId="5F4D732D" w14:textId="77777777" w:rsidR="00AB205D" w:rsidRDefault="00471A3B">
            <w:pPr>
              <w:cnfStyle w:val="000000000000" w:firstRow="0" w:lastRow="0" w:firstColumn="0" w:lastColumn="0" w:oddVBand="0" w:evenVBand="0" w:oddHBand="0" w:evenHBand="0" w:firstRowFirstColumn="0" w:firstRowLastColumn="0" w:lastRowFirstColumn="0" w:lastRowLastColumn="0"/>
            </w:pPr>
            <w:r>
              <w:t>2 631</w:t>
            </w:r>
          </w:p>
        </w:tc>
      </w:tr>
      <w:tr w:rsidR="009C6724" w14:paraId="322AD4F6"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816CA82" w14:textId="77777777" w:rsidR="00AB205D" w:rsidRDefault="00471A3B">
            <w:r>
              <w:t>Public order and safety</w:t>
            </w:r>
          </w:p>
        </w:tc>
        <w:tc>
          <w:tcPr>
            <w:tcW w:w="794" w:type="dxa"/>
          </w:tcPr>
          <w:p w14:paraId="0D63A948" w14:textId="77777777" w:rsidR="00AB205D" w:rsidRDefault="00471A3B">
            <w:pPr>
              <w:cnfStyle w:val="000000000000" w:firstRow="0" w:lastRow="0" w:firstColumn="0" w:lastColumn="0" w:oddVBand="0" w:evenVBand="0" w:oddHBand="0" w:evenHBand="0" w:firstRowFirstColumn="0" w:firstRowLastColumn="0" w:lastRowFirstColumn="0" w:lastRowLastColumn="0"/>
            </w:pPr>
            <w:r>
              <w:t>16 050</w:t>
            </w:r>
          </w:p>
        </w:tc>
        <w:tc>
          <w:tcPr>
            <w:tcW w:w="794" w:type="dxa"/>
          </w:tcPr>
          <w:p w14:paraId="4361F0A5" w14:textId="77777777" w:rsidR="00AB205D" w:rsidRDefault="00471A3B">
            <w:pPr>
              <w:cnfStyle w:val="000000000000" w:firstRow="0" w:lastRow="0" w:firstColumn="0" w:lastColumn="0" w:oddVBand="0" w:evenVBand="0" w:oddHBand="0" w:evenHBand="0" w:firstRowFirstColumn="0" w:firstRowLastColumn="0" w:lastRowFirstColumn="0" w:lastRowLastColumn="0"/>
            </w:pPr>
            <w:r>
              <w:t>16 043</w:t>
            </w:r>
          </w:p>
        </w:tc>
        <w:tc>
          <w:tcPr>
            <w:tcW w:w="794" w:type="dxa"/>
          </w:tcPr>
          <w:p w14:paraId="1F59BA57" w14:textId="77777777" w:rsidR="00AB205D" w:rsidRDefault="00471A3B">
            <w:pPr>
              <w:cnfStyle w:val="000000000000" w:firstRow="0" w:lastRow="0" w:firstColumn="0" w:lastColumn="0" w:oddVBand="0" w:evenVBand="0" w:oddHBand="0" w:evenHBand="0" w:firstRowFirstColumn="0" w:firstRowLastColumn="0" w:lastRowFirstColumn="0" w:lastRowLastColumn="0"/>
            </w:pPr>
            <w:r>
              <w:t>16 186</w:t>
            </w:r>
          </w:p>
        </w:tc>
        <w:tc>
          <w:tcPr>
            <w:tcW w:w="794" w:type="dxa"/>
          </w:tcPr>
          <w:p w14:paraId="504E719F" w14:textId="77777777" w:rsidR="00AB205D" w:rsidRDefault="00471A3B">
            <w:pPr>
              <w:cnfStyle w:val="000000000000" w:firstRow="0" w:lastRow="0" w:firstColumn="0" w:lastColumn="0" w:oddVBand="0" w:evenVBand="0" w:oddHBand="0" w:evenHBand="0" w:firstRowFirstColumn="0" w:firstRowLastColumn="0" w:lastRowFirstColumn="0" w:lastRowLastColumn="0"/>
            </w:pPr>
            <w:r>
              <w:t>16 951</w:t>
            </w:r>
          </w:p>
        </w:tc>
        <w:tc>
          <w:tcPr>
            <w:tcW w:w="794" w:type="dxa"/>
          </w:tcPr>
          <w:p w14:paraId="6C69CEAE" w14:textId="77777777" w:rsidR="00AB205D" w:rsidRDefault="00471A3B">
            <w:pPr>
              <w:cnfStyle w:val="000000000000" w:firstRow="0" w:lastRow="0" w:firstColumn="0" w:lastColumn="0" w:oddVBand="0" w:evenVBand="0" w:oddHBand="0" w:evenHBand="0" w:firstRowFirstColumn="0" w:firstRowLastColumn="0" w:lastRowFirstColumn="0" w:lastRowLastColumn="0"/>
            </w:pPr>
            <w:r>
              <w:t>16 393</w:t>
            </w:r>
          </w:p>
        </w:tc>
      </w:tr>
      <w:tr w:rsidR="009C6724" w14:paraId="4EEF2167"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0389CA3" w14:textId="77777777" w:rsidR="00AB205D" w:rsidRDefault="00471A3B">
            <w:r>
              <w:t>Economic affairs</w:t>
            </w:r>
          </w:p>
        </w:tc>
        <w:tc>
          <w:tcPr>
            <w:tcW w:w="794" w:type="dxa"/>
          </w:tcPr>
          <w:p w14:paraId="06DDE6B2" w14:textId="77777777" w:rsidR="00AB205D" w:rsidRDefault="00471A3B">
            <w:pPr>
              <w:cnfStyle w:val="000000000000" w:firstRow="0" w:lastRow="0" w:firstColumn="0" w:lastColumn="0" w:oddVBand="0" w:evenVBand="0" w:oddHBand="0" w:evenHBand="0" w:firstRowFirstColumn="0" w:firstRowLastColumn="0" w:lastRowFirstColumn="0" w:lastRowLastColumn="0"/>
            </w:pPr>
            <w:r>
              <w:t>1 629</w:t>
            </w:r>
          </w:p>
        </w:tc>
        <w:tc>
          <w:tcPr>
            <w:tcW w:w="794" w:type="dxa"/>
          </w:tcPr>
          <w:p w14:paraId="09E7E71A" w14:textId="77777777" w:rsidR="00AB205D" w:rsidRDefault="00471A3B">
            <w:pPr>
              <w:cnfStyle w:val="000000000000" w:firstRow="0" w:lastRow="0" w:firstColumn="0" w:lastColumn="0" w:oddVBand="0" w:evenVBand="0" w:oddHBand="0" w:evenHBand="0" w:firstRowFirstColumn="0" w:firstRowLastColumn="0" w:lastRowFirstColumn="0" w:lastRowLastColumn="0"/>
            </w:pPr>
            <w:r>
              <w:t>1 584</w:t>
            </w:r>
          </w:p>
        </w:tc>
        <w:tc>
          <w:tcPr>
            <w:tcW w:w="794" w:type="dxa"/>
          </w:tcPr>
          <w:p w14:paraId="209978E9" w14:textId="77777777" w:rsidR="00AB205D" w:rsidRDefault="00471A3B">
            <w:pPr>
              <w:cnfStyle w:val="000000000000" w:firstRow="0" w:lastRow="0" w:firstColumn="0" w:lastColumn="0" w:oddVBand="0" w:evenVBand="0" w:oddHBand="0" w:evenHBand="0" w:firstRowFirstColumn="0" w:firstRowLastColumn="0" w:lastRowFirstColumn="0" w:lastRowLastColumn="0"/>
            </w:pPr>
            <w:r>
              <w:t>2 443</w:t>
            </w:r>
          </w:p>
        </w:tc>
        <w:tc>
          <w:tcPr>
            <w:tcW w:w="794" w:type="dxa"/>
          </w:tcPr>
          <w:p w14:paraId="3AC0396B" w14:textId="77777777" w:rsidR="00AB205D" w:rsidRDefault="00471A3B">
            <w:pPr>
              <w:cnfStyle w:val="000000000000" w:firstRow="0" w:lastRow="0" w:firstColumn="0" w:lastColumn="0" w:oddVBand="0" w:evenVBand="0" w:oddHBand="0" w:evenHBand="0" w:firstRowFirstColumn="0" w:firstRowLastColumn="0" w:lastRowFirstColumn="0" w:lastRowLastColumn="0"/>
            </w:pPr>
            <w:r>
              <w:t>2 645</w:t>
            </w:r>
          </w:p>
        </w:tc>
        <w:tc>
          <w:tcPr>
            <w:tcW w:w="794" w:type="dxa"/>
          </w:tcPr>
          <w:p w14:paraId="7B678F3D" w14:textId="77777777" w:rsidR="00AB205D" w:rsidRDefault="00471A3B">
            <w:pPr>
              <w:cnfStyle w:val="000000000000" w:firstRow="0" w:lastRow="0" w:firstColumn="0" w:lastColumn="0" w:oddVBand="0" w:evenVBand="0" w:oddHBand="0" w:evenHBand="0" w:firstRowFirstColumn="0" w:firstRowLastColumn="0" w:lastRowFirstColumn="0" w:lastRowLastColumn="0"/>
            </w:pPr>
            <w:r>
              <w:t>3 343</w:t>
            </w:r>
          </w:p>
        </w:tc>
      </w:tr>
      <w:tr w:rsidR="009C6724" w14:paraId="5118E2D1"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6E14B34" w14:textId="77777777" w:rsidR="00AB205D" w:rsidRDefault="00471A3B">
            <w:r>
              <w:t>Environmental protection</w:t>
            </w:r>
          </w:p>
        </w:tc>
        <w:tc>
          <w:tcPr>
            <w:tcW w:w="794" w:type="dxa"/>
          </w:tcPr>
          <w:p w14:paraId="4C0EDB1D" w14:textId="77777777" w:rsidR="00AB205D" w:rsidRDefault="00471A3B">
            <w:pPr>
              <w:cnfStyle w:val="000000000000" w:firstRow="0" w:lastRow="0" w:firstColumn="0" w:lastColumn="0" w:oddVBand="0" w:evenVBand="0" w:oddHBand="0" w:evenHBand="0" w:firstRowFirstColumn="0" w:firstRowLastColumn="0" w:lastRowFirstColumn="0" w:lastRowLastColumn="0"/>
            </w:pPr>
            <w:r>
              <w:t>16 762</w:t>
            </w:r>
          </w:p>
        </w:tc>
        <w:tc>
          <w:tcPr>
            <w:tcW w:w="794" w:type="dxa"/>
          </w:tcPr>
          <w:p w14:paraId="70F8BD7A" w14:textId="77777777" w:rsidR="00AB205D" w:rsidRDefault="00471A3B">
            <w:pPr>
              <w:cnfStyle w:val="000000000000" w:firstRow="0" w:lastRow="0" w:firstColumn="0" w:lastColumn="0" w:oddVBand="0" w:evenVBand="0" w:oddHBand="0" w:evenHBand="0" w:firstRowFirstColumn="0" w:firstRowLastColumn="0" w:lastRowFirstColumn="0" w:lastRowLastColumn="0"/>
            </w:pPr>
            <w:r>
              <w:t>16 736</w:t>
            </w:r>
          </w:p>
        </w:tc>
        <w:tc>
          <w:tcPr>
            <w:tcW w:w="794" w:type="dxa"/>
          </w:tcPr>
          <w:p w14:paraId="1189D846" w14:textId="77777777" w:rsidR="00AB205D" w:rsidRDefault="00471A3B">
            <w:pPr>
              <w:cnfStyle w:val="000000000000" w:firstRow="0" w:lastRow="0" w:firstColumn="0" w:lastColumn="0" w:oddVBand="0" w:evenVBand="0" w:oddHBand="0" w:evenHBand="0" w:firstRowFirstColumn="0" w:firstRowLastColumn="0" w:lastRowFirstColumn="0" w:lastRowLastColumn="0"/>
            </w:pPr>
            <w:r>
              <w:t>16 762</w:t>
            </w:r>
          </w:p>
        </w:tc>
        <w:tc>
          <w:tcPr>
            <w:tcW w:w="794" w:type="dxa"/>
          </w:tcPr>
          <w:p w14:paraId="703ABF15" w14:textId="77777777" w:rsidR="00AB205D" w:rsidRDefault="00471A3B">
            <w:pPr>
              <w:cnfStyle w:val="000000000000" w:firstRow="0" w:lastRow="0" w:firstColumn="0" w:lastColumn="0" w:oddVBand="0" w:evenVBand="0" w:oddHBand="0" w:evenHBand="0" w:firstRowFirstColumn="0" w:firstRowLastColumn="0" w:lastRowFirstColumn="0" w:lastRowLastColumn="0"/>
            </w:pPr>
            <w:r>
              <w:t>16 760</w:t>
            </w:r>
          </w:p>
        </w:tc>
        <w:tc>
          <w:tcPr>
            <w:tcW w:w="794" w:type="dxa"/>
          </w:tcPr>
          <w:p w14:paraId="18C177AD" w14:textId="77777777" w:rsidR="00AB205D" w:rsidRDefault="00471A3B">
            <w:pPr>
              <w:cnfStyle w:val="000000000000" w:firstRow="0" w:lastRow="0" w:firstColumn="0" w:lastColumn="0" w:oddVBand="0" w:evenVBand="0" w:oddHBand="0" w:evenHBand="0" w:firstRowFirstColumn="0" w:firstRowLastColumn="0" w:lastRowFirstColumn="0" w:lastRowLastColumn="0"/>
            </w:pPr>
            <w:r>
              <w:t>16 749</w:t>
            </w:r>
          </w:p>
        </w:tc>
      </w:tr>
      <w:tr w:rsidR="009C6724" w14:paraId="73485486"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2C243E4" w14:textId="77777777" w:rsidR="00AB205D" w:rsidRDefault="00471A3B">
            <w:r>
              <w:t>Housing and community amenities</w:t>
            </w:r>
          </w:p>
        </w:tc>
        <w:tc>
          <w:tcPr>
            <w:tcW w:w="794" w:type="dxa"/>
          </w:tcPr>
          <w:p w14:paraId="31B3651C" w14:textId="77777777" w:rsidR="00AB205D" w:rsidRDefault="00471A3B">
            <w:pPr>
              <w:cnfStyle w:val="000000000000" w:firstRow="0" w:lastRow="0" w:firstColumn="0" w:lastColumn="0" w:oddVBand="0" w:evenVBand="0" w:oddHBand="0" w:evenHBand="0" w:firstRowFirstColumn="0" w:firstRowLastColumn="0" w:lastRowFirstColumn="0" w:lastRowLastColumn="0"/>
            </w:pPr>
            <w:r>
              <w:t>3 678</w:t>
            </w:r>
          </w:p>
        </w:tc>
        <w:tc>
          <w:tcPr>
            <w:tcW w:w="794" w:type="dxa"/>
          </w:tcPr>
          <w:p w14:paraId="4A3AB07F" w14:textId="77777777" w:rsidR="00AB205D" w:rsidRDefault="00471A3B">
            <w:pPr>
              <w:cnfStyle w:val="000000000000" w:firstRow="0" w:lastRow="0" w:firstColumn="0" w:lastColumn="0" w:oddVBand="0" w:evenVBand="0" w:oddHBand="0" w:evenHBand="0" w:firstRowFirstColumn="0" w:firstRowLastColumn="0" w:lastRowFirstColumn="0" w:lastRowLastColumn="0"/>
            </w:pPr>
            <w:r>
              <w:t>3 692</w:t>
            </w:r>
          </w:p>
        </w:tc>
        <w:tc>
          <w:tcPr>
            <w:tcW w:w="794" w:type="dxa"/>
          </w:tcPr>
          <w:p w14:paraId="4891E35C" w14:textId="77777777" w:rsidR="00AB205D" w:rsidRDefault="00471A3B">
            <w:pPr>
              <w:cnfStyle w:val="000000000000" w:firstRow="0" w:lastRow="0" w:firstColumn="0" w:lastColumn="0" w:oddVBand="0" w:evenVBand="0" w:oddHBand="0" w:evenHBand="0" w:firstRowFirstColumn="0" w:firstRowLastColumn="0" w:lastRowFirstColumn="0" w:lastRowLastColumn="0"/>
            </w:pPr>
            <w:r>
              <w:t>5 702</w:t>
            </w:r>
          </w:p>
        </w:tc>
        <w:tc>
          <w:tcPr>
            <w:tcW w:w="794" w:type="dxa"/>
          </w:tcPr>
          <w:p w14:paraId="1FCC177E" w14:textId="77777777" w:rsidR="00AB205D" w:rsidRDefault="00471A3B">
            <w:pPr>
              <w:cnfStyle w:val="000000000000" w:firstRow="0" w:lastRow="0" w:firstColumn="0" w:lastColumn="0" w:oddVBand="0" w:evenVBand="0" w:oddHBand="0" w:evenHBand="0" w:firstRowFirstColumn="0" w:firstRowLastColumn="0" w:lastRowFirstColumn="0" w:lastRowLastColumn="0"/>
            </w:pPr>
            <w:r>
              <w:t>6 669</w:t>
            </w:r>
          </w:p>
        </w:tc>
        <w:tc>
          <w:tcPr>
            <w:tcW w:w="794" w:type="dxa"/>
          </w:tcPr>
          <w:p w14:paraId="73ADF2CB" w14:textId="77777777" w:rsidR="00AB205D" w:rsidRDefault="00471A3B">
            <w:pPr>
              <w:cnfStyle w:val="000000000000" w:firstRow="0" w:lastRow="0" w:firstColumn="0" w:lastColumn="0" w:oddVBand="0" w:evenVBand="0" w:oddHBand="0" w:evenHBand="0" w:firstRowFirstColumn="0" w:firstRowLastColumn="0" w:lastRowFirstColumn="0" w:lastRowLastColumn="0"/>
            </w:pPr>
            <w:r>
              <w:t>6 598</w:t>
            </w:r>
          </w:p>
        </w:tc>
      </w:tr>
      <w:tr w:rsidR="009C6724" w14:paraId="42BA4530"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8DF7F68" w14:textId="77777777" w:rsidR="00AB205D" w:rsidRDefault="00471A3B">
            <w:r>
              <w:t>Health</w:t>
            </w:r>
          </w:p>
        </w:tc>
        <w:tc>
          <w:tcPr>
            <w:tcW w:w="794" w:type="dxa"/>
          </w:tcPr>
          <w:p w14:paraId="712793D1" w14:textId="77777777" w:rsidR="00AB205D" w:rsidRDefault="00471A3B">
            <w:pPr>
              <w:cnfStyle w:val="000000000000" w:firstRow="0" w:lastRow="0" w:firstColumn="0" w:lastColumn="0" w:oddVBand="0" w:evenVBand="0" w:oddHBand="0" w:evenHBand="0" w:firstRowFirstColumn="0" w:firstRowLastColumn="0" w:lastRowFirstColumn="0" w:lastRowLastColumn="0"/>
            </w:pPr>
            <w:r>
              <w:t>26 177</w:t>
            </w:r>
          </w:p>
        </w:tc>
        <w:tc>
          <w:tcPr>
            <w:tcW w:w="794" w:type="dxa"/>
          </w:tcPr>
          <w:p w14:paraId="165EAD5E" w14:textId="77777777" w:rsidR="00AB205D" w:rsidRDefault="00471A3B">
            <w:pPr>
              <w:cnfStyle w:val="000000000000" w:firstRow="0" w:lastRow="0" w:firstColumn="0" w:lastColumn="0" w:oddVBand="0" w:evenVBand="0" w:oddHBand="0" w:evenHBand="0" w:firstRowFirstColumn="0" w:firstRowLastColumn="0" w:lastRowFirstColumn="0" w:lastRowLastColumn="0"/>
            </w:pPr>
            <w:r>
              <w:t>26 828</w:t>
            </w:r>
          </w:p>
        </w:tc>
        <w:tc>
          <w:tcPr>
            <w:tcW w:w="794" w:type="dxa"/>
          </w:tcPr>
          <w:p w14:paraId="492DAD1D" w14:textId="77777777" w:rsidR="00AB205D" w:rsidRDefault="00471A3B">
            <w:pPr>
              <w:cnfStyle w:val="000000000000" w:firstRow="0" w:lastRow="0" w:firstColumn="0" w:lastColumn="0" w:oddVBand="0" w:evenVBand="0" w:oddHBand="0" w:evenHBand="0" w:firstRowFirstColumn="0" w:firstRowLastColumn="0" w:lastRowFirstColumn="0" w:lastRowLastColumn="0"/>
            </w:pPr>
            <w:r>
              <w:t>27 945</w:t>
            </w:r>
          </w:p>
        </w:tc>
        <w:tc>
          <w:tcPr>
            <w:tcW w:w="794" w:type="dxa"/>
          </w:tcPr>
          <w:p w14:paraId="785713B0" w14:textId="77777777" w:rsidR="00AB205D" w:rsidRDefault="00471A3B">
            <w:pPr>
              <w:cnfStyle w:val="000000000000" w:firstRow="0" w:lastRow="0" w:firstColumn="0" w:lastColumn="0" w:oddVBand="0" w:evenVBand="0" w:oddHBand="0" w:evenHBand="0" w:firstRowFirstColumn="0" w:firstRowLastColumn="0" w:lastRowFirstColumn="0" w:lastRowLastColumn="0"/>
            </w:pPr>
            <w:r>
              <w:t>28 288</w:t>
            </w:r>
          </w:p>
        </w:tc>
        <w:tc>
          <w:tcPr>
            <w:tcW w:w="794" w:type="dxa"/>
          </w:tcPr>
          <w:p w14:paraId="3F9B4531" w14:textId="77777777" w:rsidR="00AB205D" w:rsidRDefault="00471A3B">
            <w:pPr>
              <w:cnfStyle w:val="000000000000" w:firstRow="0" w:lastRow="0" w:firstColumn="0" w:lastColumn="0" w:oddVBand="0" w:evenVBand="0" w:oddHBand="0" w:evenHBand="0" w:firstRowFirstColumn="0" w:firstRowLastColumn="0" w:lastRowFirstColumn="0" w:lastRowLastColumn="0"/>
            </w:pPr>
            <w:r>
              <w:t>30 346</w:t>
            </w:r>
          </w:p>
        </w:tc>
      </w:tr>
      <w:tr w:rsidR="009C6724" w14:paraId="6280EF7B"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7EFD1AD9" w14:textId="77777777" w:rsidR="00AB205D" w:rsidRDefault="00471A3B">
            <w:r>
              <w:t>Recreation, culture and religion</w:t>
            </w:r>
          </w:p>
        </w:tc>
        <w:tc>
          <w:tcPr>
            <w:tcW w:w="794" w:type="dxa"/>
          </w:tcPr>
          <w:p w14:paraId="4EFC03EC" w14:textId="77777777" w:rsidR="00AB205D" w:rsidRDefault="00471A3B">
            <w:pPr>
              <w:cnfStyle w:val="000000000000" w:firstRow="0" w:lastRow="0" w:firstColumn="0" w:lastColumn="0" w:oddVBand="0" w:evenVBand="0" w:oddHBand="0" w:evenHBand="0" w:firstRowFirstColumn="0" w:firstRowLastColumn="0" w:lastRowFirstColumn="0" w:lastRowLastColumn="0"/>
            </w:pPr>
            <w:r>
              <w:t>8 689</w:t>
            </w:r>
          </w:p>
        </w:tc>
        <w:tc>
          <w:tcPr>
            <w:tcW w:w="794" w:type="dxa"/>
          </w:tcPr>
          <w:p w14:paraId="352F4FC6" w14:textId="77777777" w:rsidR="00AB205D" w:rsidRDefault="00471A3B">
            <w:pPr>
              <w:cnfStyle w:val="000000000000" w:firstRow="0" w:lastRow="0" w:firstColumn="0" w:lastColumn="0" w:oddVBand="0" w:evenVBand="0" w:oddHBand="0" w:evenHBand="0" w:firstRowFirstColumn="0" w:firstRowLastColumn="0" w:lastRowFirstColumn="0" w:lastRowLastColumn="0"/>
            </w:pPr>
            <w:r>
              <w:t>8 646</w:t>
            </w:r>
          </w:p>
        </w:tc>
        <w:tc>
          <w:tcPr>
            <w:tcW w:w="794" w:type="dxa"/>
          </w:tcPr>
          <w:p w14:paraId="73142D01" w14:textId="77777777" w:rsidR="00AB205D" w:rsidRDefault="00471A3B">
            <w:pPr>
              <w:cnfStyle w:val="000000000000" w:firstRow="0" w:lastRow="0" w:firstColumn="0" w:lastColumn="0" w:oddVBand="0" w:evenVBand="0" w:oddHBand="0" w:evenHBand="0" w:firstRowFirstColumn="0" w:firstRowLastColumn="0" w:lastRowFirstColumn="0" w:lastRowLastColumn="0"/>
            </w:pPr>
            <w:r>
              <w:t>8 754</w:t>
            </w:r>
          </w:p>
        </w:tc>
        <w:tc>
          <w:tcPr>
            <w:tcW w:w="794" w:type="dxa"/>
          </w:tcPr>
          <w:p w14:paraId="680F638A" w14:textId="77777777" w:rsidR="00AB205D" w:rsidRDefault="00471A3B">
            <w:pPr>
              <w:cnfStyle w:val="000000000000" w:firstRow="0" w:lastRow="0" w:firstColumn="0" w:lastColumn="0" w:oddVBand="0" w:evenVBand="0" w:oddHBand="0" w:evenHBand="0" w:firstRowFirstColumn="0" w:firstRowLastColumn="0" w:lastRowFirstColumn="0" w:lastRowLastColumn="0"/>
            </w:pPr>
            <w:r>
              <w:t>8 939</w:t>
            </w:r>
          </w:p>
        </w:tc>
        <w:tc>
          <w:tcPr>
            <w:tcW w:w="794" w:type="dxa"/>
          </w:tcPr>
          <w:p w14:paraId="316A9FCB" w14:textId="77777777" w:rsidR="00AB205D" w:rsidRDefault="00471A3B">
            <w:pPr>
              <w:cnfStyle w:val="000000000000" w:firstRow="0" w:lastRow="0" w:firstColumn="0" w:lastColumn="0" w:oddVBand="0" w:evenVBand="0" w:oddHBand="0" w:evenHBand="0" w:firstRowFirstColumn="0" w:firstRowLastColumn="0" w:lastRowFirstColumn="0" w:lastRowLastColumn="0"/>
            </w:pPr>
            <w:r>
              <w:t>9 088</w:t>
            </w:r>
          </w:p>
        </w:tc>
      </w:tr>
      <w:tr w:rsidR="009C6724" w14:paraId="5AF532BF"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07703F7E" w14:textId="77777777" w:rsidR="00AB205D" w:rsidRDefault="00471A3B">
            <w:r>
              <w:t>Education</w:t>
            </w:r>
          </w:p>
        </w:tc>
        <w:tc>
          <w:tcPr>
            <w:tcW w:w="794" w:type="dxa"/>
          </w:tcPr>
          <w:p w14:paraId="78407746" w14:textId="77777777" w:rsidR="00AB205D" w:rsidRDefault="00471A3B">
            <w:pPr>
              <w:cnfStyle w:val="000000000000" w:firstRow="0" w:lastRow="0" w:firstColumn="0" w:lastColumn="0" w:oddVBand="0" w:evenVBand="0" w:oddHBand="0" w:evenHBand="0" w:firstRowFirstColumn="0" w:firstRowLastColumn="0" w:lastRowFirstColumn="0" w:lastRowLastColumn="0"/>
            </w:pPr>
            <w:r>
              <w:t>45 695</w:t>
            </w:r>
          </w:p>
        </w:tc>
        <w:tc>
          <w:tcPr>
            <w:tcW w:w="794" w:type="dxa"/>
          </w:tcPr>
          <w:p w14:paraId="5C2CA29A" w14:textId="77777777" w:rsidR="00AB205D" w:rsidRDefault="00471A3B">
            <w:pPr>
              <w:cnfStyle w:val="000000000000" w:firstRow="0" w:lastRow="0" w:firstColumn="0" w:lastColumn="0" w:oddVBand="0" w:evenVBand="0" w:oddHBand="0" w:evenHBand="0" w:firstRowFirstColumn="0" w:firstRowLastColumn="0" w:lastRowFirstColumn="0" w:lastRowLastColumn="0"/>
            </w:pPr>
            <w:r>
              <w:t>46 037</w:t>
            </w:r>
          </w:p>
        </w:tc>
        <w:tc>
          <w:tcPr>
            <w:tcW w:w="794" w:type="dxa"/>
          </w:tcPr>
          <w:p w14:paraId="3766D69F" w14:textId="77777777" w:rsidR="00AB205D" w:rsidRDefault="00471A3B">
            <w:pPr>
              <w:cnfStyle w:val="000000000000" w:firstRow="0" w:lastRow="0" w:firstColumn="0" w:lastColumn="0" w:oddVBand="0" w:evenVBand="0" w:oddHBand="0" w:evenHBand="0" w:firstRowFirstColumn="0" w:firstRowLastColumn="0" w:lastRowFirstColumn="0" w:lastRowLastColumn="0"/>
            </w:pPr>
            <w:r>
              <w:t>47 199</w:t>
            </w:r>
          </w:p>
        </w:tc>
        <w:tc>
          <w:tcPr>
            <w:tcW w:w="794" w:type="dxa"/>
          </w:tcPr>
          <w:p w14:paraId="7F446215" w14:textId="77777777" w:rsidR="00AB205D" w:rsidRDefault="00471A3B">
            <w:pPr>
              <w:cnfStyle w:val="000000000000" w:firstRow="0" w:lastRow="0" w:firstColumn="0" w:lastColumn="0" w:oddVBand="0" w:evenVBand="0" w:oddHBand="0" w:evenHBand="0" w:firstRowFirstColumn="0" w:firstRowLastColumn="0" w:lastRowFirstColumn="0" w:lastRowLastColumn="0"/>
            </w:pPr>
            <w:r>
              <w:t>48 170</w:t>
            </w:r>
          </w:p>
        </w:tc>
        <w:tc>
          <w:tcPr>
            <w:tcW w:w="794" w:type="dxa"/>
          </w:tcPr>
          <w:p w14:paraId="7D73B50A" w14:textId="77777777" w:rsidR="00AB205D" w:rsidRDefault="00471A3B">
            <w:pPr>
              <w:cnfStyle w:val="000000000000" w:firstRow="0" w:lastRow="0" w:firstColumn="0" w:lastColumn="0" w:oddVBand="0" w:evenVBand="0" w:oddHBand="0" w:evenHBand="0" w:firstRowFirstColumn="0" w:firstRowLastColumn="0" w:lastRowFirstColumn="0" w:lastRowLastColumn="0"/>
            </w:pPr>
            <w:r>
              <w:t>55 141</w:t>
            </w:r>
          </w:p>
        </w:tc>
      </w:tr>
      <w:tr w:rsidR="009C6724" w14:paraId="0BA24BBA"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0BA8BBCE" w14:textId="77777777" w:rsidR="00AB205D" w:rsidRDefault="00471A3B">
            <w:r>
              <w:t>Social protection</w:t>
            </w:r>
          </w:p>
        </w:tc>
        <w:tc>
          <w:tcPr>
            <w:tcW w:w="794" w:type="dxa"/>
          </w:tcPr>
          <w:p w14:paraId="63398F52" w14:textId="77777777" w:rsidR="00AB205D" w:rsidRDefault="00471A3B">
            <w:pPr>
              <w:cnfStyle w:val="000000000000" w:firstRow="0" w:lastRow="0" w:firstColumn="0" w:lastColumn="0" w:oddVBand="0" w:evenVBand="0" w:oddHBand="0" w:evenHBand="0" w:firstRowFirstColumn="0" w:firstRowLastColumn="0" w:lastRowFirstColumn="0" w:lastRowLastColumn="0"/>
            </w:pPr>
            <w:r>
              <w:t>2 671</w:t>
            </w:r>
          </w:p>
        </w:tc>
        <w:tc>
          <w:tcPr>
            <w:tcW w:w="794" w:type="dxa"/>
          </w:tcPr>
          <w:p w14:paraId="323C338D" w14:textId="77777777" w:rsidR="00AB205D" w:rsidRDefault="00471A3B">
            <w:pPr>
              <w:cnfStyle w:val="000000000000" w:firstRow="0" w:lastRow="0" w:firstColumn="0" w:lastColumn="0" w:oddVBand="0" w:evenVBand="0" w:oddHBand="0" w:evenHBand="0" w:firstRowFirstColumn="0" w:firstRowLastColumn="0" w:lastRowFirstColumn="0" w:lastRowLastColumn="0"/>
            </w:pPr>
            <w:r>
              <w:t>2 686</w:t>
            </w:r>
          </w:p>
        </w:tc>
        <w:tc>
          <w:tcPr>
            <w:tcW w:w="794" w:type="dxa"/>
          </w:tcPr>
          <w:p w14:paraId="4A927E3D" w14:textId="77777777" w:rsidR="00AB205D" w:rsidRDefault="00471A3B">
            <w:pPr>
              <w:cnfStyle w:val="000000000000" w:firstRow="0" w:lastRow="0" w:firstColumn="0" w:lastColumn="0" w:oddVBand="0" w:evenVBand="0" w:oddHBand="0" w:evenHBand="0" w:firstRowFirstColumn="0" w:firstRowLastColumn="0" w:lastRowFirstColumn="0" w:lastRowLastColumn="0"/>
            </w:pPr>
            <w:r>
              <w:t>2 685</w:t>
            </w:r>
          </w:p>
        </w:tc>
        <w:tc>
          <w:tcPr>
            <w:tcW w:w="794" w:type="dxa"/>
          </w:tcPr>
          <w:p w14:paraId="7101D814" w14:textId="77777777" w:rsidR="00AB205D" w:rsidRDefault="00471A3B">
            <w:pPr>
              <w:cnfStyle w:val="000000000000" w:firstRow="0" w:lastRow="0" w:firstColumn="0" w:lastColumn="0" w:oddVBand="0" w:evenVBand="0" w:oddHBand="0" w:evenHBand="0" w:firstRowFirstColumn="0" w:firstRowLastColumn="0" w:lastRowFirstColumn="0" w:lastRowLastColumn="0"/>
            </w:pPr>
            <w:r>
              <w:t>2 680</w:t>
            </w:r>
          </w:p>
        </w:tc>
        <w:tc>
          <w:tcPr>
            <w:tcW w:w="794" w:type="dxa"/>
          </w:tcPr>
          <w:p w14:paraId="6ECB6303" w14:textId="77777777" w:rsidR="00AB205D" w:rsidRDefault="00471A3B">
            <w:pPr>
              <w:cnfStyle w:val="000000000000" w:firstRow="0" w:lastRow="0" w:firstColumn="0" w:lastColumn="0" w:oddVBand="0" w:evenVBand="0" w:oddHBand="0" w:evenHBand="0" w:firstRowFirstColumn="0" w:firstRowLastColumn="0" w:lastRowFirstColumn="0" w:lastRowLastColumn="0"/>
            </w:pPr>
            <w:r>
              <w:t>2 967</w:t>
            </w:r>
          </w:p>
        </w:tc>
      </w:tr>
      <w:tr w:rsidR="009C6724" w14:paraId="7CEAE0D2"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6C3FC5C1" w14:textId="77777777" w:rsidR="00AB205D" w:rsidRDefault="00471A3B">
            <w:r>
              <w:t>Transport</w:t>
            </w:r>
          </w:p>
        </w:tc>
        <w:tc>
          <w:tcPr>
            <w:tcW w:w="794" w:type="dxa"/>
          </w:tcPr>
          <w:p w14:paraId="65927D3D" w14:textId="77777777" w:rsidR="00AB205D" w:rsidRDefault="00471A3B">
            <w:pPr>
              <w:cnfStyle w:val="000000000000" w:firstRow="0" w:lastRow="0" w:firstColumn="0" w:lastColumn="0" w:oddVBand="0" w:evenVBand="0" w:oddHBand="0" w:evenHBand="0" w:firstRowFirstColumn="0" w:firstRowLastColumn="0" w:lastRowFirstColumn="0" w:lastRowLastColumn="0"/>
            </w:pPr>
            <w:r>
              <w:t>145 059</w:t>
            </w:r>
          </w:p>
        </w:tc>
        <w:tc>
          <w:tcPr>
            <w:tcW w:w="794" w:type="dxa"/>
          </w:tcPr>
          <w:p w14:paraId="3FDB7E61" w14:textId="77777777" w:rsidR="00AB205D" w:rsidRDefault="00471A3B">
            <w:pPr>
              <w:cnfStyle w:val="000000000000" w:firstRow="0" w:lastRow="0" w:firstColumn="0" w:lastColumn="0" w:oddVBand="0" w:evenVBand="0" w:oddHBand="0" w:evenHBand="0" w:firstRowFirstColumn="0" w:firstRowLastColumn="0" w:lastRowFirstColumn="0" w:lastRowLastColumn="0"/>
            </w:pPr>
            <w:r>
              <w:t>146 801</w:t>
            </w:r>
          </w:p>
        </w:tc>
        <w:tc>
          <w:tcPr>
            <w:tcW w:w="794" w:type="dxa"/>
          </w:tcPr>
          <w:p w14:paraId="628C1452" w14:textId="77777777" w:rsidR="00AB205D" w:rsidRDefault="00471A3B">
            <w:pPr>
              <w:cnfStyle w:val="000000000000" w:firstRow="0" w:lastRow="0" w:firstColumn="0" w:lastColumn="0" w:oddVBand="0" w:evenVBand="0" w:oddHBand="0" w:evenHBand="0" w:firstRowFirstColumn="0" w:firstRowLastColumn="0" w:lastRowFirstColumn="0" w:lastRowLastColumn="0"/>
            </w:pPr>
            <w:r>
              <w:t>164 254</w:t>
            </w:r>
          </w:p>
        </w:tc>
        <w:tc>
          <w:tcPr>
            <w:tcW w:w="794" w:type="dxa"/>
          </w:tcPr>
          <w:p w14:paraId="32F479C3" w14:textId="77777777" w:rsidR="00AB205D" w:rsidRDefault="00471A3B">
            <w:pPr>
              <w:cnfStyle w:val="000000000000" w:firstRow="0" w:lastRow="0" w:firstColumn="0" w:lastColumn="0" w:oddVBand="0" w:evenVBand="0" w:oddHBand="0" w:evenHBand="0" w:firstRowFirstColumn="0" w:firstRowLastColumn="0" w:lastRowFirstColumn="0" w:lastRowLastColumn="0"/>
            </w:pPr>
            <w:r>
              <w:t>151 711</w:t>
            </w:r>
          </w:p>
        </w:tc>
        <w:tc>
          <w:tcPr>
            <w:tcW w:w="794" w:type="dxa"/>
          </w:tcPr>
          <w:p w14:paraId="67EFFDDC" w14:textId="77777777" w:rsidR="00AB205D" w:rsidRDefault="00471A3B">
            <w:pPr>
              <w:cnfStyle w:val="000000000000" w:firstRow="0" w:lastRow="0" w:firstColumn="0" w:lastColumn="0" w:oddVBand="0" w:evenVBand="0" w:oddHBand="0" w:evenHBand="0" w:firstRowFirstColumn="0" w:firstRowLastColumn="0" w:lastRowFirstColumn="0" w:lastRowLastColumn="0"/>
            </w:pPr>
            <w:r>
              <w:t>155 173</w:t>
            </w:r>
          </w:p>
        </w:tc>
      </w:tr>
      <w:tr w:rsidR="009C6724" w14:paraId="293B5727"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59BFDAD0" w14:textId="77777777" w:rsidR="00AB205D" w:rsidRDefault="00471A3B">
            <w:r>
              <w:t>Not allocated by function</w:t>
            </w:r>
            <w:r>
              <w:rPr>
                <w:vertAlign w:val="superscript"/>
              </w:rPr>
              <w:t xml:space="preserve"> (a)</w:t>
            </w:r>
          </w:p>
        </w:tc>
        <w:tc>
          <w:tcPr>
            <w:tcW w:w="794" w:type="dxa"/>
            <w:tcBorders>
              <w:bottom w:val="single" w:sz="6" w:space="0" w:color="auto"/>
            </w:tcBorders>
          </w:tcPr>
          <w:p w14:paraId="303A4796" w14:textId="77777777" w:rsidR="00AB205D" w:rsidRDefault="00471A3B">
            <w:pPr>
              <w:cnfStyle w:val="000000000000" w:firstRow="0" w:lastRow="0" w:firstColumn="0" w:lastColumn="0" w:oddVBand="0" w:evenVBand="0" w:oddHBand="0" w:evenHBand="0" w:firstRowFirstColumn="0" w:firstRowLastColumn="0" w:lastRowFirstColumn="0" w:lastRowLastColumn="0"/>
            </w:pPr>
            <w:r>
              <w:t>135 722</w:t>
            </w:r>
          </w:p>
        </w:tc>
        <w:tc>
          <w:tcPr>
            <w:tcW w:w="794" w:type="dxa"/>
            <w:tcBorders>
              <w:bottom w:val="single" w:sz="6" w:space="0" w:color="auto"/>
            </w:tcBorders>
          </w:tcPr>
          <w:p w14:paraId="46D92028" w14:textId="77777777" w:rsidR="00AB205D" w:rsidRDefault="00471A3B">
            <w:pPr>
              <w:cnfStyle w:val="000000000000" w:firstRow="0" w:lastRow="0" w:firstColumn="0" w:lastColumn="0" w:oddVBand="0" w:evenVBand="0" w:oddHBand="0" w:evenHBand="0" w:firstRowFirstColumn="0" w:firstRowLastColumn="0" w:lastRowFirstColumn="0" w:lastRowLastColumn="0"/>
            </w:pPr>
            <w:r>
              <w:t>136 005</w:t>
            </w:r>
          </w:p>
        </w:tc>
        <w:tc>
          <w:tcPr>
            <w:tcW w:w="794" w:type="dxa"/>
            <w:tcBorders>
              <w:bottom w:val="single" w:sz="6" w:space="0" w:color="auto"/>
            </w:tcBorders>
          </w:tcPr>
          <w:p w14:paraId="12B37022" w14:textId="77777777" w:rsidR="00AB205D" w:rsidRDefault="00471A3B">
            <w:pPr>
              <w:cnfStyle w:val="000000000000" w:firstRow="0" w:lastRow="0" w:firstColumn="0" w:lastColumn="0" w:oddVBand="0" w:evenVBand="0" w:oddHBand="0" w:evenHBand="0" w:firstRowFirstColumn="0" w:firstRowLastColumn="0" w:lastRowFirstColumn="0" w:lastRowLastColumn="0"/>
            </w:pPr>
            <w:r>
              <w:t>143 247</w:t>
            </w:r>
          </w:p>
        </w:tc>
        <w:tc>
          <w:tcPr>
            <w:tcW w:w="794" w:type="dxa"/>
            <w:tcBorders>
              <w:bottom w:val="single" w:sz="6" w:space="0" w:color="auto"/>
            </w:tcBorders>
          </w:tcPr>
          <w:p w14:paraId="08E1746A" w14:textId="77777777" w:rsidR="00AB205D" w:rsidRDefault="00471A3B">
            <w:pPr>
              <w:cnfStyle w:val="000000000000" w:firstRow="0" w:lastRow="0" w:firstColumn="0" w:lastColumn="0" w:oddVBand="0" w:evenVBand="0" w:oddHBand="0" w:evenHBand="0" w:firstRowFirstColumn="0" w:firstRowLastColumn="0" w:lastRowFirstColumn="0" w:lastRowLastColumn="0"/>
            </w:pPr>
            <w:r>
              <w:t>156 091</w:t>
            </w:r>
          </w:p>
        </w:tc>
        <w:tc>
          <w:tcPr>
            <w:tcW w:w="794" w:type="dxa"/>
            <w:tcBorders>
              <w:bottom w:val="single" w:sz="6" w:space="0" w:color="auto"/>
            </w:tcBorders>
          </w:tcPr>
          <w:p w14:paraId="4C3BB27E" w14:textId="77777777" w:rsidR="00AB205D" w:rsidRDefault="00471A3B">
            <w:pPr>
              <w:cnfStyle w:val="000000000000" w:firstRow="0" w:lastRow="0" w:firstColumn="0" w:lastColumn="0" w:oddVBand="0" w:evenVBand="0" w:oddHBand="0" w:evenHBand="0" w:firstRowFirstColumn="0" w:firstRowLastColumn="0" w:lastRowFirstColumn="0" w:lastRowLastColumn="0"/>
            </w:pPr>
            <w:r>
              <w:t>165 851</w:t>
            </w:r>
          </w:p>
        </w:tc>
      </w:tr>
      <w:tr w:rsidR="009C6724" w14:paraId="6CD99820"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648B42AA" w14:textId="77777777" w:rsidR="00AB205D" w:rsidRDefault="00471A3B">
            <w:r>
              <w:rPr>
                <w:b/>
              </w:rPr>
              <w:t>Total assets</w:t>
            </w:r>
          </w:p>
        </w:tc>
        <w:tc>
          <w:tcPr>
            <w:tcW w:w="794" w:type="dxa"/>
            <w:tcBorders>
              <w:top w:val="single" w:sz="6" w:space="0" w:color="auto"/>
              <w:bottom w:val="single" w:sz="12" w:space="0" w:color="auto"/>
            </w:tcBorders>
          </w:tcPr>
          <w:p w14:paraId="4D89693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405 200</w:t>
            </w:r>
          </w:p>
        </w:tc>
        <w:tc>
          <w:tcPr>
            <w:tcW w:w="794" w:type="dxa"/>
            <w:tcBorders>
              <w:top w:val="single" w:sz="6" w:space="0" w:color="auto"/>
              <w:bottom w:val="single" w:sz="12" w:space="0" w:color="auto"/>
            </w:tcBorders>
          </w:tcPr>
          <w:p w14:paraId="2B97688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408 155</w:t>
            </w:r>
          </w:p>
        </w:tc>
        <w:tc>
          <w:tcPr>
            <w:tcW w:w="794" w:type="dxa"/>
            <w:tcBorders>
              <w:top w:val="single" w:sz="6" w:space="0" w:color="auto"/>
              <w:bottom w:val="single" w:sz="12" w:space="0" w:color="auto"/>
            </w:tcBorders>
          </w:tcPr>
          <w:p w14:paraId="6A9210A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438 144</w:t>
            </w:r>
          </w:p>
        </w:tc>
        <w:tc>
          <w:tcPr>
            <w:tcW w:w="794" w:type="dxa"/>
            <w:tcBorders>
              <w:top w:val="single" w:sz="6" w:space="0" w:color="auto"/>
              <w:bottom w:val="single" w:sz="12" w:space="0" w:color="auto"/>
            </w:tcBorders>
          </w:tcPr>
          <w:p w14:paraId="0095E26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441 689</w:t>
            </w:r>
          </w:p>
        </w:tc>
        <w:tc>
          <w:tcPr>
            <w:tcW w:w="794" w:type="dxa"/>
            <w:tcBorders>
              <w:top w:val="single" w:sz="6" w:space="0" w:color="auto"/>
              <w:bottom w:val="single" w:sz="12" w:space="0" w:color="auto"/>
            </w:tcBorders>
          </w:tcPr>
          <w:p w14:paraId="111BA6C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464 282</w:t>
            </w:r>
          </w:p>
        </w:tc>
      </w:tr>
    </w:tbl>
    <w:p w14:paraId="72ADF0AE" w14:textId="77777777" w:rsidR="00AB205D" w:rsidRPr="003A1BED" w:rsidRDefault="00471A3B">
      <w:pPr>
        <w:pStyle w:val="Note"/>
      </w:pPr>
      <w:r w:rsidRPr="003A1BED">
        <w:t>Note:</w:t>
      </w:r>
    </w:p>
    <w:p w14:paraId="15F73EC5" w14:textId="77777777" w:rsidR="00AB205D" w:rsidRPr="003A1BED" w:rsidRDefault="00471A3B">
      <w:pPr>
        <w:pStyle w:val="Note"/>
      </w:pPr>
      <w:r w:rsidRPr="003A1BED">
        <w:t>(a)</w:t>
      </w:r>
      <w:r w:rsidRPr="003A1BED">
        <w:tab/>
        <w:t xml:space="preserve">Represents financial assets </w:t>
      </w:r>
      <w:r>
        <w:t>that</w:t>
      </w:r>
      <w:r w:rsidRPr="003A1BED">
        <w:t xml:space="preserve"> are not able to be allocated by </w:t>
      </w:r>
      <w:r>
        <w:t>function</w:t>
      </w:r>
      <w:r w:rsidRPr="003A1BED">
        <w:t>. This mainly includes balances relating to the general government sector’s investment in other sector entities.</w:t>
      </w:r>
    </w:p>
    <w:p w14:paraId="492FD346" w14:textId="77777777" w:rsidR="00AB205D" w:rsidRDefault="00471A3B">
      <w:pPr>
        <w:pStyle w:val="Heading2"/>
        <w:pageBreakBefore/>
        <w:spacing w:before="0"/>
        <w:sectPr w:rsidR="00AB205D" w:rsidSect="00570639">
          <w:headerReference w:type="even" r:id="rId82"/>
          <w:headerReference w:type="default" r:id="rId83"/>
          <w:footerReference w:type="even" r:id="rId84"/>
          <w:footerReference w:type="default" r:id="rId85"/>
          <w:headerReference w:type="first" r:id="rId86"/>
          <w:footerReference w:type="first" r:id="rId87"/>
          <w:type w:val="continuous"/>
          <w:pgSz w:w="9979" w:h="14175" w:code="34"/>
          <w:pgMar w:top="1134" w:right="1134" w:bottom="1134" w:left="1134" w:header="624" w:footer="567" w:gutter="0"/>
          <w:cols w:space="708"/>
          <w:docGrid w:linePitch="360"/>
        </w:sectPr>
      </w:pPr>
      <w:bookmarkStart w:id="67" w:name="Section_5"/>
      <w:bookmarkEnd w:id="61"/>
      <w:r w:rsidRPr="005D1255">
        <w:lastRenderedPageBreak/>
        <w:t>Financing state operations</w:t>
      </w:r>
    </w:p>
    <w:p w14:paraId="4AC8F7C0" w14:textId="77777777" w:rsidR="00AB205D" w:rsidRPr="00FD555B" w:rsidRDefault="00471A3B">
      <w:pPr>
        <w:pStyle w:val="Heading30"/>
      </w:pPr>
      <w:r w:rsidRPr="003A1BED">
        <w:t>Introduction</w:t>
      </w:r>
    </w:p>
    <w:p w14:paraId="1AD559FE" w14:textId="77777777" w:rsidR="00AB205D" w:rsidRDefault="00471A3B">
      <w:r>
        <w:t xml:space="preserve">State </w:t>
      </w:r>
      <w:r w:rsidRPr="005D1255">
        <w:t>operations</w:t>
      </w:r>
      <w:r>
        <w:t xml:space="preserve"> are financed through a variety of means, including surplus cash flows from operating activities, asset recycling, advances and borrowings.</w:t>
      </w:r>
    </w:p>
    <w:p w14:paraId="05EA2591" w14:textId="77777777" w:rsidR="00AB205D" w:rsidRDefault="00471A3B">
      <w:r>
        <w:t xml:space="preserve">This </w:t>
      </w:r>
      <w:r w:rsidRPr="005D1255">
        <w:t>section</w:t>
      </w:r>
      <w:r>
        <w:t xml:space="preserve"> provides information on the balances related to the financing of the general government sector’s operations.</w:t>
      </w:r>
    </w:p>
    <w:p w14:paraId="02AFD950" w14:textId="77777777" w:rsidR="00AB205D" w:rsidRPr="00FD555B" w:rsidRDefault="00471A3B">
      <w:pPr>
        <w:pStyle w:val="Heading30"/>
      </w:pPr>
      <w:r>
        <w:br w:type="column"/>
      </w:r>
      <w:r w:rsidRPr="003A1BED">
        <w:t>Structure</w:t>
      </w:r>
    </w:p>
    <w:p w14:paraId="2F3076EE" w14:textId="3AFE7744" w:rsidR="00AB205D" w:rsidRDefault="00471A3B">
      <w:pPr>
        <w:pStyle w:val="TOC9"/>
        <w:rPr>
          <w:rFonts w:eastAsiaTheme="minorEastAsia"/>
          <w:noProof/>
          <w:sz w:val="22"/>
          <w:lang w:eastAsia="en-AU"/>
        </w:rPr>
      </w:pPr>
      <w:r w:rsidRPr="005D1255">
        <w:rPr>
          <w:spacing w:val="-2"/>
        </w:rPr>
        <w:fldChar w:fldCharType="begin"/>
      </w:r>
      <w:r w:rsidRPr="005D1255">
        <w:instrText xml:space="preserve"> TOC \h \z \t "Heading 3 </w:instrText>
      </w:r>
      <w:r>
        <w:instrText>[</w:instrText>
      </w:r>
      <w:r w:rsidRPr="005D1255">
        <w:instrText>#</w:instrText>
      </w:r>
      <w:r>
        <w:instrText>]</w:instrText>
      </w:r>
      <w:r w:rsidRPr="005D1255">
        <w:instrText xml:space="preserve">,9" \b Section_5 \* MERGEFORMAT </w:instrText>
      </w:r>
      <w:r w:rsidRPr="005D1255">
        <w:rPr>
          <w:spacing w:val="-2"/>
        </w:rPr>
        <w:fldChar w:fldCharType="separate"/>
      </w:r>
      <w:hyperlink w:anchor="_Toc150443756" w:history="1">
        <w:r w:rsidRPr="009E436D">
          <w:rPr>
            <w:rStyle w:val="Hyperlink"/>
            <w:noProof/>
          </w:rPr>
          <w:t>4.5.1</w:t>
        </w:r>
        <w:r>
          <w:rPr>
            <w:rFonts w:eastAsiaTheme="minorEastAsia"/>
            <w:noProof/>
            <w:sz w:val="22"/>
            <w:lang w:eastAsia="en-AU"/>
          </w:rPr>
          <w:tab/>
        </w:r>
        <w:r w:rsidRPr="009E436D">
          <w:rPr>
            <w:rStyle w:val="Hyperlink"/>
            <w:noProof/>
          </w:rPr>
          <w:t>Borrowings</w:t>
        </w:r>
        <w:r>
          <w:rPr>
            <w:noProof/>
            <w:webHidden/>
          </w:rPr>
          <w:tab/>
        </w:r>
        <w:r>
          <w:rPr>
            <w:noProof/>
            <w:webHidden/>
          </w:rPr>
          <w:fldChar w:fldCharType="begin"/>
        </w:r>
        <w:r>
          <w:rPr>
            <w:noProof/>
            <w:webHidden/>
          </w:rPr>
          <w:instrText xml:space="preserve"> PAGEREF _Toc150443756 \h </w:instrText>
        </w:r>
        <w:r>
          <w:rPr>
            <w:noProof/>
            <w:webHidden/>
          </w:rPr>
        </w:r>
        <w:r>
          <w:rPr>
            <w:noProof/>
            <w:webHidden/>
          </w:rPr>
          <w:fldChar w:fldCharType="separate"/>
        </w:r>
        <w:r w:rsidR="00315D9A">
          <w:rPr>
            <w:noProof/>
            <w:webHidden/>
          </w:rPr>
          <w:t>71</w:t>
        </w:r>
        <w:r>
          <w:rPr>
            <w:noProof/>
            <w:webHidden/>
          </w:rPr>
          <w:fldChar w:fldCharType="end"/>
        </w:r>
      </w:hyperlink>
    </w:p>
    <w:p w14:paraId="714F4A06" w14:textId="5743AFED" w:rsidR="00AB205D" w:rsidRDefault="00000000">
      <w:pPr>
        <w:pStyle w:val="TOC9"/>
        <w:rPr>
          <w:rFonts w:eastAsiaTheme="minorEastAsia"/>
          <w:noProof/>
          <w:sz w:val="22"/>
          <w:lang w:eastAsia="en-AU"/>
        </w:rPr>
      </w:pPr>
      <w:hyperlink w:anchor="_Toc150443757" w:history="1">
        <w:r w:rsidR="00471A3B" w:rsidRPr="009E436D">
          <w:rPr>
            <w:rStyle w:val="Hyperlink"/>
            <w:noProof/>
          </w:rPr>
          <w:t>4.5.2</w:t>
        </w:r>
        <w:r w:rsidR="00471A3B">
          <w:rPr>
            <w:rFonts w:eastAsiaTheme="minorEastAsia"/>
            <w:noProof/>
            <w:sz w:val="22"/>
            <w:lang w:eastAsia="en-AU"/>
          </w:rPr>
          <w:tab/>
        </w:r>
        <w:r w:rsidR="00471A3B" w:rsidRPr="009E436D">
          <w:rPr>
            <w:rStyle w:val="Hyperlink"/>
            <w:noProof/>
          </w:rPr>
          <w:t xml:space="preserve">Advances paid and investments, loans and placements </w:t>
        </w:r>
        <w:r w:rsidR="00471A3B">
          <w:rPr>
            <w:noProof/>
            <w:webHidden/>
          </w:rPr>
          <w:tab/>
        </w:r>
        <w:r w:rsidR="00471A3B">
          <w:rPr>
            <w:noProof/>
            <w:webHidden/>
          </w:rPr>
          <w:fldChar w:fldCharType="begin"/>
        </w:r>
        <w:r w:rsidR="00471A3B">
          <w:rPr>
            <w:noProof/>
            <w:webHidden/>
          </w:rPr>
          <w:instrText xml:space="preserve"> PAGEREF _Toc150443757 \h </w:instrText>
        </w:r>
        <w:r w:rsidR="00471A3B">
          <w:rPr>
            <w:noProof/>
            <w:webHidden/>
          </w:rPr>
        </w:r>
        <w:r w:rsidR="00471A3B">
          <w:rPr>
            <w:noProof/>
            <w:webHidden/>
          </w:rPr>
          <w:fldChar w:fldCharType="separate"/>
        </w:r>
        <w:r w:rsidR="00315D9A">
          <w:rPr>
            <w:noProof/>
            <w:webHidden/>
          </w:rPr>
          <w:t>72</w:t>
        </w:r>
        <w:r w:rsidR="00471A3B">
          <w:rPr>
            <w:noProof/>
            <w:webHidden/>
          </w:rPr>
          <w:fldChar w:fldCharType="end"/>
        </w:r>
      </w:hyperlink>
    </w:p>
    <w:p w14:paraId="09D7B68D" w14:textId="36BFBAAC" w:rsidR="00AB205D" w:rsidRPr="003E3138" w:rsidRDefault="00000000">
      <w:pPr>
        <w:pStyle w:val="TOC9"/>
      </w:pPr>
      <w:hyperlink w:anchor="_Toc150443758" w:history="1">
        <w:r w:rsidR="00471A3B" w:rsidRPr="009E436D">
          <w:rPr>
            <w:rStyle w:val="Hyperlink"/>
            <w:noProof/>
          </w:rPr>
          <w:t>4.5.3</w:t>
        </w:r>
        <w:r w:rsidR="00471A3B">
          <w:rPr>
            <w:rFonts w:eastAsiaTheme="minorEastAsia"/>
            <w:noProof/>
            <w:sz w:val="22"/>
            <w:lang w:eastAsia="en-AU"/>
          </w:rPr>
          <w:tab/>
        </w:r>
        <w:r w:rsidR="00471A3B" w:rsidRPr="009E436D">
          <w:rPr>
            <w:rStyle w:val="Hyperlink"/>
            <w:noProof/>
          </w:rPr>
          <w:t>Interest expense</w:t>
        </w:r>
        <w:r w:rsidR="00471A3B">
          <w:rPr>
            <w:noProof/>
            <w:webHidden/>
          </w:rPr>
          <w:tab/>
        </w:r>
        <w:r w:rsidR="00471A3B">
          <w:rPr>
            <w:noProof/>
            <w:webHidden/>
          </w:rPr>
          <w:fldChar w:fldCharType="begin"/>
        </w:r>
        <w:r w:rsidR="00471A3B">
          <w:rPr>
            <w:noProof/>
            <w:webHidden/>
          </w:rPr>
          <w:instrText xml:space="preserve"> PAGEREF _Toc150443758 \h </w:instrText>
        </w:r>
        <w:r w:rsidR="00471A3B">
          <w:rPr>
            <w:noProof/>
            <w:webHidden/>
          </w:rPr>
        </w:r>
        <w:r w:rsidR="00471A3B">
          <w:rPr>
            <w:noProof/>
            <w:webHidden/>
          </w:rPr>
          <w:fldChar w:fldCharType="separate"/>
        </w:r>
        <w:r w:rsidR="00315D9A">
          <w:rPr>
            <w:noProof/>
            <w:webHidden/>
          </w:rPr>
          <w:t>72</w:t>
        </w:r>
        <w:r w:rsidR="00471A3B">
          <w:rPr>
            <w:noProof/>
            <w:webHidden/>
          </w:rPr>
          <w:fldChar w:fldCharType="end"/>
        </w:r>
      </w:hyperlink>
    </w:p>
    <w:p w14:paraId="33830821" w14:textId="77777777" w:rsidR="00AB205D" w:rsidRDefault="00471A3B">
      <w:pPr>
        <w:sectPr w:rsidR="00AB205D" w:rsidSect="00570639">
          <w:headerReference w:type="even" r:id="rId88"/>
          <w:headerReference w:type="default" r:id="rId89"/>
          <w:footerReference w:type="even" r:id="rId90"/>
          <w:footerReference w:type="default" r:id="rId91"/>
          <w:headerReference w:type="first" r:id="rId92"/>
          <w:footerReference w:type="first" r:id="rId93"/>
          <w:type w:val="continuous"/>
          <w:pgSz w:w="9979" w:h="14175" w:code="34"/>
          <w:pgMar w:top="1134" w:right="1134" w:bottom="1134" w:left="1134" w:header="624" w:footer="567" w:gutter="0"/>
          <w:cols w:num="2" w:space="708"/>
          <w:titlePg/>
          <w:docGrid w:linePitch="360"/>
        </w:sectPr>
      </w:pPr>
      <w:r w:rsidRPr="005D1255">
        <w:fldChar w:fldCharType="end"/>
      </w:r>
    </w:p>
    <w:p w14:paraId="44DBA9B6" w14:textId="77777777" w:rsidR="00AB205D" w:rsidRPr="00BC2EDC" w:rsidRDefault="00471A3B">
      <w:pPr>
        <w:pStyle w:val="Heading3"/>
        <w:rPr>
          <w:sz w:val="21"/>
          <w:szCs w:val="21"/>
        </w:rPr>
      </w:pPr>
      <w:bookmarkStart w:id="68" w:name="_Toc150443756"/>
      <w:r w:rsidRPr="00BC2EDC">
        <w:rPr>
          <w:sz w:val="21"/>
          <w:szCs w:val="21"/>
        </w:rPr>
        <w:t>Borrowings</w:t>
      </w:r>
      <w:r w:rsidRPr="00BC2EDC">
        <w:rPr>
          <w:sz w:val="21"/>
          <w:szCs w:val="21"/>
        </w:rPr>
        <w:tab/>
        <w:t>($ million)</w:t>
      </w:r>
      <w:bookmarkEnd w:id="68"/>
    </w:p>
    <w:tbl>
      <w:tblPr>
        <w:tblStyle w:val="DTFTableNumeric"/>
        <w:tblW w:w="7710" w:type="dxa"/>
        <w:tblLayout w:type="fixed"/>
        <w:tblLook w:val="06A0" w:firstRow="1" w:lastRow="0" w:firstColumn="1" w:lastColumn="0" w:noHBand="1" w:noVBand="1"/>
        <w:tblDescription w:val="Type:DtfTable|Workbook:Rawdata\BudgetUpdate\Budget Update\Financial Statements\SRIMS exports\SRIMS_BU_EFS_BS.xlsx|Table:Borrowings|MergedHeadingRow:1"/>
      </w:tblPr>
      <w:tblGrid>
        <w:gridCol w:w="3740"/>
        <w:gridCol w:w="794"/>
        <w:gridCol w:w="794"/>
        <w:gridCol w:w="794"/>
        <w:gridCol w:w="794"/>
        <w:gridCol w:w="794"/>
      </w:tblGrid>
      <w:tr w:rsidR="009C6724" w14:paraId="1530402F"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3A0A8F26" w14:textId="77777777" w:rsidR="00AB205D" w:rsidRDefault="00AB205D">
            <w:pPr>
              <w:keepNext/>
            </w:pPr>
          </w:p>
        </w:tc>
        <w:tc>
          <w:tcPr>
            <w:tcW w:w="794" w:type="dxa"/>
          </w:tcPr>
          <w:p w14:paraId="42226B16"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br/>
              <w:t>budget</w:t>
            </w:r>
          </w:p>
        </w:tc>
        <w:tc>
          <w:tcPr>
            <w:tcW w:w="794" w:type="dxa"/>
          </w:tcPr>
          <w:p w14:paraId="3D73135E"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br/>
              <w:t>revised</w:t>
            </w:r>
          </w:p>
        </w:tc>
        <w:tc>
          <w:tcPr>
            <w:tcW w:w="794" w:type="dxa"/>
          </w:tcPr>
          <w:p w14:paraId="02BAD7F7"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br/>
              <w:t>estimate</w:t>
            </w:r>
          </w:p>
        </w:tc>
        <w:tc>
          <w:tcPr>
            <w:tcW w:w="794" w:type="dxa"/>
          </w:tcPr>
          <w:p w14:paraId="54FBD7E6"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br/>
              <w:t>estimate</w:t>
            </w:r>
          </w:p>
        </w:tc>
        <w:tc>
          <w:tcPr>
            <w:tcW w:w="794" w:type="dxa"/>
          </w:tcPr>
          <w:p w14:paraId="5C968319"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2027</w:t>
            </w:r>
            <w:r>
              <w:br/>
              <w:t>estimate</w:t>
            </w:r>
          </w:p>
        </w:tc>
      </w:tr>
      <w:tr w:rsidR="009C6724" w14:paraId="653949D1"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771B0657" w14:textId="77777777" w:rsidR="00AB205D" w:rsidRDefault="00471A3B">
            <w:r>
              <w:rPr>
                <w:b/>
              </w:rPr>
              <w:t>Current borrowings</w:t>
            </w:r>
          </w:p>
        </w:tc>
        <w:tc>
          <w:tcPr>
            <w:tcW w:w="794" w:type="dxa"/>
          </w:tcPr>
          <w:p w14:paraId="62CF2B71"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40C2875C"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1CFB130"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17CD2CF9"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542F838"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16A24BF4"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61D1D015" w14:textId="77777777" w:rsidR="00AB205D" w:rsidRDefault="00471A3B">
            <w:r>
              <w:t>Domestic borrowings</w:t>
            </w:r>
          </w:p>
        </w:tc>
        <w:tc>
          <w:tcPr>
            <w:tcW w:w="794" w:type="dxa"/>
          </w:tcPr>
          <w:p w14:paraId="4928AAD1" w14:textId="77777777" w:rsidR="00AB205D" w:rsidRDefault="00471A3B">
            <w:pPr>
              <w:cnfStyle w:val="000000000000" w:firstRow="0" w:lastRow="0" w:firstColumn="0" w:lastColumn="0" w:oddVBand="0" w:evenVBand="0" w:oddHBand="0" w:evenHBand="0" w:firstRowFirstColumn="0" w:firstRowLastColumn="0" w:lastRowFirstColumn="0" w:lastRowLastColumn="0"/>
            </w:pPr>
            <w:r>
              <w:t>13 395</w:t>
            </w:r>
          </w:p>
        </w:tc>
        <w:tc>
          <w:tcPr>
            <w:tcW w:w="794" w:type="dxa"/>
          </w:tcPr>
          <w:p w14:paraId="382DF110" w14:textId="77777777" w:rsidR="00AB205D" w:rsidRDefault="00471A3B">
            <w:pPr>
              <w:cnfStyle w:val="000000000000" w:firstRow="0" w:lastRow="0" w:firstColumn="0" w:lastColumn="0" w:oddVBand="0" w:evenVBand="0" w:oddHBand="0" w:evenHBand="0" w:firstRowFirstColumn="0" w:firstRowLastColumn="0" w:lastRowFirstColumn="0" w:lastRowLastColumn="0"/>
            </w:pPr>
            <w:r>
              <w:t>13 395</w:t>
            </w:r>
          </w:p>
        </w:tc>
        <w:tc>
          <w:tcPr>
            <w:tcW w:w="794" w:type="dxa"/>
          </w:tcPr>
          <w:p w14:paraId="5585C42F" w14:textId="77777777" w:rsidR="00AB205D" w:rsidRDefault="00471A3B">
            <w:pPr>
              <w:cnfStyle w:val="000000000000" w:firstRow="0" w:lastRow="0" w:firstColumn="0" w:lastColumn="0" w:oddVBand="0" w:evenVBand="0" w:oddHBand="0" w:evenHBand="0" w:firstRowFirstColumn="0" w:firstRowLastColumn="0" w:lastRowFirstColumn="0" w:lastRowLastColumn="0"/>
            </w:pPr>
            <w:r>
              <w:t>13 336</w:t>
            </w:r>
          </w:p>
        </w:tc>
        <w:tc>
          <w:tcPr>
            <w:tcW w:w="794" w:type="dxa"/>
          </w:tcPr>
          <w:p w14:paraId="07C422F5" w14:textId="77777777" w:rsidR="00AB205D" w:rsidRDefault="00471A3B">
            <w:pPr>
              <w:cnfStyle w:val="000000000000" w:firstRow="0" w:lastRow="0" w:firstColumn="0" w:lastColumn="0" w:oddVBand="0" w:evenVBand="0" w:oddHBand="0" w:evenHBand="0" w:firstRowFirstColumn="0" w:firstRowLastColumn="0" w:lastRowFirstColumn="0" w:lastRowLastColumn="0"/>
            </w:pPr>
            <w:r>
              <w:t>13 298</w:t>
            </w:r>
          </w:p>
        </w:tc>
        <w:tc>
          <w:tcPr>
            <w:tcW w:w="794" w:type="dxa"/>
          </w:tcPr>
          <w:p w14:paraId="0A7DC95B" w14:textId="77777777" w:rsidR="00AB205D" w:rsidRDefault="00471A3B">
            <w:pPr>
              <w:cnfStyle w:val="000000000000" w:firstRow="0" w:lastRow="0" w:firstColumn="0" w:lastColumn="0" w:oddVBand="0" w:evenVBand="0" w:oddHBand="0" w:evenHBand="0" w:firstRowFirstColumn="0" w:firstRowLastColumn="0" w:lastRowFirstColumn="0" w:lastRowLastColumn="0"/>
            </w:pPr>
            <w:r>
              <w:t>13 270</w:t>
            </w:r>
          </w:p>
        </w:tc>
      </w:tr>
      <w:tr w:rsidR="009C6724" w14:paraId="0EE54E03"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6B488357" w14:textId="77777777" w:rsidR="00AB205D" w:rsidRDefault="00471A3B">
            <w:r>
              <w:t>Lease liabilities</w:t>
            </w:r>
          </w:p>
        </w:tc>
        <w:tc>
          <w:tcPr>
            <w:tcW w:w="794" w:type="dxa"/>
          </w:tcPr>
          <w:p w14:paraId="57E3872E" w14:textId="77777777" w:rsidR="00AB205D" w:rsidRDefault="00471A3B">
            <w:pPr>
              <w:cnfStyle w:val="000000000000" w:firstRow="0" w:lastRow="0" w:firstColumn="0" w:lastColumn="0" w:oddVBand="0" w:evenVBand="0" w:oddHBand="0" w:evenHBand="0" w:firstRowFirstColumn="0" w:firstRowLastColumn="0" w:lastRowFirstColumn="0" w:lastRowLastColumn="0"/>
            </w:pPr>
            <w:r>
              <w:t>669</w:t>
            </w:r>
          </w:p>
        </w:tc>
        <w:tc>
          <w:tcPr>
            <w:tcW w:w="794" w:type="dxa"/>
          </w:tcPr>
          <w:p w14:paraId="4EC5E32D" w14:textId="77777777" w:rsidR="00AB205D" w:rsidRDefault="00471A3B">
            <w:pPr>
              <w:cnfStyle w:val="000000000000" w:firstRow="0" w:lastRow="0" w:firstColumn="0" w:lastColumn="0" w:oddVBand="0" w:evenVBand="0" w:oddHBand="0" w:evenHBand="0" w:firstRowFirstColumn="0" w:firstRowLastColumn="0" w:lastRowFirstColumn="0" w:lastRowLastColumn="0"/>
            </w:pPr>
            <w:r>
              <w:t>671</w:t>
            </w:r>
          </w:p>
        </w:tc>
        <w:tc>
          <w:tcPr>
            <w:tcW w:w="794" w:type="dxa"/>
          </w:tcPr>
          <w:p w14:paraId="18A90BAB" w14:textId="77777777" w:rsidR="00AB205D" w:rsidRDefault="00471A3B">
            <w:pPr>
              <w:cnfStyle w:val="000000000000" w:firstRow="0" w:lastRow="0" w:firstColumn="0" w:lastColumn="0" w:oddVBand="0" w:evenVBand="0" w:oddHBand="0" w:evenHBand="0" w:firstRowFirstColumn="0" w:firstRowLastColumn="0" w:lastRowFirstColumn="0" w:lastRowLastColumn="0"/>
            </w:pPr>
            <w:r>
              <w:t>583</w:t>
            </w:r>
          </w:p>
        </w:tc>
        <w:tc>
          <w:tcPr>
            <w:tcW w:w="794" w:type="dxa"/>
          </w:tcPr>
          <w:p w14:paraId="28315C30" w14:textId="77777777" w:rsidR="00AB205D" w:rsidRDefault="00471A3B">
            <w:pPr>
              <w:cnfStyle w:val="000000000000" w:firstRow="0" w:lastRow="0" w:firstColumn="0" w:lastColumn="0" w:oddVBand="0" w:evenVBand="0" w:oddHBand="0" w:evenHBand="0" w:firstRowFirstColumn="0" w:firstRowLastColumn="0" w:lastRowFirstColumn="0" w:lastRowLastColumn="0"/>
            </w:pPr>
            <w:r>
              <w:t>498</w:t>
            </w:r>
          </w:p>
        </w:tc>
        <w:tc>
          <w:tcPr>
            <w:tcW w:w="794" w:type="dxa"/>
          </w:tcPr>
          <w:p w14:paraId="08AA78B4" w14:textId="77777777" w:rsidR="00AB205D" w:rsidRDefault="00471A3B">
            <w:pPr>
              <w:cnfStyle w:val="000000000000" w:firstRow="0" w:lastRow="0" w:firstColumn="0" w:lastColumn="0" w:oddVBand="0" w:evenVBand="0" w:oddHBand="0" w:evenHBand="0" w:firstRowFirstColumn="0" w:firstRowLastColumn="0" w:lastRowFirstColumn="0" w:lastRowLastColumn="0"/>
            </w:pPr>
            <w:r>
              <w:t>402</w:t>
            </w:r>
          </w:p>
        </w:tc>
      </w:tr>
      <w:tr w:rsidR="009C6724" w14:paraId="03BE2821"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0DEE7A8C" w14:textId="77777777" w:rsidR="00AB205D" w:rsidRDefault="00471A3B">
            <w:r>
              <w:t>Service concession arrangement liabilities</w:t>
            </w:r>
          </w:p>
        </w:tc>
        <w:tc>
          <w:tcPr>
            <w:tcW w:w="794" w:type="dxa"/>
          </w:tcPr>
          <w:p w14:paraId="10DFFBD8" w14:textId="77777777" w:rsidR="00AB205D" w:rsidRDefault="00471A3B">
            <w:pPr>
              <w:cnfStyle w:val="000000000000" w:firstRow="0" w:lastRow="0" w:firstColumn="0" w:lastColumn="0" w:oddVBand="0" w:evenVBand="0" w:oddHBand="0" w:evenHBand="0" w:firstRowFirstColumn="0" w:firstRowLastColumn="0" w:lastRowFirstColumn="0" w:lastRowLastColumn="0"/>
            </w:pPr>
            <w:r>
              <w:t>555</w:t>
            </w:r>
          </w:p>
        </w:tc>
        <w:tc>
          <w:tcPr>
            <w:tcW w:w="794" w:type="dxa"/>
          </w:tcPr>
          <w:p w14:paraId="7BCD3CAC" w14:textId="77777777" w:rsidR="00AB205D" w:rsidRDefault="00471A3B">
            <w:pPr>
              <w:cnfStyle w:val="000000000000" w:firstRow="0" w:lastRow="0" w:firstColumn="0" w:lastColumn="0" w:oddVBand="0" w:evenVBand="0" w:oddHBand="0" w:evenHBand="0" w:firstRowFirstColumn="0" w:firstRowLastColumn="0" w:lastRowFirstColumn="0" w:lastRowLastColumn="0"/>
            </w:pPr>
            <w:r>
              <w:t>555</w:t>
            </w:r>
          </w:p>
        </w:tc>
        <w:tc>
          <w:tcPr>
            <w:tcW w:w="794" w:type="dxa"/>
          </w:tcPr>
          <w:p w14:paraId="0B9D7CF6" w14:textId="77777777" w:rsidR="00AB205D" w:rsidRDefault="00471A3B">
            <w:pPr>
              <w:cnfStyle w:val="000000000000" w:firstRow="0" w:lastRow="0" w:firstColumn="0" w:lastColumn="0" w:oddVBand="0" w:evenVBand="0" w:oddHBand="0" w:evenHBand="0" w:firstRowFirstColumn="0" w:firstRowLastColumn="0" w:lastRowFirstColumn="0" w:lastRowLastColumn="0"/>
            </w:pPr>
            <w:r>
              <w:t>310</w:t>
            </w:r>
          </w:p>
        </w:tc>
        <w:tc>
          <w:tcPr>
            <w:tcW w:w="794" w:type="dxa"/>
          </w:tcPr>
          <w:p w14:paraId="33CFA131" w14:textId="77777777" w:rsidR="00AB205D" w:rsidRDefault="00471A3B">
            <w:pPr>
              <w:cnfStyle w:val="000000000000" w:firstRow="0" w:lastRow="0" w:firstColumn="0" w:lastColumn="0" w:oddVBand="0" w:evenVBand="0" w:oddHBand="0" w:evenHBand="0" w:firstRowFirstColumn="0" w:firstRowLastColumn="0" w:lastRowFirstColumn="0" w:lastRowLastColumn="0"/>
            </w:pPr>
            <w:r>
              <w:t>283</w:t>
            </w:r>
          </w:p>
        </w:tc>
        <w:tc>
          <w:tcPr>
            <w:tcW w:w="794" w:type="dxa"/>
          </w:tcPr>
          <w:p w14:paraId="3F6794A4" w14:textId="77777777" w:rsidR="00AB205D" w:rsidRDefault="00471A3B">
            <w:pPr>
              <w:cnfStyle w:val="000000000000" w:firstRow="0" w:lastRow="0" w:firstColumn="0" w:lastColumn="0" w:oddVBand="0" w:evenVBand="0" w:oddHBand="0" w:evenHBand="0" w:firstRowFirstColumn="0" w:firstRowLastColumn="0" w:lastRowFirstColumn="0" w:lastRowLastColumn="0"/>
            </w:pPr>
            <w:r>
              <w:t>1 455</w:t>
            </w:r>
          </w:p>
        </w:tc>
      </w:tr>
      <w:tr w:rsidR="009C6724" w14:paraId="56B27DB8"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31163795" w14:textId="77777777" w:rsidR="00AB205D" w:rsidRDefault="00471A3B">
            <w:r>
              <w:t>Derivative financial instruments</w:t>
            </w:r>
          </w:p>
        </w:tc>
        <w:tc>
          <w:tcPr>
            <w:tcW w:w="794" w:type="dxa"/>
            <w:tcBorders>
              <w:bottom w:val="single" w:sz="6" w:space="0" w:color="auto"/>
            </w:tcBorders>
          </w:tcPr>
          <w:p w14:paraId="3C5F0E72" w14:textId="77777777" w:rsidR="00AB205D" w:rsidRDefault="00471A3B">
            <w:pPr>
              <w:cnfStyle w:val="000000000000" w:firstRow="0" w:lastRow="0" w:firstColumn="0" w:lastColumn="0" w:oddVBand="0" w:evenVBand="0" w:oddHBand="0" w:evenHBand="0" w:firstRowFirstColumn="0" w:firstRowLastColumn="0" w:lastRowFirstColumn="0" w:lastRowLastColumn="0"/>
            </w:pPr>
            <w:r>
              <w:t>13</w:t>
            </w:r>
          </w:p>
        </w:tc>
        <w:tc>
          <w:tcPr>
            <w:tcW w:w="794" w:type="dxa"/>
            <w:tcBorders>
              <w:bottom w:val="single" w:sz="6" w:space="0" w:color="auto"/>
            </w:tcBorders>
          </w:tcPr>
          <w:p w14:paraId="25B9F18D"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6974624C"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30EBE0AA"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6416B88A"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r>
      <w:tr w:rsidR="009C6724" w14:paraId="46FF0E4E"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188DD1CA" w14:textId="77777777" w:rsidR="00AB205D" w:rsidRDefault="00471A3B">
            <w:r>
              <w:rPr>
                <w:b/>
              </w:rPr>
              <w:t>Total current borrowings</w:t>
            </w:r>
          </w:p>
        </w:tc>
        <w:tc>
          <w:tcPr>
            <w:tcW w:w="794" w:type="dxa"/>
            <w:tcBorders>
              <w:top w:val="single" w:sz="6" w:space="0" w:color="auto"/>
            </w:tcBorders>
          </w:tcPr>
          <w:p w14:paraId="13B5F2F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14 633</w:t>
            </w:r>
          </w:p>
        </w:tc>
        <w:tc>
          <w:tcPr>
            <w:tcW w:w="794" w:type="dxa"/>
            <w:tcBorders>
              <w:top w:val="single" w:sz="6" w:space="0" w:color="auto"/>
            </w:tcBorders>
          </w:tcPr>
          <w:p w14:paraId="463703F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14 621</w:t>
            </w:r>
          </w:p>
        </w:tc>
        <w:tc>
          <w:tcPr>
            <w:tcW w:w="794" w:type="dxa"/>
            <w:tcBorders>
              <w:top w:val="single" w:sz="6" w:space="0" w:color="auto"/>
            </w:tcBorders>
          </w:tcPr>
          <w:p w14:paraId="479FD57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14 229</w:t>
            </w:r>
          </w:p>
        </w:tc>
        <w:tc>
          <w:tcPr>
            <w:tcW w:w="794" w:type="dxa"/>
            <w:tcBorders>
              <w:top w:val="single" w:sz="6" w:space="0" w:color="auto"/>
            </w:tcBorders>
          </w:tcPr>
          <w:p w14:paraId="59CD6C6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14 080</w:t>
            </w:r>
          </w:p>
        </w:tc>
        <w:tc>
          <w:tcPr>
            <w:tcW w:w="794" w:type="dxa"/>
            <w:tcBorders>
              <w:top w:val="single" w:sz="6" w:space="0" w:color="auto"/>
            </w:tcBorders>
          </w:tcPr>
          <w:p w14:paraId="38C3B4E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15 127</w:t>
            </w:r>
          </w:p>
        </w:tc>
      </w:tr>
      <w:tr w:rsidR="009C6724" w14:paraId="1E4A5F78"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1D495C3" w14:textId="77777777" w:rsidR="00AB205D" w:rsidRDefault="00471A3B">
            <w:r>
              <w:rPr>
                <w:b/>
              </w:rPr>
              <w:t>Non</w:t>
            </w:r>
            <w:r>
              <w:rPr>
                <w:b/>
              </w:rPr>
              <w:noBreakHyphen/>
              <w:t>current borrowings</w:t>
            </w:r>
          </w:p>
        </w:tc>
        <w:tc>
          <w:tcPr>
            <w:tcW w:w="794" w:type="dxa"/>
          </w:tcPr>
          <w:p w14:paraId="13822200"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25F0A68"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131EF84C"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26283E26"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70E50DAB"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42344211"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63D4C4C" w14:textId="77777777" w:rsidR="00AB205D" w:rsidRDefault="00471A3B">
            <w:r>
              <w:t>Domestic borrowings</w:t>
            </w:r>
          </w:p>
        </w:tc>
        <w:tc>
          <w:tcPr>
            <w:tcW w:w="794" w:type="dxa"/>
          </w:tcPr>
          <w:p w14:paraId="18A4C0F3" w14:textId="77777777" w:rsidR="00AB205D" w:rsidRDefault="00471A3B">
            <w:pPr>
              <w:cnfStyle w:val="000000000000" w:firstRow="0" w:lastRow="0" w:firstColumn="0" w:lastColumn="0" w:oddVBand="0" w:evenVBand="0" w:oddHBand="0" w:evenHBand="0" w:firstRowFirstColumn="0" w:firstRowLastColumn="0" w:lastRowFirstColumn="0" w:lastRowLastColumn="0"/>
            </w:pPr>
            <w:r>
              <w:t>137 935</w:t>
            </w:r>
          </w:p>
        </w:tc>
        <w:tc>
          <w:tcPr>
            <w:tcW w:w="794" w:type="dxa"/>
          </w:tcPr>
          <w:p w14:paraId="038AECBE" w14:textId="77777777" w:rsidR="00AB205D" w:rsidRDefault="00471A3B">
            <w:pPr>
              <w:cnfStyle w:val="000000000000" w:firstRow="0" w:lastRow="0" w:firstColumn="0" w:lastColumn="0" w:oddVBand="0" w:evenVBand="0" w:oddHBand="0" w:evenHBand="0" w:firstRowFirstColumn="0" w:firstRowLastColumn="0" w:lastRowFirstColumn="0" w:lastRowLastColumn="0"/>
            </w:pPr>
            <w:r>
              <w:t>139 395</w:t>
            </w:r>
          </w:p>
        </w:tc>
        <w:tc>
          <w:tcPr>
            <w:tcW w:w="794" w:type="dxa"/>
          </w:tcPr>
          <w:p w14:paraId="03A8ECED" w14:textId="77777777" w:rsidR="00AB205D" w:rsidRDefault="00471A3B">
            <w:pPr>
              <w:cnfStyle w:val="000000000000" w:firstRow="0" w:lastRow="0" w:firstColumn="0" w:lastColumn="0" w:oddVBand="0" w:evenVBand="0" w:oddHBand="0" w:evenHBand="0" w:firstRowFirstColumn="0" w:firstRowLastColumn="0" w:lastRowFirstColumn="0" w:lastRowLastColumn="0"/>
            </w:pPr>
            <w:r>
              <w:t>160 090</w:t>
            </w:r>
          </w:p>
        </w:tc>
        <w:tc>
          <w:tcPr>
            <w:tcW w:w="794" w:type="dxa"/>
          </w:tcPr>
          <w:p w14:paraId="0295E08C" w14:textId="77777777" w:rsidR="00AB205D" w:rsidRDefault="00471A3B">
            <w:pPr>
              <w:cnfStyle w:val="000000000000" w:firstRow="0" w:lastRow="0" w:firstColumn="0" w:lastColumn="0" w:oddVBand="0" w:evenVBand="0" w:oddHBand="0" w:evenHBand="0" w:firstRowFirstColumn="0" w:firstRowLastColumn="0" w:lastRowFirstColumn="0" w:lastRowLastColumn="0"/>
            </w:pPr>
            <w:r>
              <w:t>176 600</w:t>
            </w:r>
          </w:p>
        </w:tc>
        <w:tc>
          <w:tcPr>
            <w:tcW w:w="794" w:type="dxa"/>
          </w:tcPr>
          <w:p w14:paraId="4AD400EC" w14:textId="77777777" w:rsidR="00AB205D" w:rsidRDefault="00471A3B">
            <w:pPr>
              <w:cnfStyle w:val="000000000000" w:firstRow="0" w:lastRow="0" w:firstColumn="0" w:lastColumn="0" w:oddVBand="0" w:evenVBand="0" w:oddHBand="0" w:evenHBand="0" w:firstRowFirstColumn="0" w:firstRowLastColumn="0" w:lastRowFirstColumn="0" w:lastRowLastColumn="0"/>
            </w:pPr>
            <w:r>
              <w:t>192 044</w:t>
            </w:r>
          </w:p>
        </w:tc>
      </w:tr>
      <w:tr w:rsidR="009C6724" w14:paraId="60541A1E"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69D758F8" w14:textId="77777777" w:rsidR="00AB205D" w:rsidRDefault="00471A3B">
            <w:r>
              <w:t>Lease liabilities</w:t>
            </w:r>
          </w:p>
        </w:tc>
        <w:tc>
          <w:tcPr>
            <w:tcW w:w="794" w:type="dxa"/>
          </w:tcPr>
          <w:p w14:paraId="057D1749" w14:textId="77777777" w:rsidR="00AB205D" w:rsidRDefault="00471A3B">
            <w:pPr>
              <w:cnfStyle w:val="000000000000" w:firstRow="0" w:lastRow="0" w:firstColumn="0" w:lastColumn="0" w:oddVBand="0" w:evenVBand="0" w:oddHBand="0" w:evenHBand="0" w:firstRowFirstColumn="0" w:firstRowLastColumn="0" w:lastRowFirstColumn="0" w:lastRowLastColumn="0"/>
            </w:pPr>
            <w:r>
              <w:t>6 824</w:t>
            </w:r>
          </w:p>
        </w:tc>
        <w:tc>
          <w:tcPr>
            <w:tcW w:w="794" w:type="dxa"/>
          </w:tcPr>
          <w:p w14:paraId="2AF3024B" w14:textId="77777777" w:rsidR="00AB205D" w:rsidRDefault="00471A3B">
            <w:pPr>
              <w:cnfStyle w:val="000000000000" w:firstRow="0" w:lastRow="0" w:firstColumn="0" w:lastColumn="0" w:oddVBand="0" w:evenVBand="0" w:oddHBand="0" w:evenHBand="0" w:firstRowFirstColumn="0" w:firstRowLastColumn="0" w:lastRowFirstColumn="0" w:lastRowLastColumn="0"/>
            </w:pPr>
            <w:r>
              <w:t>7 084</w:t>
            </w:r>
          </w:p>
        </w:tc>
        <w:tc>
          <w:tcPr>
            <w:tcW w:w="794" w:type="dxa"/>
          </w:tcPr>
          <w:p w14:paraId="47ABC89E" w14:textId="77777777" w:rsidR="00AB205D" w:rsidRDefault="00471A3B">
            <w:pPr>
              <w:cnfStyle w:val="000000000000" w:firstRow="0" w:lastRow="0" w:firstColumn="0" w:lastColumn="0" w:oddVBand="0" w:evenVBand="0" w:oddHBand="0" w:evenHBand="0" w:firstRowFirstColumn="0" w:firstRowLastColumn="0" w:lastRowFirstColumn="0" w:lastRowLastColumn="0"/>
            </w:pPr>
            <w:r>
              <w:t>6 578</w:t>
            </w:r>
          </w:p>
        </w:tc>
        <w:tc>
          <w:tcPr>
            <w:tcW w:w="794" w:type="dxa"/>
          </w:tcPr>
          <w:p w14:paraId="243C3948" w14:textId="77777777" w:rsidR="00AB205D" w:rsidRDefault="00471A3B">
            <w:pPr>
              <w:cnfStyle w:val="000000000000" w:firstRow="0" w:lastRow="0" w:firstColumn="0" w:lastColumn="0" w:oddVBand="0" w:evenVBand="0" w:oddHBand="0" w:evenHBand="0" w:firstRowFirstColumn="0" w:firstRowLastColumn="0" w:lastRowFirstColumn="0" w:lastRowLastColumn="0"/>
            </w:pPr>
            <w:r>
              <w:t>6 133</w:t>
            </w:r>
          </w:p>
        </w:tc>
        <w:tc>
          <w:tcPr>
            <w:tcW w:w="794" w:type="dxa"/>
          </w:tcPr>
          <w:p w14:paraId="356E3781" w14:textId="77777777" w:rsidR="00AB205D" w:rsidRDefault="00471A3B">
            <w:pPr>
              <w:cnfStyle w:val="000000000000" w:firstRow="0" w:lastRow="0" w:firstColumn="0" w:lastColumn="0" w:oddVBand="0" w:evenVBand="0" w:oddHBand="0" w:evenHBand="0" w:firstRowFirstColumn="0" w:firstRowLastColumn="0" w:lastRowFirstColumn="0" w:lastRowLastColumn="0"/>
            </w:pPr>
            <w:r>
              <w:t>5 580</w:t>
            </w:r>
          </w:p>
        </w:tc>
      </w:tr>
      <w:tr w:rsidR="009C6724" w14:paraId="6AF9A52A"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157ACAF7" w14:textId="77777777" w:rsidR="00AB205D" w:rsidRDefault="00471A3B">
            <w:r>
              <w:t>Service concession arrangement liabilities</w:t>
            </w:r>
          </w:p>
        </w:tc>
        <w:tc>
          <w:tcPr>
            <w:tcW w:w="794" w:type="dxa"/>
          </w:tcPr>
          <w:p w14:paraId="22C925F2" w14:textId="77777777" w:rsidR="00AB205D" w:rsidRDefault="00471A3B">
            <w:pPr>
              <w:cnfStyle w:val="000000000000" w:firstRow="0" w:lastRow="0" w:firstColumn="0" w:lastColumn="0" w:oddVBand="0" w:evenVBand="0" w:oddHBand="0" w:evenHBand="0" w:firstRowFirstColumn="0" w:firstRowLastColumn="0" w:lastRowFirstColumn="0" w:lastRowLastColumn="0"/>
            </w:pPr>
            <w:r>
              <w:t>4 927</w:t>
            </w:r>
          </w:p>
        </w:tc>
        <w:tc>
          <w:tcPr>
            <w:tcW w:w="794" w:type="dxa"/>
          </w:tcPr>
          <w:p w14:paraId="19C181F1" w14:textId="77777777" w:rsidR="00AB205D" w:rsidRDefault="00471A3B">
            <w:pPr>
              <w:cnfStyle w:val="000000000000" w:firstRow="0" w:lastRow="0" w:firstColumn="0" w:lastColumn="0" w:oddVBand="0" w:evenVBand="0" w:oddHBand="0" w:evenHBand="0" w:firstRowFirstColumn="0" w:firstRowLastColumn="0" w:lastRowFirstColumn="0" w:lastRowLastColumn="0"/>
            </w:pPr>
            <w:r>
              <w:t>4 927</w:t>
            </w:r>
          </w:p>
        </w:tc>
        <w:tc>
          <w:tcPr>
            <w:tcW w:w="794" w:type="dxa"/>
          </w:tcPr>
          <w:p w14:paraId="2FA2C9E7" w14:textId="77777777" w:rsidR="00AB205D" w:rsidRDefault="00471A3B">
            <w:pPr>
              <w:cnfStyle w:val="000000000000" w:firstRow="0" w:lastRow="0" w:firstColumn="0" w:lastColumn="0" w:oddVBand="0" w:evenVBand="0" w:oddHBand="0" w:evenHBand="0" w:firstRowFirstColumn="0" w:firstRowLastColumn="0" w:lastRowFirstColumn="0" w:lastRowLastColumn="0"/>
            </w:pPr>
            <w:r>
              <w:t>4 999</w:t>
            </w:r>
          </w:p>
        </w:tc>
        <w:tc>
          <w:tcPr>
            <w:tcW w:w="794" w:type="dxa"/>
          </w:tcPr>
          <w:p w14:paraId="1328641C" w14:textId="77777777" w:rsidR="00AB205D" w:rsidRDefault="00471A3B">
            <w:pPr>
              <w:cnfStyle w:val="000000000000" w:firstRow="0" w:lastRow="0" w:firstColumn="0" w:lastColumn="0" w:oddVBand="0" w:evenVBand="0" w:oddHBand="0" w:evenHBand="0" w:firstRowFirstColumn="0" w:firstRowLastColumn="0" w:lastRowFirstColumn="0" w:lastRowLastColumn="0"/>
            </w:pPr>
            <w:r>
              <w:t>4 943</w:t>
            </w:r>
          </w:p>
        </w:tc>
        <w:tc>
          <w:tcPr>
            <w:tcW w:w="794" w:type="dxa"/>
          </w:tcPr>
          <w:p w14:paraId="0F953AB3" w14:textId="77777777" w:rsidR="00AB205D" w:rsidRDefault="00471A3B">
            <w:pPr>
              <w:cnfStyle w:val="000000000000" w:firstRow="0" w:lastRow="0" w:firstColumn="0" w:lastColumn="0" w:oddVBand="0" w:evenVBand="0" w:oddHBand="0" w:evenHBand="0" w:firstRowFirstColumn="0" w:firstRowLastColumn="0" w:lastRowFirstColumn="0" w:lastRowLastColumn="0"/>
            </w:pPr>
            <w:r>
              <w:t>3 620</w:t>
            </w:r>
          </w:p>
        </w:tc>
      </w:tr>
      <w:tr w:rsidR="009C6724" w14:paraId="65B8E9E6"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064228AF" w14:textId="77777777" w:rsidR="00AB205D" w:rsidRDefault="00471A3B">
            <w:r>
              <w:t>Derivative financial instruments</w:t>
            </w:r>
          </w:p>
        </w:tc>
        <w:tc>
          <w:tcPr>
            <w:tcW w:w="794" w:type="dxa"/>
            <w:tcBorders>
              <w:bottom w:val="single" w:sz="6" w:space="0" w:color="auto"/>
            </w:tcBorders>
          </w:tcPr>
          <w:p w14:paraId="331F6EC2" w14:textId="77777777" w:rsidR="00AB205D" w:rsidRDefault="00471A3B">
            <w:pPr>
              <w:cnfStyle w:val="000000000000" w:firstRow="0" w:lastRow="0" w:firstColumn="0" w:lastColumn="0" w:oddVBand="0" w:evenVBand="0" w:oddHBand="0" w:evenHBand="0" w:firstRowFirstColumn="0" w:firstRowLastColumn="0" w:lastRowFirstColumn="0" w:lastRowLastColumn="0"/>
            </w:pPr>
            <w:r>
              <w:t>210</w:t>
            </w:r>
          </w:p>
        </w:tc>
        <w:tc>
          <w:tcPr>
            <w:tcW w:w="794" w:type="dxa"/>
            <w:tcBorders>
              <w:bottom w:val="single" w:sz="6" w:space="0" w:color="auto"/>
            </w:tcBorders>
          </w:tcPr>
          <w:p w14:paraId="57E8D042" w14:textId="77777777" w:rsidR="00AB205D" w:rsidRDefault="00471A3B">
            <w:pPr>
              <w:cnfStyle w:val="000000000000" w:firstRow="0" w:lastRow="0" w:firstColumn="0" w:lastColumn="0" w:oddVBand="0" w:evenVBand="0" w:oddHBand="0" w:evenHBand="0" w:firstRowFirstColumn="0" w:firstRowLastColumn="0" w:lastRowFirstColumn="0" w:lastRowLastColumn="0"/>
            </w:pPr>
            <w:r>
              <w:t>281</w:t>
            </w:r>
          </w:p>
        </w:tc>
        <w:tc>
          <w:tcPr>
            <w:tcW w:w="794" w:type="dxa"/>
            <w:tcBorders>
              <w:bottom w:val="single" w:sz="6" w:space="0" w:color="auto"/>
            </w:tcBorders>
          </w:tcPr>
          <w:p w14:paraId="198A4E45" w14:textId="77777777" w:rsidR="00AB205D" w:rsidRDefault="00471A3B">
            <w:pPr>
              <w:cnfStyle w:val="000000000000" w:firstRow="0" w:lastRow="0" w:firstColumn="0" w:lastColumn="0" w:oddVBand="0" w:evenVBand="0" w:oddHBand="0" w:evenHBand="0" w:firstRowFirstColumn="0" w:firstRowLastColumn="0" w:lastRowFirstColumn="0" w:lastRowLastColumn="0"/>
            </w:pPr>
            <w:r>
              <w:t>296</w:t>
            </w:r>
          </w:p>
        </w:tc>
        <w:tc>
          <w:tcPr>
            <w:tcW w:w="794" w:type="dxa"/>
            <w:tcBorders>
              <w:bottom w:val="single" w:sz="6" w:space="0" w:color="auto"/>
            </w:tcBorders>
          </w:tcPr>
          <w:p w14:paraId="69E95BD2" w14:textId="77777777" w:rsidR="00AB205D" w:rsidRDefault="00471A3B">
            <w:pPr>
              <w:cnfStyle w:val="000000000000" w:firstRow="0" w:lastRow="0" w:firstColumn="0" w:lastColumn="0" w:oddVBand="0" w:evenVBand="0" w:oddHBand="0" w:evenHBand="0" w:firstRowFirstColumn="0" w:firstRowLastColumn="0" w:lastRowFirstColumn="0" w:lastRowLastColumn="0"/>
            </w:pPr>
            <w:r>
              <w:t>284</w:t>
            </w:r>
          </w:p>
        </w:tc>
        <w:tc>
          <w:tcPr>
            <w:tcW w:w="794" w:type="dxa"/>
            <w:tcBorders>
              <w:bottom w:val="single" w:sz="6" w:space="0" w:color="auto"/>
            </w:tcBorders>
          </w:tcPr>
          <w:p w14:paraId="38746E51" w14:textId="77777777" w:rsidR="00AB205D" w:rsidRDefault="00471A3B">
            <w:pPr>
              <w:cnfStyle w:val="000000000000" w:firstRow="0" w:lastRow="0" w:firstColumn="0" w:lastColumn="0" w:oddVBand="0" w:evenVBand="0" w:oddHBand="0" w:evenHBand="0" w:firstRowFirstColumn="0" w:firstRowLastColumn="0" w:lastRowFirstColumn="0" w:lastRowLastColumn="0"/>
            </w:pPr>
            <w:r>
              <w:t>274</w:t>
            </w:r>
          </w:p>
        </w:tc>
      </w:tr>
      <w:tr w:rsidR="009C6724" w14:paraId="190ADCD9"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01F1F98B" w14:textId="77777777" w:rsidR="00AB205D" w:rsidRDefault="00471A3B">
            <w:r>
              <w:rPr>
                <w:b/>
              </w:rPr>
              <w:t>Total non</w:t>
            </w:r>
            <w:r>
              <w:rPr>
                <w:b/>
              </w:rPr>
              <w:noBreakHyphen/>
              <w:t>current borrowings</w:t>
            </w:r>
          </w:p>
        </w:tc>
        <w:tc>
          <w:tcPr>
            <w:tcW w:w="794" w:type="dxa"/>
            <w:tcBorders>
              <w:top w:val="single" w:sz="6" w:space="0" w:color="auto"/>
              <w:bottom w:val="single" w:sz="6" w:space="0" w:color="auto"/>
            </w:tcBorders>
          </w:tcPr>
          <w:p w14:paraId="3AFF0CE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149 896</w:t>
            </w:r>
          </w:p>
        </w:tc>
        <w:tc>
          <w:tcPr>
            <w:tcW w:w="794" w:type="dxa"/>
            <w:tcBorders>
              <w:top w:val="single" w:sz="6" w:space="0" w:color="auto"/>
              <w:bottom w:val="single" w:sz="6" w:space="0" w:color="auto"/>
            </w:tcBorders>
          </w:tcPr>
          <w:p w14:paraId="659FF29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151 687</w:t>
            </w:r>
          </w:p>
        </w:tc>
        <w:tc>
          <w:tcPr>
            <w:tcW w:w="794" w:type="dxa"/>
            <w:tcBorders>
              <w:top w:val="single" w:sz="6" w:space="0" w:color="auto"/>
              <w:bottom w:val="single" w:sz="6" w:space="0" w:color="auto"/>
            </w:tcBorders>
          </w:tcPr>
          <w:p w14:paraId="442A331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171 963</w:t>
            </w:r>
          </w:p>
        </w:tc>
        <w:tc>
          <w:tcPr>
            <w:tcW w:w="794" w:type="dxa"/>
            <w:tcBorders>
              <w:top w:val="single" w:sz="6" w:space="0" w:color="auto"/>
              <w:bottom w:val="single" w:sz="6" w:space="0" w:color="auto"/>
            </w:tcBorders>
          </w:tcPr>
          <w:p w14:paraId="21F6E7F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187 960</w:t>
            </w:r>
          </w:p>
        </w:tc>
        <w:tc>
          <w:tcPr>
            <w:tcW w:w="794" w:type="dxa"/>
            <w:tcBorders>
              <w:top w:val="single" w:sz="6" w:space="0" w:color="auto"/>
              <w:bottom w:val="single" w:sz="6" w:space="0" w:color="auto"/>
            </w:tcBorders>
          </w:tcPr>
          <w:p w14:paraId="182D330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201 519</w:t>
            </w:r>
          </w:p>
        </w:tc>
      </w:tr>
      <w:tr w:rsidR="009C6724" w14:paraId="388363C8"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50C733BE" w14:textId="77777777" w:rsidR="00AB205D" w:rsidRDefault="00471A3B">
            <w:r>
              <w:rPr>
                <w:b/>
              </w:rPr>
              <w:t>Total borrowings</w:t>
            </w:r>
          </w:p>
        </w:tc>
        <w:tc>
          <w:tcPr>
            <w:tcW w:w="794" w:type="dxa"/>
            <w:tcBorders>
              <w:top w:val="single" w:sz="6" w:space="0" w:color="auto"/>
              <w:bottom w:val="single" w:sz="12" w:space="0" w:color="auto"/>
            </w:tcBorders>
          </w:tcPr>
          <w:p w14:paraId="0518E1B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164 529</w:t>
            </w:r>
          </w:p>
        </w:tc>
        <w:tc>
          <w:tcPr>
            <w:tcW w:w="794" w:type="dxa"/>
            <w:tcBorders>
              <w:top w:val="single" w:sz="6" w:space="0" w:color="auto"/>
              <w:bottom w:val="single" w:sz="12" w:space="0" w:color="auto"/>
            </w:tcBorders>
          </w:tcPr>
          <w:p w14:paraId="2698976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166 308</w:t>
            </w:r>
          </w:p>
        </w:tc>
        <w:tc>
          <w:tcPr>
            <w:tcW w:w="794" w:type="dxa"/>
            <w:tcBorders>
              <w:top w:val="single" w:sz="6" w:space="0" w:color="auto"/>
              <w:bottom w:val="single" w:sz="12" w:space="0" w:color="auto"/>
            </w:tcBorders>
          </w:tcPr>
          <w:p w14:paraId="46F432E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186 192</w:t>
            </w:r>
          </w:p>
        </w:tc>
        <w:tc>
          <w:tcPr>
            <w:tcW w:w="794" w:type="dxa"/>
            <w:tcBorders>
              <w:top w:val="single" w:sz="6" w:space="0" w:color="auto"/>
              <w:bottom w:val="single" w:sz="12" w:space="0" w:color="auto"/>
            </w:tcBorders>
          </w:tcPr>
          <w:p w14:paraId="21520A3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202 040</w:t>
            </w:r>
          </w:p>
        </w:tc>
        <w:tc>
          <w:tcPr>
            <w:tcW w:w="794" w:type="dxa"/>
            <w:tcBorders>
              <w:top w:val="single" w:sz="6" w:space="0" w:color="auto"/>
              <w:bottom w:val="single" w:sz="12" w:space="0" w:color="auto"/>
            </w:tcBorders>
          </w:tcPr>
          <w:p w14:paraId="635E6CD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216 646</w:t>
            </w:r>
          </w:p>
        </w:tc>
      </w:tr>
    </w:tbl>
    <w:p w14:paraId="2397AF0C" w14:textId="77777777" w:rsidR="00AB205D" w:rsidRDefault="00AB205D"/>
    <w:p w14:paraId="0D232C77" w14:textId="77777777" w:rsidR="00AB205D" w:rsidRPr="006E14DE" w:rsidRDefault="00471A3B">
      <w:pPr>
        <w:pStyle w:val="Heading3"/>
        <w:pageBreakBefore/>
        <w:rPr>
          <w:sz w:val="21"/>
          <w:szCs w:val="21"/>
        </w:rPr>
      </w:pPr>
      <w:bookmarkStart w:id="69" w:name="_Toc150443757"/>
      <w:r w:rsidRPr="006E14DE">
        <w:rPr>
          <w:sz w:val="21"/>
          <w:szCs w:val="21"/>
        </w:rPr>
        <w:lastRenderedPageBreak/>
        <w:t>Advances paid and investments, loans and placements</w:t>
      </w:r>
      <w:r w:rsidRPr="006E14DE">
        <w:rPr>
          <w:sz w:val="21"/>
          <w:szCs w:val="21"/>
        </w:rPr>
        <w:tab/>
        <w:t>($ million)</w:t>
      </w:r>
      <w:bookmarkEnd w:id="69"/>
    </w:p>
    <w:tbl>
      <w:tblPr>
        <w:tblStyle w:val="DTFTableNumeric"/>
        <w:tblW w:w="7710" w:type="dxa"/>
        <w:tblLayout w:type="fixed"/>
        <w:tblLook w:val="06A0" w:firstRow="1" w:lastRow="0" w:firstColumn="1" w:lastColumn="0" w:noHBand="1" w:noVBand="1"/>
        <w:tblDescription w:val="Type:DtfTable|Workbook:Rawdata\BudgetUpdate\Budget Update\Financial Statements\SRIMS exports\SRIMS_BU_EFS_BS.xlsx|Table:Advances_investments|MergedHeadingRow:1"/>
      </w:tblPr>
      <w:tblGrid>
        <w:gridCol w:w="3740"/>
        <w:gridCol w:w="794"/>
        <w:gridCol w:w="794"/>
        <w:gridCol w:w="794"/>
        <w:gridCol w:w="794"/>
        <w:gridCol w:w="794"/>
      </w:tblGrid>
      <w:tr w:rsidR="009C6724" w14:paraId="26D8308E"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196D8130" w14:textId="77777777" w:rsidR="00AB205D" w:rsidRDefault="00AB205D">
            <w:pPr>
              <w:keepNext/>
            </w:pPr>
          </w:p>
        </w:tc>
        <w:tc>
          <w:tcPr>
            <w:tcW w:w="794" w:type="dxa"/>
          </w:tcPr>
          <w:p w14:paraId="1901CB82"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br/>
              <w:t>budget</w:t>
            </w:r>
          </w:p>
        </w:tc>
        <w:tc>
          <w:tcPr>
            <w:tcW w:w="794" w:type="dxa"/>
          </w:tcPr>
          <w:p w14:paraId="74E8EF1F"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br/>
              <w:t>revised</w:t>
            </w:r>
          </w:p>
        </w:tc>
        <w:tc>
          <w:tcPr>
            <w:tcW w:w="794" w:type="dxa"/>
          </w:tcPr>
          <w:p w14:paraId="272A819B"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br/>
              <w:t>estimate</w:t>
            </w:r>
          </w:p>
        </w:tc>
        <w:tc>
          <w:tcPr>
            <w:tcW w:w="794" w:type="dxa"/>
          </w:tcPr>
          <w:p w14:paraId="24BAEF34"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br/>
              <w:t>estimate</w:t>
            </w:r>
          </w:p>
        </w:tc>
        <w:tc>
          <w:tcPr>
            <w:tcW w:w="794" w:type="dxa"/>
          </w:tcPr>
          <w:p w14:paraId="327753D7"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2027</w:t>
            </w:r>
            <w:r>
              <w:br/>
              <w:t>estimate</w:t>
            </w:r>
          </w:p>
        </w:tc>
      </w:tr>
      <w:tr w:rsidR="009C6724" w14:paraId="2763DFDF"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ECB7C12" w14:textId="77777777" w:rsidR="00AB205D" w:rsidRDefault="00471A3B">
            <w:r>
              <w:rPr>
                <w:b/>
              </w:rPr>
              <w:t>Current advances paid and investments, loans and placements</w:t>
            </w:r>
          </w:p>
        </w:tc>
        <w:tc>
          <w:tcPr>
            <w:tcW w:w="794" w:type="dxa"/>
          </w:tcPr>
          <w:p w14:paraId="6F639920"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5AF6519E"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6A5F0F1"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17191F86"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9DB2694"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2FEF12BD"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D903B43" w14:textId="77777777" w:rsidR="00AB205D" w:rsidRDefault="00471A3B">
            <w:r>
              <w:t>Loans and advances paid</w:t>
            </w:r>
          </w:p>
        </w:tc>
        <w:tc>
          <w:tcPr>
            <w:tcW w:w="794" w:type="dxa"/>
          </w:tcPr>
          <w:p w14:paraId="613E5D98" w14:textId="77777777" w:rsidR="00AB205D" w:rsidRDefault="00471A3B">
            <w:pPr>
              <w:cnfStyle w:val="000000000000" w:firstRow="0" w:lastRow="0" w:firstColumn="0" w:lastColumn="0" w:oddVBand="0" w:evenVBand="0" w:oddHBand="0" w:evenHBand="0" w:firstRowFirstColumn="0" w:firstRowLastColumn="0" w:lastRowFirstColumn="0" w:lastRowLastColumn="0"/>
            </w:pPr>
            <w:r>
              <w:t>724</w:t>
            </w:r>
          </w:p>
        </w:tc>
        <w:tc>
          <w:tcPr>
            <w:tcW w:w="794" w:type="dxa"/>
          </w:tcPr>
          <w:p w14:paraId="30996B68" w14:textId="77777777" w:rsidR="00AB205D" w:rsidRDefault="00471A3B">
            <w:pPr>
              <w:cnfStyle w:val="000000000000" w:firstRow="0" w:lastRow="0" w:firstColumn="0" w:lastColumn="0" w:oddVBand="0" w:evenVBand="0" w:oddHBand="0" w:evenHBand="0" w:firstRowFirstColumn="0" w:firstRowLastColumn="0" w:lastRowFirstColumn="0" w:lastRowLastColumn="0"/>
            </w:pPr>
            <w:r>
              <w:t>515</w:t>
            </w:r>
          </w:p>
        </w:tc>
        <w:tc>
          <w:tcPr>
            <w:tcW w:w="794" w:type="dxa"/>
          </w:tcPr>
          <w:p w14:paraId="08BA50CC" w14:textId="77777777" w:rsidR="00AB205D" w:rsidRDefault="00471A3B">
            <w:pPr>
              <w:cnfStyle w:val="000000000000" w:firstRow="0" w:lastRow="0" w:firstColumn="0" w:lastColumn="0" w:oddVBand="0" w:evenVBand="0" w:oddHBand="0" w:evenHBand="0" w:firstRowFirstColumn="0" w:firstRowLastColumn="0" w:lastRowFirstColumn="0" w:lastRowLastColumn="0"/>
            </w:pPr>
            <w:r>
              <w:t>339</w:t>
            </w:r>
          </w:p>
        </w:tc>
        <w:tc>
          <w:tcPr>
            <w:tcW w:w="794" w:type="dxa"/>
          </w:tcPr>
          <w:p w14:paraId="6EBA57AE" w14:textId="77777777" w:rsidR="00AB205D" w:rsidRDefault="00471A3B">
            <w:pPr>
              <w:cnfStyle w:val="000000000000" w:firstRow="0" w:lastRow="0" w:firstColumn="0" w:lastColumn="0" w:oddVBand="0" w:evenVBand="0" w:oddHBand="0" w:evenHBand="0" w:firstRowFirstColumn="0" w:firstRowLastColumn="0" w:lastRowFirstColumn="0" w:lastRowLastColumn="0"/>
            </w:pPr>
            <w:r>
              <w:t>310</w:t>
            </w:r>
          </w:p>
        </w:tc>
        <w:tc>
          <w:tcPr>
            <w:tcW w:w="794" w:type="dxa"/>
          </w:tcPr>
          <w:p w14:paraId="7DC2A98A" w14:textId="77777777" w:rsidR="00AB205D" w:rsidRDefault="00471A3B">
            <w:pPr>
              <w:cnfStyle w:val="000000000000" w:firstRow="0" w:lastRow="0" w:firstColumn="0" w:lastColumn="0" w:oddVBand="0" w:evenVBand="0" w:oddHBand="0" w:evenHBand="0" w:firstRowFirstColumn="0" w:firstRowLastColumn="0" w:lastRowFirstColumn="0" w:lastRowLastColumn="0"/>
            </w:pPr>
            <w:r>
              <w:t>317</w:t>
            </w:r>
          </w:p>
        </w:tc>
      </w:tr>
      <w:tr w:rsidR="009C6724" w14:paraId="179FD47B"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01AE9D07" w14:textId="77777777" w:rsidR="00AB205D" w:rsidRDefault="00471A3B">
            <w:r>
              <w:t>Equities and managed investment schemes</w:t>
            </w:r>
          </w:p>
        </w:tc>
        <w:tc>
          <w:tcPr>
            <w:tcW w:w="794" w:type="dxa"/>
          </w:tcPr>
          <w:p w14:paraId="22CACA25" w14:textId="77777777" w:rsidR="00AB205D" w:rsidRDefault="00471A3B">
            <w:pPr>
              <w:cnfStyle w:val="000000000000" w:firstRow="0" w:lastRow="0" w:firstColumn="0" w:lastColumn="0" w:oddVBand="0" w:evenVBand="0" w:oddHBand="0" w:evenHBand="0" w:firstRowFirstColumn="0" w:firstRowLastColumn="0" w:lastRowFirstColumn="0" w:lastRowLastColumn="0"/>
            </w:pPr>
            <w:r>
              <w:t>678</w:t>
            </w:r>
          </w:p>
        </w:tc>
        <w:tc>
          <w:tcPr>
            <w:tcW w:w="794" w:type="dxa"/>
          </w:tcPr>
          <w:p w14:paraId="58B9B48D" w14:textId="77777777" w:rsidR="00AB205D" w:rsidRDefault="00471A3B">
            <w:pPr>
              <w:cnfStyle w:val="000000000000" w:firstRow="0" w:lastRow="0" w:firstColumn="0" w:lastColumn="0" w:oddVBand="0" w:evenVBand="0" w:oddHBand="0" w:evenHBand="0" w:firstRowFirstColumn="0" w:firstRowLastColumn="0" w:lastRowFirstColumn="0" w:lastRowLastColumn="0"/>
            </w:pPr>
            <w:r>
              <w:t>678</w:t>
            </w:r>
          </w:p>
        </w:tc>
        <w:tc>
          <w:tcPr>
            <w:tcW w:w="794" w:type="dxa"/>
          </w:tcPr>
          <w:p w14:paraId="67505E29" w14:textId="77777777" w:rsidR="00AB205D" w:rsidRDefault="00471A3B">
            <w:pPr>
              <w:cnfStyle w:val="000000000000" w:firstRow="0" w:lastRow="0" w:firstColumn="0" w:lastColumn="0" w:oddVBand="0" w:evenVBand="0" w:oddHBand="0" w:evenHBand="0" w:firstRowFirstColumn="0" w:firstRowLastColumn="0" w:lastRowFirstColumn="0" w:lastRowLastColumn="0"/>
            </w:pPr>
            <w:r>
              <w:t>695</w:t>
            </w:r>
          </w:p>
        </w:tc>
        <w:tc>
          <w:tcPr>
            <w:tcW w:w="794" w:type="dxa"/>
          </w:tcPr>
          <w:p w14:paraId="11393C0A" w14:textId="77777777" w:rsidR="00AB205D" w:rsidRDefault="00471A3B">
            <w:pPr>
              <w:cnfStyle w:val="000000000000" w:firstRow="0" w:lastRow="0" w:firstColumn="0" w:lastColumn="0" w:oddVBand="0" w:evenVBand="0" w:oddHBand="0" w:evenHBand="0" w:firstRowFirstColumn="0" w:firstRowLastColumn="0" w:lastRowFirstColumn="0" w:lastRowLastColumn="0"/>
            </w:pPr>
            <w:r>
              <w:t>711</w:t>
            </w:r>
          </w:p>
        </w:tc>
        <w:tc>
          <w:tcPr>
            <w:tcW w:w="794" w:type="dxa"/>
          </w:tcPr>
          <w:p w14:paraId="5BC109BF" w14:textId="77777777" w:rsidR="00AB205D" w:rsidRDefault="00471A3B">
            <w:pPr>
              <w:cnfStyle w:val="000000000000" w:firstRow="0" w:lastRow="0" w:firstColumn="0" w:lastColumn="0" w:oddVBand="0" w:evenVBand="0" w:oddHBand="0" w:evenHBand="0" w:firstRowFirstColumn="0" w:firstRowLastColumn="0" w:lastRowFirstColumn="0" w:lastRowLastColumn="0"/>
            </w:pPr>
            <w:r>
              <w:t>727</w:t>
            </w:r>
          </w:p>
        </w:tc>
      </w:tr>
      <w:tr w:rsidR="009C6724" w14:paraId="11EE4C54"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69A74255" w14:textId="77777777" w:rsidR="00AB205D" w:rsidRDefault="00471A3B">
            <w:r>
              <w:t>Australian dollar term deposits</w:t>
            </w:r>
          </w:p>
        </w:tc>
        <w:tc>
          <w:tcPr>
            <w:tcW w:w="794" w:type="dxa"/>
          </w:tcPr>
          <w:p w14:paraId="50A893F0" w14:textId="77777777" w:rsidR="00AB205D" w:rsidRDefault="00471A3B">
            <w:pPr>
              <w:cnfStyle w:val="000000000000" w:firstRow="0" w:lastRow="0" w:firstColumn="0" w:lastColumn="0" w:oddVBand="0" w:evenVBand="0" w:oddHBand="0" w:evenHBand="0" w:firstRowFirstColumn="0" w:firstRowLastColumn="0" w:lastRowFirstColumn="0" w:lastRowLastColumn="0"/>
            </w:pPr>
            <w:r>
              <w:t>213</w:t>
            </w:r>
          </w:p>
        </w:tc>
        <w:tc>
          <w:tcPr>
            <w:tcW w:w="794" w:type="dxa"/>
          </w:tcPr>
          <w:p w14:paraId="6E404EF4" w14:textId="77777777" w:rsidR="00AB205D" w:rsidRDefault="00471A3B">
            <w:pPr>
              <w:cnfStyle w:val="000000000000" w:firstRow="0" w:lastRow="0" w:firstColumn="0" w:lastColumn="0" w:oddVBand="0" w:evenVBand="0" w:oddHBand="0" w:evenHBand="0" w:firstRowFirstColumn="0" w:firstRowLastColumn="0" w:lastRowFirstColumn="0" w:lastRowLastColumn="0"/>
            </w:pPr>
            <w:r>
              <w:t>213</w:t>
            </w:r>
          </w:p>
        </w:tc>
        <w:tc>
          <w:tcPr>
            <w:tcW w:w="794" w:type="dxa"/>
          </w:tcPr>
          <w:p w14:paraId="3421CEA4" w14:textId="77777777" w:rsidR="00AB205D" w:rsidRDefault="00471A3B">
            <w:pPr>
              <w:cnfStyle w:val="000000000000" w:firstRow="0" w:lastRow="0" w:firstColumn="0" w:lastColumn="0" w:oddVBand="0" w:evenVBand="0" w:oddHBand="0" w:evenHBand="0" w:firstRowFirstColumn="0" w:firstRowLastColumn="0" w:lastRowFirstColumn="0" w:lastRowLastColumn="0"/>
            </w:pPr>
            <w:r>
              <w:t>233</w:t>
            </w:r>
          </w:p>
        </w:tc>
        <w:tc>
          <w:tcPr>
            <w:tcW w:w="794" w:type="dxa"/>
          </w:tcPr>
          <w:p w14:paraId="100147EB" w14:textId="77777777" w:rsidR="00AB205D" w:rsidRDefault="00471A3B">
            <w:pPr>
              <w:cnfStyle w:val="000000000000" w:firstRow="0" w:lastRow="0" w:firstColumn="0" w:lastColumn="0" w:oddVBand="0" w:evenVBand="0" w:oddHBand="0" w:evenHBand="0" w:firstRowFirstColumn="0" w:firstRowLastColumn="0" w:lastRowFirstColumn="0" w:lastRowLastColumn="0"/>
            </w:pPr>
            <w:r>
              <w:t>235</w:t>
            </w:r>
          </w:p>
        </w:tc>
        <w:tc>
          <w:tcPr>
            <w:tcW w:w="794" w:type="dxa"/>
          </w:tcPr>
          <w:p w14:paraId="1C30A9C9" w14:textId="77777777" w:rsidR="00AB205D" w:rsidRDefault="00471A3B">
            <w:pPr>
              <w:cnfStyle w:val="000000000000" w:firstRow="0" w:lastRow="0" w:firstColumn="0" w:lastColumn="0" w:oddVBand="0" w:evenVBand="0" w:oddHBand="0" w:evenHBand="0" w:firstRowFirstColumn="0" w:firstRowLastColumn="0" w:lastRowFirstColumn="0" w:lastRowLastColumn="0"/>
            </w:pPr>
            <w:r>
              <w:t>237</w:t>
            </w:r>
          </w:p>
        </w:tc>
      </w:tr>
      <w:tr w:rsidR="009C6724" w14:paraId="790DDC17"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7DF2F0DA" w14:textId="77777777" w:rsidR="00AB205D" w:rsidRDefault="00471A3B">
            <w:r>
              <w:t>Debt securities</w:t>
            </w:r>
          </w:p>
        </w:tc>
        <w:tc>
          <w:tcPr>
            <w:tcW w:w="794" w:type="dxa"/>
          </w:tcPr>
          <w:p w14:paraId="6C0EE031" w14:textId="77777777" w:rsidR="00AB205D" w:rsidRDefault="00471A3B">
            <w:pPr>
              <w:cnfStyle w:val="000000000000" w:firstRow="0" w:lastRow="0" w:firstColumn="0" w:lastColumn="0" w:oddVBand="0" w:evenVBand="0" w:oddHBand="0" w:evenHBand="0" w:firstRowFirstColumn="0" w:firstRowLastColumn="0" w:lastRowFirstColumn="0" w:lastRowLastColumn="0"/>
            </w:pPr>
            <w:r>
              <w:t>3</w:t>
            </w:r>
          </w:p>
        </w:tc>
        <w:tc>
          <w:tcPr>
            <w:tcW w:w="794" w:type="dxa"/>
          </w:tcPr>
          <w:p w14:paraId="11BBA187" w14:textId="77777777" w:rsidR="00AB205D" w:rsidRDefault="00471A3B">
            <w:pPr>
              <w:cnfStyle w:val="000000000000" w:firstRow="0" w:lastRow="0" w:firstColumn="0" w:lastColumn="0" w:oddVBand="0" w:evenVBand="0" w:oddHBand="0" w:evenHBand="0" w:firstRowFirstColumn="0" w:firstRowLastColumn="0" w:lastRowFirstColumn="0" w:lastRowLastColumn="0"/>
            </w:pPr>
            <w:r>
              <w:t>3</w:t>
            </w:r>
          </w:p>
        </w:tc>
        <w:tc>
          <w:tcPr>
            <w:tcW w:w="794" w:type="dxa"/>
          </w:tcPr>
          <w:p w14:paraId="663076E8" w14:textId="77777777" w:rsidR="00AB205D" w:rsidRDefault="00471A3B">
            <w:pPr>
              <w:cnfStyle w:val="000000000000" w:firstRow="0" w:lastRow="0" w:firstColumn="0" w:lastColumn="0" w:oddVBand="0" w:evenVBand="0" w:oddHBand="0" w:evenHBand="0" w:firstRowFirstColumn="0" w:firstRowLastColumn="0" w:lastRowFirstColumn="0" w:lastRowLastColumn="0"/>
            </w:pPr>
            <w:r>
              <w:t>3</w:t>
            </w:r>
          </w:p>
        </w:tc>
        <w:tc>
          <w:tcPr>
            <w:tcW w:w="794" w:type="dxa"/>
          </w:tcPr>
          <w:p w14:paraId="6C4E8B54" w14:textId="77777777" w:rsidR="00AB205D" w:rsidRDefault="00471A3B">
            <w:pPr>
              <w:cnfStyle w:val="000000000000" w:firstRow="0" w:lastRow="0" w:firstColumn="0" w:lastColumn="0" w:oddVBand="0" w:evenVBand="0" w:oddHBand="0" w:evenHBand="0" w:firstRowFirstColumn="0" w:firstRowLastColumn="0" w:lastRowFirstColumn="0" w:lastRowLastColumn="0"/>
            </w:pPr>
            <w:r>
              <w:t>3</w:t>
            </w:r>
          </w:p>
        </w:tc>
        <w:tc>
          <w:tcPr>
            <w:tcW w:w="794" w:type="dxa"/>
          </w:tcPr>
          <w:p w14:paraId="1C4408AF" w14:textId="77777777" w:rsidR="00AB205D" w:rsidRDefault="00471A3B">
            <w:pPr>
              <w:cnfStyle w:val="000000000000" w:firstRow="0" w:lastRow="0" w:firstColumn="0" w:lastColumn="0" w:oddVBand="0" w:evenVBand="0" w:oddHBand="0" w:evenHBand="0" w:firstRowFirstColumn="0" w:firstRowLastColumn="0" w:lastRowFirstColumn="0" w:lastRowLastColumn="0"/>
            </w:pPr>
            <w:r>
              <w:t>3</w:t>
            </w:r>
          </w:p>
        </w:tc>
      </w:tr>
      <w:tr w:rsidR="009C6724" w14:paraId="26599323"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23C1593D" w14:textId="77777777" w:rsidR="00AB205D" w:rsidRDefault="00471A3B">
            <w:r>
              <w:t>Derivative financial instruments</w:t>
            </w:r>
          </w:p>
        </w:tc>
        <w:tc>
          <w:tcPr>
            <w:tcW w:w="794" w:type="dxa"/>
            <w:tcBorders>
              <w:bottom w:val="single" w:sz="6" w:space="0" w:color="auto"/>
            </w:tcBorders>
          </w:tcPr>
          <w:p w14:paraId="4B894ECE" w14:textId="77777777" w:rsidR="00AB205D" w:rsidRDefault="00471A3B">
            <w:pPr>
              <w:cnfStyle w:val="000000000000" w:firstRow="0" w:lastRow="0" w:firstColumn="0" w:lastColumn="0" w:oddVBand="0" w:evenVBand="0" w:oddHBand="0" w:evenHBand="0" w:firstRowFirstColumn="0" w:firstRowLastColumn="0" w:lastRowFirstColumn="0" w:lastRowLastColumn="0"/>
            </w:pPr>
            <w:r>
              <w:t>65</w:t>
            </w:r>
          </w:p>
        </w:tc>
        <w:tc>
          <w:tcPr>
            <w:tcW w:w="794" w:type="dxa"/>
            <w:tcBorders>
              <w:bottom w:val="single" w:sz="6" w:space="0" w:color="auto"/>
            </w:tcBorders>
          </w:tcPr>
          <w:p w14:paraId="6DA0FFE9" w14:textId="77777777" w:rsidR="00AB205D" w:rsidRDefault="00471A3B">
            <w:pPr>
              <w:cnfStyle w:val="000000000000" w:firstRow="0" w:lastRow="0" w:firstColumn="0" w:lastColumn="0" w:oddVBand="0" w:evenVBand="0" w:oddHBand="0" w:evenHBand="0" w:firstRowFirstColumn="0" w:firstRowLastColumn="0" w:lastRowFirstColumn="0" w:lastRowLastColumn="0"/>
            </w:pPr>
            <w:r>
              <w:t>59</w:t>
            </w:r>
          </w:p>
        </w:tc>
        <w:tc>
          <w:tcPr>
            <w:tcW w:w="794" w:type="dxa"/>
            <w:tcBorders>
              <w:bottom w:val="single" w:sz="6" w:space="0" w:color="auto"/>
            </w:tcBorders>
          </w:tcPr>
          <w:p w14:paraId="54868DFF" w14:textId="77777777" w:rsidR="00AB205D" w:rsidRDefault="00471A3B">
            <w:pPr>
              <w:cnfStyle w:val="000000000000" w:firstRow="0" w:lastRow="0" w:firstColumn="0" w:lastColumn="0" w:oddVBand="0" w:evenVBand="0" w:oddHBand="0" w:evenHBand="0" w:firstRowFirstColumn="0" w:firstRowLastColumn="0" w:lastRowFirstColumn="0" w:lastRowLastColumn="0"/>
            </w:pPr>
            <w:r>
              <w:t>23</w:t>
            </w:r>
          </w:p>
        </w:tc>
        <w:tc>
          <w:tcPr>
            <w:tcW w:w="794" w:type="dxa"/>
            <w:tcBorders>
              <w:bottom w:val="single" w:sz="6" w:space="0" w:color="auto"/>
            </w:tcBorders>
          </w:tcPr>
          <w:p w14:paraId="49024F52" w14:textId="77777777" w:rsidR="00AB205D" w:rsidRDefault="00471A3B">
            <w:pPr>
              <w:cnfStyle w:val="000000000000" w:firstRow="0" w:lastRow="0" w:firstColumn="0" w:lastColumn="0" w:oddVBand="0" w:evenVBand="0" w:oddHBand="0" w:evenHBand="0" w:firstRowFirstColumn="0" w:firstRowLastColumn="0" w:lastRowFirstColumn="0" w:lastRowLastColumn="0"/>
            </w:pPr>
            <w:r>
              <w:t>1</w:t>
            </w:r>
          </w:p>
        </w:tc>
        <w:tc>
          <w:tcPr>
            <w:tcW w:w="794" w:type="dxa"/>
            <w:tcBorders>
              <w:bottom w:val="single" w:sz="6" w:space="0" w:color="auto"/>
            </w:tcBorders>
          </w:tcPr>
          <w:p w14:paraId="78A9D4E7" w14:textId="77777777" w:rsidR="00AB205D" w:rsidRDefault="00471A3B">
            <w:pPr>
              <w:cnfStyle w:val="000000000000" w:firstRow="0" w:lastRow="0" w:firstColumn="0" w:lastColumn="0" w:oddVBand="0" w:evenVBand="0" w:oddHBand="0" w:evenHBand="0" w:firstRowFirstColumn="0" w:firstRowLastColumn="0" w:lastRowFirstColumn="0" w:lastRowLastColumn="0"/>
            </w:pPr>
            <w:r>
              <w:t>1</w:t>
            </w:r>
          </w:p>
        </w:tc>
      </w:tr>
      <w:tr w:rsidR="009C6724" w14:paraId="05A7B27D"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556E6ADF" w14:textId="77777777" w:rsidR="00AB205D" w:rsidRDefault="00471A3B">
            <w:r>
              <w:rPr>
                <w:b/>
              </w:rPr>
              <w:t>Total current advances paid and investments, loans and placements</w:t>
            </w:r>
          </w:p>
        </w:tc>
        <w:tc>
          <w:tcPr>
            <w:tcW w:w="794" w:type="dxa"/>
            <w:tcBorders>
              <w:top w:val="single" w:sz="6" w:space="0" w:color="auto"/>
            </w:tcBorders>
          </w:tcPr>
          <w:p w14:paraId="0806DFF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1 684</w:t>
            </w:r>
          </w:p>
        </w:tc>
        <w:tc>
          <w:tcPr>
            <w:tcW w:w="794" w:type="dxa"/>
            <w:tcBorders>
              <w:top w:val="single" w:sz="6" w:space="0" w:color="auto"/>
            </w:tcBorders>
          </w:tcPr>
          <w:p w14:paraId="0ACA5F8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1 469</w:t>
            </w:r>
          </w:p>
        </w:tc>
        <w:tc>
          <w:tcPr>
            <w:tcW w:w="794" w:type="dxa"/>
            <w:tcBorders>
              <w:top w:val="single" w:sz="6" w:space="0" w:color="auto"/>
            </w:tcBorders>
          </w:tcPr>
          <w:p w14:paraId="10C0316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1 292</w:t>
            </w:r>
          </w:p>
        </w:tc>
        <w:tc>
          <w:tcPr>
            <w:tcW w:w="794" w:type="dxa"/>
            <w:tcBorders>
              <w:top w:val="single" w:sz="6" w:space="0" w:color="auto"/>
            </w:tcBorders>
          </w:tcPr>
          <w:p w14:paraId="383461C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1 260</w:t>
            </w:r>
          </w:p>
        </w:tc>
        <w:tc>
          <w:tcPr>
            <w:tcW w:w="794" w:type="dxa"/>
            <w:tcBorders>
              <w:top w:val="single" w:sz="6" w:space="0" w:color="auto"/>
            </w:tcBorders>
          </w:tcPr>
          <w:p w14:paraId="4C98314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1 286</w:t>
            </w:r>
          </w:p>
        </w:tc>
      </w:tr>
      <w:tr w:rsidR="009C6724" w14:paraId="168F821E"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0D770748" w14:textId="77777777" w:rsidR="00AB205D" w:rsidRDefault="00471A3B">
            <w:r>
              <w:rPr>
                <w:b/>
              </w:rPr>
              <w:t>Non</w:t>
            </w:r>
            <w:r>
              <w:rPr>
                <w:b/>
              </w:rPr>
              <w:noBreakHyphen/>
              <w:t>current advances paid and investments, loans and placements</w:t>
            </w:r>
          </w:p>
        </w:tc>
        <w:tc>
          <w:tcPr>
            <w:tcW w:w="794" w:type="dxa"/>
          </w:tcPr>
          <w:p w14:paraId="2A5F0C88"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1B7079CD"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44FD7062"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49CD414F"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624F4824"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7C3336A3"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1A7F881A" w14:textId="77777777" w:rsidR="00AB205D" w:rsidRDefault="00471A3B">
            <w:r>
              <w:t>Loans and advances paid</w:t>
            </w:r>
          </w:p>
        </w:tc>
        <w:tc>
          <w:tcPr>
            <w:tcW w:w="794" w:type="dxa"/>
          </w:tcPr>
          <w:p w14:paraId="299500B3" w14:textId="77777777" w:rsidR="00AB205D" w:rsidRDefault="00471A3B">
            <w:pPr>
              <w:cnfStyle w:val="000000000000" w:firstRow="0" w:lastRow="0" w:firstColumn="0" w:lastColumn="0" w:oddVBand="0" w:evenVBand="0" w:oddHBand="0" w:evenHBand="0" w:firstRowFirstColumn="0" w:firstRowLastColumn="0" w:lastRowFirstColumn="0" w:lastRowLastColumn="0"/>
            </w:pPr>
            <w:r>
              <w:t>6 046</w:t>
            </w:r>
          </w:p>
        </w:tc>
        <w:tc>
          <w:tcPr>
            <w:tcW w:w="794" w:type="dxa"/>
          </w:tcPr>
          <w:p w14:paraId="54488FCB" w14:textId="77777777" w:rsidR="00AB205D" w:rsidRDefault="00471A3B">
            <w:pPr>
              <w:cnfStyle w:val="000000000000" w:firstRow="0" w:lastRow="0" w:firstColumn="0" w:lastColumn="0" w:oddVBand="0" w:evenVBand="0" w:oddHBand="0" w:evenHBand="0" w:firstRowFirstColumn="0" w:firstRowLastColumn="0" w:lastRowFirstColumn="0" w:lastRowLastColumn="0"/>
            </w:pPr>
            <w:r>
              <w:t>5 874</w:t>
            </w:r>
          </w:p>
        </w:tc>
        <w:tc>
          <w:tcPr>
            <w:tcW w:w="794" w:type="dxa"/>
          </w:tcPr>
          <w:p w14:paraId="7EC1447F" w14:textId="77777777" w:rsidR="00AB205D" w:rsidRDefault="00471A3B">
            <w:pPr>
              <w:cnfStyle w:val="000000000000" w:firstRow="0" w:lastRow="0" w:firstColumn="0" w:lastColumn="0" w:oddVBand="0" w:evenVBand="0" w:oddHBand="0" w:evenHBand="0" w:firstRowFirstColumn="0" w:firstRowLastColumn="0" w:lastRowFirstColumn="0" w:lastRowLastColumn="0"/>
            </w:pPr>
            <w:r>
              <w:t>6 076</w:t>
            </w:r>
          </w:p>
        </w:tc>
        <w:tc>
          <w:tcPr>
            <w:tcW w:w="794" w:type="dxa"/>
          </w:tcPr>
          <w:p w14:paraId="576DAF9A" w14:textId="77777777" w:rsidR="00AB205D" w:rsidRDefault="00471A3B">
            <w:pPr>
              <w:cnfStyle w:val="000000000000" w:firstRow="0" w:lastRow="0" w:firstColumn="0" w:lastColumn="0" w:oddVBand="0" w:evenVBand="0" w:oddHBand="0" w:evenHBand="0" w:firstRowFirstColumn="0" w:firstRowLastColumn="0" w:lastRowFirstColumn="0" w:lastRowLastColumn="0"/>
            </w:pPr>
            <w:r>
              <w:t>6 102</w:t>
            </w:r>
          </w:p>
        </w:tc>
        <w:tc>
          <w:tcPr>
            <w:tcW w:w="794" w:type="dxa"/>
          </w:tcPr>
          <w:p w14:paraId="25F67D57" w14:textId="77777777" w:rsidR="00AB205D" w:rsidRDefault="00471A3B">
            <w:pPr>
              <w:cnfStyle w:val="000000000000" w:firstRow="0" w:lastRow="0" w:firstColumn="0" w:lastColumn="0" w:oddVBand="0" w:evenVBand="0" w:oddHBand="0" w:evenHBand="0" w:firstRowFirstColumn="0" w:firstRowLastColumn="0" w:lastRowFirstColumn="0" w:lastRowLastColumn="0"/>
            </w:pPr>
            <w:r>
              <w:t>6 131</w:t>
            </w:r>
          </w:p>
        </w:tc>
      </w:tr>
      <w:tr w:rsidR="009C6724" w14:paraId="3D97BCEF"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53C408B8" w14:textId="77777777" w:rsidR="00AB205D" w:rsidRDefault="00471A3B">
            <w:r>
              <w:t>Equities and managed investment schemes</w:t>
            </w:r>
          </w:p>
        </w:tc>
        <w:tc>
          <w:tcPr>
            <w:tcW w:w="794" w:type="dxa"/>
          </w:tcPr>
          <w:p w14:paraId="228F5E47" w14:textId="77777777" w:rsidR="00AB205D" w:rsidRDefault="00471A3B">
            <w:pPr>
              <w:cnfStyle w:val="000000000000" w:firstRow="0" w:lastRow="0" w:firstColumn="0" w:lastColumn="0" w:oddVBand="0" w:evenVBand="0" w:oddHBand="0" w:evenHBand="0" w:firstRowFirstColumn="0" w:firstRowLastColumn="0" w:lastRowFirstColumn="0" w:lastRowLastColumn="0"/>
            </w:pPr>
            <w:r>
              <w:t>12 382</w:t>
            </w:r>
          </w:p>
        </w:tc>
        <w:tc>
          <w:tcPr>
            <w:tcW w:w="794" w:type="dxa"/>
          </w:tcPr>
          <w:p w14:paraId="71207EB1" w14:textId="77777777" w:rsidR="00AB205D" w:rsidRDefault="00471A3B">
            <w:pPr>
              <w:cnfStyle w:val="000000000000" w:firstRow="0" w:lastRow="0" w:firstColumn="0" w:lastColumn="0" w:oddVBand="0" w:evenVBand="0" w:oddHBand="0" w:evenHBand="0" w:firstRowFirstColumn="0" w:firstRowLastColumn="0" w:lastRowFirstColumn="0" w:lastRowLastColumn="0"/>
            </w:pPr>
            <w:r>
              <w:t>12 667</w:t>
            </w:r>
          </w:p>
        </w:tc>
        <w:tc>
          <w:tcPr>
            <w:tcW w:w="794" w:type="dxa"/>
          </w:tcPr>
          <w:p w14:paraId="06A92F49" w14:textId="77777777" w:rsidR="00AB205D" w:rsidRDefault="00471A3B">
            <w:pPr>
              <w:cnfStyle w:val="000000000000" w:firstRow="0" w:lastRow="0" w:firstColumn="0" w:lastColumn="0" w:oddVBand="0" w:evenVBand="0" w:oddHBand="0" w:evenHBand="0" w:firstRowFirstColumn="0" w:firstRowLastColumn="0" w:lastRowFirstColumn="0" w:lastRowLastColumn="0"/>
            </w:pPr>
            <w:r>
              <w:t>14 232</w:t>
            </w:r>
          </w:p>
        </w:tc>
        <w:tc>
          <w:tcPr>
            <w:tcW w:w="794" w:type="dxa"/>
          </w:tcPr>
          <w:p w14:paraId="2387B50D" w14:textId="77777777" w:rsidR="00AB205D" w:rsidRDefault="00471A3B">
            <w:pPr>
              <w:cnfStyle w:val="000000000000" w:firstRow="0" w:lastRow="0" w:firstColumn="0" w:lastColumn="0" w:oddVBand="0" w:evenVBand="0" w:oddHBand="0" w:evenHBand="0" w:firstRowFirstColumn="0" w:firstRowLastColumn="0" w:lastRowFirstColumn="0" w:lastRowLastColumn="0"/>
            </w:pPr>
            <w:r>
              <w:t>16 046</w:t>
            </w:r>
          </w:p>
        </w:tc>
        <w:tc>
          <w:tcPr>
            <w:tcW w:w="794" w:type="dxa"/>
          </w:tcPr>
          <w:p w14:paraId="283969AC" w14:textId="77777777" w:rsidR="00AB205D" w:rsidRDefault="00471A3B">
            <w:pPr>
              <w:cnfStyle w:val="000000000000" w:firstRow="0" w:lastRow="0" w:firstColumn="0" w:lastColumn="0" w:oddVBand="0" w:evenVBand="0" w:oddHBand="0" w:evenHBand="0" w:firstRowFirstColumn="0" w:firstRowLastColumn="0" w:lastRowFirstColumn="0" w:lastRowLastColumn="0"/>
            </w:pPr>
            <w:r>
              <w:t>18 158</w:t>
            </w:r>
          </w:p>
        </w:tc>
      </w:tr>
      <w:tr w:rsidR="009C6724" w14:paraId="538841D9"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0137E150" w14:textId="77777777" w:rsidR="00AB205D" w:rsidRDefault="00471A3B">
            <w:r>
              <w:t>Australian dollar term deposits</w:t>
            </w:r>
          </w:p>
        </w:tc>
        <w:tc>
          <w:tcPr>
            <w:tcW w:w="794" w:type="dxa"/>
          </w:tcPr>
          <w:p w14:paraId="57CB6E49" w14:textId="77777777" w:rsidR="00AB205D" w:rsidRDefault="00471A3B">
            <w:pPr>
              <w:cnfStyle w:val="000000000000" w:firstRow="0" w:lastRow="0" w:firstColumn="0" w:lastColumn="0" w:oddVBand="0" w:evenVBand="0" w:oddHBand="0" w:evenHBand="0" w:firstRowFirstColumn="0" w:firstRowLastColumn="0" w:lastRowFirstColumn="0" w:lastRowLastColumn="0"/>
            </w:pPr>
            <w:r>
              <w:t>4</w:t>
            </w:r>
          </w:p>
        </w:tc>
        <w:tc>
          <w:tcPr>
            <w:tcW w:w="794" w:type="dxa"/>
          </w:tcPr>
          <w:p w14:paraId="3252D784" w14:textId="77777777" w:rsidR="00AB205D" w:rsidRDefault="00471A3B">
            <w:pPr>
              <w:cnfStyle w:val="000000000000" w:firstRow="0" w:lastRow="0" w:firstColumn="0" w:lastColumn="0" w:oddVBand="0" w:evenVBand="0" w:oddHBand="0" w:evenHBand="0" w:firstRowFirstColumn="0" w:firstRowLastColumn="0" w:lastRowFirstColumn="0" w:lastRowLastColumn="0"/>
            </w:pPr>
            <w:r>
              <w:t>4</w:t>
            </w:r>
          </w:p>
        </w:tc>
        <w:tc>
          <w:tcPr>
            <w:tcW w:w="794" w:type="dxa"/>
          </w:tcPr>
          <w:p w14:paraId="2F229E99" w14:textId="77777777" w:rsidR="00AB205D" w:rsidRDefault="00471A3B">
            <w:pPr>
              <w:cnfStyle w:val="000000000000" w:firstRow="0" w:lastRow="0" w:firstColumn="0" w:lastColumn="0" w:oddVBand="0" w:evenVBand="0" w:oddHBand="0" w:evenHBand="0" w:firstRowFirstColumn="0" w:firstRowLastColumn="0" w:lastRowFirstColumn="0" w:lastRowLastColumn="0"/>
            </w:pPr>
            <w:r>
              <w:t>4</w:t>
            </w:r>
          </w:p>
        </w:tc>
        <w:tc>
          <w:tcPr>
            <w:tcW w:w="794" w:type="dxa"/>
          </w:tcPr>
          <w:p w14:paraId="5E2B1D89" w14:textId="77777777" w:rsidR="00AB205D" w:rsidRDefault="00471A3B">
            <w:pPr>
              <w:cnfStyle w:val="000000000000" w:firstRow="0" w:lastRow="0" w:firstColumn="0" w:lastColumn="0" w:oddVBand="0" w:evenVBand="0" w:oddHBand="0" w:evenHBand="0" w:firstRowFirstColumn="0" w:firstRowLastColumn="0" w:lastRowFirstColumn="0" w:lastRowLastColumn="0"/>
            </w:pPr>
            <w:r>
              <w:t>4</w:t>
            </w:r>
          </w:p>
        </w:tc>
        <w:tc>
          <w:tcPr>
            <w:tcW w:w="794" w:type="dxa"/>
          </w:tcPr>
          <w:p w14:paraId="3718F553" w14:textId="77777777" w:rsidR="00AB205D" w:rsidRDefault="00471A3B">
            <w:pPr>
              <w:cnfStyle w:val="000000000000" w:firstRow="0" w:lastRow="0" w:firstColumn="0" w:lastColumn="0" w:oddVBand="0" w:evenVBand="0" w:oddHBand="0" w:evenHBand="0" w:firstRowFirstColumn="0" w:firstRowLastColumn="0" w:lastRowFirstColumn="0" w:lastRowLastColumn="0"/>
            </w:pPr>
            <w:r>
              <w:t>4</w:t>
            </w:r>
          </w:p>
        </w:tc>
      </w:tr>
      <w:tr w:rsidR="009C6724" w14:paraId="2ACA4DA0"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D5313B9" w14:textId="77777777" w:rsidR="00AB205D" w:rsidRDefault="00471A3B">
            <w:r>
              <w:t>Debt securities</w:t>
            </w:r>
          </w:p>
        </w:tc>
        <w:tc>
          <w:tcPr>
            <w:tcW w:w="794" w:type="dxa"/>
          </w:tcPr>
          <w:p w14:paraId="67287DA4" w14:textId="77777777" w:rsidR="00AB205D" w:rsidRDefault="00471A3B">
            <w:pPr>
              <w:cnfStyle w:val="000000000000" w:firstRow="0" w:lastRow="0" w:firstColumn="0" w:lastColumn="0" w:oddVBand="0" w:evenVBand="0" w:oddHBand="0" w:evenHBand="0" w:firstRowFirstColumn="0" w:firstRowLastColumn="0" w:lastRowFirstColumn="0" w:lastRowLastColumn="0"/>
            </w:pPr>
            <w:r>
              <w:t>22</w:t>
            </w:r>
          </w:p>
        </w:tc>
        <w:tc>
          <w:tcPr>
            <w:tcW w:w="794" w:type="dxa"/>
          </w:tcPr>
          <w:p w14:paraId="1768E9D4" w14:textId="77777777" w:rsidR="00AB205D" w:rsidRDefault="00471A3B">
            <w:pPr>
              <w:cnfStyle w:val="000000000000" w:firstRow="0" w:lastRow="0" w:firstColumn="0" w:lastColumn="0" w:oddVBand="0" w:evenVBand="0" w:oddHBand="0" w:evenHBand="0" w:firstRowFirstColumn="0" w:firstRowLastColumn="0" w:lastRowFirstColumn="0" w:lastRowLastColumn="0"/>
            </w:pPr>
            <w:r>
              <w:t>22</w:t>
            </w:r>
          </w:p>
        </w:tc>
        <w:tc>
          <w:tcPr>
            <w:tcW w:w="794" w:type="dxa"/>
          </w:tcPr>
          <w:p w14:paraId="2EDF170D" w14:textId="77777777" w:rsidR="00AB205D" w:rsidRDefault="00471A3B">
            <w:pPr>
              <w:cnfStyle w:val="000000000000" w:firstRow="0" w:lastRow="0" w:firstColumn="0" w:lastColumn="0" w:oddVBand="0" w:evenVBand="0" w:oddHBand="0" w:evenHBand="0" w:firstRowFirstColumn="0" w:firstRowLastColumn="0" w:lastRowFirstColumn="0" w:lastRowLastColumn="0"/>
            </w:pPr>
            <w:r>
              <w:t>22</w:t>
            </w:r>
          </w:p>
        </w:tc>
        <w:tc>
          <w:tcPr>
            <w:tcW w:w="794" w:type="dxa"/>
          </w:tcPr>
          <w:p w14:paraId="3F840791" w14:textId="77777777" w:rsidR="00AB205D" w:rsidRDefault="00471A3B">
            <w:pPr>
              <w:cnfStyle w:val="000000000000" w:firstRow="0" w:lastRow="0" w:firstColumn="0" w:lastColumn="0" w:oddVBand="0" w:evenVBand="0" w:oddHBand="0" w:evenHBand="0" w:firstRowFirstColumn="0" w:firstRowLastColumn="0" w:lastRowFirstColumn="0" w:lastRowLastColumn="0"/>
            </w:pPr>
            <w:r>
              <w:t>22</w:t>
            </w:r>
          </w:p>
        </w:tc>
        <w:tc>
          <w:tcPr>
            <w:tcW w:w="794" w:type="dxa"/>
          </w:tcPr>
          <w:p w14:paraId="47232835" w14:textId="77777777" w:rsidR="00AB205D" w:rsidRDefault="00471A3B">
            <w:pPr>
              <w:cnfStyle w:val="000000000000" w:firstRow="0" w:lastRow="0" w:firstColumn="0" w:lastColumn="0" w:oddVBand="0" w:evenVBand="0" w:oddHBand="0" w:evenHBand="0" w:firstRowFirstColumn="0" w:firstRowLastColumn="0" w:lastRowFirstColumn="0" w:lastRowLastColumn="0"/>
            </w:pPr>
            <w:r>
              <w:t>22</w:t>
            </w:r>
          </w:p>
        </w:tc>
      </w:tr>
      <w:tr w:rsidR="009C6724" w14:paraId="48B516FD"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2E10BAD5" w14:textId="77777777" w:rsidR="00AB205D" w:rsidRDefault="00471A3B">
            <w:r>
              <w:t>Derivative financial instruments</w:t>
            </w:r>
          </w:p>
        </w:tc>
        <w:tc>
          <w:tcPr>
            <w:tcW w:w="794" w:type="dxa"/>
            <w:tcBorders>
              <w:bottom w:val="single" w:sz="6" w:space="0" w:color="auto"/>
            </w:tcBorders>
          </w:tcPr>
          <w:p w14:paraId="52DC50B3" w14:textId="77777777" w:rsidR="00AB205D" w:rsidRDefault="00471A3B">
            <w:pPr>
              <w:cnfStyle w:val="000000000000" w:firstRow="0" w:lastRow="0" w:firstColumn="0" w:lastColumn="0" w:oddVBand="0" w:evenVBand="0" w:oddHBand="0" w:evenHBand="0" w:firstRowFirstColumn="0" w:firstRowLastColumn="0" w:lastRowFirstColumn="0" w:lastRowLastColumn="0"/>
            </w:pPr>
            <w:r>
              <w:t>5</w:t>
            </w:r>
          </w:p>
        </w:tc>
        <w:tc>
          <w:tcPr>
            <w:tcW w:w="794" w:type="dxa"/>
            <w:tcBorders>
              <w:bottom w:val="single" w:sz="6" w:space="0" w:color="auto"/>
            </w:tcBorders>
          </w:tcPr>
          <w:p w14:paraId="6910BC44" w14:textId="77777777" w:rsidR="00AB205D" w:rsidRDefault="00471A3B">
            <w:pPr>
              <w:cnfStyle w:val="000000000000" w:firstRow="0" w:lastRow="0" w:firstColumn="0" w:lastColumn="0" w:oddVBand="0" w:evenVBand="0" w:oddHBand="0" w:evenHBand="0" w:firstRowFirstColumn="0" w:firstRowLastColumn="0" w:lastRowFirstColumn="0" w:lastRowLastColumn="0"/>
            </w:pPr>
            <w:r>
              <w:t>5</w:t>
            </w:r>
          </w:p>
        </w:tc>
        <w:tc>
          <w:tcPr>
            <w:tcW w:w="794" w:type="dxa"/>
            <w:tcBorders>
              <w:bottom w:val="single" w:sz="6" w:space="0" w:color="auto"/>
            </w:tcBorders>
          </w:tcPr>
          <w:p w14:paraId="4213635B" w14:textId="77777777" w:rsidR="00AB205D" w:rsidRDefault="00471A3B">
            <w:pPr>
              <w:cnfStyle w:val="000000000000" w:firstRow="0" w:lastRow="0" w:firstColumn="0" w:lastColumn="0" w:oddVBand="0" w:evenVBand="0" w:oddHBand="0" w:evenHBand="0" w:firstRowFirstColumn="0" w:firstRowLastColumn="0" w:lastRowFirstColumn="0" w:lastRowLastColumn="0"/>
            </w:pPr>
            <w:r>
              <w:t>5</w:t>
            </w:r>
          </w:p>
        </w:tc>
        <w:tc>
          <w:tcPr>
            <w:tcW w:w="794" w:type="dxa"/>
            <w:tcBorders>
              <w:bottom w:val="single" w:sz="6" w:space="0" w:color="auto"/>
            </w:tcBorders>
          </w:tcPr>
          <w:p w14:paraId="7CD76E0D" w14:textId="77777777" w:rsidR="00AB205D" w:rsidRDefault="00471A3B">
            <w:pPr>
              <w:cnfStyle w:val="000000000000" w:firstRow="0" w:lastRow="0" w:firstColumn="0" w:lastColumn="0" w:oddVBand="0" w:evenVBand="0" w:oddHBand="0" w:evenHBand="0" w:firstRowFirstColumn="0" w:firstRowLastColumn="0" w:lastRowFirstColumn="0" w:lastRowLastColumn="0"/>
            </w:pPr>
            <w:r>
              <w:t>5</w:t>
            </w:r>
          </w:p>
        </w:tc>
        <w:tc>
          <w:tcPr>
            <w:tcW w:w="794" w:type="dxa"/>
            <w:tcBorders>
              <w:bottom w:val="single" w:sz="6" w:space="0" w:color="auto"/>
            </w:tcBorders>
          </w:tcPr>
          <w:p w14:paraId="6FA5DA50" w14:textId="77777777" w:rsidR="00AB205D" w:rsidRDefault="00471A3B">
            <w:pPr>
              <w:cnfStyle w:val="000000000000" w:firstRow="0" w:lastRow="0" w:firstColumn="0" w:lastColumn="0" w:oddVBand="0" w:evenVBand="0" w:oddHBand="0" w:evenHBand="0" w:firstRowFirstColumn="0" w:firstRowLastColumn="0" w:lastRowFirstColumn="0" w:lastRowLastColumn="0"/>
            </w:pPr>
            <w:r>
              <w:t>5</w:t>
            </w:r>
          </w:p>
        </w:tc>
      </w:tr>
      <w:tr w:rsidR="009C6724" w14:paraId="3BA3CEED"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663FBF59" w14:textId="77777777" w:rsidR="00AB205D" w:rsidRDefault="00471A3B">
            <w:r>
              <w:rPr>
                <w:b/>
              </w:rPr>
              <w:t>Total non</w:t>
            </w:r>
            <w:r>
              <w:rPr>
                <w:b/>
              </w:rPr>
              <w:noBreakHyphen/>
              <w:t>current advances paid and investments, loans and placements</w:t>
            </w:r>
          </w:p>
        </w:tc>
        <w:tc>
          <w:tcPr>
            <w:tcW w:w="794" w:type="dxa"/>
            <w:tcBorders>
              <w:top w:val="single" w:sz="6" w:space="0" w:color="auto"/>
              <w:bottom w:val="single" w:sz="6" w:space="0" w:color="auto"/>
            </w:tcBorders>
          </w:tcPr>
          <w:p w14:paraId="369CB89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18 459</w:t>
            </w:r>
          </w:p>
        </w:tc>
        <w:tc>
          <w:tcPr>
            <w:tcW w:w="794" w:type="dxa"/>
            <w:tcBorders>
              <w:top w:val="single" w:sz="6" w:space="0" w:color="auto"/>
              <w:bottom w:val="single" w:sz="6" w:space="0" w:color="auto"/>
            </w:tcBorders>
          </w:tcPr>
          <w:p w14:paraId="3561302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18 572</w:t>
            </w:r>
          </w:p>
        </w:tc>
        <w:tc>
          <w:tcPr>
            <w:tcW w:w="794" w:type="dxa"/>
            <w:tcBorders>
              <w:top w:val="single" w:sz="6" w:space="0" w:color="auto"/>
              <w:bottom w:val="single" w:sz="6" w:space="0" w:color="auto"/>
            </w:tcBorders>
          </w:tcPr>
          <w:p w14:paraId="6C7FFDD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20 340</w:t>
            </w:r>
          </w:p>
        </w:tc>
        <w:tc>
          <w:tcPr>
            <w:tcW w:w="794" w:type="dxa"/>
            <w:tcBorders>
              <w:top w:val="single" w:sz="6" w:space="0" w:color="auto"/>
              <w:bottom w:val="single" w:sz="6" w:space="0" w:color="auto"/>
            </w:tcBorders>
          </w:tcPr>
          <w:p w14:paraId="053AD0A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22 180</w:t>
            </w:r>
          </w:p>
        </w:tc>
        <w:tc>
          <w:tcPr>
            <w:tcW w:w="794" w:type="dxa"/>
            <w:tcBorders>
              <w:top w:val="single" w:sz="6" w:space="0" w:color="auto"/>
              <w:bottom w:val="single" w:sz="6" w:space="0" w:color="auto"/>
            </w:tcBorders>
          </w:tcPr>
          <w:p w14:paraId="3C62F6D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24 321</w:t>
            </w:r>
          </w:p>
        </w:tc>
      </w:tr>
      <w:tr w:rsidR="009C6724" w14:paraId="1D654E62"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16461E83" w14:textId="77777777" w:rsidR="00AB205D" w:rsidRDefault="00471A3B">
            <w:r>
              <w:rPr>
                <w:b/>
              </w:rPr>
              <w:t>Total advances paid and investments, loans and placements</w:t>
            </w:r>
          </w:p>
        </w:tc>
        <w:tc>
          <w:tcPr>
            <w:tcW w:w="794" w:type="dxa"/>
            <w:tcBorders>
              <w:top w:val="single" w:sz="6" w:space="0" w:color="auto"/>
              <w:bottom w:val="single" w:sz="12" w:space="0" w:color="auto"/>
            </w:tcBorders>
          </w:tcPr>
          <w:p w14:paraId="1B0D34D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20 143</w:t>
            </w:r>
          </w:p>
        </w:tc>
        <w:tc>
          <w:tcPr>
            <w:tcW w:w="794" w:type="dxa"/>
            <w:tcBorders>
              <w:top w:val="single" w:sz="6" w:space="0" w:color="auto"/>
              <w:bottom w:val="single" w:sz="12" w:space="0" w:color="auto"/>
            </w:tcBorders>
          </w:tcPr>
          <w:p w14:paraId="64B1379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20 042</w:t>
            </w:r>
          </w:p>
        </w:tc>
        <w:tc>
          <w:tcPr>
            <w:tcW w:w="794" w:type="dxa"/>
            <w:tcBorders>
              <w:top w:val="single" w:sz="6" w:space="0" w:color="auto"/>
              <w:bottom w:val="single" w:sz="12" w:space="0" w:color="auto"/>
            </w:tcBorders>
          </w:tcPr>
          <w:p w14:paraId="7DAE254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21 632</w:t>
            </w:r>
          </w:p>
        </w:tc>
        <w:tc>
          <w:tcPr>
            <w:tcW w:w="794" w:type="dxa"/>
            <w:tcBorders>
              <w:top w:val="single" w:sz="6" w:space="0" w:color="auto"/>
              <w:bottom w:val="single" w:sz="12" w:space="0" w:color="auto"/>
            </w:tcBorders>
          </w:tcPr>
          <w:p w14:paraId="1CD9AA1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23 440</w:t>
            </w:r>
          </w:p>
        </w:tc>
        <w:tc>
          <w:tcPr>
            <w:tcW w:w="794" w:type="dxa"/>
            <w:tcBorders>
              <w:top w:val="single" w:sz="6" w:space="0" w:color="auto"/>
              <w:bottom w:val="single" w:sz="12" w:space="0" w:color="auto"/>
            </w:tcBorders>
          </w:tcPr>
          <w:p w14:paraId="655F8B0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25 606</w:t>
            </w:r>
          </w:p>
        </w:tc>
      </w:tr>
      <w:tr w:rsidR="009C6724" w14:paraId="6CBE5D0D"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527CB9FA" w14:textId="77777777" w:rsidR="00AB205D" w:rsidRDefault="00471A3B">
            <w:r>
              <w:rPr>
                <w:b/>
              </w:rPr>
              <w:t>Represented by:</w:t>
            </w:r>
          </w:p>
        </w:tc>
        <w:tc>
          <w:tcPr>
            <w:tcW w:w="794" w:type="dxa"/>
            <w:tcBorders>
              <w:top w:val="single" w:sz="6" w:space="0" w:color="auto"/>
            </w:tcBorders>
          </w:tcPr>
          <w:p w14:paraId="15F78463"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539E9844"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06443B6E"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02A88C75"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17211F66"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762D91BC"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5E04BA20" w14:textId="77777777" w:rsidR="00AB205D" w:rsidRDefault="00471A3B">
            <w:r>
              <w:t>Advances paid</w:t>
            </w:r>
          </w:p>
        </w:tc>
        <w:tc>
          <w:tcPr>
            <w:tcW w:w="794" w:type="dxa"/>
          </w:tcPr>
          <w:p w14:paraId="766547F2" w14:textId="77777777" w:rsidR="00AB205D" w:rsidRDefault="00471A3B">
            <w:pPr>
              <w:cnfStyle w:val="000000000000" w:firstRow="0" w:lastRow="0" w:firstColumn="0" w:lastColumn="0" w:oddVBand="0" w:evenVBand="0" w:oddHBand="0" w:evenHBand="0" w:firstRowFirstColumn="0" w:firstRowLastColumn="0" w:lastRowFirstColumn="0" w:lastRowLastColumn="0"/>
            </w:pPr>
            <w:r>
              <w:t>6 770</w:t>
            </w:r>
          </w:p>
        </w:tc>
        <w:tc>
          <w:tcPr>
            <w:tcW w:w="794" w:type="dxa"/>
          </w:tcPr>
          <w:p w14:paraId="26860574" w14:textId="77777777" w:rsidR="00AB205D" w:rsidRDefault="00471A3B">
            <w:pPr>
              <w:cnfStyle w:val="000000000000" w:firstRow="0" w:lastRow="0" w:firstColumn="0" w:lastColumn="0" w:oddVBand="0" w:evenVBand="0" w:oddHBand="0" w:evenHBand="0" w:firstRowFirstColumn="0" w:firstRowLastColumn="0" w:lastRowFirstColumn="0" w:lastRowLastColumn="0"/>
            </w:pPr>
            <w:r>
              <w:t>6 389</w:t>
            </w:r>
          </w:p>
        </w:tc>
        <w:tc>
          <w:tcPr>
            <w:tcW w:w="794" w:type="dxa"/>
          </w:tcPr>
          <w:p w14:paraId="7E8BF466" w14:textId="77777777" w:rsidR="00AB205D" w:rsidRDefault="00471A3B">
            <w:pPr>
              <w:cnfStyle w:val="000000000000" w:firstRow="0" w:lastRow="0" w:firstColumn="0" w:lastColumn="0" w:oddVBand="0" w:evenVBand="0" w:oddHBand="0" w:evenHBand="0" w:firstRowFirstColumn="0" w:firstRowLastColumn="0" w:lastRowFirstColumn="0" w:lastRowLastColumn="0"/>
            </w:pPr>
            <w:r>
              <w:t>6 415</w:t>
            </w:r>
          </w:p>
        </w:tc>
        <w:tc>
          <w:tcPr>
            <w:tcW w:w="794" w:type="dxa"/>
          </w:tcPr>
          <w:p w14:paraId="5A2BF546" w14:textId="77777777" w:rsidR="00AB205D" w:rsidRDefault="00471A3B">
            <w:pPr>
              <w:cnfStyle w:val="000000000000" w:firstRow="0" w:lastRow="0" w:firstColumn="0" w:lastColumn="0" w:oddVBand="0" w:evenVBand="0" w:oddHBand="0" w:evenHBand="0" w:firstRowFirstColumn="0" w:firstRowLastColumn="0" w:lastRowFirstColumn="0" w:lastRowLastColumn="0"/>
            </w:pPr>
            <w:r>
              <w:t>6 413</w:t>
            </w:r>
          </w:p>
        </w:tc>
        <w:tc>
          <w:tcPr>
            <w:tcW w:w="794" w:type="dxa"/>
          </w:tcPr>
          <w:p w14:paraId="636D60F5" w14:textId="77777777" w:rsidR="00AB205D" w:rsidRDefault="00471A3B">
            <w:pPr>
              <w:cnfStyle w:val="000000000000" w:firstRow="0" w:lastRow="0" w:firstColumn="0" w:lastColumn="0" w:oddVBand="0" w:evenVBand="0" w:oddHBand="0" w:evenHBand="0" w:firstRowFirstColumn="0" w:firstRowLastColumn="0" w:lastRowFirstColumn="0" w:lastRowLastColumn="0"/>
            </w:pPr>
            <w:r>
              <w:t>6 448</w:t>
            </w:r>
          </w:p>
        </w:tc>
      </w:tr>
      <w:tr w:rsidR="009C6724" w14:paraId="040E2D0A"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12" w:space="0" w:color="auto"/>
            </w:tcBorders>
          </w:tcPr>
          <w:p w14:paraId="4D3CC75E" w14:textId="77777777" w:rsidR="00AB205D" w:rsidRDefault="00471A3B">
            <w:r>
              <w:t>Investments, loans and placements</w:t>
            </w:r>
          </w:p>
        </w:tc>
        <w:tc>
          <w:tcPr>
            <w:tcW w:w="794" w:type="dxa"/>
            <w:tcBorders>
              <w:bottom w:val="single" w:sz="12" w:space="0" w:color="auto"/>
            </w:tcBorders>
          </w:tcPr>
          <w:p w14:paraId="2FB9348C" w14:textId="77777777" w:rsidR="00AB205D" w:rsidRDefault="00471A3B">
            <w:pPr>
              <w:cnfStyle w:val="000000000000" w:firstRow="0" w:lastRow="0" w:firstColumn="0" w:lastColumn="0" w:oddVBand="0" w:evenVBand="0" w:oddHBand="0" w:evenHBand="0" w:firstRowFirstColumn="0" w:firstRowLastColumn="0" w:lastRowFirstColumn="0" w:lastRowLastColumn="0"/>
            </w:pPr>
            <w:r>
              <w:t>13 374</w:t>
            </w:r>
          </w:p>
        </w:tc>
        <w:tc>
          <w:tcPr>
            <w:tcW w:w="794" w:type="dxa"/>
            <w:tcBorders>
              <w:bottom w:val="single" w:sz="12" w:space="0" w:color="auto"/>
            </w:tcBorders>
          </w:tcPr>
          <w:p w14:paraId="6F2198B4" w14:textId="77777777" w:rsidR="00AB205D" w:rsidRDefault="00471A3B">
            <w:pPr>
              <w:cnfStyle w:val="000000000000" w:firstRow="0" w:lastRow="0" w:firstColumn="0" w:lastColumn="0" w:oddVBand="0" w:evenVBand="0" w:oddHBand="0" w:evenHBand="0" w:firstRowFirstColumn="0" w:firstRowLastColumn="0" w:lastRowFirstColumn="0" w:lastRowLastColumn="0"/>
            </w:pPr>
            <w:r>
              <w:t>13 652</w:t>
            </w:r>
          </w:p>
        </w:tc>
        <w:tc>
          <w:tcPr>
            <w:tcW w:w="794" w:type="dxa"/>
            <w:tcBorders>
              <w:bottom w:val="single" w:sz="12" w:space="0" w:color="auto"/>
            </w:tcBorders>
          </w:tcPr>
          <w:p w14:paraId="76EC13EB" w14:textId="77777777" w:rsidR="00AB205D" w:rsidRDefault="00471A3B">
            <w:pPr>
              <w:cnfStyle w:val="000000000000" w:firstRow="0" w:lastRow="0" w:firstColumn="0" w:lastColumn="0" w:oddVBand="0" w:evenVBand="0" w:oddHBand="0" w:evenHBand="0" w:firstRowFirstColumn="0" w:firstRowLastColumn="0" w:lastRowFirstColumn="0" w:lastRowLastColumn="0"/>
            </w:pPr>
            <w:r>
              <w:t>15 217</w:t>
            </w:r>
          </w:p>
        </w:tc>
        <w:tc>
          <w:tcPr>
            <w:tcW w:w="794" w:type="dxa"/>
            <w:tcBorders>
              <w:bottom w:val="single" w:sz="12" w:space="0" w:color="auto"/>
            </w:tcBorders>
          </w:tcPr>
          <w:p w14:paraId="59C5192D" w14:textId="77777777" w:rsidR="00AB205D" w:rsidRDefault="00471A3B">
            <w:pPr>
              <w:cnfStyle w:val="000000000000" w:firstRow="0" w:lastRow="0" w:firstColumn="0" w:lastColumn="0" w:oddVBand="0" w:evenVBand="0" w:oddHBand="0" w:evenHBand="0" w:firstRowFirstColumn="0" w:firstRowLastColumn="0" w:lastRowFirstColumn="0" w:lastRowLastColumn="0"/>
            </w:pPr>
            <w:r>
              <w:t>17 027</w:t>
            </w:r>
          </w:p>
        </w:tc>
        <w:tc>
          <w:tcPr>
            <w:tcW w:w="794" w:type="dxa"/>
            <w:tcBorders>
              <w:bottom w:val="single" w:sz="12" w:space="0" w:color="auto"/>
            </w:tcBorders>
          </w:tcPr>
          <w:p w14:paraId="7963C875" w14:textId="77777777" w:rsidR="00AB205D" w:rsidRDefault="00471A3B">
            <w:pPr>
              <w:cnfStyle w:val="000000000000" w:firstRow="0" w:lastRow="0" w:firstColumn="0" w:lastColumn="0" w:oddVBand="0" w:evenVBand="0" w:oddHBand="0" w:evenHBand="0" w:firstRowFirstColumn="0" w:firstRowLastColumn="0" w:lastRowFirstColumn="0" w:lastRowLastColumn="0"/>
            </w:pPr>
            <w:r>
              <w:t>19 158</w:t>
            </w:r>
          </w:p>
        </w:tc>
      </w:tr>
    </w:tbl>
    <w:p w14:paraId="2EE287EA" w14:textId="77777777" w:rsidR="00AB205D" w:rsidRDefault="00AB205D"/>
    <w:p w14:paraId="4384E716" w14:textId="77777777" w:rsidR="00AB205D" w:rsidRDefault="00AB205D"/>
    <w:p w14:paraId="5CA210FB" w14:textId="77777777" w:rsidR="00AB205D" w:rsidRPr="00867E82" w:rsidRDefault="00471A3B">
      <w:pPr>
        <w:pStyle w:val="Heading3"/>
        <w:rPr>
          <w:sz w:val="21"/>
          <w:szCs w:val="21"/>
        </w:rPr>
      </w:pPr>
      <w:bookmarkStart w:id="70" w:name="_Toc150443758"/>
      <w:r w:rsidRPr="00867E82">
        <w:rPr>
          <w:sz w:val="21"/>
          <w:szCs w:val="21"/>
        </w:rPr>
        <w:t>Interest expense</w:t>
      </w:r>
      <w:r w:rsidRPr="00867E82">
        <w:rPr>
          <w:sz w:val="21"/>
          <w:szCs w:val="21"/>
        </w:rPr>
        <w:tab/>
        <w:t>($ million)</w:t>
      </w:r>
      <w:bookmarkEnd w:id="70"/>
    </w:p>
    <w:tbl>
      <w:tblPr>
        <w:tblStyle w:val="DTFTableNumeric"/>
        <w:tblW w:w="7710" w:type="dxa"/>
        <w:tblLayout w:type="fixed"/>
        <w:tblLook w:val="06A0" w:firstRow="1" w:lastRow="0" w:firstColumn="1" w:lastColumn="0" w:noHBand="1" w:noVBand="1"/>
        <w:tblDescription w:val="Type:DtfTable|Workbook:Rawdata\BudgetUpdate\Budget Update\Financial Statements\SRIMS exports\SRIMS_BU_EFS_OS.xlsx|Table:Interest_expense|MergedHeadingRow:1"/>
      </w:tblPr>
      <w:tblGrid>
        <w:gridCol w:w="3740"/>
        <w:gridCol w:w="794"/>
        <w:gridCol w:w="794"/>
        <w:gridCol w:w="794"/>
        <w:gridCol w:w="794"/>
        <w:gridCol w:w="794"/>
      </w:tblGrid>
      <w:tr w:rsidR="009C6724" w14:paraId="140CA3BA"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50724CCB" w14:textId="77777777" w:rsidR="00AB205D" w:rsidRDefault="00AB205D">
            <w:pPr>
              <w:keepNext/>
            </w:pPr>
          </w:p>
        </w:tc>
        <w:tc>
          <w:tcPr>
            <w:tcW w:w="794" w:type="dxa"/>
          </w:tcPr>
          <w:p w14:paraId="4BF8D8E5"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budget</w:t>
            </w:r>
          </w:p>
        </w:tc>
        <w:tc>
          <w:tcPr>
            <w:tcW w:w="794" w:type="dxa"/>
          </w:tcPr>
          <w:p w14:paraId="24A5982B"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revised</w:t>
            </w:r>
          </w:p>
        </w:tc>
        <w:tc>
          <w:tcPr>
            <w:tcW w:w="794" w:type="dxa"/>
          </w:tcPr>
          <w:p w14:paraId="7FCB6E54"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r>
              <w:br/>
              <w:t>estimate</w:t>
            </w:r>
          </w:p>
        </w:tc>
        <w:tc>
          <w:tcPr>
            <w:tcW w:w="794" w:type="dxa"/>
          </w:tcPr>
          <w:p w14:paraId="3A547C02"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56263D5B"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r>
      <w:tr w:rsidR="009C6724" w14:paraId="2E652C81"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3F1DDFA" w14:textId="77777777" w:rsidR="00AB205D" w:rsidRDefault="00471A3B">
            <w:r>
              <w:t>Interest on interest bearing liabilities and deposits</w:t>
            </w:r>
          </w:p>
        </w:tc>
        <w:tc>
          <w:tcPr>
            <w:tcW w:w="794" w:type="dxa"/>
          </w:tcPr>
          <w:p w14:paraId="30DD9DA2" w14:textId="77777777" w:rsidR="00AB205D" w:rsidRDefault="00471A3B">
            <w:pPr>
              <w:cnfStyle w:val="000000000000" w:firstRow="0" w:lastRow="0" w:firstColumn="0" w:lastColumn="0" w:oddVBand="0" w:evenVBand="0" w:oddHBand="0" w:evenHBand="0" w:firstRowFirstColumn="0" w:firstRowLastColumn="0" w:lastRowFirstColumn="0" w:lastRowLastColumn="0"/>
            </w:pPr>
            <w:r>
              <w:t>4 768</w:t>
            </w:r>
          </w:p>
        </w:tc>
        <w:tc>
          <w:tcPr>
            <w:tcW w:w="794" w:type="dxa"/>
          </w:tcPr>
          <w:p w14:paraId="40F51336" w14:textId="77777777" w:rsidR="00AB205D" w:rsidRDefault="00471A3B">
            <w:pPr>
              <w:cnfStyle w:val="000000000000" w:firstRow="0" w:lastRow="0" w:firstColumn="0" w:lastColumn="0" w:oddVBand="0" w:evenVBand="0" w:oddHBand="0" w:evenHBand="0" w:firstRowFirstColumn="0" w:firstRowLastColumn="0" w:lastRowFirstColumn="0" w:lastRowLastColumn="0"/>
            </w:pPr>
            <w:r>
              <w:t>4 864</w:t>
            </w:r>
          </w:p>
        </w:tc>
        <w:tc>
          <w:tcPr>
            <w:tcW w:w="794" w:type="dxa"/>
          </w:tcPr>
          <w:p w14:paraId="14EEE3C6" w14:textId="77777777" w:rsidR="00AB205D" w:rsidRDefault="00471A3B">
            <w:pPr>
              <w:cnfStyle w:val="000000000000" w:firstRow="0" w:lastRow="0" w:firstColumn="0" w:lastColumn="0" w:oddVBand="0" w:evenVBand="0" w:oddHBand="0" w:evenHBand="0" w:firstRowFirstColumn="0" w:firstRowLastColumn="0" w:lastRowFirstColumn="0" w:lastRowLastColumn="0"/>
            </w:pPr>
            <w:r>
              <w:t>5 816</w:t>
            </w:r>
          </w:p>
        </w:tc>
        <w:tc>
          <w:tcPr>
            <w:tcW w:w="794" w:type="dxa"/>
          </w:tcPr>
          <w:p w14:paraId="2BA4DEA6" w14:textId="77777777" w:rsidR="00AB205D" w:rsidRDefault="00471A3B">
            <w:pPr>
              <w:cnfStyle w:val="000000000000" w:firstRow="0" w:lastRow="0" w:firstColumn="0" w:lastColumn="0" w:oddVBand="0" w:evenVBand="0" w:oddHBand="0" w:evenHBand="0" w:firstRowFirstColumn="0" w:firstRowLastColumn="0" w:lastRowFirstColumn="0" w:lastRowLastColumn="0"/>
            </w:pPr>
            <w:r>
              <w:t>6 965</w:t>
            </w:r>
          </w:p>
        </w:tc>
        <w:tc>
          <w:tcPr>
            <w:tcW w:w="794" w:type="dxa"/>
          </w:tcPr>
          <w:p w14:paraId="6EFE573A" w14:textId="77777777" w:rsidR="00AB205D" w:rsidRDefault="00471A3B">
            <w:pPr>
              <w:cnfStyle w:val="000000000000" w:firstRow="0" w:lastRow="0" w:firstColumn="0" w:lastColumn="0" w:oddVBand="0" w:evenVBand="0" w:oddHBand="0" w:evenHBand="0" w:firstRowFirstColumn="0" w:firstRowLastColumn="0" w:lastRowFirstColumn="0" w:lastRowLastColumn="0"/>
            </w:pPr>
            <w:r>
              <w:t>8 065</w:t>
            </w:r>
          </w:p>
        </w:tc>
      </w:tr>
      <w:tr w:rsidR="009C6724" w14:paraId="56B5E46D"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7A692202" w14:textId="77777777" w:rsidR="00AB205D" w:rsidRDefault="00471A3B">
            <w:r>
              <w:t>Interest on lease liabilities</w:t>
            </w:r>
          </w:p>
        </w:tc>
        <w:tc>
          <w:tcPr>
            <w:tcW w:w="794" w:type="dxa"/>
          </w:tcPr>
          <w:p w14:paraId="2E4A9C11" w14:textId="77777777" w:rsidR="00AB205D" w:rsidRDefault="00471A3B">
            <w:pPr>
              <w:cnfStyle w:val="000000000000" w:firstRow="0" w:lastRow="0" w:firstColumn="0" w:lastColumn="0" w:oddVBand="0" w:evenVBand="0" w:oddHBand="0" w:evenHBand="0" w:firstRowFirstColumn="0" w:firstRowLastColumn="0" w:lastRowFirstColumn="0" w:lastRowLastColumn="0"/>
            </w:pPr>
            <w:r>
              <w:t>386</w:t>
            </w:r>
          </w:p>
        </w:tc>
        <w:tc>
          <w:tcPr>
            <w:tcW w:w="794" w:type="dxa"/>
          </w:tcPr>
          <w:p w14:paraId="7F51FD08" w14:textId="77777777" w:rsidR="00AB205D" w:rsidRDefault="00471A3B">
            <w:pPr>
              <w:cnfStyle w:val="000000000000" w:firstRow="0" w:lastRow="0" w:firstColumn="0" w:lastColumn="0" w:oddVBand="0" w:evenVBand="0" w:oddHBand="0" w:evenHBand="0" w:firstRowFirstColumn="0" w:firstRowLastColumn="0" w:lastRowFirstColumn="0" w:lastRowLastColumn="0"/>
            </w:pPr>
            <w:r>
              <w:t>384</w:t>
            </w:r>
          </w:p>
        </w:tc>
        <w:tc>
          <w:tcPr>
            <w:tcW w:w="794" w:type="dxa"/>
          </w:tcPr>
          <w:p w14:paraId="07651957" w14:textId="77777777" w:rsidR="00AB205D" w:rsidRDefault="00471A3B">
            <w:pPr>
              <w:cnfStyle w:val="000000000000" w:firstRow="0" w:lastRow="0" w:firstColumn="0" w:lastColumn="0" w:oddVBand="0" w:evenVBand="0" w:oddHBand="0" w:evenHBand="0" w:firstRowFirstColumn="0" w:firstRowLastColumn="0" w:lastRowFirstColumn="0" w:lastRowLastColumn="0"/>
            </w:pPr>
            <w:r>
              <w:t>375</w:t>
            </w:r>
          </w:p>
        </w:tc>
        <w:tc>
          <w:tcPr>
            <w:tcW w:w="794" w:type="dxa"/>
          </w:tcPr>
          <w:p w14:paraId="4C89D4C7" w14:textId="77777777" w:rsidR="00AB205D" w:rsidRDefault="00471A3B">
            <w:pPr>
              <w:cnfStyle w:val="000000000000" w:firstRow="0" w:lastRow="0" w:firstColumn="0" w:lastColumn="0" w:oddVBand="0" w:evenVBand="0" w:oddHBand="0" w:evenHBand="0" w:firstRowFirstColumn="0" w:firstRowLastColumn="0" w:lastRowFirstColumn="0" w:lastRowLastColumn="0"/>
            </w:pPr>
            <w:r>
              <w:t>362</w:t>
            </w:r>
          </w:p>
        </w:tc>
        <w:tc>
          <w:tcPr>
            <w:tcW w:w="794" w:type="dxa"/>
          </w:tcPr>
          <w:p w14:paraId="5EB4BCA5" w14:textId="77777777" w:rsidR="00AB205D" w:rsidRDefault="00471A3B">
            <w:pPr>
              <w:cnfStyle w:val="000000000000" w:firstRow="0" w:lastRow="0" w:firstColumn="0" w:lastColumn="0" w:oddVBand="0" w:evenVBand="0" w:oddHBand="0" w:evenHBand="0" w:firstRowFirstColumn="0" w:firstRowLastColumn="0" w:lastRowFirstColumn="0" w:lastRowLastColumn="0"/>
            </w:pPr>
            <w:r>
              <w:t>348</w:t>
            </w:r>
          </w:p>
        </w:tc>
      </w:tr>
      <w:tr w:rsidR="009C6724" w14:paraId="30B6220C"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1B090550" w14:textId="77777777" w:rsidR="00AB205D" w:rsidRDefault="00471A3B">
            <w:r>
              <w:t>Interest on service concession liabilities</w:t>
            </w:r>
          </w:p>
        </w:tc>
        <w:tc>
          <w:tcPr>
            <w:tcW w:w="794" w:type="dxa"/>
          </w:tcPr>
          <w:p w14:paraId="441D8E20" w14:textId="77777777" w:rsidR="00AB205D" w:rsidRDefault="00471A3B">
            <w:pPr>
              <w:cnfStyle w:val="000000000000" w:firstRow="0" w:lastRow="0" w:firstColumn="0" w:lastColumn="0" w:oddVBand="0" w:evenVBand="0" w:oddHBand="0" w:evenHBand="0" w:firstRowFirstColumn="0" w:firstRowLastColumn="0" w:lastRowFirstColumn="0" w:lastRowLastColumn="0"/>
            </w:pPr>
            <w:r>
              <w:t>382</w:t>
            </w:r>
          </w:p>
        </w:tc>
        <w:tc>
          <w:tcPr>
            <w:tcW w:w="794" w:type="dxa"/>
          </w:tcPr>
          <w:p w14:paraId="3CE24714" w14:textId="77777777" w:rsidR="00AB205D" w:rsidRDefault="00471A3B">
            <w:pPr>
              <w:cnfStyle w:val="000000000000" w:firstRow="0" w:lastRow="0" w:firstColumn="0" w:lastColumn="0" w:oddVBand="0" w:evenVBand="0" w:oddHBand="0" w:evenHBand="0" w:firstRowFirstColumn="0" w:firstRowLastColumn="0" w:lastRowFirstColumn="0" w:lastRowLastColumn="0"/>
            </w:pPr>
            <w:r>
              <w:t>385</w:t>
            </w:r>
          </w:p>
        </w:tc>
        <w:tc>
          <w:tcPr>
            <w:tcW w:w="794" w:type="dxa"/>
          </w:tcPr>
          <w:p w14:paraId="4FCDA1DB" w14:textId="77777777" w:rsidR="00AB205D" w:rsidRDefault="00471A3B">
            <w:pPr>
              <w:cnfStyle w:val="000000000000" w:firstRow="0" w:lastRow="0" w:firstColumn="0" w:lastColumn="0" w:oddVBand="0" w:evenVBand="0" w:oddHBand="0" w:evenHBand="0" w:firstRowFirstColumn="0" w:firstRowLastColumn="0" w:lastRowFirstColumn="0" w:lastRowLastColumn="0"/>
            </w:pPr>
            <w:r>
              <w:t>362</w:t>
            </w:r>
          </w:p>
        </w:tc>
        <w:tc>
          <w:tcPr>
            <w:tcW w:w="794" w:type="dxa"/>
          </w:tcPr>
          <w:p w14:paraId="1EC7355D" w14:textId="77777777" w:rsidR="00AB205D" w:rsidRDefault="00471A3B">
            <w:pPr>
              <w:cnfStyle w:val="000000000000" w:firstRow="0" w:lastRow="0" w:firstColumn="0" w:lastColumn="0" w:oddVBand="0" w:evenVBand="0" w:oddHBand="0" w:evenHBand="0" w:firstRowFirstColumn="0" w:firstRowLastColumn="0" w:lastRowFirstColumn="0" w:lastRowLastColumn="0"/>
            </w:pPr>
            <w:r>
              <w:t>389</w:t>
            </w:r>
          </w:p>
        </w:tc>
        <w:tc>
          <w:tcPr>
            <w:tcW w:w="794" w:type="dxa"/>
          </w:tcPr>
          <w:p w14:paraId="5B56EC5A" w14:textId="77777777" w:rsidR="00AB205D" w:rsidRDefault="00471A3B">
            <w:pPr>
              <w:cnfStyle w:val="000000000000" w:firstRow="0" w:lastRow="0" w:firstColumn="0" w:lastColumn="0" w:oddVBand="0" w:evenVBand="0" w:oddHBand="0" w:evenHBand="0" w:firstRowFirstColumn="0" w:firstRowLastColumn="0" w:lastRowFirstColumn="0" w:lastRowLastColumn="0"/>
            </w:pPr>
            <w:r>
              <w:t>354</w:t>
            </w:r>
          </w:p>
        </w:tc>
      </w:tr>
      <w:tr w:rsidR="009C6724" w14:paraId="6FC7AC98"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5644E8AB" w14:textId="77777777" w:rsidR="00AB205D" w:rsidRDefault="00471A3B">
            <w:r>
              <w:t>Discount interest on payables</w:t>
            </w:r>
          </w:p>
        </w:tc>
        <w:tc>
          <w:tcPr>
            <w:tcW w:w="794" w:type="dxa"/>
            <w:tcBorders>
              <w:bottom w:val="single" w:sz="6" w:space="0" w:color="auto"/>
            </w:tcBorders>
          </w:tcPr>
          <w:p w14:paraId="2C9EDECF" w14:textId="77777777" w:rsidR="00AB205D" w:rsidRDefault="00471A3B">
            <w:pPr>
              <w:cnfStyle w:val="000000000000" w:firstRow="0" w:lastRow="0" w:firstColumn="0" w:lastColumn="0" w:oddVBand="0" w:evenVBand="0" w:oddHBand="0" w:evenHBand="0" w:firstRowFirstColumn="0" w:firstRowLastColumn="0" w:lastRowFirstColumn="0" w:lastRowLastColumn="0"/>
            </w:pPr>
            <w:r>
              <w:t>30</w:t>
            </w:r>
          </w:p>
        </w:tc>
        <w:tc>
          <w:tcPr>
            <w:tcW w:w="794" w:type="dxa"/>
            <w:tcBorders>
              <w:bottom w:val="single" w:sz="6" w:space="0" w:color="auto"/>
            </w:tcBorders>
          </w:tcPr>
          <w:p w14:paraId="65D67A3F" w14:textId="77777777" w:rsidR="00AB205D" w:rsidRDefault="00471A3B">
            <w:pPr>
              <w:cnfStyle w:val="000000000000" w:firstRow="0" w:lastRow="0" w:firstColumn="0" w:lastColumn="0" w:oddVBand="0" w:evenVBand="0" w:oddHBand="0" w:evenHBand="0" w:firstRowFirstColumn="0" w:firstRowLastColumn="0" w:lastRowFirstColumn="0" w:lastRowLastColumn="0"/>
            </w:pPr>
            <w:r>
              <w:t>30</w:t>
            </w:r>
          </w:p>
        </w:tc>
        <w:tc>
          <w:tcPr>
            <w:tcW w:w="794" w:type="dxa"/>
            <w:tcBorders>
              <w:bottom w:val="single" w:sz="6" w:space="0" w:color="auto"/>
            </w:tcBorders>
          </w:tcPr>
          <w:p w14:paraId="701CB4ED" w14:textId="77777777" w:rsidR="00AB205D" w:rsidRDefault="00471A3B">
            <w:pPr>
              <w:cnfStyle w:val="000000000000" w:firstRow="0" w:lastRow="0" w:firstColumn="0" w:lastColumn="0" w:oddVBand="0" w:evenVBand="0" w:oddHBand="0" w:evenHBand="0" w:firstRowFirstColumn="0" w:firstRowLastColumn="0" w:lastRowFirstColumn="0" w:lastRowLastColumn="0"/>
            </w:pPr>
            <w:r>
              <w:t>27</w:t>
            </w:r>
          </w:p>
        </w:tc>
        <w:tc>
          <w:tcPr>
            <w:tcW w:w="794" w:type="dxa"/>
            <w:tcBorders>
              <w:bottom w:val="single" w:sz="6" w:space="0" w:color="auto"/>
            </w:tcBorders>
          </w:tcPr>
          <w:p w14:paraId="1855D379" w14:textId="77777777" w:rsidR="00AB205D" w:rsidRDefault="00471A3B">
            <w:pPr>
              <w:cnfStyle w:val="000000000000" w:firstRow="0" w:lastRow="0" w:firstColumn="0" w:lastColumn="0" w:oddVBand="0" w:evenVBand="0" w:oddHBand="0" w:evenHBand="0" w:firstRowFirstColumn="0" w:firstRowLastColumn="0" w:lastRowFirstColumn="0" w:lastRowLastColumn="0"/>
            </w:pPr>
            <w:r>
              <w:t>26</w:t>
            </w:r>
          </w:p>
        </w:tc>
        <w:tc>
          <w:tcPr>
            <w:tcW w:w="794" w:type="dxa"/>
            <w:tcBorders>
              <w:bottom w:val="single" w:sz="6" w:space="0" w:color="auto"/>
            </w:tcBorders>
          </w:tcPr>
          <w:p w14:paraId="2F9E87AC" w14:textId="77777777" w:rsidR="00AB205D" w:rsidRDefault="00471A3B">
            <w:pPr>
              <w:cnfStyle w:val="000000000000" w:firstRow="0" w:lastRow="0" w:firstColumn="0" w:lastColumn="0" w:oddVBand="0" w:evenVBand="0" w:oddHBand="0" w:evenHBand="0" w:firstRowFirstColumn="0" w:firstRowLastColumn="0" w:lastRowFirstColumn="0" w:lastRowLastColumn="0"/>
            </w:pPr>
            <w:r>
              <w:t>25</w:t>
            </w:r>
          </w:p>
        </w:tc>
      </w:tr>
      <w:tr w:rsidR="009C6724" w14:paraId="5C2096D0"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5A353EA0" w14:textId="77777777" w:rsidR="00AB205D" w:rsidRDefault="00471A3B">
            <w:r>
              <w:rPr>
                <w:b/>
              </w:rPr>
              <w:t>Total interest expense</w:t>
            </w:r>
          </w:p>
        </w:tc>
        <w:tc>
          <w:tcPr>
            <w:tcW w:w="794" w:type="dxa"/>
            <w:tcBorders>
              <w:top w:val="single" w:sz="6" w:space="0" w:color="auto"/>
              <w:bottom w:val="single" w:sz="12" w:space="0" w:color="auto"/>
            </w:tcBorders>
          </w:tcPr>
          <w:p w14:paraId="47B0604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5 566</w:t>
            </w:r>
          </w:p>
        </w:tc>
        <w:tc>
          <w:tcPr>
            <w:tcW w:w="794" w:type="dxa"/>
            <w:tcBorders>
              <w:top w:val="single" w:sz="6" w:space="0" w:color="auto"/>
              <w:bottom w:val="single" w:sz="12" w:space="0" w:color="auto"/>
            </w:tcBorders>
          </w:tcPr>
          <w:p w14:paraId="54699F8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5 662</w:t>
            </w:r>
          </w:p>
        </w:tc>
        <w:tc>
          <w:tcPr>
            <w:tcW w:w="794" w:type="dxa"/>
            <w:tcBorders>
              <w:top w:val="single" w:sz="6" w:space="0" w:color="auto"/>
              <w:bottom w:val="single" w:sz="12" w:space="0" w:color="auto"/>
            </w:tcBorders>
          </w:tcPr>
          <w:p w14:paraId="731A499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6 580</w:t>
            </w:r>
          </w:p>
        </w:tc>
        <w:tc>
          <w:tcPr>
            <w:tcW w:w="794" w:type="dxa"/>
            <w:tcBorders>
              <w:top w:val="single" w:sz="6" w:space="0" w:color="auto"/>
              <w:bottom w:val="single" w:sz="12" w:space="0" w:color="auto"/>
            </w:tcBorders>
          </w:tcPr>
          <w:p w14:paraId="5287467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7 741</w:t>
            </w:r>
          </w:p>
        </w:tc>
        <w:tc>
          <w:tcPr>
            <w:tcW w:w="794" w:type="dxa"/>
            <w:tcBorders>
              <w:top w:val="single" w:sz="6" w:space="0" w:color="auto"/>
              <w:bottom w:val="single" w:sz="12" w:space="0" w:color="auto"/>
            </w:tcBorders>
          </w:tcPr>
          <w:p w14:paraId="2AA6CD5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8 793</w:t>
            </w:r>
          </w:p>
        </w:tc>
      </w:tr>
    </w:tbl>
    <w:p w14:paraId="69468E57" w14:textId="77777777" w:rsidR="00AB205D" w:rsidRDefault="00AB205D"/>
    <w:bookmarkEnd w:id="67"/>
    <w:p w14:paraId="52CF8535" w14:textId="77777777" w:rsidR="00AB205D" w:rsidRDefault="00AB205D"/>
    <w:p w14:paraId="7E3627C7" w14:textId="77777777" w:rsidR="00AB205D" w:rsidRDefault="00471A3B">
      <w:pPr>
        <w:pStyle w:val="Heading2"/>
        <w:pageBreakBefore/>
        <w:spacing w:before="0"/>
      </w:pPr>
      <w:bookmarkStart w:id="71" w:name="Section_6"/>
      <w:r w:rsidRPr="00690DE5">
        <w:lastRenderedPageBreak/>
        <w:t>Other assets and liabilities</w:t>
      </w:r>
    </w:p>
    <w:p w14:paraId="7EA10236" w14:textId="77777777" w:rsidR="00AB205D" w:rsidRDefault="00AB205D">
      <w:pPr>
        <w:sectPr w:rsidR="00AB205D" w:rsidSect="00570639">
          <w:headerReference w:type="even" r:id="rId94"/>
          <w:headerReference w:type="default" r:id="rId95"/>
          <w:footerReference w:type="even" r:id="rId96"/>
          <w:footerReference w:type="default" r:id="rId97"/>
          <w:headerReference w:type="first" r:id="rId98"/>
          <w:footerReference w:type="first" r:id="rId99"/>
          <w:type w:val="continuous"/>
          <w:pgSz w:w="9979" w:h="14175" w:code="34"/>
          <w:pgMar w:top="1134" w:right="1134" w:bottom="1134" w:left="1134" w:header="624" w:footer="567" w:gutter="0"/>
          <w:cols w:space="708"/>
          <w:docGrid w:linePitch="360"/>
        </w:sectPr>
      </w:pPr>
    </w:p>
    <w:p w14:paraId="01DEDAD1" w14:textId="77777777" w:rsidR="00AB205D" w:rsidRPr="00D02438" w:rsidRDefault="00471A3B">
      <w:pPr>
        <w:pStyle w:val="Heading30"/>
      </w:pPr>
      <w:r w:rsidRPr="00D02438">
        <w:t>Introduction</w:t>
      </w:r>
    </w:p>
    <w:p w14:paraId="5D7D2784" w14:textId="77777777" w:rsidR="00AB205D" w:rsidRDefault="00471A3B">
      <w:r w:rsidRPr="00D02438">
        <w:t>This section sets out other assets and liabilities that arise from the general government</w:t>
      </w:r>
      <w:r>
        <w:t xml:space="preserve"> sector</w:t>
      </w:r>
      <w:r w:rsidRPr="00D02438">
        <w:t>’s operations.</w:t>
      </w:r>
    </w:p>
    <w:p w14:paraId="2561D783" w14:textId="77777777" w:rsidR="00AB205D" w:rsidRPr="00D02438" w:rsidRDefault="00471A3B">
      <w:pPr>
        <w:pStyle w:val="Heading30"/>
      </w:pPr>
      <w:r>
        <w:br w:type="column"/>
      </w:r>
      <w:r w:rsidRPr="00D02438">
        <w:t>Structure</w:t>
      </w:r>
    </w:p>
    <w:p w14:paraId="35957DEE" w14:textId="18219678" w:rsidR="00AB205D" w:rsidRDefault="00471A3B">
      <w:pPr>
        <w:pStyle w:val="TOC9"/>
        <w:rPr>
          <w:rFonts w:eastAsiaTheme="minorEastAsia"/>
          <w:noProof/>
          <w:sz w:val="22"/>
          <w:lang w:eastAsia="en-AU"/>
        </w:rPr>
      </w:pPr>
      <w:r w:rsidRPr="00D02438">
        <w:rPr>
          <w:spacing w:val="-2"/>
        </w:rPr>
        <w:fldChar w:fldCharType="begin"/>
      </w:r>
      <w:r w:rsidRPr="00D02438">
        <w:instrText xml:space="preserve"> TOC</w:instrText>
      </w:r>
      <w:r>
        <w:instrText xml:space="preserve"> 9</w:instrText>
      </w:r>
      <w:r w:rsidRPr="00D02438">
        <w:instrText xml:space="preserve"> \h \z \t "Heading 3 </w:instrText>
      </w:r>
      <w:r>
        <w:instrText>[</w:instrText>
      </w:r>
      <w:r w:rsidRPr="00D02438">
        <w:instrText>#</w:instrText>
      </w:r>
      <w:r>
        <w:instrText>]</w:instrText>
      </w:r>
      <w:r w:rsidRPr="00D02438">
        <w:instrText xml:space="preserve">,9" \b Section_6 \* MERGEFORMAT </w:instrText>
      </w:r>
      <w:r w:rsidRPr="00D02438">
        <w:rPr>
          <w:spacing w:val="-2"/>
        </w:rPr>
        <w:fldChar w:fldCharType="separate"/>
      </w:r>
      <w:hyperlink w:anchor="_Toc149221081" w:history="1">
        <w:r w:rsidRPr="00FB7CFA">
          <w:rPr>
            <w:rStyle w:val="Hyperlink"/>
            <w:noProof/>
          </w:rPr>
          <w:t>4.6.1</w:t>
        </w:r>
        <w:r>
          <w:rPr>
            <w:rFonts w:eastAsiaTheme="minorEastAsia"/>
            <w:noProof/>
            <w:sz w:val="22"/>
            <w:lang w:eastAsia="en-AU"/>
          </w:rPr>
          <w:tab/>
        </w:r>
        <w:r w:rsidRPr="00FB7CFA">
          <w:rPr>
            <w:rStyle w:val="Hyperlink"/>
            <w:noProof/>
          </w:rPr>
          <w:t xml:space="preserve">Investments in other sector </w:t>
        </w:r>
        <w:r>
          <w:rPr>
            <w:rStyle w:val="Hyperlink"/>
            <w:noProof/>
          </w:rPr>
          <w:br/>
        </w:r>
        <w:r w:rsidRPr="00FB7CFA">
          <w:rPr>
            <w:rStyle w:val="Hyperlink"/>
            <w:noProof/>
          </w:rPr>
          <w:t xml:space="preserve">entities </w:t>
        </w:r>
        <w:r>
          <w:rPr>
            <w:noProof/>
            <w:webHidden/>
          </w:rPr>
          <w:tab/>
        </w:r>
        <w:r>
          <w:rPr>
            <w:noProof/>
            <w:webHidden/>
          </w:rPr>
          <w:fldChar w:fldCharType="begin"/>
        </w:r>
        <w:r>
          <w:rPr>
            <w:noProof/>
            <w:webHidden/>
          </w:rPr>
          <w:instrText xml:space="preserve"> PAGEREF _Toc149221081 \h </w:instrText>
        </w:r>
        <w:r>
          <w:rPr>
            <w:noProof/>
            <w:webHidden/>
          </w:rPr>
        </w:r>
        <w:r>
          <w:rPr>
            <w:noProof/>
            <w:webHidden/>
          </w:rPr>
          <w:fldChar w:fldCharType="separate"/>
        </w:r>
        <w:r w:rsidR="00315D9A">
          <w:rPr>
            <w:noProof/>
            <w:webHidden/>
          </w:rPr>
          <w:t>73</w:t>
        </w:r>
        <w:r>
          <w:rPr>
            <w:noProof/>
            <w:webHidden/>
          </w:rPr>
          <w:fldChar w:fldCharType="end"/>
        </w:r>
      </w:hyperlink>
    </w:p>
    <w:p w14:paraId="430CD5EC" w14:textId="2D1AA864" w:rsidR="00AB205D" w:rsidRDefault="00000000">
      <w:pPr>
        <w:pStyle w:val="TOC9"/>
        <w:rPr>
          <w:rFonts w:eastAsiaTheme="minorEastAsia"/>
          <w:noProof/>
          <w:sz w:val="22"/>
          <w:lang w:eastAsia="en-AU"/>
        </w:rPr>
      </w:pPr>
      <w:hyperlink w:anchor="_Toc149221082" w:history="1">
        <w:r w:rsidR="00471A3B" w:rsidRPr="00FB7CFA">
          <w:rPr>
            <w:rStyle w:val="Hyperlink"/>
            <w:noProof/>
          </w:rPr>
          <w:t>4.6.2</w:t>
        </w:r>
        <w:r w:rsidR="00471A3B">
          <w:rPr>
            <w:rFonts w:eastAsiaTheme="minorEastAsia"/>
            <w:noProof/>
            <w:sz w:val="22"/>
            <w:lang w:eastAsia="en-AU"/>
          </w:rPr>
          <w:tab/>
        </w:r>
        <w:r w:rsidR="00471A3B" w:rsidRPr="00FB7CFA">
          <w:rPr>
            <w:rStyle w:val="Hyperlink"/>
            <w:noProof/>
          </w:rPr>
          <w:t xml:space="preserve">Payables and contract liabilities </w:t>
        </w:r>
        <w:r w:rsidR="00471A3B">
          <w:rPr>
            <w:noProof/>
            <w:webHidden/>
          </w:rPr>
          <w:tab/>
        </w:r>
        <w:r w:rsidR="00471A3B">
          <w:rPr>
            <w:noProof/>
            <w:webHidden/>
          </w:rPr>
          <w:fldChar w:fldCharType="begin"/>
        </w:r>
        <w:r w:rsidR="00471A3B">
          <w:rPr>
            <w:noProof/>
            <w:webHidden/>
          </w:rPr>
          <w:instrText xml:space="preserve"> PAGEREF _Toc149221082 \h </w:instrText>
        </w:r>
        <w:r w:rsidR="00471A3B">
          <w:rPr>
            <w:noProof/>
            <w:webHidden/>
          </w:rPr>
        </w:r>
        <w:r w:rsidR="00471A3B">
          <w:rPr>
            <w:noProof/>
            <w:webHidden/>
          </w:rPr>
          <w:fldChar w:fldCharType="separate"/>
        </w:r>
        <w:r w:rsidR="00315D9A">
          <w:rPr>
            <w:noProof/>
            <w:webHidden/>
          </w:rPr>
          <w:t>73</w:t>
        </w:r>
        <w:r w:rsidR="00471A3B">
          <w:rPr>
            <w:noProof/>
            <w:webHidden/>
          </w:rPr>
          <w:fldChar w:fldCharType="end"/>
        </w:r>
      </w:hyperlink>
    </w:p>
    <w:p w14:paraId="5E779CFE" w14:textId="04269D9A" w:rsidR="00AB205D" w:rsidRDefault="00000000">
      <w:pPr>
        <w:pStyle w:val="TOC9"/>
        <w:rPr>
          <w:rFonts w:eastAsiaTheme="minorEastAsia"/>
          <w:noProof/>
          <w:sz w:val="22"/>
          <w:lang w:eastAsia="en-AU"/>
        </w:rPr>
      </w:pPr>
      <w:hyperlink w:anchor="_Toc149221083" w:history="1">
        <w:r w:rsidR="00471A3B" w:rsidRPr="00FB7CFA">
          <w:rPr>
            <w:rStyle w:val="Hyperlink"/>
            <w:noProof/>
          </w:rPr>
          <w:t>4.6.3</w:t>
        </w:r>
        <w:r w:rsidR="00471A3B">
          <w:rPr>
            <w:rFonts w:eastAsiaTheme="minorEastAsia"/>
            <w:noProof/>
            <w:sz w:val="22"/>
            <w:lang w:eastAsia="en-AU"/>
          </w:rPr>
          <w:tab/>
        </w:r>
        <w:r w:rsidR="00471A3B" w:rsidRPr="00FB7CFA">
          <w:rPr>
            <w:rStyle w:val="Hyperlink"/>
            <w:noProof/>
          </w:rPr>
          <w:t>Superannuation</w:t>
        </w:r>
        <w:r w:rsidR="00471A3B">
          <w:rPr>
            <w:noProof/>
            <w:webHidden/>
          </w:rPr>
          <w:tab/>
        </w:r>
        <w:r w:rsidR="00471A3B">
          <w:rPr>
            <w:noProof/>
            <w:webHidden/>
          </w:rPr>
          <w:fldChar w:fldCharType="begin"/>
        </w:r>
        <w:r w:rsidR="00471A3B">
          <w:rPr>
            <w:noProof/>
            <w:webHidden/>
          </w:rPr>
          <w:instrText xml:space="preserve"> PAGEREF _Toc149221083 \h </w:instrText>
        </w:r>
        <w:r w:rsidR="00471A3B">
          <w:rPr>
            <w:noProof/>
            <w:webHidden/>
          </w:rPr>
        </w:r>
        <w:r w:rsidR="00471A3B">
          <w:rPr>
            <w:noProof/>
            <w:webHidden/>
          </w:rPr>
          <w:fldChar w:fldCharType="separate"/>
        </w:r>
        <w:r w:rsidR="00315D9A">
          <w:rPr>
            <w:noProof/>
            <w:webHidden/>
          </w:rPr>
          <w:t>74</w:t>
        </w:r>
        <w:r w:rsidR="00471A3B">
          <w:rPr>
            <w:noProof/>
            <w:webHidden/>
          </w:rPr>
          <w:fldChar w:fldCharType="end"/>
        </w:r>
      </w:hyperlink>
    </w:p>
    <w:p w14:paraId="2DCEA972" w14:textId="77777777" w:rsidR="00AB205D" w:rsidRDefault="00471A3B">
      <w:r w:rsidRPr="00D02438">
        <w:fldChar w:fldCharType="end"/>
      </w:r>
    </w:p>
    <w:p w14:paraId="6C4746D7" w14:textId="77777777" w:rsidR="00AB205D" w:rsidRDefault="00AB205D">
      <w:pPr>
        <w:sectPr w:rsidR="00AB205D" w:rsidSect="00570639">
          <w:headerReference w:type="even" r:id="rId100"/>
          <w:headerReference w:type="default" r:id="rId101"/>
          <w:footerReference w:type="even" r:id="rId102"/>
          <w:footerReference w:type="default" r:id="rId103"/>
          <w:headerReference w:type="first" r:id="rId104"/>
          <w:footerReference w:type="first" r:id="rId105"/>
          <w:type w:val="continuous"/>
          <w:pgSz w:w="9979" w:h="14175" w:code="34"/>
          <w:pgMar w:top="1134" w:right="1134" w:bottom="1134" w:left="1134" w:header="624" w:footer="567" w:gutter="0"/>
          <w:cols w:num="2" w:space="708"/>
          <w:titlePg/>
          <w:docGrid w:linePitch="360"/>
        </w:sectPr>
      </w:pPr>
    </w:p>
    <w:p w14:paraId="05758A70" w14:textId="77777777" w:rsidR="00AB205D" w:rsidRPr="00BC2EDC" w:rsidRDefault="00471A3B">
      <w:pPr>
        <w:pStyle w:val="Heading3"/>
        <w:rPr>
          <w:sz w:val="21"/>
          <w:szCs w:val="21"/>
        </w:rPr>
      </w:pPr>
      <w:bookmarkStart w:id="72" w:name="_Toc149221081"/>
      <w:r w:rsidRPr="00BC2EDC">
        <w:rPr>
          <w:sz w:val="21"/>
          <w:szCs w:val="21"/>
        </w:rPr>
        <w:t>Investments in other sector entities</w:t>
      </w:r>
      <w:r w:rsidRPr="00BC2EDC">
        <w:rPr>
          <w:sz w:val="21"/>
          <w:szCs w:val="21"/>
        </w:rPr>
        <w:tab/>
        <w:t>($ million)</w:t>
      </w:r>
      <w:bookmarkEnd w:id="72"/>
    </w:p>
    <w:tbl>
      <w:tblPr>
        <w:tblStyle w:val="DTFTableNumeric"/>
        <w:tblW w:w="7710" w:type="dxa"/>
        <w:tblLayout w:type="fixed"/>
        <w:tblLook w:val="06A0" w:firstRow="1" w:lastRow="0" w:firstColumn="1" w:lastColumn="0" w:noHBand="1" w:noVBand="1"/>
        <w:tblDescription w:val="Type:DtfTable|Workbook:Rawdata\BudgetUpdate\Budget Update\Financial Statements\SRIMS exports\SRIMS_BU_EFS_BS.xlsx|Table:Reconciliation_equity|MergedHeadingRow:1"/>
      </w:tblPr>
      <w:tblGrid>
        <w:gridCol w:w="3740"/>
        <w:gridCol w:w="794"/>
        <w:gridCol w:w="794"/>
        <w:gridCol w:w="794"/>
        <w:gridCol w:w="794"/>
        <w:gridCol w:w="794"/>
      </w:tblGrid>
      <w:tr w:rsidR="009C6724" w14:paraId="51B6ABA5"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094CA68F" w14:textId="77777777" w:rsidR="00AB205D" w:rsidRDefault="00AB205D">
            <w:pPr>
              <w:keepNext/>
            </w:pPr>
          </w:p>
        </w:tc>
        <w:tc>
          <w:tcPr>
            <w:tcW w:w="794" w:type="dxa"/>
          </w:tcPr>
          <w:p w14:paraId="5C9E7472"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br/>
              <w:t>budget</w:t>
            </w:r>
          </w:p>
        </w:tc>
        <w:tc>
          <w:tcPr>
            <w:tcW w:w="794" w:type="dxa"/>
          </w:tcPr>
          <w:p w14:paraId="45E6119B"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br/>
              <w:t>revised</w:t>
            </w:r>
          </w:p>
        </w:tc>
        <w:tc>
          <w:tcPr>
            <w:tcW w:w="794" w:type="dxa"/>
          </w:tcPr>
          <w:p w14:paraId="263E3922"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br/>
              <w:t>estimate</w:t>
            </w:r>
          </w:p>
        </w:tc>
        <w:tc>
          <w:tcPr>
            <w:tcW w:w="794" w:type="dxa"/>
          </w:tcPr>
          <w:p w14:paraId="3C228E51"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br/>
              <w:t>estimate</w:t>
            </w:r>
          </w:p>
        </w:tc>
        <w:tc>
          <w:tcPr>
            <w:tcW w:w="794" w:type="dxa"/>
          </w:tcPr>
          <w:p w14:paraId="14BA7F69"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2027</w:t>
            </w:r>
            <w:r>
              <w:br/>
              <w:t>estimate</w:t>
            </w:r>
          </w:p>
        </w:tc>
      </w:tr>
      <w:tr w:rsidR="009C6724" w14:paraId="1A1CE1C5"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67E3C43D" w14:textId="77777777" w:rsidR="00AB205D" w:rsidRDefault="00471A3B">
            <w:r>
              <w:t>Balance of investment in PNFC and PFC sectors at beginning of period</w:t>
            </w:r>
          </w:p>
        </w:tc>
        <w:tc>
          <w:tcPr>
            <w:tcW w:w="794" w:type="dxa"/>
          </w:tcPr>
          <w:p w14:paraId="27EC3632" w14:textId="77777777" w:rsidR="00AB205D" w:rsidRDefault="00471A3B">
            <w:pPr>
              <w:cnfStyle w:val="000000000000" w:firstRow="0" w:lastRow="0" w:firstColumn="0" w:lastColumn="0" w:oddVBand="0" w:evenVBand="0" w:oddHBand="0" w:evenHBand="0" w:firstRowFirstColumn="0" w:firstRowLastColumn="0" w:lastRowFirstColumn="0" w:lastRowLastColumn="0"/>
            </w:pPr>
            <w:r>
              <w:t>96 042</w:t>
            </w:r>
          </w:p>
        </w:tc>
        <w:tc>
          <w:tcPr>
            <w:tcW w:w="794" w:type="dxa"/>
          </w:tcPr>
          <w:p w14:paraId="2BE7F46E" w14:textId="77777777" w:rsidR="00AB205D" w:rsidRDefault="00471A3B">
            <w:pPr>
              <w:cnfStyle w:val="000000000000" w:firstRow="0" w:lastRow="0" w:firstColumn="0" w:lastColumn="0" w:oddVBand="0" w:evenVBand="0" w:oddHBand="0" w:evenHBand="0" w:firstRowFirstColumn="0" w:firstRowLastColumn="0" w:lastRowFirstColumn="0" w:lastRowLastColumn="0"/>
            </w:pPr>
            <w:r>
              <w:t>96 042</w:t>
            </w:r>
          </w:p>
        </w:tc>
        <w:tc>
          <w:tcPr>
            <w:tcW w:w="794" w:type="dxa"/>
          </w:tcPr>
          <w:p w14:paraId="7C98F8BF" w14:textId="77777777" w:rsidR="00AB205D" w:rsidRDefault="00471A3B">
            <w:pPr>
              <w:cnfStyle w:val="000000000000" w:firstRow="0" w:lastRow="0" w:firstColumn="0" w:lastColumn="0" w:oddVBand="0" w:evenVBand="0" w:oddHBand="0" w:evenHBand="0" w:firstRowFirstColumn="0" w:firstRowLastColumn="0" w:lastRowFirstColumn="0" w:lastRowLastColumn="0"/>
            </w:pPr>
            <w:r>
              <w:t>98 010</w:t>
            </w:r>
          </w:p>
        </w:tc>
        <w:tc>
          <w:tcPr>
            <w:tcW w:w="794" w:type="dxa"/>
          </w:tcPr>
          <w:p w14:paraId="138BC0F5" w14:textId="77777777" w:rsidR="00AB205D" w:rsidRDefault="00471A3B">
            <w:pPr>
              <w:cnfStyle w:val="000000000000" w:firstRow="0" w:lastRow="0" w:firstColumn="0" w:lastColumn="0" w:oddVBand="0" w:evenVBand="0" w:oddHBand="0" w:evenHBand="0" w:firstRowFirstColumn="0" w:firstRowLastColumn="0" w:lastRowFirstColumn="0" w:lastRowLastColumn="0"/>
            </w:pPr>
            <w:r>
              <w:t>101 430</w:t>
            </w:r>
          </w:p>
        </w:tc>
        <w:tc>
          <w:tcPr>
            <w:tcW w:w="794" w:type="dxa"/>
          </w:tcPr>
          <w:p w14:paraId="73763D5C" w14:textId="77777777" w:rsidR="00AB205D" w:rsidRDefault="00471A3B">
            <w:pPr>
              <w:cnfStyle w:val="000000000000" w:firstRow="0" w:lastRow="0" w:firstColumn="0" w:lastColumn="0" w:oddVBand="0" w:evenVBand="0" w:oddHBand="0" w:evenHBand="0" w:firstRowFirstColumn="0" w:firstRowLastColumn="0" w:lastRowFirstColumn="0" w:lastRowLastColumn="0"/>
            </w:pPr>
            <w:r>
              <w:t>108 654</w:t>
            </w:r>
          </w:p>
        </w:tc>
      </w:tr>
      <w:tr w:rsidR="009C6724" w14:paraId="5DDE4958"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610DF30B" w14:textId="77777777" w:rsidR="00AB205D" w:rsidRDefault="00471A3B">
            <w:r>
              <w:t>Net contributions to other sectors by owner</w:t>
            </w:r>
          </w:p>
        </w:tc>
        <w:tc>
          <w:tcPr>
            <w:tcW w:w="794" w:type="dxa"/>
          </w:tcPr>
          <w:p w14:paraId="6F31DAD7" w14:textId="77777777" w:rsidR="00AB205D" w:rsidRDefault="00471A3B">
            <w:pPr>
              <w:cnfStyle w:val="000000000000" w:firstRow="0" w:lastRow="0" w:firstColumn="0" w:lastColumn="0" w:oddVBand="0" w:evenVBand="0" w:oddHBand="0" w:evenHBand="0" w:firstRowFirstColumn="0" w:firstRowLastColumn="0" w:lastRowFirstColumn="0" w:lastRowLastColumn="0"/>
            </w:pPr>
            <w:r>
              <w:t>7 677</w:t>
            </w:r>
          </w:p>
        </w:tc>
        <w:tc>
          <w:tcPr>
            <w:tcW w:w="794" w:type="dxa"/>
          </w:tcPr>
          <w:p w14:paraId="66A54EE2" w14:textId="77777777" w:rsidR="00AB205D" w:rsidRDefault="00471A3B">
            <w:pPr>
              <w:cnfStyle w:val="000000000000" w:firstRow="0" w:lastRow="0" w:firstColumn="0" w:lastColumn="0" w:oddVBand="0" w:evenVBand="0" w:oddHBand="0" w:evenHBand="0" w:firstRowFirstColumn="0" w:firstRowLastColumn="0" w:lastRowFirstColumn="0" w:lastRowLastColumn="0"/>
            </w:pPr>
            <w:r>
              <w:t>6 458</w:t>
            </w:r>
          </w:p>
        </w:tc>
        <w:tc>
          <w:tcPr>
            <w:tcW w:w="794" w:type="dxa"/>
          </w:tcPr>
          <w:p w14:paraId="6ED019C7" w14:textId="77777777" w:rsidR="00AB205D" w:rsidRDefault="00471A3B">
            <w:pPr>
              <w:cnfStyle w:val="000000000000" w:firstRow="0" w:lastRow="0" w:firstColumn="0" w:lastColumn="0" w:oddVBand="0" w:evenVBand="0" w:oddHBand="0" w:evenHBand="0" w:firstRowFirstColumn="0" w:firstRowLastColumn="0" w:lastRowFirstColumn="0" w:lastRowLastColumn="0"/>
            </w:pPr>
            <w:r>
              <w:t>7 214</w:t>
            </w:r>
          </w:p>
        </w:tc>
        <w:tc>
          <w:tcPr>
            <w:tcW w:w="794" w:type="dxa"/>
          </w:tcPr>
          <w:p w14:paraId="4079D3CA" w14:textId="77777777" w:rsidR="00AB205D" w:rsidRDefault="00471A3B">
            <w:pPr>
              <w:cnfStyle w:val="000000000000" w:firstRow="0" w:lastRow="0" w:firstColumn="0" w:lastColumn="0" w:oddVBand="0" w:evenVBand="0" w:oddHBand="0" w:evenHBand="0" w:firstRowFirstColumn="0" w:firstRowLastColumn="0" w:lastRowFirstColumn="0" w:lastRowLastColumn="0"/>
            </w:pPr>
            <w:r>
              <w:t>23 977</w:t>
            </w:r>
          </w:p>
        </w:tc>
        <w:tc>
          <w:tcPr>
            <w:tcW w:w="794" w:type="dxa"/>
          </w:tcPr>
          <w:p w14:paraId="1CBEC6D3" w14:textId="77777777" w:rsidR="00AB205D" w:rsidRDefault="00471A3B">
            <w:pPr>
              <w:cnfStyle w:val="000000000000" w:firstRow="0" w:lastRow="0" w:firstColumn="0" w:lastColumn="0" w:oddVBand="0" w:evenVBand="0" w:oddHBand="0" w:evenHBand="0" w:firstRowFirstColumn="0" w:firstRowLastColumn="0" w:lastRowFirstColumn="0" w:lastRowLastColumn="0"/>
            </w:pPr>
            <w:r>
              <w:t>6 351</w:t>
            </w:r>
          </w:p>
        </w:tc>
      </w:tr>
      <w:tr w:rsidR="009C6724" w14:paraId="0CFDB4A8"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33B093C1" w14:textId="77777777" w:rsidR="00AB205D" w:rsidRDefault="00471A3B">
            <w:r>
              <w:t>Revaluation gain/(loss) for period</w:t>
            </w:r>
          </w:p>
        </w:tc>
        <w:tc>
          <w:tcPr>
            <w:tcW w:w="794" w:type="dxa"/>
            <w:tcBorders>
              <w:bottom w:val="single" w:sz="6" w:space="0" w:color="auto"/>
            </w:tcBorders>
          </w:tcPr>
          <w:p w14:paraId="18212457" w14:textId="77777777" w:rsidR="00AB205D" w:rsidRDefault="00471A3B">
            <w:pPr>
              <w:cnfStyle w:val="000000000000" w:firstRow="0" w:lastRow="0" w:firstColumn="0" w:lastColumn="0" w:oddVBand="0" w:evenVBand="0" w:oddHBand="0" w:evenHBand="0" w:firstRowFirstColumn="0" w:firstRowLastColumn="0" w:lastRowFirstColumn="0" w:lastRowLastColumn="0"/>
            </w:pPr>
            <w:r>
              <w:t>(6 330)</w:t>
            </w:r>
          </w:p>
        </w:tc>
        <w:tc>
          <w:tcPr>
            <w:tcW w:w="794" w:type="dxa"/>
            <w:tcBorders>
              <w:bottom w:val="single" w:sz="6" w:space="0" w:color="auto"/>
            </w:tcBorders>
          </w:tcPr>
          <w:p w14:paraId="4A7BCD2F" w14:textId="77777777" w:rsidR="00AB205D" w:rsidRDefault="00471A3B">
            <w:pPr>
              <w:cnfStyle w:val="000000000000" w:firstRow="0" w:lastRow="0" w:firstColumn="0" w:lastColumn="0" w:oddVBand="0" w:evenVBand="0" w:oddHBand="0" w:evenHBand="0" w:firstRowFirstColumn="0" w:firstRowLastColumn="0" w:lastRowFirstColumn="0" w:lastRowLastColumn="0"/>
            </w:pPr>
            <w:r>
              <w:t>(4 489)</w:t>
            </w:r>
          </w:p>
        </w:tc>
        <w:tc>
          <w:tcPr>
            <w:tcW w:w="794" w:type="dxa"/>
            <w:tcBorders>
              <w:bottom w:val="single" w:sz="6" w:space="0" w:color="auto"/>
            </w:tcBorders>
          </w:tcPr>
          <w:p w14:paraId="0A7B6B07" w14:textId="77777777" w:rsidR="00AB205D" w:rsidRDefault="00471A3B">
            <w:pPr>
              <w:cnfStyle w:val="000000000000" w:firstRow="0" w:lastRow="0" w:firstColumn="0" w:lastColumn="0" w:oddVBand="0" w:evenVBand="0" w:oddHBand="0" w:evenHBand="0" w:firstRowFirstColumn="0" w:firstRowLastColumn="0" w:lastRowFirstColumn="0" w:lastRowLastColumn="0"/>
            </w:pPr>
            <w:r>
              <w:t>(3 794)</w:t>
            </w:r>
          </w:p>
        </w:tc>
        <w:tc>
          <w:tcPr>
            <w:tcW w:w="794" w:type="dxa"/>
            <w:tcBorders>
              <w:bottom w:val="single" w:sz="6" w:space="0" w:color="auto"/>
            </w:tcBorders>
          </w:tcPr>
          <w:p w14:paraId="3BC5B50C" w14:textId="77777777" w:rsidR="00AB205D" w:rsidRDefault="00471A3B">
            <w:pPr>
              <w:cnfStyle w:val="000000000000" w:firstRow="0" w:lastRow="0" w:firstColumn="0" w:lastColumn="0" w:oddVBand="0" w:evenVBand="0" w:oddHBand="0" w:evenHBand="0" w:firstRowFirstColumn="0" w:firstRowLastColumn="0" w:lastRowFirstColumn="0" w:lastRowLastColumn="0"/>
            </w:pPr>
            <w:r>
              <w:t>(16 752)</w:t>
            </w:r>
          </w:p>
        </w:tc>
        <w:tc>
          <w:tcPr>
            <w:tcW w:w="794" w:type="dxa"/>
            <w:tcBorders>
              <w:bottom w:val="single" w:sz="6" w:space="0" w:color="auto"/>
            </w:tcBorders>
          </w:tcPr>
          <w:p w14:paraId="2ABF6E78" w14:textId="77777777" w:rsidR="00AB205D" w:rsidRDefault="00471A3B">
            <w:pPr>
              <w:cnfStyle w:val="000000000000" w:firstRow="0" w:lastRow="0" w:firstColumn="0" w:lastColumn="0" w:oddVBand="0" w:evenVBand="0" w:oddHBand="0" w:evenHBand="0" w:firstRowFirstColumn="0" w:firstRowLastColumn="0" w:lastRowFirstColumn="0" w:lastRowLastColumn="0"/>
            </w:pPr>
            <w:r>
              <w:t>(2 879)</w:t>
            </w:r>
          </w:p>
        </w:tc>
      </w:tr>
      <w:tr w:rsidR="009C6724" w14:paraId="1F0C9D42"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7C085A4F" w14:textId="77777777" w:rsidR="00AB205D" w:rsidRDefault="00471A3B">
            <w:r>
              <w:rPr>
                <w:b/>
              </w:rPr>
              <w:t>Investment in other sector entities at end of period</w:t>
            </w:r>
          </w:p>
        </w:tc>
        <w:tc>
          <w:tcPr>
            <w:tcW w:w="794" w:type="dxa"/>
            <w:tcBorders>
              <w:top w:val="single" w:sz="6" w:space="0" w:color="auto"/>
              <w:bottom w:val="single" w:sz="12" w:space="0" w:color="auto"/>
            </w:tcBorders>
          </w:tcPr>
          <w:p w14:paraId="677D7B4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97 389</w:t>
            </w:r>
          </w:p>
        </w:tc>
        <w:tc>
          <w:tcPr>
            <w:tcW w:w="794" w:type="dxa"/>
            <w:tcBorders>
              <w:top w:val="single" w:sz="6" w:space="0" w:color="auto"/>
              <w:bottom w:val="single" w:sz="12" w:space="0" w:color="auto"/>
            </w:tcBorders>
          </w:tcPr>
          <w:p w14:paraId="53EEAF3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98 010</w:t>
            </w:r>
          </w:p>
        </w:tc>
        <w:tc>
          <w:tcPr>
            <w:tcW w:w="794" w:type="dxa"/>
            <w:tcBorders>
              <w:top w:val="single" w:sz="6" w:space="0" w:color="auto"/>
              <w:bottom w:val="single" w:sz="12" w:space="0" w:color="auto"/>
            </w:tcBorders>
          </w:tcPr>
          <w:p w14:paraId="06C42D0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101 430</w:t>
            </w:r>
          </w:p>
        </w:tc>
        <w:tc>
          <w:tcPr>
            <w:tcW w:w="794" w:type="dxa"/>
            <w:tcBorders>
              <w:top w:val="single" w:sz="6" w:space="0" w:color="auto"/>
              <w:bottom w:val="single" w:sz="12" w:space="0" w:color="auto"/>
            </w:tcBorders>
          </w:tcPr>
          <w:p w14:paraId="2EFFC51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108 654</w:t>
            </w:r>
          </w:p>
        </w:tc>
        <w:tc>
          <w:tcPr>
            <w:tcW w:w="794" w:type="dxa"/>
            <w:tcBorders>
              <w:top w:val="single" w:sz="6" w:space="0" w:color="auto"/>
              <w:bottom w:val="single" w:sz="12" w:space="0" w:color="auto"/>
            </w:tcBorders>
          </w:tcPr>
          <w:p w14:paraId="2539375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112 126</w:t>
            </w:r>
          </w:p>
        </w:tc>
      </w:tr>
    </w:tbl>
    <w:p w14:paraId="41F9BD9A" w14:textId="7D2A338A" w:rsidR="00AB205D" w:rsidRDefault="00AB205D"/>
    <w:p w14:paraId="57083722" w14:textId="77777777" w:rsidR="00FA005E" w:rsidRDefault="00FA005E"/>
    <w:p w14:paraId="24EB8182" w14:textId="77777777" w:rsidR="00AB205D" w:rsidRPr="00BC2EDC" w:rsidRDefault="00471A3B">
      <w:pPr>
        <w:pStyle w:val="Heading3"/>
        <w:rPr>
          <w:sz w:val="21"/>
          <w:szCs w:val="21"/>
        </w:rPr>
      </w:pPr>
      <w:bookmarkStart w:id="73" w:name="_Toc149221082"/>
      <w:r w:rsidRPr="00BC2EDC">
        <w:rPr>
          <w:sz w:val="21"/>
          <w:szCs w:val="21"/>
        </w:rPr>
        <w:t>Payables and contract liabilities</w:t>
      </w:r>
      <w:r w:rsidRPr="00BC2EDC">
        <w:rPr>
          <w:sz w:val="21"/>
          <w:szCs w:val="21"/>
        </w:rPr>
        <w:tab/>
        <w:t>($ million)</w:t>
      </w:r>
      <w:bookmarkEnd w:id="73"/>
    </w:p>
    <w:tbl>
      <w:tblPr>
        <w:tblStyle w:val="DTFTableNumeric"/>
        <w:tblW w:w="7710" w:type="dxa"/>
        <w:tblLayout w:type="fixed"/>
        <w:tblLook w:val="06A0" w:firstRow="1" w:lastRow="0" w:firstColumn="1" w:lastColumn="0" w:noHBand="1" w:noVBand="1"/>
        <w:tblDescription w:val="Type:DtfTable|Workbook:Rawdata\BudgetUpdate\Budget Update\Financial Statements\SRIMS exports\SRIMS_BU_EFS_BS.xlsx|Table:Payables|MergedHeadingRow:1"/>
      </w:tblPr>
      <w:tblGrid>
        <w:gridCol w:w="3738"/>
        <w:gridCol w:w="794"/>
        <w:gridCol w:w="794"/>
        <w:gridCol w:w="795"/>
        <w:gridCol w:w="794"/>
        <w:gridCol w:w="795"/>
      </w:tblGrid>
      <w:tr w:rsidR="009C6724" w14:paraId="6B889419"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38" w:type="dxa"/>
          </w:tcPr>
          <w:p w14:paraId="79D4136B" w14:textId="77777777" w:rsidR="00AB205D" w:rsidRDefault="00AB205D">
            <w:pPr>
              <w:keepNext/>
            </w:pPr>
          </w:p>
        </w:tc>
        <w:tc>
          <w:tcPr>
            <w:tcW w:w="794" w:type="dxa"/>
          </w:tcPr>
          <w:p w14:paraId="57F9DCBE"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br/>
              <w:t>budget</w:t>
            </w:r>
          </w:p>
        </w:tc>
        <w:tc>
          <w:tcPr>
            <w:tcW w:w="794" w:type="dxa"/>
          </w:tcPr>
          <w:p w14:paraId="27963C04"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br/>
              <w:t>revised</w:t>
            </w:r>
          </w:p>
        </w:tc>
        <w:tc>
          <w:tcPr>
            <w:tcW w:w="795" w:type="dxa"/>
          </w:tcPr>
          <w:p w14:paraId="49893ADF"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br/>
              <w:t>estimate</w:t>
            </w:r>
          </w:p>
        </w:tc>
        <w:tc>
          <w:tcPr>
            <w:tcW w:w="794" w:type="dxa"/>
          </w:tcPr>
          <w:p w14:paraId="30A4598D"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br/>
              <w:t>estimate</w:t>
            </w:r>
          </w:p>
        </w:tc>
        <w:tc>
          <w:tcPr>
            <w:tcW w:w="795" w:type="dxa"/>
          </w:tcPr>
          <w:p w14:paraId="2C0C3637"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2027</w:t>
            </w:r>
            <w:r>
              <w:br/>
              <w:t>estimate</w:t>
            </w:r>
          </w:p>
        </w:tc>
      </w:tr>
      <w:tr w:rsidR="009C6724" w14:paraId="7C55C59A" w14:textId="77777777" w:rsidTr="009C6724">
        <w:tc>
          <w:tcPr>
            <w:cnfStyle w:val="001000000000" w:firstRow="0" w:lastRow="0" w:firstColumn="1" w:lastColumn="0" w:oddVBand="0" w:evenVBand="0" w:oddHBand="0" w:evenHBand="0" w:firstRowFirstColumn="0" w:firstRowLastColumn="0" w:lastRowFirstColumn="0" w:lastRowLastColumn="0"/>
            <w:tcW w:w="3738" w:type="dxa"/>
          </w:tcPr>
          <w:p w14:paraId="71A68528" w14:textId="77777777" w:rsidR="00AB205D" w:rsidRDefault="00471A3B">
            <w:r>
              <w:rPr>
                <w:b/>
              </w:rPr>
              <w:t>Contractual</w:t>
            </w:r>
          </w:p>
        </w:tc>
        <w:tc>
          <w:tcPr>
            <w:tcW w:w="794" w:type="dxa"/>
          </w:tcPr>
          <w:p w14:paraId="1C4F35F6"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25D5DD89"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5" w:type="dxa"/>
          </w:tcPr>
          <w:p w14:paraId="18A088F8"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61B34E69"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5" w:type="dxa"/>
          </w:tcPr>
          <w:p w14:paraId="36D3F474"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117791D9" w14:textId="77777777" w:rsidTr="009C6724">
        <w:tc>
          <w:tcPr>
            <w:cnfStyle w:val="001000000000" w:firstRow="0" w:lastRow="0" w:firstColumn="1" w:lastColumn="0" w:oddVBand="0" w:evenVBand="0" w:oddHBand="0" w:evenHBand="0" w:firstRowFirstColumn="0" w:firstRowLastColumn="0" w:lastRowFirstColumn="0" w:lastRowLastColumn="0"/>
            <w:tcW w:w="3738" w:type="dxa"/>
          </w:tcPr>
          <w:p w14:paraId="018A9F62" w14:textId="77777777" w:rsidR="00AB205D" w:rsidRDefault="00471A3B">
            <w:r>
              <w:t>Accounts payable</w:t>
            </w:r>
          </w:p>
        </w:tc>
        <w:tc>
          <w:tcPr>
            <w:tcW w:w="794" w:type="dxa"/>
          </w:tcPr>
          <w:p w14:paraId="3E111E96" w14:textId="77777777" w:rsidR="00AB205D" w:rsidRDefault="00471A3B">
            <w:pPr>
              <w:cnfStyle w:val="000000000000" w:firstRow="0" w:lastRow="0" w:firstColumn="0" w:lastColumn="0" w:oddVBand="0" w:evenVBand="0" w:oddHBand="0" w:evenHBand="0" w:firstRowFirstColumn="0" w:firstRowLastColumn="0" w:lastRowFirstColumn="0" w:lastRowLastColumn="0"/>
            </w:pPr>
            <w:r>
              <w:t>887</w:t>
            </w:r>
          </w:p>
        </w:tc>
        <w:tc>
          <w:tcPr>
            <w:tcW w:w="794" w:type="dxa"/>
          </w:tcPr>
          <w:p w14:paraId="31CF2BDF" w14:textId="77777777" w:rsidR="00AB205D" w:rsidRDefault="00471A3B">
            <w:pPr>
              <w:cnfStyle w:val="000000000000" w:firstRow="0" w:lastRow="0" w:firstColumn="0" w:lastColumn="0" w:oddVBand="0" w:evenVBand="0" w:oddHBand="0" w:evenHBand="0" w:firstRowFirstColumn="0" w:firstRowLastColumn="0" w:lastRowFirstColumn="0" w:lastRowLastColumn="0"/>
            </w:pPr>
            <w:r>
              <w:t>886</w:t>
            </w:r>
          </w:p>
        </w:tc>
        <w:tc>
          <w:tcPr>
            <w:tcW w:w="795" w:type="dxa"/>
          </w:tcPr>
          <w:p w14:paraId="73D2E4F9" w14:textId="77777777" w:rsidR="00AB205D" w:rsidRDefault="00471A3B">
            <w:pPr>
              <w:cnfStyle w:val="000000000000" w:firstRow="0" w:lastRow="0" w:firstColumn="0" w:lastColumn="0" w:oddVBand="0" w:evenVBand="0" w:oddHBand="0" w:evenHBand="0" w:firstRowFirstColumn="0" w:firstRowLastColumn="0" w:lastRowFirstColumn="0" w:lastRowLastColumn="0"/>
            </w:pPr>
            <w:r>
              <w:t>896</w:t>
            </w:r>
          </w:p>
        </w:tc>
        <w:tc>
          <w:tcPr>
            <w:tcW w:w="794" w:type="dxa"/>
          </w:tcPr>
          <w:p w14:paraId="7CA711ED" w14:textId="77777777" w:rsidR="00AB205D" w:rsidRDefault="00471A3B">
            <w:pPr>
              <w:cnfStyle w:val="000000000000" w:firstRow="0" w:lastRow="0" w:firstColumn="0" w:lastColumn="0" w:oddVBand="0" w:evenVBand="0" w:oddHBand="0" w:evenHBand="0" w:firstRowFirstColumn="0" w:firstRowLastColumn="0" w:lastRowFirstColumn="0" w:lastRowLastColumn="0"/>
            </w:pPr>
            <w:r>
              <w:t>893</w:t>
            </w:r>
          </w:p>
        </w:tc>
        <w:tc>
          <w:tcPr>
            <w:tcW w:w="795" w:type="dxa"/>
          </w:tcPr>
          <w:p w14:paraId="30679979" w14:textId="77777777" w:rsidR="00AB205D" w:rsidRDefault="00471A3B">
            <w:pPr>
              <w:cnfStyle w:val="000000000000" w:firstRow="0" w:lastRow="0" w:firstColumn="0" w:lastColumn="0" w:oddVBand="0" w:evenVBand="0" w:oddHBand="0" w:evenHBand="0" w:firstRowFirstColumn="0" w:firstRowLastColumn="0" w:lastRowFirstColumn="0" w:lastRowLastColumn="0"/>
            </w:pPr>
            <w:r>
              <w:t>885</w:t>
            </w:r>
          </w:p>
        </w:tc>
      </w:tr>
      <w:tr w:rsidR="009C6724" w14:paraId="5B497710" w14:textId="77777777" w:rsidTr="009C6724">
        <w:tc>
          <w:tcPr>
            <w:cnfStyle w:val="001000000000" w:firstRow="0" w:lastRow="0" w:firstColumn="1" w:lastColumn="0" w:oddVBand="0" w:evenVBand="0" w:oddHBand="0" w:evenHBand="0" w:firstRowFirstColumn="0" w:firstRowLastColumn="0" w:lastRowFirstColumn="0" w:lastRowLastColumn="0"/>
            <w:tcW w:w="3738" w:type="dxa"/>
          </w:tcPr>
          <w:p w14:paraId="3322F1F9" w14:textId="77777777" w:rsidR="00AB205D" w:rsidRDefault="00471A3B">
            <w:r>
              <w:t>Accrued expenses</w:t>
            </w:r>
          </w:p>
        </w:tc>
        <w:tc>
          <w:tcPr>
            <w:tcW w:w="794" w:type="dxa"/>
          </w:tcPr>
          <w:p w14:paraId="5EA9A383" w14:textId="77777777" w:rsidR="00AB205D" w:rsidRDefault="00471A3B">
            <w:pPr>
              <w:cnfStyle w:val="000000000000" w:firstRow="0" w:lastRow="0" w:firstColumn="0" w:lastColumn="0" w:oddVBand="0" w:evenVBand="0" w:oddHBand="0" w:evenHBand="0" w:firstRowFirstColumn="0" w:firstRowLastColumn="0" w:lastRowFirstColumn="0" w:lastRowLastColumn="0"/>
            </w:pPr>
            <w:r>
              <w:t>5 333</w:t>
            </w:r>
          </w:p>
        </w:tc>
        <w:tc>
          <w:tcPr>
            <w:tcW w:w="794" w:type="dxa"/>
          </w:tcPr>
          <w:p w14:paraId="2CF2D26D" w14:textId="77777777" w:rsidR="00AB205D" w:rsidRDefault="00471A3B">
            <w:pPr>
              <w:cnfStyle w:val="000000000000" w:firstRow="0" w:lastRow="0" w:firstColumn="0" w:lastColumn="0" w:oddVBand="0" w:evenVBand="0" w:oddHBand="0" w:evenHBand="0" w:firstRowFirstColumn="0" w:firstRowLastColumn="0" w:lastRowFirstColumn="0" w:lastRowLastColumn="0"/>
            </w:pPr>
            <w:r>
              <w:t>5 014</w:t>
            </w:r>
          </w:p>
        </w:tc>
        <w:tc>
          <w:tcPr>
            <w:tcW w:w="795" w:type="dxa"/>
          </w:tcPr>
          <w:p w14:paraId="7A7F6068" w14:textId="77777777" w:rsidR="00AB205D" w:rsidRDefault="00471A3B">
            <w:pPr>
              <w:cnfStyle w:val="000000000000" w:firstRow="0" w:lastRow="0" w:firstColumn="0" w:lastColumn="0" w:oddVBand="0" w:evenVBand="0" w:oddHBand="0" w:evenHBand="0" w:firstRowFirstColumn="0" w:firstRowLastColumn="0" w:lastRowFirstColumn="0" w:lastRowLastColumn="0"/>
            </w:pPr>
            <w:r>
              <w:t>4 716</w:t>
            </w:r>
          </w:p>
        </w:tc>
        <w:tc>
          <w:tcPr>
            <w:tcW w:w="794" w:type="dxa"/>
          </w:tcPr>
          <w:p w14:paraId="03A27A8F" w14:textId="77777777" w:rsidR="00AB205D" w:rsidRDefault="00471A3B">
            <w:pPr>
              <w:cnfStyle w:val="000000000000" w:firstRow="0" w:lastRow="0" w:firstColumn="0" w:lastColumn="0" w:oddVBand="0" w:evenVBand="0" w:oddHBand="0" w:evenHBand="0" w:firstRowFirstColumn="0" w:firstRowLastColumn="0" w:lastRowFirstColumn="0" w:lastRowLastColumn="0"/>
            </w:pPr>
            <w:r>
              <w:t>4 716</w:t>
            </w:r>
          </w:p>
        </w:tc>
        <w:tc>
          <w:tcPr>
            <w:tcW w:w="795" w:type="dxa"/>
          </w:tcPr>
          <w:p w14:paraId="0B446E55" w14:textId="77777777" w:rsidR="00AB205D" w:rsidRDefault="00471A3B">
            <w:pPr>
              <w:cnfStyle w:val="000000000000" w:firstRow="0" w:lastRow="0" w:firstColumn="0" w:lastColumn="0" w:oddVBand="0" w:evenVBand="0" w:oddHBand="0" w:evenHBand="0" w:firstRowFirstColumn="0" w:firstRowLastColumn="0" w:lastRowFirstColumn="0" w:lastRowLastColumn="0"/>
            </w:pPr>
            <w:r>
              <w:t>4 717</w:t>
            </w:r>
          </w:p>
        </w:tc>
      </w:tr>
      <w:tr w:rsidR="009C6724" w14:paraId="7D42FD5F" w14:textId="77777777" w:rsidTr="009C6724">
        <w:tc>
          <w:tcPr>
            <w:cnfStyle w:val="001000000000" w:firstRow="0" w:lastRow="0" w:firstColumn="1" w:lastColumn="0" w:oddVBand="0" w:evenVBand="0" w:oddHBand="0" w:evenHBand="0" w:firstRowFirstColumn="0" w:firstRowLastColumn="0" w:lastRowFirstColumn="0" w:lastRowLastColumn="0"/>
            <w:tcW w:w="3738" w:type="dxa"/>
          </w:tcPr>
          <w:p w14:paraId="2C6985E4" w14:textId="77777777" w:rsidR="00AB205D" w:rsidRDefault="00471A3B">
            <w:r>
              <w:t>Grant of a right to the operator liability</w:t>
            </w:r>
          </w:p>
        </w:tc>
        <w:tc>
          <w:tcPr>
            <w:tcW w:w="794" w:type="dxa"/>
          </w:tcPr>
          <w:p w14:paraId="674256F0" w14:textId="77777777" w:rsidR="00AB205D" w:rsidRDefault="00471A3B">
            <w:pPr>
              <w:cnfStyle w:val="000000000000" w:firstRow="0" w:lastRow="0" w:firstColumn="0" w:lastColumn="0" w:oddVBand="0" w:evenVBand="0" w:oddHBand="0" w:evenHBand="0" w:firstRowFirstColumn="0" w:firstRowLastColumn="0" w:lastRowFirstColumn="0" w:lastRowLastColumn="0"/>
            </w:pPr>
            <w:r>
              <w:t>19 984</w:t>
            </w:r>
          </w:p>
        </w:tc>
        <w:tc>
          <w:tcPr>
            <w:tcW w:w="794" w:type="dxa"/>
          </w:tcPr>
          <w:p w14:paraId="770E3097" w14:textId="77777777" w:rsidR="00AB205D" w:rsidRDefault="00471A3B">
            <w:pPr>
              <w:cnfStyle w:val="000000000000" w:firstRow="0" w:lastRow="0" w:firstColumn="0" w:lastColumn="0" w:oddVBand="0" w:evenVBand="0" w:oddHBand="0" w:evenHBand="0" w:firstRowFirstColumn="0" w:firstRowLastColumn="0" w:lastRowFirstColumn="0" w:lastRowLastColumn="0"/>
            </w:pPr>
            <w:r>
              <w:t>20 076</w:t>
            </w:r>
          </w:p>
        </w:tc>
        <w:tc>
          <w:tcPr>
            <w:tcW w:w="795" w:type="dxa"/>
          </w:tcPr>
          <w:p w14:paraId="766B1746" w14:textId="77777777" w:rsidR="00AB205D" w:rsidRDefault="00471A3B">
            <w:pPr>
              <w:cnfStyle w:val="000000000000" w:firstRow="0" w:lastRow="0" w:firstColumn="0" w:lastColumn="0" w:oddVBand="0" w:evenVBand="0" w:oddHBand="0" w:evenHBand="0" w:firstRowFirstColumn="0" w:firstRowLastColumn="0" w:lastRowFirstColumn="0" w:lastRowLastColumn="0"/>
            </w:pPr>
            <w:r>
              <w:t>19 972</w:t>
            </w:r>
          </w:p>
        </w:tc>
        <w:tc>
          <w:tcPr>
            <w:tcW w:w="794" w:type="dxa"/>
          </w:tcPr>
          <w:p w14:paraId="0568D38A" w14:textId="77777777" w:rsidR="00AB205D" w:rsidRDefault="00471A3B">
            <w:pPr>
              <w:cnfStyle w:val="000000000000" w:firstRow="0" w:lastRow="0" w:firstColumn="0" w:lastColumn="0" w:oddVBand="0" w:evenVBand="0" w:oddHBand="0" w:evenHBand="0" w:firstRowFirstColumn="0" w:firstRowLastColumn="0" w:lastRowFirstColumn="0" w:lastRowLastColumn="0"/>
            </w:pPr>
            <w:r>
              <w:t>19 478</w:t>
            </w:r>
          </w:p>
        </w:tc>
        <w:tc>
          <w:tcPr>
            <w:tcW w:w="795" w:type="dxa"/>
          </w:tcPr>
          <w:p w14:paraId="21881965" w14:textId="77777777" w:rsidR="00AB205D" w:rsidRDefault="00471A3B">
            <w:pPr>
              <w:cnfStyle w:val="000000000000" w:firstRow="0" w:lastRow="0" w:firstColumn="0" w:lastColumn="0" w:oddVBand="0" w:evenVBand="0" w:oddHBand="0" w:evenHBand="0" w:firstRowFirstColumn="0" w:firstRowLastColumn="0" w:lastRowFirstColumn="0" w:lastRowLastColumn="0"/>
            </w:pPr>
            <w:r>
              <w:t>18 688</w:t>
            </w:r>
          </w:p>
        </w:tc>
      </w:tr>
      <w:tr w:rsidR="009C6724" w14:paraId="47C7243A" w14:textId="77777777" w:rsidTr="009C6724">
        <w:tc>
          <w:tcPr>
            <w:cnfStyle w:val="001000000000" w:firstRow="0" w:lastRow="0" w:firstColumn="1" w:lastColumn="0" w:oddVBand="0" w:evenVBand="0" w:oddHBand="0" w:evenHBand="0" w:firstRowFirstColumn="0" w:firstRowLastColumn="0" w:lastRowFirstColumn="0" w:lastRowLastColumn="0"/>
            <w:tcW w:w="3738" w:type="dxa"/>
          </w:tcPr>
          <w:p w14:paraId="0DFF22DF" w14:textId="77777777" w:rsidR="00AB205D" w:rsidRDefault="00471A3B">
            <w:r>
              <w:t>Unearned income</w:t>
            </w:r>
          </w:p>
        </w:tc>
        <w:tc>
          <w:tcPr>
            <w:tcW w:w="794" w:type="dxa"/>
          </w:tcPr>
          <w:p w14:paraId="0FE97425" w14:textId="77777777" w:rsidR="00AB205D" w:rsidRDefault="00471A3B">
            <w:pPr>
              <w:cnfStyle w:val="000000000000" w:firstRow="0" w:lastRow="0" w:firstColumn="0" w:lastColumn="0" w:oddVBand="0" w:evenVBand="0" w:oddHBand="0" w:evenHBand="0" w:firstRowFirstColumn="0" w:firstRowLastColumn="0" w:lastRowFirstColumn="0" w:lastRowLastColumn="0"/>
            </w:pPr>
            <w:r>
              <w:t>1 886</w:t>
            </w:r>
          </w:p>
        </w:tc>
        <w:tc>
          <w:tcPr>
            <w:tcW w:w="794" w:type="dxa"/>
          </w:tcPr>
          <w:p w14:paraId="0A196C96" w14:textId="77777777" w:rsidR="00AB205D" w:rsidRDefault="00471A3B">
            <w:pPr>
              <w:cnfStyle w:val="000000000000" w:firstRow="0" w:lastRow="0" w:firstColumn="0" w:lastColumn="0" w:oddVBand="0" w:evenVBand="0" w:oddHBand="0" w:evenHBand="0" w:firstRowFirstColumn="0" w:firstRowLastColumn="0" w:lastRowFirstColumn="0" w:lastRowLastColumn="0"/>
            </w:pPr>
            <w:r>
              <w:t>1 448</w:t>
            </w:r>
          </w:p>
        </w:tc>
        <w:tc>
          <w:tcPr>
            <w:tcW w:w="795" w:type="dxa"/>
          </w:tcPr>
          <w:p w14:paraId="0C67725D" w14:textId="77777777" w:rsidR="00AB205D" w:rsidRDefault="00471A3B">
            <w:pPr>
              <w:cnfStyle w:val="000000000000" w:firstRow="0" w:lastRow="0" w:firstColumn="0" w:lastColumn="0" w:oddVBand="0" w:evenVBand="0" w:oddHBand="0" w:evenHBand="0" w:firstRowFirstColumn="0" w:firstRowLastColumn="0" w:lastRowFirstColumn="0" w:lastRowLastColumn="0"/>
            </w:pPr>
            <w:r>
              <w:t>1 374</w:t>
            </w:r>
          </w:p>
        </w:tc>
        <w:tc>
          <w:tcPr>
            <w:tcW w:w="794" w:type="dxa"/>
          </w:tcPr>
          <w:p w14:paraId="779B1247" w14:textId="77777777" w:rsidR="00AB205D" w:rsidRDefault="00471A3B">
            <w:pPr>
              <w:cnfStyle w:val="000000000000" w:firstRow="0" w:lastRow="0" w:firstColumn="0" w:lastColumn="0" w:oddVBand="0" w:evenVBand="0" w:oddHBand="0" w:evenHBand="0" w:firstRowFirstColumn="0" w:firstRowLastColumn="0" w:lastRowFirstColumn="0" w:lastRowLastColumn="0"/>
            </w:pPr>
            <w:r>
              <w:t>1 306</w:t>
            </w:r>
          </w:p>
        </w:tc>
        <w:tc>
          <w:tcPr>
            <w:tcW w:w="795" w:type="dxa"/>
          </w:tcPr>
          <w:p w14:paraId="13192C5A" w14:textId="77777777" w:rsidR="00AB205D" w:rsidRDefault="00471A3B">
            <w:pPr>
              <w:cnfStyle w:val="000000000000" w:firstRow="0" w:lastRow="0" w:firstColumn="0" w:lastColumn="0" w:oddVBand="0" w:evenVBand="0" w:oddHBand="0" w:evenHBand="0" w:firstRowFirstColumn="0" w:firstRowLastColumn="0" w:lastRowFirstColumn="0" w:lastRowLastColumn="0"/>
            </w:pPr>
            <w:r>
              <w:t>1 235</w:t>
            </w:r>
          </w:p>
        </w:tc>
      </w:tr>
      <w:tr w:rsidR="009C6724" w14:paraId="2FB1310F" w14:textId="77777777" w:rsidTr="009C6724">
        <w:tc>
          <w:tcPr>
            <w:cnfStyle w:val="001000000000" w:firstRow="0" w:lastRow="0" w:firstColumn="1" w:lastColumn="0" w:oddVBand="0" w:evenVBand="0" w:oddHBand="0" w:evenHBand="0" w:firstRowFirstColumn="0" w:firstRowLastColumn="0" w:lastRowFirstColumn="0" w:lastRowLastColumn="0"/>
            <w:tcW w:w="3738" w:type="dxa"/>
          </w:tcPr>
          <w:p w14:paraId="3DC5B35D" w14:textId="77777777" w:rsidR="00AB205D" w:rsidRDefault="00471A3B">
            <w:r>
              <w:rPr>
                <w:b/>
              </w:rPr>
              <w:t>Statutory</w:t>
            </w:r>
          </w:p>
        </w:tc>
        <w:tc>
          <w:tcPr>
            <w:tcW w:w="794" w:type="dxa"/>
          </w:tcPr>
          <w:p w14:paraId="647EDF02"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723E42F7"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5" w:type="dxa"/>
          </w:tcPr>
          <w:p w14:paraId="599BE581"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4CC075BB"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5" w:type="dxa"/>
          </w:tcPr>
          <w:p w14:paraId="0E71680B"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070E8315" w14:textId="77777777" w:rsidTr="009C6724">
        <w:tc>
          <w:tcPr>
            <w:cnfStyle w:val="001000000000" w:firstRow="0" w:lastRow="0" w:firstColumn="1" w:lastColumn="0" w:oddVBand="0" w:evenVBand="0" w:oddHBand="0" w:evenHBand="0" w:firstRowFirstColumn="0" w:firstRowLastColumn="0" w:lastRowFirstColumn="0" w:lastRowLastColumn="0"/>
            <w:tcW w:w="3738" w:type="dxa"/>
          </w:tcPr>
          <w:p w14:paraId="3BB3D5BB" w14:textId="77777777" w:rsidR="00AB205D" w:rsidRDefault="00471A3B">
            <w:r>
              <w:t>Accrued taxes payable</w:t>
            </w:r>
          </w:p>
        </w:tc>
        <w:tc>
          <w:tcPr>
            <w:tcW w:w="794" w:type="dxa"/>
          </w:tcPr>
          <w:p w14:paraId="7D1B3322" w14:textId="77777777" w:rsidR="00AB205D" w:rsidRDefault="00471A3B">
            <w:pPr>
              <w:cnfStyle w:val="000000000000" w:firstRow="0" w:lastRow="0" w:firstColumn="0" w:lastColumn="0" w:oddVBand="0" w:evenVBand="0" w:oddHBand="0" w:evenHBand="0" w:firstRowFirstColumn="0" w:firstRowLastColumn="0" w:lastRowFirstColumn="0" w:lastRowLastColumn="0"/>
            </w:pPr>
            <w:r>
              <w:t>77</w:t>
            </w:r>
          </w:p>
        </w:tc>
        <w:tc>
          <w:tcPr>
            <w:tcW w:w="794" w:type="dxa"/>
          </w:tcPr>
          <w:p w14:paraId="17859524" w14:textId="77777777" w:rsidR="00AB205D" w:rsidRDefault="00471A3B">
            <w:pPr>
              <w:cnfStyle w:val="000000000000" w:firstRow="0" w:lastRow="0" w:firstColumn="0" w:lastColumn="0" w:oddVBand="0" w:evenVBand="0" w:oddHBand="0" w:evenHBand="0" w:firstRowFirstColumn="0" w:firstRowLastColumn="0" w:lastRowFirstColumn="0" w:lastRowLastColumn="0"/>
            </w:pPr>
            <w:r>
              <w:t>77</w:t>
            </w:r>
          </w:p>
        </w:tc>
        <w:tc>
          <w:tcPr>
            <w:tcW w:w="795" w:type="dxa"/>
          </w:tcPr>
          <w:p w14:paraId="7AB74E3B" w14:textId="77777777" w:rsidR="00AB205D" w:rsidRDefault="00471A3B">
            <w:pPr>
              <w:cnfStyle w:val="000000000000" w:firstRow="0" w:lastRow="0" w:firstColumn="0" w:lastColumn="0" w:oddVBand="0" w:evenVBand="0" w:oddHBand="0" w:evenHBand="0" w:firstRowFirstColumn="0" w:firstRowLastColumn="0" w:lastRowFirstColumn="0" w:lastRowLastColumn="0"/>
            </w:pPr>
            <w:r>
              <w:t>78</w:t>
            </w:r>
          </w:p>
        </w:tc>
        <w:tc>
          <w:tcPr>
            <w:tcW w:w="794" w:type="dxa"/>
          </w:tcPr>
          <w:p w14:paraId="65412A90" w14:textId="77777777" w:rsidR="00AB205D" w:rsidRDefault="00471A3B">
            <w:pPr>
              <w:cnfStyle w:val="000000000000" w:firstRow="0" w:lastRow="0" w:firstColumn="0" w:lastColumn="0" w:oddVBand="0" w:evenVBand="0" w:oddHBand="0" w:evenHBand="0" w:firstRowFirstColumn="0" w:firstRowLastColumn="0" w:lastRowFirstColumn="0" w:lastRowLastColumn="0"/>
            </w:pPr>
            <w:r>
              <w:t>79</w:t>
            </w:r>
          </w:p>
        </w:tc>
        <w:tc>
          <w:tcPr>
            <w:tcW w:w="795" w:type="dxa"/>
          </w:tcPr>
          <w:p w14:paraId="100ABD58" w14:textId="77777777" w:rsidR="00AB205D" w:rsidRDefault="00471A3B">
            <w:pPr>
              <w:cnfStyle w:val="000000000000" w:firstRow="0" w:lastRow="0" w:firstColumn="0" w:lastColumn="0" w:oddVBand="0" w:evenVBand="0" w:oddHBand="0" w:evenHBand="0" w:firstRowFirstColumn="0" w:firstRowLastColumn="0" w:lastRowFirstColumn="0" w:lastRowLastColumn="0"/>
            </w:pPr>
            <w:r>
              <w:t>79</w:t>
            </w:r>
          </w:p>
        </w:tc>
      </w:tr>
      <w:tr w:rsidR="009C6724" w14:paraId="3FD4513E" w14:textId="77777777" w:rsidTr="009C6724">
        <w:tc>
          <w:tcPr>
            <w:cnfStyle w:val="001000000000" w:firstRow="0" w:lastRow="0" w:firstColumn="1" w:lastColumn="0" w:oddVBand="0" w:evenVBand="0" w:oddHBand="0" w:evenHBand="0" w:firstRowFirstColumn="0" w:firstRowLastColumn="0" w:lastRowFirstColumn="0" w:lastRowLastColumn="0"/>
            <w:tcW w:w="3738" w:type="dxa"/>
          </w:tcPr>
          <w:p w14:paraId="52C77340" w14:textId="77777777" w:rsidR="00AB205D" w:rsidRDefault="00471A3B">
            <w:r>
              <w:t>Unearned income</w:t>
            </w:r>
          </w:p>
        </w:tc>
        <w:tc>
          <w:tcPr>
            <w:tcW w:w="794" w:type="dxa"/>
          </w:tcPr>
          <w:p w14:paraId="489D480C" w14:textId="77777777" w:rsidR="00AB205D" w:rsidRDefault="00471A3B">
            <w:pPr>
              <w:cnfStyle w:val="000000000000" w:firstRow="0" w:lastRow="0" w:firstColumn="0" w:lastColumn="0" w:oddVBand="0" w:evenVBand="0" w:oddHBand="0" w:evenHBand="0" w:firstRowFirstColumn="0" w:firstRowLastColumn="0" w:lastRowFirstColumn="0" w:lastRowLastColumn="0"/>
            </w:pPr>
            <w:r>
              <w:t>63</w:t>
            </w:r>
          </w:p>
        </w:tc>
        <w:tc>
          <w:tcPr>
            <w:tcW w:w="794" w:type="dxa"/>
          </w:tcPr>
          <w:p w14:paraId="54E1E07B"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5" w:type="dxa"/>
          </w:tcPr>
          <w:p w14:paraId="786DACA4"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2285073E"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5" w:type="dxa"/>
          </w:tcPr>
          <w:p w14:paraId="64738C25"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r>
      <w:tr w:rsidR="009C6724" w14:paraId="3689A0EF" w14:textId="77777777" w:rsidTr="009C6724">
        <w:tc>
          <w:tcPr>
            <w:cnfStyle w:val="001000000000" w:firstRow="0" w:lastRow="0" w:firstColumn="1" w:lastColumn="0" w:oddVBand="0" w:evenVBand="0" w:oddHBand="0" w:evenHBand="0" w:firstRowFirstColumn="0" w:firstRowLastColumn="0" w:lastRowFirstColumn="0" w:lastRowLastColumn="0"/>
            <w:tcW w:w="3738" w:type="dxa"/>
          </w:tcPr>
          <w:p w14:paraId="4F3D7D48" w14:textId="77777777" w:rsidR="00AB205D" w:rsidRDefault="00471A3B">
            <w:r>
              <w:rPr>
                <w:b/>
              </w:rPr>
              <w:t>Other</w:t>
            </w:r>
          </w:p>
        </w:tc>
        <w:tc>
          <w:tcPr>
            <w:tcW w:w="794" w:type="dxa"/>
          </w:tcPr>
          <w:p w14:paraId="04FC111F"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55297D32"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5" w:type="dxa"/>
          </w:tcPr>
          <w:p w14:paraId="33B4C414"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8D2EFBC"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5" w:type="dxa"/>
          </w:tcPr>
          <w:p w14:paraId="0F43C92E"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23E0F1C6" w14:textId="77777777" w:rsidTr="009C6724">
        <w:tc>
          <w:tcPr>
            <w:cnfStyle w:val="001000000000" w:firstRow="0" w:lastRow="0" w:firstColumn="1" w:lastColumn="0" w:oddVBand="0" w:evenVBand="0" w:oddHBand="0" w:evenHBand="0" w:firstRowFirstColumn="0" w:firstRowLastColumn="0" w:lastRowFirstColumn="0" w:lastRowLastColumn="0"/>
            <w:tcW w:w="3738" w:type="dxa"/>
            <w:tcBorders>
              <w:bottom w:val="single" w:sz="6" w:space="0" w:color="auto"/>
            </w:tcBorders>
          </w:tcPr>
          <w:p w14:paraId="58EFC5A4" w14:textId="77777777" w:rsidR="00AB205D" w:rsidRDefault="00471A3B">
            <w:r>
              <w:t>Contract liabilities</w:t>
            </w:r>
          </w:p>
        </w:tc>
        <w:tc>
          <w:tcPr>
            <w:tcW w:w="794" w:type="dxa"/>
            <w:tcBorders>
              <w:bottom w:val="single" w:sz="6" w:space="0" w:color="auto"/>
            </w:tcBorders>
          </w:tcPr>
          <w:p w14:paraId="017E1619" w14:textId="77777777" w:rsidR="00AB205D" w:rsidRDefault="00471A3B">
            <w:pPr>
              <w:cnfStyle w:val="000000000000" w:firstRow="0" w:lastRow="0" w:firstColumn="0" w:lastColumn="0" w:oddVBand="0" w:evenVBand="0" w:oddHBand="0" w:evenHBand="0" w:firstRowFirstColumn="0" w:firstRowLastColumn="0" w:lastRowFirstColumn="0" w:lastRowLastColumn="0"/>
            </w:pPr>
            <w:r>
              <w:t>324</w:t>
            </w:r>
          </w:p>
        </w:tc>
        <w:tc>
          <w:tcPr>
            <w:tcW w:w="794" w:type="dxa"/>
            <w:tcBorders>
              <w:bottom w:val="single" w:sz="6" w:space="0" w:color="auto"/>
            </w:tcBorders>
          </w:tcPr>
          <w:p w14:paraId="5D2277AD" w14:textId="77777777" w:rsidR="00AB205D" w:rsidRDefault="00471A3B">
            <w:pPr>
              <w:cnfStyle w:val="000000000000" w:firstRow="0" w:lastRow="0" w:firstColumn="0" w:lastColumn="0" w:oddVBand="0" w:evenVBand="0" w:oddHBand="0" w:evenHBand="0" w:firstRowFirstColumn="0" w:firstRowLastColumn="0" w:lastRowFirstColumn="0" w:lastRowLastColumn="0"/>
            </w:pPr>
            <w:r>
              <w:t>324</w:t>
            </w:r>
          </w:p>
        </w:tc>
        <w:tc>
          <w:tcPr>
            <w:tcW w:w="795" w:type="dxa"/>
            <w:tcBorders>
              <w:bottom w:val="single" w:sz="6" w:space="0" w:color="auto"/>
            </w:tcBorders>
          </w:tcPr>
          <w:p w14:paraId="0E560357" w14:textId="77777777" w:rsidR="00AB205D" w:rsidRDefault="00471A3B">
            <w:pPr>
              <w:cnfStyle w:val="000000000000" w:firstRow="0" w:lastRow="0" w:firstColumn="0" w:lastColumn="0" w:oddVBand="0" w:evenVBand="0" w:oddHBand="0" w:evenHBand="0" w:firstRowFirstColumn="0" w:firstRowLastColumn="0" w:lastRowFirstColumn="0" w:lastRowLastColumn="0"/>
            </w:pPr>
            <w:r>
              <w:t>311</w:t>
            </w:r>
          </w:p>
        </w:tc>
        <w:tc>
          <w:tcPr>
            <w:tcW w:w="794" w:type="dxa"/>
            <w:tcBorders>
              <w:bottom w:val="single" w:sz="6" w:space="0" w:color="auto"/>
            </w:tcBorders>
          </w:tcPr>
          <w:p w14:paraId="14CAD73B" w14:textId="77777777" w:rsidR="00AB205D" w:rsidRDefault="00471A3B">
            <w:pPr>
              <w:cnfStyle w:val="000000000000" w:firstRow="0" w:lastRow="0" w:firstColumn="0" w:lastColumn="0" w:oddVBand="0" w:evenVBand="0" w:oddHBand="0" w:evenHBand="0" w:firstRowFirstColumn="0" w:firstRowLastColumn="0" w:lastRowFirstColumn="0" w:lastRowLastColumn="0"/>
            </w:pPr>
            <w:r>
              <w:t>307</w:t>
            </w:r>
          </w:p>
        </w:tc>
        <w:tc>
          <w:tcPr>
            <w:tcW w:w="795" w:type="dxa"/>
            <w:tcBorders>
              <w:bottom w:val="single" w:sz="6" w:space="0" w:color="auto"/>
            </w:tcBorders>
          </w:tcPr>
          <w:p w14:paraId="44AFB5DE" w14:textId="77777777" w:rsidR="00AB205D" w:rsidRDefault="00471A3B">
            <w:pPr>
              <w:cnfStyle w:val="000000000000" w:firstRow="0" w:lastRow="0" w:firstColumn="0" w:lastColumn="0" w:oddVBand="0" w:evenVBand="0" w:oddHBand="0" w:evenHBand="0" w:firstRowFirstColumn="0" w:firstRowLastColumn="0" w:lastRowFirstColumn="0" w:lastRowLastColumn="0"/>
            </w:pPr>
            <w:r>
              <w:t>307</w:t>
            </w:r>
          </w:p>
        </w:tc>
      </w:tr>
      <w:tr w:rsidR="009C6724" w14:paraId="6D1150C9" w14:textId="77777777" w:rsidTr="009C6724">
        <w:tc>
          <w:tcPr>
            <w:cnfStyle w:val="001000000000" w:firstRow="0" w:lastRow="0" w:firstColumn="1" w:lastColumn="0" w:oddVBand="0" w:evenVBand="0" w:oddHBand="0" w:evenHBand="0" w:firstRowFirstColumn="0" w:firstRowLastColumn="0" w:lastRowFirstColumn="0" w:lastRowLastColumn="0"/>
            <w:tcW w:w="3738" w:type="dxa"/>
            <w:tcBorders>
              <w:top w:val="single" w:sz="6" w:space="0" w:color="auto"/>
              <w:bottom w:val="single" w:sz="12" w:space="0" w:color="auto"/>
            </w:tcBorders>
          </w:tcPr>
          <w:p w14:paraId="07A7F088" w14:textId="77777777" w:rsidR="00AB205D" w:rsidRDefault="00471A3B">
            <w:r>
              <w:rPr>
                <w:b/>
              </w:rPr>
              <w:t>Total payables and contract liabilities</w:t>
            </w:r>
          </w:p>
        </w:tc>
        <w:tc>
          <w:tcPr>
            <w:tcW w:w="794" w:type="dxa"/>
            <w:tcBorders>
              <w:top w:val="single" w:sz="6" w:space="0" w:color="auto"/>
              <w:bottom w:val="single" w:sz="12" w:space="0" w:color="auto"/>
            </w:tcBorders>
          </w:tcPr>
          <w:p w14:paraId="50C33C5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28 554</w:t>
            </w:r>
          </w:p>
        </w:tc>
        <w:tc>
          <w:tcPr>
            <w:tcW w:w="794" w:type="dxa"/>
            <w:tcBorders>
              <w:top w:val="single" w:sz="6" w:space="0" w:color="auto"/>
              <w:bottom w:val="single" w:sz="12" w:space="0" w:color="auto"/>
            </w:tcBorders>
          </w:tcPr>
          <w:p w14:paraId="6CEEB28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27 826</w:t>
            </w:r>
          </w:p>
        </w:tc>
        <w:tc>
          <w:tcPr>
            <w:tcW w:w="795" w:type="dxa"/>
            <w:tcBorders>
              <w:top w:val="single" w:sz="6" w:space="0" w:color="auto"/>
              <w:bottom w:val="single" w:sz="12" w:space="0" w:color="auto"/>
            </w:tcBorders>
          </w:tcPr>
          <w:p w14:paraId="1C4354C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27 347</w:t>
            </w:r>
          </w:p>
        </w:tc>
        <w:tc>
          <w:tcPr>
            <w:tcW w:w="794" w:type="dxa"/>
            <w:tcBorders>
              <w:top w:val="single" w:sz="6" w:space="0" w:color="auto"/>
              <w:bottom w:val="single" w:sz="12" w:space="0" w:color="auto"/>
            </w:tcBorders>
          </w:tcPr>
          <w:p w14:paraId="5E186CF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26 779</w:t>
            </w:r>
          </w:p>
        </w:tc>
        <w:tc>
          <w:tcPr>
            <w:tcW w:w="795" w:type="dxa"/>
            <w:tcBorders>
              <w:top w:val="single" w:sz="6" w:space="0" w:color="auto"/>
              <w:bottom w:val="single" w:sz="12" w:space="0" w:color="auto"/>
            </w:tcBorders>
          </w:tcPr>
          <w:p w14:paraId="6A19710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25 910</w:t>
            </w:r>
          </w:p>
        </w:tc>
      </w:tr>
      <w:tr w:rsidR="009C6724" w14:paraId="7D3D4EB7" w14:textId="77777777" w:rsidTr="009C6724">
        <w:tc>
          <w:tcPr>
            <w:cnfStyle w:val="001000000000" w:firstRow="0" w:lastRow="0" w:firstColumn="1" w:lastColumn="0" w:oddVBand="0" w:evenVBand="0" w:oddHBand="0" w:evenHBand="0" w:firstRowFirstColumn="0" w:firstRowLastColumn="0" w:lastRowFirstColumn="0" w:lastRowLastColumn="0"/>
            <w:tcW w:w="3738" w:type="dxa"/>
            <w:tcBorders>
              <w:top w:val="single" w:sz="6" w:space="0" w:color="auto"/>
            </w:tcBorders>
          </w:tcPr>
          <w:p w14:paraId="4C5520E9" w14:textId="77777777" w:rsidR="00AB205D" w:rsidRDefault="00471A3B">
            <w:r>
              <w:rPr>
                <w:b/>
              </w:rPr>
              <w:t>Represented by:</w:t>
            </w:r>
          </w:p>
        </w:tc>
        <w:tc>
          <w:tcPr>
            <w:tcW w:w="794" w:type="dxa"/>
            <w:tcBorders>
              <w:top w:val="single" w:sz="6" w:space="0" w:color="auto"/>
            </w:tcBorders>
          </w:tcPr>
          <w:p w14:paraId="78DC6814"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A91B483"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5" w:type="dxa"/>
            <w:tcBorders>
              <w:top w:val="single" w:sz="6" w:space="0" w:color="auto"/>
            </w:tcBorders>
          </w:tcPr>
          <w:p w14:paraId="02C6D924"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2184DB80"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5" w:type="dxa"/>
            <w:tcBorders>
              <w:top w:val="single" w:sz="6" w:space="0" w:color="auto"/>
            </w:tcBorders>
          </w:tcPr>
          <w:p w14:paraId="00E5716F"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4611C36C" w14:textId="77777777" w:rsidTr="009C6724">
        <w:tc>
          <w:tcPr>
            <w:cnfStyle w:val="001000000000" w:firstRow="0" w:lastRow="0" w:firstColumn="1" w:lastColumn="0" w:oddVBand="0" w:evenVBand="0" w:oddHBand="0" w:evenHBand="0" w:firstRowFirstColumn="0" w:firstRowLastColumn="0" w:lastRowFirstColumn="0" w:lastRowLastColumn="0"/>
            <w:tcW w:w="3738" w:type="dxa"/>
          </w:tcPr>
          <w:p w14:paraId="3401C6CE" w14:textId="77777777" w:rsidR="00AB205D" w:rsidRDefault="00471A3B">
            <w:r>
              <w:t>Current payables and contract liabilities</w:t>
            </w:r>
          </w:p>
        </w:tc>
        <w:tc>
          <w:tcPr>
            <w:tcW w:w="794" w:type="dxa"/>
          </w:tcPr>
          <w:p w14:paraId="4334A9AC" w14:textId="77777777" w:rsidR="00AB205D" w:rsidRDefault="00471A3B">
            <w:pPr>
              <w:cnfStyle w:val="000000000000" w:firstRow="0" w:lastRow="0" w:firstColumn="0" w:lastColumn="0" w:oddVBand="0" w:evenVBand="0" w:oddHBand="0" w:evenHBand="0" w:firstRowFirstColumn="0" w:firstRowLastColumn="0" w:lastRowFirstColumn="0" w:lastRowLastColumn="0"/>
            </w:pPr>
            <w:r>
              <w:t>8 462</w:t>
            </w:r>
          </w:p>
        </w:tc>
        <w:tc>
          <w:tcPr>
            <w:tcW w:w="794" w:type="dxa"/>
          </w:tcPr>
          <w:p w14:paraId="565E0758" w14:textId="77777777" w:rsidR="00AB205D" w:rsidRDefault="00471A3B">
            <w:pPr>
              <w:cnfStyle w:val="000000000000" w:firstRow="0" w:lastRow="0" w:firstColumn="0" w:lastColumn="0" w:oddVBand="0" w:evenVBand="0" w:oddHBand="0" w:evenHBand="0" w:firstRowFirstColumn="0" w:firstRowLastColumn="0" w:lastRowFirstColumn="0" w:lastRowLastColumn="0"/>
            </w:pPr>
            <w:r>
              <w:t>7 309</w:t>
            </w:r>
          </w:p>
        </w:tc>
        <w:tc>
          <w:tcPr>
            <w:tcW w:w="795" w:type="dxa"/>
          </w:tcPr>
          <w:p w14:paraId="704CAF54" w14:textId="77777777" w:rsidR="00AB205D" w:rsidRDefault="00471A3B">
            <w:pPr>
              <w:cnfStyle w:val="000000000000" w:firstRow="0" w:lastRow="0" w:firstColumn="0" w:lastColumn="0" w:oddVBand="0" w:evenVBand="0" w:oddHBand="0" w:evenHBand="0" w:firstRowFirstColumn="0" w:firstRowLastColumn="0" w:lastRowFirstColumn="0" w:lastRowLastColumn="0"/>
            </w:pPr>
            <w:r>
              <w:t>7 152</w:t>
            </w:r>
          </w:p>
        </w:tc>
        <w:tc>
          <w:tcPr>
            <w:tcW w:w="794" w:type="dxa"/>
          </w:tcPr>
          <w:p w14:paraId="48EF2D17" w14:textId="77777777" w:rsidR="00AB205D" w:rsidRDefault="00471A3B">
            <w:pPr>
              <w:cnfStyle w:val="000000000000" w:firstRow="0" w:lastRow="0" w:firstColumn="0" w:lastColumn="0" w:oddVBand="0" w:evenVBand="0" w:oddHBand="0" w:evenHBand="0" w:firstRowFirstColumn="0" w:firstRowLastColumn="0" w:lastRowFirstColumn="0" w:lastRowLastColumn="0"/>
            </w:pPr>
            <w:r>
              <w:t>7 292</w:t>
            </w:r>
          </w:p>
        </w:tc>
        <w:tc>
          <w:tcPr>
            <w:tcW w:w="795" w:type="dxa"/>
          </w:tcPr>
          <w:p w14:paraId="1AA1A3B3" w14:textId="77777777" w:rsidR="00AB205D" w:rsidRDefault="00471A3B">
            <w:pPr>
              <w:cnfStyle w:val="000000000000" w:firstRow="0" w:lastRow="0" w:firstColumn="0" w:lastColumn="0" w:oddVBand="0" w:evenVBand="0" w:oddHBand="0" w:evenHBand="0" w:firstRowFirstColumn="0" w:firstRowLastColumn="0" w:lastRowFirstColumn="0" w:lastRowLastColumn="0"/>
            </w:pPr>
            <w:r>
              <w:t>7 285</w:t>
            </w:r>
          </w:p>
        </w:tc>
      </w:tr>
      <w:tr w:rsidR="009C6724" w14:paraId="2635E4EA" w14:textId="77777777" w:rsidTr="009C6724">
        <w:tc>
          <w:tcPr>
            <w:cnfStyle w:val="001000000000" w:firstRow="0" w:lastRow="0" w:firstColumn="1" w:lastColumn="0" w:oddVBand="0" w:evenVBand="0" w:oddHBand="0" w:evenHBand="0" w:firstRowFirstColumn="0" w:firstRowLastColumn="0" w:lastRowFirstColumn="0" w:lastRowLastColumn="0"/>
            <w:tcW w:w="3738" w:type="dxa"/>
          </w:tcPr>
          <w:p w14:paraId="3282E552" w14:textId="77777777" w:rsidR="00AB205D" w:rsidRDefault="00471A3B">
            <w:r>
              <w:t>Non</w:t>
            </w:r>
            <w:r>
              <w:noBreakHyphen/>
              <w:t>current payables and contract liabilities</w:t>
            </w:r>
          </w:p>
        </w:tc>
        <w:tc>
          <w:tcPr>
            <w:tcW w:w="794" w:type="dxa"/>
          </w:tcPr>
          <w:p w14:paraId="62A44185" w14:textId="77777777" w:rsidR="00AB205D" w:rsidRDefault="00471A3B">
            <w:pPr>
              <w:cnfStyle w:val="000000000000" w:firstRow="0" w:lastRow="0" w:firstColumn="0" w:lastColumn="0" w:oddVBand="0" w:evenVBand="0" w:oddHBand="0" w:evenHBand="0" w:firstRowFirstColumn="0" w:firstRowLastColumn="0" w:lastRowFirstColumn="0" w:lastRowLastColumn="0"/>
            </w:pPr>
            <w:r>
              <w:t>20 092</w:t>
            </w:r>
          </w:p>
        </w:tc>
        <w:tc>
          <w:tcPr>
            <w:tcW w:w="794" w:type="dxa"/>
          </w:tcPr>
          <w:p w14:paraId="52727723" w14:textId="77777777" w:rsidR="00AB205D" w:rsidRDefault="00471A3B">
            <w:pPr>
              <w:cnfStyle w:val="000000000000" w:firstRow="0" w:lastRow="0" w:firstColumn="0" w:lastColumn="0" w:oddVBand="0" w:evenVBand="0" w:oddHBand="0" w:evenHBand="0" w:firstRowFirstColumn="0" w:firstRowLastColumn="0" w:lastRowFirstColumn="0" w:lastRowLastColumn="0"/>
            </w:pPr>
            <w:r>
              <w:t>20 517</w:t>
            </w:r>
          </w:p>
        </w:tc>
        <w:tc>
          <w:tcPr>
            <w:tcW w:w="795" w:type="dxa"/>
          </w:tcPr>
          <w:p w14:paraId="0C51622B" w14:textId="77777777" w:rsidR="00AB205D" w:rsidRDefault="00471A3B">
            <w:pPr>
              <w:cnfStyle w:val="000000000000" w:firstRow="0" w:lastRow="0" w:firstColumn="0" w:lastColumn="0" w:oddVBand="0" w:evenVBand="0" w:oddHBand="0" w:evenHBand="0" w:firstRowFirstColumn="0" w:firstRowLastColumn="0" w:lastRowFirstColumn="0" w:lastRowLastColumn="0"/>
            </w:pPr>
            <w:r>
              <w:t>20 195</w:t>
            </w:r>
          </w:p>
        </w:tc>
        <w:tc>
          <w:tcPr>
            <w:tcW w:w="794" w:type="dxa"/>
          </w:tcPr>
          <w:p w14:paraId="292FC70A" w14:textId="77777777" w:rsidR="00AB205D" w:rsidRDefault="00471A3B">
            <w:pPr>
              <w:cnfStyle w:val="000000000000" w:firstRow="0" w:lastRow="0" w:firstColumn="0" w:lastColumn="0" w:oddVBand="0" w:evenVBand="0" w:oddHBand="0" w:evenHBand="0" w:firstRowFirstColumn="0" w:firstRowLastColumn="0" w:lastRowFirstColumn="0" w:lastRowLastColumn="0"/>
            </w:pPr>
            <w:r>
              <w:t>19 487</w:t>
            </w:r>
          </w:p>
        </w:tc>
        <w:tc>
          <w:tcPr>
            <w:tcW w:w="795" w:type="dxa"/>
          </w:tcPr>
          <w:p w14:paraId="28F3A60C" w14:textId="77777777" w:rsidR="00AB205D" w:rsidRDefault="00471A3B">
            <w:pPr>
              <w:cnfStyle w:val="000000000000" w:firstRow="0" w:lastRow="0" w:firstColumn="0" w:lastColumn="0" w:oddVBand="0" w:evenVBand="0" w:oddHBand="0" w:evenHBand="0" w:firstRowFirstColumn="0" w:firstRowLastColumn="0" w:lastRowFirstColumn="0" w:lastRowLastColumn="0"/>
            </w:pPr>
            <w:r>
              <w:t>18 625</w:t>
            </w:r>
          </w:p>
        </w:tc>
      </w:tr>
    </w:tbl>
    <w:p w14:paraId="7C9BB494" w14:textId="77777777" w:rsidR="00AB205D" w:rsidRDefault="00AB205D"/>
    <w:p w14:paraId="7C6B8E38" w14:textId="77777777" w:rsidR="00AB205D" w:rsidRPr="00BC2EDC" w:rsidRDefault="00471A3B">
      <w:pPr>
        <w:pStyle w:val="Heading3"/>
        <w:pageBreakBefore/>
        <w:rPr>
          <w:sz w:val="21"/>
          <w:szCs w:val="21"/>
        </w:rPr>
      </w:pPr>
      <w:bookmarkStart w:id="74" w:name="_Toc149221083"/>
      <w:r w:rsidRPr="00BC2EDC">
        <w:rPr>
          <w:sz w:val="21"/>
          <w:szCs w:val="21"/>
        </w:rPr>
        <w:lastRenderedPageBreak/>
        <w:t>Superannuation</w:t>
      </w:r>
      <w:bookmarkEnd w:id="74"/>
    </w:p>
    <w:p w14:paraId="453BEF4F" w14:textId="77777777" w:rsidR="00AB205D" w:rsidRDefault="00471A3B">
      <w:pPr>
        <w:pStyle w:val="TableHeading"/>
      </w:pPr>
      <w:r w:rsidRPr="00D02438">
        <w:t>Reconciliation of the superannuation liabilities</w:t>
      </w:r>
      <w:r w:rsidRPr="00D02438">
        <w:tab/>
        <w:t>($ million)</w:t>
      </w:r>
    </w:p>
    <w:tbl>
      <w:tblPr>
        <w:tblStyle w:val="DTFTableNumeric"/>
        <w:tblW w:w="7710" w:type="dxa"/>
        <w:tblLayout w:type="fixed"/>
        <w:tblLook w:val="06A0" w:firstRow="1" w:lastRow="0" w:firstColumn="1" w:lastColumn="0" w:noHBand="1" w:noVBand="1"/>
        <w:tblDescription w:val="Type:DtfTable|Workbook:Rawdata\BudgetUpdate\Budget Update\Financial Statements\Manual reports\Link_BU_Superannuation.xlsx|Table:Superannuation_liability|MergedHeadingRow:1"/>
      </w:tblPr>
      <w:tblGrid>
        <w:gridCol w:w="3686"/>
        <w:gridCol w:w="709"/>
        <w:gridCol w:w="850"/>
        <w:gridCol w:w="877"/>
        <w:gridCol w:w="794"/>
        <w:gridCol w:w="794"/>
      </w:tblGrid>
      <w:tr w:rsidR="009C6724" w14:paraId="3C125C94"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6" w:type="dxa"/>
          </w:tcPr>
          <w:p w14:paraId="27587202" w14:textId="77777777" w:rsidR="00AB205D" w:rsidRDefault="00AB205D">
            <w:pPr>
              <w:keepNext/>
            </w:pPr>
          </w:p>
        </w:tc>
        <w:tc>
          <w:tcPr>
            <w:tcW w:w="709" w:type="dxa"/>
          </w:tcPr>
          <w:p w14:paraId="071A7512"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budget</w:t>
            </w:r>
          </w:p>
        </w:tc>
        <w:tc>
          <w:tcPr>
            <w:tcW w:w="850" w:type="dxa"/>
          </w:tcPr>
          <w:p w14:paraId="1D09EBD0"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revised</w:t>
            </w:r>
          </w:p>
        </w:tc>
        <w:tc>
          <w:tcPr>
            <w:tcW w:w="877" w:type="dxa"/>
          </w:tcPr>
          <w:p w14:paraId="20A84DDA"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r>
              <w:br/>
              <w:t>estimate</w:t>
            </w:r>
          </w:p>
        </w:tc>
        <w:tc>
          <w:tcPr>
            <w:tcW w:w="794" w:type="dxa"/>
          </w:tcPr>
          <w:p w14:paraId="73BF5C04"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0F39EBA9"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r>
      <w:tr w:rsidR="009C6724" w14:paraId="3FD056FA" w14:textId="77777777" w:rsidTr="009C6724">
        <w:tc>
          <w:tcPr>
            <w:cnfStyle w:val="001000000000" w:firstRow="0" w:lastRow="0" w:firstColumn="1" w:lastColumn="0" w:oddVBand="0" w:evenVBand="0" w:oddHBand="0" w:evenHBand="0" w:firstRowFirstColumn="0" w:firstRowLastColumn="0" w:lastRowFirstColumn="0" w:lastRowLastColumn="0"/>
            <w:tcW w:w="3686" w:type="dxa"/>
            <w:tcBorders>
              <w:top w:val="single" w:sz="6" w:space="0" w:color="auto"/>
            </w:tcBorders>
          </w:tcPr>
          <w:p w14:paraId="27767DB9" w14:textId="77777777" w:rsidR="00AB205D" w:rsidRDefault="00471A3B">
            <w:r>
              <w:rPr>
                <w:b/>
              </w:rPr>
              <w:t>Emergency Services and State Super</w:t>
            </w:r>
          </w:p>
        </w:tc>
        <w:tc>
          <w:tcPr>
            <w:tcW w:w="709" w:type="dxa"/>
            <w:tcBorders>
              <w:top w:val="single" w:sz="6" w:space="0" w:color="auto"/>
            </w:tcBorders>
          </w:tcPr>
          <w:p w14:paraId="07C1E186"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33F597D0"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877" w:type="dxa"/>
            <w:tcBorders>
              <w:top w:val="single" w:sz="6" w:space="0" w:color="auto"/>
            </w:tcBorders>
          </w:tcPr>
          <w:p w14:paraId="6FCDE100"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483DA00E"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F321804"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62BC2E09" w14:textId="77777777" w:rsidTr="009C6724">
        <w:tc>
          <w:tcPr>
            <w:cnfStyle w:val="001000000000" w:firstRow="0" w:lastRow="0" w:firstColumn="1" w:lastColumn="0" w:oddVBand="0" w:evenVBand="0" w:oddHBand="0" w:evenHBand="0" w:firstRowFirstColumn="0" w:firstRowLastColumn="0" w:lastRowFirstColumn="0" w:lastRowLastColumn="0"/>
            <w:tcW w:w="3686" w:type="dxa"/>
          </w:tcPr>
          <w:p w14:paraId="36A582AC" w14:textId="77777777" w:rsidR="00AB205D" w:rsidRDefault="00471A3B">
            <w:r>
              <w:t>Defined benefit obligation</w:t>
            </w:r>
          </w:p>
        </w:tc>
        <w:tc>
          <w:tcPr>
            <w:tcW w:w="709" w:type="dxa"/>
          </w:tcPr>
          <w:p w14:paraId="0692CFC3" w14:textId="77777777" w:rsidR="00AB205D" w:rsidRDefault="00471A3B">
            <w:pPr>
              <w:cnfStyle w:val="000000000000" w:firstRow="0" w:lastRow="0" w:firstColumn="0" w:lastColumn="0" w:oddVBand="0" w:evenVBand="0" w:oddHBand="0" w:evenHBand="0" w:firstRowFirstColumn="0" w:firstRowLastColumn="0" w:lastRowFirstColumn="0" w:lastRowLastColumn="0"/>
            </w:pPr>
            <w:r>
              <w:t>40 245</w:t>
            </w:r>
          </w:p>
        </w:tc>
        <w:tc>
          <w:tcPr>
            <w:tcW w:w="850" w:type="dxa"/>
          </w:tcPr>
          <w:p w14:paraId="4939260F" w14:textId="77777777" w:rsidR="00AB205D" w:rsidRDefault="00471A3B">
            <w:pPr>
              <w:cnfStyle w:val="000000000000" w:firstRow="0" w:lastRow="0" w:firstColumn="0" w:lastColumn="0" w:oddVBand="0" w:evenVBand="0" w:oddHBand="0" w:evenHBand="0" w:firstRowFirstColumn="0" w:firstRowLastColumn="0" w:lastRowFirstColumn="0" w:lastRowLastColumn="0"/>
            </w:pPr>
            <w:r>
              <w:t>37 911</w:t>
            </w:r>
          </w:p>
        </w:tc>
        <w:tc>
          <w:tcPr>
            <w:tcW w:w="877" w:type="dxa"/>
          </w:tcPr>
          <w:p w14:paraId="3075EC76" w14:textId="77777777" w:rsidR="00AB205D" w:rsidRDefault="00471A3B">
            <w:pPr>
              <w:cnfStyle w:val="000000000000" w:firstRow="0" w:lastRow="0" w:firstColumn="0" w:lastColumn="0" w:oddVBand="0" w:evenVBand="0" w:oddHBand="0" w:evenHBand="0" w:firstRowFirstColumn="0" w:firstRowLastColumn="0" w:lastRowFirstColumn="0" w:lastRowLastColumn="0"/>
            </w:pPr>
            <w:r>
              <w:t>37 624</w:t>
            </w:r>
          </w:p>
        </w:tc>
        <w:tc>
          <w:tcPr>
            <w:tcW w:w="794" w:type="dxa"/>
          </w:tcPr>
          <w:p w14:paraId="36FD2AA2" w14:textId="77777777" w:rsidR="00AB205D" w:rsidRDefault="00471A3B">
            <w:pPr>
              <w:cnfStyle w:val="000000000000" w:firstRow="0" w:lastRow="0" w:firstColumn="0" w:lastColumn="0" w:oddVBand="0" w:evenVBand="0" w:oddHBand="0" w:evenHBand="0" w:firstRowFirstColumn="0" w:firstRowLastColumn="0" w:lastRowFirstColumn="0" w:lastRowLastColumn="0"/>
            </w:pPr>
            <w:r>
              <w:t>37 417</w:t>
            </w:r>
          </w:p>
        </w:tc>
        <w:tc>
          <w:tcPr>
            <w:tcW w:w="794" w:type="dxa"/>
          </w:tcPr>
          <w:p w14:paraId="2959526F" w14:textId="77777777" w:rsidR="00AB205D" w:rsidRDefault="00471A3B">
            <w:pPr>
              <w:cnfStyle w:val="000000000000" w:firstRow="0" w:lastRow="0" w:firstColumn="0" w:lastColumn="0" w:oddVBand="0" w:evenVBand="0" w:oddHBand="0" w:evenHBand="0" w:firstRowFirstColumn="0" w:firstRowLastColumn="0" w:lastRowFirstColumn="0" w:lastRowLastColumn="0"/>
            </w:pPr>
            <w:r>
              <w:t>37 196</w:t>
            </w:r>
          </w:p>
        </w:tc>
      </w:tr>
      <w:tr w:rsidR="009C6724" w14:paraId="740C0FB1" w14:textId="77777777" w:rsidTr="009C6724">
        <w:tc>
          <w:tcPr>
            <w:cnfStyle w:val="001000000000" w:firstRow="0" w:lastRow="0" w:firstColumn="1" w:lastColumn="0" w:oddVBand="0" w:evenVBand="0" w:oddHBand="0" w:evenHBand="0" w:firstRowFirstColumn="0" w:firstRowLastColumn="0" w:lastRowFirstColumn="0" w:lastRowLastColumn="0"/>
            <w:tcW w:w="3686" w:type="dxa"/>
          </w:tcPr>
          <w:p w14:paraId="683EF492" w14:textId="77777777" w:rsidR="00AB205D" w:rsidRDefault="00471A3B">
            <w:r>
              <w:t xml:space="preserve">Tax liability </w:t>
            </w:r>
            <w:r>
              <w:rPr>
                <w:vertAlign w:val="superscript"/>
              </w:rPr>
              <w:t>(a)</w:t>
            </w:r>
          </w:p>
        </w:tc>
        <w:tc>
          <w:tcPr>
            <w:tcW w:w="709" w:type="dxa"/>
          </w:tcPr>
          <w:p w14:paraId="5239750E" w14:textId="77777777" w:rsidR="00AB205D" w:rsidRDefault="00471A3B">
            <w:pPr>
              <w:cnfStyle w:val="000000000000" w:firstRow="0" w:lastRow="0" w:firstColumn="0" w:lastColumn="0" w:oddVBand="0" w:evenVBand="0" w:oddHBand="0" w:evenHBand="0" w:firstRowFirstColumn="0" w:firstRowLastColumn="0" w:lastRowFirstColumn="0" w:lastRowLastColumn="0"/>
            </w:pPr>
            <w:r>
              <w:t>2 121</w:t>
            </w:r>
          </w:p>
        </w:tc>
        <w:tc>
          <w:tcPr>
            <w:tcW w:w="850" w:type="dxa"/>
          </w:tcPr>
          <w:p w14:paraId="014C8922" w14:textId="77777777" w:rsidR="00AB205D" w:rsidRDefault="00471A3B">
            <w:pPr>
              <w:cnfStyle w:val="000000000000" w:firstRow="0" w:lastRow="0" w:firstColumn="0" w:lastColumn="0" w:oddVBand="0" w:evenVBand="0" w:oddHBand="0" w:evenHBand="0" w:firstRowFirstColumn="0" w:firstRowLastColumn="0" w:lastRowFirstColumn="0" w:lastRowLastColumn="0"/>
            </w:pPr>
            <w:r>
              <w:t>2 152</w:t>
            </w:r>
          </w:p>
        </w:tc>
        <w:tc>
          <w:tcPr>
            <w:tcW w:w="877" w:type="dxa"/>
          </w:tcPr>
          <w:p w14:paraId="7035982B" w14:textId="77777777" w:rsidR="00AB205D" w:rsidRDefault="00471A3B">
            <w:pPr>
              <w:cnfStyle w:val="000000000000" w:firstRow="0" w:lastRow="0" w:firstColumn="0" w:lastColumn="0" w:oddVBand="0" w:evenVBand="0" w:oddHBand="0" w:evenHBand="0" w:firstRowFirstColumn="0" w:firstRowLastColumn="0" w:lastRowFirstColumn="0" w:lastRowLastColumn="0"/>
            </w:pPr>
            <w:r>
              <w:t>2 159</w:t>
            </w:r>
          </w:p>
        </w:tc>
        <w:tc>
          <w:tcPr>
            <w:tcW w:w="794" w:type="dxa"/>
          </w:tcPr>
          <w:p w14:paraId="531B9A04" w14:textId="77777777" w:rsidR="00AB205D" w:rsidRDefault="00471A3B">
            <w:pPr>
              <w:cnfStyle w:val="000000000000" w:firstRow="0" w:lastRow="0" w:firstColumn="0" w:lastColumn="0" w:oddVBand="0" w:evenVBand="0" w:oddHBand="0" w:evenHBand="0" w:firstRowFirstColumn="0" w:firstRowLastColumn="0" w:lastRowFirstColumn="0" w:lastRowLastColumn="0"/>
            </w:pPr>
            <w:r>
              <w:t>2 184</w:t>
            </w:r>
          </w:p>
        </w:tc>
        <w:tc>
          <w:tcPr>
            <w:tcW w:w="794" w:type="dxa"/>
          </w:tcPr>
          <w:p w14:paraId="64F05C26" w14:textId="77777777" w:rsidR="00AB205D" w:rsidRDefault="00471A3B">
            <w:pPr>
              <w:cnfStyle w:val="000000000000" w:firstRow="0" w:lastRow="0" w:firstColumn="0" w:lastColumn="0" w:oddVBand="0" w:evenVBand="0" w:oddHBand="0" w:evenHBand="0" w:firstRowFirstColumn="0" w:firstRowLastColumn="0" w:lastRowFirstColumn="0" w:lastRowLastColumn="0"/>
            </w:pPr>
            <w:r>
              <w:t>2 173</w:t>
            </w:r>
          </w:p>
        </w:tc>
      </w:tr>
      <w:tr w:rsidR="009C6724" w14:paraId="252BEA0E" w14:textId="77777777" w:rsidTr="009C6724">
        <w:tc>
          <w:tcPr>
            <w:cnfStyle w:val="001000000000" w:firstRow="0" w:lastRow="0" w:firstColumn="1" w:lastColumn="0" w:oddVBand="0" w:evenVBand="0" w:oddHBand="0" w:evenHBand="0" w:firstRowFirstColumn="0" w:firstRowLastColumn="0" w:lastRowFirstColumn="0" w:lastRowLastColumn="0"/>
            <w:tcW w:w="3686" w:type="dxa"/>
            <w:tcBorders>
              <w:bottom w:val="single" w:sz="6" w:space="0" w:color="auto"/>
            </w:tcBorders>
          </w:tcPr>
          <w:p w14:paraId="0DC2FD1A" w14:textId="77777777" w:rsidR="00AB205D" w:rsidRDefault="00471A3B">
            <w:r>
              <w:t>Plan assets</w:t>
            </w:r>
          </w:p>
        </w:tc>
        <w:tc>
          <w:tcPr>
            <w:tcW w:w="709" w:type="dxa"/>
            <w:tcBorders>
              <w:bottom w:val="single" w:sz="6" w:space="0" w:color="auto"/>
            </w:tcBorders>
          </w:tcPr>
          <w:p w14:paraId="0C749568" w14:textId="77777777" w:rsidR="00AB205D" w:rsidRDefault="00471A3B">
            <w:pPr>
              <w:cnfStyle w:val="000000000000" w:firstRow="0" w:lastRow="0" w:firstColumn="0" w:lastColumn="0" w:oddVBand="0" w:evenVBand="0" w:oddHBand="0" w:evenHBand="0" w:firstRowFirstColumn="0" w:firstRowLastColumn="0" w:lastRowFirstColumn="0" w:lastRowLastColumn="0"/>
            </w:pPr>
            <w:r>
              <w:t>(24 359)</w:t>
            </w:r>
          </w:p>
        </w:tc>
        <w:tc>
          <w:tcPr>
            <w:tcW w:w="850" w:type="dxa"/>
            <w:tcBorders>
              <w:bottom w:val="single" w:sz="6" w:space="0" w:color="auto"/>
            </w:tcBorders>
          </w:tcPr>
          <w:p w14:paraId="6F946AC7" w14:textId="77777777" w:rsidR="00AB205D" w:rsidRDefault="00471A3B">
            <w:pPr>
              <w:cnfStyle w:val="000000000000" w:firstRow="0" w:lastRow="0" w:firstColumn="0" w:lastColumn="0" w:oddVBand="0" w:evenVBand="0" w:oddHBand="0" w:evenHBand="0" w:firstRowFirstColumn="0" w:firstRowLastColumn="0" w:lastRowFirstColumn="0" w:lastRowLastColumn="0"/>
            </w:pPr>
            <w:r>
              <w:t>(23 900)</w:t>
            </w:r>
          </w:p>
        </w:tc>
        <w:tc>
          <w:tcPr>
            <w:tcW w:w="877" w:type="dxa"/>
            <w:tcBorders>
              <w:bottom w:val="single" w:sz="6" w:space="0" w:color="auto"/>
            </w:tcBorders>
          </w:tcPr>
          <w:p w14:paraId="2BD156BF" w14:textId="77777777" w:rsidR="00AB205D" w:rsidRDefault="00471A3B">
            <w:pPr>
              <w:cnfStyle w:val="000000000000" w:firstRow="0" w:lastRow="0" w:firstColumn="0" w:lastColumn="0" w:oddVBand="0" w:evenVBand="0" w:oddHBand="0" w:evenHBand="0" w:firstRowFirstColumn="0" w:firstRowLastColumn="0" w:lastRowFirstColumn="0" w:lastRowLastColumn="0"/>
            </w:pPr>
            <w:r>
              <w:t>(23 569)</w:t>
            </w:r>
          </w:p>
        </w:tc>
        <w:tc>
          <w:tcPr>
            <w:tcW w:w="794" w:type="dxa"/>
            <w:tcBorders>
              <w:bottom w:val="single" w:sz="6" w:space="0" w:color="auto"/>
            </w:tcBorders>
          </w:tcPr>
          <w:p w14:paraId="18F99A02" w14:textId="77777777" w:rsidR="00AB205D" w:rsidRDefault="00471A3B">
            <w:pPr>
              <w:cnfStyle w:val="000000000000" w:firstRow="0" w:lastRow="0" w:firstColumn="0" w:lastColumn="0" w:oddVBand="0" w:evenVBand="0" w:oddHBand="0" w:evenHBand="0" w:firstRowFirstColumn="0" w:firstRowLastColumn="0" w:lastRowFirstColumn="0" w:lastRowLastColumn="0"/>
            </w:pPr>
            <w:r>
              <w:t>(23 122)</w:t>
            </w:r>
          </w:p>
        </w:tc>
        <w:tc>
          <w:tcPr>
            <w:tcW w:w="794" w:type="dxa"/>
            <w:tcBorders>
              <w:bottom w:val="single" w:sz="6" w:space="0" w:color="auto"/>
            </w:tcBorders>
          </w:tcPr>
          <w:p w14:paraId="3A95F02E" w14:textId="77777777" w:rsidR="00AB205D" w:rsidRDefault="00471A3B">
            <w:pPr>
              <w:cnfStyle w:val="000000000000" w:firstRow="0" w:lastRow="0" w:firstColumn="0" w:lastColumn="0" w:oddVBand="0" w:evenVBand="0" w:oddHBand="0" w:evenHBand="0" w:firstRowFirstColumn="0" w:firstRowLastColumn="0" w:lastRowFirstColumn="0" w:lastRowLastColumn="0"/>
            </w:pPr>
            <w:r>
              <w:t>(22 853)</w:t>
            </w:r>
          </w:p>
        </w:tc>
      </w:tr>
      <w:tr w:rsidR="009C6724" w14:paraId="38FBBA97" w14:textId="77777777" w:rsidTr="009C6724">
        <w:tc>
          <w:tcPr>
            <w:cnfStyle w:val="001000000000" w:firstRow="0" w:lastRow="0" w:firstColumn="1" w:lastColumn="0" w:oddVBand="0" w:evenVBand="0" w:oddHBand="0" w:evenHBand="0" w:firstRowFirstColumn="0" w:firstRowLastColumn="0" w:lastRowFirstColumn="0" w:lastRowLastColumn="0"/>
            <w:tcW w:w="3686" w:type="dxa"/>
            <w:tcBorders>
              <w:top w:val="single" w:sz="6" w:space="0" w:color="auto"/>
              <w:bottom w:val="single" w:sz="6" w:space="0" w:color="auto"/>
            </w:tcBorders>
          </w:tcPr>
          <w:p w14:paraId="20BEF0A8" w14:textId="77777777" w:rsidR="00AB205D" w:rsidRDefault="00471A3B">
            <w:r>
              <w:rPr>
                <w:b/>
              </w:rPr>
              <w:t>Net liability/(asset)</w:t>
            </w:r>
          </w:p>
        </w:tc>
        <w:tc>
          <w:tcPr>
            <w:tcW w:w="709" w:type="dxa"/>
            <w:tcBorders>
              <w:top w:val="single" w:sz="6" w:space="0" w:color="auto"/>
              <w:bottom w:val="single" w:sz="6" w:space="0" w:color="auto"/>
            </w:tcBorders>
          </w:tcPr>
          <w:p w14:paraId="5823212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18 007</w:t>
            </w:r>
          </w:p>
        </w:tc>
        <w:tc>
          <w:tcPr>
            <w:tcW w:w="850" w:type="dxa"/>
            <w:tcBorders>
              <w:top w:val="single" w:sz="6" w:space="0" w:color="auto"/>
              <w:bottom w:val="single" w:sz="6" w:space="0" w:color="auto"/>
            </w:tcBorders>
          </w:tcPr>
          <w:p w14:paraId="56BB403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16 163</w:t>
            </w:r>
          </w:p>
        </w:tc>
        <w:tc>
          <w:tcPr>
            <w:tcW w:w="877" w:type="dxa"/>
            <w:tcBorders>
              <w:top w:val="single" w:sz="6" w:space="0" w:color="auto"/>
              <w:bottom w:val="single" w:sz="6" w:space="0" w:color="auto"/>
            </w:tcBorders>
          </w:tcPr>
          <w:p w14:paraId="689A50A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16 214</w:t>
            </w:r>
          </w:p>
        </w:tc>
        <w:tc>
          <w:tcPr>
            <w:tcW w:w="794" w:type="dxa"/>
            <w:tcBorders>
              <w:top w:val="single" w:sz="6" w:space="0" w:color="auto"/>
              <w:bottom w:val="single" w:sz="6" w:space="0" w:color="auto"/>
            </w:tcBorders>
          </w:tcPr>
          <w:p w14:paraId="0315AB2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16 478</w:t>
            </w:r>
          </w:p>
        </w:tc>
        <w:tc>
          <w:tcPr>
            <w:tcW w:w="794" w:type="dxa"/>
            <w:tcBorders>
              <w:top w:val="single" w:sz="6" w:space="0" w:color="auto"/>
              <w:bottom w:val="single" w:sz="6" w:space="0" w:color="auto"/>
            </w:tcBorders>
          </w:tcPr>
          <w:p w14:paraId="7153DAB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16 516</w:t>
            </w:r>
          </w:p>
        </w:tc>
      </w:tr>
      <w:tr w:rsidR="009C6724" w14:paraId="47F0C81F" w14:textId="77777777" w:rsidTr="009C6724">
        <w:tc>
          <w:tcPr>
            <w:cnfStyle w:val="001000000000" w:firstRow="0" w:lastRow="0" w:firstColumn="1" w:lastColumn="0" w:oddVBand="0" w:evenVBand="0" w:oddHBand="0" w:evenHBand="0" w:firstRowFirstColumn="0" w:firstRowLastColumn="0" w:lastRowFirstColumn="0" w:lastRowLastColumn="0"/>
            <w:tcW w:w="3686" w:type="dxa"/>
            <w:tcBorders>
              <w:top w:val="single" w:sz="6" w:space="0" w:color="auto"/>
            </w:tcBorders>
          </w:tcPr>
          <w:p w14:paraId="2C31FE4F" w14:textId="77777777" w:rsidR="00AB205D" w:rsidRDefault="00471A3B">
            <w:r>
              <w:rPr>
                <w:b/>
              </w:rPr>
              <w:t xml:space="preserve">Other funds </w:t>
            </w:r>
            <w:r>
              <w:rPr>
                <w:b/>
                <w:vertAlign w:val="superscript"/>
              </w:rPr>
              <w:t>(b)</w:t>
            </w:r>
          </w:p>
        </w:tc>
        <w:tc>
          <w:tcPr>
            <w:tcW w:w="709" w:type="dxa"/>
            <w:tcBorders>
              <w:top w:val="single" w:sz="6" w:space="0" w:color="auto"/>
            </w:tcBorders>
          </w:tcPr>
          <w:p w14:paraId="14F5F32B"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3A7E83A0"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877" w:type="dxa"/>
            <w:tcBorders>
              <w:top w:val="single" w:sz="6" w:space="0" w:color="auto"/>
            </w:tcBorders>
          </w:tcPr>
          <w:p w14:paraId="228C6426"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EEAC32B"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0F4E3FC3"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5161E8FA" w14:textId="77777777" w:rsidTr="009C6724">
        <w:tc>
          <w:tcPr>
            <w:cnfStyle w:val="001000000000" w:firstRow="0" w:lastRow="0" w:firstColumn="1" w:lastColumn="0" w:oddVBand="0" w:evenVBand="0" w:oddHBand="0" w:evenHBand="0" w:firstRowFirstColumn="0" w:firstRowLastColumn="0" w:lastRowFirstColumn="0" w:lastRowLastColumn="0"/>
            <w:tcW w:w="3686" w:type="dxa"/>
          </w:tcPr>
          <w:p w14:paraId="7B3A3482" w14:textId="77777777" w:rsidR="00AB205D" w:rsidRDefault="00471A3B">
            <w:r>
              <w:t>Defined benefit obligation</w:t>
            </w:r>
          </w:p>
        </w:tc>
        <w:tc>
          <w:tcPr>
            <w:tcW w:w="709" w:type="dxa"/>
          </w:tcPr>
          <w:p w14:paraId="02FD6AF9" w14:textId="77777777" w:rsidR="00AB205D" w:rsidRDefault="00471A3B">
            <w:pPr>
              <w:cnfStyle w:val="000000000000" w:firstRow="0" w:lastRow="0" w:firstColumn="0" w:lastColumn="0" w:oddVBand="0" w:evenVBand="0" w:oddHBand="0" w:evenHBand="0" w:firstRowFirstColumn="0" w:firstRowLastColumn="0" w:lastRowFirstColumn="0" w:lastRowLastColumn="0"/>
            </w:pPr>
            <w:r>
              <w:t>1 864</w:t>
            </w:r>
          </w:p>
        </w:tc>
        <w:tc>
          <w:tcPr>
            <w:tcW w:w="850" w:type="dxa"/>
          </w:tcPr>
          <w:p w14:paraId="4EFD7CCA" w14:textId="77777777" w:rsidR="00AB205D" w:rsidRDefault="00471A3B">
            <w:pPr>
              <w:cnfStyle w:val="000000000000" w:firstRow="0" w:lastRow="0" w:firstColumn="0" w:lastColumn="0" w:oddVBand="0" w:evenVBand="0" w:oddHBand="0" w:evenHBand="0" w:firstRowFirstColumn="0" w:firstRowLastColumn="0" w:lastRowFirstColumn="0" w:lastRowLastColumn="0"/>
            </w:pPr>
            <w:r>
              <w:t>1 898</w:t>
            </w:r>
          </w:p>
        </w:tc>
        <w:tc>
          <w:tcPr>
            <w:tcW w:w="877" w:type="dxa"/>
          </w:tcPr>
          <w:p w14:paraId="6DA94346" w14:textId="77777777" w:rsidR="00AB205D" w:rsidRDefault="00471A3B">
            <w:pPr>
              <w:cnfStyle w:val="000000000000" w:firstRow="0" w:lastRow="0" w:firstColumn="0" w:lastColumn="0" w:oddVBand="0" w:evenVBand="0" w:oddHBand="0" w:evenHBand="0" w:firstRowFirstColumn="0" w:firstRowLastColumn="0" w:lastRowFirstColumn="0" w:lastRowLastColumn="0"/>
            </w:pPr>
            <w:r>
              <w:t>1 913</w:t>
            </w:r>
          </w:p>
        </w:tc>
        <w:tc>
          <w:tcPr>
            <w:tcW w:w="794" w:type="dxa"/>
          </w:tcPr>
          <w:p w14:paraId="1186C8DF" w14:textId="77777777" w:rsidR="00AB205D" w:rsidRDefault="00471A3B">
            <w:pPr>
              <w:cnfStyle w:val="000000000000" w:firstRow="0" w:lastRow="0" w:firstColumn="0" w:lastColumn="0" w:oddVBand="0" w:evenVBand="0" w:oddHBand="0" w:evenHBand="0" w:firstRowFirstColumn="0" w:firstRowLastColumn="0" w:lastRowFirstColumn="0" w:lastRowLastColumn="0"/>
            </w:pPr>
            <w:r>
              <w:t>1 927</w:t>
            </w:r>
          </w:p>
        </w:tc>
        <w:tc>
          <w:tcPr>
            <w:tcW w:w="794" w:type="dxa"/>
          </w:tcPr>
          <w:p w14:paraId="7AD4D0F9" w14:textId="77777777" w:rsidR="00AB205D" w:rsidRDefault="00471A3B">
            <w:pPr>
              <w:cnfStyle w:val="000000000000" w:firstRow="0" w:lastRow="0" w:firstColumn="0" w:lastColumn="0" w:oddVBand="0" w:evenVBand="0" w:oddHBand="0" w:evenHBand="0" w:firstRowFirstColumn="0" w:firstRowLastColumn="0" w:lastRowFirstColumn="0" w:lastRowLastColumn="0"/>
            </w:pPr>
            <w:r>
              <w:t>1 948</w:t>
            </w:r>
          </w:p>
        </w:tc>
      </w:tr>
      <w:tr w:rsidR="009C6724" w14:paraId="22C13D0B" w14:textId="77777777" w:rsidTr="009C6724">
        <w:tc>
          <w:tcPr>
            <w:cnfStyle w:val="001000000000" w:firstRow="0" w:lastRow="0" w:firstColumn="1" w:lastColumn="0" w:oddVBand="0" w:evenVBand="0" w:oddHBand="0" w:evenHBand="0" w:firstRowFirstColumn="0" w:firstRowLastColumn="0" w:lastRowFirstColumn="0" w:lastRowLastColumn="0"/>
            <w:tcW w:w="3686" w:type="dxa"/>
            <w:tcBorders>
              <w:bottom w:val="single" w:sz="6" w:space="0" w:color="auto"/>
            </w:tcBorders>
          </w:tcPr>
          <w:p w14:paraId="343396DD" w14:textId="77777777" w:rsidR="00AB205D" w:rsidRDefault="00471A3B">
            <w:r>
              <w:t>Plan assets</w:t>
            </w:r>
          </w:p>
        </w:tc>
        <w:tc>
          <w:tcPr>
            <w:tcW w:w="709" w:type="dxa"/>
            <w:tcBorders>
              <w:bottom w:val="single" w:sz="6" w:space="0" w:color="auto"/>
            </w:tcBorders>
          </w:tcPr>
          <w:p w14:paraId="3A2F602C" w14:textId="77777777" w:rsidR="00AB205D" w:rsidRDefault="00471A3B">
            <w:pPr>
              <w:cnfStyle w:val="000000000000" w:firstRow="0" w:lastRow="0" w:firstColumn="0" w:lastColumn="0" w:oddVBand="0" w:evenVBand="0" w:oddHBand="0" w:evenHBand="0" w:firstRowFirstColumn="0" w:firstRowLastColumn="0" w:lastRowFirstColumn="0" w:lastRowLastColumn="0"/>
            </w:pPr>
            <w:r>
              <w:t>(862)</w:t>
            </w:r>
          </w:p>
        </w:tc>
        <w:tc>
          <w:tcPr>
            <w:tcW w:w="850" w:type="dxa"/>
            <w:tcBorders>
              <w:bottom w:val="single" w:sz="6" w:space="0" w:color="auto"/>
            </w:tcBorders>
          </w:tcPr>
          <w:p w14:paraId="46894130" w14:textId="77777777" w:rsidR="00AB205D" w:rsidRDefault="00471A3B">
            <w:pPr>
              <w:cnfStyle w:val="000000000000" w:firstRow="0" w:lastRow="0" w:firstColumn="0" w:lastColumn="0" w:oddVBand="0" w:evenVBand="0" w:oddHBand="0" w:evenHBand="0" w:firstRowFirstColumn="0" w:firstRowLastColumn="0" w:lastRowFirstColumn="0" w:lastRowLastColumn="0"/>
            </w:pPr>
            <w:r>
              <w:t>(866)</w:t>
            </w:r>
          </w:p>
        </w:tc>
        <w:tc>
          <w:tcPr>
            <w:tcW w:w="877" w:type="dxa"/>
            <w:tcBorders>
              <w:bottom w:val="single" w:sz="6" w:space="0" w:color="auto"/>
            </w:tcBorders>
          </w:tcPr>
          <w:p w14:paraId="1A96BA0A" w14:textId="77777777" w:rsidR="00AB205D" w:rsidRDefault="00471A3B">
            <w:pPr>
              <w:cnfStyle w:val="000000000000" w:firstRow="0" w:lastRow="0" w:firstColumn="0" w:lastColumn="0" w:oddVBand="0" w:evenVBand="0" w:oddHBand="0" w:evenHBand="0" w:firstRowFirstColumn="0" w:firstRowLastColumn="0" w:lastRowFirstColumn="0" w:lastRowLastColumn="0"/>
            </w:pPr>
            <w:r>
              <w:t>(844)</w:t>
            </w:r>
          </w:p>
        </w:tc>
        <w:tc>
          <w:tcPr>
            <w:tcW w:w="794" w:type="dxa"/>
            <w:tcBorders>
              <w:bottom w:val="single" w:sz="6" w:space="0" w:color="auto"/>
            </w:tcBorders>
          </w:tcPr>
          <w:p w14:paraId="236BBED1" w14:textId="77777777" w:rsidR="00AB205D" w:rsidRDefault="00471A3B">
            <w:pPr>
              <w:cnfStyle w:val="000000000000" w:firstRow="0" w:lastRow="0" w:firstColumn="0" w:lastColumn="0" w:oddVBand="0" w:evenVBand="0" w:oddHBand="0" w:evenHBand="0" w:firstRowFirstColumn="0" w:firstRowLastColumn="0" w:lastRowFirstColumn="0" w:lastRowLastColumn="0"/>
            </w:pPr>
            <w:r>
              <w:t>(821)</w:t>
            </w:r>
          </w:p>
        </w:tc>
        <w:tc>
          <w:tcPr>
            <w:tcW w:w="794" w:type="dxa"/>
            <w:tcBorders>
              <w:bottom w:val="single" w:sz="6" w:space="0" w:color="auto"/>
            </w:tcBorders>
          </w:tcPr>
          <w:p w14:paraId="77841FB4" w14:textId="77777777" w:rsidR="00AB205D" w:rsidRDefault="00471A3B">
            <w:pPr>
              <w:cnfStyle w:val="000000000000" w:firstRow="0" w:lastRow="0" w:firstColumn="0" w:lastColumn="0" w:oddVBand="0" w:evenVBand="0" w:oddHBand="0" w:evenHBand="0" w:firstRowFirstColumn="0" w:firstRowLastColumn="0" w:lastRowFirstColumn="0" w:lastRowLastColumn="0"/>
            </w:pPr>
            <w:r>
              <w:t>(796)</w:t>
            </w:r>
          </w:p>
        </w:tc>
      </w:tr>
      <w:tr w:rsidR="009C6724" w14:paraId="36EFDB92" w14:textId="77777777" w:rsidTr="009C6724">
        <w:tc>
          <w:tcPr>
            <w:cnfStyle w:val="001000000000" w:firstRow="0" w:lastRow="0" w:firstColumn="1" w:lastColumn="0" w:oddVBand="0" w:evenVBand="0" w:oddHBand="0" w:evenHBand="0" w:firstRowFirstColumn="0" w:firstRowLastColumn="0" w:lastRowFirstColumn="0" w:lastRowLastColumn="0"/>
            <w:tcW w:w="3686" w:type="dxa"/>
            <w:tcBorders>
              <w:top w:val="single" w:sz="6" w:space="0" w:color="auto"/>
              <w:bottom w:val="single" w:sz="6" w:space="0" w:color="auto"/>
            </w:tcBorders>
          </w:tcPr>
          <w:p w14:paraId="6A4FA430" w14:textId="77777777" w:rsidR="00AB205D" w:rsidRDefault="00471A3B">
            <w:r>
              <w:rPr>
                <w:b/>
              </w:rPr>
              <w:t>Net liability/(asset)</w:t>
            </w:r>
          </w:p>
        </w:tc>
        <w:tc>
          <w:tcPr>
            <w:tcW w:w="709" w:type="dxa"/>
            <w:tcBorders>
              <w:top w:val="single" w:sz="6" w:space="0" w:color="auto"/>
              <w:bottom w:val="single" w:sz="6" w:space="0" w:color="auto"/>
            </w:tcBorders>
          </w:tcPr>
          <w:p w14:paraId="0C5AB37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1 002</w:t>
            </w:r>
          </w:p>
        </w:tc>
        <w:tc>
          <w:tcPr>
            <w:tcW w:w="850" w:type="dxa"/>
            <w:tcBorders>
              <w:top w:val="single" w:sz="6" w:space="0" w:color="auto"/>
              <w:bottom w:val="single" w:sz="6" w:space="0" w:color="auto"/>
            </w:tcBorders>
          </w:tcPr>
          <w:p w14:paraId="0EA275A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1 033</w:t>
            </w:r>
          </w:p>
        </w:tc>
        <w:tc>
          <w:tcPr>
            <w:tcW w:w="877" w:type="dxa"/>
            <w:tcBorders>
              <w:top w:val="single" w:sz="6" w:space="0" w:color="auto"/>
              <w:bottom w:val="single" w:sz="6" w:space="0" w:color="auto"/>
            </w:tcBorders>
          </w:tcPr>
          <w:p w14:paraId="09894B3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1 069</w:t>
            </w:r>
          </w:p>
        </w:tc>
        <w:tc>
          <w:tcPr>
            <w:tcW w:w="794" w:type="dxa"/>
            <w:tcBorders>
              <w:top w:val="single" w:sz="6" w:space="0" w:color="auto"/>
              <w:bottom w:val="single" w:sz="6" w:space="0" w:color="auto"/>
            </w:tcBorders>
          </w:tcPr>
          <w:p w14:paraId="7317168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1 106</w:t>
            </w:r>
          </w:p>
        </w:tc>
        <w:tc>
          <w:tcPr>
            <w:tcW w:w="794" w:type="dxa"/>
            <w:tcBorders>
              <w:top w:val="single" w:sz="6" w:space="0" w:color="auto"/>
              <w:bottom w:val="single" w:sz="6" w:space="0" w:color="auto"/>
            </w:tcBorders>
          </w:tcPr>
          <w:p w14:paraId="57C836E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1 152</w:t>
            </w:r>
          </w:p>
        </w:tc>
      </w:tr>
      <w:tr w:rsidR="009C6724" w14:paraId="27EB1964" w14:textId="77777777" w:rsidTr="009C6724">
        <w:tc>
          <w:tcPr>
            <w:cnfStyle w:val="001000000000" w:firstRow="0" w:lastRow="0" w:firstColumn="1" w:lastColumn="0" w:oddVBand="0" w:evenVBand="0" w:oddHBand="0" w:evenHBand="0" w:firstRowFirstColumn="0" w:firstRowLastColumn="0" w:lastRowFirstColumn="0" w:lastRowLastColumn="0"/>
            <w:tcW w:w="3686" w:type="dxa"/>
            <w:tcBorders>
              <w:top w:val="single" w:sz="6" w:space="0" w:color="auto"/>
            </w:tcBorders>
          </w:tcPr>
          <w:p w14:paraId="2AC72FBB" w14:textId="77777777" w:rsidR="00AB205D" w:rsidRDefault="00471A3B">
            <w:r>
              <w:rPr>
                <w:b/>
              </w:rPr>
              <w:t>Total superannuation</w:t>
            </w:r>
          </w:p>
        </w:tc>
        <w:tc>
          <w:tcPr>
            <w:tcW w:w="709" w:type="dxa"/>
            <w:tcBorders>
              <w:top w:val="single" w:sz="6" w:space="0" w:color="auto"/>
            </w:tcBorders>
          </w:tcPr>
          <w:p w14:paraId="367EDB8C"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3BB94FB1"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877" w:type="dxa"/>
            <w:tcBorders>
              <w:top w:val="single" w:sz="6" w:space="0" w:color="auto"/>
            </w:tcBorders>
          </w:tcPr>
          <w:p w14:paraId="4F331E3B"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71B8A9B"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6A15FF4"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1738B9A7" w14:textId="77777777" w:rsidTr="009C6724">
        <w:tc>
          <w:tcPr>
            <w:cnfStyle w:val="001000000000" w:firstRow="0" w:lastRow="0" w:firstColumn="1" w:lastColumn="0" w:oddVBand="0" w:evenVBand="0" w:oddHBand="0" w:evenHBand="0" w:firstRowFirstColumn="0" w:firstRowLastColumn="0" w:lastRowFirstColumn="0" w:lastRowLastColumn="0"/>
            <w:tcW w:w="3686" w:type="dxa"/>
          </w:tcPr>
          <w:p w14:paraId="0139CDA6" w14:textId="77777777" w:rsidR="00AB205D" w:rsidRDefault="00471A3B">
            <w:r>
              <w:t>Defined benefit obligation</w:t>
            </w:r>
          </w:p>
        </w:tc>
        <w:tc>
          <w:tcPr>
            <w:tcW w:w="709" w:type="dxa"/>
          </w:tcPr>
          <w:p w14:paraId="21931540" w14:textId="77777777" w:rsidR="00AB205D" w:rsidRDefault="00471A3B">
            <w:pPr>
              <w:cnfStyle w:val="000000000000" w:firstRow="0" w:lastRow="0" w:firstColumn="0" w:lastColumn="0" w:oddVBand="0" w:evenVBand="0" w:oddHBand="0" w:evenHBand="0" w:firstRowFirstColumn="0" w:firstRowLastColumn="0" w:lastRowFirstColumn="0" w:lastRowLastColumn="0"/>
            </w:pPr>
            <w:r>
              <w:t>42 109</w:t>
            </w:r>
          </w:p>
        </w:tc>
        <w:tc>
          <w:tcPr>
            <w:tcW w:w="850" w:type="dxa"/>
          </w:tcPr>
          <w:p w14:paraId="22A2F7B8" w14:textId="77777777" w:rsidR="00AB205D" w:rsidRDefault="00471A3B">
            <w:pPr>
              <w:cnfStyle w:val="000000000000" w:firstRow="0" w:lastRow="0" w:firstColumn="0" w:lastColumn="0" w:oddVBand="0" w:evenVBand="0" w:oddHBand="0" w:evenHBand="0" w:firstRowFirstColumn="0" w:firstRowLastColumn="0" w:lastRowFirstColumn="0" w:lastRowLastColumn="0"/>
            </w:pPr>
            <w:r>
              <w:t>39 810</w:t>
            </w:r>
          </w:p>
        </w:tc>
        <w:tc>
          <w:tcPr>
            <w:tcW w:w="877" w:type="dxa"/>
          </w:tcPr>
          <w:p w14:paraId="6106070D" w14:textId="77777777" w:rsidR="00AB205D" w:rsidRDefault="00471A3B">
            <w:pPr>
              <w:cnfStyle w:val="000000000000" w:firstRow="0" w:lastRow="0" w:firstColumn="0" w:lastColumn="0" w:oddVBand="0" w:evenVBand="0" w:oddHBand="0" w:evenHBand="0" w:firstRowFirstColumn="0" w:firstRowLastColumn="0" w:lastRowFirstColumn="0" w:lastRowLastColumn="0"/>
            </w:pPr>
            <w:r>
              <w:t>39 537</w:t>
            </w:r>
          </w:p>
        </w:tc>
        <w:tc>
          <w:tcPr>
            <w:tcW w:w="794" w:type="dxa"/>
          </w:tcPr>
          <w:p w14:paraId="3F495E91" w14:textId="77777777" w:rsidR="00AB205D" w:rsidRDefault="00471A3B">
            <w:pPr>
              <w:cnfStyle w:val="000000000000" w:firstRow="0" w:lastRow="0" w:firstColumn="0" w:lastColumn="0" w:oddVBand="0" w:evenVBand="0" w:oddHBand="0" w:evenHBand="0" w:firstRowFirstColumn="0" w:firstRowLastColumn="0" w:lastRowFirstColumn="0" w:lastRowLastColumn="0"/>
            </w:pPr>
            <w:r>
              <w:t>39 344</w:t>
            </w:r>
          </w:p>
        </w:tc>
        <w:tc>
          <w:tcPr>
            <w:tcW w:w="794" w:type="dxa"/>
          </w:tcPr>
          <w:p w14:paraId="7CBDC4ED" w14:textId="77777777" w:rsidR="00AB205D" w:rsidRDefault="00471A3B">
            <w:pPr>
              <w:cnfStyle w:val="000000000000" w:firstRow="0" w:lastRow="0" w:firstColumn="0" w:lastColumn="0" w:oddVBand="0" w:evenVBand="0" w:oddHBand="0" w:evenHBand="0" w:firstRowFirstColumn="0" w:firstRowLastColumn="0" w:lastRowFirstColumn="0" w:lastRowLastColumn="0"/>
            </w:pPr>
            <w:r>
              <w:t>39 144</w:t>
            </w:r>
          </w:p>
        </w:tc>
      </w:tr>
      <w:tr w:rsidR="009C6724" w14:paraId="0025F77F" w14:textId="77777777" w:rsidTr="009C6724">
        <w:tc>
          <w:tcPr>
            <w:cnfStyle w:val="001000000000" w:firstRow="0" w:lastRow="0" w:firstColumn="1" w:lastColumn="0" w:oddVBand="0" w:evenVBand="0" w:oddHBand="0" w:evenHBand="0" w:firstRowFirstColumn="0" w:firstRowLastColumn="0" w:lastRowFirstColumn="0" w:lastRowLastColumn="0"/>
            <w:tcW w:w="3686" w:type="dxa"/>
          </w:tcPr>
          <w:p w14:paraId="7636F163" w14:textId="77777777" w:rsidR="00AB205D" w:rsidRDefault="00471A3B">
            <w:r>
              <w:t xml:space="preserve">Tax liability </w:t>
            </w:r>
            <w:r>
              <w:rPr>
                <w:vertAlign w:val="superscript"/>
              </w:rPr>
              <w:t>(a)</w:t>
            </w:r>
          </w:p>
        </w:tc>
        <w:tc>
          <w:tcPr>
            <w:tcW w:w="709" w:type="dxa"/>
          </w:tcPr>
          <w:p w14:paraId="34D76C3C" w14:textId="77777777" w:rsidR="00AB205D" w:rsidRDefault="00471A3B">
            <w:pPr>
              <w:cnfStyle w:val="000000000000" w:firstRow="0" w:lastRow="0" w:firstColumn="0" w:lastColumn="0" w:oddVBand="0" w:evenVBand="0" w:oddHBand="0" w:evenHBand="0" w:firstRowFirstColumn="0" w:firstRowLastColumn="0" w:lastRowFirstColumn="0" w:lastRowLastColumn="0"/>
            </w:pPr>
            <w:r>
              <w:t>2 121</w:t>
            </w:r>
          </w:p>
        </w:tc>
        <w:tc>
          <w:tcPr>
            <w:tcW w:w="850" w:type="dxa"/>
          </w:tcPr>
          <w:p w14:paraId="47600AA5" w14:textId="77777777" w:rsidR="00AB205D" w:rsidRDefault="00471A3B">
            <w:pPr>
              <w:cnfStyle w:val="000000000000" w:firstRow="0" w:lastRow="0" w:firstColumn="0" w:lastColumn="0" w:oddVBand="0" w:evenVBand="0" w:oddHBand="0" w:evenHBand="0" w:firstRowFirstColumn="0" w:firstRowLastColumn="0" w:lastRowFirstColumn="0" w:lastRowLastColumn="0"/>
            </w:pPr>
            <w:r>
              <w:t>2 152</w:t>
            </w:r>
          </w:p>
        </w:tc>
        <w:tc>
          <w:tcPr>
            <w:tcW w:w="877" w:type="dxa"/>
          </w:tcPr>
          <w:p w14:paraId="4A853568" w14:textId="77777777" w:rsidR="00AB205D" w:rsidRDefault="00471A3B">
            <w:pPr>
              <w:cnfStyle w:val="000000000000" w:firstRow="0" w:lastRow="0" w:firstColumn="0" w:lastColumn="0" w:oddVBand="0" w:evenVBand="0" w:oddHBand="0" w:evenHBand="0" w:firstRowFirstColumn="0" w:firstRowLastColumn="0" w:lastRowFirstColumn="0" w:lastRowLastColumn="0"/>
            </w:pPr>
            <w:r>
              <w:t>2 159</w:t>
            </w:r>
          </w:p>
        </w:tc>
        <w:tc>
          <w:tcPr>
            <w:tcW w:w="794" w:type="dxa"/>
          </w:tcPr>
          <w:p w14:paraId="735EABF9" w14:textId="77777777" w:rsidR="00AB205D" w:rsidRDefault="00471A3B">
            <w:pPr>
              <w:cnfStyle w:val="000000000000" w:firstRow="0" w:lastRow="0" w:firstColumn="0" w:lastColumn="0" w:oddVBand="0" w:evenVBand="0" w:oddHBand="0" w:evenHBand="0" w:firstRowFirstColumn="0" w:firstRowLastColumn="0" w:lastRowFirstColumn="0" w:lastRowLastColumn="0"/>
            </w:pPr>
            <w:r>
              <w:t>2 184</w:t>
            </w:r>
          </w:p>
        </w:tc>
        <w:tc>
          <w:tcPr>
            <w:tcW w:w="794" w:type="dxa"/>
          </w:tcPr>
          <w:p w14:paraId="11F85D74" w14:textId="77777777" w:rsidR="00AB205D" w:rsidRDefault="00471A3B">
            <w:pPr>
              <w:cnfStyle w:val="000000000000" w:firstRow="0" w:lastRow="0" w:firstColumn="0" w:lastColumn="0" w:oddVBand="0" w:evenVBand="0" w:oddHBand="0" w:evenHBand="0" w:firstRowFirstColumn="0" w:firstRowLastColumn="0" w:lastRowFirstColumn="0" w:lastRowLastColumn="0"/>
            </w:pPr>
            <w:r>
              <w:t>2 173</w:t>
            </w:r>
          </w:p>
        </w:tc>
      </w:tr>
      <w:tr w:rsidR="009C6724" w14:paraId="7AB3FBAE" w14:textId="77777777" w:rsidTr="009C6724">
        <w:tc>
          <w:tcPr>
            <w:cnfStyle w:val="001000000000" w:firstRow="0" w:lastRow="0" w:firstColumn="1" w:lastColumn="0" w:oddVBand="0" w:evenVBand="0" w:oddHBand="0" w:evenHBand="0" w:firstRowFirstColumn="0" w:firstRowLastColumn="0" w:lastRowFirstColumn="0" w:lastRowLastColumn="0"/>
            <w:tcW w:w="3686" w:type="dxa"/>
            <w:tcBorders>
              <w:bottom w:val="single" w:sz="6" w:space="0" w:color="auto"/>
            </w:tcBorders>
          </w:tcPr>
          <w:p w14:paraId="4B947A22" w14:textId="77777777" w:rsidR="00AB205D" w:rsidRDefault="00471A3B">
            <w:r>
              <w:t>Plan assets</w:t>
            </w:r>
          </w:p>
        </w:tc>
        <w:tc>
          <w:tcPr>
            <w:tcW w:w="709" w:type="dxa"/>
            <w:tcBorders>
              <w:bottom w:val="single" w:sz="6" w:space="0" w:color="auto"/>
            </w:tcBorders>
          </w:tcPr>
          <w:p w14:paraId="1A1E50A2" w14:textId="77777777" w:rsidR="00AB205D" w:rsidRDefault="00471A3B">
            <w:pPr>
              <w:cnfStyle w:val="000000000000" w:firstRow="0" w:lastRow="0" w:firstColumn="0" w:lastColumn="0" w:oddVBand="0" w:evenVBand="0" w:oddHBand="0" w:evenHBand="0" w:firstRowFirstColumn="0" w:firstRowLastColumn="0" w:lastRowFirstColumn="0" w:lastRowLastColumn="0"/>
            </w:pPr>
            <w:r>
              <w:t>(25 221)</w:t>
            </w:r>
          </w:p>
        </w:tc>
        <w:tc>
          <w:tcPr>
            <w:tcW w:w="850" w:type="dxa"/>
            <w:tcBorders>
              <w:bottom w:val="single" w:sz="6" w:space="0" w:color="auto"/>
            </w:tcBorders>
          </w:tcPr>
          <w:p w14:paraId="18081665" w14:textId="77777777" w:rsidR="00AB205D" w:rsidRDefault="00471A3B">
            <w:pPr>
              <w:cnfStyle w:val="000000000000" w:firstRow="0" w:lastRow="0" w:firstColumn="0" w:lastColumn="0" w:oddVBand="0" w:evenVBand="0" w:oddHBand="0" w:evenHBand="0" w:firstRowFirstColumn="0" w:firstRowLastColumn="0" w:lastRowFirstColumn="0" w:lastRowLastColumn="0"/>
            </w:pPr>
            <w:r>
              <w:t>(24 766)</w:t>
            </w:r>
          </w:p>
        </w:tc>
        <w:tc>
          <w:tcPr>
            <w:tcW w:w="877" w:type="dxa"/>
            <w:tcBorders>
              <w:bottom w:val="single" w:sz="6" w:space="0" w:color="auto"/>
            </w:tcBorders>
          </w:tcPr>
          <w:p w14:paraId="094FD55F" w14:textId="77777777" w:rsidR="00AB205D" w:rsidRDefault="00471A3B">
            <w:pPr>
              <w:cnfStyle w:val="000000000000" w:firstRow="0" w:lastRow="0" w:firstColumn="0" w:lastColumn="0" w:oddVBand="0" w:evenVBand="0" w:oddHBand="0" w:evenHBand="0" w:firstRowFirstColumn="0" w:firstRowLastColumn="0" w:lastRowFirstColumn="0" w:lastRowLastColumn="0"/>
            </w:pPr>
            <w:r>
              <w:t>(24 414)</w:t>
            </w:r>
          </w:p>
        </w:tc>
        <w:tc>
          <w:tcPr>
            <w:tcW w:w="794" w:type="dxa"/>
            <w:tcBorders>
              <w:bottom w:val="single" w:sz="6" w:space="0" w:color="auto"/>
            </w:tcBorders>
          </w:tcPr>
          <w:p w14:paraId="56B94539" w14:textId="77777777" w:rsidR="00AB205D" w:rsidRDefault="00471A3B">
            <w:pPr>
              <w:cnfStyle w:val="000000000000" w:firstRow="0" w:lastRow="0" w:firstColumn="0" w:lastColumn="0" w:oddVBand="0" w:evenVBand="0" w:oddHBand="0" w:evenHBand="0" w:firstRowFirstColumn="0" w:firstRowLastColumn="0" w:lastRowFirstColumn="0" w:lastRowLastColumn="0"/>
            </w:pPr>
            <w:r>
              <w:t>(23 944)</w:t>
            </w:r>
          </w:p>
        </w:tc>
        <w:tc>
          <w:tcPr>
            <w:tcW w:w="794" w:type="dxa"/>
            <w:tcBorders>
              <w:bottom w:val="single" w:sz="6" w:space="0" w:color="auto"/>
            </w:tcBorders>
          </w:tcPr>
          <w:p w14:paraId="1CA17FE3" w14:textId="77777777" w:rsidR="00AB205D" w:rsidRDefault="00471A3B">
            <w:pPr>
              <w:cnfStyle w:val="000000000000" w:firstRow="0" w:lastRow="0" w:firstColumn="0" w:lastColumn="0" w:oddVBand="0" w:evenVBand="0" w:oddHBand="0" w:evenHBand="0" w:firstRowFirstColumn="0" w:firstRowLastColumn="0" w:lastRowFirstColumn="0" w:lastRowLastColumn="0"/>
            </w:pPr>
            <w:r>
              <w:t>(23 649)</w:t>
            </w:r>
          </w:p>
        </w:tc>
      </w:tr>
      <w:tr w:rsidR="009C6724" w14:paraId="66E9F47A" w14:textId="77777777" w:rsidTr="009C6724">
        <w:tc>
          <w:tcPr>
            <w:cnfStyle w:val="001000000000" w:firstRow="0" w:lastRow="0" w:firstColumn="1" w:lastColumn="0" w:oddVBand="0" w:evenVBand="0" w:oddHBand="0" w:evenHBand="0" w:firstRowFirstColumn="0" w:firstRowLastColumn="0" w:lastRowFirstColumn="0" w:lastRowLastColumn="0"/>
            <w:tcW w:w="3686" w:type="dxa"/>
            <w:tcBorders>
              <w:top w:val="single" w:sz="6" w:space="0" w:color="auto"/>
              <w:bottom w:val="single" w:sz="12" w:space="0" w:color="auto"/>
            </w:tcBorders>
          </w:tcPr>
          <w:p w14:paraId="65CB48B5" w14:textId="77777777" w:rsidR="00AB205D" w:rsidRDefault="00471A3B">
            <w:r>
              <w:rPr>
                <w:b/>
              </w:rPr>
              <w:t>Total superannuation liability</w:t>
            </w:r>
          </w:p>
        </w:tc>
        <w:tc>
          <w:tcPr>
            <w:tcW w:w="709" w:type="dxa"/>
            <w:tcBorders>
              <w:top w:val="single" w:sz="6" w:space="0" w:color="auto"/>
              <w:bottom w:val="single" w:sz="12" w:space="0" w:color="auto"/>
            </w:tcBorders>
          </w:tcPr>
          <w:p w14:paraId="42B1236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19 009</w:t>
            </w:r>
          </w:p>
        </w:tc>
        <w:tc>
          <w:tcPr>
            <w:tcW w:w="850" w:type="dxa"/>
            <w:tcBorders>
              <w:top w:val="single" w:sz="6" w:space="0" w:color="auto"/>
              <w:bottom w:val="single" w:sz="12" w:space="0" w:color="auto"/>
            </w:tcBorders>
          </w:tcPr>
          <w:p w14:paraId="20A792C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17 196</w:t>
            </w:r>
          </w:p>
        </w:tc>
        <w:tc>
          <w:tcPr>
            <w:tcW w:w="877" w:type="dxa"/>
            <w:tcBorders>
              <w:top w:val="single" w:sz="6" w:space="0" w:color="auto"/>
              <w:bottom w:val="single" w:sz="12" w:space="0" w:color="auto"/>
            </w:tcBorders>
          </w:tcPr>
          <w:p w14:paraId="57B7129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17 282</w:t>
            </w:r>
          </w:p>
        </w:tc>
        <w:tc>
          <w:tcPr>
            <w:tcW w:w="794" w:type="dxa"/>
            <w:tcBorders>
              <w:top w:val="single" w:sz="6" w:space="0" w:color="auto"/>
              <w:bottom w:val="single" w:sz="12" w:space="0" w:color="auto"/>
            </w:tcBorders>
          </w:tcPr>
          <w:p w14:paraId="2551287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17 584</w:t>
            </w:r>
          </w:p>
        </w:tc>
        <w:tc>
          <w:tcPr>
            <w:tcW w:w="794" w:type="dxa"/>
            <w:tcBorders>
              <w:top w:val="single" w:sz="6" w:space="0" w:color="auto"/>
              <w:bottom w:val="single" w:sz="12" w:space="0" w:color="auto"/>
            </w:tcBorders>
          </w:tcPr>
          <w:p w14:paraId="358914A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17 668</w:t>
            </w:r>
          </w:p>
        </w:tc>
      </w:tr>
      <w:tr w:rsidR="009C6724" w14:paraId="2D294E5D" w14:textId="77777777" w:rsidTr="009C6724">
        <w:tc>
          <w:tcPr>
            <w:cnfStyle w:val="001000000000" w:firstRow="0" w:lastRow="0" w:firstColumn="1" w:lastColumn="0" w:oddVBand="0" w:evenVBand="0" w:oddHBand="0" w:evenHBand="0" w:firstRowFirstColumn="0" w:firstRowLastColumn="0" w:lastRowFirstColumn="0" w:lastRowLastColumn="0"/>
            <w:tcW w:w="3686" w:type="dxa"/>
            <w:tcBorders>
              <w:top w:val="single" w:sz="0" w:space="0" w:color="auto"/>
            </w:tcBorders>
          </w:tcPr>
          <w:p w14:paraId="3854D3CC" w14:textId="77777777" w:rsidR="00AB205D" w:rsidRDefault="00471A3B">
            <w:r>
              <w:rPr>
                <w:b/>
              </w:rPr>
              <w:t>Represented by:</w:t>
            </w:r>
          </w:p>
        </w:tc>
        <w:tc>
          <w:tcPr>
            <w:tcW w:w="709" w:type="dxa"/>
            <w:tcBorders>
              <w:top w:val="single" w:sz="0" w:space="0" w:color="auto"/>
            </w:tcBorders>
          </w:tcPr>
          <w:p w14:paraId="294E0D08"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0" w:space="0" w:color="auto"/>
            </w:tcBorders>
          </w:tcPr>
          <w:p w14:paraId="3256B02B"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877" w:type="dxa"/>
            <w:tcBorders>
              <w:top w:val="single" w:sz="0" w:space="0" w:color="auto"/>
            </w:tcBorders>
          </w:tcPr>
          <w:p w14:paraId="42B1274E"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0" w:space="0" w:color="auto"/>
            </w:tcBorders>
          </w:tcPr>
          <w:p w14:paraId="213DB254"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0" w:space="0" w:color="auto"/>
            </w:tcBorders>
          </w:tcPr>
          <w:p w14:paraId="56EF15EF"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69E12995" w14:textId="77777777" w:rsidTr="009C6724">
        <w:tc>
          <w:tcPr>
            <w:cnfStyle w:val="001000000000" w:firstRow="0" w:lastRow="0" w:firstColumn="1" w:lastColumn="0" w:oddVBand="0" w:evenVBand="0" w:oddHBand="0" w:evenHBand="0" w:firstRowFirstColumn="0" w:firstRowLastColumn="0" w:lastRowFirstColumn="0" w:lastRowLastColumn="0"/>
            <w:tcW w:w="3686" w:type="dxa"/>
          </w:tcPr>
          <w:p w14:paraId="24B005C7" w14:textId="77777777" w:rsidR="00AB205D" w:rsidRDefault="00471A3B">
            <w:r>
              <w:t>Current superannuation liability</w:t>
            </w:r>
          </w:p>
        </w:tc>
        <w:tc>
          <w:tcPr>
            <w:tcW w:w="709" w:type="dxa"/>
          </w:tcPr>
          <w:p w14:paraId="0FDA5B6B" w14:textId="77777777" w:rsidR="00AB205D" w:rsidRDefault="00471A3B">
            <w:pPr>
              <w:cnfStyle w:val="000000000000" w:firstRow="0" w:lastRow="0" w:firstColumn="0" w:lastColumn="0" w:oddVBand="0" w:evenVBand="0" w:oddHBand="0" w:evenHBand="0" w:firstRowFirstColumn="0" w:firstRowLastColumn="0" w:lastRowFirstColumn="0" w:lastRowLastColumn="0"/>
            </w:pPr>
            <w:r>
              <w:t>442</w:t>
            </w:r>
          </w:p>
        </w:tc>
        <w:tc>
          <w:tcPr>
            <w:tcW w:w="850" w:type="dxa"/>
          </w:tcPr>
          <w:p w14:paraId="46F1CD38" w14:textId="77777777" w:rsidR="00AB205D" w:rsidRDefault="00471A3B">
            <w:pPr>
              <w:cnfStyle w:val="000000000000" w:firstRow="0" w:lastRow="0" w:firstColumn="0" w:lastColumn="0" w:oddVBand="0" w:evenVBand="0" w:oddHBand="0" w:evenHBand="0" w:firstRowFirstColumn="0" w:firstRowLastColumn="0" w:lastRowFirstColumn="0" w:lastRowLastColumn="0"/>
            </w:pPr>
            <w:r>
              <w:t>442</w:t>
            </w:r>
          </w:p>
        </w:tc>
        <w:tc>
          <w:tcPr>
            <w:tcW w:w="877" w:type="dxa"/>
          </w:tcPr>
          <w:p w14:paraId="455AC3C5" w14:textId="77777777" w:rsidR="00AB205D" w:rsidRDefault="00471A3B">
            <w:pPr>
              <w:cnfStyle w:val="000000000000" w:firstRow="0" w:lastRow="0" w:firstColumn="0" w:lastColumn="0" w:oddVBand="0" w:evenVBand="0" w:oddHBand="0" w:evenHBand="0" w:firstRowFirstColumn="0" w:firstRowLastColumn="0" w:lastRowFirstColumn="0" w:lastRowLastColumn="0"/>
            </w:pPr>
            <w:r>
              <w:t>317</w:t>
            </w:r>
          </w:p>
        </w:tc>
        <w:tc>
          <w:tcPr>
            <w:tcW w:w="794" w:type="dxa"/>
          </w:tcPr>
          <w:p w14:paraId="46154205" w14:textId="77777777" w:rsidR="00AB205D" w:rsidRDefault="00471A3B">
            <w:pPr>
              <w:cnfStyle w:val="000000000000" w:firstRow="0" w:lastRow="0" w:firstColumn="0" w:lastColumn="0" w:oddVBand="0" w:evenVBand="0" w:oddHBand="0" w:evenHBand="0" w:firstRowFirstColumn="0" w:firstRowLastColumn="0" w:lastRowFirstColumn="0" w:lastRowLastColumn="0"/>
            </w:pPr>
            <w:r>
              <w:t>550</w:t>
            </w:r>
          </w:p>
        </w:tc>
        <w:tc>
          <w:tcPr>
            <w:tcW w:w="794" w:type="dxa"/>
          </w:tcPr>
          <w:p w14:paraId="38929169" w14:textId="77777777" w:rsidR="00AB205D" w:rsidRDefault="00471A3B">
            <w:pPr>
              <w:cnfStyle w:val="000000000000" w:firstRow="0" w:lastRow="0" w:firstColumn="0" w:lastColumn="0" w:oddVBand="0" w:evenVBand="0" w:oddHBand="0" w:evenHBand="0" w:firstRowFirstColumn="0" w:firstRowLastColumn="0" w:lastRowFirstColumn="0" w:lastRowLastColumn="0"/>
            </w:pPr>
            <w:r>
              <w:t>1 885</w:t>
            </w:r>
          </w:p>
        </w:tc>
      </w:tr>
      <w:tr w:rsidR="009C6724" w14:paraId="0E9621E3" w14:textId="77777777" w:rsidTr="009C6724">
        <w:tc>
          <w:tcPr>
            <w:cnfStyle w:val="001000000000" w:firstRow="0" w:lastRow="0" w:firstColumn="1" w:lastColumn="0" w:oddVBand="0" w:evenVBand="0" w:oddHBand="0" w:evenHBand="0" w:firstRowFirstColumn="0" w:firstRowLastColumn="0" w:lastRowFirstColumn="0" w:lastRowLastColumn="0"/>
            <w:tcW w:w="3686" w:type="dxa"/>
            <w:tcBorders>
              <w:bottom w:val="single" w:sz="12" w:space="0" w:color="auto"/>
            </w:tcBorders>
          </w:tcPr>
          <w:p w14:paraId="7E051B0F" w14:textId="77777777" w:rsidR="00AB205D" w:rsidRDefault="00471A3B">
            <w:r>
              <w:t>Non</w:t>
            </w:r>
            <w:r>
              <w:noBreakHyphen/>
              <w:t>current superannuation liability</w:t>
            </w:r>
          </w:p>
        </w:tc>
        <w:tc>
          <w:tcPr>
            <w:tcW w:w="709" w:type="dxa"/>
            <w:tcBorders>
              <w:bottom w:val="single" w:sz="12" w:space="0" w:color="auto"/>
            </w:tcBorders>
          </w:tcPr>
          <w:p w14:paraId="24EBF7CD" w14:textId="77777777" w:rsidR="00AB205D" w:rsidRDefault="00471A3B">
            <w:pPr>
              <w:cnfStyle w:val="000000000000" w:firstRow="0" w:lastRow="0" w:firstColumn="0" w:lastColumn="0" w:oddVBand="0" w:evenVBand="0" w:oddHBand="0" w:evenHBand="0" w:firstRowFirstColumn="0" w:firstRowLastColumn="0" w:lastRowFirstColumn="0" w:lastRowLastColumn="0"/>
            </w:pPr>
            <w:r>
              <w:t>18 567</w:t>
            </w:r>
          </w:p>
        </w:tc>
        <w:tc>
          <w:tcPr>
            <w:tcW w:w="850" w:type="dxa"/>
            <w:tcBorders>
              <w:bottom w:val="single" w:sz="12" w:space="0" w:color="auto"/>
            </w:tcBorders>
          </w:tcPr>
          <w:p w14:paraId="0B8E35F0" w14:textId="77777777" w:rsidR="00AB205D" w:rsidRDefault="00471A3B">
            <w:pPr>
              <w:cnfStyle w:val="000000000000" w:firstRow="0" w:lastRow="0" w:firstColumn="0" w:lastColumn="0" w:oddVBand="0" w:evenVBand="0" w:oddHBand="0" w:evenHBand="0" w:firstRowFirstColumn="0" w:firstRowLastColumn="0" w:lastRowFirstColumn="0" w:lastRowLastColumn="0"/>
            </w:pPr>
            <w:r>
              <w:t>16 755</w:t>
            </w:r>
          </w:p>
        </w:tc>
        <w:tc>
          <w:tcPr>
            <w:tcW w:w="877" w:type="dxa"/>
            <w:tcBorders>
              <w:bottom w:val="single" w:sz="12" w:space="0" w:color="auto"/>
            </w:tcBorders>
          </w:tcPr>
          <w:p w14:paraId="69B7F015" w14:textId="77777777" w:rsidR="00AB205D" w:rsidRDefault="00471A3B">
            <w:pPr>
              <w:cnfStyle w:val="000000000000" w:firstRow="0" w:lastRow="0" w:firstColumn="0" w:lastColumn="0" w:oddVBand="0" w:evenVBand="0" w:oddHBand="0" w:evenHBand="0" w:firstRowFirstColumn="0" w:firstRowLastColumn="0" w:lastRowFirstColumn="0" w:lastRowLastColumn="0"/>
            </w:pPr>
            <w:r>
              <w:t>16 966</w:t>
            </w:r>
          </w:p>
        </w:tc>
        <w:tc>
          <w:tcPr>
            <w:tcW w:w="794" w:type="dxa"/>
            <w:tcBorders>
              <w:bottom w:val="single" w:sz="12" w:space="0" w:color="auto"/>
            </w:tcBorders>
          </w:tcPr>
          <w:p w14:paraId="508242CC" w14:textId="77777777" w:rsidR="00AB205D" w:rsidRDefault="00471A3B">
            <w:pPr>
              <w:cnfStyle w:val="000000000000" w:firstRow="0" w:lastRow="0" w:firstColumn="0" w:lastColumn="0" w:oddVBand="0" w:evenVBand="0" w:oddHBand="0" w:evenHBand="0" w:firstRowFirstColumn="0" w:firstRowLastColumn="0" w:lastRowFirstColumn="0" w:lastRowLastColumn="0"/>
            </w:pPr>
            <w:r>
              <w:t>17 034</w:t>
            </w:r>
          </w:p>
        </w:tc>
        <w:tc>
          <w:tcPr>
            <w:tcW w:w="794" w:type="dxa"/>
            <w:tcBorders>
              <w:bottom w:val="single" w:sz="12" w:space="0" w:color="auto"/>
            </w:tcBorders>
          </w:tcPr>
          <w:p w14:paraId="30497EE7" w14:textId="77777777" w:rsidR="00AB205D" w:rsidRDefault="00471A3B">
            <w:pPr>
              <w:cnfStyle w:val="000000000000" w:firstRow="0" w:lastRow="0" w:firstColumn="0" w:lastColumn="0" w:oddVBand="0" w:evenVBand="0" w:oddHBand="0" w:evenHBand="0" w:firstRowFirstColumn="0" w:firstRowLastColumn="0" w:lastRowFirstColumn="0" w:lastRowLastColumn="0"/>
            </w:pPr>
            <w:r>
              <w:t>15 783</w:t>
            </w:r>
          </w:p>
        </w:tc>
      </w:tr>
    </w:tbl>
    <w:p w14:paraId="309EBD42" w14:textId="77777777" w:rsidR="00AB205D" w:rsidRDefault="00471A3B">
      <w:pPr>
        <w:pStyle w:val="Note"/>
      </w:pPr>
      <w:r>
        <w:t>Notes:</w:t>
      </w:r>
    </w:p>
    <w:p w14:paraId="54CF64DE" w14:textId="77777777" w:rsidR="00AB205D" w:rsidRDefault="00471A3B">
      <w:pPr>
        <w:pStyle w:val="Note"/>
      </w:pPr>
      <w:r>
        <w:t>(a)</w:t>
      </w:r>
      <w:r>
        <w:tab/>
        <w:t>Tax liability is the present value of tax payments on contributions that are expected to be required to fund accrued benefits.</w:t>
      </w:r>
    </w:p>
    <w:p w14:paraId="335D74F6" w14:textId="77777777" w:rsidR="00AB205D" w:rsidRDefault="00471A3B">
      <w:pPr>
        <w:pStyle w:val="Note"/>
      </w:pPr>
      <w:r>
        <w:t>(b)</w:t>
      </w:r>
      <w:r>
        <w:tab/>
        <w:t>Other funds include constitutionally protected schemes and the State’s share of liabilities of the defined benefit scheme of the Health Super Fund (which is now part of Aware Super).</w:t>
      </w:r>
    </w:p>
    <w:p w14:paraId="235CD2D1" w14:textId="7137F2E2" w:rsidR="00AB205D" w:rsidRDefault="00AB205D"/>
    <w:p w14:paraId="0A6DB8A6" w14:textId="77777777" w:rsidR="00FA005E" w:rsidRDefault="00FA005E"/>
    <w:p w14:paraId="3B106069" w14:textId="77777777" w:rsidR="00AB205D" w:rsidRDefault="00471A3B" w:rsidP="00FA005E">
      <w:pPr>
        <w:pStyle w:val="TableHeading"/>
      </w:pPr>
      <w:r w:rsidRPr="00D02438">
        <w:t>Reconciliation of the present value of the defined benefit obligation</w:t>
      </w:r>
      <w:r w:rsidRPr="00D02438">
        <w:tab/>
        <w:t>($ million)</w:t>
      </w:r>
    </w:p>
    <w:tbl>
      <w:tblPr>
        <w:tblStyle w:val="DTFTableNumeric"/>
        <w:tblW w:w="7710" w:type="dxa"/>
        <w:tblLayout w:type="fixed"/>
        <w:tblLook w:val="06A0" w:firstRow="1" w:lastRow="0" w:firstColumn="1" w:lastColumn="0" w:noHBand="1" w:noVBand="1"/>
        <w:tblDescription w:val="Type:DtfTable|Workbook:Rawdata\BudgetUpdate\Budget Update\Financial Statements\Manual reports\Link_BU_Superannuation.xlsx|Table:Superannuation_defined_benefits|MergedHeadingRow:1"/>
      </w:tblPr>
      <w:tblGrid>
        <w:gridCol w:w="3544"/>
        <w:gridCol w:w="851"/>
        <w:gridCol w:w="850"/>
        <w:gridCol w:w="851"/>
        <w:gridCol w:w="820"/>
        <w:gridCol w:w="794"/>
      </w:tblGrid>
      <w:tr w:rsidR="009C6724" w14:paraId="58BAA32E"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Borders>
              <w:top w:val="single" w:sz="6" w:space="0" w:color="auto"/>
            </w:tcBorders>
          </w:tcPr>
          <w:p w14:paraId="7E4F76BB" w14:textId="77777777" w:rsidR="00AB205D" w:rsidRDefault="00AB205D">
            <w:pPr>
              <w:keepNext/>
            </w:pPr>
          </w:p>
        </w:tc>
        <w:tc>
          <w:tcPr>
            <w:tcW w:w="851" w:type="dxa"/>
            <w:tcBorders>
              <w:top w:val="single" w:sz="6" w:space="0" w:color="auto"/>
            </w:tcBorders>
          </w:tcPr>
          <w:p w14:paraId="498AD4ED"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budget</w:t>
            </w:r>
          </w:p>
        </w:tc>
        <w:tc>
          <w:tcPr>
            <w:tcW w:w="850" w:type="dxa"/>
            <w:tcBorders>
              <w:top w:val="single" w:sz="6" w:space="0" w:color="auto"/>
            </w:tcBorders>
          </w:tcPr>
          <w:p w14:paraId="6E175EA3"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revised</w:t>
            </w:r>
          </w:p>
        </w:tc>
        <w:tc>
          <w:tcPr>
            <w:tcW w:w="851" w:type="dxa"/>
            <w:tcBorders>
              <w:top w:val="single" w:sz="6" w:space="0" w:color="auto"/>
            </w:tcBorders>
          </w:tcPr>
          <w:p w14:paraId="11968B8E"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r>
              <w:br/>
              <w:t>estimate</w:t>
            </w:r>
          </w:p>
        </w:tc>
        <w:tc>
          <w:tcPr>
            <w:tcW w:w="820" w:type="dxa"/>
            <w:tcBorders>
              <w:top w:val="single" w:sz="6" w:space="0" w:color="auto"/>
            </w:tcBorders>
          </w:tcPr>
          <w:p w14:paraId="57746F45"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Borders>
              <w:top w:val="single" w:sz="6" w:space="0" w:color="auto"/>
            </w:tcBorders>
          </w:tcPr>
          <w:p w14:paraId="28DD9C1C"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r>
      <w:tr w:rsidR="009C6724" w14:paraId="401D0A6F" w14:textId="77777777" w:rsidTr="009C6724">
        <w:tc>
          <w:tcPr>
            <w:cnfStyle w:val="001000000000" w:firstRow="0" w:lastRow="0" w:firstColumn="1" w:lastColumn="0" w:oddVBand="0" w:evenVBand="0" w:oddHBand="0" w:evenHBand="0" w:firstRowFirstColumn="0" w:firstRowLastColumn="0" w:lastRowFirstColumn="0" w:lastRowLastColumn="0"/>
            <w:tcW w:w="3544" w:type="dxa"/>
            <w:tcBorders>
              <w:top w:val="single" w:sz="6" w:space="0" w:color="auto"/>
            </w:tcBorders>
          </w:tcPr>
          <w:p w14:paraId="0B1300B8" w14:textId="77777777" w:rsidR="00AB205D" w:rsidRDefault="00471A3B">
            <w:r>
              <w:rPr>
                <w:b/>
              </w:rPr>
              <w:t>Opening balance of defined benefit obligation</w:t>
            </w:r>
          </w:p>
        </w:tc>
        <w:tc>
          <w:tcPr>
            <w:tcW w:w="851" w:type="dxa"/>
            <w:tcBorders>
              <w:top w:val="single" w:sz="6" w:space="0" w:color="auto"/>
            </w:tcBorders>
          </w:tcPr>
          <w:p w14:paraId="730F409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44 541</w:t>
            </w:r>
          </w:p>
        </w:tc>
        <w:tc>
          <w:tcPr>
            <w:tcW w:w="850" w:type="dxa"/>
            <w:tcBorders>
              <w:top w:val="single" w:sz="6" w:space="0" w:color="auto"/>
            </w:tcBorders>
          </w:tcPr>
          <w:p w14:paraId="2B2F134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44 541</w:t>
            </w:r>
          </w:p>
        </w:tc>
        <w:tc>
          <w:tcPr>
            <w:tcW w:w="851" w:type="dxa"/>
            <w:tcBorders>
              <w:top w:val="single" w:sz="6" w:space="0" w:color="auto"/>
            </w:tcBorders>
          </w:tcPr>
          <w:p w14:paraId="4803DDB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41 962</w:t>
            </w:r>
          </w:p>
        </w:tc>
        <w:tc>
          <w:tcPr>
            <w:tcW w:w="820" w:type="dxa"/>
            <w:tcBorders>
              <w:top w:val="single" w:sz="6" w:space="0" w:color="auto"/>
            </w:tcBorders>
          </w:tcPr>
          <w:p w14:paraId="575D9B8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41 696</w:t>
            </w:r>
          </w:p>
        </w:tc>
        <w:tc>
          <w:tcPr>
            <w:tcW w:w="794" w:type="dxa"/>
            <w:tcBorders>
              <w:top w:val="single" w:sz="6" w:space="0" w:color="auto"/>
            </w:tcBorders>
          </w:tcPr>
          <w:p w14:paraId="3D24996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41 528</w:t>
            </w:r>
          </w:p>
        </w:tc>
      </w:tr>
      <w:tr w:rsidR="009C6724" w14:paraId="20DF315C" w14:textId="77777777" w:rsidTr="009C6724">
        <w:tc>
          <w:tcPr>
            <w:cnfStyle w:val="001000000000" w:firstRow="0" w:lastRow="0" w:firstColumn="1" w:lastColumn="0" w:oddVBand="0" w:evenVBand="0" w:oddHBand="0" w:evenHBand="0" w:firstRowFirstColumn="0" w:firstRowLastColumn="0" w:lastRowFirstColumn="0" w:lastRowLastColumn="0"/>
            <w:tcW w:w="3544" w:type="dxa"/>
          </w:tcPr>
          <w:p w14:paraId="35262941" w14:textId="77777777" w:rsidR="00AB205D" w:rsidRDefault="00471A3B">
            <w:r>
              <w:t>Current service cost</w:t>
            </w:r>
          </w:p>
        </w:tc>
        <w:tc>
          <w:tcPr>
            <w:tcW w:w="851" w:type="dxa"/>
          </w:tcPr>
          <w:p w14:paraId="14096FCB" w14:textId="77777777" w:rsidR="00AB205D" w:rsidRDefault="00471A3B">
            <w:pPr>
              <w:cnfStyle w:val="000000000000" w:firstRow="0" w:lastRow="0" w:firstColumn="0" w:lastColumn="0" w:oddVBand="0" w:evenVBand="0" w:oddHBand="0" w:evenHBand="0" w:firstRowFirstColumn="0" w:firstRowLastColumn="0" w:lastRowFirstColumn="0" w:lastRowLastColumn="0"/>
            </w:pPr>
            <w:r>
              <w:t>1 131</w:t>
            </w:r>
          </w:p>
        </w:tc>
        <w:tc>
          <w:tcPr>
            <w:tcW w:w="850" w:type="dxa"/>
          </w:tcPr>
          <w:p w14:paraId="491275AB" w14:textId="77777777" w:rsidR="00AB205D" w:rsidRDefault="00471A3B">
            <w:pPr>
              <w:cnfStyle w:val="000000000000" w:firstRow="0" w:lastRow="0" w:firstColumn="0" w:lastColumn="0" w:oddVBand="0" w:evenVBand="0" w:oddHBand="0" w:evenHBand="0" w:firstRowFirstColumn="0" w:firstRowLastColumn="0" w:lastRowFirstColumn="0" w:lastRowLastColumn="0"/>
            </w:pPr>
            <w:r>
              <w:t>945</w:t>
            </w:r>
          </w:p>
        </w:tc>
        <w:tc>
          <w:tcPr>
            <w:tcW w:w="851" w:type="dxa"/>
          </w:tcPr>
          <w:p w14:paraId="6439006E" w14:textId="77777777" w:rsidR="00AB205D" w:rsidRDefault="00471A3B">
            <w:pPr>
              <w:cnfStyle w:val="000000000000" w:firstRow="0" w:lastRow="0" w:firstColumn="0" w:lastColumn="0" w:oddVBand="0" w:evenVBand="0" w:oddHBand="0" w:evenHBand="0" w:firstRowFirstColumn="0" w:firstRowLastColumn="0" w:lastRowFirstColumn="0" w:lastRowLastColumn="0"/>
            </w:pPr>
            <w:r>
              <w:t>923</w:t>
            </w:r>
          </w:p>
        </w:tc>
        <w:tc>
          <w:tcPr>
            <w:tcW w:w="820" w:type="dxa"/>
          </w:tcPr>
          <w:p w14:paraId="79D25798" w14:textId="77777777" w:rsidR="00AB205D" w:rsidRDefault="00471A3B">
            <w:pPr>
              <w:cnfStyle w:val="000000000000" w:firstRow="0" w:lastRow="0" w:firstColumn="0" w:lastColumn="0" w:oddVBand="0" w:evenVBand="0" w:oddHBand="0" w:evenHBand="0" w:firstRowFirstColumn="0" w:firstRowLastColumn="0" w:lastRowFirstColumn="0" w:lastRowLastColumn="0"/>
            </w:pPr>
            <w:r>
              <w:t>1 004</w:t>
            </w:r>
          </w:p>
        </w:tc>
        <w:tc>
          <w:tcPr>
            <w:tcW w:w="794" w:type="dxa"/>
          </w:tcPr>
          <w:p w14:paraId="1577680B" w14:textId="77777777" w:rsidR="00AB205D" w:rsidRDefault="00471A3B">
            <w:pPr>
              <w:cnfStyle w:val="000000000000" w:firstRow="0" w:lastRow="0" w:firstColumn="0" w:lastColumn="0" w:oddVBand="0" w:evenVBand="0" w:oddHBand="0" w:evenHBand="0" w:firstRowFirstColumn="0" w:firstRowLastColumn="0" w:lastRowFirstColumn="0" w:lastRowLastColumn="0"/>
            </w:pPr>
            <w:r>
              <w:t>1 006</w:t>
            </w:r>
          </w:p>
        </w:tc>
      </w:tr>
      <w:tr w:rsidR="009C6724" w14:paraId="2E1336C6" w14:textId="77777777" w:rsidTr="009C6724">
        <w:tc>
          <w:tcPr>
            <w:cnfStyle w:val="001000000000" w:firstRow="0" w:lastRow="0" w:firstColumn="1" w:lastColumn="0" w:oddVBand="0" w:evenVBand="0" w:oddHBand="0" w:evenHBand="0" w:firstRowFirstColumn="0" w:firstRowLastColumn="0" w:lastRowFirstColumn="0" w:lastRowLastColumn="0"/>
            <w:tcW w:w="3544" w:type="dxa"/>
          </w:tcPr>
          <w:p w14:paraId="2D755537" w14:textId="77777777" w:rsidR="00AB205D" w:rsidRDefault="00471A3B">
            <w:r>
              <w:t>Interest expense</w:t>
            </w:r>
          </w:p>
        </w:tc>
        <w:tc>
          <w:tcPr>
            <w:tcW w:w="851" w:type="dxa"/>
          </w:tcPr>
          <w:p w14:paraId="0952DAB4" w14:textId="77777777" w:rsidR="00AB205D" w:rsidRDefault="00471A3B">
            <w:pPr>
              <w:cnfStyle w:val="000000000000" w:firstRow="0" w:lastRow="0" w:firstColumn="0" w:lastColumn="0" w:oddVBand="0" w:evenVBand="0" w:oddHBand="0" w:evenHBand="0" w:firstRowFirstColumn="0" w:firstRowLastColumn="0" w:lastRowFirstColumn="0" w:lastRowLastColumn="0"/>
            </w:pPr>
            <w:r>
              <w:t>1 560</w:t>
            </w:r>
          </w:p>
        </w:tc>
        <w:tc>
          <w:tcPr>
            <w:tcW w:w="850" w:type="dxa"/>
          </w:tcPr>
          <w:p w14:paraId="4A9CD5F3" w14:textId="77777777" w:rsidR="00AB205D" w:rsidRDefault="00471A3B">
            <w:pPr>
              <w:cnfStyle w:val="000000000000" w:firstRow="0" w:lastRow="0" w:firstColumn="0" w:lastColumn="0" w:oddVBand="0" w:evenVBand="0" w:oddHBand="0" w:evenHBand="0" w:firstRowFirstColumn="0" w:firstRowLastColumn="0" w:lastRowFirstColumn="0" w:lastRowLastColumn="0"/>
            </w:pPr>
            <w:r>
              <w:t>1 805</w:t>
            </w:r>
          </w:p>
        </w:tc>
        <w:tc>
          <w:tcPr>
            <w:tcW w:w="851" w:type="dxa"/>
          </w:tcPr>
          <w:p w14:paraId="7DC8ABB5" w14:textId="77777777" w:rsidR="00AB205D" w:rsidRDefault="00471A3B">
            <w:pPr>
              <w:cnfStyle w:val="000000000000" w:firstRow="0" w:lastRow="0" w:firstColumn="0" w:lastColumn="0" w:oddVBand="0" w:evenVBand="0" w:oddHBand="0" w:evenHBand="0" w:firstRowFirstColumn="0" w:firstRowLastColumn="0" w:lastRowFirstColumn="0" w:lastRowLastColumn="0"/>
            </w:pPr>
            <w:r>
              <w:t>1 893</w:t>
            </w:r>
          </w:p>
        </w:tc>
        <w:tc>
          <w:tcPr>
            <w:tcW w:w="820" w:type="dxa"/>
          </w:tcPr>
          <w:p w14:paraId="16703631" w14:textId="77777777" w:rsidR="00AB205D" w:rsidRDefault="00471A3B">
            <w:pPr>
              <w:cnfStyle w:val="000000000000" w:firstRow="0" w:lastRow="0" w:firstColumn="0" w:lastColumn="0" w:oddVBand="0" w:evenVBand="0" w:oddHBand="0" w:evenHBand="0" w:firstRowFirstColumn="0" w:firstRowLastColumn="0" w:lastRowFirstColumn="0" w:lastRowLastColumn="0"/>
            </w:pPr>
            <w:r>
              <w:t>1 880</w:t>
            </w:r>
          </w:p>
        </w:tc>
        <w:tc>
          <w:tcPr>
            <w:tcW w:w="794" w:type="dxa"/>
          </w:tcPr>
          <w:p w14:paraId="69DBBDF4" w14:textId="77777777" w:rsidR="00AB205D" w:rsidRDefault="00471A3B">
            <w:pPr>
              <w:cnfStyle w:val="000000000000" w:firstRow="0" w:lastRow="0" w:firstColumn="0" w:lastColumn="0" w:oddVBand="0" w:evenVBand="0" w:oddHBand="0" w:evenHBand="0" w:firstRowFirstColumn="0" w:firstRowLastColumn="0" w:lastRowFirstColumn="0" w:lastRowLastColumn="0"/>
            </w:pPr>
            <w:r>
              <w:t>1 872</w:t>
            </w:r>
          </w:p>
        </w:tc>
      </w:tr>
      <w:tr w:rsidR="009C6724" w14:paraId="1227327C" w14:textId="77777777" w:rsidTr="009C6724">
        <w:tc>
          <w:tcPr>
            <w:cnfStyle w:val="001000000000" w:firstRow="0" w:lastRow="0" w:firstColumn="1" w:lastColumn="0" w:oddVBand="0" w:evenVBand="0" w:oddHBand="0" w:evenHBand="0" w:firstRowFirstColumn="0" w:firstRowLastColumn="0" w:lastRowFirstColumn="0" w:lastRowLastColumn="0"/>
            <w:tcW w:w="3544" w:type="dxa"/>
          </w:tcPr>
          <w:p w14:paraId="32290A72" w14:textId="77777777" w:rsidR="00AB205D" w:rsidRDefault="00471A3B">
            <w:r>
              <w:t>Contributions by plan participants</w:t>
            </w:r>
          </w:p>
        </w:tc>
        <w:tc>
          <w:tcPr>
            <w:tcW w:w="851" w:type="dxa"/>
          </w:tcPr>
          <w:p w14:paraId="6B8279F3" w14:textId="77777777" w:rsidR="00AB205D" w:rsidRDefault="00471A3B">
            <w:pPr>
              <w:cnfStyle w:val="000000000000" w:firstRow="0" w:lastRow="0" w:firstColumn="0" w:lastColumn="0" w:oddVBand="0" w:evenVBand="0" w:oddHBand="0" w:evenHBand="0" w:firstRowFirstColumn="0" w:firstRowLastColumn="0" w:lastRowFirstColumn="0" w:lastRowLastColumn="0"/>
            </w:pPr>
            <w:r>
              <w:t>224</w:t>
            </w:r>
          </w:p>
        </w:tc>
        <w:tc>
          <w:tcPr>
            <w:tcW w:w="850" w:type="dxa"/>
          </w:tcPr>
          <w:p w14:paraId="078D4482" w14:textId="77777777" w:rsidR="00AB205D" w:rsidRDefault="00471A3B">
            <w:pPr>
              <w:cnfStyle w:val="000000000000" w:firstRow="0" w:lastRow="0" w:firstColumn="0" w:lastColumn="0" w:oddVBand="0" w:evenVBand="0" w:oddHBand="0" w:evenHBand="0" w:firstRowFirstColumn="0" w:firstRowLastColumn="0" w:lastRowFirstColumn="0" w:lastRowLastColumn="0"/>
            </w:pPr>
            <w:r>
              <w:t>219</w:t>
            </w:r>
          </w:p>
        </w:tc>
        <w:tc>
          <w:tcPr>
            <w:tcW w:w="851" w:type="dxa"/>
          </w:tcPr>
          <w:p w14:paraId="5189F1FD" w14:textId="77777777" w:rsidR="00AB205D" w:rsidRDefault="00471A3B">
            <w:pPr>
              <w:cnfStyle w:val="000000000000" w:firstRow="0" w:lastRow="0" w:firstColumn="0" w:lastColumn="0" w:oddVBand="0" w:evenVBand="0" w:oddHBand="0" w:evenHBand="0" w:firstRowFirstColumn="0" w:firstRowLastColumn="0" w:lastRowFirstColumn="0" w:lastRowLastColumn="0"/>
            </w:pPr>
            <w:r>
              <w:t>221</w:t>
            </w:r>
          </w:p>
        </w:tc>
        <w:tc>
          <w:tcPr>
            <w:tcW w:w="820" w:type="dxa"/>
          </w:tcPr>
          <w:p w14:paraId="34154AAE" w14:textId="77777777" w:rsidR="00AB205D" w:rsidRDefault="00471A3B">
            <w:pPr>
              <w:cnfStyle w:val="000000000000" w:firstRow="0" w:lastRow="0" w:firstColumn="0" w:lastColumn="0" w:oddVBand="0" w:evenVBand="0" w:oddHBand="0" w:evenHBand="0" w:firstRowFirstColumn="0" w:firstRowLastColumn="0" w:lastRowFirstColumn="0" w:lastRowLastColumn="0"/>
            </w:pPr>
            <w:r>
              <w:t>225</w:t>
            </w:r>
          </w:p>
        </w:tc>
        <w:tc>
          <w:tcPr>
            <w:tcW w:w="794" w:type="dxa"/>
          </w:tcPr>
          <w:p w14:paraId="2FDED1E6" w14:textId="77777777" w:rsidR="00AB205D" w:rsidRDefault="00471A3B">
            <w:pPr>
              <w:cnfStyle w:val="000000000000" w:firstRow="0" w:lastRow="0" w:firstColumn="0" w:lastColumn="0" w:oddVBand="0" w:evenVBand="0" w:oddHBand="0" w:evenHBand="0" w:firstRowFirstColumn="0" w:firstRowLastColumn="0" w:lastRowFirstColumn="0" w:lastRowLastColumn="0"/>
            </w:pPr>
            <w:r>
              <w:t>230</w:t>
            </w:r>
          </w:p>
        </w:tc>
      </w:tr>
      <w:tr w:rsidR="009C6724" w14:paraId="342D0FEB" w14:textId="77777777" w:rsidTr="009C6724">
        <w:tc>
          <w:tcPr>
            <w:cnfStyle w:val="001000000000" w:firstRow="0" w:lastRow="0" w:firstColumn="1" w:lastColumn="0" w:oddVBand="0" w:evenVBand="0" w:oddHBand="0" w:evenHBand="0" w:firstRowFirstColumn="0" w:firstRowLastColumn="0" w:lastRowFirstColumn="0" w:lastRowLastColumn="0"/>
            <w:tcW w:w="3544" w:type="dxa"/>
          </w:tcPr>
          <w:p w14:paraId="04C86EEE" w14:textId="77777777" w:rsidR="00AB205D" w:rsidRDefault="00471A3B">
            <w:r>
              <w:t>Actuarial (gains)/losses on the defined benefit obligation, due to:</w:t>
            </w:r>
          </w:p>
        </w:tc>
        <w:tc>
          <w:tcPr>
            <w:tcW w:w="851" w:type="dxa"/>
          </w:tcPr>
          <w:p w14:paraId="18545690"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850" w:type="dxa"/>
          </w:tcPr>
          <w:p w14:paraId="76898B54"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851" w:type="dxa"/>
          </w:tcPr>
          <w:p w14:paraId="15B31E7D"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820" w:type="dxa"/>
          </w:tcPr>
          <w:p w14:paraId="13A55663"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48EFD78D"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06B2F2EB" w14:textId="77777777" w:rsidTr="009C6724">
        <w:tc>
          <w:tcPr>
            <w:cnfStyle w:val="001000000000" w:firstRow="0" w:lastRow="0" w:firstColumn="1" w:lastColumn="0" w:oddVBand="0" w:evenVBand="0" w:oddHBand="0" w:evenHBand="0" w:firstRowFirstColumn="0" w:firstRowLastColumn="0" w:lastRowFirstColumn="0" w:lastRowLastColumn="0"/>
            <w:tcW w:w="3544" w:type="dxa"/>
          </w:tcPr>
          <w:p w14:paraId="3FC88017" w14:textId="77777777" w:rsidR="00AB205D" w:rsidRDefault="00471A3B">
            <w:r>
              <w:t xml:space="preserve">   Changes in financial assumptions</w:t>
            </w:r>
          </w:p>
        </w:tc>
        <w:tc>
          <w:tcPr>
            <w:tcW w:w="851" w:type="dxa"/>
          </w:tcPr>
          <w:p w14:paraId="09E6C468"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850" w:type="dxa"/>
          </w:tcPr>
          <w:p w14:paraId="75097948" w14:textId="77777777" w:rsidR="00AB205D" w:rsidRDefault="00471A3B">
            <w:pPr>
              <w:cnfStyle w:val="000000000000" w:firstRow="0" w:lastRow="0" w:firstColumn="0" w:lastColumn="0" w:oddVBand="0" w:evenVBand="0" w:oddHBand="0" w:evenHBand="0" w:firstRowFirstColumn="0" w:firstRowLastColumn="0" w:lastRowFirstColumn="0" w:lastRowLastColumn="0"/>
            </w:pPr>
            <w:r>
              <w:t>(2 144)</w:t>
            </w:r>
          </w:p>
        </w:tc>
        <w:tc>
          <w:tcPr>
            <w:tcW w:w="851" w:type="dxa"/>
          </w:tcPr>
          <w:p w14:paraId="077EC582"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820" w:type="dxa"/>
          </w:tcPr>
          <w:p w14:paraId="256BB391"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2FD48304"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r>
      <w:tr w:rsidR="009C6724" w14:paraId="54326A8D" w14:textId="77777777" w:rsidTr="009C6724">
        <w:tc>
          <w:tcPr>
            <w:cnfStyle w:val="001000000000" w:firstRow="0" w:lastRow="0" w:firstColumn="1" w:lastColumn="0" w:oddVBand="0" w:evenVBand="0" w:oddHBand="0" w:evenHBand="0" w:firstRowFirstColumn="0" w:firstRowLastColumn="0" w:lastRowFirstColumn="0" w:lastRowLastColumn="0"/>
            <w:tcW w:w="3544" w:type="dxa"/>
            <w:tcBorders>
              <w:bottom w:val="single" w:sz="6" w:space="0" w:color="auto"/>
            </w:tcBorders>
          </w:tcPr>
          <w:p w14:paraId="1A1DD945" w14:textId="77777777" w:rsidR="00AB205D" w:rsidRDefault="00471A3B">
            <w:r>
              <w:t>Benefits paid (including tax paid)</w:t>
            </w:r>
          </w:p>
        </w:tc>
        <w:tc>
          <w:tcPr>
            <w:tcW w:w="851" w:type="dxa"/>
            <w:tcBorders>
              <w:bottom w:val="single" w:sz="6" w:space="0" w:color="auto"/>
            </w:tcBorders>
          </w:tcPr>
          <w:p w14:paraId="0624F2E1" w14:textId="77777777" w:rsidR="00AB205D" w:rsidRDefault="00471A3B">
            <w:pPr>
              <w:cnfStyle w:val="000000000000" w:firstRow="0" w:lastRow="0" w:firstColumn="0" w:lastColumn="0" w:oddVBand="0" w:evenVBand="0" w:oddHBand="0" w:evenHBand="0" w:firstRowFirstColumn="0" w:firstRowLastColumn="0" w:lastRowFirstColumn="0" w:lastRowLastColumn="0"/>
            </w:pPr>
            <w:r>
              <w:t>(3 226)</w:t>
            </w:r>
          </w:p>
        </w:tc>
        <w:tc>
          <w:tcPr>
            <w:tcW w:w="850" w:type="dxa"/>
            <w:tcBorders>
              <w:bottom w:val="single" w:sz="6" w:space="0" w:color="auto"/>
            </w:tcBorders>
          </w:tcPr>
          <w:p w14:paraId="528647CD" w14:textId="77777777" w:rsidR="00AB205D" w:rsidRDefault="00471A3B">
            <w:pPr>
              <w:cnfStyle w:val="000000000000" w:firstRow="0" w:lastRow="0" w:firstColumn="0" w:lastColumn="0" w:oddVBand="0" w:evenVBand="0" w:oddHBand="0" w:evenHBand="0" w:firstRowFirstColumn="0" w:firstRowLastColumn="0" w:lastRowFirstColumn="0" w:lastRowLastColumn="0"/>
            </w:pPr>
            <w:r>
              <w:t>(3 404)</w:t>
            </w:r>
          </w:p>
        </w:tc>
        <w:tc>
          <w:tcPr>
            <w:tcW w:w="851" w:type="dxa"/>
            <w:tcBorders>
              <w:bottom w:val="single" w:sz="6" w:space="0" w:color="auto"/>
            </w:tcBorders>
          </w:tcPr>
          <w:p w14:paraId="047D67CE" w14:textId="77777777" w:rsidR="00AB205D" w:rsidRDefault="00471A3B">
            <w:pPr>
              <w:cnfStyle w:val="000000000000" w:firstRow="0" w:lastRow="0" w:firstColumn="0" w:lastColumn="0" w:oddVBand="0" w:evenVBand="0" w:oddHBand="0" w:evenHBand="0" w:firstRowFirstColumn="0" w:firstRowLastColumn="0" w:lastRowFirstColumn="0" w:lastRowLastColumn="0"/>
            </w:pPr>
            <w:r>
              <w:t>(3 303)</w:t>
            </w:r>
          </w:p>
        </w:tc>
        <w:tc>
          <w:tcPr>
            <w:tcW w:w="820" w:type="dxa"/>
            <w:tcBorders>
              <w:bottom w:val="single" w:sz="6" w:space="0" w:color="auto"/>
            </w:tcBorders>
          </w:tcPr>
          <w:p w14:paraId="5A0405A1" w14:textId="77777777" w:rsidR="00AB205D" w:rsidRDefault="00471A3B">
            <w:pPr>
              <w:cnfStyle w:val="000000000000" w:firstRow="0" w:lastRow="0" w:firstColumn="0" w:lastColumn="0" w:oddVBand="0" w:evenVBand="0" w:oddHBand="0" w:evenHBand="0" w:firstRowFirstColumn="0" w:firstRowLastColumn="0" w:lastRowFirstColumn="0" w:lastRowLastColumn="0"/>
            </w:pPr>
            <w:r>
              <w:t>(3 278)</w:t>
            </w:r>
          </w:p>
        </w:tc>
        <w:tc>
          <w:tcPr>
            <w:tcW w:w="794" w:type="dxa"/>
            <w:tcBorders>
              <w:bottom w:val="single" w:sz="6" w:space="0" w:color="auto"/>
            </w:tcBorders>
          </w:tcPr>
          <w:p w14:paraId="6758C961" w14:textId="77777777" w:rsidR="00AB205D" w:rsidRDefault="00471A3B">
            <w:pPr>
              <w:cnfStyle w:val="000000000000" w:firstRow="0" w:lastRow="0" w:firstColumn="0" w:lastColumn="0" w:oddVBand="0" w:evenVBand="0" w:oddHBand="0" w:evenHBand="0" w:firstRowFirstColumn="0" w:firstRowLastColumn="0" w:lastRowFirstColumn="0" w:lastRowLastColumn="0"/>
            </w:pPr>
            <w:r>
              <w:t>(3 318)</w:t>
            </w:r>
          </w:p>
        </w:tc>
      </w:tr>
      <w:tr w:rsidR="009C6724" w14:paraId="3EA8A5E2" w14:textId="77777777" w:rsidTr="009C6724">
        <w:tc>
          <w:tcPr>
            <w:cnfStyle w:val="001000000000" w:firstRow="0" w:lastRow="0" w:firstColumn="1" w:lastColumn="0" w:oddVBand="0" w:evenVBand="0" w:oddHBand="0" w:evenHBand="0" w:firstRowFirstColumn="0" w:firstRowLastColumn="0" w:lastRowFirstColumn="0" w:lastRowLastColumn="0"/>
            <w:tcW w:w="3544" w:type="dxa"/>
            <w:tcBorders>
              <w:top w:val="single" w:sz="6" w:space="0" w:color="auto"/>
              <w:bottom w:val="single" w:sz="12" w:space="0" w:color="auto"/>
            </w:tcBorders>
          </w:tcPr>
          <w:p w14:paraId="2D2E74AC" w14:textId="77777777" w:rsidR="00AB205D" w:rsidRDefault="00471A3B">
            <w:r>
              <w:rPr>
                <w:b/>
              </w:rPr>
              <w:t>Closing balance of defined benefit obligation</w:t>
            </w:r>
          </w:p>
        </w:tc>
        <w:tc>
          <w:tcPr>
            <w:tcW w:w="851" w:type="dxa"/>
            <w:tcBorders>
              <w:top w:val="single" w:sz="6" w:space="0" w:color="auto"/>
              <w:bottom w:val="single" w:sz="12" w:space="0" w:color="auto"/>
            </w:tcBorders>
          </w:tcPr>
          <w:p w14:paraId="6A3EAEF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44 230</w:t>
            </w:r>
          </w:p>
        </w:tc>
        <w:tc>
          <w:tcPr>
            <w:tcW w:w="850" w:type="dxa"/>
            <w:tcBorders>
              <w:top w:val="single" w:sz="6" w:space="0" w:color="auto"/>
              <w:bottom w:val="single" w:sz="12" w:space="0" w:color="auto"/>
            </w:tcBorders>
          </w:tcPr>
          <w:p w14:paraId="01CB3AB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41 962</w:t>
            </w:r>
          </w:p>
        </w:tc>
        <w:tc>
          <w:tcPr>
            <w:tcW w:w="851" w:type="dxa"/>
            <w:tcBorders>
              <w:top w:val="single" w:sz="6" w:space="0" w:color="auto"/>
              <w:bottom w:val="single" w:sz="12" w:space="0" w:color="auto"/>
            </w:tcBorders>
          </w:tcPr>
          <w:p w14:paraId="6C97163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41 696</w:t>
            </w:r>
          </w:p>
        </w:tc>
        <w:tc>
          <w:tcPr>
            <w:tcW w:w="820" w:type="dxa"/>
            <w:tcBorders>
              <w:top w:val="single" w:sz="6" w:space="0" w:color="auto"/>
              <w:bottom w:val="single" w:sz="12" w:space="0" w:color="auto"/>
            </w:tcBorders>
          </w:tcPr>
          <w:p w14:paraId="7B3B9F6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41 528</w:t>
            </w:r>
          </w:p>
        </w:tc>
        <w:tc>
          <w:tcPr>
            <w:tcW w:w="794" w:type="dxa"/>
            <w:tcBorders>
              <w:top w:val="single" w:sz="6" w:space="0" w:color="auto"/>
              <w:bottom w:val="single" w:sz="12" w:space="0" w:color="auto"/>
            </w:tcBorders>
          </w:tcPr>
          <w:p w14:paraId="39604E4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41 318</w:t>
            </w:r>
          </w:p>
        </w:tc>
      </w:tr>
    </w:tbl>
    <w:p w14:paraId="3682FA45" w14:textId="77777777" w:rsidR="00AB205D" w:rsidRPr="00652E54" w:rsidRDefault="00AB205D"/>
    <w:p w14:paraId="59C806BA" w14:textId="77777777" w:rsidR="00AB205D" w:rsidRDefault="00471A3B" w:rsidP="00FA005E">
      <w:pPr>
        <w:pStyle w:val="TableHeading"/>
        <w:pageBreakBefore/>
      </w:pPr>
      <w:r w:rsidRPr="00D02438">
        <w:lastRenderedPageBreak/>
        <w:t>Reconciliation of the fair value of superannuation plan assets</w:t>
      </w:r>
      <w:r w:rsidRPr="00D02438">
        <w:tab/>
        <w:t>($ million)</w:t>
      </w:r>
    </w:p>
    <w:tbl>
      <w:tblPr>
        <w:tblStyle w:val="DTFTableNumeric"/>
        <w:tblW w:w="7710" w:type="dxa"/>
        <w:tblLayout w:type="fixed"/>
        <w:tblLook w:val="06A0" w:firstRow="1" w:lastRow="0" w:firstColumn="1" w:lastColumn="0" w:noHBand="1" w:noVBand="1"/>
        <w:tblDescription w:val="Type:DtfTable|Workbook:Rawdata\BudgetUpdate\Budget Update\Financial Statements\Manual reports\Link_BU_Superannuation.xlsx|Table:Superannuation_plan_assets|MergedHeadingRow:1"/>
      </w:tblPr>
      <w:tblGrid>
        <w:gridCol w:w="3544"/>
        <w:gridCol w:w="851"/>
        <w:gridCol w:w="850"/>
        <w:gridCol w:w="877"/>
        <w:gridCol w:w="794"/>
        <w:gridCol w:w="794"/>
      </w:tblGrid>
      <w:tr w:rsidR="009C6724" w14:paraId="005D7585"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Borders>
              <w:top w:val="single" w:sz="6" w:space="0" w:color="auto"/>
            </w:tcBorders>
          </w:tcPr>
          <w:p w14:paraId="69B6E95B" w14:textId="77777777" w:rsidR="00AB205D" w:rsidRDefault="00AB205D">
            <w:pPr>
              <w:keepNext/>
            </w:pPr>
          </w:p>
        </w:tc>
        <w:tc>
          <w:tcPr>
            <w:tcW w:w="851" w:type="dxa"/>
            <w:tcBorders>
              <w:top w:val="single" w:sz="6" w:space="0" w:color="auto"/>
            </w:tcBorders>
          </w:tcPr>
          <w:p w14:paraId="29233575"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budget</w:t>
            </w:r>
          </w:p>
        </w:tc>
        <w:tc>
          <w:tcPr>
            <w:tcW w:w="850" w:type="dxa"/>
            <w:tcBorders>
              <w:top w:val="single" w:sz="6" w:space="0" w:color="auto"/>
            </w:tcBorders>
          </w:tcPr>
          <w:p w14:paraId="46C68479"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revised</w:t>
            </w:r>
          </w:p>
        </w:tc>
        <w:tc>
          <w:tcPr>
            <w:tcW w:w="877" w:type="dxa"/>
            <w:tcBorders>
              <w:top w:val="single" w:sz="6" w:space="0" w:color="auto"/>
            </w:tcBorders>
          </w:tcPr>
          <w:p w14:paraId="48D4EDEC"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r>
              <w:br/>
              <w:t>estimate</w:t>
            </w:r>
          </w:p>
        </w:tc>
        <w:tc>
          <w:tcPr>
            <w:tcW w:w="794" w:type="dxa"/>
            <w:tcBorders>
              <w:top w:val="single" w:sz="6" w:space="0" w:color="auto"/>
            </w:tcBorders>
          </w:tcPr>
          <w:p w14:paraId="2BB85A04"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Borders>
              <w:top w:val="single" w:sz="6" w:space="0" w:color="auto"/>
            </w:tcBorders>
          </w:tcPr>
          <w:p w14:paraId="5A6218C7"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r>
      <w:tr w:rsidR="009C6724" w14:paraId="239C8918" w14:textId="77777777" w:rsidTr="009C6724">
        <w:tc>
          <w:tcPr>
            <w:cnfStyle w:val="001000000000" w:firstRow="0" w:lastRow="0" w:firstColumn="1" w:lastColumn="0" w:oddVBand="0" w:evenVBand="0" w:oddHBand="0" w:evenHBand="0" w:firstRowFirstColumn="0" w:firstRowLastColumn="0" w:lastRowFirstColumn="0" w:lastRowLastColumn="0"/>
            <w:tcW w:w="3544" w:type="dxa"/>
            <w:tcBorders>
              <w:top w:val="single" w:sz="6" w:space="0" w:color="auto"/>
            </w:tcBorders>
          </w:tcPr>
          <w:p w14:paraId="1C722006" w14:textId="77777777" w:rsidR="00AB205D" w:rsidRDefault="00471A3B">
            <w:r>
              <w:rPr>
                <w:b/>
              </w:rPr>
              <w:t>Opening balance of plan assets</w:t>
            </w:r>
          </w:p>
        </w:tc>
        <w:tc>
          <w:tcPr>
            <w:tcW w:w="851" w:type="dxa"/>
            <w:tcBorders>
              <w:top w:val="single" w:sz="6" w:space="0" w:color="auto"/>
            </w:tcBorders>
          </w:tcPr>
          <w:p w14:paraId="61433C3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25 637</w:t>
            </w:r>
          </w:p>
        </w:tc>
        <w:tc>
          <w:tcPr>
            <w:tcW w:w="850" w:type="dxa"/>
            <w:tcBorders>
              <w:top w:val="single" w:sz="6" w:space="0" w:color="auto"/>
            </w:tcBorders>
          </w:tcPr>
          <w:p w14:paraId="6B697DB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25 637</w:t>
            </w:r>
          </w:p>
        </w:tc>
        <w:tc>
          <w:tcPr>
            <w:tcW w:w="877" w:type="dxa"/>
            <w:tcBorders>
              <w:top w:val="single" w:sz="6" w:space="0" w:color="auto"/>
            </w:tcBorders>
          </w:tcPr>
          <w:p w14:paraId="4907D13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24 766</w:t>
            </w:r>
          </w:p>
        </w:tc>
        <w:tc>
          <w:tcPr>
            <w:tcW w:w="794" w:type="dxa"/>
            <w:tcBorders>
              <w:top w:val="single" w:sz="6" w:space="0" w:color="auto"/>
            </w:tcBorders>
          </w:tcPr>
          <w:p w14:paraId="4BF2ADD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24 414</w:t>
            </w:r>
          </w:p>
        </w:tc>
        <w:tc>
          <w:tcPr>
            <w:tcW w:w="794" w:type="dxa"/>
            <w:tcBorders>
              <w:top w:val="single" w:sz="6" w:space="0" w:color="auto"/>
            </w:tcBorders>
          </w:tcPr>
          <w:p w14:paraId="38049A3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23 944</w:t>
            </w:r>
          </w:p>
        </w:tc>
      </w:tr>
      <w:tr w:rsidR="009C6724" w14:paraId="0BA74FBF" w14:textId="77777777" w:rsidTr="009C6724">
        <w:tc>
          <w:tcPr>
            <w:cnfStyle w:val="001000000000" w:firstRow="0" w:lastRow="0" w:firstColumn="1" w:lastColumn="0" w:oddVBand="0" w:evenVBand="0" w:oddHBand="0" w:evenHBand="0" w:firstRowFirstColumn="0" w:firstRowLastColumn="0" w:lastRowFirstColumn="0" w:lastRowLastColumn="0"/>
            <w:tcW w:w="3544" w:type="dxa"/>
          </w:tcPr>
          <w:p w14:paraId="47442D25" w14:textId="77777777" w:rsidR="00AB205D" w:rsidRDefault="00471A3B">
            <w:r>
              <w:t>Interest income</w:t>
            </w:r>
          </w:p>
        </w:tc>
        <w:tc>
          <w:tcPr>
            <w:tcW w:w="851" w:type="dxa"/>
          </w:tcPr>
          <w:p w14:paraId="1D84AC9A" w14:textId="77777777" w:rsidR="00AB205D" w:rsidRDefault="00471A3B">
            <w:pPr>
              <w:cnfStyle w:val="000000000000" w:firstRow="0" w:lastRow="0" w:firstColumn="0" w:lastColumn="0" w:oddVBand="0" w:evenVBand="0" w:oddHBand="0" w:evenHBand="0" w:firstRowFirstColumn="0" w:firstRowLastColumn="0" w:lastRowFirstColumn="0" w:lastRowLastColumn="0"/>
            </w:pPr>
            <w:r>
              <w:t>842</w:t>
            </w:r>
          </w:p>
        </w:tc>
        <w:tc>
          <w:tcPr>
            <w:tcW w:w="850" w:type="dxa"/>
          </w:tcPr>
          <w:p w14:paraId="05DE405A" w14:textId="77777777" w:rsidR="00AB205D" w:rsidRDefault="00471A3B">
            <w:pPr>
              <w:cnfStyle w:val="000000000000" w:firstRow="0" w:lastRow="0" w:firstColumn="0" w:lastColumn="0" w:oddVBand="0" w:evenVBand="0" w:oddHBand="0" w:evenHBand="0" w:firstRowFirstColumn="0" w:firstRowLastColumn="0" w:lastRowFirstColumn="0" w:lastRowLastColumn="0"/>
            </w:pPr>
            <w:r>
              <w:t>1 031</w:t>
            </w:r>
          </w:p>
        </w:tc>
        <w:tc>
          <w:tcPr>
            <w:tcW w:w="877" w:type="dxa"/>
          </w:tcPr>
          <w:p w14:paraId="3A577D36" w14:textId="77777777" w:rsidR="00AB205D" w:rsidRDefault="00471A3B">
            <w:pPr>
              <w:cnfStyle w:val="000000000000" w:firstRow="0" w:lastRow="0" w:firstColumn="0" w:lastColumn="0" w:oddVBand="0" w:evenVBand="0" w:oddHBand="0" w:evenHBand="0" w:firstRowFirstColumn="0" w:firstRowLastColumn="0" w:lastRowFirstColumn="0" w:lastRowLastColumn="0"/>
            </w:pPr>
            <w:r>
              <w:t>1 103</w:t>
            </w:r>
          </w:p>
        </w:tc>
        <w:tc>
          <w:tcPr>
            <w:tcW w:w="794" w:type="dxa"/>
          </w:tcPr>
          <w:p w14:paraId="496B4327" w14:textId="77777777" w:rsidR="00AB205D" w:rsidRDefault="00471A3B">
            <w:pPr>
              <w:cnfStyle w:val="000000000000" w:firstRow="0" w:lastRow="0" w:firstColumn="0" w:lastColumn="0" w:oddVBand="0" w:evenVBand="0" w:oddHBand="0" w:evenHBand="0" w:firstRowFirstColumn="0" w:firstRowLastColumn="0" w:lastRowFirstColumn="0" w:lastRowLastColumn="0"/>
            </w:pPr>
            <w:r>
              <w:t>1 085</w:t>
            </w:r>
          </w:p>
        </w:tc>
        <w:tc>
          <w:tcPr>
            <w:tcW w:w="794" w:type="dxa"/>
          </w:tcPr>
          <w:p w14:paraId="32FC1466" w14:textId="77777777" w:rsidR="00AB205D" w:rsidRDefault="00471A3B">
            <w:pPr>
              <w:cnfStyle w:val="000000000000" w:firstRow="0" w:lastRow="0" w:firstColumn="0" w:lastColumn="0" w:oddVBand="0" w:evenVBand="0" w:oddHBand="0" w:evenHBand="0" w:firstRowFirstColumn="0" w:firstRowLastColumn="0" w:lastRowFirstColumn="0" w:lastRowLastColumn="0"/>
            </w:pPr>
            <w:r>
              <w:t>1 066</w:t>
            </w:r>
          </w:p>
        </w:tc>
      </w:tr>
      <w:tr w:rsidR="009C6724" w14:paraId="7D008FF3" w14:textId="77777777" w:rsidTr="009C6724">
        <w:tc>
          <w:tcPr>
            <w:cnfStyle w:val="001000000000" w:firstRow="0" w:lastRow="0" w:firstColumn="1" w:lastColumn="0" w:oddVBand="0" w:evenVBand="0" w:oddHBand="0" w:evenHBand="0" w:firstRowFirstColumn="0" w:firstRowLastColumn="0" w:lastRowFirstColumn="0" w:lastRowLastColumn="0"/>
            <w:tcW w:w="3544" w:type="dxa"/>
          </w:tcPr>
          <w:p w14:paraId="2CAAF8D4" w14:textId="77777777" w:rsidR="00AB205D" w:rsidRDefault="00471A3B">
            <w:r>
              <w:t>Return on plan assets not included in interest income</w:t>
            </w:r>
          </w:p>
        </w:tc>
        <w:tc>
          <w:tcPr>
            <w:tcW w:w="851" w:type="dxa"/>
          </w:tcPr>
          <w:p w14:paraId="36189776" w14:textId="77777777" w:rsidR="00AB205D" w:rsidRDefault="00471A3B">
            <w:pPr>
              <w:cnfStyle w:val="000000000000" w:firstRow="0" w:lastRow="0" w:firstColumn="0" w:lastColumn="0" w:oddVBand="0" w:evenVBand="0" w:oddHBand="0" w:evenHBand="0" w:firstRowFirstColumn="0" w:firstRowLastColumn="0" w:lastRowFirstColumn="0" w:lastRowLastColumn="0"/>
            </w:pPr>
            <w:r>
              <w:t>852</w:t>
            </w:r>
          </w:p>
        </w:tc>
        <w:tc>
          <w:tcPr>
            <w:tcW w:w="850" w:type="dxa"/>
          </w:tcPr>
          <w:p w14:paraId="6877576A" w14:textId="77777777" w:rsidR="00AB205D" w:rsidRDefault="00471A3B">
            <w:pPr>
              <w:cnfStyle w:val="000000000000" w:firstRow="0" w:lastRow="0" w:firstColumn="0" w:lastColumn="0" w:oddVBand="0" w:evenVBand="0" w:oddHBand="0" w:evenHBand="0" w:firstRowFirstColumn="0" w:firstRowLastColumn="0" w:lastRowFirstColumn="0" w:lastRowLastColumn="0"/>
            </w:pPr>
            <w:r>
              <w:t>398</w:t>
            </w:r>
          </w:p>
        </w:tc>
        <w:tc>
          <w:tcPr>
            <w:tcW w:w="877" w:type="dxa"/>
          </w:tcPr>
          <w:p w14:paraId="45617DA3" w14:textId="77777777" w:rsidR="00AB205D" w:rsidRDefault="00471A3B">
            <w:pPr>
              <w:cnfStyle w:val="000000000000" w:firstRow="0" w:lastRow="0" w:firstColumn="0" w:lastColumn="0" w:oddVBand="0" w:evenVBand="0" w:oddHBand="0" w:evenHBand="0" w:firstRowFirstColumn="0" w:firstRowLastColumn="0" w:lastRowFirstColumn="0" w:lastRowLastColumn="0"/>
            </w:pPr>
            <w:r>
              <w:t>567</w:t>
            </w:r>
          </w:p>
        </w:tc>
        <w:tc>
          <w:tcPr>
            <w:tcW w:w="794" w:type="dxa"/>
          </w:tcPr>
          <w:p w14:paraId="481DA0EB" w14:textId="77777777" w:rsidR="00AB205D" w:rsidRDefault="00471A3B">
            <w:pPr>
              <w:cnfStyle w:val="000000000000" w:firstRow="0" w:lastRow="0" w:firstColumn="0" w:lastColumn="0" w:oddVBand="0" w:evenVBand="0" w:oddHBand="0" w:evenHBand="0" w:firstRowFirstColumn="0" w:firstRowLastColumn="0" w:lastRowFirstColumn="0" w:lastRowLastColumn="0"/>
            </w:pPr>
            <w:r>
              <w:t>549</w:t>
            </w:r>
          </w:p>
        </w:tc>
        <w:tc>
          <w:tcPr>
            <w:tcW w:w="794" w:type="dxa"/>
          </w:tcPr>
          <w:p w14:paraId="33B334E2" w14:textId="77777777" w:rsidR="00AB205D" w:rsidRDefault="00471A3B">
            <w:pPr>
              <w:cnfStyle w:val="000000000000" w:firstRow="0" w:lastRow="0" w:firstColumn="0" w:lastColumn="0" w:oddVBand="0" w:evenVBand="0" w:oddHBand="0" w:evenHBand="0" w:firstRowFirstColumn="0" w:firstRowLastColumn="0" w:lastRowFirstColumn="0" w:lastRowLastColumn="0"/>
            </w:pPr>
            <w:r>
              <w:t>528</w:t>
            </w:r>
          </w:p>
        </w:tc>
      </w:tr>
      <w:tr w:rsidR="009C6724" w14:paraId="039CC95F" w14:textId="77777777" w:rsidTr="009C6724">
        <w:tc>
          <w:tcPr>
            <w:cnfStyle w:val="001000000000" w:firstRow="0" w:lastRow="0" w:firstColumn="1" w:lastColumn="0" w:oddVBand="0" w:evenVBand="0" w:oddHBand="0" w:evenHBand="0" w:firstRowFirstColumn="0" w:firstRowLastColumn="0" w:lastRowFirstColumn="0" w:lastRowLastColumn="0"/>
            <w:tcW w:w="3544" w:type="dxa"/>
          </w:tcPr>
          <w:p w14:paraId="199F52EB" w14:textId="77777777" w:rsidR="00AB205D" w:rsidRDefault="00471A3B">
            <w:r>
              <w:t>Employer contributions</w:t>
            </w:r>
          </w:p>
        </w:tc>
        <w:tc>
          <w:tcPr>
            <w:tcW w:w="851" w:type="dxa"/>
          </w:tcPr>
          <w:p w14:paraId="103CBBBE" w14:textId="77777777" w:rsidR="00AB205D" w:rsidRDefault="00471A3B">
            <w:pPr>
              <w:cnfStyle w:val="000000000000" w:firstRow="0" w:lastRow="0" w:firstColumn="0" w:lastColumn="0" w:oddVBand="0" w:evenVBand="0" w:oddHBand="0" w:evenHBand="0" w:firstRowFirstColumn="0" w:firstRowLastColumn="0" w:lastRowFirstColumn="0" w:lastRowLastColumn="0"/>
            </w:pPr>
            <w:r>
              <w:t>893</w:t>
            </w:r>
          </w:p>
        </w:tc>
        <w:tc>
          <w:tcPr>
            <w:tcW w:w="850" w:type="dxa"/>
          </w:tcPr>
          <w:p w14:paraId="04FB2E9C" w14:textId="77777777" w:rsidR="00AB205D" w:rsidRDefault="00471A3B">
            <w:pPr>
              <w:cnfStyle w:val="000000000000" w:firstRow="0" w:lastRow="0" w:firstColumn="0" w:lastColumn="0" w:oddVBand="0" w:evenVBand="0" w:oddHBand="0" w:evenHBand="0" w:firstRowFirstColumn="0" w:firstRowLastColumn="0" w:lastRowFirstColumn="0" w:lastRowLastColumn="0"/>
            </w:pPr>
            <w:r>
              <w:t>885</w:t>
            </w:r>
          </w:p>
        </w:tc>
        <w:tc>
          <w:tcPr>
            <w:tcW w:w="877" w:type="dxa"/>
          </w:tcPr>
          <w:p w14:paraId="3337CE32" w14:textId="77777777" w:rsidR="00AB205D" w:rsidRDefault="00471A3B">
            <w:pPr>
              <w:cnfStyle w:val="000000000000" w:firstRow="0" w:lastRow="0" w:firstColumn="0" w:lastColumn="0" w:oddVBand="0" w:evenVBand="0" w:oddHBand="0" w:evenHBand="0" w:firstRowFirstColumn="0" w:firstRowLastColumn="0" w:lastRowFirstColumn="0" w:lastRowLastColumn="0"/>
            </w:pPr>
            <w:r>
              <w:t>1 059</w:t>
            </w:r>
          </w:p>
        </w:tc>
        <w:tc>
          <w:tcPr>
            <w:tcW w:w="794" w:type="dxa"/>
          </w:tcPr>
          <w:p w14:paraId="7EEE1E7D" w14:textId="77777777" w:rsidR="00AB205D" w:rsidRDefault="00471A3B">
            <w:pPr>
              <w:cnfStyle w:val="000000000000" w:firstRow="0" w:lastRow="0" w:firstColumn="0" w:lastColumn="0" w:oddVBand="0" w:evenVBand="0" w:oddHBand="0" w:evenHBand="0" w:firstRowFirstColumn="0" w:firstRowLastColumn="0" w:lastRowFirstColumn="0" w:lastRowLastColumn="0"/>
            </w:pPr>
            <w:r>
              <w:t>950</w:t>
            </w:r>
          </w:p>
        </w:tc>
        <w:tc>
          <w:tcPr>
            <w:tcW w:w="794" w:type="dxa"/>
          </w:tcPr>
          <w:p w14:paraId="1014A8CF" w14:textId="77777777" w:rsidR="00AB205D" w:rsidRDefault="00471A3B">
            <w:pPr>
              <w:cnfStyle w:val="000000000000" w:firstRow="0" w:lastRow="0" w:firstColumn="0" w:lastColumn="0" w:oddVBand="0" w:evenVBand="0" w:oddHBand="0" w:evenHBand="0" w:firstRowFirstColumn="0" w:firstRowLastColumn="0" w:lastRowFirstColumn="0" w:lastRowLastColumn="0"/>
            </w:pPr>
            <w:r>
              <w:t>1 200</w:t>
            </w:r>
          </w:p>
        </w:tc>
      </w:tr>
      <w:tr w:rsidR="009C6724" w14:paraId="48AB24AF" w14:textId="77777777" w:rsidTr="009C6724">
        <w:tc>
          <w:tcPr>
            <w:cnfStyle w:val="001000000000" w:firstRow="0" w:lastRow="0" w:firstColumn="1" w:lastColumn="0" w:oddVBand="0" w:evenVBand="0" w:oddHBand="0" w:evenHBand="0" w:firstRowFirstColumn="0" w:firstRowLastColumn="0" w:lastRowFirstColumn="0" w:lastRowLastColumn="0"/>
            <w:tcW w:w="3544" w:type="dxa"/>
          </w:tcPr>
          <w:p w14:paraId="30E5EF85" w14:textId="77777777" w:rsidR="00AB205D" w:rsidRDefault="00471A3B">
            <w:r>
              <w:t>Contributions by plan participants</w:t>
            </w:r>
          </w:p>
        </w:tc>
        <w:tc>
          <w:tcPr>
            <w:tcW w:w="851" w:type="dxa"/>
          </w:tcPr>
          <w:p w14:paraId="00228907" w14:textId="77777777" w:rsidR="00AB205D" w:rsidRDefault="00471A3B">
            <w:pPr>
              <w:cnfStyle w:val="000000000000" w:firstRow="0" w:lastRow="0" w:firstColumn="0" w:lastColumn="0" w:oddVBand="0" w:evenVBand="0" w:oddHBand="0" w:evenHBand="0" w:firstRowFirstColumn="0" w:firstRowLastColumn="0" w:lastRowFirstColumn="0" w:lastRowLastColumn="0"/>
            </w:pPr>
            <w:r>
              <w:t>224</w:t>
            </w:r>
          </w:p>
        </w:tc>
        <w:tc>
          <w:tcPr>
            <w:tcW w:w="850" w:type="dxa"/>
          </w:tcPr>
          <w:p w14:paraId="47EF7E80" w14:textId="77777777" w:rsidR="00AB205D" w:rsidRDefault="00471A3B">
            <w:pPr>
              <w:cnfStyle w:val="000000000000" w:firstRow="0" w:lastRow="0" w:firstColumn="0" w:lastColumn="0" w:oddVBand="0" w:evenVBand="0" w:oddHBand="0" w:evenHBand="0" w:firstRowFirstColumn="0" w:firstRowLastColumn="0" w:lastRowFirstColumn="0" w:lastRowLastColumn="0"/>
            </w:pPr>
            <w:r>
              <w:t>219</w:t>
            </w:r>
          </w:p>
        </w:tc>
        <w:tc>
          <w:tcPr>
            <w:tcW w:w="877" w:type="dxa"/>
          </w:tcPr>
          <w:p w14:paraId="49D4CDBE" w14:textId="77777777" w:rsidR="00AB205D" w:rsidRDefault="00471A3B">
            <w:pPr>
              <w:cnfStyle w:val="000000000000" w:firstRow="0" w:lastRow="0" w:firstColumn="0" w:lastColumn="0" w:oddVBand="0" w:evenVBand="0" w:oddHBand="0" w:evenHBand="0" w:firstRowFirstColumn="0" w:firstRowLastColumn="0" w:lastRowFirstColumn="0" w:lastRowLastColumn="0"/>
            </w:pPr>
            <w:r>
              <w:t>221</w:t>
            </w:r>
          </w:p>
        </w:tc>
        <w:tc>
          <w:tcPr>
            <w:tcW w:w="794" w:type="dxa"/>
          </w:tcPr>
          <w:p w14:paraId="03E5C0B4" w14:textId="77777777" w:rsidR="00AB205D" w:rsidRDefault="00471A3B">
            <w:pPr>
              <w:cnfStyle w:val="000000000000" w:firstRow="0" w:lastRow="0" w:firstColumn="0" w:lastColumn="0" w:oddVBand="0" w:evenVBand="0" w:oddHBand="0" w:evenHBand="0" w:firstRowFirstColumn="0" w:firstRowLastColumn="0" w:lastRowFirstColumn="0" w:lastRowLastColumn="0"/>
            </w:pPr>
            <w:r>
              <w:t>225</w:t>
            </w:r>
          </w:p>
        </w:tc>
        <w:tc>
          <w:tcPr>
            <w:tcW w:w="794" w:type="dxa"/>
          </w:tcPr>
          <w:p w14:paraId="201E623B" w14:textId="77777777" w:rsidR="00AB205D" w:rsidRDefault="00471A3B">
            <w:pPr>
              <w:cnfStyle w:val="000000000000" w:firstRow="0" w:lastRow="0" w:firstColumn="0" w:lastColumn="0" w:oddVBand="0" w:evenVBand="0" w:oddHBand="0" w:evenHBand="0" w:firstRowFirstColumn="0" w:firstRowLastColumn="0" w:lastRowFirstColumn="0" w:lastRowLastColumn="0"/>
            </w:pPr>
            <w:r>
              <w:t>230</w:t>
            </w:r>
          </w:p>
        </w:tc>
      </w:tr>
      <w:tr w:rsidR="009C6724" w14:paraId="04AF14C1" w14:textId="77777777" w:rsidTr="009C6724">
        <w:tc>
          <w:tcPr>
            <w:cnfStyle w:val="001000000000" w:firstRow="0" w:lastRow="0" w:firstColumn="1" w:lastColumn="0" w:oddVBand="0" w:evenVBand="0" w:oddHBand="0" w:evenHBand="0" w:firstRowFirstColumn="0" w:firstRowLastColumn="0" w:lastRowFirstColumn="0" w:lastRowLastColumn="0"/>
            <w:tcW w:w="3544" w:type="dxa"/>
            <w:tcBorders>
              <w:bottom w:val="single" w:sz="6" w:space="0" w:color="auto"/>
            </w:tcBorders>
          </w:tcPr>
          <w:p w14:paraId="68AB30B4" w14:textId="77777777" w:rsidR="00AB205D" w:rsidRDefault="00471A3B">
            <w:r>
              <w:t>Benefits paid (including tax paid)</w:t>
            </w:r>
          </w:p>
        </w:tc>
        <w:tc>
          <w:tcPr>
            <w:tcW w:w="851" w:type="dxa"/>
            <w:tcBorders>
              <w:bottom w:val="single" w:sz="6" w:space="0" w:color="auto"/>
            </w:tcBorders>
          </w:tcPr>
          <w:p w14:paraId="0A784F26" w14:textId="77777777" w:rsidR="00AB205D" w:rsidRDefault="00471A3B">
            <w:pPr>
              <w:cnfStyle w:val="000000000000" w:firstRow="0" w:lastRow="0" w:firstColumn="0" w:lastColumn="0" w:oddVBand="0" w:evenVBand="0" w:oddHBand="0" w:evenHBand="0" w:firstRowFirstColumn="0" w:firstRowLastColumn="0" w:lastRowFirstColumn="0" w:lastRowLastColumn="0"/>
            </w:pPr>
            <w:r>
              <w:t>(3 226)</w:t>
            </w:r>
          </w:p>
        </w:tc>
        <w:tc>
          <w:tcPr>
            <w:tcW w:w="850" w:type="dxa"/>
            <w:tcBorders>
              <w:bottom w:val="single" w:sz="6" w:space="0" w:color="auto"/>
            </w:tcBorders>
          </w:tcPr>
          <w:p w14:paraId="44810B8B" w14:textId="77777777" w:rsidR="00AB205D" w:rsidRDefault="00471A3B">
            <w:pPr>
              <w:cnfStyle w:val="000000000000" w:firstRow="0" w:lastRow="0" w:firstColumn="0" w:lastColumn="0" w:oddVBand="0" w:evenVBand="0" w:oddHBand="0" w:evenHBand="0" w:firstRowFirstColumn="0" w:firstRowLastColumn="0" w:lastRowFirstColumn="0" w:lastRowLastColumn="0"/>
            </w:pPr>
            <w:r>
              <w:t>(3 404)</w:t>
            </w:r>
          </w:p>
        </w:tc>
        <w:tc>
          <w:tcPr>
            <w:tcW w:w="877" w:type="dxa"/>
            <w:tcBorders>
              <w:bottom w:val="single" w:sz="6" w:space="0" w:color="auto"/>
            </w:tcBorders>
          </w:tcPr>
          <w:p w14:paraId="25A4A9D1" w14:textId="77777777" w:rsidR="00AB205D" w:rsidRDefault="00471A3B">
            <w:pPr>
              <w:cnfStyle w:val="000000000000" w:firstRow="0" w:lastRow="0" w:firstColumn="0" w:lastColumn="0" w:oddVBand="0" w:evenVBand="0" w:oddHBand="0" w:evenHBand="0" w:firstRowFirstColumn="0" w:firstRowLastColumn="0" w:lastRowFirstColumn="0" w:lastRowLastColumn="0"/>
            </w:pPr>
            <w:r>
              <w:t>(3 303)</w:t>
            </w:r>
          </w:p>
        </w:tc>
        <w:tc>
          <w:tcPr>
            <w:tcW w:w="794" w:type="dxa"/>
            <w:tcBorders>
              <w:bottom w:val="single" w:sz="6" w:space="0" w:color="auto"/>
            </w:tcBorders>
          </w:tcPr>
          <w:p w14:paraId="391373FE" w14:textId="77777777" w:rsidR="00AB205D" w:rsidRDefault="00471A3B">
            <w:pPr>
              <w:cnfStyle w:val="000000000000" w:firstRow="0" w:lastRow="0" w:firstColumn="0" w:lastColumn="0" w:oddVBand="0" w:evenVBand="0" w:oddHBand="0" w:evenHBand="0" w:firstRowFirstColumn="0" w:firstRowLastColumn="0" w:lastRowFirstColumn="0" w:lastRowLastColumn="0"/>
            </w:pPr>
            <w:r>
              <w:t>(3 278)</w:t>
            </w:r>
          </w:p>
        </w:tc>
        <w:tc>
          <w:tcPr>
            <w:tcW w:w="794" w:type="dxa"/>
            <w:tcBorders>
              <w:bottom w:val="single" w:sz="6" w:space="0" w:color="auto"/>
            </w:tcBorders>
          </w:tcPr>
          <w:p w14:paraId="3A55B289" w14:textId="77777777" w:rsidR="00AB205D" w:rsidRDefault="00471A3B">
            <w:pPr>
              <w:cnfStyle w:val="000000000000" w:firstRow="0" w:lastRow="0" w:firstColumn="0" w:lastColumn="0" w:oddVBand="0" w:evenVBand="0" w:oddHBand="0" w:evenHBand="0" w:firstRowFirstColumn="0" w:firstRowLastColumn="0" w:lastRowFirstColumn="0" w:lastRowLastColumn="0"/>
            </w:pPr>
            <w:r>
              <w:t>(3 318)</w:t>
            </w:r>
          </w:p>
        </w:tc>
      </w:tr>
      <w:tr w:rsidR="009C6724" w14:paraId="0ECD8A21" w14:textId="77777777" w:rsidTr="009C6724">
        <w:tc>
          <w:tcPr>
            <w:cnfStyle w:val="001000000000" w:firstRow="0" w:lastRow="0" w:firstColumn="1" w:lastColumn="0" w:oddVBand="0" w:evenVBand="0" w:oddHBand="0" w:evenHBand="0" w:firstRowFirstColumn="0" w:firstRowLastColumn="0" w:lastRowFirstColumn="0" w:lastRowLastColumn="0"/>
            <w:tcW w:w="3544" w:type="dxa"/>
            <w:tcBorders>
              <w:top w:val="single" w:sz="6" w:space="0" w:color="auto"/>
              <w:bottom w:val="single" w:sz="12" w:space="0" w:color="auto"/>
            </w:tcBorders>
          </w:tcPr>
          <w:p w14:paraId="4BBBE191" w14:textId="77777777" w:rsidR="00AB205D" w:rsidRDefault="00471A3B">
            <w:r>
              <w:rPr>
                <w:b/>
              </w:rPr>
              <w:t>Closing balance of plan assets</w:t>
            </w:r>
          </w:p>
        </w:tc>
        <w:tc>
          <w:tcPr>
            <w:tcW w:w="851" w:type="dxa"/>
            <w:tcBorders>
              <w:top w:val="single" w:sz="6" w:space="0" w:color="auto"/>
              <w:bottom w:val="single" w:sz="12" w:space="0" w:color="auto"/>
            </w:tcBorders>
          </w:tcPr>
          <w:p w14:paraId="01C94D0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25 221</w:t>
            </w:r>
          </w:p>
        </w:tc>
        <w:tc>
          <w:tcPr>
            <w:tcW w:w="850" w:type="dxa"/>
            <w:tcBorders>
              <w:top w:val="single" w:sz="6" w:space="0" w:color="auto"/>
              <w:bottom w:val="single" w:sz="12" w:space="0" w:color="auto"/>
            </w:tcBorders>
          </w:tcPr>
          <w:p w14:paraId="229C8E6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24 766</w:t>
            </w:r>
          </w:p>
        </w:tc>
        <w:tc>
          <w:tcPr>
            <w:tcW w:w="877" w:type="dxa"/>
            <w:tcBorders>
              <w:top w:val="single" w:sz="6" w:space="0" w:color="auto"/>
              <w:bottom w:val="single" w:sz="12" w:space="0" w:color="auto"/>
            </w:tcBorders>
          </w:tcPr>
          <w:p w14:paraId="6B0F301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24 414</w:t>
            </w:r>
          </w:p>
        </w:tc>
        <w:tc>
          <w:tcPr>
            <w:tcW w:w="794" w:type="dxa"/>
            <w:tcBorders>
              <w:top w:val="single" w:sz="6" w:space="0" w:color="auto"/>
              <w:bottom w:val="single" w:sz="12" w:space="0" w:color="auto"/>
            </w:tcBorders>
          </w:tcPr>
          <w:p w14:paraId="40B43E0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23 944</w:t>
            </w:r>
          </w:p>
        </w:tc>
        <w:tc>
          <w:tcPr>
            <w:tcW w:w="794" w:type="dxa"/>
            <w:tcBorders>
              <w:top w:val="single" w:sz="6" w:space="0" w:color="auto"/>
              <w:bottom w:val="single" w:sz="12" w:space="0" w:color="auto"/>
            </w:tcBorders>
          </w:tcPr>
          <w:p w14:paraId="5DBBF5B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23 649</w:t>
            </w:r>
          </w:p>
        </w:tc>
      </w:tr>
    </w:tbl>
    <w:p w14:paraId="7E38CD01" w14:textId="77777777" w:rsidR="00AB205D" w:rsidRDefault="00AB205D"/>
    <w:p w14:paraId="641DA855" w14:textId="77777777" w:rsidR="00AB205D" w:rsidRDefault="00471A3B">
      <w:r>
        <w:t>See Note 4.3.2 for further information on superannuation assumptions.</w:t>
      </w:r>
    </w:p>
    <w:bookmarkEnd w:id="71"/>
    <w:p w14:paraId="60CFA037" w14:textId="77777777" w:rsidR="00AB205D" w:rsidRDefault="00AB205D">
      <w:pPr>
        <w:sectPr w:rsidR="00AB205D" w:rsidSect="00570639">
          <w:footerReference w:type="even" r:id="rId106"/>
          <w:footerReference w:type="default" r:id="rId107"/>
          <w:type w:val="continuous"/>
          <w:pgSz w:w="9979" w:h="14175" w:code="34"/>
          <w:pgMar w:top="1134" w:right="1134" w:bottom="1134" w:left="1134" w:header="624" w:footer="567" w:gutter="0"/>
          <w:cols w:space="708"/>
          <w:titlePg/>
          <w:docGrid w:linePitch="360"/>
        </w:sectPr>
      </w:pPr>
    </w:p>
    <w:p w14:paraId="184247EF" w14:textId="77777777" w:rsidR="00AB205D" w:rsidRDefault="00471A3B" w:rsidP="00FA005E">
      <w:pPr>
        <w:pStyle w:val="Heading2"/>
        <w:pageBreakBefore/>
        <w:spacing w:before="0"/>
      </w:pPr>
      <w:bookmarkStart w:id="75" w:name="Section_7"/>
      <w:r w:rsidRPr="00020772">
        <w:lastRenderedPageBreak/>
        <w:t>Other disclosures</w:t>
      </w:r>
    </w:p>
    <w:p w14:paraId="41CE4928" w14:textId="77777777" w:rsidR="00AB205D" w:rsidRDefault="00AB205D">
      <w:pPr>
        <w:pStyle w:val="Heading30"/>
        <w:sectPr w:rsidR="00AB205D" w:rsidSect="00570639">
          <w:type w:val="continuous"/>
          <w:pgSz w:w="9979" w:h="14175" w:code="34"/>
          <w:pgMar w:top="1134" w:right="1134" w:bottom="1134" w:left="1134" w:header="624" w:footer="567" w:gutter="0"/>
          <w:cols w:space="708"/>
          <w:docGrid w:linePitch="360"/>
        </w:sectPr>
      </w:pPr>
    </w:p>
    <w:p w14:paraId="21D95940" w14:textId="77777777" w:rsidR="00AB205D" w:rsidRPr="00D02438" w:rsidRDefault="00471A3B">
      <w:pPr>
        <w:pStyle w:val="Heading30"/>
      </w:pPr>
      <w:r w:rsidRPr="00D02438">
        <w:t>Introduction</w:t>
      </w:r>
    </w:p>
    <w:p w14:paraId="2A41BE4C" w14:textId="77777777" w:rsidR="00AB205D" w:rsidRPr="00D02438" w:rsidRDefault="00471A3B">
      <w:r w:rsidRPr="00D02438">
        <w:t xml:space="preserve">This section includes several additional disclosures that assist </w:t>
      </w:r>
      <w:r>
        <w:t xml:space="preserve">with </w:t>
      </w:r>
      <w:r w:rsidRPr="00D02438">
        <w:t>understanding</w:t>
      </w:r>
      <w:r>
        <w:t xml:space="preserve"> </w:t>
      </w:r>
      <w:r w:rsidRPr="00D02438">
        <w:t>the Estimated Financial Statements.</w:t>
      </w:r>
    </w:p>
    <w:p w14:paraId="372E3F7A" w14:textId="77777777" w:rsidR="00AB205D" w:rsidRPr="00D02438" w:rsidRDefault="00471A3B">
      <w:pPr>
        <w:pStyle w:val="Heading30"/>
      </w:pPr>
      <w:r w:rsidRPr="00D02438">
        <w:br w:type="column"/>
      </w:r>
      <w:r w:rsidRPr="00D02438">
        <w:t>Structure</w:t>
      </w:r>
    </w:p>
    <w:p w14:paraId="04460B4F" w14:textId="261CE1EA" w:rsidR="00AB205D" w:rsidRDefault="00471A3B">
      <w:pPr>
        <w:pStyle w:val="TOC9"/>
        <w:rPr>
          <w:rFonts w:eastAsiaTheme="minorEastAsia"/>
          <w:noProof/>
          <w:sz w:val="22"/>
          <w:lang w:eastAsia="en-AU"/>
        </w:rPr>
      </w:pPr>
      <w:r w:rsidRPr="00D02438">
        <w:rPr>
          <w:spacing w:val="-2"/>
        </w:rPr>
        <w:fldChar w:fldCharType="begin"/>
      </w:r>
      <w:r w:rsidRPr="00D02438">
        <w:instrText xml:space="preserve"> TOC \h \z \t "Heading 3 </w:instrText>
      </w:r>
      <w:r>
        <w:instrText>[</w:instrText>
      </w:r>
      <w:r w:rsidRPr="00D02438">
        <w:instrText>#</w:instrText>
      </w:r>
      <w:r>
        <w:instrText>]</w:instrText>
      </w:r>
      <w:r w:rsidRPr="00D02438">
        <w:instrText xml:space="preserve">,9" \b Section_7 \* MERGEFORMAT </w:instrText>
      </w:r>
      <w:r w:rsidRPr="00D02438">
        <w:rPr>
          <w:spacing w:val="-2"/>
        </w:rPr>
        <w:fldChar w:fldCharType="separate"/>
      </w:r>
      <w:hyperlink w:anchor="_Toc149221097" w:history="1">
        <w:r w:rsidRPr="00310C24">
          <w:rPr>
            <w:rStyle w:val="Hyperlink"/>
            <w:noProof/>
          </w:rPr>
          <w:t>4.7.1</w:t>
        </w:r>
        <w:r>
          <w:rPr>
            <w:rFonts w:eastAsiaTheme="minorEastAsia"/>
            <w:noProof/>
            <w:sz w:val="22"/>
            <w:lang w:eastAsia="en-AU"/>
          </w:rPr>
          <w:tab/>
        </w:r>
        <w:r w:rsidRPr="00310C24">
          <w:rPr>
            <w:rStyle w:val="Hyperlink"/>
            <w:noProof/>
          </w:rPr>
          <w:t xml:space="preserve">Other gains/(losses) from other economic flows </w:t>
        </w:r>
        <w:r>
          <w:rPr>
            <w:noProof/>
            <w:webHidden/>
          </w:rPr>
          <w:tab/>
        </w:r>
        <w:r>
          <w:rPr>
            <w:noProof/>
            <w:webHidden/>
          </w:rPr>
          <w:fldChar w:fldCharType="begin"/>
        </w:r>
        <w:r>
          <w:rPr>
            <w:noProof/>
            <w:webHidden/>
          </w:rPr>
          <w:instrText xml:space="preserve"> PAGEREF _Toc149221097 \h </w:instrText>
        </w:r>
        <w:r>
          <w:rPr>
            <w:noProof/>
            <w:webHidden/>
          </w:rPr>
        </w:r>
        <w:r>
          <w:rPr>
            <w:noProof/>
            <w:webHidden/>
          </w:rPr>
          <w:fldChar w:fldCharType="separate"/>
        </w:r>
        <w:r w:rsidR="00315D9A">
          <w:rPr>
            <w:noProof/>
            <w:webHidden/>
          </w:rPr>
          <w:t>76</w:t>
        </w:r>
        <w:r>
          <w:rPr>
            <w:noProof/>
            <w:webHidden/>
          </w:rPr>
          <w:fldChar w:fldCharType="end"/>
        </w:r>
      </w:hyperlink>
    </w:p>
    <w:p w14:paraId="0E2C7CF7" w14:textId="33A29DF5" w:rsidR="00AB205D" w:rsidRDefault="00000000">
      <w:pPr>
        <w:pStyle w:val="TOC9"/>
        <w:rPr>
          <w:rFonts w:eastAsiaTheme="minorEastAsia"/>
          <w:noProof/>
          <w:sz w:val="22"/>
          <w:lang w:eastAsia="en-AU"/>
        </w:rPr>
      </w:pPr>
      <w:hyperlink w:anchor="_Toc149221098" w:history="1">
        <w:r w:rsidR="00471A3B" w:rsidRPr="00310C24">
          <w:rPr>
            <w:rStyle w:val="Hyperlink"/>
            <w:noProof/>
          </w:rPr>
          <w:t>4.7.2</w:t>
        </w:r>
        <w:r w:rsidR="00471A3B">
          <w:rPr>
            <w:rFonts w:eastAsiaTheme="minorEastAsia"/>
            <w:noProof/>
            <w:sz w:val="22"/>
            <w:lang w:eastAsia="en-AU"/>
          </w:rPr>
          <w:tab/>
        </w:r>
        <w:r w:rsidR="00471A3B" w:rsidRPr="00310C24">
          <w:rPr>
            <w:rStyle w:val="Hyperlink"/>
            <w:noProof/>
          </w:rPr>
          <w:t>Reconciliation of Government Finance Statistics and Australian Accounting Standards</w:t>
        </w:r>
        <w:r w:rsidR="00471A3B">
          <w:rPr>
            <w:noProof/>
            <w:webHidden/>
          </w:rPr>
          <w:tab/>
        </w:r>
        <w:r w:rsidR="00471A3B">
          <w:rPr>
            <w:noProof/>
            <w:webHidden/>
          </w:rPr>
          <w:fldChar w:fldCharType="begin"/>
        </w:r>
        <w:r w:rsidR="00471A3B">
          <w:rPr>
            <w:noProof/>
            <w:webHidden/>
          </w:rPr>
          <w:instrText xml:space="preserve"> PAGEREF _Toc149221098 \h </w:instrText>
        </w:r>
        <w:r w:rsidR="00471A3B">
          <w:rPr>
            <w:noProof/>
            <w:webHidden/>
          </w:rPr>
        </w:r>
        <w:r w:rsidR="00471A3B">
          <w:rPr>
            <w:noProof/>
            <w:webHidden/>
          </w:rPr>
          <w:fldChar w:fldCharType="separate"/>
        </w:r>
        <w:r w:rsidR="00315D9A">
          <w:rPr>
            <w:noProof/>
            <w:webHidden/>
          </w:rPr>
          <w:t>77</w:t>
        </w:r>
        <w:r w:rsidR="00471A3B">
          <w:rPr>
            <w:noProof/>
            <w:webHidden/>
          </w:rPr>
          <w:fldChar w:fldCharType="end"/>
        </w:r>
      </w:hyperlink>
    </w:p>
    <w:p w14:paraId="5BC2CA19" w14:textId="10F71E3C" w:rsidR="00AB205D" w:rsidRDefault="00000000">
      <w:pPr>
        <w:pStyle w:val="TOC9"/>
        <w:rPr>
          <w:rFonts w:eastAsiaTheme="minorEastAsia"/>
          <w:noProof/>
          <w:sz w:val="22"/>
          <w:lang w:eastAsia="en-AU"/>
        </w:rPr>
      </w:pPr>
      <w:hyperlink w:anchor="_Toc149221099" w:history="1">
        <w:r w:rsidR="00471A3B" w:rsidRPr="00310C24">
          <w:rPr>
            <w:rStyle w:val="Hyperlink"/>
            <w:noProof/>
          </w:rPr>
          <w:t>4.7.3</w:t>
        </w:r>
        <w:r w:rsidR="00471A3B">
          <w:rPr>
            <w:rFonts w:eastAsiaTheme="minorEastAsia"/>
            <w:noProof/>
            <w:sz w:val="22"/>
            <w:lang w:eastAsia="en-AU"/>
          </w:rPr>
          <w:tab/>
        </w:r>
        <w:r w:rsidR="00471A3B" w:rsidRPr="00310C24">
          <w:rPr>
            <w:rStyle w:val="Hyperlink"/>
            <w:noProof/>
          </w:rPr>
          <w:t xml:space="preserve">Prospective accounting and </w:t>
        </w:r>
        <w:r w:rsidR="00471A3B">
          <w:rPr>
            <w:rStyle w:val="Hyperlink"/>
            <w:noProof/>
          </w:rPr>
          <w:br/>
        </w:r>
        <w:r w:rsidR="00471A3B" w:rsidRPr="00310C24">
          <w:rPr>
            <w:rStyle w:val="Hyperlink"/>
            <w:noProof/>
          </w:rPr>
          <w:t>reporting changes</w:t>
        </w:r>
        <w:r w:rsidR="00471A3B">
          <w:rPr>
            <w:noProof/>
            <w:webHidden/>
          </w:rPr>
          <w:tab/>
        </w:r>
        <w:r w:rsidR="00471A3B">
          <w:rPr>
            <w:noProof/>
            <w:webHidden/>
          </w:rPr>
          <w:fldChar w:fldCharType="begin"/>
        </w:r>
        <w:r w:rsidR="00471A3B">
          <w:rPr>
            <w:noProof/>
            <w:webHidden/>
          </w:rPr>
          <w:instrText xml:space="preserve"> PAGEREF _Toc149221099 \h </w:instrText>
        </w:r>
        <w:r w:rsidR="00471A3B">
          <w:rPr>
            <w:noProof/>
            <w:webHidden/>
          </w:rPr>
        </w:r>
        <w:r w:rsidR="00471A3B">
          <w:rPr>
            <w:noProof/>
            <w:webHidden/>
          </w:rPr>
          <w:fldChar w:fldCharType="separate"/>
        </w:r>
        <w:r w:rsidR="00315D9A">
          <w:rPr>
            <w:noProof/>
            <w:webHidden/>
          </w:rPr>
          <w:t>80</w:t>
        </w:r>
        <w:r w:rsidR="00471A3B">
          <w:rPr>
            <w:noProof/>
            <w:webHidden/>
          </w:rPr>
          <w:fldChar w:fldCharType="end"/>
        </w:r>
      </w:hyperlink>
    </w:p>
    <w:p w14:paraId="5AD00E07" w14:textId="4E6E40FC" w:rsidR="00AB205D" w:rsidRDefault="00000000">
      <w:pPr>
        <w:pStyle w:val="TOC9"/>
        <w:rPr>
          <w:rFonts w:eastAsiaTheme="minorEastAsia"/>
          <w:noProof/>
          <w:sz w:val="22"/>
          <w:lang w:eastAsia="en-AU"/>
        </w:rPr>
      </w:pPr>
      <w:hyperlink w:anchor="_Toc149221100" w:history="1">
        <w:r w:rsidR="00471A3B" w:rsidRPr="00310C24">
          <w:rPr>
            <w:rStyle w:val="Hyperlink"/>
            <w:noProof/>
          </w:rPr>
          <w:t>4.7.4</w:t>
        </w:r>
        <w:r w:rsidR="00471A3B">
          <w:rPr>
            <w:rFonts w:eastAsiaTheme="minorEastAsia"/>
            <w:noProof/>
            <w:sz w:val="22"/>
            <w:lang w:eastAsia="en-AU"/>
          </w:rPr>
          <w:tab/>
        </w:r>
        <w:r w:rsidR="00471A3B" w:rsidRPr="00310C24">
          <w:rPr>
            <w:rStyle w:val="Hyperlink"/>
            <w:noProof/>
          </w:rPr>
          <w:t>Controlled entities</w:t>
        </w:r>
        <w:r w:rsidR="00471A3B">
          <w:rPr>
            <w:noProof/>
            <w:webHidden/>
          </w:rPr>
          <w:tab/>
        </w:r>
        <w:r w:rsidR="00471A3B">
          <w:rPr>
            <w:noProof/>
            <w:webHidden/>
          </w:rPr>
          <w:fldChar w:fldCharType="begin"/>
        </w:r>
        <w:r w:rsidR="00471A3B">
          <w:rPr>
            <w:noProof/>
            <w:webHidden/>
          </w:rPr>
          <w:instrText xml:space="preserve"> PAGEREF _Toc149221100 \h </w:instrText>
        </w:r>
        <w:r w:rsidR="00471A3B">
          <w:rPr>
            <w:noProof/>
            <w:webHidden/>
          </w:rPr>
        </w:r>
        <w:r w:rsidR="00471A3B">
          <w:rPr>
            <w:noProof/>
            <w:webHidden/>
          </w:rPr>
          <w:fldChar w:fldCharType="separate"/>
        </w:r>
        <w:r w:rsidR="00315D9A">
          <w:rPr>
            <w:noProof/>
            <w:webHidden/>
          </w:rPr>
          <w:t>81</w:t>
        </w:r>
        <w:r w:rsidR="00471A3B">
          <w:rPr>
            <w:noProof/>
            <w:webHidden/>
          </w:rPr>
          <w:fldChar w:fldCharType="end"/>
        </w:r>
      </w:hyperlink>
    </w:p>
    <w:p w14:paraId="7AB7006D" w14:textId="77777777" w:rsidR="00AB205D" w:rsidRDefault="00471A3B">
      <w:pPr>
        <w:sectPr w:rsidR="00AB205D" w:rsidSect="00570639">
          <w:type w:val="continuous"/>
          <w:pgSz w:w="9979" w:h="14175" w:code="34"/>
          <w:pgMar w:top="1134" w:right="1134" w:bottom="1134" w:left="1134" w:header="624" w:footer="567" w:gutter="0"/>
          <w:cols w:num="2" w:space="708"/>
          <w:docGrid w:linePitch="360"/>
        </w:sectPr>
      </w:pPr>
      <w:r w:rsidRPr="00D02438">
        <w:fldChar w:fldCharType="end"/>
      </w:r>
    </w:p>
    <w:p w14:paraId="5998464A" w14:textId="77777777" w:rsidR="00AB205D" w:rsidRPr="00CF76E8" w:rsidRDefault="00471A3B">
      <w:pPr>
        <w:pStyle w:val="Heading3"/>
        <w:rPr>
          <w:sz w:val="21"/>
          <w:szCs w:val="21"/>
        </w:rPr>
      </w:pPr>
      <w:bookmarkStart w:id="76" w:name="_Toc149221097"/>
      <w:r w:rsidRPr="00CF76E8">
        <w:rPr>
          <w:sz w:val="21"/>
          <w:szCs w:val="21"/>
        </w:rPr>
        <w:t>Other gains/(losses) from other economic flows</w:t>
      </w:r>
      <w:r w:rsidRPr="00CF76E8">
        <w:rPr>
          <w:sz w:val="21"/>
          <w:szCs w:val="21"/>
        </w:rPr>
        <w:tab/>
        <w:t>($ million)</w:t>
      </w:r>
      <w:bookmarkEnd w:id="76"/>
    </w:p>
    <w:tbl>
      <w:tblPr>
        <w:tblStyle w:val="DTFTableNumeric"/>
        <w:tblW w:w="7710" w:type="dxa"/>
        <w:tblLayout w:type="fixed"/>
        <w:tblLook w:val="06A0" w:firstRow="1" w:lastRow="0" w:firstColumn="1" w:lastColumn="0" w:noHBand="1" w:noVBand="1"/>
        <w:tblDescription w:val="Type:DtfTable|Workbook:Rawdata\BudgetUpdate\Budget Update\Financial Statements\SRIMS exports\SRIMS_BU_EFS_OS.xlsx|Table:Other_economic_flows|MergedHeadingRow:1"/>
      </w:tblPr>
      <w:tblGrid>
        <w:gridCol w:w="3864"/>
        <w:gridCol w:w="769"/>
        <w:gridCol w:w="769"/>
        <w:gridCol w:w="769"/>
        <w:gridCol w:w="769"/>
        <w:gridCol w:w="770"/>
      </w:tblGrid>
      <w:tr w:rsidR="009C6724" w14:paraId="4308F758"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64" w:type="dxa"/>
          </w:tcPr>
          <w:p w14:paraId="41CD65EA" w14:textId="77777777" w:rsidR="00AB205D" w:rsidRDefault="00AB205D">
            <w:pPr>
              <w:keepNext/>
            </w:pPr>
          </w:p>
        </w:tc>
        <w:tc>
          <w:tcPr>
            <w:tcW w:w="769" w:type="dxa"/>
          </w:tcPr>
          <w:p w14:paraId="7FCBA476"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budget</w:t>
            </w:r>
          </w:p>
        </w:tc>
        <w:tc>
          <w:tcPr>
            <w:tcW w:w="769" w:type="dxa"/>
          </w:tcPr>
          <w:p w14:paraId="427136A2"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revised</w:t>
            </w:r>
          </w:p>
        </w:tc>
        <w:tc>
          <w:tcPr>
            <w:tcW w:w="769" w:type="dxa"/>
          </w:tcPr>
          <w:p w14:paraId="0C49B0C2"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r>
              <w:br/>
              <w:t>estimate</w:t>
            </w:r>
          </w:p>
        </w:tc>
        <w:tc>
          <w:tcPr>
            <w:tcW w:w="769" w:type="dxa"/>
          </w:tcPr>
          <w:p w14:paraId="020EB608"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70" w:type="dxa"/>
          </w:tcPr>
          <w:p w14:paraId="096A0330"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r>
      <w:tr w:rsidR="009C6724" w14:paraId="7B075799" w14:textId="77777777" w:rsidTr="009C6724">
        <w:tc>
          <w:tcPr>
            <w:cnfStyle w:val="001000000000" w:firstRow="0" w:lastRow="0" w:firstColumn="1" w:lastColumn="0" w:oddVBand="0" w:evenVBand="0" w:oddHBand="0" w:evenHBand="0" w:firstRowFirstColumn="0" w:firstRowLastColumn="0" w:lastRowFirstColumn="0" w:lastRowLastColumn="0"/>
            <w:tcW w:w="3864" w:type="dxa"/>
          </w:tcPr>
          <w:p w14:paraId="4A05D090" w14:textId="77777777" w:rsidR="00AB205D" w:rsidRDefault="00471A3B">
            <w:r>
              <w:t>Net (increase)/decrease in allowances for credit losses</w:t>
            </w:r>
          </w:p>
        </w:tc>
        <w:tc>
          <w:tcPr>
            <w:tcW w:w="769" w:type="dxa"/>
          </w:tcPr>
          <w:p w14:paraId="5C1EFA8E" w14:textId="77777777" w:rsidR="00AB205D" w:rsidRDefault="00471A3B">
            <w:pPr>
              <w:cnfStyle w:val="000000000000" w:firstRow="0" w:lastRow="0" w:firstColumn="0" w:lastColumn="0" w:oddVBand="0" w:evenVBand="0" w:oddHBand="0" w:evenHBand="0" w:firstRowFirstColumn="0" w:firstRowLastColumn="0" w:lastRowFirstColumn="0" w:lastRowLastColumn="0"/>
            </w:pPr>
            <w:r>
              <w:t>(112)</w:t>
            </w:r>
          </w:p>
        </w:tc>
        <w:tc>
          <w:tcPr>
            <w:tcW w:w="769" w:type="dxa"/>
          </w:tcPr>
          <w:p w14:paraId="2B7EF60D" w14:textId="77777777" w:rsidR="00AB205D" w:rsidRDefault="00471A3B">
            <w:pPr>
              <w:cnfStyle w:val="000000000000" w:firstRow="0" w:lastRow="0" w:firstColumn="0" w:lastColumn="0" w:oddVBand="0" w:evenVBand="0" w:oddHBand="0" w:evenHBand="0" w:firstRowFirstColumn="0" w:firstRowLastColumn="0" w:lastRowFirstColumn="0" w:lastRowLastColumn="0"/>
            </w:pPr>
            <w:r>
              <w:t>(112)</w:t>
            </w:r>
          </w:p>
        </w:tc>
        <w:tc>
          <w:tcPr>
            <w:tcW w:w="769" w:type="dxa"/>
          </w:tcPr>
          <w:p w14:paraId="40B209BE" w14:textId="77777777" w:rsidR="00AB205D" w:rsidRDefault="00471A3B">
            <w:pPr>
              <w:cnfStyle w:val="000000000000" w:firstRow="0" w:lastRow="0" w:firstColumn="0" w:lastColumn="0" w:oddVBand="0" w:evenVBand="0" w:oddHBand="0" w:evenHBand="0" w:firstRowFirstColumn="0" w:firstRowLastColumn="0" w:lastRowFirstColumn="0" w:lastRowLastColumn="0"/>
            </w:pPr>
            <w:r>
              <w:t>(94)</w:t>
            </w:r>
          </w:p>
        </w:tc>
        <w:tc>
          <w:tcPr>
            <w:tcW w:w="769" w:type="dxa"/>
          </w:tcPr>
          <w:p w14:paraId="092CA0A2" w14:textId="77777777" w:rsidR="00AB205D" w:rsidRDefault="00471A3B">
            <w:pPr>
              <w:cnfStyle w:val="000000000000" w:firstRow="0" w:lastRow="0" w:firstColumn="0" w:lastColumn="0" w:oddVBand="0" w:evenVBand="0" w:oddHBand="0" w:evenHBand="0" w:firstRowFirstColumn="0" w:firstRowLastColumn="0" w:lastRowFirstColumn="0" w:lastRowLastColumn="0"/>
            </w:pPr>
            <w:r>
              <w:t>(90)</w:t>
            </w:r>
          </w:p>
        </w:tc>
        <w:tc>
          <w:tcPr>
            <w:tcW w:w="770" w:type="dxa"/>
          </w:tcPr>
          <w:p w14:paraId="101B1BD4" w14:textId="77777777" w:rsidR="00AB205D" w:rsidRDefault="00471A3B">
            <w:pPr>
              <w:cnfStyle w:val="000000000000" w:firstRow="0" w:lastRow="0" w:firstColumn="0" w:lastColumn="0" w:oddVBand="0" w:evenVBand="0" w:oddHBand="0" w:evenHBand="0" w:firstRowFirstColumn="0" w:firstRowLastColumn="0" w:lastRowFirstColumn="0" w:lastRowLastColumn="0"/>
            </w:pPr>
            <w:r>
              <w:t>12</w:t>
            </w:r>
          </w:p>
        </w:tc>
      </w:tr>
      <w:tr w:rsidR="009C6724" w14:paraId="702F29DB" w14:textId="77777777" w:rsidTr="009C6724">
        <w:tc>
          <w:tcPr>
            <w:cnfStyle w:val="001000000000" w:firstRow="0" w:lastRow="0" w:firstColumn="1" w:lastColumn="0" w:oddVBand="0" w:evenVBand="0" w:oddHBand="0" w:evenHBand="0" w:firstRowFirstColumn="0" w:firstRowLastColumn="0" w:lastRowFirstColumn="0" w:lastRowLastColumn="0"/>
            <w:tcW w:w="3864" w:type="dxa"/>
          </w:tcPr>
          <w:p w14:paraId="63B882A3" w14:textId="77777777" w:rsidR="00AB205D" w:rsidRDefault="00471A3B">
            <w:r>
              <w:t>Amortisation of intangible non</w:t>
            </w:r>
            <w:r>
              <w:noBreakHyphen/>
              <w:t>produced assets</w:t>
            </w:r>
          </w:p>
        </w:tc>
        <w:tc>
          <w:tcPr>
            <w:tcW w:w="769" w:type="dxa"/>
          </w:tcPr>
          <w:p w14:paraId="3878A35F" w14:textId="77777777" w:rsidR="00AB205D" w:rsidRDefault="00471A3B">
            <w:pPr>
              <w:cnfStyle w:val="000000000000" w:firstRow="0" w:lastRow="0" w:firstColumn="0" w:lastColumn="0" w:oddVBand="0" w:evenVBand="0" w:oddHBand="0" w:evenHBand="0" w:firstRowFirstColumn="0" w:firstRowLastColumn="0" w:lastRowFirstColumn="0" w:lastRowLastColumn="0"/>
            </w:pPr>
            <w:r>
              <w:t>(7)</w:t>
            </w:r>
          </w:p>
        </w:tc>
        <w:tc>
          <w:tcPr>
            <w:tcW w:w="769" w:type="dxa"/>
          </w:tcPr>
          <w:p w14:paraId="07204C88" w14:textId="77777777" w:rsidR="00AB205D" w:rsidRDefault="00471A3B">
            <w:pPr>
              <w:cnfStyle w:val="000000000000" w:firstRow="0" w:lastRow="0" w:firstColumn="0" w:lastColumn="0" w:oddVBand="0" w:evenVBand="0" w:oddHBand="0" w:evenHBand="0" w:firstRowFirstColumn="0" w:firstRowLastColumn="0" w:lastRowFirstColumn="0" w:lastRowLastColumn="0"/>
            </w:pPr>
            <w:r>
              <w:t>(7)</w:t>
            </w:r>
          </w:p>
        </w:tc>
        <w:tc>
          <w:tcPr>
            <w:tcW w:w="769" w:type="dxa"/>
          </w:tcPr>
          <w:p w14:paraId="7D24A8C9" w14:textId="77777777" w:rsidR="00AB205D" w:rsidRDefault="00471A3B">
            <w:pPr>
              <w:cnfStyle w:val="000000000000" w:firstRow="0" w:lastRow="0" w:firstColumn="0" w:lastColumn="0" w:oddVBand="0" w:evenVBand="0" w:oddHBand="0" w:evenHBand="0" w:firstRowFirstColumn="0" w:firstRowLastColumn="0" w:lastRowFirstColumn="0" w:lastRowLastColumn="0"/>
            </w:pPr>
            <w:r>
              <w:t>(7)</w:t>
            </w:r>
          </w:p>
        </w:tc>
        <w:tc>
          <w:tcPr>
            <w:tcW w:w="769" w:type="dxa"/>
          </w:tcPr>
          <w:p w14:paraId="026C2DBF" w14:textId="77777777" w:rsidR="00AB205D" w:rsidRDefault="00471A3B">
            <w:pPr>
              <w:cnfStyle w:val="000000000000" w:firstRow="0" w:lastRow="0" w:firstColumn="0" w:lastColumn="0" w:oddVBand="0" w:evenVBand="0" w:oddHBand="0" w:evenHBand="0" w:firstRowFirstColumn="0" w:firstRowLastColumn="0" w:lastRowFirstColumn="0" w:lastRowLastColumn="0"/>
            </w:pPr>
            <w:r>
              <w:t>(7)</w:t>
            </w:r>
          </w:p>
        </w:tc>
        <w:tc>
          <w:tcPr>
            <w:tcW w:w="770" w:type="dxa"/>
          </w:tcPr>
          <w:p w14:paraId="0B239C48" w14:textId="77777777" w:rsidR="00AB205D" w:rsidRDefault="00471A3B">
            <w:pPr>
              <w:cnfStyle w:val="000000000000" w:firstRow="0" w:lastRow="0" w:firstColumn="0" w:lastColumn="0" w:oddVBand="0" w:evenVBand="0" w:oddHBand="0" w:evenHBand="0" w:firstRowFirstColumn="0" w:firstRowLastColumn="0" w:lastRowFirstColumn="0" w:lastRowLastColumn="0"/>
            </w:pPr>
            <w:r>
              <w:t>(7)</w:t>
            </w:r>
          </w:p>
        </w:tc>
      </w:tr>
      <w:tr w:rsidR="009C6724" w14:paraId="236F18E3" w14:textId="77777777" w:rsidTr="009C6724">
        <w:tc>
          <w:tcPr>
            <w:cnfStyle w:val="001000000000" w:firstRow="0" w:lastRow="0" w:firstColumn="1" w:lastColumn="0" w:oddVBand="0" w:evenVBand="0" w:oddHBand="0" w:evenHBand="0" w:firstRowFirstColumn="0" w:firstRowLastColumn="0" w:lastRowFirstColumn="0" w:lastRowLastColumn="0"/>
            <w:tcW w:w="3864" w:type="dxa"/>
          </w:tcPr>
          <w:p w14:paraId="5C65B421" w14:textId="77777777" w:rsidR="00AB205D" w:rsidRDefault="00471A3B">
            <w:r>
              <w:t>Bad debts written off</w:t>
            </w:r>
          </w:p>
        </w:tc>
        <w:tc>
          <w:tcPr>
            <w:tcW w:w="769" w:type="dxa"/>
          </w:tcPr>
          <w:p w14:paraId="44BC312D" w14:textId="77777777" w:rsidR="00AB205D" w:rsidRDefault="00471A3B">
            <w:pPr>
              <w:cnfStyle w:val="000000000000" w:firstRow="0" w:lastRow="0" w:firstColumn="0" w:lastColumn="0" w:oddVBand="0" w:evenVBand="0" w:oddHBand="0" w:evenHBand="0" w:firstRowFirstColumn="0" w:firstRowLastColumn="0" w:lastRowFirstColumn="0" w:lastRowLastColumn="0"/>
            </w:pPr>
            <w:r>
              <w:t>(335)</w:t>
            </w:r>
          </w:p>
        </w:tc>
        <w:tc>
          <w:tcPr>
            <w:tcW w:w="769" w:type="dxa"/>
          </w:tcPr>
          <w:p w14:paraId="02B7675D" w14:textId="77777777" w:rsidR="00AB205D" w:rsidRDefault="00471A3B">
            <w:pPr>
              <w:cnfStyle w:val="000000000000" w:firstRow="0" w:lastRow="0" w:firstColumn="0" w:lastColumn="0" w:oddVBand="0" w:evenVBand="0" w:oddHBand="0" w:evenHBand="0" w:firstRowFirstColumn="0" w:firstRowLastColumn="0" w:lastRowFirstColumn="0" w:lastRowLastColumn="0"/>
            </w:pPr>
            <w:r>
              <w:t>(335)</w:t>
            </w:r>
          </w:p>
        </w:tc>
        <w:tc>
          <w:tcPr>
            <w:tcW w:w="769" w:type="dxa"/>
          </w:tcPr>
          <w:p w14:paraId="5105105C" w14:textId="77777777" w:rsidR="00AB205D" w:rsidRDefault="00471A3B">
            <w:pPr>
              <w:cnfStyle w:val="000000000000" w:firstRow="0" w:lastRow="0" w:firstColumn="0" w:lastColumn="0" w:oddVBand="0" w:evenVBand="0" w:oddHBand="0" w:evenHBand="0" w:firstRowFirstColumn="0" w:firstRowLastColumn="0" w:lastRowFirstColumn="0" w:lastRowLastColumn="0"/>
            </w:pPr>
            <w:r>
              <w:t>(322)</w:t>
            </w:r>
          </w:p>
        </w:tc>
        <w:tc>
          <w:tcPr>
            <w:tcW w:w="769" w:type="dxa"/>
          </w:tcPr>
          <w:p w14:paraId="4A516E65" w14:textId="77777777" w:rsidR="00AB205D" w:rsidRDefault="00471A3B">
            <w:pPr>
              <w:cnfStyle w:val="000000000000" w:firstRow="0" w:lastRow="0" w:firstColumn="0" w:lastColumn="0" w:oddVBand="0" w:evenVBand="0" w:oddHBand="0" w:evenHBand="0" w:firstRowFirstColumn="0" w:firstRowLastColumn="0" w:lastRowFirstColumn="0" w:lastRowLastColumn="0"/>
            </w:pPr>
            <w:r>
              <w:t>(288)</w:t>
            </w:r>
          </w:p>
        </w:tc>
        <w:tc>
          <w:tcPr>
            <w:tcW w:w="770" w:type="dxa"/>
          </w:tcPr>
          <w:p w14:paraId="3104E26C" w14:textId="77777777" w:rsidR="00AB205D" w:rsidRDefault="00471A3B">
            <w:pPr>
              <w:cnfStyle w:val="000000000000" w:firstRow="0" w:lastRow="0" w:firstColumn="0" w:lastColumn="0" w:oddVBand="0" w:evenVBand="0" w:oddHBand="0" w:evenHBand="0" w:firstRowFirstColumn="0" w:firstRowLastColumn="0" w:lastRowFirstColumn="0" w:lastRowLastColumn="0"/>
            </w:pPr>
            <w:r>
              <w:t>(390)</w:t>
            </w:r>
          </w:p>
        </w:tc>
      </w:tr>
      <w:tr w:rsidR="009C6724" w14:paraId="48B0C4BD" w14:textId="77777777" w:rsidTr="009C6724">
        <w:tc>
          <w:tcPr>
            <w:cnfStyle w:val="001000000000" w:firstRow="0" w:lastRow="0" w:firstColumn="1" w:lastColumn="0" w:oddVBand="0" w:evenVBand="0" w:oddHBand="0" w:evenHBand="0" w:firstRowFirstColumn="0" w:firstRowLastColumn="0" w:lastRowFirstColumn="0" w:lastRowLastColumn="0"/>
            <w:tcW w:w="3864" w:type="dxa"/>
            <w:tcBorders>
              <w:bottom w:val="single" w:sz="6" w:space="0" w:color="auto"/>
            </w:tcBorders>
          </w:tcPr>
          <w:p w14:paraId="781A7329" w14:textId="77777777" w:rsidR="00AB205D" w:rsidRDefault="00471A3B">
            <w:r>
              <w:t>Other gains/(losses)</w:t>
            </w:r>
          </w:p>
        </w:tc>
        <w:tc>
          <w:tcPr>
            <w:tcW w:w="769" w:type="dxa"/>
            <w:tcBorders>
              <w:bottom w:val="single" w:sz="6" w:space="0" w:color="auto"/>
            </w:tcBorders>
          </w:tcPr>
          <w:p w14:paraId="29C0DCAA" w14:textId="77777777" w:rsidR="00AB205D" w:rsidRDefault="00471A3B">
            <w:pPr>
              <w:cnfStyle w:val="000000000000" w:firstRow="0" w:lastRow="0" w:firstColumn="0" w:lastColumn="0" w:oddVBand="0" w:evenVBand="0" w:oddHBand="0" w:evenHBand="0" w:firstRowFirstColumn="0" w:firstRowLastColumn="0" w:lastRowFirstColumn="0" w:lastRowLastColumn="0"/>
            </w:pPr>
            <w:r>
              <w:t>(20)</w:t>
            </w:r>
          </w:p>
        </w:tc>
        <w:tc>
          <w:tcPr>
            <w:tcW w:w="769" w:type="dxa"/>
            <w:tcBorders>
              <w:bottom w:val="single" w:sz="6" w:space="0" w:color="auto"/>
            </w:tcBorders>
          </w:tcPr>
          <w:p w14:paraId="66DE2778" w14:textId="77777777" w:rsidR="00AB205D" w:rsidRDefault="00471A3B">
            <w:pPr>
              <w:cnfStyle w:val="000000000000" w:firstRow="0" w:lastRow="0" w:firstColumn="0" w:lastColumn="0" w:oddVBand="0" w:evenVBand="0" w:oddHBand="0" w:evenHBand="0" w:firstRowFirstColumn="0" w:firstRowLastColumn="0" w:lastRowFirstColumn="0" w:lastRowLastColumn="0"/>
            </w:pPr>
            <w:r>
              <w:t>(166)</w:t>
            </w:r>
          </w:p>
        </w:tc>
        <w:tc>
          <w:tcPr>
            <w:tcW w:w="769" w:type="dxa"/>
            <w:tcBorders>
              <w:bottom w:val="single" w:sz="6" w:space="0" w:color="auto"/>
            </w:tcBorders>
          </w:tcPr>
          <w:p w14:paraId="739D0BE5" w14:textId="77777777" w:rsidR="00AB205D" w:rsidRDefault="00471A3B">
            <w:pPr>
              <w:cnfStyle w:val="000000000000" w:firstRow="0" w:lastRow="0" w:firstColumn="0" w:lastColumn="0" w:oddVBand="0" w:evenVBand="0" w:oddHBand="0" w:evenHBand="0" w:firstRowFirstColumn="0" w:firstRowLastColumn="0" w:lastRowFirstColumn="0" w:lastRowLastColumn="0"/>
            </w:pPr>
            <w:r>
              <w:t>(24)</w:t>
            </w:r>
          </w:p>
        </w:tc>
        <w:tc>
          <w:tcPr>
            <w:tcW w:w="769" w:type="dxa"/>
            <w:tcBorders>
              <w:bottom w:val="single" w:sz="6" w:space="0" w:color="auto"/>
            </w:tcBorders>
          </w:tcPr>
          <w:p w14:paraId="6ADE4035" w14:textId="77777777" w:rsidR="00AB205D" w:rsidRDefault="00471A3B">
            <w:pPr>
              <w:cnfStyle w:val="000000000000" w:firstRow="0" w:lastRow="0" w:firstColumn="0" w:lastColumn="0" w:oddVBand="0" w:evenVBand="0" w:oddHBand="0" w:evenHBand="0" w:firstRowFirstColumn="0" w:firstRowLastColumn="0" w:lastRowFirstColumn="0" w:lastRowLastColumn="0"/>
            </w:pPr>
            <w:r>
              <w:t>(27)</w:t>
            </w:r>
          </w:p>
        </w:tc>
        <w:tc>
          <w:tcPr>
            <w:tcW w:w="770" w:type="dxa"/>
            <w:tcBorders>
              <w:bottom w:val="single" w:sz="6" w:space="0" w:color="auto"/>
            </w:tcBorders>
          </w:tcPr>
          <w:p w14:paraId="6B52205F" w14:textId="77777777" w:rsidR="00AB205D" w:rsidRDefault="00471A3B">
            <w:pPr>
              <w:cnfStyle w:val="000000000000" w:firstRow="0" w:lastRow="0" w:firstColumn="0" w:lastColumn="0" w:oddVBand="0" w:evenVBand="0" w:oddHBand="0" w:evenHBand="0" w:firstRowFirstColumn="0" w:firstRowLastColumn="0" w:lastRowFirstColumn="0" w:lastRowLastColumn="0"/>
            </w:pPr>
            <w:r>
              <w:t>(63)</w:t>
            </w:r>
          </w:p>
        </w:tc>
      </w:tr>
      <w:tr w:rsidR="009C6724" w14:paraId="368E3A0D" w14:textId="77777777" w:rsidTr="009C6724">
        <w:tc>
          <w:tcPr>
            <w:cnfStyle w:val="001000000000" w:firstRow="0" w:lastRow="0" w:firstColumn="1" w:lastColumn="0" w:oddVBand="0" w:evenVBand="0" w:oddHBand="0" w:evenHBand="0" w:firstRowFirstColumn="0" w:firstRowLastColumn="0" w:lastRowFirstColumn="0" w:lastRowLastColumn="0"/>
            <w:tcW w:w="3864" w:type="dxa"/>
            <w:tcBorders>
              <w:top w:val="single" w:sz="6" w:space="0" w:color="auto"/>
              <w:bottom w:val="single" w:sz="12" w:space="0" w:color="auto"/>
            </w:tcBorders>
          </w:tcPr>
          <w:p w14:paraId="4078539D" w14:textId="77777777" w:rsidR="00AB205D" w:rsidRDefault="00471A3B">
            <w:r>
              <w:rPr>
                <w:b/>
              </w:rPr>
              <w:t>Total other gains/(losses) from other economic flows</w:t>
            </w:r>
          </w:p>
        </w:tc>
        <w:tc>
          <w:tcPr>
            <w:tcW w:w="769" w:type="dxa"/>
            <w:tcBorders>
              <w:top w:val="single" w:sz="6" w:space="0" w:color="auto"/>
              <w:bottom w:val="single" w:sz="12" w:space="0" w:color="auto"/>
            </w:tcBorders>
          </w:tcPr>
          <w:p w14:paraId="632C766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(473)</w:t>
            </w:r>
          </w:p>
        </w:tc>
        <w:tc>
          <w:tcPr>
            <w:tcW w:w="769" w:type="dxa"/>
            <w:tcBorders>
              <w:top w:val="single" w:sz="6" w:space="0" w:color="auto"/>
              <w:bottom w:val="single" w:sz="12" w:space="0" w:color="auto"/>
            </w:tcBorders>
          </w:tcPr>
          <w:p w14:paraId="3BC7AC2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(620)</w:t>
            </w:r>
          </w:p>
        </w:tc>
        <w:tc>
          <w:tcPr>
            <w:tcW w:w="769" w:type="dxa"/>
            <w:tcBorders>
              <w:top w:val="single" w:sz="6" w:space="0" w:color="auto"/>
              <w:bottom w:val="single" w:sz="12" w:space="0" w:color="auto"/>
            </w:tcBorders>
          </w:tcPr>
          <w:p w14:paraId="76253B3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(446)</w:t>
            </w:r>
          </w:p>
        </w:tc>
        <w:tc>
          <w:tcPr>
            <w:tcW w:w="769" w:type="dxa"/>
            <w:tcBorders>
              <w:top w:val="single" w:sz="6" w:space="0" w:color="auto"/>
              <w:bottom w:val="single" w:sz="12" w:space="0" w:color="auto"/>
            </w:tcBorders>
          </w:tcPr>
          <w:p w14:paraId="0D5DE3B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(411)</w:t>
            </w:r>
          </w:p>
        </w:tc>
        <w:tc>
          <w:tcPr>
            <w:tcW w:w="770" w:type="dxa"/>
            <w:tcBorders>
              <w:top w:val="single" w:sz="6" w:space="0" w:color="auto"/>
              <w:bottom w:val="single" w:sz="12" w:space="0" w:color="auto"/>
            </w:tcBorders>
          </w:tcPr>
          <w:p w14:paraId="65F657A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(447)</w:t>
            </w:r>
          </w:p>
        </w:tc>
      </w:tr>
    </w:tbl>
    <w:p w14:paraId="0955D307" w14:textId="77777777" w:rsidR="00AB205D" w:rsidRDefault="00AB205D"/>
    <w:p w14:paraId="3C8D5FE7" w14:textId="77777777" w:rsidR="00AB205D" w:rsidRDefault="00AB205D"/>
    <w:p w14:paraId="16A4E8C7" w14:textId="77777777" w:rsidR="00AB205D" w:rsidRPr="00F84EE1" w:rsidRDefault="00471A3B">
      <w:pPr>
        <w:pStyle w:val="Heading3"/>
        <w:pageBreakBefore/>
      </w:pPr>
      <w:bookmarkStart w:id="77" w:name="_Toc496606683"/>
      <w:bookmarkStart w:id="78" w:name="_Toc149221098"/>
      <w:r w:rsidRPr="00F84EE1">
        <w:lastRenderedPageBreak/>
        <w:t xml:space="preserve">Reconciliation </w:t>
      </w:r>
      <w:r>
        <w:t>of</w:t>
      </w:r>
      <w:r w:rsidRPr="00F84EE1">
        <w:t xml:space="preserve"> Government Finance Statistics and Australian Accounting Standards</w:t>
      </w:r>
      <w:bookmarkEnd w:id="77"/>
      <w:bookmarkEnd w:id="78"/>
    </w:p>
    <w:p w14:paraId="4F82D530" w14:textId="77777777" w:rsidR="00AB205D" w:rsidRDefault="00471A3B">
      <w:r>
        <w:t>The estimated financial statements</w:t>
      </w:r>
      <w:r w:rsidRPr="00563C12">
        <w:t xml:space="preserve"> </w:t>
      </w:r>
      <w:r>
        <w:t xml:space="preserve">have </w:t>
      </w:r>
      <w:r w:rsidRPr="00563C12">
        <w:t>been prepared on the basis of relevant AAS</w:t>
      </w:r>
      <w:r>
        <w:t>s</w:t>
      </w:r>
      <w:r w:rsidRPr="00563C12">
        <w:t>. This note outlines the key converge</w:t>
      </w:r>
      <w:r>
        <w:t>nce</w:t>
      </w:r>
      <w:r w:rsidRPr="00563C12">
        <w:t xml:space="preserve"> differences between the AAS and GFS reporting frameworks, to explain the relationship between the balances and aggregates presented in this financial report and the related balances and aggregates presented under the GFS reporting framework. </w:t>
      </w:r>
    </w:p>
    <w:p w14:paraId="6939636F" w14:textId="77777777" w:rsidR="00AB205D" w:rsidRDefault="00471A3B">
      <w:r>
        <w:t>GFS information enables policymakers and analysts to study developments in the financial operations, financial position and liquidity situation of governments based on consistent economic reporting rules and definitions.</w:t>
      </w:r>
    </w:p>
    <w:p w14:paraId="59A880B9" w14:textId="77777777" w:rsidR="00AB205D" w:rsidRDefault="00471A3B">
      <w:r>
        <w:t xml:space="preserve">AASB 1049 provides optional relief from the disclosure of reconciliations of key fiscal aggregates measured in accordance with the GFS where they differ from the key fiscal aggregates provided pursuant to this accounting standard. </w:t>
      </w:r>
    </w:p>
    <w:p w14:paraId="305F2C86" w14:textId="77777777" w:rsidR="00AB205D" w:rsidRDefault="00471A3B">
      <w:r>
        <w:t xml:space="preserve">The State has adopted the optional relief, which requires an explanation of how each of the key fiscal aggregates required by AASB 1049 are calculated and how it differs from the corresponding key fiscal aggregate measured in accordance with the ABS GFS. </w:t>
      </w:r>
    </w:p>
    <w:p w14:paraId="4E3BD90F" w14:textId="77777777" w:rsidR="00AB205D" w:rsidRDefault="00471A3B">
      <w:r>
        <w:t>The key fiscal aggregates below, as defined by AASB 1049, have convergence differences with the GFS:</w:t>
      </w:r>
    </w:p>
    <w:p w14:paraId="6903001E" w14:textId="77777777" w:rsidR="00AB205D" w:rsidRDefault="00471A3B">
      <w:pPr>
        <w:pStyle w:val="ListBullet"/>
      </w:pPr>
      <w:r w:rsidRPr="000070F7">
        <w:rPr>
          <w:b/>
          <w:bCs/>
        </w:rPr>
        <w:t>Cash surplus/deficit</w:t>
      </w:r>
      <w:r>
        <w:t xml:space="preserve"> represents the net cash flows from operating activities plus the net cash flows from investments in non</w:t>
      </w:r>
      <w:r>
        <w:noBreakHyphen/>
        <w:t>financial assets (less dividends paid only for the PNFC and PFC sectors).</w:t>
      </w:r>
    </w:p>
    <w:p w14:paraId="33287FC7" w14:textId="77777777" w:rsidR="00AB205D" w:rsidRDefault="00471A3B">
      <w:pPr>
        <w:pStyle w:val="ListBullet"/>
      </w:pPr>
      <w:r w:rsidRPr="000070F7">
        <w:rPr>
          <w:b/>
          <w:bCs/>
        </w:rPr>
        <w:t>Comprehensive result – total change in net worth</w:t>
      </w:r>
      <w:r>
        <w:t xml:space="preserve"> is the amount included in the operating statement representing the total change in net worth other than transactions with owners as owners.</w:t>
      </w:r>
    </w:p>
    <w:p w14:paraId="33BAB8F4" w14:textId="77777777" w:rsidR="00AB205D" w:rsidRDefault="00471A3B">
      <w:pPr>
        <w:pStyle w:val="ListBullet"/>
      </w:pPr>
      <w:r w:rsidRPr="000070F7">
        <w:rPr>
          <w:b/>
          <w:bCs/>
        </w:rPr>
        <w:t>Net lending/borrowing</w:t>
      </w:r>
      <w:r>
        <w:t xml:space="preserve"> is the financing requirement of government, calculated as the net operating balance less the net acquisition of non</w:t>
      </w:r>
      <w:r>
        <w:noBreakHyphen/>
        <w:t>financial assets. It also equals transactions in financial assets less transactions in liabilities. A positive result reflects a net lending position and a negative result reflects a net borrowing position.</w:t>
      </w:r>
    </w:p>
    <w:p w14:paraId="1D56434E" w14:textId="77777777" w:rsidR="00AB205D" w:rsidRDefault="00471A3B">
      <w:pPr>
        <w:pStyle w:val="ListBullet"/>
      </w:pPr>
      <w:r w:rsidRPr="000070F7">
        <w:rPr>
          <w:b/>
          <w:bCs/>
        </w:rPr>
        <w:t>Net result from transactions – net operating balance</w:t>
      </w:r>
      <w:r>
        <w:t xml:space="preserve"> is revenue from transactions minus expenses from transactions. It is a summary measure of the ongoing sustainability of operations. It excludes gains and losses resulting from changes in price levels and other changes in the volume of assets. It is the component of the change in net worth that is due to transactions and can be attributed directly to government policies.</w:t>
      </w:r>
    </w:p>
    <w:p w14:paraId="1160D8F0" w14:textId="77777777" w:rsidR="00AB205D" w:rsidRDefault="00471A3B">
      <w:pPr>
        <w:pStyle w:val="ListBullet"/>
      </w:pPr>
      <w:r w:rsidRPr="000070F7">
        <w:rPr>
          <w:b/>
          <w:bCs/>
        </w:rPr>
        <w:t>Net worth</w:t>
      </w:r>
      <w:r>
        <w:t xml:space="preserve"> is calculated as assets less liabilities, which is an economic measure of wealth.</w:t>
      </w:r>
    </w:p>
    <w:p w14:paraId="4B6F1B3F" w14:textId="77777777" w:rsidR="00AB205D" w:rsidRDefault="00AB205D"/>
    <w:p w14:paraId="0075123D" w14:textId="77777777" w:rsidR="00AB205D" w:rsidRDefault="00471A3B">
      <w:pPr>
        <w:pageBreakBefore/>
        <w:spacing w:after="240"/>
      </w:pPr>
      <w:r>
        <w:lastRenderedPageBreak/>
        <w:t>The convergence differences between AASB 1049 and the GFS and their expected impacts applying GFS methodology are outlined in the following table.</w:t>
      </w:r>
    </w:p>
    <w:tbl>
      <w:tblPr>
        <w:tblStyle w:val="DTFTableText"/>
        <w:tblW w:w="0" w:type="auto"/>
        <w:tblLook w:val="06A0" w:firstRow="1" w:lastRow="0" w:firstColumn="1" w:lastColumn="0" w:noHBand="1" w:noVBand="1"/>
      </w:tblPr>
      <w:tblGrid>
        <w:gridCol w:w="1170"/>
        <w:gridCol w:w="2070"/>
        <w:gridCol w:w="2005"/>
        <w:gridCol w:w="2466"/>
      </w:tblGrid>
      <w:tr w:rsidR="009C6724" w:rsidRPr="00187E82" w14:paraId="565A49FC"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70" w:type="dxa"/>
          </w:tcPr>
          <w:p w14:paraId="2649532D" w14:textId="77777777" w:rsidR="00AB205D" w:rsidRPr="00FA005E" w:rsidRDefault="00471A3B">
            <w:pPr>
              <w:rPr>
                <w:b w:val="0"/>
                <w:bCs/>
                <w:sz w:val="18"/>
                <w:szCs w:val="18"/>
                <w:lang w:eastAsia="en-AU"/>
              </w:rPr>
            </w:pPr>
            <w:r w:rsidRPr="00FA005E">
              <w:rPr>
                <w:b w:val="0"/>
                <w:bCs/>
                <w:sz w:val="18"/>
                <w:szCs w:val="18"/>
                <w:lang w:eastAsia="en-AU"/>
              </w:rPr>
              <w:t>Convergence difference</w:t>
            </w:r>
          </w:p>
        </w:tc>
        <w:tc>
          <w:tcPr>
            <w:tcW w:w="2070" w:type="dxa"/>
          </w:tcPr>
          <w:p w14:paraId="6608B4D9" w14:textId="77777777" w:rsidR="00AB205D" w:rsidRPr="00EE193E" w:rsidRDefault="00471A3B">
            <w:pPr>
              <w:cnfStyle w:val="100000000000" w:firstRow="1" w:lastRow="0" w:firstColumn="0" w:lastColumn="0" w:oddVBand="0" w:evenVBand="0" w:oddHBand="0" w:evenHBand="0" w:firstRowFirstColumn="0" w:firstRowLastColumn="0" w:lastRowFirstColumn="0" w:lastRowLastColumn="0"/>
              <w:rPr>
                <w:sz w:val="18"/>
                <w:szCs w:val="18"/>
                <w:lang w:eastAsia="en-AU"/>
              </w:rPr>
            </w:pPr>
            <w:r w:rsidRPr="00EE193E">
              <w:rPr>
                <w:sz w:val="18"/>
                <w:szCs w:val="18"/>
                <w:lang w:eastAsia="en-AU"/>
              </w:rPr>
              <w:t>AASB 1049 treatment</w:t>
            </w:r>
          </w:p>
        </w:tc>
        <w:tc>
          <w:tcPr>
            <w:tcW w:w="2005" w:type="dxa"/>
          </w:tcPr>
          <w:p w14:paraId="770EC374" w14:textId="77777777" w:rsidR="00AB205D" w:rsidRPr="00EE193E" w:rsidRDefault="00471A3B">
            <w:pPr>
              <w:cnfStyle w:val="100000000000" w:firstRow="1" w:lastRow="0" w:firstColumn="0" w:lastColumn="0" w:oddVBand="0" w:evenVBand="0" w:oddHBand="0" w:evenHBand="0" w:firstRowFirstColumn="0" w:firstRowLastColumn="0" w:lastRowFirstColumn="0" w:lastRowLastColumn="0"/>
              <w:rPr>
                <w:sz w:val="18"/>
                <w:szCs w:val="18"/>
                <w:lang w:eastAsia="en-AU"/>
              </w:rPr>
            </w:pPr>
            <w:r w:rsidRPr="00EE193E">
              <w:rPr>
                <w:sz w:val="18"/>
                <w:szCs w:val="18"/>
                <w:lang w:eastAsia="en-AU"/>
              </w:rPr>
              <w:t>ABS GFS treatment</w:t>
            </w:r>
          </w:p>
        </w:tc>
        <w:tc>
          <w:tcPr>
            <w:tcW w:w="2466" w:type="dxa"/>
          </w:tcPr>
          <w:p w14:paraId="0C6D40C4" w14:textId="77777777" w:rsidR="00AB205D" w:rsidRPr="00EE193E" w:rsidRDefault="00471A3B">
            <w:pPr>
              <w:cnfStyle w:val="100000000000" w:firstRow="1" w:lastRow="0" w:firstColumn="0" w:lastColumn="0" w:oddVBand="0" w:evenVBand="0" w:oddHBand="0" w:evenHBand="0" w:firstRowFirstColumn="0" w:firstRowLastColumn="0" w:lastRowFirstColumn="0" w:lastRowLastColumn="0"/>
              <w:rPr>
                <w:sz w:val="18"/>
                <w:szCs w:val="18"/>
                <w:lang w:eastAsia="en-AU"/>
              </w:rPr>
            </w:pPr>
            <w:r w:rsidRPr="00EE193E">
              <w:rPr>
                <w:sz w:val="18"/>
                <w:szCs w:val="18"/>
                <w:lang w:eastAsia="en-AU"/>
              </w:rPr>
              <w:t>Fiscal aggregate impact</w:t>
            </w:r>
          </w:p>
        </w:tc>
      </w:tr>
      <w:tr w:rsidR="009C6724" w:rsidRPr="00187E82" w14:paraId="6FB3F22C" w14:textId="77777777" w:rsidTr="009C6724">
        <w:tc>
          <w:tcPr>
            <w:cnfStyle w:val="001000000000" w:firstRow="0" w:lastRow="0" w:firstColumn="1" w:lastColumn="0" w:oddVBand="0" w:evenVBand="0" w:oddHBand="0" w:evenHBand="0" w:firstRowFirstColumn="0" w:firstRowLastColumn="0" w:lastRowFirstColumn="0" w:lastRowLastColumn="0"/>
            <w:tcW w:w="0" w:type="auto"/>
            <w:gridSpan w:val="4"/>
            <w:tcBorders>
              <w:bottom w:val="nil"/>
            </w:tcBorders>
            <w:shd w:val="clear" w:color="auto" w:fill="D9D9D9" w:themeFill="background1" w:themeFillShade="D9"/>
          </w:tcPr>
          <w:p w14:paraId="60D53DE2" w14:textId="77777777" w:rsidR="00AB205D" w:rsidRPr="00EE193E" w:rsidRDefault="00471A3B">
            <w:pPr>
              <w:rPr>
                <w:sz w:val="18"/>
                <w:szCs w:val="18"/>
                <w:lang w:eastAsia="en-AU"/>
              </w:rPr>
            </w:pPr>
            <w:r w:rsidRPr="00EE193E">
              <w:rPr>
                <w:bCs/>
                <w:sz w:val="18"/>
                <w:szCs w:val="18"/>
                <w:lang w:eastAsia="en-AU"/>
              </w:rPr>
              <w:t xml:space="preserve">AASB 16 </w:t>
            </w:r>
            <w:r w:rsidRPr="005C44D8">
              <w:rPr>
                <w:bCs/>
                <w:i/>
                <w:iCs/>
                <w:sz w:val="18"/>
                <w:szCs w:val="18"/>
                <w:lang w:eastAsia="en-AU"/>
              </w:rPr>
              <w:t>Leases</w:t>
            </w:r>
          </w:p>
        </w:tc>
      </w:tr>
      <w:tr w:rsidR="009C6724" w:rsidRPr="00187E82" w14:paraId="589CB9A8" w14:textId="77777777" w:rsidTr="009C6724">
        <w:tc>
          <w:tcPr>
            <w:cnfStyle w:val="001000000000" w:firstRow="0" w:lastRow="0" w:firstColumn="1" w:lastColumn="0" w:oddVBand="0" w:evenVBand="0" w:oddHBand="0" w:evenHBand="0" w:firstRowFirstColumn="0" w:firstRowLastColumn="0" w:lastRowFirstColumn="0" w:lastRowLastColumn="0"/>
            <w:tcW w:w="1170" w:type="dxa"/>
            <w:tcBorders>
              <w:top w:val="nil"/>
              <w:bottom w:val="nil"/>
            </w:tcBorders>
          </w:tcPr>
          <w:p w14:paraId="655E717A" w14:textId="77777777" w:rsidR="00AB205D" w:rsidRPr="00EE193E" w:rsidRDefault="00AB205D">
            <w:pPr>
              <w:rPr>
                <w:sz w:val="18"/>
                <w:szCs w:val="18"/>
                <w:lang w:eastAsia="en-AU"/>
              </w:rPr>
            </w:pPr>
          </w:p>
        </w:tc>
        <w:tc>
          <w:tcPr>
            <w:tcW w:w="2070" w:type="dxa"/>
            <w:tcBorders>
              <w:top w:val="nil"/>
              <w:bottom w:val="nil"/>
            </w:tcBorders>
          </w:tcPr>
          <w:p w14:paraId="733439F2" w14:textId="77777777" w:rsidR="00AB205D" w:rsidRPr="00EE193E" w:rsidRDefault="00471A3B">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EE193E">
              <w:rPr>
                <w:sz w:val="18"/>
                <w:szCs w:val="18"/>
                <w:lang w:eastAsia="en-AU"/>
              </w:rPr>
              <w:t xml:space="preserve">Operating leases are recognised on the balance sheet under AASB 16 </w:t>
            </w:r>
            <w:r w:rsidRPr="00EE193E">
              <w:rPr>
                <w:i/>
                <w:iCs/>
                <w:sz w:val="18"/>
                <w:szCs w:val="18"/>
                <w:lang w:eastAsia="en-AU"/>
              </w:rPr>
              <w:t>Leases</w:t>
            </w:r>
            <w:r w:rsidRPr="00EE193E">
              <w:rPr>
                <w:sz w:val="18"/>
                <w:szCs w:val="18"/>
                <w:lang w:eastAsia="en-AU"/>
              </w:rPr>
              <w:t xml:space="preserve"> unless the lease is shorter than 12 months or where the underlying assets are worth less than $10 000.</w:t>
            </w:r>
          </w:p>
        </w:tc>
        <w:tc>
          <w:tcPr>
            <w:tcW w:w="2005" w:type="dxa"/>
            <w:tcBorders>
              <w:top w:val="nil"/>
              <w:bottom w:val="nil"/>
            </w:tcBorders>
          </w:tcPr>
          <w:p w14:paraId="359FF6F2" w14:textId="77777777" w:rsidR="00AB205D" w:rsidRPr="00EE193E" w:rsidRDefault="00471A3B">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EE193E">
              <w:rPr>
                <w:sz w:val="18"/>
                <w:szCs w:val="18"/>
                <w:lang w:eastAsia="en-AU"/>
              </w:rPr>
              <w:t>Operating leases are not recognised on the balance sheet.</w:t>
            </w:r>
          </w:p>
        </w:tc>
        <w:tc>
          <w:tcPr>
            <w:tcW w:w="2466" w:type="dxa"/>
            <w:tcBorders>
              <w:top w:val="nil"/>
              <w:bottom w:val="nil"/>
            </w:tcBorders>
          </w:tcPr>
          <w:p w14:paraId="54D16978" w14:textId="77777777" w:rsidR="00AB205D" w:rsidRPr="00315D9A" w:rsidRDefault="00471A3B">
            <w:pPr>
              <w:pStyle w:val="ListBullet"/>
              <w:cnfStyle w:val="000000000000" w:firstRow="0" w:lastRow="0" w:firstColumn="0" w:lastColumn="0" w:oddVBand="0" w:evenVBand="0" w:oddHBand="0" w:evenHBand="0" w:firstRowFirstColumn="0" w:firstRowLastColumn="0" w:lastRowFirstColumn="0" w:lastRowLastColumn="0"/>
              <w:rPr>
                <w:sz w:val="18"/>
                <w:szCs w:val="18"/>
                <w:lang w:eastAsia="en-AU"/>
              </w:rPr>
            </w:pPr>
            <w:r w:rsidRPr="00315D9A">
              <w:rPr>
                <w:sz w:val="18"/>
                <w:szCs w:val="18"/>
                <w:lang w:eastAsia="en-AU"/>
              </w:rPr>
              <w:t>Cash surplus/deficit</w:t>
            </w:r>
          </w:p>
          <w:p w14:paraId="00C80C58" w14:textId="75969F8F" w:rsidR="00AB205D" w:rsidRPr="00315D9A" w:rsidRDefault="00471A3B">
            <w:pPr>
              <w:pStyle w:val="ListBullet"/>
              <w:cnfStyle w:val="000000000000" w:firstRow="0" w:lastRow="0" w:firstColumn="0" w:lastColumn="0" w:oddVBand="0" w:evenVBand="0" w:oddHBand="0" w:evenHBand="0" w:firstRowFirstColumn="0" w:firstRowLastColumn="0" w:lastRowFirstColumn="0" w:lastRowLastColumn="0"/>
              <w:rPr>
                <w:sz w:val="18"/>
                <w:szCs w:val="18"/>
                <w:lang w:eastAsia="en-AU"/>
              </w:rPr>
            </w:pPr>
            <w:r w:rsidRPr="00315D9A">
              <w:rPr>
                <w:sz w:val="18"/>
                <w:szCs w:val="18"/>
                <w:lang w:eastAsia="en-AU"/>
              </w:rPr>
              <w:t xml:space="preserve">Comprehensive result – </w:t>
            </w:r>
            <w:r w:rsidR="003F6D78" w:rsidRPr="00315D9A">
              <w:rPr>
                <w:sz w:val="18"/>
                <w:szCs w:val="18"/>
                <w:lang w:eastAsia="en-AU"/>
              </w:rPr>
              <w:t xml:space="preserve">Total </w:t>
            </w:r>
            <w:r w:rsidRPr="00315D9A">
              <w:rPr>
                <w:sz w:val="18"/>
                <w:szCs w:val="18"/>
                <w:lang w:eastAsia="en-AU"/>
              </w:rPr>
              <w:t>change in net worth</w:t>
            </w:r>
          </w:p>
          <w:p w14:paraId="158E4717" w14:textId="77777777" w:rsidR="00AB205D" w:rsidRPr="00315D9A" w:rsidRDefault="00471A3B">
            <w:pPr>
              <w:pStyle w:val="ListBullet"/>
              <w:cnfStyle w:val="000000000000" w:firstRow="0" w:lastRow="0" w:firstColumn="0" w:lastColumn="0" w:oddVBand="0" w:evenVBand="0" w:oddHBand="0" w:evenHBand="0" w:firstRowFirstColumn="0" w:firstRowLastColumn="0" w:lastRowFirstColumn="0" w:lastRowLastColumn="0"/>
              <w:rPr>
                <w:sz w:val="18"/>
                <w:szCs w:val="18"/>
                <w:lang w:eastAsia="en-AU"/>
              </w:rPr>
            </w:pPr>
            <w:r w:rsidRPr="00315D9A">
              <w:rPr>
                <w:sz w:val="18"/>
                <w:szCs w:val="18"/>
                <w:lang w:eastAsia="en-AU"/>
              </w:rPr>
              <w:t xml:space="preserve">Net lending/borrowing </w:t>
            </w:r>
          </w:p>
          <w:p w14:paraId="0E49FCE6" w14:textId="3818F32A" w:rsidR="00AB205D" w:rsidRPr="00315D9A" w:rsidRDefault="00471A3B">
            <w:pPr>
              <w:pStyle w:val="ListBullet"/>
              <w:cnfStyle w:val="000000000000" w:firstRow="0" w:lastRow="0" w:firstColumn="0" w:lastColumn="0" w:oddVBand="0" w:evenVBand="0" w:oddHBand="0" w:evenHBand="0" w:firstRowFirstColumn="0" w:firstRowLastColumn="0" w:lastRowFirstColumn="0" w:lastRowLastColumn="0"/>
              <w:rPr>
                <w:sz w:val="18"/>
                <w:szCs w:val="18"/>
                <w:lang w:eastAsia="en-AU"/>
              </w:rPr>
            </w:pPr>
            <w:r w:rsidRPr="00315D9A">
              <w:rPr>
                <w:sz w:val="18"/>
                <w:szCs w:val="18"/>
                <w:lang w:eastAsia="en-AU"/>
              </w:rPr>
              <w:t xml:space="preserve">Net result from transactions – </w:t>
            </w:r>
            <w:r w:rsidR="003F6D78" w:rsidRPr="00315D9A">
              <w:rPr>
                <w:sz w:val="18"/>
                <w:szCs w:val="18"/>
                <w:lang w:eastAsia="en-AU"/>
              </w:rPr>
              <w:t>Net </w:t>
            </w:r>
            <w:r w:rsidRPr="00315D9A">
              <w:rPr>
                <w:sz w:val="18"/>
                <w:szCs w:val="18"/>
                <w:lang w:eastAsia="en-AU"/>
              </w:rPr>
              <w:t xml:space="preserve">operating balance </w:t>
            </w:r>
          </w:p>
          <w:p w14:paraId="4777C3BB" w14:textId="77777777" w:rsidR="00AB205D" w:rsidRPr="00315D9A" w:rsidRDefault="00471A3B">
            <w:pPr>
              <w:pStyle w:val="ListBullet"/>
              <w:cnfStyle w:val="000000000000" w:firstRow="0" w:lastRow="0" w:firstColumn="0" w:lastColumn="0" w:oddVBand="0" w:evenVBand="0" w:oddHBand="0" w:evenHBand="0" w:firstRowFirstColumn="0" w:firstRowLastColumn="0" w:lastRowFirstColumn="0" w:lastRowLastColumn="0"/>
              <w:rPr>
                <w:sz w:val="18"/>
                <w:szCs w:val="18"/>
                <w:lang w:eastAsia="en-AU"/>
              </w:rPr>
            </w:pPr>
            <w:r w:rsidRPr="00315D9A">
              <w:rPr>
                <w:sz w:val="18"/>
                <w:szCs w:val="18"/>
                <w:lang w:eastAsia="en-AU"/>
              </w:rPr>
              <w:t>Net worth</w:t>
            </w:r>
          </w:p>
        </w:tc>
      </w:tr>
      <w:tr w:rsidR="009C6724" w:rsidRPr="00187E82" w14:paraId="6D1FB930" w14:textId="77777777" w:rsidTr="009C6724">
        <w:tc>
          <w:tcPr>
            <w:cnfStyle w:val="001000000000" w:firstRow="0" w:lastRow="0" w:firstColumn="1" w:lastColumn="0" w:oddVBand="0" w:evenVBand="0" w:oddHBand="0" w:evenHBand="0" w:firstRowFirstColumn="0" w:firstRowLastColumn="0" w:lastRowFirstColumn="0" w:lastRowLastColumn="0"/>
            <w:tcW w:w="0" w:type="auto"/>
            <w:gridSpan w:val="4"/>
            <w:tcBorders>
              <w:bottom w:val="nil"/>
            </w:tcBorders>
            <w:shd w:val="clear" w:color="auto" w:fill="D9D9D9" w:themeFill="background1" w:themeFillShade="D9"/>
          </w:tcPr>
          <w:p w14:paraId="0F8B4697" w14:textId="77777777" w:rsidR="00AB205D" w:rsidRPr="00EE193E" w:rsidRDefault="00471A3B">
            <w:pPr>
              <w:rPr>
                <w:bCs/>
                <w:sz w:val="18"/>
                <w:szCs w:val="18"/>
                <w:lang w:eastAsia="en-AU"/>
              </w:rPr>
            </w:pPr>
            <w:r w:rsidRPr="00EE193E">
              <w:rPr>
                <w:bCs/>
                <w:sz w:val="18"/>
                <w:szCs w:val="18"/>
                <w:lang w:eastAsia="en-AU"/>
              </w:rPr>
              <w:t xml:space="preserve">AASB 1059 </w:t>
            </w:r>
            <w:r w:rsidRPr="005C44D8">
              <w:rPr>
                <w:bCs/>
                <w:i/>
                <w:iCs/>
                <w:sz w:val="18"/>
                <w:szCs w:val="18"/>
                <w:lang w:eastAsia="en-AU"/>
              </w:rPr>
              <w:t>Service concession arrangements</w:t>
            </w:r>
          </w:p>
        </w:tc>
      </w:tr>
      <w:tr w:rsidR="009C6724" w:rsidRPr="00187E82" w14:paraId="3CBEFE56" w14:textId="77777777" w:rsidTr="009C6724">
        <w:tc>
          <w:tcPr>
            <w:cnfStyle w:val="001000000000" w:firstRow="0" w:lastRow="0" w:firstColumn="1" w:lastColumn="0" w:oddVBand="0" w:evenVBand="0" w:oddHBand="0" w:evenHBand="0" w:firstRowFirstColumn="0" w:firstRowLastColumn="0" w:lastRowFirstColumn="0" w:lastRowLastColumn="0"/>
            <w:tcW w:w="1170" w:type="dxa"/>
            <w:tcBorders>
              <w:top w:val="nil"/>
              <w:bottom w:val="nil"/>
            </w:tcBorders>
          </w:tcPr>
          <w:p w14:paraId="75105853" w14:textId="77777777" w:rsidR="00AB205D" w:rsidRPr="00EE193E" w:rsidRDefault="00AB205D">
            <w:pPr>
              <w:rPr>
                <w:sz w:val="18"/>
                <w:szCs w:val="18"/>
                <w:lang w:eastAsia="en-AU"/>
              </w:rPr>
            </w:pPr>
          </w:p>
        </w:tc>
        <w:tc>
          <w:tcPr>
            <w:tcW w:w="2070" w:type="dxa"/>
            <w:tcBorders>
              <w:top w:val="nil"/>
              <w:bottom w:val="nil"/>
            </w:tcBorders>
          </w:tcPr>
          <w:p w14:paraId="0F196BF4" w14:textId="77777777" w:rsidR="00AB205D" w:rsidRPr="00EE193E" w:rsidRDefault="00471A3B">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EE193E">
              <w:rPr>
                <w:sz w:val="18"/>
                <w:szCs w:val="18"/>
                <w:lang w:eastAsia="en-AU"/>
              </w:rPr>
              <w:t xml:space="preserve">Economic service concession arrangements, such as toll roads, are recognised on the State’s balance sheet under AASB 1059 </w:t>
            </w:r>
            <w:r w:rsidRPr="00EE193E">
              <w:rPr>
                <w:i/>
                <w:iCs/>
                <w:sz w:val="18"/>
                <w:szCs w:val="18"/>
                <w:lang w:eastAsia="en-AU"/>
              </w:rPr>
              <w:t>Service Concession Arrangements: Grantors</w:t>
            </w:r>
            <w:r w:rsidRPr="00EE193E">
              <w:rPr>
                <w:sz w:val="18"/>
                <w:szCs w:val="18"/>
                <w:lang w:eastAsia="en-AU"/>
              </w:rPr>
              <w:t>.</w:t>
            </w:r>
          </w:p>
        </w:tc>
        <w:tc>
          <w:tcPr>
            <w:tcW w:w="2005" w:type="dxa"/>
            <w:tcBorders>
              <w:top w:val="nil"/>
              <w:bottom w:val="nil"/>
            </w:tcBorders>
          </w:tcPr>
          <w:p w14:paraId="5D4F3699" w14:textId="77777777" w:rsidR="00AB205D" w:rsidRPr="00EE193E" w:rsidRDefault="00471A3B">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EE193E">
              <w:rPr>
                <w:sz w:val="18"/>
                <w:szCs w:val="18"/>
                <w:lang w:eastAsia="en-AU"/>
              </w:rPr>
              <w:t>Economic service concession arrangements, such as toll roads, are not recognised on the balance sheet.</w:t>
            </w:r>
          </w:p>
        </w:tc>
        <w:tc>
          <w:tcPr>
            <w:tcW w:w="2466" w:type="dxa"/>
            <w:tcBorders>
              <w:top w:val="nil"/>
              <w:bottom w:val="nil"/>
            </w:tcBorders>
          </w:tcPr>
          <w:p w14:paraId="42EE65F2" w14:textId="77777777" w:rsidR="00AB205D" w:rsidRPr="00315D9A" w:rsidRDefault="00471A3B">
            <w:pPr>
              <w:pStyle w:val="ListBullet"/>
              <w:cnfStyle w:val="000000000000" w:firstRow="0" w:lastRow="0" w:firstColumn="0" w:lastColumn="0" w:oddVBand="0" w:evenVBand="0" w:oddHBand="0" w:evenHBand="0" w:firstRowFirstColumn="0" w:firstRowLastColumn="0" w:lastRowFirstColumn="0" w:lastRowLastColumn="0"/>
              <w:rPr>
                <w:sz w:val="18"/>
                <w:szCs w:val="18"/>
                <w:lang w:eastAsia="en-AU"/>
              </w:rPr>
            </w:pPr>
            <w:r w:rsidRPr="00315D9A">
              <w:rPr>
                <w:sz w:val="18"/>
                <w:szCs w:val="18"/>
                <w:lang w:eastAsia="en-AU"/>
              </w:rPr>
              <w:t>Cash surplus/deficit</w:t>
            </w:r>
          </w:p>
          <w:p w14:paraId="4EC9D100" w14:textId="09B50CF6" w:rsidR="00AB205D" w:rsidRPr="00315D9A" w:rsidRDefault="00471A3B">
            <w:pPr>
              <w:pStyle w:val="ListBullet"/>
              <w:cnfStyle w:val="000000000000" w:firstRow="0" w:lastRow="0" w:firstColumn="0" w:lastColumn="0" w:oddVBand="0" w:evenVBand="0" w:oddHBand="0" w:evenHBand="0" w:firstRowFirstColumn="0" w:firstRowLastColumn="0" w:lastRowFirstColumn="0" w:lastRowLastColumn="0"/>
              <w:rPr>
                <w:sz w:val="18"/>
                <w:szCs w:val="18"/>
                <w:lang w:eastAsia="en-AU"/>
              </w:rPr>
            </w:pPr>
            <w:r w:rsidRPr="00315D9A">
              <w:rPr>
                <w:sz w:val="18"/>
                <w:szCs w:val="18"/>
                <w:lang w:eastAsia="en-AU"/>
              </w:rPr>
              <w:t xml:space="preserve">Comprehensive result – </w:t>
            </w:r>
            <w:r w:rsidR="003F6D78" w:rsidRPr="00315D9A">
              <w:rPr>
                <w:sz w:val="18"/>
                <w:szCs w:val="18"/>
                <w:lang w:eastAsia="en-AU"/>
              </w:rPr>
              <w:t xml:space="preserve">Total </w:t>
            </w:r>
            <w:r w:rsidRPr="00315D9A">
              <w:rPr>
                <w:sz w:val="18"/>
                <w:szCs w:val="18"/>
                <w:lang w:eastAsia="en-AU"/>
              </w:rPr>
              <w:t>change in net worth</w:t>
            </w:r>
          </w:p>
          <w:p w14:paraId="2F63CFE8" w14:textId="77777777" w:rsidR="00AB205D" w:rsidRPr="00315D9A" w:rsidRDefault="00471A3B">
            <w:pPr>
              <w:pStyle w:val="ListBullet"/>
              <w:cnfStyle w:val="000000000000" w:firstRow="0" w:lastRow="0" w:firstColumn="0" w:lastColumn="0" w:oddVBand="0" w:evenVBand="0" w:oddHBand="0" w:evenHBand="0" w:firstRowFirstColumn="0" w:firstRowLastColumn="0" w:lastRowFirstColumn="0" w:lastRowLastColumn="0"/>
              <w:rPr>
                <w:b/>
                <w:sz w:val="18"/>
                <w:szCs w:val="18"/>
                <w:lang w:eastAsia="en-AU"/>
              </w:rPr>
            </w:pPr>
            <w:r w:rsidRPr="00315D9A">
              <w:rPr>
                <w:sz w:val="18"/>
                <w:szCs w:val="18"/>
                <w:lang w:eastAsia="en-AU"/>
              </w:rPr>
              <w:t xml:space="preserve">Net lending/borrowing </w:t>
            </w:r>
          </w:p>
          <w:p w14:paraId="232BC822" w14:textId="130CDD9A" w:rsidR="00AB205D" w:rsidRPr="00315D9A" w:rsidRDefault="00471A3B">
            <w:pPr>
              <w:pStyle w:val="ListBullet"/>
              <w:cnfStyle w:val="000000000000" w:firstRow="0" w:lastRow="0" w:firstColumn="0" w:lastColumn="0" w:oddVBand="0" w:evenVBand="0" w:oddHBand="0" w:evenHBand="0" w:firstRowFirstColumn="0" w:firstRowLastColumn="0" w:lastRowFirstColumn="0" w:lastRowLastColumn="0"/>
              <w:rPr>
                <w:sz w:val="18"/>
                <w:szCs w:val="18"/>
                <w:lang w:eastAsia="en-AU"/>
              </w:rPr>
            </w:pPr>
            <w:r w:rsidRPr="00315D9A">
              <w:rPr>
                <w:sz w:val="18"/>
                <w:szCs w:val="18"/>
                <w:lang w:eastAsia="en-AU"/>
              </w:rPr>
              <w:t xml:space="preserve">Net result from transactions – </w:t>
            </w:r>
            <w:r w:rsidR="003F6D78" w:rsidRPr="00315D9A">
              <w:rPr>
                <w:sz w:val="18"/>
                <w:szCs w:val="18"/>
                <w:lang w:eastAsia="en-AU"/>
              </w:rPr>
              <w:t>Net </w:t>
            </w:r>
            <w:r w:rsidRPr="00315D9A">
              <w:rPr>
                <w:sz w:val="18"/>
                <w:szCs w:val="18"/>
                <w:lang w:eastAsia="en-AU"/>
              </w:rPr>
              <w:t xml:space="preserve">operating balance </w:t>
            </w:r>
          </w:p>
          <w:p w14:paraId="61A97373" w14:textId="77777777" w:rsidR="00AB205D" w:rsidRPr="00315D9A" w:rsidRDefault="00471A3B">
            <w:pPr>
              <w:pStyle w:val="ListBullet"/>
              <w:cnfStyle w:val="000000000000" w:firstRow="0" w:lastRow="0" w:firstColumn="0" w:lastColumn="0" w:oddVBand="0" w:evenVBand="0" w:oddHBand="0" w:evenHBand="0" w:firstRowFirstColumn="0" w:firstRowLastColumn="0" w:lastRowFirstColumn="0" w:lastRowLastColumn="0"/>
              <w:rPr>
                <w:b/>
                <w:sz w:val="18"/>
                <w:szCs w:val="18"/>
                <w:lang w:eastAsia="en-AU"/>
              </w:rPr>
            </w:pPr>
            <w:r w:rsidRPr="00315D9A">
              <w:rPr>
                <w:sz w:val="18"/>
                <w:szCs w:val="18"/>
                <w:lang w:eastAsia="en-AU"/>
              </w:rPr>
              <w:t>Net worth</w:t>
            </w:r>
          </w:p>
        </w:tc>
      </w:tr>
      <w:tr w:rsidR="009C6724" w:rsidRPr="00187E82" w14:paraId="78388DB9" w14:textId="77777777" w:rsidTr="009C6724">
        <w:tc>
          <w:tcPr>
            <w:cnfStyle w:val="001000000000" w:firstRow="0" w:lastRow="0" w:firstColumn="1" w:lastColumn="0" w:oddVBand="0" w:evenVBand="0" w:oddHBand="0" w:evenHBand="0" w:firstRowFirstColumn="0" w:firstRowLastColumn="0" w:lastRowFirstColumn="0" w:lastRowLastColumn="0"/>
            <w:tcW w:w="0" w:type="auto"/>
            <w:gridSpan w:val="4"/>
            <w:tcBorders>
              <w:bottom w:val="nil"/>
            </w:tcBorders>
            <w:shd w:val="clear" w:color="auto" w:fill="D9D9D9" w:themeFill="background1" w:themeFillShade="D9"/>
          </w:tcPr>
          <w:p w14:paraId="062FF0E1" w14:textId="77777777" w:rsidR="00AB205D" w:rsidRPr="00EE193E" w:rsidRDefault="00471A3B">
            <w:pPr>
              <w:rPr>
                <w:sz w:val="18"/>
                <w:szCs w:val="18"/>
                <w:lang w:eastAsia="en-AU"/>
              </w:rPr>
            </w:pPr>
            <w:r w:rsidRPr="00EE193E">
              <w:rPr>
                <w:bCs/>
                <w:sz w:val="18"/>
                <w:szCs w:val="18"/>
                <w:lang w:eastAsia="en-AU"/>
              </w:rPr>
              <w:t xml:space="preserve">AASB 15 </w:t>
            </w:r>
            <w:r w:rsidRPr="005C44D8">
              <w:rPr>
                <w:bCs/>
                <w:i/>
                <w:iCs/>
                <w:sz w:val="18"/>
                <w:szCs w:val="18"/>
                <w:lang w:eastAsia="en-AU"/>
              </w:rPr>
              <w:t>Revenue from Contracts with Customers</w:t>
            </w:r>
            <w:r w:rsidRPr="00EE193E">
              <w:rPr>
                <w:bCs/>
                <w:sz w:val="18"/>
                <w:szCs w:val="18"/>
                <w:lang w:eastAsia="en-AU"/>
              </w:rPr>
              <w:t xml:space="preserve"> and AASB 1058 </w:t>
            </w:r>
            <w:r w:rsidRPr="005C44D8">
              <w:rPr>
                <w:bCs/>
                <w:i/>
                <w:iCs/>
                <w:sz w:val="18"/>
                <w:szCs w:val="18"/>
                <w:lang w:eastAsia="en-AU"/>
              </w:rPr>
              <w:t>Income of Not</w:t>
            </w:r>
            <w:r>
              <w:rPr>
                <w:bCs/>
                <w:i/>
                <w:iCs/>
                <w:sz w:val="18"/>
                <w:szCs w:val="18"/>
                <w:lang w:eastAsia="en-AU"/>
              </w:rPr>
              <w:noBreakHyphen/>
            </w:r>
            <w:r w:rsidRPr="005C44D8">
              <w:rPr>
                <w:bCs/>
                <w:i/>
                <w:iCs/>
                <w:sz w:val="18"/>
                <w:szCs w:val="18"/>
                <w:lang w:eastAsia="en-AU"/>
              </w:rPr>
              <w:t>for</w:t>
            </w:r>
            <w:r>
              <w:rPr>
                <w:bCs/>
                <w:i/>
                <w:iCs/>
                <w:sz w:val="18"/>
                <w:szCs w:val="18"/>
                <w:lang w:eastAsia="en-AU"/>
              </w:rPr>
              <w:noBreakHyphen/>
            </w:r>
            <w:r w:rsidRPr="005C44D8">
              <w:rPr>
                <w:bCs/>
                <w:i/>
                <w:iCs/>
                <w:sz w:val="18"/>
                <w:szCs w:val="18"/>
                <w:lang w:eastAsia="en-AU"/>
              </w:rPr>
              <w:t>Profit Entities</w:t>
            </w:r>
          </w:p>
        </w:tc>
      </w:tr>
      <w:tr w:rsidR="009C6724" w:rsidRPr="00187E82" w14:paraId="311B5ACE" w14:textId="77777777" w:rsidTr="009C6724">
        <w:tc>
          <w:tcPr>
            <w:cnfStyle w:val="001000000000" w:firstRow="0" w:lastRow="0" w:firstColumn="1" w:lastColumn="0" w:oddVBand="0" w:evenVBand="0" w:oddHBand="0" w:evenHBand="0" w:firstRowFirstColumn="0" w:firstRowLastColumn="0" w:lastRowFirstColumn="0" w:lastRowLastColumn="0"/>
            <w:tcW w:w="1170" w:type="dxa"/>
            <w:tcBorders>
              <w:top w:val="nil"/>
              <w:bottom w:val="single" w:sz="6" w:space="0" w:color="auto"/>
            </w:tcBorders>
          </w:tcPr>
          <w:p w14:paraId="2CA1F5EF" w14:textId="77777777" w:rsidR="00AB205D" w:rsidRPr="00EE193E" w:rsidRDefault="00AB205D">
            <w:pPr>
              <w:rPr>
                <w:sz w:val="18"/>
                <w:szCs w:val="18"/>
                <w:lang w:eastAsia="en-AU"/>
              </w:rPr>
            </w:pPr>
          </w:p>
        </w:tc>
        <w:tc>
          <w:tcPr>
            <w:tcW w:w="2070" w:type="dxa"/>
            <w:tcBorders>
              <w:top w:val="nil"/>
              <w:bottom w:val="single" w:sz="6" w:space="0" w:color="auto"/>
            </w:tcBorders>
          </w:tcPr>
          <w:p w14:paraId="5C6491E3" w14:textId="77777777" w:rsidR="00AB205D" w:rsidRPr="00EE193E" w:rsidRDefault="00471A3B">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EE193E">
              <w:rPr>
                <w:sz w:val="18"/>
                <w:szCs w:val="18"/>
                <w:lang w:eastAsia="en-AU"/>
              </w:rPr>
              <w:t xml:space="preserve">Deferral of revenue recognition, such as where performance obligations have not been satisfied, or for capital grants from the Commonwealth Government, is a requirement under AASB 15 </w:t>
            </w:r>
            <w:r w:rsidRPr="00EE193E">
              <w:rPr>
                <w:i/>
                <w:iCs/>
                <w:sz w:val="18"/>
                <w:szCs w:val="18"/>
                <w:lang w:eastAsia="en-AU"/>
              </w:rPr>
              <w:t>Revenue from Contracts with Customers</w:t>
            </w:r>
            <w:r w:rsidRPr="00EE193E">
              <w:rPr>
                <w:sz w:val="18"/>
                <w:szCs w:val="18"/>
                <w:lang w:eastAsia="en-AU"/>
              </w:rPr>
              <w:t xml:space="preserve"> and AASB</w:t>
            </w:r>
            <w:r>
              <w:rPr>
                <w:sz w:val="18"/>
                <w:szCs w:val="18"/>
                <w:lang w:eastAsia="en-AU"/>
              </w:rPr>
              <w:t> </w:t>
            </w:r>
            <w:r w:rsidRPr="00EE193E">
              <w:rPr>
                <w:sz w:val="18"/>
                <w:szCs w:val="18"/>
                <w:lang w:eastAsia="en-AU"/>
              </w:rPr>
              <w:t xml:space="preserve">1058 </w:t>
            </w:r>
            <w:r w:rsidRPr="00EE193E">
              <w:rPr>
                <w:i/>
                <w:iCs/>
                <w:sz w:val="18"/>
                <w:szCs w:val="18"/>
                <w:lang w:eastAsia="en-AU"/>
              </w:rPr>
              <w:t>Income of Not</w:t>
            </w:r>
            <w:r>
              <w:rPr>
                <w:i/>
                <w:iCs/>
                <w:sz w:val="18"/>
                <w:szCs w:val="18"/>
                <w:lang w:eastAsia="en-AU"/>
              </w:rPr>
              <w:noBreakHyphen/>
            </w:r>
            <w:r w:rsidRPr="00EE193E">
              <w:rPr>
                <w:i/>
                <w:iCs/>
                <w:sz w:val="18"/>
                <w:szCs w:val="18"/>
                <w:lang w:eastAsia="en-AU"/>
              </w:rPr>
              <w:t>for</w:t>
            </w:r>
            <w:r>
              <w:rPr>
                <w:i/>
                <w:iCs/>
                <w:sz w:val="18"/>
                <w:szCs w:val="18"/>
                <w:lang w:eastAsia="en-AU"/>
              </w:rPr>
              <w:noBreakHyphen/>
            </w:r>
            <w:r w:rsidRPr="00EE193E">
              <w:rPr>
                <w:i/>
                <w:iCs/>
                <w:sz w:val="18"/>
                <w:szCs w:val="18"/>
                <w:lang w:eastAsia="en-AU"/>
              </w:rPr>
              <w:t>Profit Entities</w:t>
            </w:r>
            <w:r w:rsidRPr="00EE193E">
              <w:rPr>
                <w:sz w:val="18"/>
                <w:szCs w:val="18"/>
                <w:lang w:eastAsia="en-AU"/>
              </w:rPr>
              <w:t>.</w:t>
            </w:r>
          </w:p>
        </w:tc>
        <w:tc>
          <w:tcPr>
            <w:tcW w:w="2005" w:type="dxa"/>
            <w:tcBorders>
              <w:top w:val="nil"/>
              <w:bottom w:val="single" w:sz="6" w:space="0" w:color="auto"/>
            </w:tcBorders>
          </w:tcPr>
          <w:p w14:paraId="193D96EC" w14:textId="77777777" w:rsidR="00AB205D" w:rsidRPr="00EE193E" w:rsidRDefault="00471A3B">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EE193E">
              <w:rPr>
                <w:sz w:val="18"/>
                <w:szCs w:val="18"/>
                <w:lang w:eastAsia="en-AU"/>
              </w:rPr>
              <w:t>Deferral of revenue recognition, such as where performance obligations have not been satisfied, or for capital grants from the Commonwealth Government, is not recognised. This timing difference is expected to impact all the key fiscal aggregates. While it is expected that there will not be a net change to the fiscal aggregates over time, there will be convergence differences in any given year.</w:t>
            </w:r>
          </w:p>
        </w:tc>
        <w:tc>
          <w:tcPr>
            <w:tcW w:w="2466" w:type="dxa"/>
            <w:tcBorders>
              <w:top w:val="nil"/>
              <w:bottom w:val="single" w:sz="6" w:space="0" w:color="auto"/>
            </w:tcBorders>
          </w:tcPr>
          <w:p w14:paraId="6AD38CF6" w14:textId="77777777" w:rsidR="00AB205D" w:rsidRPr="00315D9A" w:rsidRDefault="00471A3B">
            <w:pPr>
              <w:pStyle w:val="ListBullet"/>
              <w:cnfStyle w:val="000000000000" w:firstRow="0" w:lastRow="0" w:firstColumn="0" w:lastColumn="0" w:oddVBand="0" w:evenVBand="0" w:oddHBand="0" w:evenHBand="0" w:firstRowFirstColumn="0" w:firstRowLastColumn="0" w:lastRowFirstColumn="0" w:lastRowLastColumn="0"/>
              <w:rPr>
                <w:sz w:val="18"/>
                <w:szCs w:val="18"/>
                <w:lang w:eastAsia="en-AU"/>
              </w:rPr>
            </w:pPr>
            <w:r w:rsidRPr="00315D9A">
              <w:rPr>
                <w:sz w:val="18"/>
                <w:szCs w:val="18"/>
                <w:lang w:eastAsia="en-AU"/>
              </w:rPr>
              <w:t>Cash surplus/deficit</w:t>
            </w:r>
          </w:p>
          <w:p w14:paraId="50D3A02B" w14:textId="20BA6773" w:rsidR="00AB205D" w:rsidRPr="00315D9A" w:rsidRDefault="00471A3B">
            <w:pPr>
              <w:pStyle w:val="ListBullet"/>
              <w:cnfStyle w:val="000000000000" w:firstRow="0" w:lastRow="0" w:firstColumn="0" w:lastColumn="0" w:oddVBand="0" w:evenVBand="0" w:oddHBand="0" w:evenHBand="0" w:firstRowFirstColumn="0" w:firstRowLastColumn="0" w:lastRowFirstColumn="0" w:lastRowLastColumn="0"/>
              <w:rPr>
                <w:sz w:val="18"/>
                <w:szCs w:val="18"/>
                <w:lang w:eastAsia="en-AU"/>
              </w:rPr>
            </w:pPr>
            <w:r w:rsidRPr="00315D9A">
              <w:rPr>
                <w:sz w:val="18"/>
                <w:szCs w:val="18"/>
                <w:lang w:eastAsia="en-AU"/>
              </w:rPr>
              <w:t xml:space="preserve">Comprehensive result – </w:t>
            </w:r>
            <w:r w:rsidR="003F6D78" w:rsidRPr="00315D9A">
              <w:rPr>
                <w:sz w:val="18"/>
                <w:szCs w:val="18"/>
                <w:lang w:eastAsia="en-AU"/>
              </w:rPr>
              <w:t xml:space="preserve">Total </w:t>
            </w:r>
            <w:r w:rsidRPr="00315D9A">
              <w:rPr>
                <w:sz w:val="18"/>
                <w:szCs w:val="18"/>
                <w:lang w:eastAsia="en-AU"/>
              </w:rPr>
              <w:t>change in net worth</w:t>
            </w:r>
          </w:p>
          <w:p w14:paraId="61B4738D" w14:textId="77777777" w:rsidR="00AB205D" w:rsidRPr="00315D9A" w:rsidRDefault="00471A3B">
            <w:pPr>
              <w:pStyle w:val="ListBullet"/>
              <w:cnfStyle w:val="000000000000" w:firstRow="0" w:lastRow="0" w:firstColumn="0" w:lastColumn="0" w:oddVBand="0" w:evenVBand="0" w:oddHBand="0" w:evenHBand="0" w:firstRowFirstColumn="0" w:firstRowLastColumn="0" w:lastRowFirstColumn="0" w:lastRowLastColumn="0"/>
              <w:rPr>
                <w:sz w:val="18"/>
                <w:szCs w:val="18"/>
                <w:lang w:eastAsia="en-AU"/>
              </w:rPr>
            </w:pPr>
            <w:r w:rsidRPr="00315D9A">
              <w:rPr>
                <w:sz w:val="18"/>
                <w:szCs w:val="18"/>
                <w:lang w:eastAsia="en-AU"/>
              </w:rPr>
              <w:t xml:space="preserve">Net lending/borrowing </w:t>
            </w:r>
          </w:p>
          <w:p w14:paraId="62C1D192" w14:textId="145F8D0A" w:rsidR="00AB205D" w:rsidRPr="00315D9A" w:rsidRDefault="00471A3B">
            <w:pPr>
              <w:pStyle w:val="ListBullet"/>
              <w:cnfStyle w:val="000000000000" w:firstRow="0" w:lastRow="0" w:firstColumn="0" w:lastColumn="0" w:oddVBand="0" w:evenVBand="0" w:oddHBand="0" w:evenHBand="0" w:firstRowFirstColumn="0" w:firstRowLastColumn="0" w:lastRowFirstColumn="0" w:lastRowLastColumn="0"/>
              <w:rPr>
                <w:sz w:val="18"/>
                <w:szCs w:val="18"/>
                <w:lang w:eastAsia="en-AU"/>
              </w:rPr>
            </w:pPr>
            <w:r w:rsidRPr="00315D9A">
              <w:rPr>
                <w:sz w:val="18"/>
                <w:szCs w:val="18"/>
                <w:lang w:eastAsia="en-AU"/>
              </w:rPr>
              <w:t xml:space="preserve">Net result from transactions – </w:t>
            </w:r>
            <w:r w:rsidR="003F6D78" w:rsidRPr="00315D9A">
              <w:rPr>
                <w:sz w:val="18"/>
                <w:szCs w:val="18"/>
                <w:lang w:eastAsia="en-AU"/>
              </w:rPr>
              <w:t>Net </w:t>
            </w:r>
            <w:r w:rsidRPr="00315D9A">
              <w:rPr>
                <w:sz w:val="18"/>
                <w:szCs w:val="18"/>
                <w:lang w:eastAsia="en-AU"/>
              </w:rPr>
              <w:t>operating balance</w:t>
            </w:r>
          </w:p>
          <w:p w14:paraId="4091B6B7" w14:textId="77777777" w:rsidR="00AB205D" w:rsidRPr="00315D9A" w:rsidRDefault="00471A3B">
            <w:pPr>
              <w:pStyle w:val="ListBullet"/>
              <w:cnfStyle w:val="000000000000" w:firstRow="0" w:lastRow="0" w:firstColumn="0" w:lastColumn="0" w:oddVBand="0" w:evenVBand="0" w:oddHBand="0" w:evenHBand="0" w:firstRowFirstColumn="0" w:firstRowLastColumn="0" w:lastRowFirstColumn="0" w:lastRowLastColumn="0"/>
              <w:rPr>
                <w:sz w:val="18"/>
                <w:szCs w:val="18"/>
                <w:lang w:eastAsia="en-AU"/>
              </w:rPr>
            </w:pPr>
            <w:r w:rsidRPr="00315D9A">
              <w:rPr>
                <w:sz w:val="18"/>
                <w:szCs w:val="18"/>
                <w:lang w:eastAsia="en-AU"/>
              </w:rPr>
              <w:t>Net worth</w:t>
            </w:r>
          </w:p>
        </w:tc>
      </w:tr>
      <w:tr w:rsidR="009C6724" w:rsidRPr="00187E82" w14:paraId="5BA65324" w14:textId="77777777" w:rsidTr="009C6724">
        <w:tc>
          <w:tcPr>
            <w:cnfStyle w:val="001000000000" w:firstRow="0" w:lastRow="0" w:firstColumn="1" w:lastColumn="0" w:oddVBand="0" w:evenVBand="0" w:oddHBand="0" w:evenHBand="0" w:firstRowFirstColumn="0" w:firstRowLastColumn="0" w:lastRowFirstColumn="0" w:lastRowLastColumn="0"/>
            <w:tcW w:w="0" w:type="auto"/>
            <w:gridSpan w:val="4"/>
            <w:tcBorders>
              <w:top w:val="single" w:sz="6" w:space="0" w:color="auto"/>
              <w:bottom w:val="nil"/>
            </w:tcBorders>
            <w:shd w:val="clear" w:color="auto" w:fill="D9D9D9" w:themeFill="background1" w:themeFillShade="D9"/>
          </w:tcPr>
          <w:p w14:paraId="01775FE4" w14:textId="77777777" w:rsidR="00AB205D" w:rsidRPr="00EE193E" w:rsidRDefault="00471A3B">
            <w:pPr>
              <w:keepNext/>
              <w:rPr>
                <w:sz w:val="18"/>
                <w:szCs w:val="18"/>
                <w:lang w:eastAsia="en-AU"/>
              </w:rPr>
            </w:pPr>
            <w:r w:rsidRPr="00EE193E">
              <w:rPr>
                <w:sz w:val="18"/>
                <w:szCs w:val="18"/>
                <w:lang w:eastAsia="en-AU"/>
              </w:rPr>
              <w:lastRenderedPageBreak/>
              <w:t>Port of Melbourne lease transaction</w:t>
            </w:r>
          </w:p>
        </w:tc>
      </w:tr>
      <w:tr w:rsidR="009C6724" w:rsidRPr="00187E82" w14:paraId="4CB6F652" w14:textId="77777777" w:rsidTr="009C6724">
        <w:trPr>
          <w:trHeight w:val="1944"/>
        </w:trPr>
        <w:tc>
          <w:tcPr>
            <w:cnfStyle w:val="001000000000" w:firstRow="0" w:lastRow="0" w:firstColumn="1" w:lastColumn="0" w:oddVBand="0" w:evenVBand="0" w:oddHBand="0" w:evenHBand="0" w:firstRowFirstColumn="0" w:firstRowLastColumn="0" w:lastRowFirstColumn="0" w:lastRowLastColumn="0"/>
            <w:tcW w:w="1170" w:type="dxa"/>
            <w:tcBorders>
              <w:top w:val="nil"/>
            </w:tcBorders>
          </w:tcPr>
          <w:p w14:paraId="16D07774" w14:textId="77777777" w:rsidR="00AB205D" w:rsidRPr="00EE193E" w:rsidRDefault="00471A3B">
            <w:pPr>
              <w:rPr>
                <w:b w:val="0"/>
                <w:sz w:val="18"/>
                <w:szCs w:val="18"/>
                <w:lang w:eastAsia="en-AU"/>
              </w:rPr>
            </w:pPr>
            <w:r w:rsidRPr="00EE193E">
              <w:rPr>
                <w:sz w:val="18"/>
                <w:szCs w:val="18"/>
                <w:lang w:eastAsia="en-AU"/>
              </w:rPr>
              <w:t>Port Licence Fee</w:t>
            </w:r>
          </w:p>
        </w:tc>
        <w:tc>
          <w:tcPr>
            <w:tcW w:w="2070" w:type="dxa"/>
            <w:tcBorders>
              <w:top w:val="nil"/>
            </w:tcBorders>
          </w:tcPr>
          <w:p w14:paraId="5683673E" w14:textId="77777777" w:rsidR="00AB205D" w:rsidRPr="00EE193E" w:rsidRDefault="00471A3B">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EE193E">
              <w:rPr>
                <w:sz w:val="18"/>
                <w:szCs w:val="18"/>
                <w:lang w:eastAsia="en-AU"/>
              </w:rPr>
              <w:t>The 15</w:t>
            </w:r>
            <w:r>
              <w:rPr>
                <w:sz w:val="18"/>
                <w:szCs w:val="18"/>
                <w:lang w:eastAsia="en-AU"/>
              </w:rPr>
              <w:noBreakHyphen/>
            </w:r>
            <w:r w:rsidRPr="00EE193E">
              <w:rPr>
                <w:sz w:val="18"/>
                <w:szCs w:val="18"/>
                <w:lang w:eastAsia="en-AU"/>
              </w:rPr>
              <w:t>year prepaid Port Licence Fee from the medium</w:t>
            </w:r>
            <w:r>
              <w:rPr>
                <w:sz w:val="18"/>
                <w:szCs w:val="18"/>
                <w:lang w:eastAsia="en-AU"/>
              </w:rPr>
              <w:noBreakHyphen/>
            </w:r>
            <w:r w:rsidRPr="00EE193E">
              <w:rPr>
                <w:sz w:val="18"/>
                <w:szCs w:val="18"/>
                <w:lang w:eastAsia="en-AU"/>
              </w:rPr>
              <w:t>term lease of the Port of Melbourne is recognised upfront upon receipt.</w:t>
            </w:r>
          </w:p>
        </w:tc>
        <w:tc>
          <w:tcPr>
            <w:tcW w:w="2005" w:type="dxa"/>
            <w:tcBorders>
              <w:top w:val="nil"/>
            </w:tcBorders>
          </w:tcPr>
          <w:p w14:paraId="0A1CA804" w14:textId="77777777" w:rsidR="00AB205D" w:rsidRPr="00EE193E" w:rsidRDefault="00471A3B">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EE193E">
              <w:rPr>
                <w:sz w:val="18"/>
                <w:szCs w:val="18"/>
                <w:lang w:eastAsia="en-AU"/>
              </w:rPr>
              <w:t>The 15</w:t>
            </w:r>
            <w:r>
              <w:rPr>
                <w:sz w:val="18"/>
                <w:szCs w:val="18"/>
                <w:lang w:eastAsia="en-AU"/>
              </w:rPr>
              <w:noBreakHyphen/>
            </w:r>
            <w:r w:rsidRPr="00EE193E">
              <w:rPr>
                <w:sz w:val="18"/>
                <w:szCs w:val="18"/>
                <w:lang w:eastAsia="en-AU"/>
              </w:rPr>
              <w:t>year prepaid Port Licence Fee from the medium</w:t>
            </w:r>
            <w:r>
              <w:rPr>
                <w:sz w:val="18"/>
                <w:szCs w:val="18"/>
                <w:lang w:eastAsia="en-AU"/>
              </w:rPr>
              <w:noBreakHyphen/>
            </w:r>
            <w:r w:rsidRPr="00EE193E">
              <w:rPr>
                <w:sz w:val="18"/>
                <w:szCs w:val="18"/>
                <w:lang w:eastAsia="en-AU"/>
              </w:rPr>
              <w:t>term lease of the Port of Melbourne is recognised as revenue over the 15</w:t>
            </w:r>
            <w:r>
              <w:rPr>
                <w:sz w:val="18"/>
                <w:szCs w:val="18"/>
                <w:lang w:eastAsia="en-AU"/>
              </w:rPr>
              <w:noBreakHyphen/>
            </w:r>
            <w:r w:rsidRPr="00EE193E">
              <w:rPr>
                <w:sz w:val="18"/>
                <w:szCs w:val="18"/>
                <w:lang w:eastAsia="en-AU"/>
              </w:rPr>
              <w:t>year period.</w:t>
            </w:r>
          </w:p>
        </w:tc>
        <w:tc>
          <w:tcPr>
            <w:tcW w:w="2466" w:type="dxa"/>
            <w:tcBorders>
              <w:top w:val="nil"/>
            </w:tcBorders>
          </w:tcPr>
          <w:p w14:paraId="086669EA" w14:textId="4B4E58C9" w:rsidR="00AB205D" w:rsidRPr="00315D9A" w:rsidRDefault="00471A3B">
            <w:pPr>
              <w:pStyle w:val="ListBullet"/>
              <w:cnfStyle w:val="000000000000" w:firstRow="0" w:lastRow="0" w:firstColumn="0" w:lastColumn="0" w:oddVBand="0" w:evenVBand="0" w:oddHBand="0" w:evenHBand="0" w:firstRowFirstColumn="0" w:firstRowLastColumn="0" w:lastRowFirstColumn="0" w:lastRowLastColumn="0"/>
              <w:rPr>
                <w:sz w:val="18"/>
                <w:szCs w:val="18"/>
                <w:lang w:eastAsia="en-AU"/>
              </w:rPr>
            </w:pPr>
            <w:r w:rsidRPr="00315D9A">
              <w:rPr>
                <w:sz w:val="18"/>
                <w:szCs w:val="18"/>
                <w:lang w:eastAsia="en-AU"/>
              </w:rPr>
              <w:t xml:space="preserve">Comprehensive result – </w:t>
            </w:r>
            <w:r w:rsidR="003F6D78" w:rsidRPr="00315D9A">
              <w:rPr>
                <w:sz w:val="18"/>
                <w:szCs w:val="18"/>
                <w:lang w:eastAsia="en-AU"/>
              </w:rPr>
              <w:t xml:space="preserve">Total </w:t>
            </w:r>
            <w:r w:rsidRPr="00315D9A">
              <w:rPr>
                <w:sz w:val="18"/>
                <w:szCs w:val="18"/>
                <w:lang w:eastAsia="en-AU"/>
              </w:rPr>
              <w:t>change in net worth</w:t>
            </w:r>
          </w:p>
          <w:p w14:paraId="5BF9DBEC" w14:textId="77777777" w:rsidR="00AB205D" w:rsidRPr="00315D9A" w:rsidRDefault="00471A3B">
            <w:pPr>
              <w:pStyle w:val="ListBullet"/>
              <w:cnfStyle w:val="000000000000" w:firstRow="0" w:lastRow="0" w:firstColumn="0" w:lastColumn="0" w:oddVBand="0" w:evenVBand="0" w:oddHBand="0" w:evenHBand="0" w:firstRowFirstColumn="0" w:firstRowLastColumn="0" w:lastRowFirstColumn="0" w:lastRowLastColumn="0"/>
              <w:rPr>
                <w:sz w:val="18"/>
                <w:szCs w:val="18"/>
                <w:lang w:eastAsia="en-AU"/>
              </w:rPr>
            </w:pPr>
            <w:r w:rsidRPr="00315D9A">
              <w:rPr>
                <w:sz w:val="18"/>
                <w:szCs w:val="18"/>
                <w:lang w:eastAsia="en-AU"/>
              </w:rPr>
              <w:t xml:space="preserve">Net lending/borrowing </w:t>
            </w:r>
          </w:p>
          <w:p w14:paraId="1B76C321" w14:textId="7D39D561" w:rsidR="00AB205D" w:rsidRPr="00315D9A" w:rsidRDefault="00471A3B">
            <w:pPr>
              <w:pStyle w:val="ListBullet"/>
              <w:cnfStyle w:val="000000000000" w:firstRow="0" w:lastRow="0" w:firstColumn="0" w:lastColumn="0" w:oddVBand="0" w:evenVBand="0" w:oddHBand="0" w:evenHBand="0" w:firstRowFirstColumn="0" w:firstRowLastColumn="0" w:lastRowFirstColumn="0" w:lastRowLastColumn="0"/>
              <w:rPr>
                <w:sz w:val="18"/>
                <w:szCs w:val="18"/>
                <w:lang w:eastAsia="en-AU"/>
              </w:rPr>
            </w:pPr>
            <w:r w:rsidRPr="00315D9A">
              <w:rPr>
                <w:sz w:val="18"/>
                <w:szCs w:val="18"/>
                <w:lang w:eastAsia="en-AU"/>
              </w:rPr>
              <w:t xml:space="preserve">Net result from transactions – </w:t>
            </w:r>
            <w:r w:rsidR="003F6D78" w:rsidRPr="00315D9A">
              <w:rPr>
                <w:sz w:val="18"/>
                <w:szCs w:val="18"/>
                <w:lang w:eastAsia="en-AU"/>
              </w:rPr>
              <w:t>Net </w:t>
            </w:r>
            <w:r w:rsidRPr="00315D9A">
              <w:rPr>
                <w:sz w:val="18"/>
                <w:szCs w:val="18"/>
                <w:lang w:eastAsia="en-AU"/>
              </w:rPr>
              <w:t>operating balance</w:t>
            </w:r>
          </w:p>
          <w:p w14:paraId="36288D06" w14:textId="77777777" w:rsidR="00AB205D" w:rsidRPr="00315D9A" w:rsidRDefault="00471A3B">
            <w:pPr>
              <w:pStyle w:val="ListBullet"/>
              <w:cnfStyle w:val="000000000000" w:firstRow="0" w:lastRow="0" w:firstColumn="0" w:lastColumn="0" w:oddVBand="0" w:evenVBand="0" w:oddHBand="0" w:evenHBand="0" w:firstRowFirstColumn="0" w:firstRowLastColumn="0" w:lastRowFirstColumn="0" w:lastRowLastColumn="0"/>
              <w:rPr>
                <w:sz w:val="18"/>
                <w:szCs w:val="18"/>
                <w:lang w:eastAsia="en-AU"/>
              </w:rPr>
            </w:pPr>
            <w:r w:rsidRPr="00315D9A">
              <w:rPr>
                <w:sz w:val="18"/>
                <w:szCs w:val="18"/>
                <w:lang w:eastAsia="en-AU"/>
              </w:rPr>
              <w:t>Net worth</w:t>
            </w:r>
          </w:p>
        </w:tc>
      </w:tr>
      <w:tr w:rsidR="009C6724" w:rsidRPr="00187E82" w14:paraId="505F2300" w14:textId="77777777" w:rsidTr="009C6724">
        <w:tc>
          <w:tcPr>
            <w:cnfStyle w:val="001000000000" w:firstRow="0" w:lastRow="0" w:firstColumn="1" w:lastColumn="0" w:oddVBand="0" w:evenVBand="0" w:oddHBand="0" w:evenHBand="0" w:firstRowFirstColumn="0" w:firstRowLastColumn="0" w:lastRowFirstColumn="0" w:lastRowLastColumn="0"/>
            <w:tcW w:w="1170" w:type="dxa"/>
            <w:tcBorders>
              <w:bottom w:val="nil"/>
            </w:tcBorders>
          </w:tcPr>
          <w:p w14:paraId="22148B25" w14:textId="77777777" w:rsidR="00AB205D" w:rsidRPr="00EE193E" w:rsidRDefault="00471A3B">
            <w:pPr>
              <w:rPr>
                <w:sz w:val="18"/>
                <w:szCs w:val="18"/>
                <w:lang w:eastAsia="en-AU"/>
              </w:rPr>
            </w:pPr>
            <w:r w:rsidRPr="00EE193E">
              <w:rPr>
                <w:sz w:val="18"/>
                <w:szCs w:val="18"/>
                <w:lang w:eastAsia="en-AU"/>
              </w:rPr>
              <w:t>Port of Melbourne lease transaction</w:t>
            </w:r>
          </w:p>
        </w:tc>
        <w:tc>
          <w:tcPr>
            <w:tcW w:w="2070" w:type="dxa"/>
            <w:tcBorders>
              <w:bottom w:val="nil"/>
            </w:tcBorders>
          </w:tcPr>
          <w:p w14:paraId="092ADEBD" w14:textId="77777777" w:rsidR="00AB205D" w:rsidRPr="00EE193E" w:rsidRDefault="00471A3B">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EE193E">
              <w:rPr>
                <w:sz w:val="18"/>
                <w:szCs w:val="18"/>
                <w:lang w:eastAsia="en-AU"/>
              </w:rPr>
              <w:t>The Port of Melbourne lease transaction is treated as an operating lease with the leased assets remaining with the PNFC sector.</w:t>
            </w:r>
          </w:p>
        </w:tc>
        <w:tc>
          <w:tcPr>
            <w:tcW w:w="2005" w:type="dxa"/>
            <w:tcBorders>
              <w:bottom w:val="nil"/>
            </w:tcBorders>
          </w:tcPr>
          <w:p w14:paraId="4CAFB966" w14:textId="77777777" w:rsidR="00AB205D" w:rsidRPr="00EE193E" w:rsidRDefault="00471A3B">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EE193E">
              <w:rPr>
                <w:sz w:val="18"/>
                <w:szCs w:val="18"/>
                <w:lang w:eastAsia="en-AU"/>
              </w:rPr>
              <w:t>The Port of Melbourne lease transaction is recognised as a sale of equity from the general government sector.</w:t>
            </w:r>
          </w:p>
        </w:tc>
        <w:tc>
          <w:tcPr>
            <w:tcW w:w="2466" w:type="dxa"/>
            <w:tcBorders>
              <w:bottom w:val="nil"/>
            </w:tcBorders>
          </w:tcPr>
          <w:p w14:paraId="0C685580" w14:textId="77777777" w:rsidR="00AB205D" w:rsidRPr="00315D9A" w:rsidRDefault="00471A3B">
            <w:pPr>
              <w:pStyle w:val="ListBullet"/>
              <w:cnfStyle w:val="000000000000" w:firstRow="0" w:lastRow="0" w:firstColumn="0" w:lastColumn="0" w:oddVBand="0" w:evenVBand="0" w:oddHBand="0" w:evenHBand="0" w:firstRowFirstColumn="0" w:firstRowLastColumn="0" w:lastRowFirstColumn="0" w:lastRowLastColumn="0"/>
              <w:rPr>
                <w:sz w:val="18"/>
                <w:szCs w:val="18"/>
                <w:lang w:eastAsia="en-AU"/>
              </w:rPr>
            </w:pPr>
            <w:r w:rsidRPr="00315D9A">
              <w:rPr>
                <w:sz w:val="18"/>
                <w:szCs w:val="18"/>
                <w:lang w:eastAsia="en-AU"/>
              </w:rPr>
              <w:t>Cash surplus/deficit</w:t>
            </w:r>
          </w:p>
          <w:p w14:paraId="19A4C201" w14:textId="799988BE" w:rsidR="00AB205D" w:rsidRPr="00315D9A" w:rsidRDefault="00471A3B">
            <w:pPr>
              <w:pStyle w:val="ListBullet"/>
              <w:cnfStyle w:val="000000000000" w:firstRow="0" w:lastRow="0" w:firstColumn="0" w:lastColumn="0" w:oddVBand="0" w:evenVBand="0" w:oddHBand="0" w:evenHBand="0" w:firstRowFirstColumn="0" w:firstRowLastColumn="0" w:lastRowFirstColumn="0" w:lastRowLastColumn="0"/>
              <w:rPr>
                <w:sz w:val="18"/>
                <w:szCs w:val="18"/>
                <w:lang w:eastAsia="en-AU"/>
              </w:rPr>
            </w:pPr>
            <w:r w:rsidRPr="00315D9A">
              <w:rPr>
                <w:sz w:val="18"/>
                <w:szCs w:val="18"/>
                <w:lang w:eastAsia="en-AU"/>
              </w:rPr>
              <w:t xml:space="preserve">Comprehensive result – </w:t>
            </w:r>
            <w:r w:rsidR="003F6D78" w:rsidRPr="00315D9A">
              <w:rPr>
                <w:sz w:val="18"/>
                <w:szCs w:val="18"/>
                <w:lang w:eastAsia="en-AU"/>
              </w:rPr>
              <w:t xml:space="preserve">Total </w:t>
            </w:r>
            <w:r w:rsidRPr="00315D9A">
              <w:rPr>
                <w:sz w:val="18"/>
                <w:szCs w:val="18"/>
                <w:lang w:eastAsia="en-AU"/>
              </w:rPr>
              <w:t>change in net worth</w:t>
            </w:r>
          </w:p>
          <w:p w14:paraId="60B3642C" w14:textId="77777777" w:rsidR="00AB205D" w:rsidRPr="00315D9A" w:rsidRDefault="00471A3B">
            <w:pPr>
              <w:pStyle w:val="ListBullet"/>
              <w:cnfStyle w:val="000000000000" w:firstRow="0" w:lastRow="0" w:firstColumn="0" w:lastColumn="0" w:oddVBand="0" w:evenVBand="0" w:oddHBand="0" w:evenHBand="0" w:firstRowFirstColumn="0" w:firstRowLastColumn="0" w:lastRowFirstColumn="0" w:lastRowLastColumn="0"/>
              <w:rPr>
                <w:sz w:val="18"/>
                <w:szCs w:val="18"/>
                <w:lang w:eastAsia="en-AU"/>
              </w:rPr>
            </w:pPr>
            <w:r w:rsidRPr="00315D9A">
              <w:rPr>
                <w:sz w:val="18"/>
                <w:szCs w:val="18"/>
                <w:lang w:eastAsia="en-AU"/>
              </w:rPr>
              <w:t xml:space="preserve">Net lending/borrowing </w:t>
            </w:r>
          </w:p>
          <w:p w14:paraId="5D16D495" w14:textId="6CB4185E" w:rsidR="00AB205D" w:rsidRPr="00315D9A" w:rsidRDefault="00471A3B">
            <w:pPr>
              <w:pStyle w:val="ListBullet"/>
              <w:cnfStyle w:val="000000000000" w:firstRow="0" w:lastRow="0" w:firstColumn="0" w:lastColumn="0" w:oddVBand="0" w:evenVBand="0" w:oddHBand="0" w:evenHBand="0" w:firstRowFirstColumn="0" w:firstRowLastColumn="0" w:lastRowFirstColumn="0" w:lastRowLastColumn="0"/>
              <w:rPr>
                <w:sz w:val="18"/>
                <w:szCs w:val="18"/>
                <w:lang w:eastAsia="en-AU"/>
              </w:rPr>
            </w:pPr>
            <w:r w:rsidRPr="00315D9A">
              <w:rPr>
                <w:sz w:val="18"/>
                <w:szCs w:val="18"/>
                <w:lang w:eastAsia="en-AU"/>
              </w:rPr>
              <w:t xml:space="preserve">Net result from transactions – </w:t>
            </w:r>
            <w:r w:rsidR="003F6D78" w:rsidRPr="00315D9A">
              <w:rPr>
                <w:sz w:val="18"/>
                <w:szCs w:val="18"/>
                <w:lang w:eastAsia="en-AU"/>
              </w:rPr>
              <w:t>Net </w:t>
            </w:r>
            <w:r w:rsidRPr="00315D9A">
              <w:rPr>
                <w:sz w:val="18"/>
                <w:szCs w:val="18"/>
                <w:lang w:eastAsia="en-AU"/>
              </w:rPr>
              <w:t>operating balance</w:t>
            </w:r>
          </w:p>
          <w:p w14:paraId="4FE647D9" w14:textId="77777777" w:rsidR="00AB205D" w:rsidRPr="00315D9A" w:rsidRDefault="00471A3B">
            <w:pPr>
              <w:pStyle w:val="ListBullet"/>
              <w:cnfStyle w:val="000000000000" w:firstRow="0" w:lastRow="0" w:firstColumn="0" w:lastColumn="0" w:oddVBand="0" w:evenVBand="0" w:oddHBand="0" w:evenHBand="0" w:firstRowFirstColumn="0" w:firstRowLastColumn="0" w:lastRowFirstColumn="0" w:lastRowLastColumn="0"/>
              <w:rPr>
                <w:sz w:val="18"/>
                <w:szCs w:val="18"/>
                <w:lang w:eastAsia="en-AU"/>
              </w:rPr>
            </w:pPr>
            <w:r w:rsidRPr="00315D9A">
              <w:rPr>
                <w:sz w:val="18"/>
                <w:szCs w:val="18"/>
                <w:lang w:eastAsia="en-AU"/>
              </w:rPr>
              <w:t>Net worth</w:t>
            </w:r>
          </w:p>
        </w:tc>
      </w:tr>
      <w:tr w:rsidR="009C6724" w:rsidRPr="00187E82" w14:paraId="4F2970A7" w14:textId="77777777" w:rsidTr="009C6724">
        <w:tc>
          <w:tcPr>
            <w:cnfStyle w:val="001000000000" w:firstRow="0" w:lastRow="0" w:firstColumn="1" w:lastColumn="0" w:oddVBand="0" w:evenVBand="0" w:oddHBand="0" w:evenHBand="0" w:firstRowFirstColumn="0" w:firstRowLastColumn="0" w:lastRowFirstColumn="0" w:lastRowLastColumn="0"/>
            <w:tcW w:w="0" w:type="auto"/>
            <w:gridSpan w:val="4"/>
            <w:tcBorders>
              <w:bottom w:val="nil"/>
            </w:tcBorders>
            <w:shd w:val="clear" w:color="auto" w:fill="D9D9D9" w:themeFill="background1" w:themeFillShade="D9"/>
          </w:tcPr>
          <w:p w14:paraId="6CCEA8AA" w14:textId="77777777" w:rsidR="00AB205D" w:rsidRPr="00EE193E" w:rsidRDefault="00471A3B">
            <w:pPr>
              <w:keepNext/>
              <w:rPr>
                <w:b w:val="0"/>
                <w:sz w:val="18"/>
                <w:szCs w:val="18"/>
                <w:lang w:eastAsia="en-AU"/>
              </w:rPr>
            </w:pPr>
            <w:r w:rsidRPr="00EE193E">
              <w:rPr>
                <w:sz w:val="18"/>
                <w:szCs w:val="18"/>
                <w:lang w:eastAsia="en-AU"/>
              </w:rPr>
              <w:t>Doubtful receivables</w:t>
            </w:r>
          </w:p>
        </w:tc>
      </w:tr>
      <w:tr w:rsidR="009C6724" w:rsidRPr="00187E82" w14:paraId="1D8D3598" w14:textId="77777777" w:rsidTr="009C6724">
        <w:tc>
          <w:tcPr>
            <w:cnfStyle w:val="001000000000" w:firstRow="0" w:lastRow="0" w:firstColumn="1" w:lastColumn="0" w:oddVBand="0" w:evenVBand="0" w:oddHBand="0" w:evenHBand="0" w:firstRowFirstColumn="0" w:firstRowLastColumn="0" w:lastRowFirstColumn="0" w:lastRowLastColumn="0"/>
            <w:tcW w:w="1170" w:type="dxa"/>
            <w:tcBorders>
              <w:top w:val="nil"/>
              <w:bottom w:val="nil"/>
            </w:tcBorders>
          </w:tcPr>
          <w:p w14:paraId="03D389EB" w14:textId="77777777" w:rsidR="00AB205D" w:rsidRPr="00EE193E" w:rsidRDefault="00AB205D">
            <w:pPr>
              <w:rPr>
                <w:b w:val="0"/>
                <w:sz w:val="18"/>
                <w:szCs w:val="18"/>
                <w:lang w:eastAsia="en-AU"/>
              </w:rPr>
            </w:pPr>
          </w:p>
        </w:tc>
        <w:tc>
          <w:tcPr>
            <w:tcW w:w="2070" w:type="dxa"/>
            <w:tcBorders>
              <w:top w:val="nil"/>
              <w:bottom w:val="nil"/>
            </w:tcBorders>
          </w:tcPr>
          <w:p w14:paraId="655EA847" w14:textId="77777777" w:rsidR="00AB205D" w:rsidRPr="00EE193E" w:rsidRDefault="00471A3B">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EE193E">
              <w:rPr>
                <w:sz w:val="18"/>
                <w:szCs w:val="18"/>
              </w:rPr>
              <w:t>Provisions for expected credit losses are included on the balance sheet as a reduction in assets</w:t>
            </w:r>
            <w:r w:rsidRPr="00EE193E">
              <w:rPr>
                <w:sz w:val="18"/>
                <w:szCs w:val="18"/>
                <w:lang w:eastAsia="en-AU"/>
              </w:rPr>
              <w:t>.</w:t>
            </w:r>
          </w:p>
        </w:tc>
        <w:tc>
          <w:tcPr>
            <w:tcW w:w="2005" w:type="dxa"/>
            <w:tcBorders>
              <w:top w:val="nil"/>
              <w:bottom w:val="nil"/>
            </w:tcBorders>
          </w:tcPr>
          <w:p w14:paraId="7B6A9690" w14:textId="77777777" w:rsidR="00AB205D" w:rsidRPr="00EE193E" w:rsidRDefault="00471A3B">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EE193E">
              <w:rPr>
                <w:sz w:val="18"/>
                <w:szCs w:val="18"/>
                <w:lang w:eastAsia="en-AU"/>
              </w:rPr>
              <w:t>The act of creating provisions is not considered an economic event and is therefore not included on the balance sheet.</w:t>
            </w:r>
          </w:p>
        </w:tc>
        <w:tc>
          <w:tcPr>
            <w:tcW w:w="2466" w:type="dxa"/>
            <w:tcBorders>
              <w:top w:val="nil"/>
              <w:bottom w:val="nil"/>
            </w:tcBorders>
          </w:tcPr>
          <w:p w14:paraId="431F0C4C" w14:textId="2F8DCD71" w:rsidR="00AB205D" w:rsidRPr="00315D9A" w:rsidRDefault="00471A3B">
            <w:pPr>
              <w:pStyle w:val="ListBullet"/>
              <w:cnfStyle w:val="000000000000" w:firstRow="0" w:lastRow="0" w:firstColumn="0" w:lastColumn="0" w:oddVBand="0" w:evenVBand="0" w:oddHBand="0" w:evenHBand="0" w:firstRowFirstColumn="0" w:firstRowLastColumn="0" w:lastRowFirstColumn="0" w:lastRowLastColumn="0"/>
              <w:rPr>
                <w:sz w:val="18"/>
                <w:szCs w:val="18"/>
                <w:lang w:eastAsia="en-AU"/>
              </w:rPr>
            </w:pPr>
            <w:r w:rsidRPr="00315D9A">
              <w:rPr>
                <w:sz w:val="18"/>
                <w:szCs w:val="18"/>
                <w:lang w:eastAsia="en-AU"/>
              </w:rPr>
              <w:t xml:space="preserve">Comprehensive result – </w:t>
            </w:r>
            <w:r w:rsidR="003F6D78" w:rsidRPr="00315D9A">
              <w:rPr>
                <w:sz w:val="18"/>
                <w:szCs w:val="18"/>
                <w:lang w:eastAsia="en-AU"/>
              </w:rPr>
              <w:t xml:space="preserve">Total </w:t>
            </w:r>
            <w:r w:rsidRPr="00315D9A">
              <w:rPr>
                <w:sz w:val="18"/>
                <w:szCs w:val="18"/>
                <w:lang w:eastAsia="en-AU"/>
              </w:rPr>
              <w:t>change in net worth</w:t>
            </w:r>
          </w:p>
          <w:p w14:paraId="19278E5D" w14:textId="77777777" w:rsidR="00AB205D" w:rsidRPr="00315D9A" w:rsidRDefault="00471A3B">
            <w:pPr>
              <w:pStyle w:val="ListBullet"/>
              <w:cnfStyle w:val="000000000000" w:firstRow="0" w:lastRow="0" w:firstColumn="0" w:lastColumn="0" w:oddVBand="0" w:evenVBand="0" w:oddHBand="0" w:evenHBand="0" w:firstRowFirstColumn="0" w:firstRowLastColumn="0" w:lastRowFirstColumn="0" w:lastRowLastColumn="0"/>
              <w:rPr>
                <w:sz w:val="18"/>
                <w:szCs w:val="18"/>
                <w:lang w:eastAsia="en-AU"/>
              </w:rPr>
            </w:pPr>
            <w:r w:rsidRPr="00315D9A">
              <w:rPr>
                <w:sz w:val="18"/>
                <w:szCs w:val="18"/>
                <w:lang w:eastAsia="en-AU"/>
              </w:rPr>
              <w:t>Net worth</w:t>
            </w:r>
          </w:p>
        </w:tc>
      </w:tr>
      <w:tr w:rsidR="009C6724" w:rsidRPr="00187E82" w14:paraId="021E5DC5" w14:textId="77777777" w:rsidTr="009C6724">
        <w:tc>
          <w:tcPr>
            <w:cnfStyle w:val="001000000000" w:firstRow="0" w:lastRow="0" w:firstColumn="1" w:lastColumn="0" w:oddVBand="0" w:evenVBand="0" w:oddHBand="0" w:evenHBand="0" w:firstRowFirstColumn="0" w:firstRowLastColumn="0" w:lastRowFirstColumn="0" w:lastRowLastColumn="0"/>
            <w:tcW w:w="1170" w:type="dxa"/>
            <w:tcBorders>
              <w:top w:val="nil"/>
              <w:bottom w:val="nil"/>
            </w:tcBorders>
            <w:shd w:val="clear" w:color="auto" w:fill="D9D9D9" w:themeFill="background1" w:themeFillShade="D9"/>
          </w:tcPr>
          <w:p w14:paraId="4D4DB759" w14:textId="77777777" w:rsidR="00AB205D" w:rsidRPr="00EE193E" w:rsidRDefault="00471A3B">
            <w:pPr>
              <w:keepNext/>
              <w:rPr>
                <w:b w:val="0"/>
                <w:sz w:val="18"/>
                <w:szCs w:val="18"/>
                <w:lang w:eastAsia="en-AU"/>
              </w:rPr>
            </w:pPr>
            <w:r w:rsidRPr="00EE193E">
              <w:rPr>
                <w:sz w:val="18"/>
                <w:szCs w:val="18"/>
                <w:lang w:eastAsia="en-AU"/>
              </w:rPr>
              <w:t>Provisions</w:t>
            </w:r>
          </w:p>
        </w:tc>
        <w:tc>
          <w:tcPr>
            <w:tcW w:w="2070" w:type="dxa"/>
            <w:tcBorders>
              <w:top w:val="nil"/>
              <w:bottom w:val="nil"/>
            </w:tcBorders>
            <w:shd w:val="clear" w:color="auto" w:fill="D9D9D9" w:themeFill="background1" w:themeFillShade="D9"/>
          </w:tcPr>
          <w:p w14:paraId="397FB4D6" w14:textId="77777777" w:rsidR="00AB205D" w:rsidRPr="00EE193E" w:rsidRDefault="00AB205D">
            <w:pPr>
              <w:keepNext/>
              <w:cnfStyle w:val="000000000000" w:firstRow="0" w:lastRow="0" w:firstColumn="0" w:lastColumn="0" w:oddVBand="0" w:evenVBand="0" w:oddHBand="0" w:evenHBand="0" w:firstRowFirstColumn="0" w:firstRowLastColumn="0" w:lastRowFirstColumn="0" w:lastRowLastColumn="0"/>
              <w:rPr>
                <w:sz w:val="18"/>
                <w:szCs w:val="18"/>
                <w:lang w:eastAsia="en-AU"/>
              </w:rPr>
            </w:pPr>
          </w:p>
        </w:tc>
        <w:tc>
          <w:tcPr>
            <w:tcW w:w="2005" w:type="dxa"/>
            <w:tcBorders>
              <w:top w:val="nil"/>
              <w:bottom w:val="nil"/>
            </w:tcBorders>
            <w:shd w:val="clear" w:color="auto" w:fill="D9D9D9" w:themeFill="background1" w:themeFillShade="D9"/>
          </w:tcPr>
          <w:p w14:paraId="734957F8" w14:textId="77777777" w:rsidR="00AB205D" w:rsidRPr="00EE193E" w:rsidRDefault="00AB205D">
            <w:pPr>
              <w:keepNext/>
              <w:cnfStyle w:val="000000000000" w:firstRow="0" w:lastRow="0" w:firstColumn="0" w:lastColumn="0" w:oddVBand="0" w:evenVBand="0" w:oddHBand="0" w:evenHBand="0" w:firstRowFirstColumn="0" w:firstRowLastColumn="0" w:lastRowFirstColumn="0" w:lastRowLastColumn="0"/>
              <w:rPr>
                <w:sz w:val="18"/>
                <w:szCs w:val="18"/>
                <w:lang w:eastAsia="en-AU"/>
              </w:rPr>
            </w:pPr>
          </w:p>
        </w:tc>
        <w:tc>
          <w:tcPr>
            <w:tcW w:w="2466" w:type="dxa"/>
            <w:tcBorders>
              <w:top w:val="nil"/>
              <w:bottom w:val="nil"/>
            </w:tcBorders>
            <w:shd w:val="clear" w:color="auto" w:fill="D9D9D9" w:themeFill="background1" w:themeFillShade="D9"/>
          </w:tcPr>
          <w:p w14:paraId="5FC0CA51" w14:textId="77777777" w:rsidR="00AB205D" w:rsidRPr="00EE193E" w:rsidRDefault="00AB205D">
            <w:pPr>
              <w:cnfStyle w:val="000000000000" w:firstRow="0" w:lastRow="0" w:firstColumn="0" w:lastColumn="0" w:oddVBand="0" w:evenVBand="0" w:oddHBand="0" w:evenHBand="0" w:firstRowFirstColumn="0" w:firstRowLastColumn="0" w:lastRowFirstColumn="0" w:lastRowLastColumn="0"/>
              <w:rPr>
                <w:sz w:val="18"/>
                <w:szCs w:val="18"/>
                <w:lang w:eastAsia="en-AU"/>
              </w:rPr>
            </w:pPr>
          </w:p>
        </w:tc>
      </w:tr>
      <w:tr w:rsidR="009C6724" w:rsidRPr="00187E82" w14:paraId="17D0C067" w14:textId="77777777" w:rsidTr="009C6724">
        <w:tc>
          <w:tcPr>
            <w:cnfStyle w:val="001000000000" w:firstRow="0" w:lastRow="0" w:firstColumn="1" w:lastColumn="0" w:oddVBand="0" w:evenVBand="0" w:oddHBand="0" w:evenHBand="0" w:firstRowFirstColumn="0" w:firstRowLastColumn="0" w:lastRowFirstColumn="0" w:lastRowLastColumn="0"/>
            <w:tcW w:w="1170" w:type="dxa"/>
            <w:tcBorders>
              <w:top w:val="nil"/>
              <w:bottom w:val="nil"/>
            </w:tcBorders>
          </w:tcPr>
          <w:p w14:paraId="620007F6" w14:textId="77777777" w:rsidR="00AB205D" w:rsidRPr="00EE193E" w:rsidRDefault="00AB205D">
            <w:pPr>
              <w:rPr>
                <w:b w:val="0"/>
                <w:sz w:val="18"/>
                <w:szCs w:val="18"/>
                <w:lang w:eastAsia="en-AU"/>
              </w:rPr>
            </w:pPr>
          </w:p>
        </w:tc>
        <w:tc>
          <w:tcPr>
            <w:tcW w:w="2070" w:type="dxa"/>
            <w:tcBorders>
              <w:top w:val="nil"/>
              <w:bottom w:val="nil"/>
            </w:tcBorders>
          </w:tcPr>
          <w:p w14:paraId="363E4774" w14:textId="77777777" w:rsidR="00AB205D" w:rsidRPr="00EE193E" w:rsidRDefault="00471A3B">
            <w:pPr>
              <w:cnfStyle w:val="000000000000" w:firstRow="0" w:lastRow="0" w:firstColumn="0" w:lastColumn="0" w:oddVBand="0" w:evenVBand="0" w:oddHBand="0" w:evenHBand="0" w:firstRowFirstColumn="0" w:firstRowLastColumn="0" w:lastRowFirstColumn="0" w:lastRowLastColumn="0"/>
              <w:rPr>
                <w:sz w:val="18"/>
                <w:szCs w:val="18"/>
              </w:rPr>
            </w:pPr>
            <w:r w:rsidRPr="00EE193E">
              <w:rPr>
                <w:sz w:val="18"/>
                <w:szCs w:val="18"/>
              </w:rPr>
              <w:t>Provisions recognised under AASB 137 are recorded when there is a present obligation, the future sacrifice of economic benefits is probable, and the amount of the provision can be measured reliably.</w:t>
            </w:r>
          </w:p>
        </w:tc>
        <w:tc>
          <w:tcPr>
            <w:tcW w:w="2005" w:type="dxa"/>
            <w:tcBorders>
              <w:top w:val="nil"/>
              <w:bottom w:val="nil"/>
            </w:tcBorders>
          </w:tcPr>
          <w:p w14:paraId="0E480AE1" w14:textId="77777777" w:rsidR="00AB205D" w:rsidRPr="00EE193E" w:rsidRDefault="00471A3B">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EE193E">
              <w:rPr>
                <w:sz w:val="18"/>
                <w:szCs w:val="18"/>
                <w:lang w:eastAsia="en-AU"/>
              </w:rPr>
              <w:t xml:space="preserve">The act of creating provisions is not considered an economic event and is therefore not included on the balance sheet. The associated expense is not recognised on the operating statement. </w:t>
            </w:r>
          </w:p>
        </w:tc>
        <w:tc>
          <w:tcPr>
            <w:tcW w:w="2466" w:type="dxa"/>
            <w:tcBorders>
              <w:top w:val="nil"/>
              <w:bottom w:val="nil"/>
            </w:tcBorders>
          </w:tcPr>
          <w:p w14:paraId="7CD61621" w14:textId="5903C926" w:rsidR="00AB205D" w:rsidRPr="00315D9A" w:rsidRDefault="00471A3B">
            <w:pPr>
              <w:pStyle w:val="ListBullet"/>
              <w:cnfStyle w:val="000000000000" w:firstRow="0" w:lastRow="0" w:firstColumn="0" w:lastColumn="0" w:oddVBand="0" w:evenVBand="0" w:oddHBand="0" w:evenHBand="0" w:firstRowFirstColumn="0" w:firstRowLastColumn="0" w:lastRowFirstColumn="0" w:lastRowLastColumn="0"/>
              <w:rPr>
                <w:sz w:val="18"/>
                <w:szCs w:val="18"/>
                <w:lang w:eastAsia="en-AU"/>
              </w:rPr>
            </w:pPr>
            <w:r w:rsidRPr="00315D9A">
              <w:rPr>
                <w:sz w:val="18"/>
                <w:szCs w:val="18"/>
                <w:lang w:eastAsia="en-AU"/>
              </w:rPr>
              <w:t xml:space="preserve">Comprehensive result – </w:t>
            </w:r>
            <w:r w:rsidR="003F6D78" w:rsidRPr="00315D9A">
              <w:rPr>
                <w:sz w:val="18"/>
                <w:szCs w:val="18"/>
                <w:lang w:eastAsia="en-AU"/>
              </w:rPr>
              <w:t xml:space="preserve">Total </w:t>
            </w:r>
            <w:r w:rsidRPr="00315D9A">
              <w:rPr>
                <w:sz w:val="18"/>
                <w:szCs w:val="18"/>
                <w:lang w:eastAsia="en-AU"/>
              </w:rPr>
              <w:t>change in net worth</w:t>
            </w:r>
          </w:p>
          <w:p w14:paraId="3C1BD943" w14:textId="77777777" w:rsidR="00AB205D" w:rsidRPr="00315D9A" w:rsidRDefault="00471A3B">
            <w:pPr>
              <w:pStyle w:val="ListBullet"/>
              <w:cnfStyle w:val="000000000000" w:firstRow="0" w:lastRow="0" w:firstColumn="0" w:lastColumn="0" w:oddVBand="0" w:evenVBand="0" w:oddHBand="0" w:evenHBand="0" w:firstRowFirstColumn="0" w:firstRowLastColumn="0" w:lastRowFirstColumn="0" w:lastRowLastColumn="0"/>
              <w:rPr>
                <w:sz w:val="18"/>
                <w:szCs w:val="18"/>
                <w:lang w:eastAsia="en-AU"/>
              </w:rPr>
            </w:pPr>
            <w:r w:rsidRPr="00315D9A">
              <w:rPr>
                <w:sz w:val="18"/>
                <w:szCs w:val="18"/>
                <w:lang w:eastAsia="en-AU"/>
              </w:rPr>
              <w:t xml:space="preserve">Net lending/borrowing </w:t>
            </w:r>
          </w:p>
          <w:p w14:paraId="136AC120" w14:textId="57D09C63" w:rsidR="00AB205D" w:rsidRPr="00315D9A" w:rsidRDefault="00471A3B">
            <w:pPr>
              <w:pStyle w:val="ListBullet"/>
              <w:cnfStyle w:val="000000000000" w:firstRow="0" w:lastRow="0" w:firstColumn="0" w:lastColumn="0" w:oddVBand="0" w:evenVBand="0" w:oddHBand="0" w:evenHBand="0" w:firstRowFirstColumn="0" w:firstRowLastColumn="0" w:lastRowFirstColumn="0" w:lastRowLastColumn="0"/>
              <w:rPr>
                <w:sz w:val="18"/>
                <w:szCs w:val="18"/>
                <w:lang w:eastAsia="en-AU"/>
              </w:rPr>
            </w:pPr>
            <w:r w:rsidRPr="00315D9A">
              <w:rPr>
                <w:sz w:val="18"/>
                <w:szCs w:val="18"/>
                <w:lang w:eastAsia="en-AU"/>
              </w:rPr>
              <w:t xml:space="preserve">Net result from transactions – </w:t>
            </w:r>
            <w:r w:rsidR="003F6D78" w:rsidRPr="00315D9A">
              <w:rPr>
                <w:sz w:val="18"/>
                <w:szCs w:val="18"/>
                <w:lang w:eastAsia="en-AU"/>
              </w:rPr>
              <w:t>Net </w:t>
            </w:r>
            <w:r w:rsidRPr="00315D9A">
              <w:rPr>
                <w:sz w:val="18"/>
                <w:szCs w:val="18"/>
                <w:lang w:eastAsia="en-AU"/>
              </w:rPr>
              <w:t xml:space="preserve">operating balance </w:t>
            </w:r>
          </w:p>
          <w:p w14:paraId="017F9DAE" w14:textId="77777777" w:rsidR="00AB205D" w:rsidRPr="00315D9A" w:rsidRDefault="00471A3B">
            <w:pPr>
              <w:pStyle w:val="ListBullet"/>
              <w:cnfStyle w:val="000000000000" w:firstRow="0" w:lastRow="0" w:firstColumn="0" w:lastColumn="0" w:oddVBand="0" w:evenVBand="0" w:oddHBand="0" w:evenHBand="0" w:firstRowFirstColumn="0" w:firstRowLastColumn="0" w:lastRowFirstColumn="0" w:lastRowLastColumn="0"/>
              <w:rPr>
                <w:sz w:val="18"/>
                <w:szCs w:val="18"/>
                <w:lang w:eastAsia="en-AU"/>
              </w:rPr>
            </w:pPr>
            <w:r w:rsidRPr="00315D9A">
              <w:rPr>
                <w:sz w:val="18"/>
                <w:szCs w:val="18"/>
                <w:lang w:eastAsia="en-AU"/>
              </w:rPr>
              <w:t>Net worth</w:t>
            </w:r>
          </w:p>
        </w:tc>
      </w:tr>
      <w:tr w:rsidR="009C6724" w:rsidRPr="00187E82" w14:paraId="365037DE" w14:textId="77777777" w:rsidTr="009C6724">
        <w:tc>
          <w:tcPr>
            <w:cnfStyle w:val="001000000000" w:firstRow="0" w:lastRow="0" w:firstColumn="1" w:lastColumn="0" w:oddVBand="0" w:evenVBand="0" w:oddHBand="0" w:evenHBand="0" w:firstRowFirstColumn="0" w:firstRowLastColumn="0" w:lastRowFirstColumn="0" w:lastRowLastColumn="0"/>
            <w:tcW w:w="0" w:type="auto"/>
            <w:gridSpan w:val="4"/>
            <w:tcBorders>
              <w:bottom w:val="nil"/>
            </w:tcBorders>
            <w:shd w:val="clear" w:color="auto" w:fill="D9D9D9" w:themeFill="background1" w:themeFillShade="D9"/>
          </w:tcPr>
          <w:p w14:paraId="3E71FEFE" w14:textId="77777777" w:rsidR="00AB205D" w:rsidRPr="00EE193E" w:rsidRDefault="00471A3B">
            <w:pPr>
              <w:keepNext/>
              <w:rPr>
                <w:b w:val="0"/>
                <w:sz w:val="18"/>
                <w:szCs w:val="18"/>
                <w:lang w:eastAsia="en-AU"/>
              </w:rPr>
            </w:pPr>
            <w:r w:rsidRPr="00EE193E">
              <w:rPr>
                <w:sz w:val="18"/>
                <w:szCs w:val="18"/>
                <w:lang w:eastAsia="en-AU"/>
              </w:rPr>
              <w:t>Investment in other sector entities</w:t>
            </w:r>
          </w:p>
        </w:tc>
      </w:tr>
      <w:tr w:rsidR="009C6724" w:rsidRPr="00187E82" w14:paraId="22E71C85" w14:textId="77777777" w:rsidTr="009C6724">
        <w:tc>
          <w:tcPr>
            <w:cnfStyle w:val="001000000000" w:firstRow="0" w:lastRow="0" w:firstColumn="1" w:lastColumn="0" w:oddVBand="0" w:evenVBand="0" w:oddHBand="0" w:evenHBand="0" w:firstRowFirstColumn="0" w:firstRowLastColumn="0" w:lastRowFirstColumn="0" w:lastRowLastColumn="0"/>
            <w:tcW w:w="1170" w:type="dxa"/>
            <w:tcBorders>
              <w:top w:val="nil"/>
            </w:tcBorders>
          </w:tcPr>
          <w:p w14:paraId="3E7C1CDC" w14:textId="77777777" w:rsidR="00AB205D" w:rsidRPr="00EE193E" w:rsidRDefault="00AB205D">
            <w:pPr>
              <w:rPr>
                <w:b w:val="0"/>
                <w:sz w:val="18"/>
                <w:szCs w:val="18"/>
                <w:lang w:eastAsia="en-AU"/>
              </w:rPr>
            </w:pPr>
          </w:p>
        </w:tc>
        <w:tc>
          <w:tcPr>
            <w:tcW w:w="2070" w:type="dxa"/>
            <w:tcBorders>
              <w:top w:val="nil"/>
            </w:tcBorders>
          </w:tcPr>
          <w:p w14:paraId="3A6BFC43" w14:textId="77777777" w:rsidR="00AB205D" w:rsidRPr="00EE193E" w:rsidRDefault="00471A3B">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EE193E">
              <w:rPr>
                <w:sz w:val="18"/>
                <w:szCs w:val="18"/>
                <w:lang w:eastAsia="en-AU"/>
              </w:rPr>
              <w:t>The net worth of investments in other sector entities for the general government sector includes doubtful receivables, future tax benefits and deferred tax liabilities of the PNFC and PFC sectors.</w:t>
            </w:r>
          </w:p>
        </w:tc>
        <w:tc>
          <w:tcPr>
            <w:tcW w:w="2005" w:type="dxa"/>
            <w:tcBorders>
              <w:top w:val="nil"/>
            </w:tcBorders>
          </w:tcPr>
          <w:p w14:paraId="5BB97619" w14:textId="77777777" w:rsidR="00AB205D" w:rsidRPr="00EE193E" w:rsidRDefault="00471A3B">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EE193E">
              <w:rPr>
                <w:sz w:val="18"/>
                <w:szCs w:val="18"/>
                <w:lang w:eastAsia="en-AU"/>
              </w:rPr>
              <w:t>The determination of net worth is exclusive of this.</w:t>
            </w:r>
          </w:p>
        </w:tc>
        <w:tc>
          <w:tcPr>
            <w:tcW w:w="2466" w:type="dxa"/>
            <w:tcBorders>
              <w:top w:val="nil"/>
            </w:tcBorders>
          </w:tcPr>
          <w:p w14:paraId="74F47C2A" w14:textId="6DCE2111" w:rsidR="00AB205D" w:rsidRPr="00315D9A" w:rsidRDefault="00471A3B">
            <w:pPr>
              <w:pStyle w:val="ListBullet"/>
              <w:cnfStyle w:val="000000000000" w:firstRow="0" w:lastRow="0" w:firstColumn="0" w:lastColumn="0" w:oddVBand="0" w:evenVBand="0" w:oddHBand="0" w:evenHBand="0" w:firstRowFirstColumn="0" w:firstRowLastColumn="0" w:lastRowFirstColumn="0" w:lastRowLastColumn="0"/>
              <w:rPr>
                <w:sz w:val="18"/>
                <w:szCs w:val="18"/>
                <w:lang w:eastAsia="en-AU"/>
              </w:rPr>
            </w:pPr>
            <w:r w:rsidRPr="00315D9A">
              <w:rPr>
                <w:sz w:val="18"/>
                <w:szCs w:val="18"/>
                <w:lang w:eastAsia="en-AU"/>
              </w:rPr>
              <w:t xml:space="preserve">Comprehensive result – </w:t>
            </w:r>
            <w:r w:rsidR="003F6D78" w:rsidRPr="00315D9A">
              <w:rPr>
                <w:sz w:val="18"/>
                <w:szCs w:val="18"/>
                <w:lang w:eastAsia="en-AU"/>
              </w:rPr>
              <w:t xml:space="preserve">Total </w:t>
            </w:r>
            <w:r w:rsidRPr="00315D9A">
              <w:rPr>
                <w:sz w:val="18"/>
                <w:szCs w:val="18"/>
                <w:lang w:eastAsia="en-AU"/>
              </w:rPr>
              <w:t>change in net worth</w:t>
            </w:r>
          </w:p>
          <w:p w14:paraId="624C445A" w14:textId="77777777" w:rsidR="00AB205D" w:rsidRPr="00315D9A" w:rsidRDefault="00471A3B">
            <w:pPr>
              <w:pStyle w:val="ListBullet"/>
              <w:cnfStyle w:val="000000000000" w:firstRow="0" w:lastRow="0" w:firstColumn="0" w:lastColumn="0" w:oddVBand="0" w:evenVBand="0" w:oddHBand="0" w:evenHBand="0" w:firstRowFirstColumn="0" w:firstRowLastColumn="0" w:lastRowFirstColumn="0" w:lastRowLastColumn="0"/>
              <w:rPr>
                <w:sz w:val="18"/>
                <w:szCs w:val="18"/>
                <w:lang w:eastAsia="en-AU"/>
              </w:rPr>
            </w:pPr>
            <w:r w:rsidRPr="00315D9A">
              <w:rPr>
                <w:sz w:val="18"/>
                <w:szCs w:val="18"/>
                <w:lang w:eastAsia="en-AU"/>
              </w:rPr>
              <w:t>Net worth</w:t>
            </w:r>
          </w:p>
        </w:tc>
      </w:tr>
    </w:tbl>
    <w:p w14:paraId="173DDC68" w14:textId="77777777" w:rsidR="00AB205D" w:rsidRDefault="00471A3B">
      <w:pPr>
        <w:pStyle w:val="Heading3"/>
      </w:pPr>
      <w:bookmarkStart w:id="79" w:name="_Toc149221099"/>
      <w:r w:rsidRPr="00F872C9">
        <w:lastRenderedPageBreak/>
        <w:t>Prospective accounting and reporting changes</w:t>
      </w:r>
      <w:bookmarkEnd w:id="79"/>
    </w:p>
    <w:p w14:paraId="3B3D3D33" w14:textId="77777777" w:rsidR="00AB205D" w:rsidRPr="00A7102E" w:rsidRDefault="00471A3B">
      <w:r w:rsidRPr="00A7102E">
        <w:t xml:space="preserve">New and revised accounting standards have been issued </w:t>
      </w:r>
      <w:r>
        <w:t>that</w:t>
      </w:r>
      <w:r w:rsidRPr="00A7102E">
        <w:t xml:space="preserve"> are not effective for the 202</w:t>
      </w:r>
      <w:r>
        <w:t>3</w:t>
      </w:r>
      <w:r>
        <w:noBreakHyphen/>
        <w:t>24</w:t>
      </w:r>
      <w:r w:rsidRPr="00A7102E">
        <w:t xml:space="preserve"> reporting period. These accounting standards have not been applied to the Estimated Financial Statements. The State is reviewing its existing policies and assessing the potential implications of: </w:t>
      </w:r>
    </w:p>
    <w:p w14:paraId="3761A8F1" w14:textId="77777777" w:rsidR="00AB205D" w:rsidRPr="00F74DA3" w:rsidRDefault="00471A3B">
      <w:pPr>
        <w:pStyle w:val="ListBullet"/>
      </w:pPr>
      <w:r w:rsidRPr="00F74DA3">
        <w:t>AASB 2022</w:t>
      </w:r>
      <w:r>
        <w:noBreakHyphen/>
      </w:r>
      <w:r w:rsidRPr="00F74DA3">
        <w:t xml:space="preserve">10 </w:t>
      </w:r>
      <w:r w:rsidRPr="00E23AF7">
        <w:t>Amendments to Australian Accounting Standards – Fair Value Measurement of Non</w:t>
      </w:r>
      <w:r>
        <w:noBreakHyphen/>
      </w:r>
      <w:r w:rsidRPr="00E23AF7">
        <w:t>Financial Assets of Not</w:t>
      </w:r>
      <w:r>
        <w:noBreakHyphen/>
      </w:r>
      <w:r w:rsidRPr="00E23AF7">
        <w:t>for</w:t>
      </w:r>
      <w:r>
        <w:noBreakHyphen/>
      </w:r>
      <w:r w:rsidRPr="00E23AF7">
        <w:t>Profit Public Sector Entities</w:t>
      </w:r>
      <w:r>
        <w:t>:</w:t>
      </w:r>
    </w:p>
    <w:p w14:paraId="389AF01B" w14:textId="77777777" w:rsidR="00AB205D" w:rsidRDefault="00471A3B" w:rsidP="00570639">
      <w:pPr>
        <w:pStyle w:val="ListBullet2"/>
        <w:numPr>
          <w:ilvl w:val="1"/>
          <w:numId w:val="11"/>
        </w:numPr>
        <w:spacing w:before="40" w:after="40"/>
      </w:pPr>
      <w:r>
        <w:t>AASB 2022</w:t>
      </w:r>
      <w:r>
        <w:noBreakHyphen/>
        <w:t xml:space="preserve">10 amends AASB 13 </w:t>
      </w:r>
      <w:r w:rsidRPr="007A0E02">
        <w:rPr>
          <w:i/>
        </w:rPr>
        <w:t>Fair Value Measurement</w:t>
      </w:r>
      <w:r>
        <w:t xml:space="preserve"> by adding authoritative implementation guidance and illustrative examples for fair value measurement of non</w:t>
      </w:r>
      <w:r>
        <w:noBreakHyphen/>
        <w:t>financial assets of not</w:t>
      </w:r>
      <w:r>
        <w:noBreakHyphen/>
        <w:t>for</w:t>
      </w:r>
      <w:r>
        <w:noBreakHyphen/>
        <w:t xml:space="preserve">profit public sector entities not held primarily for their ability to generate net cash inflows. </w:t>
      </w:r>
    </w:p>
    <w:p w14:paraId="2AFA0B62" w14:textId="77777777" w:rsidR="00AB205D" w:rsidRDefault="00471A3B" w:rsidP="00570639">
      <w:pPr>
        <w:pStyle w:val="ListBullet2"/>
        <w:numPr>
          <w:ilvl w:val="1"/>
          <w:numId w:val="11"/>
        </w:numPr>
        <w:spacing w:before="40" w:after="40"/>
      </w:pPr>
      <w:r>
        <w:t>Among other things, this Standard:</w:t>
      </w:r>
    </w:p>
    <w:p w14:paraId="559384B1" w14:textId="77777777" w:rsidR="00AB205D" w:rsidRPr="00380AF9" w:rsidRDefault="00471A3B" w:rsidP="00570639">
      <w:pPr>
        <w:pStyle w:val="ListBullet3"/>
        <w:numPr>
          <w:ilvl w:val="2"/>
          <w:numId w:val="11"/>
        </w:numPr>
        <w:spacing w:before="40" w:after="40"/>
        <w:ind w:right="-227"/>
      </w:pPr>
      <w:r w:rsidRPr="00380AF9">
        <w:t xml:space="preserve">specifies that an entity needs to consider whether an asset’s highest and best use differs from its current use only when it is held for sale or held for distributions to owners under AASB 5 </w:t>
      </w:r>
      <w:r w:rsidRPr="007A0E02">
        <w:rPr>
          <w:i/>
        </w:rPr>
        <w:t>Non</w:t>
      </w:r>
      <w:r>
        <w:rPr>
          <w:i/>
        </w:rPr>
        <w:noBreakHyphen/>
      </w:r>
      <w:r w:rsidRPr="007A0E02">
        <w:rPr>
          <w:i/>
        </w:rPr>
        <w:t>current Assets Held for Sale</w:t>
      </w:r>
      <w:r w:rsidRPr="00086CD1">
        <w:rPr>
          <w:i/>
        </w:rPr>
        <w:t xml:space="preserve"> and Discontinued Operations</w:t>
      </w:r>
      <w:r w:rsidRPr="00380AF9">
        <w:t xml:space="preserve"> or if it is highly probable that it will be used for an alternative purpose</w:t>
      </w:r>
    </w:p>
    <w:p w14:paraId="17566F31" w14:textId="77777777" w:rsidR="00AB205D" w:rsidRPr="00380AF9" w:rsidRDefault="00471A3B" w:rsidP="00174DB6">
      <w:pPr>
        <w:pStyle w:val="ListBullet3"/>
        <w:numPr>
          <w:ilvl w:val="2"/>
          <w:numId w:val="11"/>
        </w:numPr>
        <w:spacing w:before="40" w:after="40"/>
        <w:ind w:right="-653"/>
      </w:pPr>
      <w:r w:rsidRPr="00380AF9">
        <w:t xml:space="preserve">clarifies that an asset’s use is ‘financially feasible’ if market participants would be willing to invest in the asset’s service capacity, considering both the capacity to provide needed goods or services and the resulting costs of those goods and services </w:t>
      </w:r>
    </w:p>
    <w:p w14:paraId="69F46C10" w14:textId="77777777" w:rsidR="00AB205D" w:rsidRPr="00380AF9" w:rsidRDefault="00471A3B" w:rsidP="00570639">
      <w:pPr>
        <w:pStyle w:val="ListBullet3"/>
        <w:numPr>
          <w:ilvl w:val="2"/>
          <w:numId w:val="11"/>
        </w:numPr>
        <w:spacing w:before="40" w:after="40"/>
        <w:ind w:right="-227"/>
      </w:pPr>
      <w:r w:rsidRPr="00380AF9">
        <w:t>specifies that if both market selling price and some market participant data required to fair value the asset are not observable, an entity needs to start with its own assumptions and adjust them to the extent that reasonably available information indicates that other market participants would use different data</w:t>
      </w:r>
    </w:p>
    <w:p w14:paraId="60E283AB" w14:textId="77777777" w:rsidR="00AB205D" w:rsidRPr="00380AF9" w:rsidRDefault="00471A3B" w:rsidP="00570639">
      <w:pPr>
        <w:pStyle w:val="ListBullet3"/>
        <w:numPr>
          <w:ilvl w:val="2"/>
          <w:numId w:val="11"/>
        </w:numPr>
        <w:spacing w:before="40" w:after="40"/>
        <w:ind w:right="-227"/>
      </w:pPr>
      <w:r w:rsidRPr="00380AF9">
        <w:t>provides guidance on the application of the cost approach to fair value, including the nature of costs to be included in a reference asset and identification of economic obsolescence</w:t>
      </w:r>
      <w:r>
        <w:t>.</w:t>
      </w:r>
    </w:p>
    <w:p w14:paraId="6CE21980" w14:textId="77777777" w:rsidR="00AB205D" w:rsidRDefault="00471A3B" w:rsidP="00570639">
      <w:pPr>
        <w:pStyle w:val="ListBullet2"/>
        <w:numPr>
          <w:ilvl w:val="1"/>
          <w:numId w:val="11"/>
        </w:numPr>
        <w:spacing w:before="40" w:after="40"/>
      </w:pPr>
      <w:r>
        <w:t>This Standard applies prospectively to annual periods beginning on or after 1 January 2024, with earlier application permitted.</w:t>
      </w:r>
    </w:p>
    <w:p w14:paraId="38F9304C" w14:textId="77777777" w:rsidR="00AB205D" w:rsidRPr="00D94C5C" w:rsidRDefault="00471A3B">
      <w:pPr>
        <w:pStyle w:val="ListBullet"/>
      </w:pPr>
      <w:r w:rsidRPr="00D94C5C">
        <w:t xml:space="preserve">AASB 17 </w:t>
      </w:r>
      <w:r w:rsidRPr="008476FE">
        <w:t>Insurance Contracts</w:t>
      </w:r>
      <w:r w:rsidRPr="00D94C5C">
        <w:t>, AASB 2022</w:t>
      </w:r>
      <w:r>
        <w:noBreakHyphen/>
      </w:r>
      <w:r w:rsidRPr="00D94C5C">
        <w:t xml:space="preserve">8 </w:t>
      </w:r>
      <w:r w:rsidRPr="008476FE">
        <w:t>Amendments to Australian Accounting Standards – Insurance Contracts: Consequential Amendments</w:t>
      </w:r>
      <w:r w:rsidRPr="00D94C5C">
        <w:t xml:space="preserve"> and AASB 2022</w:t>
      </w:r>
      <w:r>
        <w:noBreakHyphen/>
      </w:r>
      <w:r w:rsidRPr="00D94C5C">
        <w:t xml:space="preserve">9 </w:t>
      </w:r>
      <w:r w:rsidRPr="008476FE">
        <w:t>Amendments to Australian Accounting Standards – Insurance Contracts in the Public Sector</w:t>
      </w:r>
      <w:r>
        <w:t>:</w:t>
      </w:r>
    </w:p>
    <w:p w14:paraId="4ABEA38F" w14:textId="77777777" w:rsidR="00AB205D" w:rsidRDefault="00471A3B" w:rsidP="00570639">
      <w:pPr>
        <w:pStyle w:val="ListBullet2"/>
        <w:numPr>
          <w:ilvl w:val="1"/>
          <w:numId w:val="11"/>
        </w:numPr>
        <w:spacing w:before="40" w:after="40"/>
      </w:pPr>
      <w:r>
        <w:t xml:space="preserve">AASB 17 replaces AASB 4 </w:t>
      </w:r>
      <w:r w:rsidRPr="007215AD">
        <w:rPr>
          <w:i/>
          <w:iCs/>
        </w:rPr>
        <w:t>Insurance Contracts</w:t>
      </w:r>
      <w:r>
        <w:t xml:space="preserve">, AASB 1023 </w:t>
      </w:r>
      <w:r w:rsidRPr="007215AD">
        <w:rPr>
          <w:i/>
          <w:iCs/>
        </w:rPr>
        <w:t>General Insurance Contracts</w:t>
      </w:r>
      <w:r>
        <w:t xml:space="preserve"> and AASB 1038 </w:t>
      </w:r>
      <w:r w:rsidRPr="007215AD">
        <w:rPr>
          <w:i/>
          <w:iCs/>
        </w:rPr>
        <w:t>Life Insurance Contracts</w:t>
      </w:r>
      <w:r>
        <w:t xml:space="preserve"> for not</w:t>
      </w:r>
      <w:r>
        <w:noBreakHyphen/>
        <w:t>for</w:t>
      </w:r>
      <w:r>
        <w:noBreakHyphen/>
        <w:t>profit public sector entities for annual reporting periods beginning on or after 1 July 2026.</w:t>
      </w:r>
    </w:p>
    <w:p w14:paraId="0E957786" w14:textId="77777777" w:rsidR="00AB205D" w:rsidRDefault="00471A3B" w:rsidP="00570639">
      <w:pPr>
        <w:pStyle w:val="ListBullet2"/>
        <w:numPr>
          <w:ilvl w:val="1"/>
          <w:numId w:val="11"/>
        </w:numPr>
        <w:spacing w:before="40" w:after="40"/>
      </w:pPr>
      <w:r>
        <w:t>AASB 2022</w:t>
      </w:r>
      <w:r>
        <w:noBreakHyphen/>
        <w:t>9 amends AASB 17 to make public sector</w:t>
      </w:r>
      <w:r>
        <w:noBreakHyphen/>
        <w:t>related modifications (for example, it specifies the pre</w:t>
      </w:r>
      <w:r>
        <w:noBreakHyphen/>
        <w:t>requisites, indicators, and other considerations in identifying arrangements that fall within the scope of AASB 17 in a public sector context). This Standard applies for annual reporting periods beginning on or after 1 July 2026.</w:t>
      </w:r>
    </w:p>
    <w:p w14:paraId="1717099A" w14:textId="77777777" w:rsidR="00AB205D" w:rsidRDefault="00471A3B" w:rsidP="00570639">
      <w:pPr>
        <w:pStyle w:val="ListBullet2"/>
        <w:numPr>
          <w:ilvl w:val="1"/>
          <w:numId w:val="11"/>
        </w:numPr>
        <w:spacing w:before="40" w:after="40"/>
      </w:pPr>
      <w:r>
        <w:t>AASB 2022</w:t>
      </w:r>
      <w:r>
        <w:noBreakHyphen/>
        <w:t xml:space="preserve">8 makes consequential amendments to other AASs so that public sector entities are permitted to continue to apply AASB 4 and AASB 1023 to annual periods before 1 July 2026. </w:t>
      </w:r>
    </w:p>
    <w:p w14:paraId="69D81C14" w14:textId="77777777" w:rsidR="00AB205D" w:rsidRPr="009E03FE" w:rsidRDefault="00471A3B">
      <w:r>
        <w:lastRenderedPageBreak/>
        <w:t xml:space="preserve">A number of other standards and amendments have also been issued that apply to future reporting periods, however they are not expected to have any significant impact on the financial statements in the period of initial application. </w:t>
      </w:r>
    </w:p>
    <w:p w14:paraId="22BA21E1" w14:textId="77777777" w:rsidR="00AB205D" w:rsidRPr="00A7102E" w:rsidRDefault="00471A3B">
      <w:pPr>
        <w:pStyle w:val="Heading3"/>
      </w:pPr>
      <w:bookmarkStart w:id="80" w:name="_Toc149221100"/>
      <w:r w:rsidRPr="00A7102E">
        <w:t>Controlled entities</w:t>
      </w:r>
      <w:bookmarkEnd w:id="80"/>
    </w:p>
    <w:p w14:paraId="59B27CD1" w14:textId="77777777" w:rsidR="00AB205D" w:rsidRPr="00A7102E" w:rsidRDefault="00471A3B">
      <w:bookmarkStart w:id="81" w:name="_Hlk531351592"/>
      <w:r w:rsidRPr="00A7102E">
        <w:t xml:space="preserve">Note 9.8 in Chapter 4 of the </w:t>
      </w:r>
      <w:r w:rsidRPr="00F872C9">
        <w:rPr>
          <w:i/>
          <w:iCs/>
        </w:rPr>
        <w:t>202</w:t>
      </w:r>
      <w:r>
        <w:rPr>
          <w:i/>
          <w:iCs/>
        </w:rPr>
        <w:t>2</w:t>
      </w:r>
      <w:r>
        <w:rPr>
          <w:i/>
          <w:iCs/>
        </w:rPr>
        <w:noBreakHyphen/>
        <w:t>23</w:t>
      </w:r>
      <w:r w:rsidRPr="00F872C9">
        <w:rPr>
          <w:i/>
          <w:iCs/>
        </w:rPr>
        <w:t> Financial Report</w:t>
      </w:r>
      <w:r w:rsidRPr="00A7102E">
        <w:t xml:space="preserve"> for the State of Victoria</w:t>
      </w:r>
      <w:r w:rsidRPr="00A7102E" w:rsidDel="00F21926">
        <w:t xml:space="preserve"> </w:t>
      </w:r>
      <w:r w:rsidRPr="00A7102E">
        <w:t>lists significant controlled entities</w:t>
      </w:r>
      <w:r>
        <w:t xml:space="preserve"> that</w:t>
      </w:r>
      <w:r w:rsidRPr="00A7102E">
        <w:t xml:space="preserve"> were consolidated in that financial report. </w:t>
      </w:r>
    </w:p>
    <w:p w14:paraId="2F6B5417" w14:textId="77777777" w:rsidR="00AB205D" w:rsidRDefault="00471A3B">
      <w:bookmarkStart w:id="82" w:name="_Hlk147310732"/>
      <w:r w:rsidRPr="00A7102E">
        <w:t xml:space="preserve">The following are changes </w:t>
      </w:r>
      <w:r>
        <w:t>to</w:t>
      </w:r>
      <w:r w:rsidRPr="00A7102E">
        <w:t xml:space="preserve"> entities</w:t>
      </w:r>
      <w:r>
        <w:t xml:space="preserve"> </w:t>
      </w:r>
      <w:r w:rsidRPr="00A7102E">
        <w:t>since 1 July 202</w:t>
      </w:r>
      <w:r>
        <w:t>3</w:t>
      </w:r>
      <w:r w:rsidRPr="00A7102E">
        <w:t xml:space="preserve">, which have </w:t>
      </w:r>
      <w:r>
        <w:t xml:space="preserve">been consolidated in </w:t>
      </w:r>
      <w:r w:rsidRPr="00A7102E">
        <w:t>this financial report:</w:t>
      </w:r>
    </w:p>
    <w:bookmarkEnd w:id="81"/>
    <w:bookmarkEnd w:id="82"/>
    <w:p w14:paraId="4385BAFD" w14:textId="77777777" w:rsidR="00AB205D" w:rsidRDefault="00AB205D"/>
    <w:tbl>
      <w:tblPr>
        <w:tblStyle w:val="DTFTableShadedText"/>
        <w:tblW w:w="0" w:type="auto"/>
        <w:tblLook w:val="0620" w:firstRow="1" w:lastRow="0" w:firstColumn="0" w:lastColumn="0" w:noHBand="1" w:noVBand="1"/>
      </w:tblPr>
      <w:tblGrid>
        <w:gridCol w:w="7701"/>
      </w:tblGrid>
      <w:tr w:rsidR="009C6724" w:rsidRPr="00D51979" w14:paraId="0C10DF14" w14:textId="77777777" w:rsidTr="009C6724">
        <w:trPr>
          <w:cnfStyle w:val="100000000000" w:firstRow="1" w:lastRow="0" w:firstColumn="0" w:lastColumn="0" w:oddVBand="0" w:evenVBand="0" w:oddHBand="0" w:evenHBand="0" w:firstRowFirstColumn="0" w:firstRowLastColumn="0" w:lastRowFirstColumn="0" w:lastRowLastColumn="0"/>
        </w:trPr>
        <w:tc>
          <w:tcPr>
            <w:tcW w:w="7701" w:type="dxa"/>
          </w:tcPr>
          <w:p w14:paraId="7C63646F" w14:textId="77777777" w:rsidR="00AB205D" w:rsidRPr="00D51979" w:rsidRDefault="00471A3B">
            <w:r w:rsidRPr="00D51979">
              <w:t>General government</w:t>
            </w:r>
          </w:p>
        </w:tc>
      </w:tr>
      <w:tr w:rsidR="009C6724" w:rsidRPr="00D51979" w14:paraId="12CF0FD6" w14:textId="77777777" w:rsidTr="009C6724">
        <w:tc>
          <w:tcPr>
            <w:tcW w:w="7701" w:type="dxa"/>
            <w:tcBorders>
              <w:bottom w:val="nil"/>
            </w:tcBorders>
            <w:shd w:val="clear" w:color="auto" w:fill="auto"/>
          </w:tcPr>
          <w:p w14:paraId="7E4AB357" w14:textId="77777777" w:rsidR="00AB205D" w:rsidRPr="00D51979" w:rsidRDefault="00471A3B">
            <w:pPr>
              <w:shd w:val="clear" w:color="auto" w:fill="D9D9D9" w:themeFill="background1" w:themeFillShade="D9"/>
            </w:pPr>
            <w:r w:rsidRPr="003819C8">
              <w:rPr>
                <w:b/>
                <w:bCs/>
              </w:rPr>
              <w:t xml:space="preserve">Department of </w:t>
            </w:r>
            <w:r>
              <w:rPr>
                <w:b/>
                <w:bCs/>
              </w:rPr>
              <w:t>Health</w:t>
            </w:r>
          </w:p>
        </w:tc>
      </w:tr>
      <w:tr w:rsidR="009C6724" w:rsidRPr="00D51979" w14:paraId="75B4F190" w14:textId="77777777" w:rsidTr="009C6724">
        <w:tc>
          <w:tcPr>
            <w:tcW w:w="7701" w:type="dxa"/>
            <w:tcBorders>
              <w:top w:val="nil"/>
              <w:bottom w:val="nil"/>
            </w:tcBorders>
            <w:shd w:val="clear" w:color="auto" w:fill="auto"/>
          </w:tcPr>
          <w:p w14:paraId="2C9F48B4" w14:textId="77777777" w:rsidR="00AB205D" w:rsidRPr="00D51979" w:rsidRDefault="00471A3B">
            <w:pPr>
              <w:spacing w:before="40" w:after="40"/>
            </w:pPr>
            <w:r w:rsidRPr="00EA2E12">
              <w:t xml:space="preserve">Northern Health </w:t>
            </w:r>
            <w:r w:rsidRPr="003819C8">
              <w:rPr>
                <w:vertAlign w:val="superscript"/>
              </w:rPr>
              <w:t>(</w:t>
            </w:r>
            <w:r>
              <w:rPr>
                <w:vertAlign w:val="superscript"/>
              </w:rPr>
              <w:t>a</w:t>
            </w:r>
            <w:r w:rsidRPr="003819C8">
              <w:rPr>
                <w:vertAlign w:val="superscript"/>
              </w:rPr>
              <w:t>)</w:t>
            </w:r>
          </w:p>
        </w:tc>
      </w:tr>
      <w:tr w:rsidR="009C6724" w:rsidRPr="00D51979" w14:paraId="64F20160" w14:textId="77777777" w:rsidTr="009C6724">
        <w:tc>
          <w:tcPr>
            <w:tcW w:w="7701" w:type="dxa"/>
            <w:tcBorders>
              <w:top w:val="nil"/>
              <w:bottom w:val="nil"/>
            </w:tcBorders>
            <w:shd w:val="clear" w:color="auto" w:fill="auto"/>
          </w:tcPr>
          <w:p w14:paraId="39A408CA" w14:textId="77777777" w:rsidR="00AB205D" w:rsidRPr="003819C8" w:rsidRDefault="00471A3B">
            <w:pPr>
              <w:shd w:val="clear" w:color="auto" w:fill="D9D9D9" w:themeFill="background1" w:themeFillShade="D9"/>
              <w:rPr>
                <w:b/>
                <w:bCs/>
              </w:rPr>
            </w:pPr>
            <w:r w:rsidRPr="003819C8">
              <w:rPr>
                <w:b/>
                <w:bCs/>
              </w:rPr>
              <w:t>Department of Transport and Planning</w:t>
            </w:r>
          </w:p>
        </w:tc>
      </w:tr>
      <w:tr w:rsidR="009C6724" w:rsidRPr="00D51979" w14:paraId="2E440A28" w14:textId="77777777" w:rsidTr="009C6724">
        <w:tc>
          <w:tcPr>
            <w:tcW w:w="7701" w:type="dxa"/>
            <w:shd w:val="clear" w:color="auto" w:fill="auto"/>
          </w:tcPr>
          <w:p w14:paraId="332BB178" w14:textId="77777777" w:rsidR="00AB205D" w:rsidRPr="00D51979" w:rsidRDefault="00471A3B">
            <w:pPr>
              <w:spacing w:before="40" w:after="40"/>
            </w:pPr>
            <w:r w:rsidRPr="00D51979">
              <w:t xml:space="preserve">Secretary, Project Development </w:t>
            </w:r>
            <w:r w:rsidRPr="003819C8">
              <w:rPr>
                <w:vertAlign w:val="superscript"/>
              </w:rPr>
              <w:t>(</w:t>
            </w:r>
            <w:r>
              <w:rPr>
                <w:vertAlign w:val="superscript"/>
              </w:rPr>
              <w:t>b</w:t>
            </w:r>
            <w:r w:rsidRPr="003819C8">
              <w:rPr>
                <w:vertAlign w:val="superscript"/>
              </w:rPr>
              <w:t>)</w:t>
            </w:r>
          </w:p>
        </w:tc>
      </w:tr>
      <w:tr w:rsidR="009C6724" w:rsidRPr="00D126CB" w14:paraId="41728474" w14:textId="77777777" w:rsidTr="009C6724">
        <w:tc>
          <w:tcPr>
            <w:tcW w:w="7701" w:type="dxa"/>
            <w:tcBorders>
              <w:top w:val="nil"/>
              <w:bottom w:val="nil"/>
            </w:tcBorders>
            <w:shd w:val="clear" w:color="auto" w:fill="000000" w:themeFill="text1"/>
          </w:tcPr>
          <w:p w14:paraId="034677E7" w14:textId="77777777" w:rsidR="00AB205D" w:rsidRPr="00D126CB" w:rsidRDefault="00471A3B">
            <w:pPr>
              <w:rPr>
                <w:i/>
              </w:rPr>
            </w:pPr>
            <w:bookmarkStart w:id="83" w:name="_Hlk152685270"/>
            <w:r w:rsidRPr="00106C27">
              <w:rPr>
                <w:i/>
              </w:rPr>
              <w:t>Public non</w:t>
            </w:r>
            <w:r>
              <w:rPr>
                <w:i/>
              </w:rPr>
              <w:noBreakHyphen/>
            </w:r>
            <w:r w:rsidRPr="00106C27">
              <w:rPr>
                <w:i/>
              </w:rPr>
              <w:t>financial corporations</w:t>
            </w:r>
          </w:p>
        </w:tc>
      </w:tr>
      <w:tr w:rsidR="009C6724" w:rsidRPr="008C3058" w14:paraId="599E97C4" w14:textId="77777777" w:rsidTr="009C6724">
        <w:tc>
          <w:tcPr>
            <w:tcW w:w="7701" w:type="dxa"/>
            <w:tcBorders>
              <w:top w:val="nil"/>
              <w:bottom w:val="nil"/>
            </w:tcBorders>
            <w:shd w:val="clear" w:color="auto" w:fill="auto"/>
          </w:tcPr>
          <w:p w14:paraId="61501E13" w14:textId="77777777" w:rsidR="00AB205D" w:rsidRPr="008C3058" w:rsidRDefault="00471A3B">
            <w:pPr>
              <w:shd w:val="clear" w:color="auto" w:fill="D9D9D9" w:themeFill="background1" w:themeFillShade="D9"/>
              <w:rPr>
                <w:b/>
                <w:bCs/>
              </w:rPr>
            </w:pPr>
            <w:r>
              <w:rPr>
                <w:b/>
                <w:bCs/>
              </w:rPr>
              <w:t>Department of Energy, Environment, and Climate Action</w:t>
            </w:r>
          </w:p>
        </w:tc>
      </w:tr>
      <w:tr w:rsidR="009C6724" w:rsidRPr="00581FC5" w14:paraId="5C4D5F79" w14:textId="77777777" w:rsidTr="009C6724">
        <w:tc>
          <w:tcPr>
            <w:tcW w:w="7701" w:type="dxa"/>
            <w:tcBorders>
              <w:top w:val="nil"/>
              <w:bottom w:val="nil"/>
            </w:tcBorders>
            <w:shd w:val="clear" w:color="auto" w:fill="auto"/>
          </w:tcPr>
          <w:p w14:paraId="34312461" w14:textId="77777777" w:rsidR="00AB205D" w:rsidRPr="00581FC5" w:rsidRDefault="00471A3B">
            <w:pPr>
              <w:spacing w:before="40" w:after="40"/>
            </w:pPr>
            <w:r w:rsidRPr="00581FC5">
              <w:t>State Electricity Commission of Victoria</w:t>
            </w:r>
            <w:r>
              <w:t xml:space="preserve"> </w:t>
            </w:r>
            <w:r w:rsidRPr="003819C8">
              <w:rPr>
                <w:vertAlign w:val="superscript"/>
              </w:rPr>
              <w:t>(</w:t>
            </w:r>
            <w:r>
              <w:rPr>
                <w:vertAlign w:val="superscript"/>
              </w:rPr>
              <w:t>c</w:t>
            </w:r>
            <w:r w:rsidRPr="003819C8">
              <w:rPr>
                <w:vertAlign w:val="superscript"/>
              </w:rPr>
              <w:t>)</w:t>
            </w:r>
          </w:p>
        </w:tc>
      </w:tr>
      <w:tr w:rsidR="009C6724" w:rsidRPr="00581FC5" w14:paraId="0AD88406" w14:textId="77777777" w:rsidTr="00326F9D">
        <w:tc>
          <w:tcPr>
            <w:tcW w:w="7701" w:type="dxa"/>
            <w:tcBorders>
              <w:top w:val="nil"/>
              <w:bottom w:val="nil"/>
            </w:tcBorders>
            <w:shd w:val="clear" w:color="auto" w:fill="auto"/>
          </w:tcPr>
          <w:p w14:paraId="1F5494AD" w14:textId="77777777" w:rsidR="00AB205D" w:rsidRPr="00581FC5" w:rsidRDefault="00471A3B">
            <w:pPr>
              <w:spacing w:before="40" w:after="40"/>
            </w:pPr>
            <w:r>
              <w:t xml:space="preserve">SEC Victoria Pty Ltd: </w:t>
            </w:r>
            <w:r w:rsidRPr="003819C8">
              <w:rPr>
                <w:vertAlign w:val="superscript"/>
              </w:rPr>
              <w:t>(</w:t>
            </w:r>
            <w:r>
              <w:rPr>
                <w:vertAlign w:val="superscript"/>
              </w:rPr>
              <w:t>d</w:t>
            </w:r>
            <w:r w:rsidRPr="003819C8">
              <w:rPr>
                <w:vertAlign w:val="superscript"/>
              </w:rPr>
              <w:t>)</w:t>
            </w:r>
          </w:p>
        </w:tc>
      </w:tr>
      <w:tr w:rsidR="009C6724" w:rsidRPr="00581FC5" w14:paraId="22498EFE" w14:textId="77777777" w:rsidTr="00326F9D">
        <w:tc>
          <w:tcPr>
            <w:tcW w:w="7701" w:type="dxa"/>
            <w:tcBorders>
              <w:top w:val="nil"/>
              <w:bottom w:val="single" w:sz="12" w:space="0" w:color="auto"/>
            </w:tcBorders>
            <w:shd w:val="clear" w:color="auto" w:fill="auto"/>
          </w:tcPr>
          <w:p w14:paraId="2F4D7F1F" w14:textId="77777777" w:rsidR="00AB205D" w:rsidRDefault="00471A3B">
            <w:pPr>
              <w:pStyle w:val="ListBullet"/>
            </w:pPr>
            <w:r>
              <w:t>SEC Infrastructure Pty Ltd</w:t>
            </w:r>
          </w:p>
          <w:p w14:paraId="4B1290CB" w14:textId="77777777" w:rsidR="00AB205D" w:rsidRDefault="00471A3B">
            <w:pPr>
              <w:pStyle w:val="ListBullet"/>
            </w:pPr>
            <w:r>
              <w:t>SEC Energy Pty Ltd</w:t>
            </w:r>
          </w:p>
        </w:tc>
      </w:tr>
    </w:tbl>
    <w:p w14:paraId="7AFF788B" w14:textId="77777777" w:rsidR="00AB205D" w:rsidRDefault="00471A3B">
      <w:pPr>
        <w:pStyle w:val="Note"/>
      </w:pPr>
      <w:r>
        <w:t>Notes:</w:t>
      </w:r>
    </w:p>
    <w:p w14:paraId="35C05745" w14:textId="77777777" w:rsidR="00AB205D" w:rsidRDefault="00471A3B">
      <w:pPr>
        <w:pStyle w:val="Note"/>
      </w:pPr>
      <w:r>
        <w:t>(a)</w:t>
      </w:r>
      <w:r>
        <w:tab/>
      </w:r>
      <w:r w:rsidRPr="007347D0">
        <w:t>Effective</w:t>
      </w:r>
      <w:r w:rsidRPr="00D930D9">
        <w:t xml:space="preserve"> from </w:t>
      </w:r>
      <w:r>
        <w:t xml:space="preserve">1 November 2023, Northern Health and </w:t>
      </w:r>
      <w:r w:rsidRPr="008C5CFB">
        <w:t xml:space="preserve">Kilmore District </w:t>
      </w:r>
      <w:r>
        <w:t xml:space="preserve">Health are </w:t>
      </w:r>
      <w:r w:rsidRPr="001869BA">
        <w:t xml:space="preserve">amalgamated </w:t>
      </w:r>
      <w:r>
        <w:t>to be known as Northern Health under a voluntary amalgamation.</w:t>
      </w:r>
    </w:p>
    <w:p w14:paraId="2EE0C5C3" w14:textId="77777777" w:rsidR="00AB205D" w:rsidRDefault="00471A3B">
      <w:pPr>
        <w:pStyle w:val="Note"/>
      </w:pPr>
      <w:r>
        <w:t>(b)</w:t>
      </w:r>
      <w:r w:rsidRPr="008355EB">
        <w:tab/>
      </w:r>
      <w:r w:rsidRPr="007347D0">
        <w:t>Effective</w:t>
      </w:r>
      <w:r w:rsidRPr="00D930D9">
        <w:t xml:space="preserve"> from </w:t>
      </w:r>
      <w:r>
        <w:t>1 August 2023, the Secretary, Project Development, was assigned from the Department of Jobs, Skills, Industry and Regions to the Department of Transport and Planning</w:t>
      </w:r>
      <w:r w:rsidRPr="00D930D9">
        <w:t>.</w:t>
      </w:r>
    </w:p>
    <w:p w14:paraId="000F9F90" w14:textId="77777777" w:rsidR="00AB205D" w:rsidRPr="00CE26F4" w:rsidRDefault="00471A3B">
      <w:pPr>
        <w:pStyle w:val="Note"/>
      </w:pPr>
      <w:r w:rsidRPr="002246B1">
        <w:t>(c)</w:t>
      </w:r>
      <w:r w:rsidRPr="002246B1">
        <w:rPr>
          <w:color w:val="FF0000"/>
        </w:rPr>
        <w:tab/>
      </w:r>
      <w:r w:rsidRPr="00CE26F4">
        <w:t xml:space="preserve">The previous State Electricity Commission of Victoria, established under the </w:t>
      </w:r>
      <w:r w:rsidRPr="002246B1">
        <w:rPr>
          <w:i w:val="0"/>
          <w:iCs/>
        </w:rPr>
        <w:t>State Electricity Commission Act 1958</w:t>
      </w:r>
      <w:r w:rsidRPr="00CE26F4">
        <w:t xml:space="preserve"> (SEC Act), remains a separate legal entity</w:t>
      </w:r>
      <w:r>
        <w:t xml:space="preserve">. Subject to passing of legislation currently before Parliament, the entity will be abolished by amendment of the SEC Act. </w:t>
      </w:r>
    </w:p>
    <w:p w14:paraId="726902FE" w14:textId="77777777" w:rsidR="00AB205D" w:rsidRPr="00CE26F4" w:rsidRDefault="00471A3B">
      <w:pPr>
        <w:pStyle w:val="Note"/>
      </w:pPr>
      <w:r w:rsidRPr="002246B1">
        <w:t>(d)</w:t>
      </w:r>
      <w:r w:rsidRPr="002246B1">
        <w:tab/>
      </w:r>
      <w:r w:rsidRPr="00CE26F4">
        <w:t xml:space="preserve">In October 2023, the </w:t>
      </w:r>
      <w:r>
        <w:t xml:space="preserve">SEC Victoria Pty Ltd and its </w:t>
      </w:r>
      <w:r w:rsidRPr="00CE26F4">
        <w:t>subsidiaries</w:t>
      </w:r>
      <w:r>
        <w:t xml:space="preserve"> SEC Infrastructure Pty Ltd and SEC Energy Pty Ltd</w:t>
      </w:r>
      <w:r w:rsidRPr="00CE26F4">
        <w:t xml:space="preserve"> were incorporated as companies under the </w:t>
      </w:r>
      <w:r w:rsidRPr="00D30AD5">
        <w:rPr>
          <w:i w:val="0"/>
        </w:rPr>
        <w:t xml:space="preserve">Corporations Act </w:t>
      </w:r>
      <w:r w:rsidRPr="00D30AD5">
        <w:rPr>
          <w:i w:val="0"/>
          <w:iCs/>
        </w:rPr>
        <w:t>2001</w:t>
      </w:r>
      <w:r w:rsidRPr="00CE26F4">
        <w:t xml:space="preserve"> and registered in Victoria. Subsequently in November 2023, they were each declared a State</w:t>
      </w:r>
      <w:r>
        <w:t xml:space="preserve"> </w:t>
      </w:r>
      <w:r w:rsidRPr="00CE26F4">
        <w:t xml:space="preserve">Owned Company (SOC) under the </w:t>
      </w:r>
      <w:r w:rsidRPr="00580A4F">
        <w:rPr>
          <w:i w:val="0"/>
        </w:rPr>
        <w:t>State Owned Enterprises Act 1992</w:t>
      </w:r>
      <w:r w:rsidRPr="00CE26F4">
        <w:t>.</w:t>
      </w:r>
    </w:p>
    <w:bookmarkEnd w:id="83"/>
    <w:p w14:paraId="41A4C682" w14:textId="77777777" w:rsidR="00AB205D" w:rsidRPr="00F872C9" w:rsidRDefault="00AB205D"/>
    <w:bookmarkEnd w:id="75"/>
    <w:p w14:paraId="696030A2" w14:textId="20C1AFAD" w:rsidR="005F294E" w:rsidRDefault="005F294E">
      <w:pPr>
        <w:keepLines w:val="0"/>
      </w:pPr>
      <w:r>
        <w:br w:type="page"/>
      </w:r>
    </w:p>
    <w:p w14:paraId="417D4621" w14:textId="77777777" w:rsidR="00AB205D" w:rsidRPr="00901F0C" w:rsidRDefault="00AB205D"/>
    <w:p w14:paraId="513E2FDC" w14:textId="77777777" w:rsidR="00341416" w:rsidRDefault="00341416" w:rsidP="00341416">
      <w:pPr>
        <w:keepLines w:val="0"/>
      </w:pPr>
    </w:p>
    <w:p w14:paraId="59BEE5CF" w14:textId="77777777" w:rsidR="00341416" w:rsidRDefault="00341416" w:rsidP="00341416">
      <w:pPr>
        <w:sectPr w:rsidR="00341416" w:rsidSect="00FA005E">
          <w:type w:val="continuous"/>
          <w:pgSz w:w="9979" w:h="14175" w:code="34"/>
          <w:pgMar w:top="1134" w:right="1134" w:bottom="1134" w:left="1134" w:header="624" w:footer="567" w:gutter="0"/>
          <w:cols w:space="708"/>
          <w:docGrid w:linePitch="360"/>
        </w:sectPr>
      </w:pPr>
    </w:p>
    <w:p w14:paraId="0D01556A" w14:textId="77777777" w:rsidR="00AB205D" w:rsidRPr="00921F69" w:rsidRDefault="00471A3B">
      <w:pPr>
        <w:pStyle w:val="ChapterHeading"/>
      </w:pPr>
      <w:bookmarkStart w:id="84" w:name="_Toc152933038"/>
      <w:r w:rsidRPr="00921F69">
        <w:lastRenderedPageBreak/>
        <w:t>Chapter 5 – Supplementary uniform presentation framework tables</w:t>
      </w:r>
      <w:bookmarkEnd w:id="84"/>
    </w:p>
    <w:p w14:paraId="073687C5" w14:textId="77777777" w:rsidR="00AB205D" w:rsidRDefault="00471A3B">
      <w:pPr>
        <w:pStyle w:val="TableHeading"/>
      </w:pPr>
      <w:r w:rsidRPr="00921F69">
        <w:t>Table 5.1</w:t>
      </w:r>
      <w:r w:rsidRPr="00921F69">
        <w:tab/>
        <w:t xml:space="preserve">Public non-financial corporations sector comprehensive operating </w:t>
      </w:r>
      <w:r w:rsidRPr="00921F69">
        <w:br/>
        <w:t>statement for the financial year ended 30 June</w:t>
      </w:r>
      <w:r>
        <w:t xml:space="preserve"> </w:t>
      </w:r>
      <w:r w:rsidRPr="00DE0702">
        <w:rPr>
          <w:vertAlign w:val="superscript"/>
        </w:rPr>
        <w:t>(a)</w:t>
      </w:r>
      <w:r w:rsidRPr="00921F69">
        <w:tab/>
        <w:t>($ million)</w:t>
      </w:r>
    </w:p>
    <w:tbl>
      <w:tblPr>
        <w:tblStyle w:val="DTFTableNumeric"/>
        <w:tblW w:w="7710" w:type="dxa"/>
        <w:tblLayout w:type="fixed"/>
        <w:tblLook w:val="06A0" w:firstRow="1" w:lastRow="0" w:firstColumn="1" w:lastColumn="0" w:noHBand="1" w:noVBand="1"/>
        <w:tblDescription w:val="Type:DtfTable|Workbook:Rawdata\BudgetUpdate\Budget Update\Financial Statements\SRIMS exports\SRIMS_BU_UPF_PNFC_PFC.xlsx|Table:PNFC_OS|MergedHeadingRow:1|LastRow:36"/>
      </w:tblPr>
      <w:tblGrid>
        <w:gridCol w:w="3686"/>
        <w:gridCol w:w="804"/>
        <w:gridCol w:w="805"/>
        <w:gridCol w:w="805"/>
        <w:gridCol w:w="805"/>
        <w:gridCol w:w="805"/>
      </w:tblGrid>
      <w:tr w:rsidR="009C6724" w:rsidRPr="00174DB6" w14:paraId="47D702DA"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6" w:type="dxa"/>
          </w:tcPr>
          <w:p w14:paraId="52035640" w14:textId="77777777" w:rsidR="00AB205D" w:rsidRPr="00174DB6" w:rsidRDefault="00AB205D">
            <w:pPr>
              <w:keepNext/>
              <w:rPr>
                <w:szCs w:val="17"/>
              </w:rPr>
            </w:pPr>
          </w:p>
        </w:tc>
        <w:tc>
          <w:tcPr>
            <w:tcW w:w="804" w:type="dxa"/>
          </w:tcPr>
          <w:p w14:paraId="6510AC3D" w14:textId="77777777" w:rsidR="00AB205D" w:rsidRPr="00174DB6" w:rsidRDefault="00471A3B">
            <w:pPr>
              <w:keepNext/>
              <w:cnfStyle w:val="100000000000" w:firstRow="1" w:lastRow="0" w:firstColumn="0" w:lastColumn="0" w:oddVBand="0" w:evenVBand="0" w:oddHBand="0" w:evenHBand="0" w:firstRowFirstColumn="0" w:firstRowLastColumn="0" w:lastRowFirstColumn="0" w:lastRowLastColumn="0"/>
              <w:rPr>
                <w:szCs w:val="17"/>
              </w:rPr>
            </w:pPr>
            <w:r w:rsidRPr="00174DB6">
              <w:rPr>
                <w:szCs w:val="17"/>
              </w:rPr>
              <w:t>2023</w:t>
            </w:r>
            <w:r w:rsidRPr="00174DB6">
              <w:rPr>
                <w:szCs w:val="17"/>
              </w:rPr>
              <w:noBreakHyphen/>
              <w:t>24</w:t>
            </w:r>
            <w:r w:rsidRPr="00174DB6">
              <w:rPr>
                <w:szCs w:val="17"/>
              </w:rPr>
              <w:br/>
              <w:t>budget</w:t>
            </w:r>
          </w:p>
        </w:tc>
        <w:tc>
          <w:tcPr>
            <w:tcW w:w="805" w:type="dxa"/>
          </w:tcPr>
          <w:p w14:paraId="4BAC9BF1" w14:textId="77777777" w:rsidR="00AB205D" w:rsidRPr="00174DB6" w:rsidRDefault="00471A3B">
            <w:pPr>
              <w:keepNext/>
              <w:cnfStyle w:val="100000000000" w:firstRow="1" w:lastRow="0" w:firstColumn="0" w:lastColumn="0" w:oddVBand="0" w:evenVBand="0" w:oddHBand="0" w:evenHBand="0" w:firstRowFirstColumn="0" w:firstRowLastColumn="0" w:lastRowFirstColumn="0" w:lastRowLastColumn="0"/>
              <w:rPr>
                <w:szCs w:val="17"/>
              </w:rPr>
            </w:pPr>
            <w:r w:rsidRPr="00174DB6">
              <w:rPr>
                <w:szCs w:val="17"/>
              </w:rPr>
              <w:t>2023</w:t>
            </w:r>
            <w:r w:rsidRPr="00174DB6">
              <w:rPr>
                <w:szCs w:val="17"/>
              </w:rPr>
              <w:noBreakHyphen/>
              <w:t>24</w:t>
            </w:r>
            <w:r w:rsidRPr="00174DB6">
              <w:rPr>
                <w:szCs w:val="17"/>
              </w:rPr>
              <w:br/>
              <w:t>revised</w:t>
            </w:r>
          </w:p>
        </w:tc>
        <w:tc>
          <w:tcPr>
            <w:tcW w:w="805" w:type="dxa"/>
          </w:tcPr>
          <w:p w14:paraId="37E74917" w14:textId="77777777" w:rsidR="00AB205D" w:rsidRPr="00174DB6" w:rsidRDefault="00471A3B">
            <w:pPr>
              <w:keepNext/>
              <w:cnfStyle w:val="100000000000" w:firstRow="1" w:lastRow="0" w:firstColumn="0" w:lastColumn="0" w:oddVBand="0" w:evenVBand="0" w:oddHBand="0" w:evenHBand="0" w:firstRowFirstColumn="0" w:firstRowLastColumn="0" w:lastRowFirstColumn="0" w:lastRowLastColumn="0"/>
              <w:rPr>
                <w:szCs w:val="17"/>
              </w:rPr>
            </w:pPr>
            <w:r w:rsidRPr="00174DB6">
              <w:rPr>
                <w:szCs w:val="17"/>
              </w:rPr>
              <w:t>2024</w:t>
            </w:r>
            <w:r w:rsidRPr="00174DB6">
              <w:rPr>
                <w:szCs w:val="17"/>
              </w:rPr>
              <w:noBreakHyphen/>
              <w:t>25</w:t>
            </w:r>
            <w:r w:rsidRPr="00174DB6">
              <w:rPr>
                <w:szCs w:val="17"/>
              </w:rPr>
              <w:br/>
              <w:t>estimate</w:t>
            </w:r>
          </w:p>
        </w:tc>
        <w:tc>
          <w:tcPr>
            <w:tcW w:w="805" w:type="dxa"/>
          </w:tcPr>
          <w:p w14:paraId="3EEBB758" w14:textId="77777777" w:rsidR="00AB205D" w:rsidRPr="00174DB6" w:rsidRDefault="00471A3B">
            <w:pPr>
              <w:keepNext/>
              <w:cnfStyle w:val="100000000000" w:firstRow="1" w:lastRow="0" w:firstColumn="0" w:lastColumn="0" w:oddVBand="0" w:evenVBand="0" w:oddHBand="0" w:evenHBand="0" w:firstRowFirstColumn="0" w:firstRowLastColumn="0" w:lastRowFirstColumn="0" w:lastRowLastColumn="0"/>
              <w:rPr>
                <w:szCs w:val="17"/>
              </w:rPr>
            </w:pPr>
            <w:r w:rsidRPr="00174DB6">
              <w:rPr>
                <w:szCs w:val="17"/>
              </w:rPr>
              <w:t>2025</w:t>
            </w:r>
            <w:r w:rsidRPr="00174DB6">
              <w:rPr>
                <w:szCs w:val="17"/>
              </w:rPr>
              <w:noBreakHyphen/>
              <w:t>26</w:t>
            </w:r>
            <w:r w:rsidRPr="00174DB6">
              <w:rPr>
                <w:szCs w:val="17"/>
              </w:rPr>
              <w:br/>
              <w:t>estimate</w:t>
            </w:r>
          </w:p>
        </w:tc>
        <w:tc>
          <w:tcPr>
            <w:tcW w:w="805" w:type="dxa"/>
          </w:tcPr>
          <w:p w14:paraId="73E58973" w14:textId="77777777" w:rsidR="00AB205D" w:rsidRPr="00174DB6" w:rsidRDefault="00471A3B">
            <w:pPr>
              <w:keepNext/>
              <w:cnfStyle w:val="100000000000" w:firstRow="1" w:lastRow="0" w:firstColumn="0" w:lastColumn="0" w:oddVBand="0" w:evenVBand="0" w:oddHBand="0" w:evenHBand="0" w:firstRowFirstColumn="0" w:firstRowLastColumn="0" w:lastRowFirstColumn="0" w:lastRowLastColumn="0"/>
              <w:rPr>
                <w:szCs w:val="17"/>
              </w:rPr>
            </w:pPr>
            <w:r w:rsidRPr="00174DB6">
              <w:rPr>
                <w:szCs w:val="17"/>
              </w:rPr>
              <w:t>2026</w:t>
            </w:r>
            <w:r w:rsidRPr="00174DB6">
              <w:rPr>
                <w:szCs w:val="17"/>
              </w:rPr>
              <w:noBreakHyphen/>
              <w:t>27</w:t>
            </w:r>
            <w:r w:rsidRPr="00174DB6">
              <w:rPr>
                <w:szCs w:val="17"/>
              </w:rPr>
              <w:br/>
              <w:t>estimate</w:t>
            </w:r>
          </w:p>
        </w:tc>
      </w:tr>
      <w:tr w:rsidR="009C6724" w:rsidRPr="00174DB6" w14:paraId="1CE89A13" w14:textId="77777777" w:rsidTr="009C6724">
        <w:tc>
          <w:tcPr>
            <w:cnfStyle w:val="001000000000" w:firstRow="0" w:lastRow="0" w:firstColumn="1" w:lastColumn="0" w:oddVBand="0" w:evenVBand="0" w:oddHBand="0" w:evenHBand="0" w:firstRowFirstColumn="0" w:firstRowLastColumn="0" w:lastRowFirstColumn="0" w:lastRowLastColumn="0"/>
            <w:tcW w:w="3686" w:type="dxa"/>
          </w:tcPr>
          <w:p w14:paraId="1E954BA0" w14:textId="77777777" w:rsidR="00AB205D" w:rsidRPr="00174DB6" w:rsidRDefault="00471A3B">
            <w:pPr>
              <w:rPr>
                <w:szCs w:val="17"/>
              </w:rPr>
            </w:pPr>
            <w:r w:rsidRPr="00174DB6">
              <w:rPr>
                <w:b/>
                <w:szCs w:val="17"/>
              </w:rPr>
              <w:t>Revenue and income from transactions</w:t>
            </w:r>
          </w:p>
        </w:tc>
        <w:tc>
          <w:tcPr>
            <w:tcW w:w="804" w:type="dxa"/>
          </w:tcPr>
          <w:p w14:paraId="6082F837" w14:textId="77777777" w:rsidR="00AB205D" w:rsidRPr="00174DB6" w:rsidRDefault="00AB205D">
            <w:pPr>
              <w:cnfStyle w:val="000000000000" w:firstRow="0" w:lastRow="0" w:firstColumn="0" w:lastColumn="0" w:oddVBand="0" w:evenVBand="0" w:oddHBand="0" w:evenHBand="0" w:firstRowFirstColumn="0" w:firstRowLastColumn="0" w:lastRowFirstColumn="0" w:lastRowLastColumn="0"/>
              <w:rPr>
                <w:szCs w:val="17"/>
              </w:rPr>
            </w:pPr>
          </w:p>
        </w:tc>
        <w:tc>
          <w:tcPr>
            <w:tcW w:w="805" w:type="dxa"/>
          </w:tcPr>
          <w:p w14:paraId="1B792D93" w14:textId="77777777" w:rsidR="00AB205D" w:rsidRPr="00174DB6" w:rsidRDefault="00AB205D">
            <w:pPr>
              <w:cnfStyle w:val="000000000000" w:firstRow="0" w:lastRow="0" w:firstColumn="0" w:lastColumn="0" w:oddVBand="0" w:evenVBand="0" w:oddHBand="0" w:evenHBand="0" w:firstRowFirstColumn="0" w:firstRowLastColumn="0" w:lastRowFirstColumn="0" w:lastRowLastColumn="0"/>
              <w:rPr>
                <w:szCs w:val="17"/>
              </w:rPr>
            </w:pPr>
          </w:p>
        </w:tc>
        <w:tc>
          <w:tcPr>
            <w:tcW w:w="805" w:type="dxa"/>
          </w:tcPr>
          <w:p w14:paraId="12D620D8" w14:textId="77777777" w:rsidR="00AB205D" w:rsidRPr="00174DB6" w:rsidRDefault="00AB205D">
            <w:pPr>
              <w:cnfStyle w:val="000000000000" w:firstRow="0" w:lastRow="0" w:firstColumn="0" w:lastColumn="0" w:oddVBand="0" w:evenVBand="0" w:oddHBand="0" w:evenHBand="0" w:firstRowFirstColumn="0" w:firstRowLastColumn="0" w:lastRowFirstColumn="0" w:lastRowLastColumn="0"/>
              <w:rPr>
                <w:szCs w:val="17"/>
              </w:rPr>
            </w:pPr>
          </w:p>
        </w:tc>
        <w:tc>
          <w:tcPr>
            <w:tcW w:w="805" w:type="dxa"/>
          </w:tcPr>
          <w:p w14:paraId="3BB6BA0A" w14:textId="77777777" w:rsidR="00AB205D" w:rsidRPr="00174DB6" w:rsidRDefault="00AB205D">
            <w:pPr>
              <w:cnfStyle w:val="000000000000" w:firstRow="0" w:lastRow="0" w:firstColumn="0" w:lastColumn="0" w:oddVBand="0" w:evenVBand="0" w:oddHBand="0" w:evenHBand="0" w:firstRowFirstColumn="0" w:firstRowLastColumn="0" w:lastRowFirstColumn="0" w:lastRowLastColumn="0"/>
              <w:rPr>
                <w:szCs w:val="17"/>
              </w:rPr>
            </w:pPr>
          </w:p>
        </w:tc>
        <w:tc>
          <w:tcPr>
            <w:tcW w:w="805" w:type="dxa"/>
          </w:tcPr>
          <w:p w14:paraId="6C0BD49E" w14:textId="77777777" w:rsidR="00AB205D" w:rsidRPr="00174DB6" w:rsidRDefault="00AB205D">
            <w:pPr>
              <w:cnfStyle w:val="000000000000" w:firstRow="0" w:lastRow="0" w:firstColumn="0" w:lastColumn="0" w:oddVBand="0" w:evenVBand="0" w:oddHBand="0" w:evenHBand="0" w:firstRowFirstColumn="0" w:firstRowLastColumn="0" w:lastRowFirstColumn="0" w:lastRowLastColumn="0"/>
              <w:rPr>
                <w:szCs w:val="17"/>
              </w:rPr>
            </w:pPr>
          </w:p>
        </w:tc>
      </w:tr>
      <w:tr w:rsidR="009C6724" w:rsidRPr="00174DB6" w14:paraId="68AFEB56" w14:textId="77777777" w:rsidTr="009C6724">
        <w:tc>
          <w:tcPr>
            <w:cnfStyle w:val="001000000000" w:firstRow="0" w:lastRow="0" w:firstColumn="1" w:lastColumn="0" w:oddVBand="0" w:evenVBand="0" w:oddHBand="0" w:evenHBand="0" w:firstRowFirstColumn="0" w:firstRowLastColumn="0" w:lastRowFirstColumn="0" w:lastRowLastColumn="0"/>
            <w:tcW w:w="3686" w:type="dxa"/>
          </w:tcPr>
          <w:p w14:paraId="226B9B4D" w14:textId="77777777" w:rsidR="00AB205D" w:rsidRPr="00174DB6" w:rsidRDefault="00471A3B">
            <w:pPr>
              <w:rPr>
                <w:szCs w:val="17"/>
              </w:rPr>
            </w:pPr>
            <w:r w:rsidRPr="00174DB6">
              <w:rPr>
                <w:szCs w:val="17"/>
              </w:rPr>
              <w:t>Interest income</w:t>
            </w:r>
          </w:p>
        </w:tc>
        <w:tc>
          <w:tcPr>
            <w:tcW w:w="804" w:type="dxa"/>
          </w:tcPr>
          <w:p w14:paraId="1531AEFE"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125</w:t>
            </w:r>
          </w:p>
        </w:tc>
        <w:tc>
          <w:tcPr>
            <w:tcW w:w="805" w:type="dxa"/>
          </w:tcPr>
          <w:p w14:paraId="2E130DD5"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24</w:t>
            </w:r>
          </w:p>
        </w:tc>
        <w:tc>
          <w:tcPr>
            <w:tcW w:w="805" w:type="dxa"/>
          </w:tcPr>
          <w:p w14:paraId="2C0669C4"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20</w:t>
            </w:r>
          </w:p>
        </w:tc>
        <w:tc>
          <w:tcPr>
            <w:tcW w:w="805" w:type="dxa"/>
          </w:tcPr>
          <w:p w14:paraId="0D143F53"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19</w:t>
            </w:r>
          </w:p>
        </w:tc>
        <w:tc>
          <w:tcPr>
            <w:tcW w:w="805" w:type="dxa"/>
          </w:tcPr>
          <w:p w14:paraId="5CCE12B1"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20</w:t>
            </w:r>
          </w:p>
        </w:tc>
      </w:tr>
      <w:tr w:rsidR="009C6724" w:rsidRPr="00174DB6" w14:paraId="40A00CDF" w14:textId="77777777" w:rsidTr="009C6724">
        <w:tc>
          <w:tcPr>
            <w:cnfStyle w:val="001000000000" w:firstRow="0" w:lastRow="0" w:firstColumn="1" w:lastColumn="0" w:oddVBand="0" w:evenVBand="0" w:oddHBand="0" w:evenHBand="0" w:firstRowFirstColumn="0" w:firstRowLastColumn="0" w:lastRowFirstColumn="0" w:lastRowLastColumn="0"/>
            <w:tcW w:w="3686" w:type="dxa"/>
          </w:tcPr>
          <w:p w14:paraId="3FE436AE" w14:textId="77777777" w:rsidR="00AB205D" w:rsidRPr="00174DB6" w:rsidRDefault="00471A3B">
            <w:pPr>
              <w:rPr>
                <w:szCs w:val="17"/>
              </w:rPr>
            </w:pPr>
            <w:r w:rsidRPr="00174DB6">
              <w:rPr>
                <w:szCs w:val="17"/>
              </w:rPr>
              <w:t>Dividend income</w:t>
            </w:r>
          </w:p>
        </w:tc>
        <w:tc>
          <w:tcPr>
            <w:tcW w:w="804" w:type="dxa"/>
          </w:tcPr>
          <w:p w14:paraId="31129564"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32</w:t>
            </w:r>
          </w:p>
        </w:tc>
        <w:tc>
          <w:tcPr>
            <w:tcW w:w="805" w:type="dxa"/>
          </w:tcPr>
          <w:p w14:paraId="30F9F18C"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31</w:t>
            </w:r>
          </w:p>
        </w:tc>
        <w:tc>
          <w:tcPr>
            <w:tcW w:w="805" w:type="dxa"/>
          </w:tcPr>
          <w:p w14:paraId="7FB467FD"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32</w:t>
            </w:r>
          </w:p>
        </w:tc>
        <w:tc>
          <w:tcPr>
            <w:tcW w:w="805" w:type="dxa"/>
          </w:tcPr>
          <w:p w14:paraId="470656D6"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33</w:t>
            </w:r>
          </w:p>
        </w:tc>
        <w:tc>
          <w:tcPr>
            <w:tcW w:w="805" w:type="dxa"/>
          </w:tcPr>
          <w:p w14:paraId="593E2862"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33</w:t>
            </w:r>
          </w:p>
        </w:tc>
      </w:tr>
      <w:tr w:rsidR="009C6724" w:rsidRPr="00174DB6" w14:paraId="7B37465D" w14:textId="77777777" w:rsidTr="009C6724">
        <w:tc>
          <w:tcPr>
            <w:cnfStyle w:val="001000000000" w:firstRow="0" w:lastRow="0" w:firstColumn="1" w:lastColumn="0" w:oddVBand="0" w:evenVBand="0" w:oddHBand="0" w:evenHBand="0" w:firstRowFirstColumn="0" w:firstRowLastColumn="0" w:lastRowFirstColumn="0" w:lastRowLastColumn="0"/>
            <w:tcW w:w="3686" w:type="dxa"/>
          </w:tcPr>
          <w:p w14:paraId="571A959C" w14:textId="77777777" w:rsidR="00AB205D" w:rsidRPr="00174DB6" w:rsidRDefault="00471A3B">
            <w:pPr>
              <w:rPr>
                <w:szCs w:val="17"/>
              </w:rPr>
            </w:pPr>
            <w:r w:rsidRPr="00174DB6">
              <w:rPr>
                <w:szCs w:val="17"/>
              </w:rPr>
              <w:t>Sales of goods and services</w:t>
            </w:r>
          </w:p>
        </w:tc>
        <w:tc>
          <w:tcPr>
            <w:tcW w:w="804" w:type="dxa"/>
          </w:tcPr>
          <w:p w14:paraId="31EA7044"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7 361</w:t>
            </w:r>
          </w:p>
        </w:tc>
        <w:tc>
          <w:tcPr>
            <w:tcW w:w="805" w:type="dxa"/>
          </w:tcPr>
          <w:p w14:paraId="09E1BE71"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7 450</w:t>
            </w:r>
          </w:p>
        </w:tc>
        <w:tc>
          <w:tcPr>
            <w:tcW w:w="805" w:type="dxa"/>
          </w:tcPr>
          <w:p w14:paraId="3453B172"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7 897</w:t>
            </w:r>
          </w:p>
        </w:tc>
        <w:tc>
          <w:tcPr>
            <w:tcW w:w="805" w:type="dxa"/>
          </w:tcPr>
          <w:p w14:paraId="09CB2554"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8 030</w:t>
            </w:r>
          </w:p>
        </w:tc>
        <w:tc>
          <w:tcPr>
            <w:tcW w:w="805" w:type="dxa"/>
          </w:tcPr>
          <w:p w14:paraId="5163C2DC"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8 961</w:t>
            </w:r>
          </w:p>
        </w:tc>
      </w:tr>
      <w:tr w:rsidR="009C6724" w:rsidRPr="00174DB6" w14:paraId="16BE74C1" w14:textId="77777777" w:rsidTr="009C6724">
        <w:tc>
          <w:tcPr>
            <w:cnfStyle w:val="001000000000" w:firstRow="0" w:lastRow="0" w:firstColumn="1" w:lastColumn="0" w:oddVBand="0" w:evenVBand="0" w:oddHBand="0" w:evenHBand="0" w:firstRowFirstColumn="0" w:firstRowLastColumn="0" w:lastRowFirstColumn="0" w:lastRowLastColumn="0"/>
            <w:tcW w:w="3686" w:type="dxa"/>
          </w:tcPr>
          <w:p w14:paraId="129352D4" w14:textId="77777777" w:rsidR="00AB205D" w:rsidRPr="00174DB6" w:rsidRDefault="00471A3B">
            <w:pPr>
              <w:rPr>
                <w:szCs w:val="17"/>
              </w:rPr>
            </w:pPr>
            <w:r w:rsidRPr="00174DB6">
              <w:rPr>
                <w:szCs w:val="17"/>
              </w:rPr>
              <w:t>Grants</w:t>
            </w:r>
          </w:p>
        </w:tc>
        <w:tc>
          <w:tcPr>
            <w:tcW w:w="804" w:type="dxa"/>
          </w:tcPr>
          <w:p w14:paraId="38DD3801"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2 013</w:t>
            </w:r>
          </w:p>
        </w:tc>
        <w:tc>
          <w:tcPr>
            <w:tcW w:w="805" w:type="dxa"/>
          </w:tcPr>
          <w:p w14:paraId="19BA3F8E"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2 424</w:t>
            </w:r>
          </w:p>
        </w:tc>
        <w:tc>
          <w:tcPr>
            <w:tcW w:w="805" w:type="dxa"/>
          </w:tcPr>
          <w:p w14:paraId="1924DF1D"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1 892</w:t>
            </w:r>
          </w:p>
        </w:tc>
        <w:tc>
          <w:tcPr>
            <w:tcW w:w="805" w:type="dxa"/>
          </w:tcPr>
          <w:p w14:paraId="36901BAD"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1 790</w:t>
            </w:r>
          </w:p>
        </w:tc>
        <w:tc>
          <w:tcPr>
            <w:tcW w:w="805" w:type="dxa"/>
          </w:tcPr>
          <w:p w14:paraId="518281E8"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1 743</w:t>
            </w:r>
          </w:p>
        </w:tc>
      </w:tr>
      <w:tr w:rsidR="009C6724" w:rsidRPr="00174DB6" w14:paraId="766A2122" w14:textId="77777777" w:rsidTr="009C6724">
        <w:tc>
          <w:tcPr>
            <w:cnfStyle w:val="001000000000" w:firstRow="0" w:lastRow="0" w:firstColumn="1" w:lastColumn="0" w:oddVBand="0" w:evenVBand="0" w:oddHBand="0" w:evenHBand="0" w:firstRowFirstColumn="0" w:firstRowLastColumn="0" w:lastRowFirstColumn="0" w:lastRowLastColumn="0"/>
            <w:tcW w:w="3686" w:type="dxa"/>
            <w:tcBorders>
              <w:bottom w:val="single" w:sz="6" w:space="0" w:color="auto"/>
            </w:tcBorders>
          </w:tcPr>
          <w:p w14:paraId="2391D0EE" w14:textId="77777777" w:rsidR="00AB205D" w:rsidRPr="00174DB6" w:rsidRDefault="00471A3B">
            <w:pPr>
              <w:rPr>
                <w:szCs w:val="17"/>
              </w:rPr>
            </w:pPr>
            <w:r w:rsidRPr="00174DB6">
              <w:rPr>
                <w:szCs w:val="17"/>
              </w:rPr>
              <w:t>Other revenue and income</w:t>
            </w:r>
          </w:p>
        </w:tc>
        <w:tc>
          <w:tcPr>
            <w:tcW w:w="804" w:type="dxa"/>
            <w:tcBorders>
              <w:bottom w:val="single" w:sz="6" w:space="0" w:color="auto"/>
            </w:tcBorders>
          </w:tcPr>
          <w:p w14:paraId="2C08F282"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715</w:t>
            </w:r>
          </w:p>
        </w:tc>
        <w:tc>
          <w:tcPr>
            <w:tcW w:w="805" w:type="dxa"/>
            <w:tcBorders>
              <w:bottom w:val="single" w:sz="6" w:space="0" w:color="auto"/>
            </w:tcBorders>
          </w:tcPr>
          <w:p w14:paraId="6E4C39F8"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734</w:t>
            </w:r>
          </w:p>
        </w:tc>
        <w:tc>
          <w:tcPr>
            <w:tcW w:w="805" w:type="dxa"/>
            <w:tcBorders>
              <w:bottom w:val="single" w:sz="6" w:space="0" w:color="auto"/>
            </w:tcBorders>
          </w:tcPr>
          <w:p w14:paraId="7D58C9A3"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779</w:t>
            </w:r>
          </w:p>
        </w:tc>
        <w:tc>
          <w:tcPr>
            <w:tcW w:w="805" w:type="dxa"/>
            <w:tcBorders>
              <w:bottom w:val="single" w:sz="6" w:space="0" w:color="auto"/>
            </w:tcBorders>
          </w:tcPr>
          <w:p w14:paraId="523C7DCE"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820</w:t>
            </w:r>
          </w:p>
        </w:tc>
        <w:tc>
          <w:tcPr>
            <w:tcW w:w="805" w:type="dxa"/>
            <w:tcBorders>
              <w:bottom w:val="single" w:sz="6" w:space="0" w:color="auto"/>
            </w:tcBorders>
          </w:tcPr>
          <w:p w14:paraId="75B330F5"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866</w:t>
            </w:r>
          </w:p>
        </w:tc>
      </w:tr>
      <w:tr w:rsidR="009C6724" w:rsidRPr="00174DB6" w14:paraId="68D8CC32" w14:textId="77777777" w:rsidTr="009C6724">
        <w:tc>
          <w:tcPr>
            <w:cnfStyle w:val="001000000000" w:firstRow="0" w:lastRow="0" w:firstColumn="1" w:lastColumn="0" w:oddVBand="0" w:evenVBand="0" w:oddHBand="0" w:evenHBand="0" w:firstRowFirstColumn="0" w:firstRowLastColumn="0" w:lastRowFirstColumn="0" w:lastRowLastColumn="0"/>
            <w:tcW w:w="3686" w:type="dxa"/>
            <w:tcBorders>
              <w:top w:val="single" w:sz="6" w:space="0" w:color="auto"/>
            </w:tcBorders>
          </w:tcPr>
          <w:p w14:paraId="6086188D" w14:textId="77777777" w:rsidR="00AB205D" w:rsidRPr="00174DB6" w:rsidRDefault="00471A3B">
            <w:pPr>
              <w:rPr>
                <w:szCs w:val="17"/>
              </w:rPr>
            </w:pPr>
            <w:r w:rsidRPr="00174DB6">
              <w:rPr>
                <w:b/>
                <w:szCs w:val="17"/>
              </w:rPr>
              <w:t>Total revenue and income from transactions</w:t>
            </w:r>
          </w:p>
        </w:tc>
        <w:tc>
          <w:tcPr>
            <w:tcW w:w="804" w:type="dxa"/>
            <w:tcBorders>
              <w:top w:val="single" w:sz="6" w:space="0" w:color="auto"/>
            </w:tcBorders>
          </w:tcPr>
          <w:p w14:paraId="1368B52A"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10 246</w:t>
            </w:r>
          </w:p>
        </w:tc>
        <w:tc>
          <w:tcPr>
            <w:tcW w:w="805" w:type="dxa"/>
            <w:tcBorders>
              <w:top w:val="single" w:sz="6" w:space="0" w:color="auto"/>
            </w:tcBorders>
          </w:tcPr>
          <w:p w14:paraId="32FABADD"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10 664</w:t>
            </w:r>
          </w:p>
        </w:tc>
        <w:tc>
          <w:tcPr>
            <w:tcW w:w="805" w:type="dxa"/>
            <w:tcBorders>
              <w:top w:val="single" w:sz="6" w:space="0" w:color="auto"/>
            </w:tcBorders>
          </w:tcPr>
          <w:p w14:paraId="57DF8960"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10 619</w:t>
            </w:r>
          </w:p>
        </w:tc>
        <w:tc>
          <w:tcPr>
            <w:tcW w:w="805" w:type="dxa"/>
            <w:tcBorders>
              <w:top w:val="single" w:sz="6" w:space="0" w:color="auto"/>
            </w:tcBorders>
          </w:tcPr>
          <w:p w14:paraId="35A60097"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10 691</w:t>
            </w:r>
          </w:p>
        </w:tc>
        <w:tc>
          <w:tcPr>
            <w:tcW w:w="805" w:type="dxa"/>
            <w:tcBorders>
              <w:top w:val="single" w:sz="6" w:space="0" w:color="auto"/>
            </w:tcBorders>
          </w:tcPr>
          <w:p w14:paraId="3C717D18"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11 624</w:t>
            </w:r>
          </w:p>
        </w:tc>
      </w:tr>
      <w:tr w:rsidR="009C6724" w:rsidRPr="00174DB6" w14:paraId="726DD7E6" w14:textId="77777777" w:rsidTr="009C6724">
        <w:tc>
          <w:tcPr>
            <w:cnfStyle w:val="001000000000" w:firstRow="0" w:lastRow="0" w:firstColumn="1" w:lastColumn="0" w:oddVBand="0" w:evenVBand="0" w:oddHBand="0" w:evenHBand="0" w:firstRowFirstColumn="0" w:firstRowLastColumn="0" w:lastRowFirstColumn="0" w:lastRowLastColumn="0"/>
            <w:tcW w:w="3686" w:type="dxa"/>
          </w:tcPr>
          <w:p w14:paraId="601E8922" w14:textId="77777777" w:rsidR="00AB205D" w:rsidRPr="00174DB6" w:rsidRDefault="00471A3B">
            <w:pPr>
              <w:rPr>
                <w:szCs w:val="17"/>
              </w:rPr>
            </w:pPr>
            <w:r w:rsidRPr="00174DB6">
              <w:rPr>
                <w:b/>
                <w:szCs w:val="17"/>
              </w:rPr>
              <w:t>Expenses from transactions</w:t>
            </w:r>
          </w:p>
        </w:tc>
        <w:tc>
          <w:tcPr>
            <w:tcW w:w="804" w:type="dxa"/>
          </w:tcPr>
          <w:p w14:paraId="0E7FB792" w14:textId="77777777" w:rsidR="00AB205D" w:rsidRPr="00174DB6" w:rsidRDefault="00AB205D">
            <w:pPr>
              <w:cnfStyle w:val="000000000000" w:firstRow="0" w:lastRow="0" w:firstColumn="0" w:lastColumn="0" w:oddVBand="0" w:evenVBand="0" w:oddHBand="0" w:evenHBand="0" w:firstRowFirstColumn="0" w:firstRowLastColumn="0" w:lastRowFirstColumn="0" w:lastRowLastColumn="0"/>
              <w:rPr>
                <w:szCs w:val="17"/>
              </w:rPr>
            </w:pPr>
          </w:p>
        </w:tc>
        <w:tc>
          <w:tcPr>
            <w:tcW w:w="805" w:type="dxa"/>
          </w:tcPr>
          <w:p w14:paraId="54B203D3" w14:textId="77777777" w:rsidR="00AB205D" w:rsidRPr="00174DB6" w:rsidRDefault="00AB205D">
            <w:pPr>
              <w:cnfStyle w:val="000000000000" w:firstRow="0" w:lastRow="0" w:firstColumn="0" w:lastColumn="0" w:oddVBand="0" w:evenVBand="0" w:oddHBand="0" w:evenHBand="0" w:firstRowFirstColumn="0" w:firstRowLastColumn="0" w:lastRowFirstColumn="0" w:lastRowLastColumn="0"/>
              <w:rPr>
                <w:szCs w:val="17"/>
              </w:rPr>
            </w:pPr>
          </w:p>
        </w:tc>
        <w:tc>
          <w:tcPr>
            <w:tcW w:w="805" w:type="dxa"/>
          </w:tcPr>
          <w:p w14:paraId="4C49A0CD" w14:textId="77777777" w:rsidR="00AB205D" w:rsidRPr="00174DB6" w:rsidRDefault="00AB205D">
            <w:pPr>
              <w:cnfStyle w:val="000000000000" w:firstRow="0" w:lastRow="0" w:firstColumn="0" w:lastColumn="0" w:oddVBand="0" w:evenVBand="0" w:oddHBand="0" w:evenHBand="0" w:firstRowFirstColumn="0" w:firstRowLastColumn="0" w:lastRowFirstColumn="0" w:lastRowLastColumn="0"/>
              <w:rPr>
                <w:szCs w:val="17"/>
              </w:rPr>
            </w:pPr>
          </w:p>
        </w:tc>
        <w:tc>
          <w:tcPr>
            <w:tcW w:w="805" w:type="dxa"/>
          </w:tcPr>
          <w:p w14:paraId="3FAAA892" w14:textId="77777777" w:rsidR="00AB205D" w:rsidRPr="00174DB6" w:rsidRDefault="00AB205D">
            <w:pPr>
              <w:cnfStyle w:val="000000000000" w:firstRow="0" w:lastRow="0" w:firstColumn="0" w:lastColumn="0" w:oddVBand="0" w:evenVBand="0" w:oddHBand="0" w:evenHBand="0" w:firstRowFirstColumn="0" w:firstRowLastColumn="0" w:lastRowFirstColumn="0" w:lastRowLastColumn="0"/>
              <w:rPr>
                <w:szCs w:val="17"/>
              </w:rPr>
            </w:pPr>
          </w:p>
        </w:tc>
        <w:tc>
          <w:tcPr>
            <w:tcW w:w="805" w:type="dxa"/>
          </w:tcPr>
          <w:p w14:paraId="1111C98D" w14:textId="77777777" w:rsidR="00AB205D" w:rsidRPr="00174DB6" w:rsidRDefault="00AB205D">
            <w:pPr>
              <w:cnfStyle w:val="000000000000" w:firstRow="0" w:lastRow="0" w:firstColumn="0" w:lastColumn="0" w:oddVBand="0" w:evenVBand="0" w:oddHBand="0" w:evenHBand="0" w:firstRowFirstColumn="0" w:firstRowLastColumn="0" w:lastRowFirstColumn="0" w:lastRowLastColumn="0"/>
              <w:rPr>
                <w:szCs w:val="17"/>
              </w:rPr>
            </w:pPr>
          </w:p>
        </w:tc>
      </w:tr>
      <w:tr w:rsidR="009C6724" w:rsidRPr="00174DB6" w14:paraId="35966D1E" w14:textId="77777777" w:rsidTr="009C6724">
        <w:tc>
          <w:tcPr>
            <w:cnfStyle w:val="001000000000" w:firstRow="0" w:lastRow="0" w:firstColumn="1" w:lastColumn="0" w:oddVBand="0" w:evenVBand="0" w:oddHBand="0" w:evenHBand="0" w:firstRowFirstColumn="0" w:firstRowLastColumn="0" w:lastRowFirstColumn="0" w:lastRowLastColumn="0"/>
            <w:tcW w:w="3686" w:type="dxa"/>
          </w:tcPr>
          <w:p w14:paraId="7B007CCD" w14:textId="77777777" w:rsidR="00AB205D" w:rsidRPr="00174DB6" w:rsidRDefault="00471A3B">
            <w:pPr>
              <w:rPr>
                <w:szCs w:val="17"/>
              </w:rPr>
            </w:pPr>
            <w:r w:rsidRPr="00174DB6">
              <w:rPr>
                <w:szCs w:val="17"/>
              </w:rPr>
              <w:t>Employee expenses</w:t>
            </w:r>
          </w:p>
        </w:tc>
        <w:tc>
          <w:tcPr>
            <w:tcW w:w="804" w:type="dxa"/>
          </w:tcPr>
          <w:p w14:paraId="5CC0B430"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1 701</w:t>
            </w:r>
          </w:p>
        </w:tc>
        <w:tc>
          <w:tcPr>
            <w:tcW w:w="805" w:type="dxa"/>
          </w:tcPr>
          <w:p w14:paraId="67CD8F0B"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1 896</w:t>
            </w:r>
          </w:p>
        </w:tc>
        <w:tc>
          <w:tcPr>
            <w:tcW w:w="805" w:type="dxa"/>
          </w:tcPr>
          <w:p w14:paraId="53F591A1"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1 839</w:t>
            </w:r>
          </w:p>
        </w:tc>
        <w:tc>
          <w:tcPr>
            <w:tcW w:w="805" w:type="dxa"/>
          </w:tcPr>
          <w:p w14:paraId="0EE0B844"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1 811</w:t>
            </w:r>
          </w:p>
        </w:tc>
        <w:tc>
          <w:tcPr>
            <w:tcW w:w="805" w:type="dxa"/>
          </w:tcPr>
          <w:p w14:paraId="5E09B5F5"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1 867</w:t>
            </w:r>
          </w:p>
        </w:tc>
      </w:tr>
      <w:tr w:rsidR="009C6724" w:rsidRPr="00174DB6" w14:paraId="60D06C22" w14:textId="77777777" w:rsidTr="009C6724">
        <w:tc>
          <w:tcPr>
            <w:cnfStyle w:val="001000000000" w:firstRow="0" w:lastRow="0" w:firstColumn="1" w:lastColumn="0" w:oddVBand="0" w:evenVBand="0" w:oddHBand="0" w:evenHBand="0" w:firstRowFirstColumn="0" w:firstRowLastColumn="0" w:lastRowFirstColumn="0" w:lastRowLastColumn="0"/>
            <w:tcW w:w="3686" w:type="dxa"/>
          </w:tcPr>
          <w:p w14:paraId="66E4EE10" w14:textId="77777777" w:rsidR="00AB205D" w:rsidRPr="00174DB6" w:rsidRDefault="00471A3B">
            <w:pPr>
              <w:rPr>
                <w:szCs w:val="17"/>
              </w:rPr>
            </w:pPr>
            <w:r w:rsidRPr="00174DB6">
              <w:rPr>
                <w:szCs w:val="17"/>
              </w:rPr>
              <w:t>Net superannuation interest expense</w:t>
            </w:r>
          </w:p>
        </w:tc>
        <w:tc>
          <w:tcPr>
            <w:tcW w:w="804" w:type="dxa"/>
          </w:tcPr>
          <w:p w14:paraId="778DD7AA"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4</w:t>
            </w:r>
          </w:p>
        </w:tc>
        <w:tc>
          <w:tcPr>
            <w:tcW w:w="805" w:type="dxa"/>
          </w:tcPr>
          <w:p w14:paraId="17979EA1"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4</w:t>
            </w:r>
          </w:p>
        </w:tc>
        <w:tc>
          <w:tcPr>
            <w:tcW w:w="805" w:type="dxa"/>
          </w:tcPr>
          <w:p w14:paraId="2EAD425B"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4</w:t>
            </w:r>
          </w:p>
        </w:tc>
        <w:tc>
          <w:tcPr>
            <w:tcW w:w="805" w:type="dxa"/>
          </w:tcPr>
          <w:p w14:paraId="47D77BEB"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4</w:t>
            </w:r>
          </w:p>
        </w:tc>
        <w:tc>
          <w:tcPr>
            <w:tcW w:w="805" w:type="dxa"/>
          </w:tcPr>
          <w:p w14:paraId="30B9BE90"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4</w:t>
            </w:r>
          </w:p>
        </w:tc>
      </w:tr>
      <w:tr w:rsidR="009C6724" w:rsidRPr="00174DB6" w14:paraId="11D476D6" w14:textId="77777777" w:rsidTr="009C6724">
        <w:tc>
          <w:tcPr>
            <w:cnfStyle w:val="001000000000" w:firstRow="0" w:lastRow="0" w:firstColumn="1" w:lastColumn="0" w:oddVBand="0" w:evenVBand="0" w:oddHBand="0" w:evenHBand="0" w:firstRowFirstColumn="0" w:firstRowLastColumn="0" w:lastRowFirstColumn="0" w:lastRowLastColumn="0"/>
            <w:tcW w:w="3686" w:type="dxa"/>
          </w:tcPr>
          <w:p w14:paraId="36D13BAE" w14:textId="77777777" w:rsidR="00AB205D" w:rsidRPr="00174DB6" w:rsidRDefault="00471A3B">
            <w:pPr>
              <w:rPr>
                <w:szCs w:val="17"/>
              </w:rPr>
            </w:pPr>
            <w:r w:rsidRPr="00174DB6">
              <w:rPr>
                <w:szCs w:val="17"/>
              </w:rPr>
              <w:t>Other superannuation</w:t>
            </w:r>
          </w:p>
        </w:tc>
        <w:tc>
          <w:tcPr>
            <w:tcW w:w="804" w:type="dxa"/>
          </w:tcPr>
          <w:p w14:paraId="13EB4832"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164</w:t>
            </w:r>
          </w:p>
        </w:tc>
        <w:tc>
          <w:tcPr>
            <w:tcW w:w="805" w:type="dxa"/>
          </w:tcPr>
          <w:p w14:paraId="443D72AA"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196</w:t>
            </w:r>
          </w:p>
        </w:tc>
        <w:tc>
          <w:tcPr>
            <w:tcW w:w="805" w:type="dxa"/>
          </w:tcPr>
          <w:p w14:paraId="0464CF0F"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206</w:t>
            </w:r>
          </w:p>
        </w:tc>
        <w:tc>
          <w:tcPr>
            <w:tcW w:w="805" w:type="dxa"/>
          </w:tcPr>
          <w:p w14:paraId="2A682A1F"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216</w:t>
            </w:r>
          </w:p>
        </w:tc>
        <w:tc>
          <w:tcPr>
            <w:tcW w:w="805" w:type="dxa"/>
          </w:tcPr>
          <w:p w14:paraId="7924BF86"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222</w:t>
            </w:r>
          </w:p>
        </w:tc>
      </w:tr>
      <w:tr w:rsidR="009C6724" w:rsidRPr="00174DB6" w14:paraId="6498EC0B" w14:textId="77777777" w:rsidTr="009C6724">
        <w:tc>
          <w:tcPr>
            <w:cnfStyle w:val="001000000000" w:firstRow="0" w:lastRow="0" w:firstColumn="1" w:lastColumn="0" w:oddVBand="0" w:evenVBand="0" w:oddHBand="0" w:evenHBand="0" w:firstRowFirstColumn="0" w:firstRowLastColumn="0" w:lastRowFirstColumn="0" w:lastRowLastColumn="0"/>
            <w:tcW w:w="3686" w:type="dxa"/>
          </w:tcPr>
          <w:p w14:paraId="1EDFACA9" w14:textId="77777777" w:rsidR="00AB205D" w:rsidRPr="00174DB6" w:rsidRDefault="00471A3B">
            <w:pPr>
              <w:rPr>
                <w:szCs w:val="17"/>
              </w:rPr>
            </w:pPr>
            <w:r w:rsidRPr="00174DB6">
              <w:rPr>
                <w:szCs w:val="17"/>
              </w:rPr>
              <w:t>Depreciation</w:t>
            </w:r>
          </w:p>
        </w:tc>
        <w:tc>
          <w:tcPr>
            <w:tcW w:w="804" w:type="dxa"/>
          </w:tcPr>
          <w:p w14:paraId="05EF9CB9"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2 006</w:t>
            </w:r>
          </w:p>
        </w:tc>
        <w:tc>
          <w:tcPr>
            <w:tcW w:w="805" w:type="dxa"/>
          </w:tcPr>
          <w:p w14:paraId="545C2A11"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2 024</w:t>
            </w:r>
          </w:p>
        </w:tc>
        <w:tc>
          <w:tcPr>
            <w:tcW w:w="805" w:type="dxa"/>
          </w:tcPr>
          <w:p w14:paraId="6EC6A53D"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2 078</w:t>
            </w:r>
          </w:p>
        </w:tc>
        <w:tc>
          <w:tcPr>
            <w:tcW w:w="805" w:type="dxa"/>
          </w:tcPr>
          <w:p w14:paraId="55BE17E9"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2 135</w:t>
            </w:r>
          </w:p>
        </w:tc>
        <w:tc>
          <w:tcPr>
            <w:tcW w:w="805" w:type="dxa"/>
          </w:tcPr>
          <w:p w14:paraId="78A81E22"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2 191</w:t>
            </w:r>
          </w:p>
        </w:tc>
      </w:tr>
      <w:tr w:rsidR="009C6724" w:rsidRPr="00174DB6" w14:paraId="69EB090C" w14:textId="77777777" w:rsidTr="009C6724">
        <w:tc>
          <w:tcPr>
            <w:cnfStyle w:val="001000000000" w:firstRow="0" w:lastRow="0" w:firstColumn="1" w:lastColumn="0" w:oddVBand="0" w:evenVBand="0" w:oddHBand="0" w:evenHBand="0" w:firstRowFirstColumn="0" w:firstRowLastColumn="0" w:lastRowFirstColumn="0" w:lastRowLastColumn="0"/>
            <w:tcW w:w="3686" w:type="dxa"/>
          </w:tcPr>
          <w:p w14:paraId="59A45F33" w14:textId="77777777" w:rsidR="00AB205D" w:rsidRPr="00174DB6" w:rsidRDefault="00471A3B">
            <w:pPr>
              <w:rPr>
                <w:szCs w:val="17"/>
              </w:rPr>
            </w:pPr>
            <w:r w:rsidRPr="00174DB6">
              <w:rPr>
                <w:szCs w:val="17"/>
              </w:rPr>
              <w:t>Interest expense</w:t>
            </w:r>
          </w:p>
        </w:tc>
        <w:tc>
          <w:tcPr>
            <w:tcW w:w="804" w:type="dxa"/>
          </w:tcPr>
          <w:p w14:paraId="11E51560"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984</w:t>
            </w:r>
          </w:p>
        </w:tc>
        <w:tc>
          <w:tcPr>
            <w:tcW w:w="805" w:type="dxa"/>
          </w:tcPr>
          <w:p w14:paraId="1C71C24B"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957</w:t>
            </w:r>
          </w:p>
        </w:tc>
        <w:tc>
          <w:tcPr>
            <w:tcW w:w="805" w:type="dxa"/>
          </w:tcPr>
          <w:p w14:paraId="5337767C"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1 075</w:t>
            </w:r>
          </w:p>
        </w:tc>
        <w:tc>
          <w:tcPr>
            <w:tcW w:w="805" w:type="dxa"/>
          </w:tcPr>
          <w:p w14:paraId="11C95894"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1 169</w:t>
            </w:r>
          </w:p>
        </w:tc>
        <w:tc>
          <w:tcPr>
            <w:tcW w:w="805" w:type="dxa"/>
          </w:tcPr>
          <w:p w14:paraId="7457DDF5"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1 276</w:t>
            </w:r>
          </w:p>
        </w:tc>
      </w:tr>
      <w:tr w:rsidR="009C6724" w:rsidRPr="00174DB6" w14:paraId="3B1601D6" w14:textId="77777777" w:rsidTr="009C6724">
        <w:tc>
          <w:tcPr>
            <w:cnfStyle w:val="001000000000" w:firstRow="0" w:lastRow="0" w:firstColumn="1" w:lastColumn="0" w:oddVBand="0" w:evenVBand="0" w:oddHBand="0" w:evenHBand="0" w:firstRowFirstColumn="0" w:firstRowLastColumn="0" w:lastRowFirstColumn="0" w:lastRowLastColumn="0"/>
            <w:tcW w:w="3686" w:type="dxa"/>
          </w:tcPr>
          <w:p w14:paraId="78C6F3BD" w14:textId="77777777" w:rsidR="00AB205D" w:rsidRPr="00174DB6" w:rsidRDefault="00471A3B">
            <w:pPr>
              <w:rPr>
                <w:szCs w:val="17"/>
              </w:rPr>
            </w:pPr>
            <w:r w:rsidRPr="00174DB6">
              <w:rPr>
                <w:szCs w:val="17"/>
              </w:rPr>
              <w:t>Grant expense</w:t>
            </w:r>
          </w:p>
        </w:tc>
        <w:tc>
          <w:tcPr>
            <w:tcW w:w="804" w:type="dxa"/>
          </w:tcPr>
          <w:p w14:paraId="03818676"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460</w:t>
            </w:r>
          </w:p>
        </w:tc>
        <w:tc>
          <w:tcPr>
            <w:tcW w:w="805" w:type="dxa"/>
          </w:tcPr>
          <w:p w14:paraId="1B100674"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881</w:t>
            </w:r>
          </w:p>
        </w:tc>
        <w:tc>
          <w:tcPr>
            <w:tcW w:w="805" w:type="dxa"/>
          </w:tcPr>
          <w:p w14:paraId="50D462B6"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411</w:t>
            </w:r>
          </w:p>
        </w:tc>
        <w:tc>
          <w:tcPr>
            <w:tcW w:w="805" w:type="dxa"/>
          </w:tcPr>
          <w:p w14:paraId="7EDBC066"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423</w:t>
            </w:r>
          </w:p>
        </w:tc>
        <w:tc>
          <w:tcPr>
            <w:tcW w:w="805" w:type="dxa"/>
          </w:tcPr>
          <w:p w14:paraId="4F70F28E"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426</w:t>
            </w:r>
          </w:p>
        </w:tc>
      </w:tr>
      <w:tr w:rsidR="009C6724" w:rsidRPr="00174DB6" w14:paraId="23EF4A44" w14:textId="77777777" w:rsidTr="009C6724">
        <w:tc>
          <w:tcPr>
            <w:cnfStyle w:val="001000000000" w:firstRow="0" w:lastRow="0" w:firstColumn="1" w:lastColumn="0" w:oddVBand="0" w:evenVBand="0" w:oddHBand="0" w:evenHBand="0" w:firstRowFirstColumn="0" w:firstRowLastColumn="0" w:lastRowFirstColumn="0" w:lastRowLastColumn="0"/>
            <w:tcW w:w="3686" w:type="dxa"/>
          </w:tcPr>
          <w:p w14:paraId="565136D2" w14:textId="77777777" w:rsidR="00AB205D" w:rsidRPr="00174DB6" w:rsidRDefault="00471A3B">
            <w:pPr>
              <w:rPr>
                <w:szCs w:val="17"/>
              </w:rPr>
            </w:pPr>
            <w:r w:rsidRPr="00174DB6">
              <w:rPr>
                <w:szCs w:val="17"/>
              </w:rPr>
              <w:t>Other operating expenses</w:t>
            </w:r>
          </w:p>
        </w:tc>
        <w:tc>
          <w:tcPr>
            <w:tcW w:w="804" w:type="dxa"/>
          </w:tcPr>
          <w:p w14:paraId="04B10C74"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4 970</w:t>
            </w:r>
          </w:p>
        </w:tc>
        <w:tc>
          <w:tcPr>
            <w:tcW w:w="805" w:type="dxa"/>
          </w:tcPr>
          <w:p w14:paraId="173782C7"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4 891</w:t>
            </w:r>
          </w:p>
        </w:tc>
        <w:tc>
          <w:tcPr>
            <w:tcW w:w="805" w:type="dxa"/>
          </w:tcPr>
          <w:p w14:paraId="47A0CE74"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4 526</w:t>
            </w:r>
          </w:p>
        </w:tc>
        <w:tc>
          <w:tcPr>
            <w:tcW w:w="805" w:type="dxa"/>
          </w:tcPr>
          <w:p w14:paraId="7F1D20E3"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4 373</w:t>
            </w:r>
          </w:p>
        </w:tc>
        <w:tc>
          <w:tcPr>
            <w:tcW w:w="805" w:type="dxa"/>
          </w:tcPr>
          <w:p w14:paraId="1B83A21F"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5 051</w:t>
            </w:r>
          </w:p>
        </w:tc>
      </w:tr>
      <w:tr w:rsidR="009C6724" w:rsidRPr="00174DB6" w14:paraId="588A642B" w14:textId="77777777" w:rsidTr="009C6724">
        <w:tc>
          <w:tcPr>
            <w:cnfStyle w:val="001000000000" w:firstRow="0" w:lastRow="0" w:firstColumn="1" w:lastColumn="0" w:oddVBand="0" w:evenVBand="0" w:oddHBand="0" w:evenHBand="0" w:firstRowFirstColumn="0" w:firstRowLastColumn="0" w:lastRowFirstColumn="0" w:lastRowLastColumn="0"/>
            <w:tcW w:w="3686" w:type="dxa"/>
            <w:tcBorders>
              <w:bottom w:val="single" w:sz="6" w:space="0" w:color="auto"/>
            </w:tcBorders>
          </w:tcPr>
          <w:p w14:paraId="2E00E5BA" w14:textId="77777777" w:rsidR="00AB205D" w:rsidRPr="00174DB6" w:rsidRDefault="00471A3B">
            <w:pPr>
              <w:rPr>
                <w:szCs w:val="17"/>
              </w:rPr>
            </w:pPr>
            <w:r w:rsidRPr="00174DB6">
              <w:rPr>
                <w:szCs w:val="17"/>
              </w:rPr>
              <w:t>Other property expenses</w:t>
            </w:r>
          </w:p>
        </w:tc>
        <w:tc>
          <w:tcPr>
            <w:tcW w:w="804" w:type="dxa"/>
            <w:tcBorders>
              <w:bottom w:val="single" w:sz="6" w:space="0" w:color="auto"/>
            </w:tcBorders>
          </w:tcPr>
          <w:p w14:paraId="7379CDEF"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252</w:t>
            </w:r>
          </w:p>
        </w:tc>
        <w:tc>
          <w:tcPr>
            <w:tcW w:w="805" w:type="dxa"/>
            <w:tcBorders>
              <w:bottom w:val="single" w:sz="6" w:space="0" w:color="auto"/>
            </w:tcBorders>
          </w:tcPr>
          <w:p w14:paraId="22DE40F6"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208</w:t>
            </w:r>
          </w:p>
        </w:tc>
        <w:tc>
          <w:tcPr>
            <w:tcW w:w="805" w:type="dxa"/>
            <w:tcBorders>
              <w:bottom w:val="single" w:sz="6" w:space="0" w:color="auto"/>
            </w:tcBorders>
          </w:tcPr>
          <w:p w14:paraId="436EF003"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217</w:t>
            </w:r>
          </w:p>
        </w:tc>
        <w:tc>
          <w:tcPr>
            <w:tcW w:w="805" w:type="dxa"/>
            <w:tcBorders>
              <w:bottom w:val="single" w:sz="6" w:space="0" w:color="auto"/>
            </w:tcBorders>
          </w:tcPr>
          <w:p w14:paraId="11FA8A58"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247</w:t>
            </w:r>
          </w:p>
        </w:tc>
        <w:tc>
          <w:tcPr>
            <w:tcW w:w="805" w:type="dxa"/>
            <w:tcBorders>
              <w:bottom w:val="single" w:sz="6" w:space="0" w:color="auto"/>
            </w:tcBorders>
          </w:tcPr>
          <w:p w14:paraId="539A10FC"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254</w:t>
            </w:r>
          </w:p>
        </w:tc>
      </w:tr>
      <w:tr w:rsidR="009C6724" w:rsidRPr="00174DB6" w14:paraId="51049DFC" w14:textId="77777777" w:rsidTr="009C6724">
        <w:tc>
          <w:tcPr>
            <w:cnfStyle w:val="001000000000" w:firstRow="0" w:lastRow="0" w:firstColumn="1" w:lastColumn="0" w:oddVBand="0" w:evenVBand="0" w:oddHBand="0" w:evenHBand="0" w:firstRowFirstColumn="0" w:firstRowLastColumn="0" w:lastRowFirstColumn="0" w:lastRowLastColumn="0"/>
            <w:tcW w:w="3686" w:type="dxa"/>
            <w:tcBorders>
              <w:top w:val="single" w:sz="6" w:space="0" w:color="auto"/>
              <w:bottom w:val="single" w:sz="6" w:space="0" w:color="auto"/>
            </w:tcBorders>
          </w:tcPr>
          <w:p w14:paraId="5031B08B" w14:textId="77777777" w:rsidR="00AB205D" w:rsidRPr="00174DB6" w:rsidRDefault="00471A3B">
            <w:pPr>
              <w:rPr>
                <w:szCs w:val="17"/>
              </w:rPr>
            </w:pPr>
            <w:r w:rsidRPr="00174DB6">
              <w:rPr>
                <w:b/>
                <w:szCs w:val="17"/>
              </w:rPr>
              <w:t>Total expenses from transactions</w:t>
            </w:r>
          </w:p>
        </w:tc>
        <w:tc>
          <w:tcPr>
            <w:tcW w:w="804" w:type="dxa"/>
            <w:tcBorders>
              <w:top w:val="single" w:sz="6" w:space="0" w:color="auto"/>
              <w:bottom w:val="single" w:sz="6" w:space="0" w:color="auto"/>
            </w:tcBorders>
          </w:tcPr>
          <w:p w14:paraId="1D4EA60E"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10 541</w:t>
            </w:r>
          </w:p>
        </w:tc>
        <w:tc>
          <w:tcPr>
            <w:tcW w:w="805" w:type="dxa"/>
            <w:tcBorders>
              <w:top w:val="single" w:sz="6" w:space="0" w:color="auto"/>
              <w:bottom w:val="single" w:sz="6" w:space="0" w:color="auto"/>
            </w:tcBorders>
          </w:tcPr>
          <w:p w14:paraId="6D452D97"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11 058</w:t>
            </w:r>
          </w:p>
        </w:tc>
        <w:tc>
          <w:tcPr>
            <w:tcW w:w="805" w:type="dxa"/>
            <w:tcBorders>
              <w:top w:val="single" w:sz="6" w:space="0" w:color="auto"/>
              <w:bottom w:val="single" w:sz="6" w:space="0" w:color="auto"/>
            </w:tcBorders>
          </w:tcPr>
          <w:p w14:paraId="11F2F724"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10 356</w:t>
            </w:r>
          </w:p>
        </w:tc>
        <w:tc>
          <w:tcPr>
            <w:tcW w:w="805" w:type="dxa"/>
            <w:tcBorders>
              <w:top w:val="single" w:sz="6" w:space="0" w:color="auto"/>
              <w:bottom w:val="single" w:sz="6" w:space="0" w:color="auto"/>
            </w:tcBorders>
          </w:tcPr>
          <w:p w14:paraId="30FFC82A"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10 378</w:t>
            </w:r>
          </w:p>
        </w:tc>
        <w:tc>
          <w:tcPr>
            <w:tcW w:w="805" w:type="dxa"/>
            <w:tcBorders>
              <w:top w:val="single" w:sz="6" w:space="0" w:color="auto"/>
              <w:bottom w:val="single" w:sz="6" w:space="0" w:color="auto"/>
            </w:tcBorders>
          </w:tcPr>
          <w:p w14:paraId="5FAED3EA"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11 292</w:t>
            </w:r>
          </w:p>
        </w:tc>
      </w:tr>
      <w:tr w:rsidR="009C6724" w:rsidRPr="00174DB6" w14:paraId="0403F2A5" w14:textId="77777777" w:rsidTr="009C6724">
        <w:tc>
          <w:tcPr>
            <w:cnfStyle w:val="001000000000" w:firstRow="0" w:lastRow="0" w:firstColumn="1" w:lastColumn="0" w:oddVBand="0" w:evenVBand="0" w:oddHBand="0" w:evenHBand="0" w:firstRowFirstColumn="0" w:firstRowLastColumn="0" w:lastRowFirstColumn="0" w:lastRowLastColumn="0"/>
            <w:tcW w:w="3686" w:type="dxa"/>
            <w:tcBorders>
              <w:top w:val="single" w:sz="6" w:space="0" w:color="auto"/>
              <w:bottom w:val="single" w:sz="12" w:space="0" w:color="auto"/>
            </w:tcBorders>
          </w:tcPr>
          <w:p w14:paraId="392DAE8E" w14:textId="24712F41" w:rsidR="00AB205D" w:rsidRPr="00174DB6" w:rsidRDefault="00471A3B">
            <w:pPr>
              <w:rPr>
                <w:szCs w:val="17"/>
              </w:rPr>
            </w:pPr>
            <w:r w:rsidRPr="00174DB6">
              <w:rPr>
                <w:b/>
                <w:szCs w:val="17"/>
              </w:rPr>
              <w:t xml:space="preserve">Net result from transactions – </w:t>
            </w:r>
            <w:r w:rsidR="00174DB6">
              <w:rPr>
                <w:b/>
                <w:szCs w:val="17"/>
              </w:rPr>
              <w:br/>
            </w:r>
            <w:r w:rsidR="00174DB6" w:rsidRPr="00174DB6">
              <w:rPr>
                <w:b/>
                <w:szCs w:val="17"/>
              </w:rPr>
              <w:t xml:space="preserve">Net </w:t>
            </w:r>
            <w:r w:rsidRPr="00174DB6">
              <w:rPr>
                <w:b/>
                <w:szCs w:val="17"/>
              </w:rPr>
              <w:t>operating balance</w:t>
            </w:r>
          </w:p>
        </w:tc>
        <w:tc>
          <w:tcPr>
            <w:tcW w:w="804" w:type="dxa"/>
            <w:tcBorders>
              <w:top w:val="single" w:sz="6" w:space="0" w:color="auto"/>
              <w:bottom w:val="single" w:sz="12" w:space="0" w:color="auto"/>
            </w:tcBorders>
          </w:tcPr>
          <w:p w14:paraId="288E478B"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(295)</w:t>
            </w:r>
          </w:p>
        </w:tc>
        <w:tc>
          <w:tcPr>
            <w:tcW w:w="805" w:type="dxa"/>
            <w:tcBorders>
              <w:top w:val="single" w:sz="6" w:space="0" w:color="auto"/>
              <w:bottom w:val="single" w:sz="12" w:space="0" w:color="auto"/>
            </w:tcBorders>
          </w:tcPr>
          <w:p w14:paraId="755B5DAF"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(394)</w:t>
            </w:r>
          </w:p>
        </w:tc>
        <w:tc>
          <w:tcPr>
            <w:tcW w:w="805" w:type="dxa"/>
            <w:tcBorders>
              <w:top w:val="single" w:sz="6" w:space="0" w:color="auto"/>
              <w:bottom w:val="single" w:sz="12" w:space="0" w:color="auto"/>
            </w:tcBorders>
          </w:tcPr>
          <w:p w14:paraId="4D25F9A3"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263</w:t>
            </w:r>
          </w:p>
        </w:tc>
        <w:tc>
          <w:tcPr>
            <w:tcW w:w="805" w:type="dxa"/>
            <w:tcBorders>
              <w:top w:val="single" w:sz="6" w:space="0" w:color="auto"/>
              <w:bottom w:val="single" w:sz="12" w:space="0" w:color="auto"/>
            </w:tcBorders>
          </w:tcPr>
          <w:p w14:paraId="44E6ADD1"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313</w:t>
            </w:r>
          </w:p>
        </w:tc>
        <w:tc>
          <w:tcPr>
            <w:tcW w:w="805" w:type="dxa"/>
            <w:tcBorders>
              <w:top w:val="single" w:sz="6" w:space="0" w:color="auto"/>
              <w:bottom w:val="single" w:sz="12" w:space="0" w:color="auto"/>
            </w:tcBorders>
          </w:tcPr>
          <w:p w14:paraId="60A70F54"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332</w:t>
            </w:r>
          </w:p>
        </w:tc>
      </w:tr>
      <w:tr w:rsidR="009C6724" w:rsidRPr="00174DB6" w14:paraId="7268B52E" w14:textId="77777777" w:rsidTr="009C6724">
        <w:tc>
          <w:tcPr>
            <w:cnfStyle w:val="001000000000" w:firstRow="0" w:lastRow="0" w:firstColumn="1" w:lastColumn="0" w:oddVBand="0" w:evenVBand="0" w:oddHBand="0" w:evenHBand="0" w:firstRowFirstColumn="0" w:firstRowLastColumn="0" w:lastRowFirstColumn="0" w:lastRowLastColumn="0"/>
            <w:tcW w:w="3686" w:type="dxa"/>
            <w:tcBorders>
              <w:top w:val="single" w:sz="6" w:space="0" w:color="auto"/>
            </w:tcBorders>
          </w:tcPr>
          <w:p w14:paraId="2680515A" w14:textId="77777777" w:rsidR="00AB205D" w:rsidRPr="00174DB6" w:rsidRDefault="00471A3B">
            <w:pPr>
              <w:rPr>
                <w:szCs w:val="17"/>
              </w:rPr>
            </w:pPr>
            <w:r w:rsidRPr="00174DB6">
              <w:rPr>
                <w:b/>
                <w:szCs w:val="17"/>
              </w:rPr>
              <w:t>Other economic flows included in net result</w:t>
            </w:r>
          </w:p>
        </w:tc>
        <w:tc>
          <w:tcPr>
            <w:tcW w:w="804" w:type="dxa"/>
            <w:tcBorders>
              <w:top w:val="single" w:sz="6" w:space="0" w:color="auto"/>
            </w:tcBorders>
          </w:tcPr>
          <w:p w14:paraId="23BDA005" w14:textId="77777777" w:rsidR="00AB205D" w:rsidRPr="00174DB6" w:rsidRDefault="00AB205D">
            <w:pPr>
              <w:cnfStyle w:val="000000000000" w:firstRow="0" w:lastRow="0" w:firstColumn="0" w:lastColumn="0" w:oddVBand="0" w:evenVBand="0" w:oddHBand="0" w:evenHBand="0" w:firstRowFirstColumn="0" w:firstRowLastColumn="0" w:lastRowFirstColumn="0" w:lastRowLastColumn="0"/>
              <w:rPr>
                <w:szCs w:val="17"/>
              </w:rPr>
            </w:pPr>
          </w:p>
        </w:tc>
        <w:tc>
          <w:tcPr>
            <w:tcW w:w="805" w:type="dxa"/>
            <w:tcBorders>
              <w:top w:val="single" w:sz="6" w:space="0" w:color="auto"/>
            </w:tcBorders>
          </w:tcPr>
          <w:p w14:paraId="3CB0ADBE" w14:textId="77777777" w:rsidR="00AB205D" w:rsidRPr="00174DB6" w:rsidRDefault="00AB205D">
            <w:pPr>
              <w:cnfStyle w:val="000000000000" w:firstRow="0" w:lastRow="0" w:firstColumn="0" w:lastColumn="0" w:oddVBand="0" w:evenVBand="0" w:oddHBand="0" w:evenHBand="0" w:firstRowFirstColumn="0" w:firstRowLastColumn="0" w:lastRowFirstColumn="0" w:lastRowLastColumn="0"/>
              <w:rPr>
                <w:szCs w:val="17"/>
              </w:rPr>
            </w:pPr>
          </w:p>
        </w:tc>
        <w:tc>
          <w:tcPr>
            <w:tcW w:w="805" w:type="dxa"/>
            <w:tcBorders>
              <w:top w:val="single" w:sz="6" w:space="0" w:color="auto"/>
            </w:tcBorders>
          </w:tcPr>
          <w:p w14:paraId="61062844" w14:textId="77777777" w:rsidR="00AB205D" w:rsidRPr="00174DB6" w:rsidRDefault="00AB205D">
            <w:pPr>
              <w:cnfStyle w:val="000000000000" w:firstRow="0" w:lastRow="0" w:firstColumn="0" w:lastColumn="0" w:oddVBand="0" w:evenVBand="0" w:oddHBand="0" w:evenHBand="0" w:firstRowFirstColumn="0" w:firstRowLastColumn="0" w:lastRowFirstColumn="0" w:lastRowLastColumn="0"/>
              <w:rPr>
                <w:szCs w:val="17"/>
              </w:rPr>
            </w:pPr>
          </w:p>
        </w:tc>
        <w:tc>
          <w:tcPr>
            <w:tcW w:w="805" w:type="dxa"/>
            <w:tcBorders>
              <w:top w:val="single" w:sz="6" w:space="0" w:color="auto"/>
            </w:tcBorders>
          </w:tcPr>
          <w:p w14:paraId="4443952A" w14:textId="77777777" w:rsidR="00AB205D" w:rsidRPr="00174DB6" w:rsidRDefault="00AB205D">
            <w:pPr>
              <w:cnfStyle w:val="000000000000" w:firstRow="0" w:lastRow="0" w:firstColumn="0" w:lastColumn="0" w:oddVBand="0" w:evenVBand="0" w:oddHBand="0" w:evenHBand="0" w:firstRowFirstColumn="0" w:firstRowLastColumn="0" w:lastRowFirstColumn="0" w:lastRowLastColumn="0"/>
              <w:rPr>
                <w:szCs w:val="17"/>
              </w:rPr>
            </w:pPr>
          </w:p>
        </w:tc>
        <w:tc>
          <w:tcPr>
            <w:tcW w:w="805" w:type="dxa"/>
            <w:tcBorders>
              <w:top w:val="single" w:sz="6" w:space="0" w:color="auto"/>
            </w:tcBorders>
          </w:tcPr>
          <w:p w14:paraId="6FBE4BA4" w14:textId="77777777" w:rsidR="00AB205D" w:rsidRPr="00174DB6" w:rsidRDefault="00AB205D">
            <w:pPr>
              <w:cnfStyle w:val="000000000000" w:firstRow="0" w:lastRow="0" w:firstColumn="0" w:lastColumn="0" w:oddVBand="0" w:evenVBand="0" w:oddHBand="0" w:evenHBand="0" w:firstRowFirstColumn="0" w:firstRowLastColumn="0" w:lastRowFirstColumn="0" w:lastRowLastColumn="0"/>
              <w:rPr>
                <w:szCs w:val="17"/>
              </w:rPr>
            </w:pPr>
          </w:p>
        </w:tc>
      </w:tr>
      <w:tr w:rsidR="009C6724" w:rsidRPr="00174DB6" w14:paraId="67120BFB" w14:textId="77777777" w:rsidTr="009C6724">
        <w:tc>
          <w:tcPr>
            <w:cnfStyle w:val="001000000000" w:firstRow="0" w:lastRow="0" w:firstColumn="1" w:lastColumn="0" w:oddVBand="0" w:evenVBand="0" w:oddHBand="0" w:evenHBand="0" w:firstRowFirstColumn="0" w:firstRowLastColumn="0" w:lastRowFirstColumn="0" w:lastRowLastColumn="0"/>
            <w:tcW w:w="3686" w:type="dxa"/>
          </w:tcPr>
          <w:p w14:paraId="35FBA76A" w14:textId="77777777" w:rsidR="00AB205D" w:rsidRPr="00174DB6" w:rsidRDefault="00471A3B">
            <w:pPr>
              <w:rPr>
                <w:szCs w:val="17"/>
              </w:rPr>
            </w:pPr>
            <w:r w:rsidRPr="00174DB6">
              <w:rPr>
                <w:szCs w:val="17"/>
              </w:rPr>
              <w:t>Net gain/(loss) on disposal of non</w:t>
            </w:r>
            <w:r w:rsidRPr="00174DB6">
              <w:rPr>
                <w:szCs w:val="17"/>
              </w:rPr>
              <w:noBreakHyphen/>
              <w:t>financial assets</w:t>
            </w:r>
          </w:p>
        </w:tc>
        <w:tc>
          <w:tcPr>
            <w:tcW w:w="804" w:type="dxa"/>
          </w:tcPr>
          <w:p w14:paraId="1252512C"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49</w:t>
            </w:r>
          </w:p>
        </w:tc>
        <w:tc>
          <w:tcPr>
            <w:tcW w:w="805" w:type="dxa"/>
          </w:tcPr>
          <w:p w14:paraId="7B00B948"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43</w:t>
            </w:r>
          </w:p>
        </w:tc>
        <w:tc>
          <w:tcPr>
            <w:tcW w:w="805" w:type="dxa"/>
          </w:tcPr>
          <w:p w14:paraId="65D0F71D"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52</w:t>
            </w:r>
          </w:p>
        </w:tc>
        <w:tc>
          <w:tcPr>
            <w:tcW w:w="805" w:type="dxa"/>
          </w:tcPr>
          <w:p w14:paraId="1CA50C66"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291</w:t>
            </w:r>
          </w:p>
        </w:tc>
        <w:tc>
          <w:tcPr>
            <w:tcW w:w="805" w:type="dxa"/>
          </w:tcPr>
          <w:p w14:paraId="02D95803"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39</w:t>
            </w:r>
          </w:p>
        </w:tc>
      </w:tr>
      <w:tr w:rsidR="009C6724" w:rsidRPr="00174DB6" w14:paraId="061A75DB" w14:textId="77777777" w:rsidTr="009C6724">
        <w:tc>
          <w:tcPr>
            <w:cnfStyle w:val="001000000000" w:firstRow="0" w:lastRow="0" w:firstColumn="1" w:lastColumn="0" w:oddVBand="0" w:evenVBand="0" w:oddHBand="0" w:evenHBand="0" w:firstRowFirstColumn="0" w:firstRowLastColumn="0" w:lastRowFirstColumn="0" w:lastRowLastColumn="0"/>
            <w:tcW w:w="3686" w:type="dxa"/>
          </w:tcPr>
          <w:p w14:paraId="3A62926C" w14:textId="77777777" w:rsidR="00AB205D" w:rsidRPr="00174DB6" w:rsidRDefault="00471A3B">
            <w:pPr>
              <w:rPr>
                <w:szCs w:val="17"/>
              </w:rPr>
            </w:pPr>
            <w:r w:rsidRPr="00174DB6">
              <w:rPr>
                <w:szCs w:val="17"/>
              </w:rPr>
              <w:t>Net gain/(loss) on financial assets or liabilities at fair value</w:t>
            </w:r>
          </w:p>
        </w:tc>
        <w:tc>
          <w:tcPr>
            <w:tcW w:w="804" w:type="dxa"/>
          </w:tcPr>
          <w:p w14:paraId="72981BD6"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805" w:type="dxa"/>
          </w:tcPr>
          <w:p w14:paraId="5070E271"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w:t>
            </w:r>
          </w:p>
        </w:tc>
        <w:tc>
          <w:tcPr>
            <w:tcW w:w="805" w:type="dxa"/>
          </w:tcPr>
          <w:p w14:paraId="15ABF314"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805" w:type="dxa"/>
          </w:tcPr>
          <w:p w14:paraId="0098FA92"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805" w:type="dxa"/>
          </w:tcPr>
          <w:p w14:paraId="07D15E47"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r>
      <w:tr w:rsidR="009C6724" w:rsidRPr="00174DB6" w14:paraId="671C1598" w14:textId="77777777" w:rsidTr="009C6724">
        <w:tc>
          <w:tcPr>
            <w:cnfStyle w:val="001000000000" w:firstRow="0" w:lastRow="0" w:firstColumn="1" w:lastColumn="0" w:oddVBand="0" w:evenVBand="0" w:oddHBand="0" w:evenHBand="0" w:firstRowFirstColumn="0" w:firstRowLastColumn="0" w:lastRowFirstColumn="0" w:lastRowLastColumn="0"/>
            <w:tcW w:w="3686" w:type="dxa"/>
            <w:tcBorders>
              <w:bottom w:val="single" w:sz="6" w:space="0" w:color="auto"/>
            </w:tcBorders>
          </w:tcPr>
          <w:p w14:paraId="40280A0B" w14:textId="77777777" w:rsidR="00AB205D" w:rsidRPr="00174DB6" w:rsidRDefault="00471A3B">
            <w:pPr>
              <w:rPr>
                <w:szCs w:val="17"/>
              </w:rPr>
            </w:pPr>
            <w:r w:rsidRPr="00174DB6">
              <w:rPr>
                <w:szCs w:val="17"/>
              </w:rPr>
              <w:t>Other gains/(losses) from other economic flows</w:t>
            </w:r>
          </w:p>
        </w:tc>
        <w:tc>
          <w:tcPr>
            <w:tcW w:w="804" w:type="dxa"/>
            <w:tcBorders>
              <w:bottom w:val="single" w:sz="6" w:space="0" w:color="auto"/>
            </w:tcBorders>
          </w:tcPr>
          <w:p w14:paraId="5B162205"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(5 629)</w:t>
            </w:r>
          </w:p>
        </w:tc>
        <w:tc>
          <w:tcPr>
            <w:tcW w:w="805" w:type="dxa"/>
            <w:tcBorders>
              <w:bottom w:val="single" w:sz="6" w:space="0" w:color="auto"/>
            </w:tcBorders>
          </w:tcPr>
          <w:p w14:paraId="7B24100D"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(4 508)</w:t>
            </w:r>
          </w:p>
        </w:tc>
        <w:tc>
          <w:tcPr>
            <w:tcW w:w="805" w:type="dxa"/>
            <w:tcBorders>
              <w:bottom w:val="single" w:sz="6" w:space="0" w:color="auto"/>
            </w:tcBorders>
          </w:tcPr>
          <w:p w14:paraId="3188B4B1"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(3 647)</w:t>
            </w:r>
          </w:p>
        </w:tc>
        <w:tc>
          <w:tcPr>
            <w:tcW w:w="805" w:type="dxa"/>
            <w:tcBorders>
              <w:bottom w:val="single" w:sz="6" w:space="0" w:color="auto"/>
            </w:tcBorders>
          </w:tcPr>
          <w:p w14:paraId="6488A86A"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(18 204)</w:t>
            </w:r>
          </w:p>
        </w:tc>
        <w:tc>
          <w:tcPr>
            <w:tcW w:w="805" w:type="dxa"/>
            <w:tcBorders>
              <w:bottom w:val="single" w:sz="6" w:space="0" w:color="auto"/>
            </w:tcBorders>
          </w:tcPr>
          <w:p w14:paraId="69B1DA99"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(3 233)</w:t>
            </w:r>
          </w:p>
        </w:tc>
      </w:tr>
      <w:tr w:rsidR="009C6724" w:rsidRPr="00174DB6" w14:paraId="3239F25A" w14:textId="77777777" w:rsidTr="009C6724">
        <w:tc>
          <w:tcPr>
            <w:cnfStyle w:val="001000000000" w:firstRow="0" w:lastRow="0" w:firstColumn="1" w:lastColumn="0" w:oddVBand="0" w:evenVBand="0" w:oddHBand="0" w:evenHBand="0" w:firstRowFirstColumn="0" w:firstRowLastColumn="0" w:lastRowFirstColumn="0" w:lastRowLastColumn="0"/>
            <w:tcW w:w="3686" w:type="dxa"/>
            <w:tcBorders>
              <w:top w:val="single" w:sz="6" w:space="0" w:color="auto"/>
              <w:bottom w:val="single" w:sz="6" w:space="0" w:color="auto"/>
            </w:tcBorders>
          </w:tcPr>
          <w:p w14:paraId="3B754548" w14:textId="77777777" w:rsidR="00AB205D" w:rsidRPr="00174DB6" w:rsidRDefault="00471A3B">
            <w:pPr>
              <w:rPr>
                <w:szCs w:val="17"/>
              </w:rPr>
            </w:pPr>
            <w:r w:rsidRPr="00174DB6">
              <w:rPr>
                <w:b/>
                <w:szCs w:val="17"/>
              </w:rPr>
              <w:t>Total other economic flows included in net result</w:t>
            </w:r>
          </w:p>
        </w:tc>
        <w:tc>
          <w:tcPr>
            <w:tcW w:w="804" w:type="dxa"/>
            <w:tcBorders>
              <w:top w:val="single" w:sz="6" w:space="0" w:color="auto"/>
              <w:bottom w:val="single" w:sz="6" w:space="0" w:color="auto"/>
            </w:tcBorders>
          </w:tcPr>
          <w:p w14:paraId="1CEFA590"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(5 580)</w:t>
            </w:r>
          </w:p>
        </w:tc>
        <w:tc>
          <w:tcPr>
            <w:tcW w:w="805" w:type="dxa"/>
            <w:tcBorders>
              <w:top w:val="single" w:sz="6" w:space="0" w:color="auto"/>
              <w:bottom w:val="single" w:sz="6" w:space="0" w:color="auto"/>
            </w:tcBorders>
          </w:tcPr>
          <w:p w14:paraId="30AF46F3"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(4 466)</w:t>
            </w:r>
          </w:p>
        </w:tc>
        <w:tc>
          <w:tcPr>
            <w:tcW w:w="805" w:type="dxa"/>
            <w:tcBorders>
              <w:top w:val="single" w:sz="6" w:space="0" w:color="auto"/>
              <w:bottom w:val="single" w:sz="6" w:space="0" w:color="auto"/>
            </w:tcBorders>
          </w:tcPr>
          <w:p w14:paraId="4F41B69D"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(3 595)</w:t>
            </w:r>
          </w:p>
        </w:tc>
        <w:tc>
          <w:tcPr>
            <w:tcW w:w="805" w:type="dxa"/>
            <w:tcBorders>
              <w:top w:val="single" w:sz="6" w:space="0" w:color="auto"/>
              <w:bottom w:val="single" w:sz="6" w:space="0" w:color="auto"/>
            </w:tcBorders>
          </w:tcPr>
          <w:p w14:paraId="270772D0"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(17 913)</w:t>
            </w:r>
          </w:p>
        </w:tc>
        <w:tc>
          <w:tcPr>
            <w:tcW w:w="805" w:type="dxa"/>
            <w:tcBorders>
              <w:top w:val="single" w:sz="6" w:space="0" w:color="auto"/>
              <w:bottom w:val="single" w:sz="6" w:space="0" w:color="auto"/>
            </w:tcBorders>
          </w:tcPr>
          <w:p w14:paraId="63CC5DDE"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(3 193)</w:t>
            </w:r>
          </w:p>
        </w:tc>
      </w:tr>
      <w:tr w:rsidR="009C6724" w:rsidRPr="00174DB6" w14:paraId="2BC25E40" w14:textId="77777777" w:rsidTr="009C6724">
        <w:tc>
          <w:tcPr>
            <w:cnfStyle w:val="001000000000" w:firstRow="0" w:lastRow="0" w:firstColumn="1" w:lastColumn="0" w:oddVBand="0" w:evenVBand="0" w:oddHBand="0" w:evenHBand="0" w:firstRowFirstColumn="0" w:firstRowLastColumn="0" w:lastRowFirstColumn="0" w:lastRowLastColumn="0"/>
            <w:tcW w:w="3686" w:type="dxa"/>
            <w:tcBorders>
              <w:top w:val="single" w:sz="6" w:space="0" w:color="auto"/>
              <w:bottom w:val="single" w:sz="12" w:space="0" w:color="auto"/>
            </w:tcBorders>
          </w:tcPr>
          <w:p w14:paraId="74134554" w14:textId="77777777" w:rsidR="00AB205D" w:rsidRPr="00174DB6" w:rsidRDefault="00471A3B">
            <w:pPr>
              <w:rPr>
                <w:szCs w:val="17"/>
              </w:rPr>
            </w:pPr>
            <w:r w:rsidRPr="00174DB6">
              <w:rPr>
                <w:b/>
                <w:szCs w:val="17"/>
              </w:rPr>
              <w:t>Net result</w:t>
            </w:r>
          </w:p>
        </w:tc>
        <w:tc>
          <w:tcPr>
            <w:tcW w:w="804" w:type="dxa"/>
            <w:tcBorders>
              <w:top w:val="single" w:sz="6" w:space="0" w:color="auto"/>
              <w:bottom w:val="single" w:sz="12" w:space="0" w:color="auto"/>
            </w:tcBorders>
          </w:tcPr>
          <w:p w14:paraId="2257912B"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(5 875)</w:t>
            </w:r>
          </w:p>
        </w:tc>
        <w:tc>
          <w:tcPr>
            <w:tcW w:w="805" w:type="dxa"/>
            <w:tcBorders>
              <w:top w:val="single" w:sz="6" w:space="0" w:color="auto"/>
              <w:bottom w:val="single" w:sz="12" w:space="0" w:color="auto"/>
            </w:tcBorders>
          </w:tcPr>
          <w:p w14:paraId="1468D698"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(4 860)</w:t>
            </w:r>
          </w:p>
        </w:tc>
        <w:tc>
          <w:tcPr>
            <w:tcW w:w="805" w:type="dxa"/>
            <w:tcBorders>
              <w:top w:val="single" w:sz="6" w:space="0" w:color="auto"/>
              <w:bottom w:val="single" w:sz="12" w:space="0" w:color="auto"/>
            </w:tcBorders>
          </w:tcPr>
          <w:p w14:paraId="14FD52FF"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(3 331)</w:t>
            </w:r>
          </w:p>
        </w:tc>
        <w:tc>
          <w:tcPr>
            <w:tcW w:w="805" w:type="dxa"/>
            <w:tcBorders>
              <w:top w:val="single" w:sz="6" w:space="0" w:color="auto"/>
              <w:bottom w:val="single" w:sz="12" w:space="0" w:color="auto"/>
            </w:tcBorders>
          </w:tcPr>
          <w:p w14:paraId="5565C8F1"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(17 600)</w:t>
            </w:r>
          </w:p>
        </w:tc>
        <w:tc>
          <w:tcPr>
            <w:tcW w:w="805" w:type="dxa"/>
            <w:tcBorders>
              <w:top w:val="single" w:sz="6" w:space="0" w:color="auto"/>
              <w:bottom w:val="single" w:sz="12" w:space="0" w:color="auto"/>
            </w:tcBorders>
          </w:tcPr>
          <w:p w14:paraId="3CDAAA41"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(2 861)</w:t>
            </w:r>
          </w:p>
        </w:tc>
      </w:tr>
      <w:tr w:rsidR="009C6724" w:rsidRPr="00174DB6" w14:paraId="7C6D4AD0" w14:textId="77777777" w:rsidTr="009C6724">
        <w:tc>
          <w:tcPr>
            <w:cnfStyle w:val="001000000000" w:firstRow="0" w:lastRow="0" w:firstColumn="1" w:lastColumn="0" w:oddVBand="0" w:evenVBand="0" w:oddHBand="0" w:evenHBand="0" w:firstRowFirstColumn="0" w:firstRowLastColumn="0" w:lastRowFirstColumn="0" w:lastRowLastColumn="0"/>
            <w:tcW w:w="3686" w:type="dxa"/>
            <w:tcBorders>
              <w:top w:val="single" w:sz="6" w:space="0" w:color="auto"/>
            </w:tcBorders>
          </w:tcPr>
          <w:p w14:paraId="5AA68089" w14:textId="252E946D" w:rsidR="00AB205D" w:rsidRPr="00174DB6" w:rsidRDefault="00471A3B">
            <w:pPr>
              <w:rPr>
                <w:szCs w:val="17"/>
              </w:rPr>
            </w:pPr>
            <w:r w:rsidRPr="00174DB6">
              <w:rPr>
                <w:b/>
                <w:szCs w:val="17"/>
              </w:rPr>
              <w:t xml:space="preserve">Other economic flows – </w:t>
            </w:r>
            <w:r w:rsidR="00174DB6">
              <w:rPr>
                <w:b/>
                <w:szCs w:val="17"/>
              </w:rPr>
              <w:br/>
            </w:r>
            <w:r w:rsidR="00174DB6" w:rsidRPr="00174DB6">
              <w:rPr>
                <w:b/>
                <w:szCs w:val="17"/>
              </w:rPr>
              <w:t xml:space="preserve">Other </w:t>
            </w:r>
            <w:r w:rsidRPr="00174DB6">
              <w:rPr>
                <w:b/>
                <w:szCs w:val="17"/>
              </w:rPr>
              <w:t>comprehensive income</w:t>
            </w:r>
          </w:p>
        </w:tc>
        <w:tc>
          <w:tcPr>
            <w:tcW w:w="804" w:type="dxa"/>
            <w:tcBorders>
              <w:top w:val="single" w:sz="6" w:space="0" w:color="auto"/>
            </w:tcBorders>
          </w:tcPr>
          <w:p w14:paraId="409DE5F4" w14:textId="77777777" w:rsidR="00AB205D" w:rsidRPr="00174DB6" w:rsidRDefault="00AB205D">
            <w:pPr>
              <w:cnfStyle w:val="000000000000" w:firstRow="0" w:lastRow="0" w:firstColumn="0" w:lastColumn="0" w:oddVBand="0" w:evenVBand="0" w:oddHBand="0" w:evenHBand="0" w:firstRowFirstColumn="0" w:firstRowLastColumn="0" w:lastRowFirstColumn="0" w:lastRowLastColumn="0"/>
              <w:rPr>
                <w:szCs w:val="17"/>
              </w:rPr>
            </w:pPr>
          </w:p>
        </w:tc>
        <w:tc>
          <w:tcPr>
            <w:tcW w:w="805" w:type="dxa"/>
            <w:tcBorders>
              <w:top w:val="single" w:sz="6" w:space="0" w:color="auto"/>
            </w:tcBorders>
          </w:tcPr>
          <w:p w14:paraId="048BA7D9" w14:textId="77777777" w:rsidR="00AB205D" w:rsidRPr="00174DB6" w:rsidRDefault="00AB205D">
            <w:pPr>
              <w:cnfStyle w:val="000000000000" w:firstRow="0" w:lastRow="0" w:firstColumn="0" w:lastColumn="0" w:oddVBand="0" w:evenVBand="0" w:oddHBand="0" w:evenHBand="0" w:firstRowFirstColumn="0" w:firstRowLastColumn="0" w:lastRowFirstColumn="0" w:lastRowLastColumn="0"/>
              <w:rPr>
                <w:szCs w:val="17"/>
              </w:rPr>
            </w:pPr>
          </w:p>
        </w:tc>
        <w:tc>
          <w:tcPr>
            <w:tcW w:w="805" w:type="dxa"/>
            <w:tcBorders>
              <w:top w:val="single" w:sz="6" w:space="0" w:color="auto"/>
            </w:tcBorders>
          </w:tcPr>
          <w:p w14:paraId="7CB2DA03" w14:textId="77777777" w:rsidR="00AB205D" w:rsidRPr="00174DB6" w:rsidRDefault="00AB205D">
            <w:pPr>
              <w:cnfStyle w:val="000000000000" w:firstRow="0" w:lastRow="0" w:firstColumn="0" w:lastColumn="0" w:oddVBand="0" w:evenVBand="0" w:oddHBand="0" w:evenHBand="0" w:firstRowFirstColumn="0" w:firstRowLastColumn="0" w:lastRowFirstColumn="0" w:lastRowLastColumn="0"/>
              <w:rPr>
                <w:szCs w:val="17"/>
              </w:rPr>
            </w:pPr>
          </w:p>
        </w:tc>
        <w:tc>
          <w:tcPr>
            <w:tcW w:w="805" w:type="dxa"/>
            <w:tcBorders>
              <w:top w:val="single" w:sz="6" w:space="0" w:color="auto"/>
            </w:tcBorders>
          </w:tcPr>
          <w:p w14:paraId="7462AF68" w14:textId="77777777" w:rsidR="00AB205D" w:rsidRPr="00174DB6" w:rsidRDefault="00AB205D">
            <w:pPr>
              <w:cnfStyle w:val="000000000000" w:firstRow="0" w:lastRow="0" w:firstColumn="0" w:lastColumn="0" w:oddVBand="0" w:evenVBand="0" w:oddHBand="0" w:evenHBand="0" w:firstRowFirstColumn="0" w:firstRowLastColumn="0" w:lastRowFirstColumn="0" w:lastRowLastColumn="0"/>
              <w:rPr>
                <w:szCs w:val="17"/>
              </w:rPr>
            </w:pPr>
          </w:p>
        </w:tc>
        <w:tc>
          <w:tcPr>
            <w:tcW w:w="805" w:type="dxa"/>
            <w:tcBorders>
              <w:top w:val="single" w:sz="6" w:space="0" w:color="auto"/>
            </w:tcBorders>
          </w:tcPr>
          <w:p w14:paraId="08F00E9D" w14:textId="77777777" w:rsidR="00AB205D" w:rsidRPr="00174DB6" w:rsidRDefault="00AB205D">
            <w:pPr>
              <w:cnfStyle w:val="000000000000" w:firstRow="0" w:lastRow="0" w:firstColumn="0" w:lastColumn="0" w:oddVBand="0" w:evenVBand="0" w:oddHBand="0" w:evenHBand="0" w:firstRowFirstColumn="0" w:firstRowLastColumn="0" w:lastRowFirstColumn="0" w:lastRowLastColumn="0"/>
              <w:rPr>
                <w:szCs w:val="17"/>
              </w:rPr>
            </w:pPr>
          </w:p>
        </w:tc>
      </w:tr>
      <w:tr w:rsidR="009C6724" w:rsidRPr="00174DB6" w14:paraId="4F6564CF" w14:textId="77777777" w:rsidTr="009C6724">
        <w:tc>
          <w:tcPr>
            <w:cnfStyle w:val="001000000000" w:firstRow="0" w:lastRow="0" w:firstColumn="1" w:lastColumn="0" w:oddVBand="0" w:evenVBand="0" w:oddHBand="0" w:evenHBand="0" w:firstRowFirstColumn="0" w:firstRowLastColumn="0" w:lastRowFirstColumn="0" w:lastRowLastColumn="0"/>
            <w:tcW w:w="3686" w:type="dxa"/>
          </w:tcPr>
          <w:p w14:paraId="07DC0D18" w14:textId="77777777" w:rsidR="00AB205D" w:rsidRPr="00174DB6" w:rsidRDefault="00471A3B">
            <w:pPr>
              <w:rPr>
                <w:szCs w:val="17"/>
              </w:rPr>
            </w:pPr>
            <w:r w:rsidRPr="00174DB6">
              <w:rPr>
                <w:b/>
                <w:szCs w:val="17"/>
              </w:rPr>
              <w:t>Items that will not be reclassified to net result</w:t>
            </w:r>
          </w:p>
        </w:tc>
        <w:tc>
          <w:tcPr>
            <w:tcW w:w="804" w:type="dxa"/>
          </w:tcPr>
          <w:p w14:paraId="1FEF0B31" w14:textId="77777777" w:rsidR="00AB205D" w:rsidRPr="00174DB6" w:rsidRDefault="00AB205D">
            <w:pPr>
              <w:cnfStyle w:val="000000000000" w:firstRow="0" w:lastRow="0" w:firstColumn="0" w:lastColumn="0" w:oddVBand="0" w:evenVBand="0" w:oddHBand="0" w:evenHBand="0" w:firstRowFirstColumn="0" w:firstRowLastColumn="0" w:lastRowFirstColumn="0" w:lastRowLastColumn="0"/>
              <w:rPr>
                <w:szCs w:val="17"/>
              </w:rPr>
            </w:pPr>
          </w:p>
        </w:tc>
        <w:tc>
          <w:tcPr>
            <w:tcW w:w="805" w:type="dxa"/>
          </w:tcPr>
          <w:p w14:paraId="308D167E" w14:textId="77777777" w:rsidR="00AB205D" w:rsidRPr="00174DB6" w:rsidRDefault="00AB205D">
            <w:pPr>
              <w:cnfStyle w:val="000000000000" w:firstRow="0" w:lastRow="0" w:firstColumn="0" w:lastColumn="0" w:oddVBand="0" w:evenVBand="0" w:oddHBand="0" w:evenHBand="0" w:firstRowFirstColumn="0" w:firstRowLastColumn="0" w:lastRowFirstColumn="0" w:lastRowLastColumn="0"/>
              <w:rPr>
                <w:szCs w:val="17"/>
              </w:rPr>
            </w:pPr>
          </w:p>
        </w:tc>
        <w:tc>
          <w:tcPr>
            <w:tcW w:w="805" w:type="dxa"/>
          </w:tcPr>
          <w:p w14:paraId="2FA4A263" w14:textId="77777777" w:rsidR="00AB205D" w:rsidRPr="00174DB6" w:rsidRDefault="00AB205D">
            <w:pPr>
              <w:cnfStyle w:val="000000000000" w:firstRow="0" w:lastRow="0" w:firstColumn="0" w:lastColumn="0" w:oddVBand="0" w:evenVBand="0" w:oddHBand="0" w:evenHBand="0" w:firstRowFirstColumn="0" w:firstRowLastColumn="0" w:lastRowFirstColumn="0" w:lastRowLastColumn="0"/>
              <w:rPr>
                <w:szCs w:val="17"/>
              </w:rPr>
            </w:pPr>
          </w:p>
        </w:tc>
        <w:tc>
          <w:tcPr>
            <w:tcW w:w="805" w:type="dxa"/>
          </w:tcPr>
          <w:p w14:paraId="59F675CC" w14:textId="77777777" w:rsidR="00AB205D" w:rsidRPr="00174DB6" w:rsidRDefault="00AB205D">
            <w:pPr>
              <w:cnfStyle w:val="000000000000" w:firstRow="0" w:lastRow="0" w:firstColumn="0" w:lastColumn="0" w:oddVBand="0" w:evenVBand="0" w:oddHBand="0" w:evenHBand="0" w:firstRowFirstColumn="0" w:firstRowLastColumn="0" w:lastRowFirstColumn="0" w:lastRowLastColumn="0"/>
              <w:rPr>
                <w:szCs w:val="17"/>
              </w:rPr>
            </w:pPr>
          </w:p>
        </w:tc>
        <w:tc>
          <w:tcPr>
            <w:tcW w:w="805" w:type="dxa"/>
          </w:tcPr>
          <w:p w14:paraId="5F11F809" w14:textId="77777777" w:rsidR="00AB205D" w:rsidRPr="00174DB6" w:rsidRDefault="00AB205D">
            <w:pPr>
              <w:cnfStyle w:val="000000000000" w:firstRow="0" w:lastRow="0" w:firstColumn="0" w:lastColumn="0" w:oddVBand="0" w:evenVBand="0" w:oddHBand="0" w:evenHBand="0" w:firstRowFirstColumn="0" w:firstRowLastColumn="0" w:lastRowFirstColumn="0" w:lastRowLastColumn="0"/>
              <w:rPr>
                <w:szCs w:val="17"/>
              </w:rPr>
            </w:pPr>
          </w:p>
        </w:tc>
      </w:tr>
      <w:tr w:rsidR="009C6724" w:rsidRPr="00174DB6" w14:paraId="3B6DAB54" w14:textId="77777777" w:rsidTr="009C6724">
        <w:tc>
          <w:tcPr>
            <w:cnfStyle w:val="001000000000" w:firstRow="0" w:lastRow="0" w:firstColumn="1" w:lastColumn="0" w:oddVBand="0" w:evenVBand="0" w:oddHBand="0" w:evenHBand="0" w:firstRowFirstColumn="0" w:firstRowLastColumn="0" w:lastRowFirstColumn="0" w:lastRowLastColumn="0"/>
            <w:tcW w:w="3686" w:type="dxa"/>
          </w:tcPr>
          <w:p w14:paraId="7FD9367B" w14:textId="77777777" w:rsidR="00AB205D" w:rsidRPr="00174DB6" w:rsidRDefault="00471A3B">
            <w:pPr>
              <w:rPr>
                <w:szCs w:val="17"/>
              </w:rPr>
            </w:pPr>
            <w:r w:rsidRPr="00174DB6">
              <w:rPr>
                <w:szCs w:val="17"/>
              </w:rPr>
              <w:t>Changes in non</w:t>
            </w:r>
            <w:r w:rsidRPr="00174DB6">
              <w:rPr>
                <w:szCs w:val="17"/>
              </w:rPr>
              <w:noBreakHyphen/>
              <w:t>financial assets revaluation surplus</w:t>
            </w:r>
          </w:p>
        </w:tc>
        <w:tc>
          <w:tcPr>
            <w:tcW w:w="804" w:type="dxa"/>
          </w:tcPr>
          <w:p w14:paraId="4B0C125B"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11</w:t>
            </w:r>
          </w:p>
        </w:tc>
        <w:tc>
          <w:tcPr>
            <w:tcW w:w="805" w:type="dxa"/>
          </w:tcPr>
          <w:p w14:paraId="292908B3"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(427)</w:t>
            </w:r>
          </w:p>
        </w:tc>
        <w:tc>
          <w:tcPr>
            <w:tcW w:w="805" w:type="dxa"/>
          </w:tcPr>
          <w:p w14:paraId="263F7420"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16</w:t>
            </w:r>
          </w:p>
        </w:tc>
        <w:tc>
          <w:tcPr>
            <w:tcW w:w="805" w:type="dxa"/>
          </w:tcPr>
          <w:p w14:paraId="6B56B2D5"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979</w:t>
            </w:r>
          </w:p>
        </w:tc>
        <w:tc>
          <w:tcPr>
            <w:tcW w:w="805" w:type="dxa"/>
          </w:tcPr>
          <w:p w14:paraId="781792F5"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7</w:t>
            </w:r>
          </w:p>
        </w:tc>
      </w:tr>
      <w:tr w:rsidR="009C6724" w:rsidRPr="00174DB6" w14:paraId="1DD7A30C" w14:textId="77777777" w:rsidTr="009C6724">
        <w:tc>
          <w:tcPr>
            <w:cnfStyle w:val="001000000000" w:firstRow="0" w:lastRow="0" w:firstColumn="1" w:lastColumn="0" w:oddVBand="0" w:evenVBand="0" w:oddHBand="0" w:evenHBand="0" w:firstRowFirstColumn="0" w:firstRowLastColumn="0" w:lastRowFirstColumn="0" w:lastRowLastColumn="0"/>
            <w:tcW w:w="3686" w:type="dxa"/>
          </w:tcPr>
          <w:p w14:paraId="795285C3" w14:textId="77777777" w:rsidR="00AB205D" w:rsidRPr="00174DB6" w:rsidRDefault="00471A3B">
            <w:pPr>
              <w:rPr>
                <w:szCs w:val="17"/>
              </w:rPr>
            </w:pPr>
            <w:r w:rsidRPr="00174DB6">
              <w:rPr>
                <w:szCs w:val="17"/>
              </w:rPr>
              <w:t>Other movements in equity</w:t>
            </w:r>
          </w:p>
        </w:tc>
        <w:tc>
          <w:tcPr>
            <w:tcW w:w="804" w:type="dxa"/>
          </w:tcPr>
          <w:p w14:paraId="6DE27848"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805" w:type="dxa"/>
          </w:tcPr>
          <w:p w14:paraId="242D5878"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112</w:t>
            </w:r>
          </w:p>
        </w:tc>
        <w:tc>
          <w:tcPr>
            <w:tcW w:w="805" w:type="dxa"/>
          </w:tcPr>
          <w:p w14:paraId="7AA7C63D"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(9)</w:t>
            </w:r>
          </w:p>
        </w:tc>
        <w:tc>
          <w:tcPr>
            <w:tcW w:w="805" w:type="dxa"/>
          </w:tcPr>
          <w:p w14:paraId="116CF96A"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2</w:t>
            </w:r>
          </w:p>
        </w:tc>
        <w:tc>
          <w:tcPr>
            <w:tcW w:w="805" w:type="dxa"/>
          </w:tcPr>
          <w:p w14:paraId="1CA916AD"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3</w:t>
            </w:r>
          </w:p>
        </w:tc>
      </w:tr>
    </w:tbl>
    <w:p w14:paraId="7496BFAC" w14:textId="77777777" w:rsidR="00AB205D" w:rsidRDefault="00471A3B">
      <w:pPr>
        <w:pStyle w:val="TableHeading"/>
      </w:pPr>
      <w:r w:rsidRPr="00921F69">
        <w:lastRenderedPageBreak/>
        <w:t>Table 5.1</w:t>
      </w:r>
      <w:r w:rsidRPr="00921F69">
        <w:tab/>
        <w:t xml:space="preserve">Public non-financial corporations sector comprehensive operating </w:t>
      </w:r>
      <w:r w:rsidRPr="00921F69">
        <w:br/>
        <w:t>statement for the financial year ended 30 June</w:t>
      </w:r>
      <w:r w:rsidRPr="003F323F">
        <w:rPr>
          <w:i/>
          <w:iCs w:val="0"/>
        </w:rPr>
        <w:t xml:space="preserve"> </w:t>
      </w:r>
      <w:r w:rsidRPr="00174DB6">
        <w:rPr>
          <w:i/>
          <w:iCs w:val="0"/>
          <w:sz w:val="18"/>
          <w:szCs w:val="16"/>
        </w:rPr>
        <w:t>(continued)</w:t>
      </w:r>
      <w:r w:rsidRPr="00921F69">
        <w:tab/>
        <w:t>($ million)</w:t>
      </w:r>
    </w:p>
    <w:tbl>
      <w:tblPr>
        <w:tblStyle w:val="DTFTableNumeric"/>
        <w:tblW w:w="7710" w:type="dxa"/>
        <w:tblLayout w:type="fixed"/>
        <w:tblLook w:val="06A0" w:firstRow="1" w:lastRow="0" w:firstColumn="1" w:lastColumn="0" w:noHBand="1" w:noVBand="1"/>
        <w:tblDescription w:val="Type:DtfTable|Workbook:Rawdata\BudgetUpdate\Budget Update\Financial Statements\SRIMS exports\SRIMS_BU_UPF_PNFC_PFC.xlsx|Table:PNFC_OS|MergedHeadingRow:1|FirstRow:37"/>
      </w:tblPr>
      <w:tblGrid>
        <w:gridCol w:w="3686"/>
        <w:gridCol w:w="804"/>
        <w:gridCol w:w="805"/>
        <w:gridCol w:w="805"/>
        <w:gridCol w:w="805"/>
        <w:gridCol w:w="805"/>
      </w:tblGrid>
      <w:tr w:rsidR="009C6724" w14:paraId="36F2EBF6"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6" w:type="dxa"/>
          </w:tcPr>
          <w:p w14:paraId="56443227" w14:textId="77777777" w:rsidR="00AB205D" w:rsidRDefault="00AB205D">
            <w:pPr>
              <w:keepNext/>
            </w:pPr>
          </w:p>
        </w:tc>
        <w:tc>
          <w:tcPr>
            <w:tcW w:w="804" w:type="dxa"/>
          </w:tcPr>
          <w:p w14:paraId="1144E800"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budget</w:t>
            </w:r>
          </w:p>
        </w:tc>
        <w:tc>
          <w:tcPr>
            <w:tcW w:w="805" w:type="dxa"/>
          </w:tcPr>
          <w:p w14:paraId="1B84F5B5"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revised</w:t>
            </w:r>
          </w:p>
        </w:tc>
        <w:tc>
          <w:tcPr>
            <w:tcW w:w="805" w:type="dxa"/>
          </w:tcPr>
          <w:p w14:paraId="56D2F2F3"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r>
              <w:br/>
              <w:t>estimate</w:t>
            </w:r>
          </w:p>
        </w:tc>
        <w:tc>
          <w:tcPr>
            <w:tcW w:w="805" w:type="dxa"/>
          </w:tcPr>
          <w:p w14:paraId="75BF3814"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805" w:type="dxa"/>
          </w:tcPr>
          <w:p w14:paraId="43D7555F"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r>
      <w:tr w:rsidR="009C6724" w14:paraId="5BE4917A" w14:textId="77777777" w:rsidTr="009C6724">
        <w:tc>
          <w:tcPr>
            <w:cnfStyle w:val="001000000000" w:firstRow="0" w:lastRow="0" w:firstColumn="1" w:lastColumn="0" w:oddVBand="0" w:evenVBand="0" w:oddHBand="0" w:evenHBand="0" w:firstRowFirstColumn="0" w:firstRowLastColumn="0" w:lastRowFirstColumn="0" w:lastRowLastColumn="0"/>
            <w:tcW w:w="3686" w:type="dxa"/>
          </w:tcPr>
          <w:p w14:paraId="20531D07" w14:textId="77777777" w:rsidR="00AB205D" w:rsidRDefault="00471A3B">
            <w:r>
              <w:rPr>
                <w:b/>
              </w:rPr>
              <w:t>Items that may be reclassified subsequently to net result</w:t>
            </w:r>
          </w:p>
        </w:tc>
        <w:tc>
          <w:tcPr>
            <w:tcW w:w="804" w:type="dxa"/>
          </w:tcPr>
          <w:p w14:paraId="2F8D5529"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805" w:type="dxa"/>
          </w:tcPr>
          <w:p w14:paraId="5C08C189"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805" w:type="dxa"/>
          </w:tcPr>
          <w:p w14:paraId="56F59516"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805" w:type="dxa"/>
          </w:tcPr>
          <w:p w14:paraId="2665518C"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805" w:type="dxa"/>
          </w:tcPr>
          <w:p w14:paraId="17F6388F"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2F517A89" w14:textId="77777777" w:rsidTr="009C6724">
        <w:tc>
          <w:tcPr>
            <w:cnfStyle w:val="001000000000" w:firstRow="0" w:lastRow="0" w:firstColumn="1" w:lastColumn="0" w:oddVBand="0" w:evenVBand="0" w:oddHBand="0" w:evenHBand="0" w:firstRowFirstColumn="0" w:firstRowLastColumn="0" w:lastRowFirstColumn="0" w:lastRowLastColumn="0"/>
            <w:tcW w:w="3686" w:type="dxa"/>
            <w:tcBorders>
              <w:bottom w:val="single" w:sz="6" w:space="0" w:color="auto"/>
            </w:tcBorders>
          </w:tcPr>
          <w:p w14:paraId="6AADD2C1" w14:textId="77777777" w:rsidR="00AB205D" w:rsidRDefault="00471A3B">
            <w:r>
              <w:t>Net gain/(loss) on financial assets at fair value</w:t>
            </w:r>
          </w:p>
        </w:tc>
        <w:tc>
          <w:tcPr>
            <w:tcW w:w="804" w:type="dxa"/>
            <w:tcBorders>
              <w:bottom w:val="single" w:sz="6" w:space="0" w:color="auto"/>
            </w:tcBorders>
          </w:tcPr>
          <w:p w14:paraId="297B235C" w14:textId="77777777" w:rsidR="00AB205D" w:rsidRDefault="00471A3B">
            <w:pPr>
              <w:cnfStyle w:val="000000000000" w:firstRow="0" w:lastRow="0" w:firstColumn="0" w:lastColumn="0" w:oddVBand="0" w:evenVBand="0" w:oddHBand="0" w:evenHBand="0" w:firstRowFirstColumn="0" w:firstRowLastColumn="0" w:lastRowFirstColumn="0" w:lastRowLastColumn="0"/>
            </w:pPr>
            <w:r>
              <w:t>(5)</w:t>
            </w:r>
          </w:p>
        </w:tc>
        <w:tc>
          <w:tcPr>
            <w:tcW w:w="805" w:type="dxa"/>
            <w:tcBorders>
              <w:bottom w:val="single" w:sz="6" w:space="0" w:color="auto"/>
            </w:tcBorders>
          </w:tcPr>
          <w:p w14:paraId="740853D0" w14:textId="77777777" w:rsidR="00AB205D" w:rsidRDefault="00471A3B">
            <w:pPr>
              <w:cnfStyle w:val="000000000000" w:firstRow="0" w:lastRow="0" w:firstColumn="0" w:lastColumn="0" w:oddVBand="0" w:evenVBand="0" w:oddHBand="0" w:evenHBand="0" w:firstRowFirstColumn="0" w:firstRowLastColumn="0" w:lastRowFirstColumn="0" w:lastRowLastColumn="0"/>
            </w:pPr>
            <w:r>
              <w:t>(2)</w:t>
            </w:r>
          </w:p>
        </w:tc>
        <w:tc>
          <w:tcPr>
            <w:tcW w:w="805" w:type="dxa"/>
            <w:tcBorders>
              <w:bottom w:val="single" w:sz="6" w:space="0" w:color="auto"/>
            </w:tcBorders>
          </w:tcPr>
          <w:p w14:paraId="7E845921" w14:textId="77777777" w:rsidR="00AB205D" w:rsidRDefault="00471A3B">
            <w:pPr>
              <w:cnfStyle w:val="000000000000" w:firstRow="0" w:lastRow="0" w:firstColumn="0" w:lastColumn="0" w:oddVBand="0" w:evenVBand="0" w:oddHBand="0" w:evenHBand="0" w:firstRowFirstColumn="0" w:firstRowLastColumn="0" w:lastRowFirstColumn="0" w:lastRowLastColumn="0"/>
            </w:pPr>
            <w:r>
              <w:t>(5)</w:t>
            </w:r>
          </w:p>
        </w:tc>
        <w:tc>
          <w:tcPr>
            <w:tcW w:w="805" w:type="dxa"/>
            <w:tcBorders>
              <w:bottom w:val="single" w:sz="6" w:space="0" w:color="auto"/>
            </w:tcBorders>
          </w:tcPr>
          <w:p w14:paraId="365C4FE2"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805" w:type="dxa"/>
            <w:tcBorders>
              <w:bottom w:val="single" w:sz="6" w:space="0" w:color="auto"/>
            </w:tcBorders>
          </w:tcPr>
          <w:p w14:paraId="0E71658D"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r>
      <w:tr w:rsidR="009C6724" w14:paraId="3842BC8C" w14:textId="77777777" w:rsidTr="009C6724">
        <w:tc>
          <w:tcPr>
            <w:cnfStyle w:val="001000000000" w:firstRow="0" w:lastRow="0" w:firstColumn="1" w:lastColumn="0" w:oddVBand="0" w:evenVBand="0" w:oddHBand="0" w:evenHBand="0" w:firstRowFirstColumn="0" w:firstRowLastColumn="0" w:lastRowFirstColumn="0" w:lastRowLastColumn="0"/>
            <w:tcW w:w="3686" w:type="dxa"/>
            <w:tcBorders>
              <w:top w:val="single" w:sz="6" w:space="0" w:color="auto"/>
              <w:bottom w:val="single" w:sz="6" w:space="0" w:color="auto"/>
            </w:tcBorders>
          </w:tcPr>
          <w:p w14:paraId="63D6A8F8" w14:textId="692BA7D8" w:rsidR="00AB205D" w:rsidRDefault="00471A3B">
            <w:r>
              <w:rPr>
                <w:b/>
              </w:rPr>
              <w:t xml:space="preserve">Total other economic flows – </w:t>
            </w:r>
            <w:r w:rsidR="00174DB6">
              <w:rPr>
                <w:b/>
              </w:rPr>
              <w:br/>
              <w:t xml:space="preserve">Other </w:t>
            </w:r>
            <w:r>
              <w:rPr>
                <w:b/>
              </w:rPr>
              <w:t>comprehensive income</w:t>
            </w:r>
          </w:p>
        </w:tc>
        <w:tc>
          <w:tcPr>
            <w:tcW w:w="804" w:type="dxa"/>
            <w:tcBorders>
              <w:top w:val="single" w:sz="6" w:space="0" w:color="auto"/>
              <w:bottom w:val="single" w:sz="6" w:space="0" w:color="auto"/>
            </w:tcBorders>
          </w:tcPr>
          <w:p w14:paraId="3D1D0BB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6</w:t>
            </w:r>
          </w:p>
        </w:tc>
        <w:tc>
          <w:tcPr>
            <w:tcW w:w="805" w:type="dxa"/>
            <w:tcBorders>
              <w:top w:val="single" w:sz="6" w:space="0" w:color="auto"/>
              <w:bottom w:val="single" w:sz="6" w:space="0" w:color="auto"/>
            </w:tcBorders>
          </w:tcPr>
          <w:p w14:paraId="1E5701E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(316)</w:t>
            </w:r>
          </w:p>
        </w:tc>
        <w:tc>
          <w:tcPr>
            <w:tcW w:w="805" w:type="dxa"/>
            <w:tcBorders>
              <w:top w:val="single" w:sz="6" w:space="0" w:color="auto"/>
              <w:bottom w:val="single" w:sz="6" w:space="0" w:color="auto"/>
            </w:tcBorders>
          </w:tcPr>
          <w:p w14:paraId="0AF020D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w:t>
            </w:r>
          </w:p>
        </w:tc>
        <w:tc>
          <w:tcPr>
            <w:tcW w:w="805" w:type="dxa"/>
            <w:tcBorders>
              <w:top w:val="single" w:sz="6" w:space="0" w:color="auto"/>
              <w:bottom w:val="single" w:sz="6" w:space="0" w:color="auto"/>
            </w:tcBorders>
          </w:tcPr>
          <w:p w14:paraId="39293EA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981</w:t>
            </w:r>
          </w:p>
        </w:tc>
        <w:tc>
          <w:tcPr>
            <w:tcW w:w="805" w:type="dxa"/>
            <w:tcBorders>
              <w:top w:val="single" w:sz="6" w:space="0" w:color="auto"/>
              <w:bottom w:val="single" w:sz="6" w:space="0" w:color="auto"/>
            </w:tcBorders>
          </w:tcPr>
          <w:p w14:paraId="7E55AFB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10</w:t>
            </w:r>
          </w:p>
        </w:tc>
      </w:tr>
      <w:tr w:rsidR="009C6724" w14:paraId="544F5B8D" w14:textId="77777777" w:rsidTr="009C6724">
        <w:tc>
          <w:tcPr>
            <w:cnfStyle w:val="001000000000" w:firstRow="0" w:lastRow="0" w:firstColumn="1" w:lastColumn="0" w:oddVBand="0" w:evenVBand="0" w:oddHBand="0" w:evenHBand="0" w:firstRowFirstColumn="0" w:firstRowLastColumn="0" w:lastRowFirstColumn="0" w:lastRowLastColumn="0"/>
            <w:tcW w:w="3686" w:type="dxa"/>
            <w:tcBorders>
              <w:top w:val="single" w:sz="6" w:space="0" w:color="auto"/>
              <w:bottom w:val="single" w:sz="12" w:space="0" w:color="auto"/>
            </w:tcBorders>
          </w:tcPr>
          <w:p w14:paraId="73482232" w14:textId="19C2C437" w:rsidR="00AB205D" w:rsidRDefault="00471A3B">
            <w:r>
              <w:rPr>
                <w:b/>
              </w:rPr>
              <w:t xml:space="preserve">Comprehensive result – </w:t>
            </w:r>
            <w:r w:rsidR="00174DB6">
              <w:rPr>
                <w:b/>
              </w:rPr>
              <w:t xml:space="preserve">Total </w:t>
            </w:r>
            <w:r>
              <w:rPr>
                <w:b/>
              </w:rPr>
              <w:t>change in net worth</w:t>
            </w:r>
          </w:p>
        </w:tc>
        <w:tc>
          <w:tcPr>
            <w:tcW w:w="804" w:type="dxa"/>
            <w:tcBorders>
              <w:top w:val="single" w:sz="6" w:space="0" w:color="auto"/>
              <w:bottom w:val="single" w:sz="12" w:space="0" w:color="auto"/>
            </w:tcBorders>
          </w:tcPr>
          <w:p w14:paraId="3154C21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(5 869)</w:t>
            </w:r>
          </w:p>
        </w:tc>
        <w:tc>
          <w:tcPr>
            <w:tcW w:w="805" w:type="dxa"/>
            <w:tcBorders>
              <w:top w:val="single" w:sz="6" w:space="0" w:color="auto"/>
              <w:bottom w:val="single" w:sz="12" w:space="0" w:color="auto"/>
            </w:tcBorders>
          </w:tcPr>
          <w:p w14:paraId="1BA7A66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(5 176)</w:t>
            </w:r>
          </w:p>
        </w:tc>
        <w:tc>
          <w:tcPr>
            <w:tcW w:w="805" w:type="dxa"/>
            <w:tcBorders>
              <w:top w:val="single" w:sz="6" w:space="0" w:color="auto"/>
              <w:bottom w:val="single" w:sz="12" w:space="0" w:color="auto"/>
            </w:tcBorders>
          </w:tcPr>
          <w:p w14:paraId="09A6BAE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(3 329)</w:t>
            </w:r>
          </w:p>
        </w:tc>
        <w:tc>
          <w:tcPr>
            <w:tcW w:w="805" w:type="dxa"/>
            <w:tcBorders>
              <w:top w:val="single" w:sz="6" w:space="0" w:color="auto"/>
              <w:bottom w:val="single" w:sz="12" w:space="0" w:color="auto"/>
            </w:tcBorders>
          </w:tcPr>
          <w:p w14:paraId="5C5CACF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(16 620)</w:t>
            </w:r>
          </w:p>
        </w:tc>
        <w:tc>
          <w:tcPr>
            <w:tcW w:w="805" w:type="dxa"/>
            <w:tcBorders>
              <w:top w:val="single" w:sz="6" w:space="0" w:color="auto"/>
              <w:bottom w:val="single" w:sz="12" w:space="0" w:color="auto"/>
            </w:tcBorders>
          </w:tcPr>
          <w:p w14:paraId="6A65894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(2 851)</w:t>
            </w:r>
          </w:p>
        </w:tc>
      </w:tr>
      <w:tr w:rsidR="009C6724" w14:paraId="7984DDBB" w14:textId="77777777" w:rsidTr="009C6724">
        <w:trPr>
          <w:trHeight w:hRule="exact" w:val="113"/>
        </w:trPr>
        <w:tc>
          <w:tcPr>
            <w:cnfStyle w:val="001000000000" w:firstRow="0" w:lastRow="0" w:firstColumn="1" w:lastColumn="0" w:oddVBand="0" w:evenVBand="0" w:oddHBand="0" w:evenHBand="0" w:firstRowFirstColumn="0" w:firstRowLastColumn="0" w:lastRowFirstColumn="0" w:lastRowLastColumn="0"/>
            <w:tcW w:w="3686" w:type="dxa"/>
            <w:tcBorders>
              <w:top w:val="single" w:sz="6" w:space="0" w:color="auto"/>
            </w:tcBorders>
          </w:tcPr>
          <w:p w14:paraId="0378215E" w14:textId="77777777" w:rsidR="00AB205D" w:rsidRDefault="00AB205D"/>
        </w:tc>
        <w:tc>
          <w:tcPr>
            <w:tcW w:w="804" w:type="dxa"/>
            <w:tcBorders>
              <w:top w:val="single" w:sz="6" w:space="0" w:color="auto"/>
            </w:tcBorders>
          </w:tcPr>
          <w:p w14:paraId="32A4D144"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805" w:type="dxa"/>
            <w:tcBorders>
              <w:top w:val="single" w:sz="6" w:space="0" w:color="auto"/>
            </w:tcBorders>
          </w:tcPr>
          <w:p w14:paraId="77FCE76E"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805" w:type="dxa"/>
            <w:tcBorders>
              <w:top w:val="single" w:sz="6" w:space="0" w:color="auto"/>
            </w:tcBorders>
          </w:tcPr>
          <w:p w14:paraId="3C475CF9"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805" w:type="dxa"/>
            <w:tcBorders>
              <w:top w:val="single" w:sz="6" w:space="0" w:color="auto"/>
            </w:tcBorders>
          </w:tcPr>
          <w:p w14:paraId="18C69998"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805" w:type="dxa"/>
            <w:tcBorders>
              <w:top w:val="single" w:sz="6" w:space="0" w:color="auto"/>
            </w:tcBorders>
          </w:tcPr>
          <w:p w14:paraId="15FF2D98"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7E4B2446" w14:textId="77777777" w:rsidTr="009C6724">
        <w:tc>
          <w:tcPr>
            <w:cnfStyle w:val="001000000000" w:firstRow="0" w:lastRow="0" w:firstColumn="1" w:lastColumn="0" w:oddVBand="0" w:evenVBand="0" w:oddHBand="0" w:evenHBand="0" w:firstRowFirstColumn="0" w:firstRowLastColumn="0" w:lastRowFirstColumn="0" w:lastRowLastColumn="0"/>
            <w:tcW w:w="3686" w:type="dxa"/>
          </w:tcPr>
          <w:p w14:paraId="793B5401" w14:textId="77777777" w:rsidR="00AB205D" w:rsidRDefault="00471A3B">
            <w:r>
              <w:rPr>
                <w:b/>
              </w:rPr>
              <w:t>KEY FISCAL AGGREGATES</w:t>
            </w:r>
          </w:p>
        </w:tc>
        <w:tc>
          <w:tcPr>
            <w:tcW w:w="804" w:type="dxa"/>
          </w:tcPr>
          <w:p w14:paraId="74129AFA"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805" w:type="dxa"/>
          </w:tcPr>
          <w:p w14:paraId="08D06953"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805" w:type="dxa"/>
          </w:tcPr>
          <w:p w14:paraId="3E655C69"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805" w:type="dxa"/>
          </w:tcPr>
          <w:p w14:paraId="5196F804"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805" w:type="dxa"/>
          </w:tcPr>
          <w:p w14:paraId="27B5A36C"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0410F468" w14:textId="77777777" w:rsidTr="009C6724">
        <w:tc>
          <w:tcPr>
            <w:cnfStyle w:val="001000000000" w:firstRow="0" w:lastRow="0" w:firstColumn="1" w:lastColumn="0" w:oddVBand="0" w:evenVBand="0" w:oddHBand="0" w:evenHBand="0" w:firstRowFirstColumn="0" w:firstRowLastColumn="0" w:lastRowFirstColumn="0" w:lastRowLastColumn="0"/>
            <w:tcW w:w="3686" w:type="dxa"/>
          </w:tcPr>
          <w:p w14:paraId="23BB7A8E" w14:textId="77777777" w:rsidR="00AB205D" w:rsidRDefault="00471A3B">
            <w:r>
              <w:rPr>
                <w:b/>
              </w:rPr>
              <w:t>Net operating balance</w:t>
            </w:r>
          </w:p>
        </w:tc>
        <w:tc>
          <w:tcPr>
            <w:tcW w:w="804" w:type="dxa"/>
          </w:tcPr>
          <w:p w14:paraId="6A596D6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(295)</w:t>
            </w:r>
          </w:p>
        </w:tc>
        <w:tc>
          <w:tcPr>
            <w:tcW w:w="805" w:type="dxa"/>
          </w:tcPr>
          <w:p w14:paraId="03C7F89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(394)</w:t>
            </w:r>
          </w:p>
        </w:tc>
        <w:tc>
          <w:tcPr>
            <w:tcW w:w="805" w:type="dxa"/>
          </w:tcPr>
          <w:p w14:paraId="29998F3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263</w:t>
            </w:r>
          </w:p>
        </w:tc>
        <w:tc>
          <w:tcPr>
            <w:tcW w:w="805" w:type="dxa"/>
          </w:tcPr>
          <w:p w14:paraId="0317948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313</w:t>
            </w:r>
          </w:p>
        </w:tc>
        <w:tc>
          <w:tcPr>
            <w:tcW w:w="805" w:type="dxa"/>
          </w:tcPr>
          <w:p w14:paraId="3AA9182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332</w:t>
            </w:r>
          </w:p>
        </w:tc>
      </w:tr>
      <w:tr w:rsidR="009C6724" w14:paraId="3AFA89F6" w14:textId="77777777" w:rsidTr="009C6724">
        <w:tc>
          <w:tcPr>
            <w:cnfStyle w:val="001000000000" w:firstRow="0" w:lastRow="0" w:firstColumn="1" w:lastColumn="0" w:oddVBand="0" w:evenVBand="0" w:oddHBand="0" w:evenHBand="0" w:firstRowFirstColumn="0" w:firstRowLastColumn="0" w:lastRowFirstColumn="0" w:lastRowLastColumn="0"/>
            <w:tcW w:w="3686" w:type="dxa"/>
            <w:tcBorders>
              <w:bottom w:val="single" w:sz="6" w:space="0" w:color="auto"/>
            </w:tcBorders>
          </w:tcPr>
          <w:p w14:paraId="197CE88A" w14:textId="77777777" w:rsidR="00AB205D" w:rsidRDefault="00471A3B">
            <w:r>
              <w:t>Less: Net acquisition of non</w:t>
            </w:r>
            <w:r>
              <w:noBreakHyphen/>
              <w:t>financial assets from transactions</w:t>
            </w:r>
          </w:p>
        </w:tc>
        <w:tc>
          <w:tcPr>
            <w:tcW w:w="804" w:type="dxa"/>
            <w:tcBorders>
              <w:bottom w:val="single" w:sz="6" w:space="0" w:color="auto"/>
            </w:tcBorders>
          </w:tcPr>
          <w:p w14:paraId="67F1B6CB" w14:textId="77777777" w:rsidR="00AB205D" w:rsidRDefault="00471A3B">
            <w:pPr>
              <w:cnfStyle w:val="000000000000" w:firstRow="0" w:lastRow="0" w:firstColumn="0" w:lastColumn="0" w:oddVBand="0" w:evenVBand="0" w:oddHBand="0" w:evenHBand="0" w:firstRowFirstColumn="0" w:firstRowLastColumn="0" w:lastRowFirstColumn="0" w:lastRowLastColumn="0"/>
            </w:pPr>
            <w:r>
              <w:t>11 950</w:t>
            </w:r>
          </w:p>
        </w:tc>
        <w:tc>
          <w:tcPr>
            <w:tcW w:w="805" w:type="dxa"/>
            <w:tcBorders>
              <w:bottom w:val="single" w:sz="6" w:space="0" w:color="auto"/>
            </w:tcBorders>
          </w:tcPr>
          <w:p w14:paraId="3EFE8095" w14:textId="77777777" w:rsidR="00AB205D" w:rsidRDefault="00471A3B">
            <w:pPr>
              <w:cnfStyle w:val="000000000000" w:firstRow="0" w:lastRow="0" w:firstColumn="0" w:lastColumn="0" w:oddVBand="0" w:evenVBand="0" w:oddHBand="0" w:evenHBand="0" w:firstRowFirstColumn="0" w:firstRowLastColumn="0" w:lastRowFirstColumn="0" w:lastRowLastColumn="0"/>
            </w:pPr>
            <w:r>
              <w:t>12 019</w:t>
            </w:r>
          </w:p>
        </w:tc>
        <w:tc>
          <w:tcPr>
            <w:tcW w:w="805" w:type="dxa"/>
            <w:tcBorders>
              <w:bottom w:val="single" w:sz="6" w:space="0" w:color="auto"/>
            </w:tcBorders>
          </w:tcPr>
          <w:p w14:paraId="4497B11D" w14:textId="77777777" w:rsidR="00AB205D" w:rsidRDefault="00471A3B">
            <w:pPr>
              <w:cnfStyle w:val="000000000000" w:firstRow="0" w:lastRow="0" w:firstColumn="0" w:lastColumn="0" w:oddVBand="0" w:evenVBand="0" w:oddHBand="0" w:evenHBand="0" w:firstRowFirstColumn="0" w:firstRowLastColumn="0" w:lastRowFirstColumn="0" w:lastRowLastColumn="0"/>
            </w:pPr>
            <w:r>
              <w:t>9 868</w:t>
            </w:r>
          </w:p>
        </w:tc>
        <w:tc>
          <w:tcPr>
            <w:tcW w:w="805" w:type="dxa"/>
            <w:tcBorders>
              <w:bottom w:val="single" w:sz="6" w:space="0" w:color="auto"/>
            </w:tcBorders>
          </w:tcPr>
          <w:p w14:paraId="0A728F56" w14:textId="77777777" w:rsidR="00AB205D" w:rsidRDefault="00471A3B">
            <w:pPr>
              <w:cnfStyle w:val="000000000000" w:firstRow="0" w:lastRow="0" w:firstColumn="0" w:lastColumn="0" w:oddVBand="0" w:evenVBand="0" w:oddHBand="0" w:evenHBand="0" w:firstRowFirstColumn="0" w:firstRowLastColumn="0" w:lastRowFirstColumn="0" w:lastRowLastColumn="0"/>
            </w:pPr>
            <w:r>
              <w:t>27 068</w:t>
            </w:r>
          </w:p>
        </w:tc>
        <w:tc>
          <w:tcPr>
            <w:tcW w:w="805" w:type="dxa"/>
            <w:tcBorders>
              <w:bottom w:val="single" w:sz="6" w:space="0" w:color="auto"/>
            </w:tcBorders>
          </w:tcPr>
          <w:p w14:paraId="67F19C00" w14:textId="77777777" w:rsidR="00AB205D" w:rsidRDefault="00471A3B">
            <w:pPr>
              <w:cnfStyle w:val="000000000000" w:firstRow="0" w:lastRow="0" w:firstColumn="0" w:lastColumn="0" w:oddVBand="0" w:evenVBand="0" w:oddHBand="0" w:evenHBand="0" w:firstRowFirstColumn="0" w:firstRowLastColumn="0" w:lastRowFirstColumn="0" w:lastRowLastColumn="0"/>
            </w:pPr>
            <w:r>
              <w:t>8 906</w:t>
            </w:r>
          </w:p>
        </w:tc>
      </w:tr>
      <w:tr w:rsidR="009C6724" w14:paraId="7AA8A7CF" w14:textId="77777777" w:rsidTr="009C6724">
        <w:tc>
          <w:tcPr>
            <w:cnfStyle w:val="001000000000" w:firstRow="0" w:lastRow="0" w:firstColumn="1" w:lastColumn="0" w:oddVBand="0" w:evenVBand="0" w:oddHBand="0" w:evenHBand="0" w:firstRowFirstColumn="0" w:firstRowLastColumn="0" w:lastRowFirstColumn="0" w:lastRowLastColumn="0"/>
            <w:tcW w:w="3686" w:type="dxa"/>
            <w:tcBorders>
              <w:top w:val="single" w:sz="6" w:space="0" w:color="auto"/>
              <w:bottom w:val="single" w:sz="12" w:space="0" w:color="auto"/>
            </w:tcBorders>
          </w:tcPr>
          <w:p w14:paraId="388B73AA" w14:textId="77777777" w:rsidR="00AB205D" w:rsidRDefault="00471A3B">
            <w:r>
              <w:rPr>
                <w:b/>
              </w:rPr>
              <w:t>Net lending/(borrowing)</w:t>
            </w:r>
          </w:p>
        </w:tc>
        <w:tc>
          <w:tcPr>
            <w:tcW w:w="804" w:type="dxa"/>
            <w:tcBorders>
              <w:top w:val="single" w:sz="6" w:space="0" w:color="auto"/>
              <w:bottom w:val="single" w:sz="12" w:space="0" w:color="auto"/>
            </w:tcBorders>
          </w:tcPr>
          <w:p w14:paraId="58E11DA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(12 245)</w:t>
            </w:r>
          </w:p>
        </w:tc>
        <w:tc>
          <w:tcPr>
            <w:tcW w:w="805" w:type="dxa"/>
            <w:tcBorders>
              <w:top w:val="single" w:sz="6" w:space="0" w:color="auto"/>
              <w:bottom w:val="single" w:sz="12" w:space="0" w:color="auto"/>
            </w:tcBorders>
          </w:tcPr>
          <w:p w14:paraId="4F3C0BF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(12 413)</w:t>
            </w:r>
          </w:p>
        </w:tc>
        <w:tc>
          <w:tcPr>
            <w:tcW w:w="805" w:type="dxa"/>
            <w:tcBorders>
              <w:top w:val="single" w:sz="6" w:space="0" w:color="auto"/>
              <w:bottom w:val="single" w:sz="12" w:space="0" w:color="auto"/>
            </w:tcBorders>
          </w:tcPr>
          <w:p w14:paraId="4DA3598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(9 605)</w:t>
            </w:r>
          </w:p>
        </w:tc>
        <w:tc>
          <w:tcPr>
            <w:tcW w:w="805" w:type="dxa"/>
            <w:tcBorders>
              <w:top w:val="single" w:sz="6" w:space="0" w:color="auto"/>
              <w:bottom w:val="single" w:sz="12" w:space="0" w:color="auto"/>
            </w:tcBorders>
          </w:tcPr>
          <w:p w14:paraId="0EAE20E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(26 755)</w:t>
            </w:r>
          </w:p>
        </w:tc>
        <w:tc>
          <w:tcPr>
            <w:tcW w:w="805" w:type="dxa"/>
            <w:tcBorders>
              <w:top w:val="single" w:sz="6" w:space="0" w:color="auto"/>
              <w:bottom w:val="single" w:sz="12" w:space="0" w:color="auto"/>
            </w:tcBorders>
          </w:tcPr>
          <w:p w14:paraId="493112B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(8 573)</w:t>
            </w:r>
          </w:p>
        </w:tc>
      </w:tr>
    </w:tbl>
    <w:p w14:paraId="333AB785" w14:textId="77777777" w:rsidR="00AB205D" w:rsidRPr="004D1722" w:rsidRDefault="00471A3B">
      <w:pPr>
        <w:pStyle w:val="Note"/>
      </w:pPr>
      <w:r w:rsidRPr="004D1722">
        <w:t>Note:</w:t>
      </w:r>
    </w:p>
    <w:p w14:paraId="6E9F44F4" w14:textId="562C0B65" w:rsidR="00AB205D" w:rsidRPr="004D1722" w:rsidRDefault="00471A3B">
      <w:pPr>
        <w:pStyle w:val="Note"/>
      </w:pPr>
      <w:r w:rsidRPr="004D1722">
        <w:t>(a)</w:t>
      </w:r>
      <w:r w:rsidRPr="004D1722">
        <w:tab/>
      </w:r>
      <w:r>
        <w:t xml:space="preserve">The </w:t>
      </w:r>
      <w:r w:rsidRPr="00E67D2E">
        <w:rPr>
          <w:i w:val="0"/>
          <w:iCs/>
        </w:rPr>
        <w:t>2023-24 Budget</w:t>
      </w:r>
      <w:r>
        <w:t xml:space="preserve"> included a</w:t>
      </w:r>
      <w:r w:rsidRPr="0000198B">
        <w:t xml:space="preserve"> range of savings and efficiency initiatives </w:t>
      </w:r>
      <w:r>
        <w:t>that</w:t>
      </w:r>
      <w:r w:rsidRPr="0000198B">
        <w:t xml:space="preserve"> will be implemented by the </w:t>
      </w:r>
      <w:r>
        <w:t>public non-financial corporations (</w:t>
      </w:r>
      <w:r w:rsidRPr="0000198B">
        <w:t>PNFC</w:t>
      </w:r>
      <w:r>
        <w:t>)</w:t>
      </w:r>
      <w:r w:rsidRPr="0000198B">
        <w:t xml:space="preserve"> sector. The</w:t>
      </w:r>
      <w:r>
        <w:t> </w:t>
      </w:r>
      <w:r w:rsidRPr="0000198B">
        <w:t xml:space="preserve">impact of these initiatives </w:t>
      </w:r>
      <w:r w:rsidR="00174DB6">
        <w:t>is</w:t>
      </w:r>
      <w:r w:rsidRPr="0000198B">
        <w:t xml:space="preserve"> reflected in the estimates for the budget year and the three forward years.</w:t>
      </w:r>
    </w:p>
    <w:p w14:paraId="6F252419" w14:textId="77777777" w:rsidR="00AB205D" w:rsidRDefault="00AB205D"/>
    <w:p w14:paraId="7EE6BCCD" w14:textId="77777777" w:rsidR="00B84BA2" w:rsidRDefault="00B84BA2"/>
    <w:p w14:paraId="74E61010" w14:textId="77777777" w:rsidR="00AB205D" w:rsidRPr="0016592B" w:rsidRDefault="00471A3B">
      <w:pPr>
        <w:pStyle w:val="TableHeading"/>
        <w:pageBreakBefore/>
      </w:pPr>
      <w:r w:rsidRPr="00921F69">
        <w:lastRenderedPageBreak/>
        <w:t>Table 5.2</w:t>
      </w:r>
      <w:r w:rsidRPr="00921F69">
        <w:tab/>
        <w:t>Public non-financial corporations sector balance sheet as at 30 June</w:t>
      </w:r>
      <w:r w:rsidRPr="00921F69">
        <w:tab/>
        <w:t>($ million)</w:t>
      </w:r>
    </w:p>
    <w:tbl>
      <w:tblPr>
        <w:tblStyle w:val="DTFTableNumeric"/>
        <w:tblW w:w="7710" w:type="dxa"/>
        <w:tblLayout w:type="fixed"/>
        <w:tblLook w:val="06A0" w:firstRow="1" w:lastRow="0" w:firstColumn="1" w:lastColumn="0" w:noHBand="1" w:noVBand="1"/>
        <w:tblDescription w:val="Type:DtfTable|Workbook:Rawdata\BudgetUpdate\Budget Update\Financial Statements\SRIMS exports\SRIMS_BU_UPF_PNFC_PFC.xlsx|Table:PNFC_BS|MergedHeadingRow:1"/>
      </w:tblPr>
      <w:tblGrid>
        <w:gridCol w:w="3740"/>
        <w:gridCol w:w="794"/>
        <w:gridCol w:w="794"/>
        <w:gridCol w:w="794"/>
        <w:gridCol w:w="794"/>
        <w:gridCol w:w="794"/>
      </w:tblGrid>
      <w:tr w:rsidR="009C6724" w14:paraId="4C89A1F8"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39031EF0" w14:textId="77777777" w:rsidR="00AB205D" w:rsidRDefault="00AB205D">
            <w:pPr>
              <w:keepNext/>
            </w:pPr>
          </w:p>
        </w:tc>
        <w:tc>
          <w:tcPr>
            <w:tcW w:w="794" w:type="dxa"/>
          </w:tcPr>
          <w:p w14:paraId="47C6B108"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br/>
              <w:t>budget</w:t>
            </w:r>
            <w:r>
              <w:rPr>
                <w:vertAlign w:val="superscript"/>
              </w:rPr>
              <w:t xml:space="preserve"> (a)</w:t>
            </w:r>
          </w:p>
        </w:tc>
        <w:tc>
          <w:tcPr>
            <w:tcW w:w="794" w:type="dxa"/>
          </w:tcPr>
          <w:p w14:paraId="2C826390"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br/>
              <w:t>revised</w:t>
            </w:r>
          </w:p>
        </w:tc>
        <w:tc>
          <w:tcPr>
            <w:tcW w:w="794" w:type="dxa"/>
          </w:tcPr>
          <w:p w14:paraId="2132551E"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br/>
              <w:t>estimate</w:t>
            </w:r>
          </w:p>
        </w:tc>
        <w:tc>
          <w:tcPr>
            <w:tcW w:w="794" w:type="dxa"/>
          </w:tcPr>
          <w:p w14:paraId="22F83685"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br/>
              <w:t>estimate</w:t>
            </w:r>
          </w:p>
        </w:tc>
        <w:tc>
          <w:tcPr>
            <w:tcW w:w="794" w:type="dxa"/>
          </w:tcPr>
          <w:p w14:paraId="27503EE5"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2027</w:t>
            </w:r>
            <w:r>
              <w:br/>
              <w:t>estimate</w:t>
            </w:r>
          </w:p>
        </w:tc>
      </w:tr>
      <w:tr w:rsidR="009C6724" w14:paraId="7B8E6584"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57178B92" w14:textId="77777777" w:rsidR="00AB205D" w:rsidRDefault="00471A3B">
            <w:r>
              <w:rPr>
                <w:b/>
              </w:rPr>
              <w:t>Assets</w:t>
            </w:r>
          </w:p>
        </w:tc>
        <w:tc>
          <w:tcPr>
            <w:tcW w:w="794" w:type="dxa"/>
          </w:tcPr>
          <w:p w14:paraId="3D525022"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19D8F801"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3AEF510"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59FC3137"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AF8F2FB"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0FBFD650"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0D96D18" w14:textId="77777777" w:rsidR="00AB205D" w:rsidRDefault="00471A3B">
            <w:r>
              <w:rPr>
                <w:b/>
              </w:rPr>
              <w:t>Financial assets</w:t>
            </w:r>
          </w:p>
        </w:tc>
        <w:tc>
          <w:tcPr>
            <w:tcW w:w="794" w:type="dxa"/>
          </w:tcPr>
          <w:p w14:paraId="503AFA2C"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19C5CA1"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669A3C84"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46107E5A"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1CC254E"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1BC444DD"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D8D7EA6" w14:textId="77777777" w:rsidR="00AB205D" w:rsidRDefault="00471A3B">
            <w:r>
              <w:t>Cash and deposits</w:t>
            </w:r>
          </w:p>
        </w:tc>
        <w:tc>
          <w:tcPr>
            <w:tcW w:w="794" w:type="dxa"/>
          </w:tcPr>
          <w:p w14:paraId="48409101" w14:textId="77777777" w:rsidR="00AB205D" w:rsidRDefault="00471A3B">
            <w:pPr>
              <w:cnfStyle w:val="000000000000" w:firstRow="0" w:lastRow="0" w:firstColumn="0" w:lastColumn="0" w:oddVBand="0" w:evenVBand="0" w:oddHBand="0" w:evenHBand="0" w:firstRowFirstColumn="0" w:firstRowLastColumn="0" w:lastRowFirstColumn="0" w:lastRowLastColumn="0"/>
            </w:pPr>
            <w:r>
              <w:t>1 789</w:t>
            </w:r>
          </w:p>
        </w:tc>
        <w:tc>
          <w:tcPr>
            <w:tcW w:w="794" w:type="dxa"/>
          </w:tcPr>
          <w:p w14:paraId="7007A003" w14:textId="77777777" w:rsidR="00AB205D" w:rsidRDefault="00471A3B">
            <w:pPr>
              <w:cnfStyle w:val="000000000000" w:firstRow="0" w:lastRow="0" w:firstColumn="0" w:lastColumn="0" w:oddVBand="0" w:evenVBand="0" w:oddHBand="0" w:evenHBand="0" w:firstRowFirstColumn="0" w:firstRowLastColumn="0" w:lastRowFirstColumn="0" w:lastRowLastColumn="0"/>
            </w:pPr>
            <w:r>
              <w:t>944</w:t>
            </w:r>
          </w:p>
        </w:tc>
        <w:tc>
          <w:tcPr>
            <w:tcW w:w="794" w:type="dxa"/>
          </w:tcPr>
          <w:p w14:paraId="6F928C52" w14:textId="77777777" w:rsidR="00AB205D" w:rsidRDefault="00471A3B">
            <w:pPr>
              <w:cnfStyle w:val="000000000000" w:firstRow="0" w:lastRow="0" w:firstColumn="0" w:lastColumn="0" w:oddVBand="0" w:evenVBand="0" w:oddHBand="0" w:evenHBand="0" w:firstRowFirstColumn="0" w:firstRowLastColumn="0" w:lastRowFirstColumn="0" w:lastRowLastColumn="0"/>
            </w:pPr>
            <w:r>
              <w:t>753</w:t>
            </w:r>
          </w:p>
        </w:tc>
        <w:tc>
          <w:tcPr>
            <w:tcW w:w="794" w:type="dxa"/>
          </w:tcPr>
          <w:p w14:paraId="641E2218" w14:textId="77777777" w:rsidR="00AB205D" w:rsidRDefault="00471A3B">
            <w:pPr>
              <w:cnfStyle w:val="000000000000" w:firstRow="0" w:lastRow="0" w:firstColumn="0" w:lastColumn="0" w:oddVBand="0" w:evenVBand="0" w:oddHBand="0" w:evenHBand="0" w:firstRowFirstColumn="0" w:firstRowLastColumn="0" w:lastRowFirstColumn="0" w:lastRowLastColumn="0"/>
            </w:pPr>
            <w:r>
              <w:t>802</w:t>
            </w:r>
          </w:p>
        </w:tc>
        <w:tc>
          <w:tcPr>
            <w:tcW w:w="794" w:type="dxa"/>
          </w:tcPr>
          <w:p w14:paraId="730ED9BE" w14:textId="77777777" w:rsidR="00AB205D" w:rsidRDefault="00471A3B">
            <w:pPr>
              <w:cnfStyle w:val="000000000000" w:firstRow="0" w:lastRow="0" w:firstColumn="0" w:lastColumn="0" w:oddVBand="0" w:evenVBand="0" w:oddHBand="0" w:evenHBand="0" w:firstRowFirstColumn="0" w:firstRowLastColumn="0" w:lastRowFirstColumn="0" w:lastRowLastColumn="0"/>
            </w:pPr>
            <w:r>
              <w:t>796</w:t>
            </w:r>
          </w:p>
        </w:tc>
      </w:tr>
      <w:tr w:rsidR="009C6724" w14:paraId="6BB08F15"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5392890F" w14:textId="77777777" w:rsidR="00AB205D" w:rsidRDefault="00471A3B">
            <w:r>
              <w:t>Advances paid</w:t>
            </w:r>
          </w:p>
        </w:tc>
        <w:tc>
          <w:tcPr>
            <w:tcW w:w="794" w:type="dxa"/>
          </w:tcPr>
          <w:p w14:paraId="37A0D5D2" w14:textId="77777777" w:rsidR="00AB205D" w:rsidRDefault="00471A3B">
            <w:pPr>
              <w:cnfStyle w:val="000000000000" w:firstRow="0" w:lastRow="0" w:firstColumn="0" w:lastColumn="0" w:oddVBand="0" w:evenVBand="0" w:oddHBand="0" w:evenHBand="0" w:firstRowFirstColumn="0" w:firstRowLastColumn="0" w:lastRowFirstColumn="0" w:lastRowLastColumn="0"/>
            </w:pPr>
            <w:r>
              <w:t>206</w:t>
            </w:r>
          </w:p>
        </w:tc>
        <w:tc>
          <w:tcPr>
            <w:tcW w:w="794" w:type="dxa"/>
          </w:tcPr>
          <w:p w14:paraId="3037BD2B" w14:textId="77777777" w:rsidR="00AB205D" w:rsidRDefault="00471A3B">
            <w:pPr>
              <w:cnfStyle w:val="000000000000" w:firstRow="0" w:lastRow="0" w:firstColumn="0" w:lastColumn="0" w:oddVBand="0" w:evenVBand="0" w:oddHBand="0" w:evenHBand="0" w:firstRowFirstColumn="0" w:firstRowLastColumn="0" w:lastRowFirstColumn="0" w:lastRowLastColumn="0"/>
            </w:pPr>
            <w:r>
              <w:t>206</w:t>
            </w:r>
          </w:p>
        </w:tc>
        <w:tc>
          <w:tcPr>
            <w:tcW w:w="794" w:type="dxa"/>
          </w:tcPr>
          <w:p w14:paraId="6560F954" w14:textId="77777777" w:rsidR="00AB205D" w:rsidRDefault="00471A3B">
            <w:pPr>
              <w:cnfStyle w:val="000000000000" w:firstRow="0" w:lastRow="0" w:firstColumn="0" w:lastColumn="0" w:oddVBand="0" w:evenVBand="0" w:oddHBand="0" w:evenHBand="0" w:firstRowFirstColumn="0" w:firstRowLastColumn="0" w:lastRowFirstColumn="0" w:lastRowLastColumn="0"/>
            </w:pPr>
            <w:r>
              <w:t>116</w:t>
            </w:r>
          </w:p>
        </w:tc>
        <w:tc>
          <w:tcPr>
            <w:tcW w:w="794" w:type="dxa"/>
          </w:tcPr>
          <w:p w14:paraId="5449FC22" w14:textId="77777777" w:rsidR="00AB205D" w:rsidRDefault="00471A3B">
            <w:pPr>
              <w:cnfStyle w:val="000000000000" w:firstRow="0" w:lastRow="0" w:firstColumn="0" w:lastColumn="0" w:oddVBand="0" w:evenVBand="0" w:oddHBand="0" w:evenHBand="0" w:firstRowFirstColumn="0" w:firstRowLastColumn="0" w:lastRowFirstColumn="0" w:lastRowLastColumn="0"/>
            </w:pPr>
            <w:r>
              <w:t>113</w:t>
            </w:r>
          </w:p>
        </w:tc>
        <w:tc>
          <w:tcPr>
            <w:tcW w:w="794" w:type="dxa"/>
          </w:tcPr>
          <w:p w14:paraId="355A7E6B" w14:textId="77777777" w:rsidR="00AB205D" w:rsidRDefault="00471A3B">
            <w:pPr>
              <w:cnfStyle w:val="000000000000" w:firstRow="0" w:lastRow="0" w:firstColumn="0" w:lastColumn="0" w:oddVBand="0" w:evenVBand="0" w:oddHBand="0" w:evenHBand="0" w:firstRowFirstColumn="0" w:firstRowLastColumn="0" w:lastRowFirstColumn="0" w:lastRowLastColumn="0"/>
            </w:pPr>
            <w:r>
              <w:t>110</w:t>
            </w:r>
          </w:p>
        </w:tc>
      </w:tr>
      <w:tr w:rsidR="009C6724" w14:paraId="777A5234"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6F6E0C04" w14:textId="77777777" w:rsidR="00AB205D" w:rsidRDefault="00471A3B">
            <w:r>
              <w:t>Receivables and contract assets</w:t>
            </w:r>
          </w:p>
        </w:tc>
        <w:tc>
          <w:tcPr>
            <w:tcW w:w="794" w:type="dxa"/>
          </w:tcPr>
          <w:p w14:paraId="6BCFEB2A" w14:textId="77777777" w:rsidR="00AB205D" w:rsidRDefault="00471A3B">
            <w:pPr>
              <w:cnfStyle w:val="000000000000" w:firstRow="0" w:lastRow="0" w:firstColumn="0" w:lastColumn="0" w:oddVBand="0" w:evenVBand="0" w:oddHBand="0" w:evenHBand="0" w:firstRowFirstColumn="0" w:firstRowLastColumn="0" w:lastRowFirstColumn="0" w:lastRowLastColumn="0"/>
            </w:pPr>
            <w:r>
              <w:t>1 674</w:t>
            </w:r>
          </w:p>
        </w:tc>
        <w:tc>
          <w:tcPr>
            <w:tcW w:w="794" w:type="dxa"/>
          </w:tcPr>
          <w:p w14:paraId="227D91E3" w14:textId="77777777" w:rsidR="00AB205D" w:rsidRDefault="00471A3B">
            <w:pPr>
              <w:cnfStyle w:val="000000000000" w:firstRow="0" w:lastRow="0" w:firstColumn="0" w:lastColumn="0" w:oddVBand="0" w:evenVBand="0" w:oddHBand="0" w:evenHBand="0" w:firstRowFirstColumn="0" w:firstRowLastColumn="0" w:lastRowFirstColumn="0" w:lastRowLastColumn="0"/>
            </w:pPr>
            <w:r>
              <w:t>1 435</w:t>
            </w:r>
          </w:p>
        </w:tc>
        <w:tc>
          <w:tcPr>
            <w:tcW w:w="794" w:type="dxa"/>
          </w:tcPr>
          <w:p w14:paraId="46526D08" w14:textId="77777777" w:rsidR="00AB205D" w:rsidRDefault="00471A3B">
            <w:pPr>
              <w:cnfStyle w:val="000000000000" w:firstRow="0" w:lastRow="0" w:firstColumn="0" w:lastColumn="0" w:oddVBand="0" w:evenVBand="0" w:oddHBand="0" w:evenHBand="0" w:firstRowFirstColumn="0" w:firstRowLastColumn="0" w:lastRowFirstColumn="0" w:lastRowLastColumn="0"/>
            </w:pPr>
            <w:r>
              <w:t>1 635</w:t>
            </w:r>
          </w:p>
        </w:tc>
        <w:tc>
          <w:tcPr>
            <w:tcW w:w="794" w:type="dxa"/>
          </w:tcPr>
          <w:p w14:paraId="632DB541" w14:textId="77777777" w:rsidR="00AB205D" w:rsidRDefault="00471A3B">
            <w:pPr>
              <w:cnfStyle w:val="000000000000" w:firstRow="0" w:lastRow="0" w:firstColumn="0" w:lastColumn="0" w:oddVBand="0" w:evenVBand="0" w:oddHBand="0" w:evenHBand="0" w:firstRowFirstColumn="0" w:firstRowLastColumn="0" w:lastRowFirstColumn="0" w:lastRowLastColumn="0"/>
            </w:pPr>
            <w:r>
              <w:t>1 461</w:t>
            </w:r>
          </w:p>
        </w:tc>
        <w:tc>
          <w:tcPr>
            <w:tcW w:w="794" w:type="dxa"/>
          </w:tcPr>
          <w:p w14:paraId="6B8F6749" w14:textId="77777777" w:rsidR="00AB205D" w:rsidRDefault="00471A3B">
            <w:pPr>
              <w:cnfStyle w:val="000000000000" w:firstRow="0" w:lastRow="0" w:firstColumn="0" w:lastColumn="0" w:oddVBand="0" w:evenVBand="0" w:oddHBand="0" w:evenHBand="0" w:firstRowFirstColumn="0" w:firstRowLastColumn="0" w:lastRowFirstColumn="0" w:lastRowLastColumn="0"/>
            </w:pPr>
            <w:r>
              <w:t>1 522</w:t>
            </w:r>
          </w:p>
        </w:tc>
      </w:tr>
      <w:tr w:rsidR="009C6724" w14:paraId="72674440"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AB08A4E" w14:textId="77777777" w:rsidR="00AB205D" w:rsidRDefault="00471A3B">
            <w:r>
              <w:t>Investments, loans and placements</w:t>
            </w:r>
          </w:p>
        </w:tc>
        <w:tc>
          <w:tcPr>
            <w:tcW w:w="794" w:type="dxa"/>
          </w:tcPr>
          <w:p w14:paraId="51B69E16" w14:textId="77777777" w:rsidR="00AB205D" w:rsidRDefault="00471A3B">
            <w:pPr>
              <w:cnfStyle w:val="000000000000" w:firstRow="0" w:lastRow="0" w:firstColumn="0" w:lastColumn="0" w:oddVBand="0" w:evenVBand="0" w:oddHBand="0" w:evenHBand="0" w:firstRowFirstColumn="0" w:firstRowLastColumn="0" w:lastRowFirstColumn="0" w:lastRowLastColumn="0"/>
            </w:pPr>
            <w:r>
              <w:t>814</w:t>
            </w:r>
          </w:p>
        </w:tc>
        <w:tc>
          <w:tcPr>
            <w:tcW w:w="794" w:type="dxa"/>
          </w:tcPr>
          <w:p w14:paraId="65DBA455" w14:textId="77777777" w:rsidR="00AB205D" w:rsidRDefault="00471A3B">
            <w:pPr>
              <w:cnfStyle w:val="000000000000" w:firstRow="0" w:lastRow="0" w:firstColumn="0" w:lastColumn="0" w:oddVBand="0" w:evenVBand="0" w:oddHBand="0" w:evenHBand="0" w:firstRowFirstColumn="0" w:firstRowLastColumn="0" w:lastRowFirstColumn="0" w:lastRowLastColumn="0"/>
            </w:pPr>
            <w:r>
              <w:t>770</w:t>
            </w:r>
          </w:p>
        </w:tc>
        <w:tc>
          <w:tcPr>
            <w:tcW w:w="794" w:type="dxa"/>
          </w:tcPr>
          <w:p w14:paraId="363C31C3" w14:textId="77777777" w:rsidR="00AB205D" w:rsidRDefault="00471A3B">
            <w:pPr>
              <w:cnfStyle w:val="000000000000" w:firstRow="0" w:lastRow="0" w:firstColumn="0" w:lastColumn="0" w:oddVBand="0" w:evenVBand="0" w:oddHBand="0" w:evenHBand="0" w:firstRowFirstColumn="0" w:firstRowLastColumn="0" w:lastRowFirstColumn="0" w:lastRowLastColumn="0"/>
            </w:pPr>
            <w:r>
              <w:t>765</w:t>
            </w:r>
          </w:p>
        </w:tc>
        <w:tc>
          <w:tcPr>
            <w:tcW w:w="794" w:type="dxa"/>
          </w:tcPr>
          <w:p w14:paraId="3E4DDA5C" w14:textId="77777777" w:rsidR="00AB205D" w:rsidRDefault="00471A3B">
            <w:pPr>
              <w:cnfStyle w:val="000000000000" w:firstRow="0" w:lastRow="0" w:firstColumn="0" w:lastColumn="0" w:oddVBand="0" w:evenVBand="0" w:oddHBand="0" w:evenHBand="0" w:firstRowFirstColumn="0" w:firstRowLastColumn="0" w:lastRowFirstColumn="0" w:lastRowLastColumn="0"/>
            </w:pPr>
            <w:r>
              <w:t>797</w:t>
            </w:r>
          </w:p>
        </w:tc>
        <w:tc>
          <w:tcPr>
            <w:tcW w:w="794" w:type="dxa"/>
          </w:tcPr>
          <w:p w14:paraId="4BBED111" w14:textId="77777777" w:rsidR="00AB205D" w:rsidRDefault="00471A3B">
            <w:pPr>
              <w:cnfStyle w:val="000000000000" w:firstRow="0" w:lastRow="0" w:firstColumn="0" w:lastColumn="0" w:oddVBand="0" w:evenVBand="0" w:oddHBand="0" w:evenHBand="0" w:firstRowFirstColumn="0" w:firstRowLastColumn="0" w:lastRowFirstColumn="0" w:lastRowLastColumn="0"/>
            </w:pPr>
            <w:r>
              <w:t>816</w:t>
            </w:r>
          </w:p>
        </w:tc>
      </w:tr>
      <w:tr w:rsidR="009C6724" w14:paraId="50FF4128"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7EB24B99" w14:textId="77777777" w:rsidR="00AB205D" w:rsidRDefault="00471A3B">
            <w:r>
              <w:rPr>
                <w:b/>
              </w:rPr>
              <w:t>Total financial assets</w:t>
            </w:r>
          </w:p>
        </w:tc>
        <w:tc>
          <w:tcPr>
            <w:tcW w:w="794" w:type="dxa"/>
            <w:tcBorders>
              <w:top w:val="single" w:sz="6" w:space="0" w:color="auto"/>
              <w:bottom w:val="single" w:sz="6" w:space="0" w:color="auto"/>
            </w:tcBorders>
          </w:tcPr>
          <w:p w14:paraId="190B32A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4 484</w:t>
            </w:r>
          </w:p>
        </w:tc>
        <w:tc>
          <w:tcPr>
            <w:tcW w:w="794" w:type="dxa"/>
            <w:tcBorders>
              <w:top w:val="single" w:sz="6" w:space="0" w:color="auto"/>
              <w:bottom w:val="single" w:sz="6" w:space="0" w:color="auto"/>
            </w:tcBorders>
          </w:tcPr>
          <w:p w14:paraId="5DA222A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3 355</w:t>
            </w:r>
          </w:p>
        </w:tc>
        <w:tc>
          <w:tcPr>
            <w:tcW w:w="794" w:type="dxa"/>
            <w:tcBorders>
              <w:top w:val="single" w:sz="6" w:space="0" w:color="auto"/>
              <w:bottom w:val="single" w:sz="6" w:space="0" w:color="auto"/>
            </w:tcBorders>
          </w:tcPr>
          <w:p w14:paraId="30193F0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3 269</w:t>
            </w:r>
          </w:p>
        </w:tc>
        <w:tc>
          <w:tcPr>
            <w:tcW w:w="794" w:type="dxa"/>
            <w:tcBorders>
              <w:top w:val="single" w:sz="6" w:space="0" w:color="auto"/>
              <w:bottom w:val="single" w:sz="6" w:space="0" w:color="auto"/>
            </w:tcBorders>
          </w:tcPr>
          <w:p w14:paraId="5393FD3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3 173</w:t>
            </w:r>
          </w:p>
        </w:tc>
        <w:tc>
          <w:tcPr>
            <w:tcW w:w="794" w:type="dxa"/>
            <w:tcBorders>
              <w:top w:val="single" w:sz="6" w:space="0" w:color="auto"/>
              <w:bottom w:val="single" w:sz="6" w:space="0" w:color="auto"/>
            </w:tcBorders>
          </w:tcPr>
          <w:p w14:paraId="6F66ACC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3 244</w:t>
            </w:r>
          </w:p>
        </w:tc>
      </w:tr>
      <w:tr w:rsidR="009C6724" w14:paraId="28C952AB"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6B7386E7" w14:textId="77777777" w:rsidR="00AB205D" w:rsidRDefault="00471A3B">
            <w:r>
              <w:rPr>
                <w:b/>
              </w:rPr>
              <w:t>Non</w:t>
            </w:r>
            <w:r>
              <w:rPr>
                <w:b/>
              </w:rPr>
              <w:noBreakHyphen/>
              <w:t>financial assets</w:t>
            </w:r>
          </w:p>
        </w:tc>
        <w:tc>
          <w:tcPr>
            <w:tcW w:w="794" w:type="dxa"/>
            <w:tcBorders>
              <w:top w:val="single" w:sz="6" w:space="0" w:color="auto"/>
            </w:tcBorders>
          </w:tcPr>
          <w:p w14:paraId="4A0B30EC"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2A60A1E1"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582F0DE7"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2035369B"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47C8A10"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65128EA2"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E752F34" w14:textId="77777777" w:rsidR="00AB205D" w:rsidRDefault="00471A3B">
            <w:r>
              <w:t>Inventories</w:t>
            </w:r>
          </w:p>
        </w:tc>
        <w:tc>
          <w:tcPr>
            <w:tcW w:w="794" w:type="dxa"/>
          </w:tcPr>
          <w:p w14:paraId="00A0C9DE" w14:textId="77777777" w:rsidR="00AB205D" w:rsidRDefault="00471A3B">
            <w:pPr>
              <w:cnfStyle w:val="000000000000" w:firstRow="0" w:lastRow="0" w:firstColumn="0" w:lastColumn="0" w:oddVBand="0" w:evenVBand="0" w:oddHBand="0" w:evenHBand="0" w:firstRowFirstColumn="0" w:firstRowLastColumn="0" w:lastRowFirstColumn="0" w:lastRowLastColumn="0"/>
            </w:pPr>
            <w:r>
              <w:t>1 362</w:t>
            </w:r>
          </w:p>
        </w:tc>
        <w:tc>
          <w:tcPr>
            <w:tcW w:w="794" w:type="dxa"/>
          </w:tcPr>
          <w:p w14:paraId="336CF34F" w14:textId="77777777" w:rsidR="00AB205D" w:rsidRDefault="00471A3B">
            <w:pPr>
              <w:cnfStyle w:val="000000000000" w:firstRow="0" w:lastRow="0" w:firstColumn="0" w:lastColumn="0" w:oddVBand="0" w:evenVBand="0" w:oddHBand="0" w:evenHBand="0" w:firstRowFirstColumn="0" w:firstRowLastColumn="0" w:lastRowFirstColumn="0" w:lastRowLastColumn="0"/>
            </w:pPr>
            <w:r>
              <w:t>2 076</w:t>
            </w:r>
          </w:p>
        </w:tc>
        <w:tc>
          <w:tcPr>
            <w:tcW w:w="794" w:type="dxa"/>
          </w:tcPr>
          <w:p w14:paraId="75BEF73D" w14:textId="77777777" w:rsidR="00AB205D" w:rsidRDefault="00471A3B">
            <w:pPr>
              <w:cnfStyle w:val="000000000000" w:firstRow="0" w:lastRow="0" w:firstColumn="0" w:lastColumn="0" w:oddVBand="0" w:evenVBand="0" w:oddHBand="0" w:evenHBand="0" w:firstRowFirstColumn="0" w:firstRowLastColumn="0" w:lastRowFirstColumn="0" w:lastRowLastColumn="0"/>
            </w:pPr>
            <w:r>
              <w:t>1 900</w:t>
            </w:r>
          </w:p>
        </w:tc>
        <w:tc>
          <w:tcPr>
            <w:tcW w:w="794" w:type="dxa"/>
          </w:tcPr>
          <w:p w14:paraId="3A1FC6D3" w14:textId="77777777" w:rsidR="00AB205D" w:rsidRDefault="00471A3B">
            <w:pPr>
              <w:cnfStyle w:val="000000000000" w:firstRow="0" w:lastRow="0" w:firstColumn="0" w:lastColumn="0" w:oddVBand="0" w:evenVBand="0" w:oddHBand="0" w:evenHBand="0" w:firstRowFirstColumn="0" w:firstRowLastColumn="0" w:lastRowFirstColumn="0" w:lastRowLastColumn="0"/>
            </w:pPr>
            <w:r>
              <w:t>2 183</w:t>
            </w:r>
          </w:p>
        </w:tc>
        <w:tc>
          <w:tcPr>
            <w:tcW w:w="794" w:type="dxa"/>
          </w:tcPr>
          <w:p w14:paraId="701B5ED9" w14:textId="77777777" w:rsidR="00AB205D" w:rsidRDefault="00471A3B">
            <w:pPr>
              <w:cnfStyle w:val="000000000000" w:firstRow="0" w:lastRow="0" w:firstColumn="0" w:lastColumn="0" w:oddVBand="0" w:evenVBand="0" w:oddHBand="0" w:evenHBand="0" w:firstRowFirstColumn="0" w:firstRowLastColumn="0" w:lastRowFirstColumn="0" w:lastRowLastColumn="0"/>
            </w:pPr>
            <w:r>
              <w:t>1 685</w:t>
            </w:r>
          </w:p>
        </w:tc>
      </w:tr>
      <w:tr w:rsidR="009C6724" w14:paraId="715A6571"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13F6DAF5" w14:textId="77777777" w:rsidR="00AB205D" w:rsidRDefault="00471A3B">
            <w:r>
              <w:t>Non</w:t>
            </w:r>
            <w:r>
              <w:noBreakHyphen/>
              <w:t>financial assets held for sale</w:t>
            </w:r>
          </w:p>
        </w:tc>
        <w:tc>
          <w:tcPr>
            <w:tcW w:w="794" w:type="dxa"/>
          </w:tcPr>
          <w:p w14:paraId="003AB762" w14:textId="77777777" w:rsidR="00AB205D" w:rsidRDefault="00471A3B">
            <w:pPr>
              <w:cnfStyle w:val="000000000000" w:firstRow="0" w:lastRow="0" w:firstColumn="0" w:lastColumn="0" w:oddVBand="0" w:evenVBand="0" w:oddHBand="0" w:evenHBand="0" w:firstRowFirstColumn="0" w:firstRowLastColumn="0" w:lastRowFirstColumn="0" w:lastRowLastColumn="0"/>
            </w:pPr>
            <w:r>
              <w:t>28</w:t>
            </w:r>
          </w:p>
        </w:tc>
        <w:tc>
          <w:tcPr>
            <w:tcW w:w="794" w:type="dxa"/>
          </w:tcPr>
          <w:p w14:paraId="6799DDED" w14:textId="77777777" w:rsidR="00AB205D" w:rsidRDefault="00471A3B">
            <w:pPr>
              <w:cnfStyle w:val="000000000000" w:firstRow="0" w:lastRow="0" w:firstColumn="0" w:lastColumn="0" w:oddVBand="0" w:evenVBand="0" w:oddHBand="0" w:evenHBand="0" w:firstRowFirstColumn="0" w:firstRowLastColumn="0" w:lastRowFirstColumn="0" w:lastRowLastColumn="0"/>
            </w:pPr>
            <w:r>
              <w:t>28</w:t>
            </w:r>
          </w:p>
        </w:tc>
        <w:tc>
          <w:tcPr>
            <w:tcW w:w="794" w:type="dxa"/>
          </w:tcPr>
          <w:p w14:paraId="14E3B733" w14:textId="77777777" w:rsidR="00AB205D" w:rsidRDefault="00471A3B">
            <w:pPr>
              <w:cnfStyle w:val="000000000000" w:firstRow="0" w:lastRow="0" w:firstColumn="0" w:lastColumn="0" w:oddVBand="0" w:evenVBand="0" w:oddHBand="0" w:evenHBand="0" w:firstRowFirstColumn="0" w:firstRowLastColumn="0" w:lastRowFirstColumn="0" w:lastRowLastColumn="0"/>
            </w:pPr>
            <w:r>
              <w:t>27</w:t>
            </w:r>
          </w:p>
        </w:tc>
        <w:tc>
          <w:tcPr>
            <w:tcW w:w="794" w:type="dxa"/>
          </w:tcPr>
          <w:p w14:paraId="7EF7E92E" w14:textId="77777777" w:rsidR="00AB205D" w:rsidRDefault="00471A3B">
            <w:pPr>
              <w:cnfStyle w:val="000000000000" w:firstRow="0" w:lastRow="0" w:firstColumn="0" w:lastColumn="0" w:oddVBand="0" w:evenVBand="0" w:oddHBand="0" w:evenHBand="0" w:firstRowFirstColumn="0" w:firstRowLastColumn="0" w:lastRowFirstColumn="0" w:lastRowLastColumn="0"/>
            </w:pPr>
            <w:r>
              <w:t>27</w:t>
            </w:r>
          </w:p>
        </w:tc>
        <w:tc>
          <w:tcPr>
            <w:tcW w:w="794" w:type="dxa"/>
          </w:tcPr>
          <w:p w14:paraId="07B978C2" w14:textId="77777777" w:rsidR="00AB205D" w:rsidRDefault="00471A3B">
            <w:pPr>
              <w:cnfStyle w:val="000000000000" w:firstRow="0" w:lastRow="0" w:firstColumn="0" w:lastColumn="0" w:oddVBand="0" w:evenVBand="0" w:oddHBand="0" w:evenHBand="0" w:firstRowFirstColumn="0" w:firstRowLastColumn="0" w:lastRowFirstColumn="0" w:lastRowLastColumn="0"/>
            </w:pPr>
            <w:r>
              <w:t>27</w:t>
            </w:r>
          </w:p>
        </w:tc>
      </w:tr>
      <w:tr w:rsidR="009C6724" w14:paraId="00DCE0F4"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3F29E62" w14:textId="77777777" w:rsidR="00AB205D" w:rsidRDefault="00471A3B">
            <w:r>
              <w:t>Land, buildings, infrastructure, plant and equipment</w:t>
            </w:r>
          </w:p>
        </w:tc>
        <w:tc>
          <w:tcPr>
            <w:tcW w:w="794" w:type="dxa"/>
          </w:tcPr>
          <w:p w14:paraId="7DB2D2AA" w14:textId="77777777" w:rsidR="00AB205D" w:rsidRDefault="00471A3B">
            <w:pPr>
              <w:cnfStyle w:val="000000000000" w:firstRow="0" w:lastRow="0" w:firstColumn="0" w:lastColumn="0" w:oddVBand="0" w:evenVBand="0" w:oddHBand="0" w:evenHBand="0" w:firstRowFirstColumn="0" w:firstRowLastColumn="0" w:lastRowFirstColumn="0" w:lastRowLastColumn="0"/>
            </w:pPr>
            <w:r>
              <w:t>123 452</w:t>
            </w:r>
          </w:p>
        </w:tc>
        <w:tc>
          <w:tcPr>
            <w:tcW w:w="794" w:type="dxa"/>
          </w:tcPr>
          <w:p w14:paraId="5048C562" w14:textId="77777777" w:rsidR="00AB205D" w:rsidRDefault="00471A3B">
            <w:pPr>
              <w:cnfStyle w:val="000000000000" w:firstRow="0" w:lastRow="0" w:firstColumn="0" w:lastColumn="0" w:oddVBand="0" w:evenVBand="0" w:oddHBand="0" w:evenHBand="0" w:firstRowFirstColumn="0" w:firstRowLastColumn="0" w:lastRowFirstColumn="0" w:lastRowLastColumn="0"/>
            </w:pPr>
            <w:r>
              <w:t>123 424</w:t>
            </w:r>
          </w:p>
        </w:tc>
        <w:tc>
          <w:tcPr>
            <w:tcW w:w="794" w:type="dxa"/>
          </w:tcPr>
          <w:p w14:paraId="12C923BC" w14:textId="77777777" w:rsidR="00AB205D" w:rsidRDefault="00471A3B">
            <w:pPr>
              <w:cnfStyle w:val="000000000000" w:firstRow="0" w:lastRow="0" w:firstColumn="0" w:lastColumn="0" w:oddVBand="0" w:evenVBand="0" w:oddHBand="0" w:evenHBand="0" w:firstRowFirstColumn="0" w:firstRowLastColumn="0" w:lastRowFirstColumn="0" w:lastRowLastColumn="0"/>
            </w:pPr>
            <w:r>
              <w:t>129 605</w:t>
            </w:r>
          </w:p>
        </w:tc>
        <w:tc>
          <w:tcPr>
            <w:tcW w:w="794" w:type="dxa"/>
          </w:tcPr>
          <w:p w14:paraId="496CA2B0" w14:textId="77777777" w:rsidR="00AB205D" w:rsidRDefault="00471A3B">
            <w:pPr>
              <w:cnfStyle w:val="000000000000" w:firstRow="0" w:lastRow="0" w:firstColumn="0" w:lastColumn="0" w:oddVBand="0" w:evenVBand="0" w:oddHBand="0" w:evenHBand="0" w:firstRowFirstColumn="0" w:firstRowLastColumn="0" w:lastRowFirstColumn="0" w:lastRowLastColumn="0"/>
            </w:pPr>
            <w:r>
              <w:t>139 258</w:t>
            </w:r>
          </w:p>
        </w:tc>
        <w:tc>
          <w:tcPr>
            <w:tcW w:w="794" w:type="dxa"/>
          </w:tcPr>
          <w:p w14:paraId="67AA0709" w14:textId="77777777" w:rsidR="00AB205D" w:rsidRDefault="00471A3B">
            <w:pPr>
              <w:cnfStyle w:val="000000000000" w:firstRow="0" w:lastRow="0" w:firstColumn="0" w:lastColumn="0" w:oddVBand="0" w:evenVBand="0" w:oddHBand="0" w:evenHBand="0" w:firstRowFirstColumn="0" w:firstRowLastColumn="0" w:lastRowFirstColumn="0" w:lastRowLastColumn="0"/>
            </w:pPr>
            <w:r>
              <w:t>145 265</w:t>
            </w:r>
          </w:p>
        </w:tc>
      </w:tr>
      <w:tr w:rsidR="009C6724" w14:paraId="2E7D7125"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34AEADB5" w14:textId="77777777" w:rsidR="00AB205D" w:rsidRDefault="00471A3B">
            <w:r>
              <w:t>Other non</w:t>
            </w:r>
            <w:r>
              <w:noBreakHyphen/>
              <w:t>financial assets</w:t>
            </w:r>
          </w:p>
        </w:tc>
        <w:tc>
          <w:tcPr>
            <w:tcW w:w="794" w:type="dxa"/>
            <w:tcBorders>
              <w:bottom w:val="single" w:sz="6" w:space="0" w:color="auto"/>
            </w:tcBorders>
          </w:tcPr>
          <w:p w14:paraId="2C4AD405" w14:textId="77777777" w:rsidR="00AB205D" w:rsidRDefault="00471A3B">
            <w:pPr>
              <w:cnfStyle w:val="000000000000" w:firstRow="0" w:lastRow="0" w:firstColumn="0" w:lastColumn="0" w:oddVBand="0" w:evenVBand="0" w:oddHBand="0" w:evenHBand="0" w:firstRowFirstColumn="0" w:firstRowLastColumn="0" w:lastRowFirstColumn="0" w:lastRowLastColumn="0"/>
            </w:pPr>
            <w:r>
              <w:t>3 334</w:t>
            </w:r>
          </w:p>
        </w:tc>
        <w:tc>
          <w:tcPr>
            <w:tcW w:w="794" w:type="dxa"/>
            <w:tcBorders>
              <w:bottom w:val="single" w:sz="6" w:space="0" w:color="auto"/>
            </w:tcBorders>
          </w:tcPr>
          <w:p w14:paraId="4DB48BEF" w14:textId="77777777" w:rsidR="00AB205D" w:rsidRDefault="00471A3B">
            <w:pPr>
              <w:cnfStyle w:val="000000000000" w:firstRow="0" w:lastRow="0" w:firstColumn="0" w:lastColumn="0" w:oddVBand="0" w:evenVBand="0" w:oddHBand="0" w:evenHBand="0" w:firstRowFirstColumn="0" w:firstRowLastColumn="0" w:lastRowFirstColumn="0" w:lastRowLastColumn="0"/>
            </w:pPr>
            <w:r>
              <w:t>3 289</w:t>
            </w:r>
          </w:p>
        </w:tc>
        <w:tc>
          <w:tcPr>
            <w:tcW w:w="794" w:type="dxa"/>
            <w:tcBorders>
              <w:bottom w:val="single" w:sz="6" w:space="0" w:color="auto"/>
            </w:tcBorders>
          </w:tcPr>
          <w:p w14:paraId="2269364A" w14:textId="77777777" w:rsidR="00AB205D" w:rsidRDefault="00471A3B">
            <w:pPr>
              <w:cnfStyle w:val="000000000000" w:firstRow="0" w:lastRow="0" w:firstColumn="0" w:lastColumn="0" w:oddVBand="0" w:evenVBand="0" w:oddHBand="0" w:evenHBand="0" w:firstRowFirstColumn="0" w:firstRowLastColumn="0" w:lastRowFirstColumn="0" w:lastRowLastColumn="0"/>
            </w:pPr>
            <w:r>
              <w:t>3 568</w:t>
            </w:r>
          </w:p>
        </w:tc>
        <w:tc>
          <w:tcPr>
            <w:tcW w:w="794" w:type="dxa"/>
            <w:tcBorders>
              <w:bottom w:val="single" w:sz="6" w:space="0" w:color="auto"/>
            </w:tcBorders>
          </w:tcPr>
          <w:p w14:paraId="39548A9A" w14:textId="77777777" w:rsidR="00AB205D" w:rsidRDefault="00471A3B">
            <w:pPr>
              <w:cnfStyle w:val="000000000000" w:firstRow="0" w:lastRow="0" w:firstColumn="0" w:lastColumn="0" w:oddVBand="0" w:evenVBand="0" w:oddHBand="0" w:evenHBand="0" w:firstRowFirstColumn="0" w:firstRowLastColumn="0" w:lastRowFirstColumn="0" w:lastRowLastColumn="0"/>
            </w:pPr>
            <w:r>
              <w:t>3 833</w:t>
            </w:r>
          </w:p>
        </w:tc>
        <w:tc>
          <w:tcPr>
            <w:tcW w:w="794" w:type="dxa"/>
            <w:tcBorders>
              <w:bottom w:val="single" w:sz="6" w:space="0" w:color="auto"/>
            </w:tcBorders>
          </w:tcPr>
          <w:p w14:paraId="7B5607FD" w14:textId="77777777" w:rsidR="00AB205D" w:rsidRDefault="00471A3B">
            <w:pPr>
              <w:cnfStyle w:val="000000000000" w:firstRow="0" w:lastRow="0" w:firstColumn="0" w:lastColumn="0" w:oddVBand="0" w:evenVBand="0" w:oddHBand="0" w:evenHBand="0" w:firstRowFirstColumn="0" w:firstRowLastColumn="0" w:lastRowFirstColumn="0" w:lastRowLastColumn="0"/>
            </w:pPr>
            <w:r>
              <w:t>4 144</w:t>
            </w:r>
          </w:p>
        </w:tc>
      </w:tr>
      <w:tr w:rsidR="009C6724" w14:paraId="00C96F2C"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1D6A5237" w14:textId="77777777" w:rsidR="00AB205D" w:rsidRDefault="00471A3B">
            <w:r>
              <w:rPr>
                <w:b/>
              </w:rPr>
              <w:t>Total non</w:t>
            </w:r>
            <w:r>
              <w:rPr>
                <w:b/>
              </w:rPr>
              <w:noBreakHyphen/>
              <w:t>financial assets</w:t>
            </w:r>
          </w:p>
        </w:tc>
        <w:tc>
          <w:tcPr>
            <w:tcW w:w="794" w:type="dxa"/>
            <w:tcBorders>
              <w:top w:val="single" w:sz="6" w:space="0" w:color="auto"/>
              <w:bottom w:val="single" w:sz="6" w:space="0" w:color="auto"/>
            </w:tcBorders>
          </w:tcPr>
          <w:p w14:paraId="12E0BD2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128 177</w:t>
            </w:r>
          </w:p>
        </w:tc>
        <w:tc>
          <w:tcPr>
            <w:tcW w:w="794" w:type="dxa"/>
            <w:tcBorders>
              <w:top w:val="single" w:sz="6" w:space="0" w:color="auto"/>
              <w:bottom w:val="single" w:sz="6" w:space="0" w:color="auto"/>
            </w:tcBorders>
          </w:tcPr>
          <w:p w14:paraId="52C6663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128 818</w:t>
            </w:r>
          </w:p>
        </w:tc>
        <w:tc>
          <w:tcPr>
            <w:tcW w:w="794" w:type="dxa"/>
            <w:tcBorders>
              <w:top w:val="single" w:sz="6" w:space="0" w:color="auto"/>
              <w:bottom w:val="single" w:sz="6" w:space="0" w:color="auto"/>
            </w:tcBorders>
          </w:tcPr>
          <w:p w14:paraId="204BA03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135 101</w:t>
            </w:r>
          </w:p>
        </w:tc>
        <w:tc>
          <w:tcPr>
            <w:tcW w:w="794" w:type="dxa"/>
            <w:tcBorders>
              <w:top w:val="single" w:sz="6" w:space="0" w:color="auto"/>
              <w:bottom w:val="single" w:sz="6" w:space="0" w:color="auto"/>
            </w:tcBorders>
          </w:tcPr>
          <w:p w14:paraId="104E818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145 302</w:t>
            </w:r>
          </w:p>
        </w:tc>
        <w:tc>
          <w:tcPr>
            <w:tcW w:w="794" w:type="dxa"/>
            <w:tcBorders>
              <w:top w:val="single" w:sz="6" w:space="0" w:color="auto"/>
              <w:bottom w:val="single" w:sz="6" w:space="0" w:color="auto"/>
            </w:tcBorders>
          </w:tcPr>
          <w:p w14:paraId="2ECCC5B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151 121</w:t>
            </w:r>
          </w:p>
        </w:tc>
      </w:tr>
      <w:tr w:rsidR="009C6724" w14:paraId="5787AB91"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4ABAAA39" w14:textId="77777777" w:rsidR="00AB205D" w:rsidRDefault="00471A3B">
            <w:r>
              <w:rPr>
                <w:b/>
              </w:rPr>
              <w:t>Total assets</w:t>
            </w:r>
          </w:p>
        </w:tc>
        <w:tc>
          <w:tcPr>
            <w:tcW w:w="794" w:type="dxa"/>
            <w:tcBorders>
              <w:top w:val="single" w:sz="6" w:space="0" w:color="auto"/>
            </w:tcBorders>
          </w:tcPr>
          <w:p w14:paraId="7621323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132 660</w:t>
            </w:r>
          </w:p>
        </w:tc>
        <w:tc>
          <w:tcPr>
            <w:tcW w:w="794" w:type="dxa"/>
            <w:tcBorders>
              <w:top w:val="single" w:sz="6" w:space="0" w:color="auto"/>
            </w:tcBorders>
          </w:tcPr>
          <w:p w14:paraId="729111D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132 173</w:t>
            </w:r>
          </w:p>
        </w:tc>
        <w:tc>
          <w:tcPr>
            <w:tcW w:w="794" w:type="dxa"/>
            <w:tcBorders>
              <w:top w:val="single" w:sz="6" w:space="0" w:color="auto"/>
            </w:tcBorders>
          </w:tcPr>
          <w:p w14:paraId="4265800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138 370</w:t>
            </w:r>
          </w:p>
        </w:tc>
        <w:tc>
          <w:tcPr>
            <w:tcW w:w="794" w:type="dxa"/>
            <w:tcBorders>
              <w:top w:val="single" w:sz="6" w:space="0" w:color="auto"/>
            </w:tcBorders>
          </w:tcPr>
          <w:p w14:paraId="4AED652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148 475</w:t>
            </w:r>
          </w:p>
        </w:tc>
        <w:tc>
          <w:tcPr>
            <w:tcW w:w="794" w:type="dxa"/>
            <w:tcBorders>
              <w:top w:val="single" w:sz="6" w:space="0" w:color="auto"/>
            </w:tcBorders>
          </w:tcPr>
          <w:p w14:paraId="104F915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154 365</w:t>
            </w:r>
          </w:p>
        </w:tc>
      </w:tr>
      <w:tr w:rsidR="009C6724" w14:paraId="7CCCBAFE"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0ACDC846" w14:textId="77777777" w:rsidR="00AB205D" w:rsidRDefault="00471A3B">
            <w:r>
              <w:rPr>
                <w:b/>
              </w:rPr>
              <w:t>Liabilities</w:t>
            </w:r>
          </w:p>
        </w:tc>
        <w:tc>
          <w:tcPr>
            <w:tcW w:w="794" w:type="dxa"/>
          </w:tcPr>
          <w:p w14:paraId="1388DCCE"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48B873B"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77CFA557"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740702AC"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4BFE7B4B"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0B3264D0"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552E9ECE" w14:textId="77777777" w:rsidR="00AB205D" w:rsidRDefault="00471A3B">
            <w:r>
              <w:t>Deposits held and advances received</w:t>
            </w:r>
          </w:p>
        </w:tc>
        <w:tc>
          <w:tcPr>
            <w:tcW w:w="794" w:type="dxa"/>
          </w:tcPr>
          <w:p w14:paraId="788F1A7A" w14:textId="77777777" w:rsidR="00AB205D" w:rsidRDefault="00471A3B">
            <w:pPr>
              <w:cnfStyle w:val="000000000000" w:firstRow="0" w:lastRow="0" w:firstColumn="0" w:lastColumn="0" w:oddVBand="0" w:evenVBand="0" w:oddHBand="0" w:evenHBand="0" w:firstRowFirstColumn="0" w:firstRowLastColumn="0" w:lastRowFirstColumn="0" w:lastRowLastColumn="0"/>
            </w:pPr>
            <w:r>
              <w:t>2 939</w:t>
            </w:r>
          </w:p>
        </w:tc>
        <w:tc>
          <w:tcPr>
            <w:tcW w:w="794" w:type="dxa"/>
          </w:tcPr>
          <w:p w14:paraId="24F7ABC4" w14:textId="77777777" w:rsidR="00AB205D" w:rsidRDefault="00471A3B">
            <w:pPr>
              <w:cnfStyle w:val="000000000000" w:firstRow="0" w:lastRow="0" w:firstColumn="0" w:lastColumn="0" w:oddVBand="0" w:evenVBand="0" w:oddHBand="0" w:evenHBand="0" w:firstRowFirstColumn="0" w:firstRowLastColumn="0" w:lastRowFirstColumn="0" w:lastRowLastColumn="0"/>
            </w:pPr>
            <w:r>
              <w:t>2 728</w:t>
            </w:r>
          </w:p>
        </w:tc>
        <w:tc>
          <w:tcPr>
            <w:tcW w:w="794" w:type="dxa"/>
          </w:tcPr>
          <w:p w14:paraId="4C8531FA" w14:textId="77777777" w:rsidR="00AB205D" w:rsidRDefault="00471A3B">
            <w:pPr>
              <w:cnfStyle w:val="000000000000" w:firstRow="0" w:lastRow="0" w:firstColumn="0" w:lastColumn="0" w:oddVBand="0" w:evenVBand="0" w:oddHBand="0" w:evenHBand="0" w:firstRowFirstColumn="0" w:firstRowLastColumn="0" w:lastRowFirstColumn="0" w:lastRowLastColumn="0"/>
            </w:pPr>
            <w:r>
              <w:t>2 899</w:t>
            </w:r>
          </w:p>
        </w:tc>
        <w:tc>
          <w:tcPr>
            <w:tcW w:w="794" w:type="dxa"/>
          </w:tcPr>
          <w:p w14:paraId="2CDB315E" w14:textId="77777777" w:rsidR="00AB205D" w:rsidRDefault="00471A3B">
            <w:pPr>
              <w:cnfStyle w:val="000000000000" w:firstRow="0" w:lastRow="0" w:firstColumn="0" w:lastColumn="0" w:oddVBand="0" w:evenVBand="0" w:oddHBand="0" w:evenHBand="0" w:firstRowFirstColumn="0" w:firstRowLastColumn="0" w:lastRowFirstColumn="0" w:lastRowLastColumn="0"/>
            </w:pPr>
            <w:r>
              <w:t>2 995</w:t>
            </w:r>
          </w:p>
        </w:tc>
        <w:tc>
          <w:tcPr>
            <w:tcW w:w="794" w:type="dxa"/>
          </w:tcPr>
          <w:p w14:paraId="7001AC0D" w14:textId="77777777" w:rsidR="00AB205D" w:rsidRDefault="00471A3B">
            <w:pPr>
              <w:cnfStyle w:val="000000000000" w:firstRow="0" w:lastRow="0" w:firstColumn="0" w:lastColumn="0" w:oddVBand="0" w:evenVBand="0" w:oddHBand="0" w:evenHBand="0" w:firstRowFirstColumn="0" w:firstRowLastColumn="0" w:lastRowFirstColumn="0" w:lastRowLastColumn="0"/>
            </w:pPr>
            <w:r>
              <w:t>3 077</w:t>
            </w:r>
          </w:p>
        </w:tc>
      </w:tr>
      <w:tr w:rsidR="009C6724" w14:paraId="2B8A393B"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7523D3B" w14:textId="77777777" w:rsidR="00AB205D" w:rsidRDefault="00471A3B">
            <w:r>
              <w:t>Payables</w:t>
            </w:r>
          </w:p>
        </w:tc>
        <w:tc>
          <w:tcPr>
            <w:tcW w:w="794" w:type="dxa"/>
          </w:tcPr>
          <w:p w14:paraId="1903C6B8" w14:textId="77777777" w:rsidR="00AB205D" w:rsidRDefault="00471A3B">
            <w:pPr>
              <w:cnfStyle w:val="000000000000" w:firstRow="0" w:lastRow="0" w:firstColumn="0" w:lastColumn="0" w:oddVBand="0" w:evenVBand="0" w:oddHBand="0" w:evenHBand="0" w:firstRowFirstColumn="0" w:firstRowLastColumn="0" w:lastRowFirstColumn="0" w:lastRowLastColumn="0"/>
            </w:pPr>
            <w:r>
              <w:t>10 189</w:t>
            </w:r>
          </w:p>
        </w:tc>
        <w:tc>
          <w:tcPr>
            <w:tcW w:w="794" w:type="dxa"/>
          </w:tcPr>
          <w:p w14:paraId="40EB42DB" w14:textId="77777777" w:rsidR="00AB205D" w:rsidRDefault="00471A3B">
            <w:pPr>
              <w:cnfStyle w:val="000000000000" w:firstRow="0" w:lastRow="0" w:firstColumn="0" w:lastColumn="0" w:oddVBand="0" w:evenVBand="0" w:oddHBand="0" w:evenHBand="0" w:firstRowFirstColumn="0" w:firstRowLastColumn="0" w:lastRowFirstColumn="0" w:lastRowLastColumn="0"/>
            </w:pPr>
            <w:r>
              <w:t>9 806</w:t>
            </w:r>
          </w:p>
        </w:tc>
        <w:tc>
          <w:tcPr>
            <w:tcW w:w="794" w:type="dxa"/>
          </w:tcPr>
          <w:p w14:paraId="1C70A660" w14:textId="77777777" w:rsidR="00AB205D" w:rsidRDefault="00471A3B">
            <w:pPr>
              <w:cnfStyle w:val="000000000000" w:firstRow="0" w:lastRow="0" w:firstColumn="0" w:lastColumn="0" w:oddVBand="0" w:evenVBand="0" w:oddHBand="0" w:evenHBand="0" w:firstRowFirstColumn="0" w:firstRowLastColumn="0" w:lastRowFirstColumn="0" w:lastRowLastColumn="0"/>
            </w:pPr>
            <w:r>
              <w:t>9 707</w:t>
            </w:r>
          </w:p>
        </w:tc>
        <w:tc>
          <w:tcPr>
            <w:tcW w:w="794" w:type="dxa"/>
          </w:tcPr>
          <w:p w14:paraId="28AB6A0C" w14:textId="77777777" w:rsidR="00AB205D" w:rsidRDefault="00471A3B">
            <w:pPr>
              <w:cnfStyle w:val="000000000000" w:firstRow="0" w:lastRow="0" w:firstColumn="0" w:lastColumn="0" w:oddVBand="0" w:evenVBand="0" w:oddHBand="0" w:evenHBand="0" w:firstRowFirstColumn="0" w:firstRowLastColumn="0" w:lastRowFirstColumn="0" w:lastRowLastColumn="0"/>
            </w:pPr>
            <w:r>
              <w:t>9 519</w:t>
            </w:r>
          </w:p>
        </w:tc>
        <w:tc>
          <w:tcPr>
            <w:tcW w:w="794" w:type="dxa"/>
          </w:tcPr>
          <w:p w14:paraId="5310188A" w14:textId="77777777" w:rsidR="00AB205D" w:rsidRDefault="00471A3B">
            <w:pPr>
              <w:cnfStyle w:val="000000000000" w:firstRow="0" w:lastRow="0" w:firstColumn="0" w:lastColumn="0" w:oddVBand="0" w:evenVBand="0" w:oddHBand="0" w:evenHBand="0" w:firstRowFirstColumn="0" w:firstRowLastColumn="0" w:lastRowFirstColumn="0" w:lastRowLastColumn="0"/>
            </w:pPr>
            <w:r>
              <w:t>9 461</w:t>
            </w:r>
          </w:p>
        </w:tc>
      </w:tr>
      <w:tr w:rsidR="009C6724" w14:paraId="733023E6"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70C250C4" w14:textId="77777777" w:rsidR="00AB205D" w:rsidRDefault="00471A3B">
            <w:r>
              <w:t>Contract liabilities</w:t>
            </w:r>
          </w:p>
        </w:tc>
        <w:tc>
          <w:tcPr>
            <w:tcW w:w="794" w:type="dxa"/>
          </w:tcPr>
          <w:p w14:paraId="69A16237" w14:textId="77777777" w:rsidR="00AB205D" w:rsidRDefault="00471A3B">
            <w:pPr>
              <w:cnfStyle w:val="000000000000" w:firstRow="0" w:lastRow="0" w:firstColumn="0" w:lastColumn="0" w:oddVBand="0" w:evenVBand="0" w:oddHBand="0" w:evenHBand="0" w:firstRowFirstColumn="0" w:firstRowLastColumn="0" w:lastRowFirstColumn="0" w:lastRowLastColumn="0"/>
            </w:pPr>
            <w:r>
              <w:t>218</w:t>
            </w:r>
          </w:p>
        </w:tc>
        <w:tc>
          <w:tcPr>
            <w:tcW w:w="794" w:type="dxa"/>
          </w:tcPr>
          <w:p w14:paraId="6F41D149" w14:textId="77777777" w:rsidR="00AB205D" w:rsidRDefault="00471A3B">
            <w:pPr>
              <w:cnfStyle w:val="000000000000" w:firstRow="0" w:lastRow="0" w:firstColumn="0" w:lastColumn="0" w:oddVBand="0" w:evenVBand="0" w:oddHBand="0" w:evenHBand="0" w:firstRowFirstColumn="0" w:firstRowLastColumn="0" w:lastRowFirstColumn="0" w:lastRowLastColumn="0"/>
            </w:pPr>
            <w:r>
              <w:t>308</w:t>
            </w:r>
          </w:p>
        </w:tc>
        <w:tc>
          <w:tcPr>
            <w:tcW w:w="794" w:type="dxa"/>
          </w:tcPr>
          <w:p w14:paraId="4B06E0A5" w14:textId="77777777" w:rsidR="00AB205D" w:rsidRDefault="00471A3B">
            <w:pPr>
              <w:cnfStyle w:val="000000000000" w:firstRow="0" w:lastRow="0" w:firstColumn="0" w:lastColumn="0" w:oddVBand="0" w:evenVBand="0" w:oddHBand="0" w:evenHBand="0" w:firstRowFirstColumn="0" w:firstRowLastColumn="0" w:lastRowFirstColumn="0" w:lastRowLastColumn="0"/>
            </w:pPr>
            <w:r>
              <w:t>316</w:t>
            </w:r>
          </w:p>
        </w:tc>
        <w:tc>
          <w:tcPr>
            <w:tcW w:w="794" w:type="dxa"/>
          </w:tcPr>
          <w:p w14:paraId="61E4EEFC" w14:textId="77777777" w:rsidR="00AB205D" w:rsidRDefault="00471A3B">
            <w:pPr>
              <w:cnfStyle w:val="000000000000" w:firstRow="0" w:lastRow="0" w:firstColumn="0" w:lastColumn="0" w:oddVBand="0" w:evenVBand="0" w:oddHBand="0" w:evenHBand="0" w:firstRowFirstColumn="0" w:firstRowLastColumn="0" w:lastRowFirstColumn="0" w:lastRowLastColumn="0"/>
            </w:pPr>
            <w:r>
              <w:t>328</w:t>
            </w:r>
          </w:p>
        </w:tc>
        <w:tc>
          <w:tcPr>
            <w:tcW w:w="794" w:type="dxa"/>
          </w:tcPr>
          <w:p w14:paraId="26B1199B" w14:textId="77777777" w:rsidR="00AB205D" w:rsidRDefault="00471A3B">
            <w:pPr>
              <w:cnfStyle w:val="000000000000" w:firstRow="0" w:lastRow="0" w:firstColumn="0" w:lastColumn="0" w:oddVBand="0" w:evenVBand="0" w:oddHBand="0" w:evenHBand="0" w:firstRowFirstColumn="0" w:firstRowLastColumn="0" w:lastRowFirstColumn="0" w:lastRowLastColumn="0"/>
            </w:pPr>
            <w:r>
              <w:t>333</w:t>
            </w:r>
          </w:p>
        </w:tc>
      </w:tr>
      <w:tr w:rsidR="009C6724" w14:paraId="4FBF4932"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18DE3188" w14:textId="77777777" w:rsidR="00AB205D" w:rsidRDefault="00471A3B">
            <w:r>
              <w:t>Borrowings</w:t>
            </w:r>
          </w:p>
        </w:tc>
        <w:tc>
          <w:tcPr>
            <w:tcW w:w="794" w:type="dxa"/>
          </w:tcPr>
          <w:p w14:paraId="1F1EF55E" w14:textId="77777777" w:rsidR="00AB205D" w:rsidRDefault="00471A3B">
            <w:pPr>
              <w:cnfStyle w:val="000000000000" w:firstRow="0" w:lastRow="0" w:firstColumn="0" w:lastColumn="0" w:oddVBand="0" w:evenVBand="0" w:oddHBand="0" w:evenHBand="0" w:firstRowFirstColumn="0" w:firstRowLastColumn="0" w:lastRowFirstColumn="0" w:lastRowLastColumn="0"/>
            </w:pPr>
            <w:r>
              <w:t>24 009</w:t>
            </w:r>
          </w:p>
        </w:tc>
        <w:tc>
          <w:tcPr>
            <w:tcW w:w="794" w:type="dxa"/>
          </w:tcPr>
          <w:p w14:paraId="01B7CB27" w14:textId="77777777" w:rsidR="00AB205D" w:rsidRDefault="00471A3B">
            <w:pPr>
              <w:cnfStyle w:val="000000000000" w:firstRow="0" w:lastRow="0" w:firstColumn="0" w:lastColumn="0" w:oddVBand="0" w:evenVBand="0" w:oddHBand="0" w:evenHBand="0" w:firstRowFirstColumn="0" w:firstRowLastColumn="0" w:lastRowFirstColumn="0" w:lastRowLastColumn="0"/>
            </w:pPr>
            <w:r>
              <w:t>24 853</w:t>
            </w:r>
          </w:p>
        </w:tc>
        <w:tc>
          <w:tcPr>
            <w:tcW w:w="794" w:type="dxa"/>
          </w:tcPr>
          <w:p w14:paraId="02F94CE5" w14:textId="77777777" w:rsidR="00AB205D" w:rsidRDefault="00471A3B">
            <w:pPr>
              <w:cnfStyle w:val="000000000000" w:firstRow="0" w:lastRow="0" w:firstColumn="0" w:lastColumn="0" w:oddVBand="0" w:evenVBand="0" w:oddHBand="0" w:evenHBand="0" w:firstRowFirstColumn="0" w:firstRowLastColumn="0" w:lastRowFirstColumn="0" w:lastRowLastColumn="0"/>
            </w:pPr>
            <w:r>
              <w:t>27 403</w:t>
            </w:r>
          </w:p>
        </w:tc>
        <w:tc>
          <w:tcPr>
            <w:tcW w:w="794" w:type="dxa"/>
          </w:tcPr>
          <w:p w14:paraId="3107A9BD" w14:textId="77777777" w:rsidR="00AB205D" w:rsidRDefault="00471A3B">
            <w:pPr>
              <w:cnfStyle w:val="000000000000" w:firstRow="0" w:lastRow="0" w:firstColumn="0" w:lastColumn="0" w:oddVBand="0" w:evenVBand="0" w:oddHBand="0" w:evenHBand="0" w:firstRowFirstColumn="0" w:firstRowLastColumn="0" w:lastRowFirstColumn="0" w:lastRowLastColumn="0"/>
            </w:pPr>
            <w:r>
              <w:t>29 883</w:t>
            </w:r>
          </w:p>
        </w:tc>
        <w:tc>
          <w:tcPr>
            <w:tcW w:w="794" w:type="dxa"/>
          </w:tcPr>
          <w:p w14:paraId="0E077925" w14:textId="77777777" w:rsidR="00AB205D" w:rsidRDefault="00471A3B">
            <w:pPr>
              <w:cnfStyle w:val="000000000000" w:firstRow="0" w:lastRow="0" w:firstColumn="0" w:lastColumn="0" w:oddVBand="0" w:evenVBand="0" w:oddHBand="0" w:evenHBand="0" w:firstRowFirstColumn="0" w:firstRowLastColumn="0" w:lastRowFirstColumn="0" w:lastRowLastColumn="0"/>
            </w:pPr>
            <w:r>
              <w:t>32 599</w:t>
            </w:r>
          </w:p>
        </w:tc>
      </w:tr>
      <w:tr w:rsidR="009C6724" w14:paraId="4A2C8215"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7867EB50" w14:textId="77777777" w:rsidR="00AB205D" w:rsidRDefault="00471A3B">
            <w:r>
              <w:t>Employee benefits</w:t>
            </w:r>
          </w:p>
        </w:tc>
        <w:tc>
          <w:tcPr>
            <w:tcW w:w="794" w:type="dxa"/>
          </w:tcPr>
          <w:p w14:paraId="45BB4855" w14:textId="77777777" w:rsidR="00AB205D" w:rsidRDefault="00471A3B">
            <w:pPr>
              <w:cnfStyle w:val="000000000000" w:firstRow="0" w:lastRow="0" w:firstColumn="0" w:lastColumn="0" w:oddVBand="0" w:evenVBand="0" w:oddHBand="0" w:evenHBand="0" w:firstRowFirstColumn="0" w:firstRowLastColumn="0" w:lastRowFirstColumn="0" w:lastRowLastColumn="0"/>
            </w:pPr>
            <w:r>
              <w:t>585</w:t>
            </w:r>
          </w:p>
        </w:tc>
        <w:tc>
          <w:tcPr>
            <w:tcW w:w="794" w:type="dxa"/>
          </w:tcPr>
          <w:p w14:paraId="3CD2D0DA" w14:textId="77777777" w:rsidR="00AB205D" w:rsidRDefault="00471A3B">
            <w:pPr>
              <w:cnfStyle w:val="000000000000" w:firstRow="0" w:lastRow="0" w:firstColumn="0" w:lastColumn="0" w:oddVBand="0" w:evenVBand="0" w:oddHBand="0" w:evenHBand="0" w:firstRowFirstColumn="0" w:firstRowLastColumn="0" w:lastRowFirstColumn="0" w:lastRowLastColumn="0"/>
            </w:pPr>
            <w:r>
              <w:t>575</w:t>
            </w:r>
          </w:p>
        </w:tc>
        <w:tc>
          <w:tcPr>
            <w:tcW w:w="794" w:type="dxa"/>
          </w:tcPr>
          <w:p w14:paraId="7EA30B37" w14:textId="77777777" w:rsidR="00AB205D" w:rsidRDefault="00471A3B">
            <w:pPr>
              <w:cnfStyle w:val="000000000000" w:firstRow="0" w:lastRow="0" w:firstColumn="0" w:lastColumn="0" w:oddVBand="0" w:evenVBand="0" w:oddHBand="0" w:evenHBand="0" w:firstRowFirstColumn="0" w:firstRowLastColumn="0" w:lastRowFirstColumn="0" w:lastRowLastColumn="0"/>
            </w:pPr>
            <w:r>
              <w:t>583</w:t>
            </w:r>
          </w:p>
        </w:tc>
        <w:tc>
          <w:tcPr>
            <w:tcW w:w="794" w:type="dxa"/>
          </w:tcPr>
          <w:p w14:paraId="4FF23CE2" w14:textId="77777777" w:rsidR="00AB205D" w:rsidRDefault="00471A3B">
            <w:pPr>
              <w:cnfStyle w:val="000000000000" w:firstRow="0" w:lastRow="0" w:firstColumn="0" w:lastColumn="0" w:oddVBand="0" w:evenVBand="0" w:oddHBand="0" w:evenHBand="0" w:firstRowFirstColumn="0" w:firstRowLastColumn="0" w:lastRowFirstColumn="0" w:lastRowLastColumn="0"/>
            </w:pPr>
            <w:r>
              <w:t>599</w:t>
            </w:r>
          </w:p>
        </w:tc>
        <w:tc>
          <w:tcPr>
            <w:tcW w:w="794" w:type="dxa"/>
          </w:tcPr>
          <w:p w14:paraId="1B168657" w14:textId="77777777" w:rsidR="00AB205D" w:rsidRDefault="00471A3B">
            <w:pPr>
              <w:cnfStyle w:val="000000000000" w:firstRow="0" w:lastRow="0" w:firstColumn="0" w:lastColumn="0" w:oddVBand="0" w:evenVBand="0" w:oddHBand="0" w:evenHBand="0" w:firstRowFirstColumn="0" w:firstRowLastColumn="0" w:lastRowFirstColumn="0" w:lastRowLastColumn="0"/>
            </w:pPr>
            <w:r>
              <w:t>616</w:t>
            </w:r>
          </w:p>
        </w:tc>
      </w:tr>
      <w:tr w:rsidR="009C6724" w14:paraId="0FECD086"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8874E99" w14:textId="77777777" w:rsidR="00AB205D" w:rsidRDefault="00471A3B">
            <w:r>
              <w:t>Superannuation</w:t>
            </w:r>
          </w:p>
        </w:tc>
        <w:tc>
          <w:tcPr>
            <w:tcW w:w="794" w:type="dxa"/>
          </w:tcPr>
          <w:p w14:paraId="69DF1DCB"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2F86E943" w14:textId="77777777" w:rsidR="00AB205D" w:rsidRDefault="00471A3B">
            <w:pPr>
              <w:cnfStyle w:val="000000000000" w:firstRow="0" w:lastRow="0" w:firstColumn="0" w:lastColumn="0" w:oddVBand="0" w:evenVBand="0" w:oddHBand="0" w:evenHBand="0" w:firstRowFirstColumn="0" w:firstRowLastColumn="0" w:lastRowFirstColumn="0" w:lastRowLastColumn="0"/>
            </w:pPr>
            <w:r>
              <w:t>3</w:t>
            </w:r>
          </w:p>
        </w:tc>
        <w:tc>
          <w:tcPr>
            <w:tcW w:w="794" w:type="dxa"/>
          </w:tcPr>
          <w:p w14:paraId="65AF741F" w14:textId="77777777" w:rsidR="00AB205D" w:rsidRDefault="00471A3B">
            <w:pPr>
              <w:cnfStyle w:val="000000000000" w:firstRow="0" w:lastRow="0" w:firstColumn="0" w:lastColumn="0" w:oddVBand="0" w:evenVBand="0" w:oddHBand="0" w:evenHBand="0" w:firstRowFirstColumn="0" w:firstRowLastColumn="0" w:lastRowFirstColumn="0" w:lastRowLastColumn="0"/>
            </w:pPr>
            <w:r>
              <w:t>2</w:t>
            </w:r>
          </w:p>
        </w:tc>
        <w:tc>
          <w:tcPr>
            <w:tcW w:w="794" w:type="dxa"/>
          </w:tcPr>
          <w:p w14:paraId="1706BFBA" w14:textId="77777777" w:rsidR="00AB205D" w:rsidRDefault="00471A3B">
            <w:pPr>
              <w:cnfStyle w:val="000000000000" w:firstRow="0" w:lastRow="0" w:firstColumn="0" w:lastColumn="0" w:oddVBand="0" w:evenVBand="0" w:oddHBand="0" w:evenHBand="0" w:firstRowFirstColumn="0" w:firstRowLastColumn="0" w:lastRowFirstColumn="0" w:lastRowLastColumn="0"/>
            </w:pPr>
            <w:r>
              <w:t>1</w:t>
            </w:r>
          </w:p>
        </w:tc>
        <w:tc>
          <w:tcPr>
            <w:tcW w:w="794" w:type="dxa"/>
          </w:tcPr>
          <w:p w14:paraId="78F5FCB6"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r>
      <w:tr w:rsidR="009C6724" w14:paraId="79E42600"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0B0868A5" w14:textId="77777777" w:rsidR="00AB205D" w:rsidRDefault="00471A3B">
            <w:r>
              <w:t>Other provisions</w:t>
            </w:r>
          </w:p>
        </w:tc>
        <w:tc>
          <w:tcPr>
            <w:tcW w:w="794" w:type="dxa"/>
            <w:tcBorders>
              <w:bottom w:val="single" w:sz="6" w:space="0" w:color="auto"/>
            </w:tcBorders>
          </w:tcPr>
          <w:p w14:paraId="5CA32BC0" w14:textId="77777777" w:rsidR="00AB205D" w:rsidRDefault="00471A3B">
            <w:pPr>
              <w:cnfStyle w:val="000000000000" w:firstRow="0" w:lastRow="0" w:firstColumn="0" w:lastColumn="0" w:oddVBand="0" w:evenVBand="0" w:oddHBand="0" w:evenHBand="0" w:firstRowFirstColumn="0" w:firstRowLastColumn="0" w:lastRowFirstColumn="0" w:lastRowLastColumn="0"/>
            </w:pPr>
            <w:r>
              <w:t>11 949</w:t>
            </w:r>
          </w:p>
        </w:tc>
        <w:tc>
          <w:tcPr>
            <w:tcW w:w="794" w:type="dxa"/>
            <w:tcBorders>
              <w:bottom w:val="single" w:sz="6" w:space="0" w:color="auto"/>
            </w:tcBorders>
          </w:tcPr>
          <w:p w14:paraId="7AD24C39" w14:textId="77777777" w:rsidR="00AB205D" w:rsidRDefault="00471A3B">
            <w:pPr>
              <w:cnfStyle w:val="000000000000" w:firstRow="0" w:lastRow="0" w:firstColumn="0" w:lastColumn="0" w:oddVBand="0" w:evenVBand="0" w:oddHBand="0" w:evenHBand="0" w:firstRowFirstColumn="0" w:firstRowLastColumn="0" w:lastRowFirstColumn="0" w:lastRowLastColumn="0"/>
            </w:pPr>
            <w:r>
              <w:t>11 854</w:t>
            </w:r>
          </w:p>
        </w:tc>
        <w:tc>
          <w:tcPr>
            <w:tcW w:w="794" w:type="dxa"/>
            <w:tcBorders>
              <w:bottom w:val="single" w:sz="6" w:space="0" w:color="auto"/>
            </w:tcBorders>
          </w:tcPr>
          <w:p w14:paraId="70C320FD" w14:textId="77777777" w:rsidR="00AB205D" w:rsidRDefault="00471A3B">
            <w:pPr>
              <w:cnfStyle w:val="000000000000" w:firstRow="0" w:lastRow="0" w:firstColumn="0" w:lastColumn="0" w:oddVBand="0" w:evenVBand="0" w:oddHBand="0" w:evenHBand="0" w:firstRowFirstColumn="0" w:firstRowLastColumn="0" w:lastRowFirstColumn="0" w:lastRowLastColumn="0"/>
            </w:pPr>
            <w:r>
              <w:t>11 731</w:t>
            </w:r>
          </w:p>
        </w:tc>
        <w:tc>
          <w:tcPr>
            <w:tcW w:w="794" w:type="dxa"/>
            <w:tcBorders>
              <w:bottom w:val="single" w:sz="6" w:space="0" w:color="auto"/>
            </w:tcBorders>
          </w:tcPr>
          <w:p w14:paraId="08D57489" w14:textId="77777777" w:rsidR="00AB205D" w:rsidRDefault="00471A3B">
            <w:pPr>
              <w:cnfStyle w:val="000000000000" w:firstRow="0" w:lastRow="0" w:firstColumn="0" w:lastColumn="0" w:oddVBand="0" w:evenVBand="0" w:oddHBand="0" w:evenHBand="0" w:firstRowFirstColumn="0" w:firstRowLastColumn="0" w:lastRowFirstColumn="0" w:lastRowLastColumn="0"/>
            </w:pPr>
            <w:r>
              <w:t>11 820</w:t>
            </w:r>
          </w:p>
        </w:tc>
        <w:tc>
          <w:tcPr>
            <w:tcW w:w="794" w:type="dxa"/>
            <w:tcBorders>
              <w:bottom w:val="single" w:sz="6" w:space="0" w:color="auto"/>
            </w:tcBorders>
          </w:tcPr>
          <w:p w14:paraId="7FE47186" w14:textId="77777777" w:rsidR="00AB205D" w:rsidRDefault="00471A3B">
            <w:pPr>
              <w:cnfStyle w:val="000000000000" w:firstRow="0" w:lastRow="0" w:firstColumn="0" w:lastColumn="0" w:oddVBand="0" w:evenVBand="0" w:oddHBand="0" w:evenHBand="0" w:firstRowFirstColumn="0" w:firstRowLastColumn="0" w:lastRowFirstColumn="0" w:lastRowLastColumn="0"/>
            </w:pPr>
            <w:r>
              <w:t>11 865</w:t>
            </w:r>
          </w:p>
        </w:tc>
      </w:tr>
      <w:tr w:rsidR="009C6724" w14:paraId="42099CEE"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4092C5D0" w14:textId="77777777" w:rsidR="00AB205D" w:rsidRDefault="00471A3B">
            <w:r>
              <w:rPr>
                <w:b/>
              </w:rPr>
              <w:t>Total liabilities</w:t>
            </w:r>
          </w:p>
        </w:tc>
        <w:tc>
          <w:tcPr>
            <w:tcW w:w="794" w:type="dxa"/>
            <w:tcBorders>
              <w:top w:val="single" w:sz="6" w:space="0" w:color="auto"/>
              <w:bottom w:val="single" w:sz="6" w:space="0" w:color="auto"/>
            </w:tcBorders>
          </w:tcPr>
          <w:p w14:paraId="59BB811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49 889</w:t>
            </w:r>
          </w:p>
        </w:tc>
        <w:tc>
          <w:tcPr>
            <w:tcW w:w="794" w:type="dxa"/>
            <w:tcBorders>
              <w:top w:val="single" w:sz="6" w:space="0" w:color="auto"/>
              <w:bottom w:val="single" w:sz="6" w:space="0" w:color="auto"/>
            </w:tcBorders>
          </w:tcPr>
          <w:p w14:paraId="095563D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50 126</w:t>
            </w:r>
          </w:p>
        </w:tc>
        <w:tc>
          <w:tcPr>
            <w:tcW w:w="794" w:type="dxa"/>
            <w:tcBorders>
              <w:top w:val="single" w:sz="6" w:space="0" w:color="auto"/>
              <w:bottom w:val="single" w:sz="6" w:space="0" w:color="auto"/>
            </w:tcBorders>
          </w:tcPr>
          <w:p w14:paraId="2BE335C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52 640</w:t>
            </w:r>
          </w:p>
        </w:tc>
        <w:tc>
          <w:tcPr>
            <w:tcW w:w="794" w:type="dxa"/>
            <w:tcBorders>
              <w:top w:val="single" w:sz="6" w:space="0" w:color="auto"/>
              <w:bottom w:val="single" w:sz="6" w:space="0" w:color="auto"/>
            </w:tcBorders>
          </w:tcPr>
          <w:p w14:paraId="4693AA0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55 145</w:t>
            </w:r>
          </w:p>
        </w:tc>
        <w:tc>
          <w:tcPr>
            <w:tcW w:w="794" w:type="dxa"/>
            <w:tcBorders>
              <w:top w:val="single" w:sz="6" w:space="0" w:color="auto"/>
              <w:bottom w:val="single" w:sz="6" w:space="0" w:color="auto"/>
            </w:tcBorders>
          </w:tcPr>
          <w:p w14:paraId="29EE9CF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57 953</w:t>
            </w:r>
          </w:p>
        </w:tc>
      </w:tr>
      <w:tr w:rsidR="009C6724" w14:paraId="1C1EE8CA"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05D63C71" w14:textId="77777777" w:rsidR="00AB205D" w:rsidRDefault="00471A3B">
            <w:r>
              <w:rPr>
                <w:b/>
              </w:rPr>
              <w:t>Net assets</w:t>
            </w:r>
          </w:p>
        </w:tc>
        <w:tc>
          <w:tcPr>
            <w:tcW w:w="794" w:type="dxa"/>
            <w:tcBorders>
              <w:top w:val="single" w:sz="6" w:space="0" w:color="auto"/>
              <w:bottom w:val="single" w:sz="12" w:space="0" w:color="auto"/>
            </w:tcBorders>
          </w:tcPr>
          <w:p w14:paraId="06D976B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82 771</w:t>
            </w:r>
          </w:p>
        </w:tc>
        <w:tc>
          <w:tcPr>
            <w:tcW w:w="794" w:type="dxa"/>
            <w:tcBorders>
              <w:top w:val="single" w:sz="6" w:space="0" w:color="auto"/>
              <w:bottom w:val="single" w:sz="12" w:space="0" w:color="auto"/>
            </w:tcBorders>
          </w:tcPr>
          <w:p w14:paraId="5FAB549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82 047</w:t>
            </w:r>
          </w:p>
        </w:tc>
        <w:tc>
          <w:tcPr>
            <w:tcW w:w="794" w:type="dxa"/>
            <w:tcBorders>
              <w:top w:val="single" w:sz="6" w:space="0" w:color="auto"/>
              <w:bottom w:val="single" w:sz="12" w:space="0" w:color="auto"/>
            </w:tcBorders>
          </w:tcPr>
          <w:p w14:paraId="4ADA15F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85 730</w:t>
            </w:r>
          </w:p>
        </w:tc>
        <w:tc>
          <w:tcPr>
            <w:tcW w:w="794" w:type="dxa"/>
            <w:tcBorders>
              <w:top w:val="single" w:sz="6" w:space="0" w:color="auto"/>
              <w:bottom w:val="single" w:sz="12" w:space="0" w:color="auto"/>
            </w:tcBorders>
          </w:tcPr>
          <w:p w14:paraId="2B89025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93 330</w:t>
            </w:r>
          </w:p>
        </w:tc>
        <w:tc>
          <w:tcPr>
            <w:tcW w:w="794" w:type="dxa"/>
            <w:tcBorders>
              <w:top w:val="single" w:sz="6" w:space="0" w:color="auto"/>
              <w:bottom w:val="single" w:sz="12" w:space="0" w:color="auto"/>
            </w:tcBorders>
          </w:tcPr>
          <w:p w14:paraId="422B8F2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96 412</w:t>
            </w:r>
          </w:p>
        </w:tc>
      </w:tr>
      <w:tr w:rsidR="009C6724" w14:paraId="35A385BC"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68D55443" w14:textId="77777777" w:rsidR="00AB205D" w:rsidRDefault="00471A3B">
            <w:r>
              <w:t>Accumulated surplus/(deficit)</w:t>
            </w:r>
          </w:p>
        </w:tc>
        <w:tc>
          <w:tcPr>
            <w:tcW w:w="794" w:type="dxa"/>
            <w:tcBorders>
              <w:top w:val="single" w:sz="6" w:space="0" w:color="auto"/>
            </w:tcBorders>
          </w:tcPr>
          <w:p w14:paraId="5B0E8819" w14:textId="77777777" w:rsidR="00AB205D" w:rsidRDefault="00471A3B">
            <w:pPr>
              <w:cnfStyle w:val="000000000000" w:firstRow="0" w:lastRow="0" w:firstColumn="0" w:lastColumn="0" w:oddVBand="0" w:evenVBand="0" w:oddHBand="0" w:evenHBand="0" w:firstRowFirstColumn="0" w:firstRowLastColumn="0" w:lastRowFirstColumn="0" w:lastRowLastColumn="0"/>
            </w:pPr>
            <w:r>
              <w:t>(35 903)</w:t>
            </w:r>
          </w:p>
        </w:tc>
        <w:tc>
          <w:tcPr>
            <w:tcW w:w="794" w:type="dxa"/>
            <w:tcBorders>
              <w:top w:val="single" w:sz="6" w:space="0" w:color="auto"/>
            </w:tcBorders>
          </w:tcPr>
          <w:p w14:paraId="5788074A" w14:textId="77777777" w:rsidR="00AB205D" w:rsidRDefault="00471A3B">
            <w:pPr>
              <w:cnfStyle w:val="000000000000" w:firstRow="0" w:lastRow="0" w:firstColumn="0" w:lastColumn="0" w:oddVBand="0" w:evenVBand="0" w:oddHBand="0" w:evenHBand="0" w:firstRowFirstColumn="0" w:firstRowLastColumn="0" w:lastRowFirstColumn="0" w:lastRowLastColumn="0"/>
            </w:pPr>
            <w:r>
              <w:t>(34 791)</w:t>
            </w:r>
          </w:p>
        </w:tc>
        <w:tc>
          <w:tcPr>
            <w:tcW w:w="794" w:type="dxa"/>
            <w:tcBorders>
              <w:top w:val="single" w:sz="6" w:space="0" w:color="auto"/>
            </w:tcBorders>
          </w:tcPr>
          <w:p w14:paraId="188C846B" w14:textId="77777777" w:rsidR="00AB205D" w:rsidRDefault="00471A3B">
            <w:pPr>
              <w:cnfStyle w:val="000000000000" w:firstRow="0" w:lastRow="0" w:firstColumn="0" w:lastColumn="0" w:oddVBand="0" w:evenVBand="0" w:oddHBand="0" w:evenHBand="0" w:firstRowFirstColumn="0" w:firstRowLastColumn="0" w:lastRowFirstColumn="0" w:lastRowLastColumn="0"/>
            </w:pPr>
            <w:r>
              <w:t>(38 321)</w:t>
            </w:r>
          </w:p>
        </w:tc>
        <w:tc>
          <w:tcPr>
            <w:tcW w:w="794" w:type="dxa"/>
            <w:tcBorders>
              <w:top w:val="single" w:sz="6" w:space="0" w:color="auto"/>
            </w:tcBorders>
          </w:tcPr>
          <w:p w14:paraId="61C0AAE0" w14:textId="77777777" w:rsidR="00AB205D" w:rsidRDefault="00471A3B">
            <w:pPr>
              <w:cnfStyle w:val="000000000000" w:firstRow="0" w:lastRow="0" w:firstColumn="0" w:lastColumn="0" w:oddVBand="0" w:evenVBand="0" w:oddHBand="0" w:evenHBand="0" w:firstRowFirstColumn="0" w:firstRowLastColumn="0" w:lastRowFirstColumn="0" w:lastRowLastColumn="0"/>
            </w:pPr>
            <w:r>
              <w:t>(56 130)</w:t>
            </w:r>
          </w:p>
        </w:tc>
        <w:tc>
          <w:tcPr>
            <w:tcW w:w="794" w:type="dxa"/>
            <w:tcBorders>
              <w:top w:val="single" w:sz="6" w:space="0" w:color="auto"/>
            </w:tcBorders>
          </w:tcPr>
          <w:p w14:paraId="37684172" w14:textId="77777777" w:rsidR="00AB205D" w:rsidRDefault="00471A3B">
            <w:pPr>
              <w:cnfStyle w:val="000000000000" w:firstRow="0" w:lastRow="0" w:firstColumn="0" w:lastColumn="0" w:oddVBand="0" w:evenVBand="0" w:oddHBand="0" w:evenHBand="0" w:firstRowFirstColumn="0" w:firstRowLastColumn="0" w:lastRowFirstColumn="0" w:lastRowLastColumn="0"/>
            </w:pPr>
            <w:r>
              <w:t>(59 180)</w:t>
            </w:r>
          </w:p>
        </w:tc>
      </w:tr>
      <w:tr w:rsidR="009C6724" w14:paraId="3FCEF96E"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5D4E5689" w14:textId="77777777" w:rsidR="00AB205D" w:rsidRDefault="00471A3B">
            <w:r>
              <w:t>Reserves</w:t>
            </w:r>
          </w:p>
        </w:tc>
        <w:tc>
          <w:tcPr>
            <w:tcW w:w="794" w:type="dxa"/>
            <w:tcBorders>
              <w:bottom w:val="single" w:sz="6" w:space="0" w:color="auto"/>
            </w:tcBorders>
          </w:tcPr>
          <w:p w14:paraId="215AAC6C" w14:textId="77777777" w:rsidR="00AB205D" w:rsidRDefault="00471A3B">
            <w:pPr>
              <w:cnfStyle w:val="000000000000" w:firstRow="0" w:lastRow="0" w:firstColumn="0" w:lastColumn="0" w:oddVBand="0" w:evenVBand="0" w:oddHBand="0" w:evenHBand="0" w:firstRowFirstColumn="0" w:firstRowLastColumn="0" w:lastRowFirstColumn="0" w:lastRowLastColumn="0"/>
            </w:pPr>
            <w:r>
              <w:t>118 674</w:t>
            </w:r>
          </w:p>
        </w:tc>
        <w:tc>
          <w:tcPr>
            <w:tcW w:w="794" w:type="dxa"/>
            <w:tcBorders>
              <w:bottom w:val="single" w:sz="6" w:space="0" w:color="auto"/>
            </w:tcBorders>
          </w:tcPr>
          <w:p w14:paraId="2E957F3B" w14:textId="77777777" w:rsidR="00AB205D" w:rsidRDefault="00471A3B">
            <w:pPr>
              <w:cnfStyle w:val="000000000000" w:firstRow="0" w:lastRow="0" w:firstColumn="0" w:lastColumn="0" w:oddVBand="0" w:evenVBand="0" w:oddHBand="0" w:evenHBand="0" w:firstRowFirstColumn="0" w:firstRowLastColumn="0" w:lastRowFirstColumn="0" w:lastRowLastColumn="0"/>
            </w:pPr>
            <w:r>
              <w:t>116 838</w:t>
            </w:r>
          </w:p>
        </w:tc>
        <w:tc>
          <w:tcPr>
            <w:tcW w:w="794" w:type="dxa"/>
            <w:tcBorders>
              <w:bottom w:val="single" w:sz="6" w:space="0" w:color="auto"/>
            </w:tcBorders>
          </w:tcPr>
          <w:p w14:paraId="383EC5AA" w14:textId="77777777" w:rsidR="00AB205D" w:rsidRDefault="00471A3B">
            <w:pPr>
              <w:cnfStyle w:val="000000000000" w:firstRow="0" w:lastRow="0" w:firstColumn="0" w:lastColumn="0" w:oddVBand="0" w:evenVBand="0" w:oddHBand="0" w:evenHBand="0" w:firstRowFirstColumn="0" w:firstRowLastColumn="0" w:lastRowFirstColumn="0" w:lastRowLastColumn="0"/>
            </w:pPr>
            <w:r>
              <w:t>124 051</w:t>
            </w:r>
          </w:p>
        </w:tc>
        <w:tc>
          <w:tcPr>
            <w:tcW w:w="794" w:type="dxa"/>
            <w:tcBorders>
              <w:bottom w:val="single" w:sz="6" w:space="0" w:color="auto"/>
            </w:tcBorders>
          </w:tcPr>
          <w:p w14:paraId="5B31CC52" w14:textId="77777777" w:rsidR="00AB205D" w:rsidRDefault="00471A3B">
            <w:pPr>
              <w:cnfStyle w:val="000000000000" w:firstRow="0" w:lastRow="0" w:firstColumn="0" w:lastColumn="0" w:oddVBand="0" w:evenVBand="0" w:oddHBand="0" w:evenHBand="0" w:firstRowFirstColumn="0" w:firstRowLastColumn="0" w:lastRowFirstColumn="0" w:lastRowLastColumn="0"/>
            </w:pPr>
            <w:r>
              <w:t>149 460</w:t>
            </w:r>
          </w:p>
        </w:tc>
        <w:tc>
          <w:tcPr>
            <w:tcW w:w="794" w:type="dxa"/>
            <w:tcBorders>
              <w:bottom w:val="single" w:sz="6" w:space="0" w:color="auto"/>
            </w:tcBorders>
          </w:tcPr>
          <w:p w14:paraId="20783D28" w14:textId="77777777" w:rsidR="00AB205D" w:rsidRDefault="00471A3B">
            <w:pPr>
              <w:cnfStyle w:val="000000000000" w:firstRow="0" w:lastRow="0" w:firstColumn="0" w:lastColumn="0" w:oddVBand="0" w:evenVBand="0" w:oddHBand="0" w:evenHBand="0" w:firstRowFirstColumn="0" w:firstRowLastColumn="0" w:lastRowFirstColumn="0" w:lastRowLastColumn="0"/>
            </w:pPr>
            <w:r>
              <w:t>155 592</w:t>
            </w:r>
          </w:p>
        </w:tc>
      </w:tr>
      <w:tr w:rsidR="009C6724" w14:paraId="412A7FCD"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0243B8E5" w14:textId="77777777" w:rsidR="00AB205D" w:rsidRDefault="00471A3B">
            <w:r>
              <w:rPr>
                <w:b/>
              </w:rPr>
              <w:t>Net worth</w:t>
            </w:r>
          </w:p>
        </w:tc>
        <w:tc>
          <w:tcPr>
            <w:tcW w:w="794" w:type="dxa"/>
            <w:tcBorders>
              <w:top w:val="single" w:sz="6" w:space="0" w:color="auto"/>
              <w:bottom w:val="single" w:sz="12" w:space="0" w:color="auto"/>
            </w:tcBorders>
          </w:tcPr>
          <w:p w14:paraId="7B18EB0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82 771</w:t>
            </w:r>
          </w:p>
        </w:tc>
        <w:tc>
          <w:tcPr>
            <w:tcW w:w="794" w:type="dxa"/>
            <w:tcBorders>
              <w:top w:val="single" w:sz="6" w:space="0" w:color="auto"/>
              <w:bottom w:val="single" w:sz="12" w:space="0" w:color="auto"/>
            </w:tcBorders>
          </w:tcPr>
          <w:p w14:paraId="05FE44F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82 047</w:t>
            </w:r>
          </w:p>
        </w:tc>
        <w:tc>
          <w:tcPr>
            <w:tcW w:w="794" w:type="dxa"/>
            <w:tcBorders>
              <w:top w:val="single" w:sz="6" w:space="0" w:color="auto"/>
              <w:bottom w:val="single" w:sz="12" w:space="0" w:color="auto"/>
            </w:tcBorders>
          </w:tcPr>
          <w:p w14:paraId="06A8903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85 730</w:t>
            </w:r>
          </w:p>
        </w:tc>
        <w:tc>
          <w:tcPr>
            <w:tcW w:w="794" w:type="dxa"/>
            <w:tcBorders>
              <w:top w:val="single" w:sz="6" w:space="0" w:color="auto"/>
              <w:bottom w:val="single" w:sz="12" w:space="0" w:color="auto"/>
            </w:tcBorders>
          </w:tcPr>
          <w:p w14:paraId="0BB1A20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93 330</w:t>
            </w:r>
          </w:p>
        </w:tc>
        <w:tc>
          <w:tcPr>
            <w:tcW w:w="794" w:type="dxa"/>
            <w:tcBorders>
              <w:top w:val="single" w:sz="6" w:space="0" w:color="auto"/>
              <w:bottom w:val="single" w:sz="12" w:space="0" w:color="auto"/>
            </w:tcBorders>
          </w:tcPr>
          <w:p w14:paraId="38A2307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96 412</w:t>
            </w:r>
          </w:p>
        </w:tc>
      </w:tr>
      <w:tr w:rsidR="009C6724" w14:paraId="2508539C" w14:textId="77777777" w:rsidTr="009C6724">
        <w:trPr>
          <w:trHeight w:hRule="exact" w:val="113"/>
        </w:trPr>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1675C041" w14:textId="77777777" w:rsidR="00AB205D" w:rsidRDefault="00AB205D"/>
        </w:tc>
        <w:tc>
          <w:tcPr>
            <w:tcW w:w="794" w:type="dxa"/>
            <w:tcBorders>
              <w:top w:val="single" w:sz="6" w:space="0" w:color="auto"/>
            </w:tcBorders>
          </w:tcPr>
          <w:p w14:paraId="3E5D3CDA"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19F45CBA"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4E9603C4"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6C1B58E2"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02DB868"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221E50AA"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B7C5BD1" w14:textId="77777777" w:rsidR="00AB205D" w:rsidRDefault="00471A3B">
            <w:r>
              <w:rPr>
                <w:b/>
              </w:rPr>
              <w:t>FISCAL AGGREGATES</w:t>
            </w:r>
          </w:p>
        </w:tc>
        <w:tc>
          <w:tcPr>
            <w:tcW w:w="794" w:type="dxa"/>
          </w:tcPr>
          <w:p w14:paraId="7CDB3A16"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150640B"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41AABD4"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E3E8F7B"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111307C8"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352D6BC5"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000960F6" w14:textId="77777777" w:rsidR="00AB205D" w:rsidRDefault="00471A3B">
            <w:r>
              <w:t>Net financial worth</w:t>
            </w:r>
          </w:p>
        </w:tc>
        <w:tc>
          <w:tcPr>
            <w:tcW w:w="794" w:type="dxa"/>
          </w:tcPr>
          <w:p w14:paraId="02D962D6" w14:textId="77777777" w:rsidR="00AB205D" w:rsidRDefault="00471A3B">
            <w:pPr>
              <w:cnfStyle w:val="000000000000" w:firstRow="0" w:lastRow="0" w:firstColumn="0" w:lastColumn="0" w:oddVBand="0" w:evenVBand="0" w:oddHBand="0" w:evenHBand="0" w:firstRowFirstColumn="0" w:firstRowLastColumn="0" w:lastRowFirstColumn="0" w:lastRowLastColumn="0"/>
            </w:pPr>
            <w:r>
              <w:t>(45 406)</w:t>
            </w:r>
          </w:p>
        </w:tc>
        <w:tc>
          <w:tcPr>
            <w:tcW w:w="794" w:type="dxa"/>
          </w:tcPr>
          <w:p w14:paraId="68B15853" w14:textId="77777777" w:rsidR="00AB205D" w:rsidRDefault="00471A3B">
            <w:pPr>
              <w:cnfStyle w:val="000000000000" w:firstRow="0" w:lastRow="0" w:firstColumn="0" w:lastColumn="0" w:oddVBand="0" w:evenVBand="0" w:oddHBand="0" w:evenHBand="0" w:firstRowFirstColumn="0" w:firstRowLastColumn="0" w:lastRowFirstColumn="0" w:lastRowLastColumn="0"/>
            </w:pPr>
            <w:r>
              <w:t>(46 771)</w:t>
            </w:r>
          </w:p>
        </w:tc>
        <w:tc>
          <w:tcPr>
            <w:tcW w:w="794" w:type="dxa"/>
          </w:tcPr>
          <w:p w14:paraId="76965291" w14:textId="77777777" w:rsidR="00AB205D" w:rsidRDefault="00471A3B">
            <w:pPr>
              <w:cnfStyle w:val="000000000000" w:firstRow="0" w:lastRow="0" w:firstColumn="0" w:lastColumn="0" w:oddVBand="0" w:evenVBand="0" w:oddHBand="0" w:evenHBand="0" w:firstRowFirstColumn="0" w:firstRowLastColumn="0" w:lastRowFirstColumn="0" w:lastRowLastColumn="0"/>
            </w:pPr>
            <w:r>
              <w:t>(49 371)</w:t>
            </w:r>
          </w:p>
        </w:tc>
        <w:tc>
          <w:tcPr>
            <w:tcW w:w="794" w:type="dxa"/>
          </w:tcPr>
          <w:p w14:paraId="7FEA7A4F" w14:textId="77777777" w:rsidR="00AB205D" w:rsidRDefault="00471A3B">
            <w:pPr>
              <w:cnfStyle w:val="000000000000" w:firstRow="0" w:lastRow="0" w:firstColumn="0" w:lastColumn="0" w:oddVBand="0" w:evenVBand="0" w:oddHBand="0" w:evenHBand="0" w:firstRowFirstColumn="0" w:firstRowLastColumn="0" w:lastRowFirstColumn="0" w:lastRowLastColumn="0"/>
            </w:pPr>
            <w:r>
              <w:t>(51 972)</w:t>
            </w:r>
          </w:p>
        </w:tc>
        <w:tc>
          <w:tcPr>
            <w:tcW w:w="794" w:type="dxa"/>
          </w:tcPr>
          <w:p w14:paraId="61632FCB" w14:textId="77777777" w:rsidR="00AB205D" w:rsidRDefault="00471A3B">
            <w:pPr>
              <w:cnfStyle w:val="000000000000" w:firstRow="0" w:lastRow="0" w:firstColumn="0" w:lastColumn="0" w:oddVBand="0" w:evenVBand="0" w:oddHBand="0" w:evenHBand="0" w:firstRowFirstColumn="0" w:firstRowLastColumn="0" w:lastRowFirstColumn="0" w:lastRowLastColumn="0"/>
            </w:pPr>
            <w:r>
              <w:t>(54 709)</w:t>
            </w:r>
          </w:p>
        </w:tc>
      </w:tr>
      <w:tr w:rsidR="009C6724" w14:paraId="15ABA807"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A8C230F" w14:textId="77777777" w:rsidR="00AB205D" w:rsidRDefault="00471A3B">
            <w:r>
              <w:t>Net financial liabilities</w:t>
            </w:r>
          </w:p>
        </w:tc>
        <w:tc>
          <w:tcPr>
            <w:tcW w:w="794" w:type="dxa"/>
          </w:tcPr>
          <w:p w14:paraId="5D29BCA8" w14:textId="77777777" w:rsidR="00AB205D" w:rsidRDefault="00471A3B">
            <w:pPr>
              <w:cnfStyle w:val="000000000000" w:firstRow="0" w:lastRow="0" w:firstColumn="0" w:lastColumn="0" w:oddVBand="0" w:evenVBand="0" w:oddHBand="0" w:evenHBand="0" w:firstRowFirstColumn="0" w:firstRowLastColumn="0" w:lastRowFirstColumn="0" w:lastRowLastColumn="0"/>
            </w:pPr>
            <w:r>
              <w:t>45 406</w:t>
            </w:r>
          </w:p>
        </w:tc>
        <w:tc>
          <w:tcPr>
            <w:tcW w:w="794" w:type="dxa"/>
          </w:tcPr>
          <w:p w14:paraId="25375A71" w14:textId="77777777" w:rsidR="00AB205D" w:rsidRDefault="00471A3B">
            <w:pPr>
              <w:cnfStyle w:val="000000000000" w:firstRow="0" w:lastRow="0" w:firstColumn="0" w:lastColumn="0" w:oddVBand="0" w:evenVBand="0" w:oddHBand="0" w:evenHBand="0" w:firstRowFirstColumn="0" w:firstRowLastColumn="0" w:lastRowFirstColumn="0" w:lastRowLastColumn="0"/>
            </w:pPr>
            <w:r>
              <w:t>46 771</w:t>
            </w:r>
          </w:p>
        </w:tc>
        <w:tc>
          <w:tcPr>
            <w:tcW w:w="794" w:type="dxa"/>
          </w:tcPr>
          <w:p w14:paraId="5795599F" w14:textId="77777777" w:rsidR="00AB205D" w:rsidRDefault="00471A3B">
            <w:pPr>
              <w:cnfStyle w:val="000000000000" w:firstRow="0" w:lastRow="0" w:firstColumn="0" w:lastColumn="0" w:oddVBand="0" w:evenVBand="0" w:oddHBand="0" w:evenHBand="0" w:firstRowFirstColumn="0" w:firstRowLastColumn="0" w:lastRowFirstColumn="0" w:lastRowLastColumn="0"/>
            </w:pPr>
            <w:r>
              <w:t>49 371</w:t>
            </w:r>
          </w:p>
        </w:tc>
        <w:tc>
          <w:tcPr>
            <w:tcW w:w="794" w:type="dxa"/>
          </w:tcPr>
          <w:p w14:paraId="179C07EC" w14:textId="77777777" w:rsidR="00AB205D" w:rsidRDefault="00471A3B">
            <w:pPr>
              <w:cnfStyle w:val="000000000000" w:firstRow="0" w:lastRow="0" w:firstColumn="0" w:lastColumn="0" w:oddVBand="0" w:evenVBand="0" w:oddHBand="0" w:evenHBand="0" w:firstRowFirstColumn="0" w:firstRowLastColumn="0" w:lastRowFirstColumn="0" w:lastRowLastColumn="0"/>
            </w:pPr>
            <w:r>
              <w:t>51 972</w:t>
            </w:r>
          </w:p>
        </w:tc>
        <w:tc>
          <w:tcPr>
            <w:tcW w:w="794" w:type="dxa"/>
          </w:tcPr>
          <w:p w14:paraId="57E8B66F" w14:textId="77777777" w:rsidR="00AB205D" w:rsidRDefault="00471A3B">
            <w:pPr>
              <w:cnfStyle w:val="000000000000" w:firstRow="0" w:lastRow="0" w:firstColumn="0" w:lastColumn="0" w:oddVBand="0" w:evenVBand="0" w:oddHBand="0" w:evenHBand="0" w:firstRowFirstColumn="0" w:firstRowLastColumn="0" w:lastRowFirstColumn="0" w:lastRowLastColumn="0"/>
            </w:pPr>
            <w:r>
              <w:t>54 709</w:t>
            </w:r>
          </w:p>
        </w:tc>
      </w:tr>
      <w:tr w:rsidR="009C6724" w14:paraId="302F4E3C"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12" w:space="0" w:color="auto"/>
            </w:tcBorders>
          </w:tcPr>
          <w:p w14:paraId="7559D700" w14:textId="77777777" w:rsidR="00AB205D" w:rsidRDefault="00471A3B">
            <w:r>
              <w:t>Net debt</w:t>
            </w:r>
          </w:p>
        </w:tc>
        <w:tc>
          <w:tcPr>
            <w:tcW w:w="794" w:type="dxa"/>
            <w:tcBorders>
              <w:bottom w:val="single" w:sz="12" w:space="0" w:color="auto"/>
            </w:tcBorders>
          </w:tcPr>
          <w:p w14:paraId="129A1FA0" w14:textId="77777777" w:rsidR="00AB205D" w:rsidRDefault="00471A3B">
            <w:pPr>
              <w:cnfStyle w:val="000000000000" w:firstRow="0" w:lastRow="0" w:firstColumn="0" w:lastColumn="0" w:oddVBand="0" w:evenVBand="0" w:oddHBand="0" w:evenHBand="0" w:firstRowFirstColumn="0" w:firstRowLastColumn="0" w:lastRowFirstColumn="0" w:lastRowLastColumn="0"/>
            </w:pPr>
            <w:r>
              <w:t>24 138</w:t>
            </w:r>
          </w:p>
        </w:tc>
        <w:tc>
          <w:tcPr>
            <w:tcW w:w="794" w:type="dxa"/>
            <w:tcBorders>
              <w:bottom w:val="single" w:sz="12" w:space="0" w:color="auto"/>
            </w:tcBorders>
          </w:tcPr>
          <w:p w14:paraId="3DBC0415" w14:textId="77777777" w:rsidR="00AB205D" w:rsidRDefault="00471A3B">
            <w:pPr>
              <w:cnfStyle w:val="000000000000" w:firstRow="0" w:lastRow="0" w:firstColumn="0" w:lastColumn="0" w:oddVBand="0" w:evenVBand="0" w:oddHBand="0" w:evenHBand="0" w:firstRowFirstColumn="0" w:firstRowLastColumn="0" w:lastRowFirstColumn="0" w:lastRowLastColumn="0"/>
            </w:pPr>
            <w:r>
              <w:t>25 660</w:t>
            </w:r>
          </w:p>
        </w:tc>
        <w:tc>
          <w:tcPr>
            <w:tcW w:w="794" w:type="dxa"/>
            <w:tcBorders>
              <w:bottom w:val="single" w:sz="12" w:space="0" w:color="auto"/>
            </w:tcBorders>
          </w:tcPr>
          <w:p w14:paraId="70F573FD" w14:textId="77777777" w:rsidR="00AB205D" w:rsidRDefault="00471A3B">
            <w:pPr>
              <w:cnfStyle w:val="000000000000" w:firstRow="0" w:lastRow="0" w:firstColumn="0" w:lastColumn="0" w:oddVBand="0" w:evenVBand="0" w:oddHBand="0" w:evenHBand="0" w:firstRowFirstColumn="0" w:firstRowLastColumn="0" w:lastRowFirstColumn="0" w:lastRowLastColumn="0"/>
            </w:pPr>
            <w:r>
              <w:t>28 667</w:t>
            </w:r>
          </w:p>
        </w:tc>
        <w:tc>
          <w:tcPr>
            <w:tcW w:w="794" w:type="dxa"/>
            <w:tcBorders>
              <w:bottom w:val="single" w:sz="12" w:space="0" w:color="auto"/>
            </w:tcBorders>
          </w:tcPr>
          <w:p w14:paraId="136FB35D" w14:textId="77777777" w:rsidR="00AB205D" w:rsidRDefault="00471A3B">
            <w:pPr>
              <w:cnfStyle w:val="000000000000" w:firstRow="0" w:lastRow="0" w:firstColumn="0" w:lastColumn="0" w:oddVBand="0" w:evenVBand="0" w:oddHBand="0" w:evenHBand="0" w:firstRowFirstColumn="0" w:firstRowLastColumn="0" w:lastRowFirstColumn="0" w:lastRowLastColumn="0"/>
            </w:pPr>
            <w:r>
              <w:t>31 167</w:t>
            </w:r>
          </w:p>
        </w:tc>
        <w:tc>
          <w:tcPr>
            <w:tcW w:w="794" w:type="dxa"/>
            <w:tcBorders>
              <w:bottom w:val="single" w:sz="12" w:space="0" w:color="auto"/>
            </w:tcBorders>
          </w:tcPr>
          <w:p w14:paraId="3F40B367" w14:textId="77777777" w:rsidR="00AB205D" w:rsidRDefault="00471A3B">
            <w:pPr>
              <w:cnfStyle w:val="000000000000" w:firstRow="0" w:lastRow="0" w:firstColumn="0" w:lastColumn="0" w:oddVBand="0" w:evenVBand="0" w:oddHBand="0" w:evenHBand="0" w:firstRowFirstColumn="0" w:firstRowLastColumn="0" w:lastRowFirstColumn="0" w:lastRowLastColumn="0"/>
            </w:pPr>
            <w:r>
              <w:t>33 954</w:t>
            </w:r>
          </w:p>
        </w:tc>
      </w:tr>
    </w:tbl>
    <w:p w14:paraId="21D92924" w14:textId="77777777" w:rsidR="00AB205D" w:rsidRPr="00921F69" w:rsidRDefault="00471A3B">
      <w:pPr>
        <w:pStyle w:val="Note"/>
      </w:pPr>
      <w:r w:rsidRPr="00921F69">
        <w:t>Note:</w:t>
      </w:r>
    </w:p>
    <w:p w14:paraId="230C1FA6" w14:textId="77777777" w:rsidR="00AB205D" w:rsidRDefault="00471A3B">
      <w:pPr>
        <w:pStyle w:val="Note"/>
      </w:pPr>
      <w:r w:rsidRPr="00B249F8">
        <w:t>(a)</w:t>
      </w:r>
      <w:r w:rsidRPr="00B249F8">
        <w:tab/>
      </w:r>
      <w:r w:rsidRPr="00921F69">
        <w:t>Balances represent actual opening balances at 1 July 20</w:t>
      </w:r>
      <w:r>
        <w:t>23</w:t>
      </w:r>
      <w:r w:rsidRPr="00921F69">
        <w:t xml:space="preserve"> plus 20</w:t>
      </w:r>
      <w:r>
        <w:t>23</w:t>
      </w:r>
      <w:r w:rsidRPr="00921F69">
        <w:t>-2</w:t>
      </w:r>
      <w:r>
        <w:t>4</w:t>
      </w:r>
      <w:r w:rsidRPr="00921F69">
        <w:t xml:space="preserve"> budgeted movements.</w:t>
      </w:r>
    </w:p>
    <w:p w14:paraId="2326E76B" w14:textId="77777777" w:rsidR="00AB205D" w:rsidRPr="0016592B" w:rsidRDefault="00471A3B">
      <w:pPr>
        <w:pStyle w:val="TableHeading"/>
        <w:pageBreakBefore/>
      </w:pPr>
      <w:r w:rsidRPr="00921F69">
        <w:lastRenderedPageBreak/>
        <w:t>Table 5.3</w:t>
      </w:r>
      <w:r w:rsidRPr="00921F69">
        <w:tab/>
        <w:t xml:space="preserve">Public non-financial corporations sector cash flow statement </w:t>
      </w:r>
      <w:r>
        <w:br/>
      </w:r>
      <w:r w:rsidRPr="00921F69">
        <w:t>for the financial year ended 30 June</w:t>
      </w:r>
      <w:r w:rsidRPr="00921F69">
        <w:tab/>
        <w:t>($ million)</w:t>
      </w:r>
    </w:p>
    <w:tbl>
      <w:tblPr>
        <w:tblStyle w:val="DTFTableNumeric"/>
        <w:tblW w:w="7710" w:type="dxa"/>
        <w:tblLayout w:type="fixed"/>
        <w:tblLook w:val="06A0" w:firstRow="1" w:lastRow="0" w:firstColumn="1" w:lastColumn="0" w:noHBand="1" w:noVBand="1"/>
        <w:tblDescription w:val="Type:DtfTable|Workbook:Rawdata\BudgetUpdate\Budget Update\Financial Statements\SRIMS exports\SRIMS_BU_UPF_PNFC_PFC.xlsx|Table:PNFC_CF|MergedHeadingRow:1|LastRow:42"/>
      </w:tblPr>
      <w:tblGrid>
        <w:gridCol w:w="3740"/>
        <w:gridCol w:w="794"/>
        <w:gridCol w:w="794"/>
        <w:gridCol w:w="794"/>
        <w:gridCol w:w="794"/>
        <w:gridCol w:w="794"/>
      </w:tblGrid>
      <w:tr w:rsidR="009C6724" w14:paraId="3BFF78D1"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2688AB9F" w14:textId="77777777" w:rsidR="00AB205D" w:rsidRDefault="00AB205D">
            <w:pPr>
              <w:keepNext/>
            </w:pPr>
          </w:p>
        </w:tc>
        <w:tc>
          <w:tcPr>
            <w:tcW w:w="794" w:type="dxa"/>
          </w:tcPr>
          <w:p w14:paraId="642CABA1"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budget</w:t>
            </w:r>
          </w:p>
        </w:tc>
        <w:tc>
          <w:tcPr>
            <w:tcW w:w="794" w:type="dxa"/>
          </w:tcPr>
          <w:p w14:paraId="20C13A86"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revised</w:t>
            </w:r>
          </w:p>
        </w:tc>
        <w:tc>
          <w:tcPr>
            <w:tcW w:w="794" w:type="dxa"/>
          </w:tcPr>
          <w:p w14:paraId="2FEEE3E6"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r>
              <w:br/>
              <w:t>estimate</w:t>
            </w:r>
          </w:p>
        </w:tc>
        <w:tc>
          <w:tcPr>
            <w:tcW w:w="794" w:type="dxa"/>
          </w:tcPr>
          <w:p w14:paraId="7AA9B163"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5B072411"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r>
      <w:tr w:rsidR="009C6724" w14:paraId="11919D0B"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52CABF31" w14:textId="77777777" w:rsidR="00AB205D" w:rsidRDefault="00471A3B">
            <w:r>
              <w:rPr>
                <w:b/>
              </w:rPr>
              <w:t>Cash flows from operating activities</w:t>
            </w:r>
          </w:p>
        </w:tc>
        <w:tc>
          <w:tcPr>
            <w:tcW w:w="794" w:type="dxa"/>
          </w:tcPr>
          <w:p w14:paraId="4715AFC4"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2604BA70"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1E711210"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72CEAC34"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7DB13029"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3B05C190"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1A42641F" w14:textId="77777777" w:rsidR="00AB205D" w:rsidRDefault="00471A3B">
            <w:r>
              <w:rPr>
                <w:b/>
              </w:rPr>
              <w:t>Receipts</w:t>
            </w:r>
          </w:p>
        </w:tc>
        <w:tc>
          <w:tcPr>
            <w:tcW w:w="794" w:type="dxa"/>
          </w:tcPr>
          <w:p w14:paraId="0007CACA"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45FB4C79"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54B1946D"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B97F23D"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4F34E36E"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2A373485"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66DF798B" w14:textId="77777777" w:rsidR="00AB205D" w:rsidRDefault="00471A3B">
            <w:r>
              <w:t>Grants</w:t>
            </w:r>
          </w:p>
        </w:tc>
        <w:tc>
          <w:tcPr>
            <w:tcW w:w="794" w:type="dxa"/>
          </w:tcPr>
          <w:p w14:paraId="2646A73C" w14:textId="77777777" w:rsidR="00AB205D" w:rsidRDefault="00471A3B">
            <w:pPr>
              <w:cnfStyle w:val="000000000000" w:firstRow="0" w:lastRow="0" w:firstColumn="0" w:lastColumn="0" w:oddVBand="0" w:evenVBand="0" w:oddHBand="0" w:evenHBand="0" w:firstRowFirstColumn="0" w:firstRowLastColumn="0" w:lastRowFirstColumn="0" w:lastRowLastColumn="0"/>
            </w:pPr>
            <w:r>
              <w:t>2 012</w:t>
            </w:r>
          </w:p>
        </w:tc>
        <w:tc>
          <w:tcPr>
            <w:tcW w:w="794" w:type="dxa"/>
          </w:tcPr>
          <w:p w14:paraId="7F8A652F" w14:textId="77777777" w:rsidR="00AB205D" w:rsidRDefault="00471A3B">
            <w:pPr>
              <w:cnfStyle w:val="000000000000" w:firstRow="0" w:lastRow="0" w:firstColumn="0" w:lastColumn="0" w:oddVBand="0" w:evenVBand="0" w:oddHBand="0" w:evenHBand="0" w:firstRowFirstColumn="0" w:firstRowLastColumn="0" w:lastRowFirstColumn="0" w:lastRowLastColumn="0"/>
            </w:pPr>
            <w:r>
              <w:t>2 437</w:t>
            </w:r>
          </w:p>
        </w:tc>
        <w:tc>
          <w:tcPr>
            <w:tcW w:w="794" w:type="dxa"/>
          </w:tcPr>
          <w:p w14:paraId="7B58CBB5" w14:textId="77777777" w:rsidR="00AB205D" w:rsidRDefault="00471A3B">
            <w:pPr>
              <w:cnfStyle w:val="000000000000" w:firstRow="0" w:lastRow="0" w:firstColumn="0" w:lastColumn="0" w:oddVBand="0" w:evenVBand="0" w:oddHBand="0" w:evenHBand="0" w:firstRowFirstColumn="0" w:firstRowLastColumn="0" w:lastRowFirstColumn="0" w:lastRowLastColumn="0"/>
            </w:pPr>
            <w:r>
              <w:t>1 892</w:t>
            </w:r>
          </w:p>
        </w:tc>
        <w:tc>
          <w:tcPr>
            <w:tcW w:w="794" w:type="dxa"/>
          </w:tcPr>
          <w:p w14:paraId="188BE6E7" w14:textId="77777777" w:rsidR="00AB205D" w:rsidRDefault="00471A3B">
            <w:pPr>
              <w:cnfStyle w:val="000000000000" w:firstRow="0" w:lastRow="0" w:firstColumn="0" w:lastColumn="0" w:oddVBand="0" w:evenVBand="0" w:oddHBand="0" w:evenHBand="0" w:firstRowFirstColumn="0" w:firstRowLastColumn="0" w:lastRowFirstColumn="0" w:lastRowLastColumn="0"/>
            </w:pPr>
            <w:r>
              <w:t>1 790</w:t>
            </w:r>
          </w:p>
        </w:tc>
        <w:tc>
          <w:tcPr>
            <w:tcW w:w="794" w:type="dxa"/>
          </w:tcPr>
          <w:p w14:paraId="4A25E10B" w14:textId="77777777" w:rsidR="00AB205D" w:rsidRDefault="00471A3B">
            <w:pPr>
              <w:cnfStyle w:val="000000000000" w:firstRow="0" w:lastRow="0" w:firstColumn="0" w:lastColumn="0" w:oddVBand="0" w:evenVBand="0" w:oddHBand="0" w:evenHBand="0" w:firstRowFirstColumn="0" w:firstRowLastColumn="0" w:lastRowFirstColumn="0" w:lastRowLastColumn="0"/>
            </w:pPr>
            <w:r>
              <w:t>1 743</w:t>
            </w:r>
          </w:p>
        </w:tc>
      </w:tr>
      <w:tr w:rsidR="009C6724" w14:paraId="01723A80"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2E69DC5" w14:textId="77777777" w:rsidR="00AB205D" w:rsidRDefault="00471A3B">
            <w:r>
              <w:t>Sales of goods and services</w:t>
            </w:r>
            <w:r>
              <w:rPr>
                <w:vertAlign w:val="superscript"/>
              </w:rPr>
              <w:t xml:space="preserve"> (a)</w:t>
            </w:r>
          </w:p>
        </w:tc>
        <w:tc>
          <w:tcPr>
            <w:tcW w:w="794" w:type="dxa"/>
          </w:tcPr>
          <w:p w14:paraId="043F650A" w14:textId="77777777" w:rsidR="00AB205D" w:rsidRDefault="00471A3B">
            <w:pPr>
              <w:cnfStyle w:val="000000000000" w:firstRow="0" w:lastRow="0" w:firstColumn="0" w:lastColumn="0" w:oddVBand="0" w:evenVBand="0" w:oddHBand="0" w:evenHBand="0" w:firstRowFirstColumn="0" w:firstRowLastColumn="0" w:lastRowFirstColumn="0" w:lastRowLastColumn="0"/>
            </w:pPr>
            <w:r>
              <w:t>7 808</w:t>
            </w:r>
          </w:p>
        </w:tc>
        <w:tc>
          <w:tcPr>
            <w:tcW w:w="794" w:type="dxa"/>
          </w:tcPr>
          <w:p w14:paraId="0F13D547" w14:textId="77777777" w:rsidR="00AB205D" w:rsidRDefault="00471A3B">
            <w:pPr>
              <w:cnfStyle w:val="000000000000" w:firstRow="0" w:lastRow="0" w:firstColumn="0" w:lastColumn="0" w:oddVBand="0" w:evenVBand="0" w:oddHBand="0" w:evenHBand="0" w:firstRowFirstColumn="0" w:firstRowLastColumn="0" w:lastRowFirstColumn="0" w:lastRowLastColumn="0"/>
            </w:pPr>
            <w:r>
              <w:t>7 669</w:t>
            </w:r>
          </w:p>
        </w:tc>
        <w:tc>
          <w:tcPr>
            <w:tcW w:w="794" w:type="dxa"/>
          </w:tcPr>
          <w:p w14:paraId="06E9B174" w14:textId="77777777" w:rsidR="00AB205D" w:rsidRDefault="00471A3B">
            <w:pPr>
              <w:cnfStyle w:val="000000000000" w:firstRow="0" w:lastRow="0" w:firstColumn="0" w:lastColumn="0" w:oddVBand="0" w:evenVBand="0" w:oddHBand="0" w:evenHBand="0" w:firstRowFirstColumn="0" w:firstRowLastColumn="0" w:lastRowFirstColumn="0" w:lastRowLastColumn="0"/>
            </w:pPr>
            <w:r>
              <w:t>8 412</w:t>
            </w:r>
          </w:p>
        </w:tc>
        <w:tc>
          <w:tcPr>
            <w:tcW w:w="794" w:type="dxa"/>
          </w:tcPr>
          <w:p w14:paraId="4E496C82" w14:textId="77777777" w:rsidR="00AB205D" w:rsidRDefault="00471A3B">
            <w:pPr>
              <w:cnfStyle w:val="000000000000" w:firstRow="0" w:lastRow="0" w:firstColumn="0" w:lastColumn="0" w:oddVBand="0" w:evenVBand="0" w:oddHBand="0" w:evenHBand="0" w:firstRowFirstColumn="0" w:firstRowLastColumn="0" w:lastRowFirstColumn="0" w:lastRowLastColumn="0"/>
            </w:pPr>
            <w:r>
              <w:t>8 593</w:t>
            </w:r>
          </w:p>
        </w:tc>
        <w:tc>
          <w:tcPr>
            <w:tcW w:w="794" w:type="dxa"/>
          </w:tcPr>
          <w:p w14:paraId="71D487FF" w14:textId="77777777" w:rsidR="00AB205D" w:rsidRDefault="00471A3B">
            <w:pPr>
              <w:cnfStyle w:val="000000000000" w:firstRow="0" w:lastRow="0" w:firstColumn="0" w:lastColumn="0" w:oddVBand="0" w:evenVBand="0" w:oddHBand="0" w:evenHBand="0" w:firstRowFirstColumn="0" w:firstRowLastColumn="0" w:lastRowFirstColumn="0" w:lastRowLastColumn="0"/>
            </w:pPr>
            <w:r>
              <w:t>9 611</w:t>
            </w:r>
          </w:p>
        </w:tc>
      </w:tr>
      <w:tr w:rsidR="009C6724" w14:paraId="1299162E"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163AF387" w14:textId="77777777" w:rsidR="00AB205D" w:rsidRDefault="00471A3B">
            <w:r>
              <w:t>Interest received</w:t>
            </w:r>
          </w:p>
        </w:tc>
        <w:tc>
          <w:tcPr>
            <w:tcW w:w="794" w:type="dxa"/>
          </w:tcPr>
          <w:p w14:paraId="6E9D5044" w14:textId="77777777" w:rsidR="00AB205D" w:rsidRDefault="00471A3B">
            <w:pPr>
              <w:cnfStyle w:val="000000000000" w:firstRow="0" w:lastRow="0" w:firstColumn="0" w:lastColumn="0" w:oddVBand="0" w:evenVBand="0" w:oddHBand="0" w:evenHBand="0" w:firstRowFirstColumn="0" w:firstRowLastColumn="0" w:lastRowFirstColumn="0" w:lastRowLastColumn="0"/>
            </w:pPr>
            <w:r>
              <w:t>125</w:t>
            </w:r>
          </w:p>
        </w:tc>
        <w:tc>
          <w:tcPr>
            <w:tcW w:w="794" w:type="dxa"/>
          </w:tcPr>
          <w:p w14:paraId="241D3E53" w14:textId="77777777" w:rsidR="00AB205D" w:rsidRDefault="00471A3B">
            <w:pPr>
              <w:cnfStyle w:val="000000000000" w:firstRow="0" w:lastRow="0" w:firstColumn="0" w:lastColumn="0" w:oddVBand="0" w:evenVBand="0" w:oddHBand="0" w:evenHBand="0" w:firstRowFirstColumn="0" w:firstRowLastColumn="0" w:lastRowFirstColumn="0" w:lastRowLastColumn="0"/>
            </w:pPr>
            <w:r>
              <w:t>31</w:t>
            </w:r>
          </w:p>
        </w:tc>
        <w:tc>
          <w:tcPr>
            <w:tcW w:w="794" w:type="dxa"/>
          </w:tcPr>
          <w:p w14:paraId="10ECAA88" w14:textId="77777777" w:rsidR="00AB205D" w:rsidRDefault="00471A3B">
            <w:pPr>
              <w:cnfStyle w:val="000000000000" w:firstRow="0" w:lastRow="0" w:firstColumn="0" w:lastColumn="0" w:oddVBand="0" w:evenVBand="0" w:oddHBand="0" w:evenHBand="0" w:firstRowFirstColumn="0" w:firstRowLastColumn="0" w:lastRowFirstColumn="0" w:lastRowLastColumn="0"/>
            </w:pPr>
            <w:r>
              <w:t>20</w:t>
            </w:r>
          </w:p>
        </w:tc>
        <w:tc>
          <w:tcPr>
            <w:tcW w:w="794" w:type="dxa"/>
          </w:tcPr>
          <w:p w14:paraId="6256D59B" w14:textId="77777777" w:rsidR="00AB205D" w:rsidRDefault="00471A3B">
            <w:pPr>
              <w:cnfStyle w:val="000000000000" w:firstRow="0" w:lastRow="0" w:firstColumn="0" w:lastColumn="0" w:oddVBand="0" w:evenVBand="0" w:oddHBand="0" w:evenHBand="0" w:firstRowFirstColumn="0" w:firstRowLastColumn="0" w:lastRowFirstColumn="0" w:lastRowLastColumn="0"/>
            </w:pPr>
            <w:r>
              <w:t>19</w:t>
            </w:r>
          </w:p>
        </w:tc>
        <w:tc>
          <w:tcPr>
            <w:tcW w:w="794" w:type="dxa"/>
          </w:tcPr>
          <w:p w14:paraId="384D8FF9" w14:textId="77777777" w:rsidR="00AB205D" w:rsidRDefault="00471A3B">
            <w:pPr>
              <w:cnfStyle w:val="000000000000" w:firstRow="0" w:lastRow="0" w:firstColumn="0" w:lastColumn="0" w:oddVBand="0" w:evenVBand="0" w:oddHBand="0" w:evenHBand="0" w:firstRowFirstColumn="0" w:firstRowLastColumn="0" w:lastRowFirstColumn="0" w:lastRowLastColumn="0"/>
            </w:pPr>
            <w:r>
              <w:t>20</w:t>
            </w:r>
          </w:p>
        </w:tc>
      </w:tr>
      <w:tr w:rsidR="009C6724" w14:paraId="17B8DCF3"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15F4AA92" w14:textId="77777777" w:rsidR="00AB205D" w:rsidRDefault="00471A3B">
            <w:r>
              <w:t>Dividend receipts</w:t>
            </w:r>
          </w:p>
        </w:tc>
        <w:tc>
          <w:tcPr>
            <w:tcW w:w="794" w:type="dxa"/>
          </w:tcPr>
          <w:p w14:paraId="66405DEE" w14:textId="77777777" w:rsidR="00AB205D" w:rsidRDefault="00471A3B">
            <w:pPr>
              <w:cnfStyle w:val="000000000000" w:firstRow="0" w:lastRow="0" w:firstColumn="0" w:lastColumn="0" w:oddVBand="0" w:evenVBand="0" w:oddHBand="0" w:evenHBand="0" w:firstRowFirstColumn="0" w:firstRowLastColumn="0" w:lastRowFirstColumn="0" w:lastRowLastColumn="0"/>
            </w:pPr>
            <w:r>
              <w:t>32</w:t>
            </w:r>
          </w:p>
        </w:tc>
        <w:tc>
          <w:tcPr>
            <w:tcW w:w="794" w:type="dxa"/>
          </w:tcPr>
          <w:p w14:paraId="4E606AD2" w14:textId="77777777" w:rsidR="00AB205D" w:rsidRDefault="00471A3B">
            <w:pPr>
              <w:cnfStyle w:val="000000000000" w:firstRow="0" w:lastRow="0" w:firstColumn="0" w:lastColumn="0" w:oddVBand="0" w:evenVBand="0" w:oddHBand="0" w:evenHBand="0" w:firstRowFirstColumn="0" w:firstRowLastColumn="0" w:lastRowFirstColumn="0" w:lastRowLastColumn="0"/>
            </w:pPr>
            <w:r>
              <w:t>27</w:t>
            </w:r>
          </w:p>
        </w:tc>
        <w:tc>
          <w:tcPr>
            <w:tcW w:w="794" w:type="dxa"/>
          </w:tcPr>
          <w:p w14:paraId="63EEE1B0" w14:textId="77777777" w:rsidR="00AB205D" w:rsidRDefault="00471A3B">
            <w:pPr>
              <w:cnfStyle w:val="000000000000" w:firstRow="0" w:lastRow="0" w:firstColumn="0" w:lastColumn="0" w:oddVBand="0" w:evenVBand="0" w:oddHBand="0" w:evenHBand="0" w:firstRowFirstColumn="0" w:firstRowLastColumn="0" w:lastRowFirstColumn="0" w:lastRowLastColumn="0"/>
            </w:pPr>
            <w:r>
              <w:t>26</w:t>
            </w:r>
          </w:p>
        </w:tc>
        <w:tc>
          <w:tcPr>
            <w:tcW w:w="794" w:type="dxa"/>
          </w:tcPr>
          <w:p w14:paraId="5E551040" w14:textId="77777777" w:rsidR="00AB205D" w:rsidRDefault="00471A3B">
            <w:pPr>
              <w:cnfStyle w:val="000000000000" w:firstRow="0" w:lastRow="0" w:firstColumn="0" w:lastColumn="0" w:oddVBand="0" w:evenVBand="0" w:oddHBand="0" w:evenHBand="0" w:firstRowFirstColumn="0" w:firstRowLastColumn="0" w:lastRowFirstColumn="0" w:lastRowLastColumn="0"/>
            </w:pPr>
            <w:r>
              <w:t>33</w:t>
            </w:r>
          </w:p>
        </w:tc>
        <w:tc>
          <w:tcPr>
            <w:tcW w:w="794" w:type="dxa"/>
          </w:tcPr>
          <w:p w14:paraId="005D5600" w14:textId="77777777" w:rsidR="00AB205D" w:rsidRDefault="00471A3B">
            <w:pPr>
              <w:cnfStyle w:val="000000000000" w:firstRow="0" w:lastRow="0" w:firstColumn="0" w:lastColumn="0" w:oddVBand="0" w:evenVBand="0" w:oddHBand="0" w:evenHBand="0" w:firstRowFirstColumn="0" w:firstRowLastColumn="0" w:lastRowFirstColumn="0" w:lastRowLastColumn="0"/>
            </w:pPr>
            <w:r>
              <w:t>33</w:t>
            </w:r>
          </w:p>
        </w:tc>
      </w:tr>
      <w:tr w:rsidR="009C6724" w14:paraId="0B1A60A4"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2A010A6E" w14:textId="77777777" w:rsidR="00AB205D" w:rsidRDefault="00471A3B">
            <w:r>
              <w:t>Other receipts</w:t>
            </w:r>
          </w:p>
        </w:tc>
        <w:tc>
          <w:tcPr>
            <w:tcW w:w="794" w:type="dxa"/>
            <w:tcBorders>
              <w:bottom w:val="single" w:sz="6" w:space="0" w:color="auto"/>
            </w:tcBorders>
          </w:tcPr>
          <w:p w14:paraId="04F9EFFE" w14:textId="77777777" w:rsidR="00AB205D" w:rsidRDefault="00471A3B">
            <w:pPr>
              <w:cnfStyle w:val="000000000000" w:firstRow="0" w:lastRow="0" w:firstColumn="0" w:lastColumn="0" w:oddVBand="0" w:evenVBand="0" w:oddHBand="0" w:evenHBand="0" w:firstRowFirstColumn="0" w:firstRowLastColumn="0" w:lastRowFirstColumn="0" w:lastRowLastColumn="0"/>
            </w:pPr>
            <w:r>
              <w:t>273</w:t>
            </w:r>
          </w:p>
        </w:tc>
        <w:tc>
          <w:tcPr>
            <w:tcW w:w="794" w:type="dxa"/>
            <w:tcBorders>
              <w:bottom w:val="single" w:sz="6" w:space="0" w:color="auto"/>
            </w:tcBorders>
          </w:tcPr>
          <w:p w14:paraId="03789AA6" w14:textId="77777777" w:rsidR="00AB205D" w:rsidRDefault="00471A3B">
            <w:pPr>
              <w:cnfStyle w:val="000000000000" w:firstRow="0" w:lastRow="0" w:firstColumn="0" w:lastColumn="0" w:oddVBand="0" w:evenVBand="0" w:oddHBand="0" w:evenHBand="0" w:firstRowFirstColumn="0" w:firstRowLastColumn="0" w:lastRowFirstColumn="0" w:lastRowLastColumn="0"/>
            </w:pPr>
            <w:r>
              <w:t>478</w:t>
            </w:r>
          </w:p>
        </w:tc>
        <w:tc>
          <w:tcPr>
            <w:tcW w:w="794" w:type="dxa"/>
            <w:tcBorders>
              <w:bottom w:val="single" w:sz="6" w:space="0" w:color="auto"/>
            </w:tcBorders>
          </w:tcPr>
          <w:p w14:paraId="44D18EB2" w14:textId="77777777" w:rsidR="00AB205D" w:rsidRDefault="00471A3B">
            <w:pPr>
              <w:cnfStyle w:val="000000000000" w:firstRow="0" w:lastRow="0" w:firstColumn="0" w:lastColumn="0" w:oddVBand="0" w:evenVBand="0" w:oddHBand="0" w:evenHBand="0" w:firstRowFirstColumn="0" w:firstRowLastColumn="0" w:lastRowFirstColumn="0" w:lastRowLastColumn="0"/>
            </w:pPr>
            <w:r>
              <w:t>383</w:t>
            </w:r>
          </w:p>
        </w:tc>
        <w:tc>
          <w:tcPr>
            <w:tcW w:w="794" w:type="dxa"/>
            <w:tcBorders>
              <w:bottom w:val="single" w:sz="6" w:space="0" w:color="auto"/>
            </w:tcBorders>
          </w:tcPr>
          <w:p w14:paraId="365C2BF0" w14:textId="77777777" w:rsidR="00AB205D" w:rsidRDefault="00471A3B">
            <w:pPr>
              <w:cnfStyle w:val="000000000000" w:firstRow="0" w:lastRow="0" w:firstColumn="0" w:lastColumn="0" w:oddVBand="0" w:evenVBand="0" w:oddHBand="0" w:evenHBand="0" w:firstRowFirstColumn="0" w:firstRowLastColumn="0" w:lastRowFirstColumn="0" w:lastRowLastColumn="0"/>
            </w:pPr>
            <w:r>
              <w:t>399</w:t>
            </w:r>
          </w:p>
        </w:tc>
        <w:tc>
          <w:tcPr>
            <w:tcW w:w="794" w:type="dxa"/>
            <w:tcBorders>
              <w:bottom w:val="single" w:sz="6" w:space="0" w:color="auto"/>
            </w:tcBorders>
          </w:tcPr>
          <w:p w14:paraId="090E77E6" w14:textId="77777777" w:rsidR="00AB205D" w:rsidRDefault="00471A3B">
            <w:pPr>
              <w:cnfStyle w:val="000000000000" w:firstRow="0" w:lastRow="0" w:firstColumn="0" w:lastColumn="0" w:oddVBand="0" w:evenVBand="0" w:oddHBand="0" w:evenHBand="0" w:firstRowFirstColumn="0" w:firstRowLastColumn="0" w:lastRowFirstColumn="0" w:lastRowLastColumn="0"/>
            </w:pPr>
            <w:r>
              <w:t>424</w:t>
            </w:r>
          </w:p>
        </w:tc>
      </w:tr>
      <w:tr w:rsidR="009C6724" w14:paraId="18342158"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0DFA1BE5" w14:textId="77777777" w:rsidR="00AB205D" w:rsidRDefault="00471A3B">
            <w:r>
              <w:rPr>
                <w:b/>
              </w:rPr>
              <w:t>Total receipts</w:t>
            </w:r>
          </w:p>
        </w:tc>
        <w:tc>
          <w:tcPr>
            <w:tcW w:w="794" w:type="dxa"/>
            <w:tcBorders>
              <w:top w:val="single" w:sz="6" w:space="0" w:color="auto"/>
            </w:tcBorders>
          </w:tcPr>
          <w:p w14:paraId="4F0CC90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10 250</w:t>
            </w:r>
          </w:p>
        </w:tc>
        <w:tc>
          <w:tcPr>
            <w:tcW w:w="794" w:type="dxa"/>
            <w:tcBorders>
              <w:top w:val="single" w:sz="6" w:space="0" w:color="auto"/>
            </w:tcBorders>
          </w:tcPr>
          <w:p w14:paraId="3888EB2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10 642</w:t>
            </w:r>
          </w:p>
        </w:tc>
        <w:tc>
          <w:tcPr>
            <w:tcW w:w="794" w:type="dxa"/>
            <w:tcBorders>
              <w:top w:val="single" w:sz="6" w:space="0" w:color="auto"/>
            </w:tcBorders>
          </w:tcPr>
          <w:p w14:paraId="77B240A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10 733</w:t>
            </w:r>
          </w:p>
        </w:tc>
        <w:tc>
          <w:tcPr>
            <w:tcW w:w="794" w:type="dxa"/>
            <w:tcBorders>
              <w:top w:val="single" w:sz="6" w:space="0" w:color="auto"/>
            </w:tcBorders>
          </w:tcPr>
          <w:p w14:paraId="0C67792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10 833</w:t>
            </w:r>
          </w:p>
        </w:tc>
        <w:tc>
          <w:tcPr>
            <w:tcW w:w="794" w:type="dxa"/>
            <w:tcBorders>
              <w:top w:val="single" w:sz="6" w:space="0" w:color="auto"/>
            </w:tcBorders>
          </w:tcPr>
          <w:p w14:paraId="789F740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11 831</w:t>
            </w:r>
          </w:p>
        </w:tc>
      </w:tr>
      <w:tr w:rsidR="009C6724" w14:paraId="0C759679"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2EFE1F2" w14:textId="77777777" w:rsidR="00AB205D" w:rsidRDefault="00471A3B">
            <w:r>
              <w:rPr>
                <w:b/>
              </w:rPr>
              <w:t>Payments</w:t>
            </w:r>
          </w:p>
        </w:tc>
        <w:tc>
          <w:tcPr>
            <w:tcW w:w="794" w:type="dxa"/>
          </w:tcPr>
          <w:p w14:paraId="67BBC47F"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296E3632"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421F1E3"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25493D26"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5BBB0AD"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26A404E9"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161A4739" w14:textId="77777777" w:rsidR="00AB205D" w:rsidRDefault="00471A3B">
            <w:r>
              <w:t>Payments for employees</w:t>
            </w:r>
          </w:p>
        </w:tc>
        <w:tc>
          <w:tcPr>
            <w:tcW w:w="794" w:type="dxa"/>
          </w:tcPr>
          <w:p w14:paraId="092B1014" w14:textId="77777777" w:rsidR="00AB205D" w:rsidRDefault="00471A3B">
            <w:pPr>
              <w:cnfStyle w:val="000000000000" w:firstRow="0" w:lastRow="0" w:firstColumn="0" w:lastColumn="0" w:oddVBand="0" w:evenVBand="0" w:oddHBand="0" w:evenHBand="0" w:firstRowFirstColumn="0" w:firstRowLastColumn="0" w:lastRowFirstColumn="0" w:lastRowLastColumn="0"/>
            </w:pPr>
            <w:r>
              <w:t>(1 689)</w:t>
            </w:r>
          </w:p>
        </w:tc>
        <w:tc>
          <w:tcPr>
            <w:tcW w:w="794" w:type="dxa"/>
          </w:tcPr>
          <w:p w14:paraId="541495D9" w14:textId="77777777" w:rsidR="00AB205D" w:rsidRDefault="00471A3B">
            <w:pPr>
              <w:cnfStyle w:val="000000000000" w:firstRow="0" w:lastRow="0" w:firstColumn="0" w:lastColumn="0" w:oddVBand="0" w:evenVBand="0" w:oddHBand="0" w:evenHBand="0" w:firstRowFirstColumn="0" w:firstRowLastColumn="0" w:lastRowFirstColumn="0" w:lastRowLastColumn="0"/>
            </w:pPr>
            <w:r>
              <w:t>(1 896)</w:t>
            </w:r>
          </w:p>
        </w:tc>
        <w:tc>
          <w:tcPr>
            <w:tcW w:w="794" w:type="dxa"/>
          </w:tcPr>
          <w:p w14:paraId="34C583B8" w14:textId="77777777" w:rsidR="00AB205D" w:rsidRDefault="00471A3B">
            <w:pPr>
              <w:cnfStyle w:val="000000000000" w:firstRow="0" w:lastRow="0" w:firstColumn="0" w:lastColumn="0" w:oddVBand="0" w:evenVBand="0" w:oddHBand="0" w:evenHBand="0" w:firstRowFirstColumn="0" w:firstRowLastColumn="0" w:lastRowFirstColumn="0" w:lastRowLastColumn="0"/>
            </w:pPr>
            <w:r>
              <w:t>(1 833)</w:t>
            </w:r>
          </w:p>
        </w:tc>
        <w:tc>
          <w:tcPr>
            <w:tcW w:w="794" w:type="dxa"/>
          </w:tcPr>
          <w:p w14:paraId="185AF42D" w14:textId="77777777" w:rsidR="00AB205D" w:rsidRDefault="00471A3B">
            <w:pPr>
              <w:cnfStyle w:val="000000000000" w:firstRow="0" w:lastRow="0" w:firstColumn="0" w:lastColumn="0" w:oddVBand="0" w:evenVBand="0" w:oddHBand="0" w:evenHBand="0" w:firstRowFirstColumn="0" w:firstRowLastColumn="0" w:lastRowFirstColumn="0" w:lastRowLastColumn="0"/>
            </w:pPr>
            <w:r>
              <w:t>(1 796)</w:t>
            </w:r>
          </w:p>
        </w:tc>
        <w:tc>
          <w:tcPr>
            <w:tcW w:w="794" w:type="dxa"/>
          </w:tcPr>
          <w:p w14:paraId="74561D03" w14:textId="77777777" w:rsidR="00AB205D" w:rsidRDefault="00471A3B">
            <w:pPr>
              <w:cnfStyle w:val="000000000000" w:firstRow="0" w:lastRow="0" w:firstColumn="0" w:lastColumn="0" w:oddVBand="0" w:evenVBand="0" w:oddHBand="0" w:evenHBand="0" w:firstRowFirstColumn="0" w:firstRowLastColumn="0" w:lastRowFirstColumn="0" w:lastRowLastColumn="0"/>
            </w:pPr>
            <w:r>
              <w:t>(1 851)</w:t>
            </w:r>
          </w:p>
        </w:tc>
      </w:tr>
      <w:tr w:rsidR="009C6724" w14:paraId="0AF3AA44"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7D5D2C31" w14:textId="77777777" w:rsidR="00AB205D" w:rsidRDefault="00471A3B">
            <w:r>
              <w:t>Superannuation</w:t>
            </w:r>
          </w:p>
        </w:tc>
        <w:tc>
          <w:tcPr>
            <w:tcW w:w="794" w:type="dxa"/>
          </w:tcPr>
          <w:p w14:paraId="7A7553ED" w14:textId="77777777" w:rsidR="00AB205D" w:rsidRDefault="00471A3B">
            <w:pPr>
              <w:cnfStyle w:val="000000000000" w:firstRow="0" w:lastRow="0" w:firstColumn="0" w:lastColumn="0" w:oddVBand="0" w:evenVBand="0" w:oddHBand="0" w:evenHBand="0" w:firstRowFirstColumn="0" w:firstRowLastColumn="0" w:lastRowFirstColumn="0" w:lastRowLastColumn="0"/>
            </w:pPr>
            <w:r>
              <w:t>(168)</w:t>
            </w:r>
          </w:p>
        </w:tc>
        <w:tc>
          <w:tcPr>
            <w:tcW w:w="794" w:type="dxa"/>
          </w:tcPr>
          <w:p w14:paraId="02219C52" w14:textId="77777777" w:rsidR="00AB205D" w:rsidRDefault="00471A3B">
            <w:pPr>
              <w:cnfStyle w:val="000000000000" w:firstRow="0" w:lastRow="0" w:firstColumn="0" w:lastColumn="0" w:oddVBand="0" w:evenVBand="0" w:oddHBand="0" w:evenHBand="0" w:firstRowFirstColumn="0" w:firstRowLastColumn="0" w:lastRowFirstColumn="0" w:lastRowLastColumn="0"/>
            </w:pPr>
            <w:r>
              <w:t>(198)</w:t>
            </w:r>
          </w:p>
        </w:tc>
        <w:tc>
          <w:tcPr>
            <w:tcW w:w="794" w:type="dxa"/>
          </w:tcPr>
          <w:p w14:paraId="5E769495" w14:textId="77777777" w:rsidR="00AB205D" w:rsidRDefault="00471A3B">
            <w:pPr>
              <w:cnfStyle w:val="000000000000" w:firstRow="0" w:lastRow="0" w:firstColumn="0" w:lastColumn="0" w:oddVBand="0" w:evenVBand="0" w:oddHBand="0" w:evenHBand="0" w:firstRowFirstColumn="0" w:firstRowLastColumn="0" w:lastRowFirstColumn="0" w:lastRowLastColumn="0"/>
            </w:pPr>
            <w:r>
              <w:t>(211)</w:t>
            </w:r>
          </w:p>
        </w:tc>
        <w:tc>
          <w:tcPr>
            <w:tcW w:w="794" w:type="dxa"/>
          </w:tcPr>
          <w:p w14:paraId="062F0B13" w14:textId="77777777" w:rsidR="00AB205D" w:rsidRDefault="00471A3B">
            <w:pPr>
              <w:cnfStyle w:val="000000000000" w:firstRow="0" w:lastRow="0" w:firstColumn="0" w:lastColumn="0" w:oddVBand="0" w:evenVBand="0" w:oddHBand="0" w:evenHBand="0" w:firstRowFirstColumn="0" w:firstRowLastColumn="0" w:lastRowFirstColumn="0" w:lastRowLastColumn="0"/>
            </w:pPr>
            <w:r>
              <w:t>(221)</w:t>
            </w:r>
          </w:p>
        </w:tc>
        <w:tc>
          <w:tcPr>
            <w:tcW w:w="794" w:type="dxa"/>
          </w:tcPr>
          <w:p w14:paraId="55C89472" w14:textId="77777777" w:rsidR="00AB205D" w:rsidRDefault="00471A3B">
            <w:pPr>
              <w:cnfStyle w:val="000000000000" w:firstRow="0" w:lastRow="0" w:firstColumn="0" w:lastColumn="0" w:oddVBand="0" w:evenVBand="0" w:oddHBand="0" w:evenHBand="0" w:firstRowFirstColumn="0" w:firstRowLastColumn="0" w:lastRowFirstColumn="0" w:lastRowLastColumn="0"/>
            </w:pPr>
            <w:r>
              <w:t>(227)</w:t>
            </w:r>
          </w:p>
        </w:tc>
      </w:tr>
      <w:tr w:rsidR="009C6724" w14:paraId="4E65E1F7"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0D7A5CE" w14:textId="77777777" w:rsidR="00AB205D" w:rsidRDefault="00471A3B">
            <w:r>
              <w:t>Interest paid</w:t>
            </w:r>
          </w:p>
        </w:tc>
        <w:tc>
          <w:tcPr>
            <w:tcW w:w="794" w:type="dxa"/>
          </w:tcPr>
          <w:p w14:paraId="2C00A508" w14:textId="77777777" w:rsidR="00AB205D" w:rsidRDefault="00471A3B">
            <w:pPr>
              <w:cnfStyle w:val="000000000000" w:firstRow="0" w:lastRow="0" w:firstColumn="0" w:lastColumn="0" w:oddVBand="0" w:evenVBand="0" w:oddHBand="0" w:evenHBand="0" w:firstRowFirstColumn="0" w:firstRowLastColumn="0" w:lastRowFirstColumn="0" w:lastRowLastColumn="0"/>
            </w:pPr>
            <w:r>
              <w:t>(960)</w:t>
            </w:r>
          </w:p>
        </w:tc>
        <w:tc>
          <w:tcPr>
            <w:tcW w:w="794" w:type="dxa"/>
          </w:tcPr>
          <w:p w14:paraId="2FC7EB8A" w14:textId="77777777" w:rsidR="00AB205D" w:rsidRDefault="00471A3B">
            <w:pPr>
              <w:cnfStyle w:val="000000000000" w:firstRow="0" w:lastRow="0" w:firstColumn="0" w:lastColumn="0" w:oddVBand="0" w:evenVBand="0" w:oddHBand="0" w:evenHBand="0" w:firstRowFirstColumn="0" w:firstRowLastColumn="0" w:lastRowFirstColumn="0" w:lastRowLastColumn="0"/>
            </w:pPr>
            <w:r>
              <w:t>(925)</w:t>
            </w:r>
          </w:p>
        </w:tc>
        <w:tc>
          <w:tcPr>
            <w:tcW w:w="794" w:type="dxa"/>
          </w:tcPr>
          <w:p w14:paraId="23A3D97D" w14:textId="77777777" w:rsidR="00AB205D" w:rsidRDefault="00471A3B">
            <w:pPr>
              <w:cnfStyle w:val="000000000000" w:firstRow="0" w:lastRow="0" w:firstColumn="0" w:lastColumn="0" w:oddVBand="0" w:evenVBand="0" w:oddHBand="0" w:evenHBand="0" w:firstRowFirstColumn="0" w:firstRowLastColumn="0" w:lastRowFirstColumn="0" w:lastRowLastColumn="0"/>
            </w:pPr>
            <w:r>
              <w:t>(1 041)</w:t>
            </w:r>
          </w:p>
        </w:tc>
        <w:tc>
          <w:tcPr>
            <w:tcW w:w="794" w:type="dxa"/>
          </w:tcPr>
          <w:p w14:paraId="5FDB4768" w14:textId="77777777" w:rsidR="00AB205D" w:rsidRDefault="00471A3B">
            <w:pPr>
              <w:cnfStyle w:val="000000000000" w:firstRow="0" w:lastRow="0" w:firstColumn="0" w:lastColumn="0" w:oddVBand="0" w:evenVBand="0" w:oddHBand="0" w:evenHBand="0" w:firstRowFirstColumn="0" w:firstRowLastColumn="0" w:lastRowFirstColumn="0" w:lastRowLastColumn="0"/>
            </w:pPr>
            <w:r>
              <w:t>(1 147)</w:t>
            </w:r>
          </w:p>
        </w:tc>
        <w:tc>
          <w:tcPr>
            <w:tcW w:w="794" w:type="dxa"/>
          </w:tcPr>
          <w:p w14:paraId="7A4F470E" w14:textId="77777777" w:rsidR="00AB205D" w:rsidRDefault="00471A3B">
            <w:pPr>
              <w:cnfStyle w:val="000000000000" w:firstRow="0" w:lastRow="0" w:firstColumn="0" w:lastColumn="0" w:oddVBand="0" w:evenVBand="0" w:oddHBand="0" w:evenHBand="0" w:firstRowFirstColumn="0" w:firstRowLastColumn="0" w:lastRowFirstColumn="0" w:lastRowLastColumn="0"/>
            </w:pPr>
            <w:r>
              <w:t>(1 242)</w:t>
            </w:r>
          </w:p>
        </w:tc>
      </w:tr>
      <w:tr w:rsidR="009C6724" w14:paraId="21DBACCF"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59AA091" w14:textId="77777777" w:rsidR="00AB205D" w:rsidRDefault="00471A3B">
            <w:r>
              <w:t>Grants and subsidies</w:t>
            </w:r>
          </w:p>
        </w:tc>
        <w:tc>
          <w:tcPr>
            <w:tcW w:w="794" w:type="dxa"/>
          </w:tcPr>
          <w:p w14:paraId="080E9A5E" w14:textId="77777777" w:rsidR="00AB205D" w:rsidRDefault="00471A3B">
            <w:pPr>
              <w:cnfStyle w:val="000000000000" w:firstRow="0" w:lastRow="0" w:firstColumn="0" w:lastColumn="0" w:oddVBand="0" w:evenVBand="0" w:oddHBand="0" w:evenHBand="0" w:firstRowFirstColumn="0" w:firstRowLastColumn="0" w:lastRowFirstColumn="0" w:lastRowLastColumn="0"/>
            </w:pPr>
            <w:r>
              <w:t>(236)</w:t>
            </w:r>
          </w:p>
        </w:tc>
        <w:tc>
          <w:tcPr>
            <w:tcW w:w="794" w:type="dxa"/>
          </w:tcPr>
          <w:p w14:paraId="3344CAC3" w14:textId="77777777" w:rsidR="00AB205D" w:rsidRDefault="00471A3B">
            <w:pPr>
              <w:cnfStyle w:val="000000000000" w:firstRow="0" w:lastRow="0" w:firstColumn="0" w:lastColumn="0" w:oddVBand="0" w:evenVBand="0" w:oddHBand="0" w:evenHBand="0" w:firstRowFirstColumn="0" w:firstRowLastColumn="0" w:lastRowFirstColumn="0" w:lastRowLastColumn="0"/>
            </w:pPr>
            <w:r>
              <w:t>(658)</w:t>
            </w:r>
          </w:p>
        </w:tc>
        <w:tc>
          <w:tcPr>
            <w:tcW w:w="794" w:type="dxa"/>
          </w:tcPr>
          <w:p w14:paraId="712360AC" w14:textId="77777777" w:rsidR="00AB205D" w:rsidRDefault="00471A3B">
            <w:pPr>
              <w:cnfStyle w:val="000000000000" w:firstRow="0" w:lastRow="0" w:firstColumn="0" w:lastColumn="0" w:oddVBand="0" w:evenVBand="0" w:oddHBand="0" w:evenHBand="0" w:firstRowFirstColumn="0" w:firstRowLastColumn="0" w:lastRowFirstColumn="0" w:lastRowLastColumn="0"/>
            </w:pPr>
            <w:r>
              <w:t>(188)</w:t>
            </w:r>
          </w:p>
        </w:tc>
        <w:tc>
          <w:tcPr>
            <w:tcW w:w="794" w:type="dxa"/>
          </w:tcPr>
          <w:p w14:paraId="75408B69" w14:textId="77777777" w:rsidR="00AB205D" w:rsidRDefault="00471A3B">
            <w:pPr>
              <w:cnfStyle w:val="000000000000" w:firstRow="0" w:lastRow="0" w:firstColumn="0" w:lastColumn="0" w:oddVBand="0" w:evenVBand="0" w:oddHBand="0" w:evenHBand="0" w:firstRowFirstColumn="0" w:firstRowLastColumn="0" w:lastRowFirstColumn="0" w:lastRowLastColumn="0"/>
            </w:pPr>
            <w:r>
              <w:t>(199)</w:t>
            </w:r>
          </w:p>
        </w:tc>
        <w:tc>
          <w:tcPr>
            <w:tcW w:w="794" w:type="dxa"/>
          </w:tcPr>
          <w:p w14:paraId="48312EC2" w14:textId="77777777" w:rsidR="00AB205D" w:rsidRDefault="00471A3B">
            <w:pPr>
              <w:cnfStyle w:val="000000000000" w:firstRow="0" w:lastRow="0" w:firstColumn="0" w:lastColumn="0" w:oddVBand="0" w:evenVBand="0" w:oddHBand="0" w:evenHBand="0" w:firstRowFirstColumn="0" w:firstRowLastColumn="0" w:lastRowFirstColumn="0" w:lastRowLastColumn="0"/>
            </w:pPr>
            <w:r>
              <w:t>(202)</w:t>
            </w:r>
          </w:p>
        </w:tc>
      </w:tr>
      <w:tr w:rsidR="009C6724" w14:paraId="04647854"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03813CFF" w14:textId="77777777" w:rsidR="00AB205D" w:rsidRDefault="00471A3B">
            <w:r>
              <w:t>Goods and services</w:t>
            </w:r>
            <w:r>
              <w:rPr>
                <w:vertAlign w:val="superscript"/>
              </w:rPr>
              <w:t xml:space="preserve"> (a)</w:t>
            </w:r>
          </w:p>
        </w:tc>
        <w:tc>
          <w:tcPr>
            <w:tcW w:w="794" w:type="dxa"/>
          </w:tcPr>
          <w:p w14:paraId="100DB42B" w14:textId="77777777" w:rsidR="00AB205D" w:rsidRDefault="00471A3B">
            <w:pPr>
              <w:cnfStyle w:val="000000000000" w:firstRow="0" w:lastRow="0" w:firstColumn="0" w:lastColumn="0" w:oddVBand="0" w:evenVBand="0" w:oddHBand="0" w:evenHBand="0" w:firstRowFirstColumn="0" w:firstRowLastColumn="0" w:lastRowFirstColumn="0" w:lastRowLastColumn="0"/>
            </w:pPr>
            <w:r>
              <w:t>(5 688)</w:t>
            </w:r>
          </w:p>
        </w:tc>
        <w:tc>
          <w:tcPr>
            <w:tcW w:w="794" w:type="dxa"/>
          </w:tcPr>
          <w:p w14:paraId="78C58B91" w14:textId="77777777" w:rsidR="00AB205D" w:rsidRDefault="00471A3B">
            <w:pPr>
              <w:cnfStyle w:val="000000000000" w:firstRow="0" w:lastRow="0" w:firstColumn="0" w:lastColumn="0" w:oddVBand="0" w:evenVBand="0" w:oddHBand="0" w:evenHBand="0" w:firstRowFirstColumn="0" w:firstRowLastColumn="0" w:lastRowFirstColumn="0" w:lastRowLastColumn="0"/>
            </w:pPr>
            <w:r>
              <w:t>(5 627)</w:t>
            </w:r>
          </w:p>
        </w:tc>
        <w:tc>
          <w:tcPr>
            <w:tcW w:w="794" w:type="dxa"/>
          </w:tcPr>
          <w:p w14:paraId="4D88317C" w14:textId="77777777" w:rsidR="00AB205D" w:rsidRDefault="00471A3B">
            <w:pPr>
              <w:cnfStyle w:val="000000000000" w:firstRow="0" w:lastRow="0" w:firstColumn="0" w:lastColumn="0" w:oddVBand="0" w:evenVBand="0" w:oddHBand="0" w:evenHBand="0" w:firstRowFirstColumn="0" w:firstRowLastColumn="0" w:lastRowFirstColumn="0" w:lastRowLastColumn="0"/>
            </w:pPr>
            <w:r>
              <w:t>(5 410)</w:t>
            </w:r>
          </w:p>
        </w:tc>
        <w:tc>
          <w:tcPr>
            <w:tcW w:w="794" w:type="dxa"/>
          </w:tcPr>
          <w:p w14:paraId="7CDF4CF7" w14:textId="77777777" w:rsidR="00AB205D" w:rsidRDefault="00471A3B">
            <w:pPr>
              <w:cnfStyle w:val="000000000000" w:firstRow="0" w:lastRow="0" w:firstColumn="0" w:lastColumn="0" w:oddVBand="0" w:evenVBand="0" w:oddHBand="0" w:evenHBand="0" w:firstRowFirstColumn="0" w:firstRowLastColumn="0" w:lastRowFirstColumn="0" w:lastRowLastColumn="0"/>
            </w:pPr>
            <w:r>
              <w:t>(4 858)</w:t>
            </w:r>
          </w:p>
        </w:tc>
        <w:tc>
          <w:tcPr>
            <w:tcW w:w="794" w:type="dxa"/>
          </w:tcPr>
          <w:p w14:paraId="1D98A7A7" w14:textId="77777777" w:rsidR="00AB205D" w:rsidRDefault="00471A3B">
            <w:pPr>
              <w:cnfStyle w:val="000000000000" w:firstRow="0" w:lastRow="0" w:firstColumn="0" w:lastColumn="0" w:oddVBand="0" w:evenVBand="0" w:oddHBand="0" w:evenHBand="0" w:firstRowFirstColumn="0" w:firstRowLastColumn="0" w:lastRowFirstColumn="0" w:lastRowLastColumn="0"/>
            </w:pPr>
            <w:r>
              <w:t>(5 825)</w:t>
            </w:r>
          </w:p>
        </w:tc>
      </w:tr>
      <w:tr w:rsidR="009C6724" w14:paraId="4095907F"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1D68ED02" w14:textId="77777777" w:rsidR="00AB205D" w:rsidRDefault="00471A3B">
            <w:r>
              <w:t>Other payments</w:t>
            </w:r>
          </w:p>
        </w:tc>
        <w:tc>
          <w:tcPr>
            <w:tcW w:w="794" w:type="dxa"/>
            <w:tcBorders>
              <w:bottom w:val="single" w:sz="6" w:space="0" w:color="auto"/>
            </w:tcBorders>
          </w:tcPr>
          <w:p w14:paraId="5D592BEF" w14:textId="77777777" w:rsidR="00AB205D" w:rsidRDefault="00471A3B">
            <w:pPr>
              <w:cnfStyle w:val="000000000000" w:firstRow="0" w:lastRow="0" w:firstColumn="0" w:lastColumn="0" w:oddVBand="0" w:evenVBand="0" w:oddHBand="0" w:evenHBand="0" w:firstRowFirstColumn="0" w:firstRowLastColumn="0" w:lastRowFirstColumn="0" w:lastRowLastColumn="0"/>
            </w:pPr>
            <w:r>
              <w:t>(479)</w:t>
            </w:r>
          </w:p>
        </w:tc>
        <w:tc>
          <w:tcPr>
            <w:tcW w:w="794" w:type="dxa"/>
            <w:tcBorders>
              <w:bottom w:val="single" w:sz="6" w:space="0" w:color="auto"/>
            </w:tcBorders>
          </w:tcPr>
          <w:p w14:paraId="40F7513B" w14:textId="77777777" w:rsidR="00AB205D" w:rsidRDefault="00471A3B">
            <w:pPr>
              <w:cnfStyle w:val="000000000000" w:firstRow="0" w:lastRow="0" w:firstColumn="0" w:lastColumn="0" w:oddVBand="0" w:evenVBand="0" w:oddHBand="0" w:evenHBand="0" w:firstRowFirstColumn="0" w:firstRowLastColumn="0" w:lastRowFirstColumn="0" w:lastRowLastColumn="0"/>
            </w:pPr>
            <w:r>
              <w:t>(473)</w:t>
            </w:r>
          </w:p>
        </w:tc>
        <w:tc>
          <w:tcPr>
            <w:tcW w:w="794" w:type="dxa"/>
            <w:tcBorders>
              <w:bottom w:val="single" w:sz="6" w:space="0" w:color="auto"/>
            </w:tcBorders>
          </w:tcPr>
          <w:p w14:paraId="6AF4235E" w14:textId="77777777" w:rsidR="00AB205D" w:rsidRDefault="00471A3B">
            <w:pPr>
              <w:cnfStyle w:val="000000000000" w:firstRow="0" w:lastRow="0" w:firstColumn="0" w:lastColumn="0" w:oddVBand="0" w:evenVBand="0" w:oddHBand="0" w:evenHBand="0" w:firstRowFirstColumn="0" w:firstRowLastColumn="0" w:lastRowFirstColumn="0" w:lastRowLastColumn="0"/>
            </w:pPr>
            <w:r>
              <w:t>(458)</w:t>
            </w:r>
          </w:p>
        </w:tc>
        <w:tc>
          <w:tcPr>
            <w:tcW w:w="794" w:type="dxa"/>
            <w:tcBorders>
              <w:bottom w:val="single" w:sz="6" w:space="0" w:color="auto"/>
            </w:tcBorders>
          </w:tcPr>
          <w:p w14:paraId="32FDAC4F" w14:textId="77777777" w:rsidR="00AB205D" w:rsidRDefault="00471A3B">
            <w:pPr>
              <w:cnfStyle w:val="000000000000" w:firstRow="0" w:lastRow="0" w:firstColumn="0" w:lastColumn="0" w:oddVBand="0" w:evenVBand="0" w:oddHBand="0" w:evenHBand="0" w:firstRowFirstColumn="0" w:firstRowLastColumn="0" w:lastRowFirstColumn="0" w:lastRowLastColumn="0"/>
            </w:pPr>
            <w:r>
              <w:t>(489)</w:t>
            </w:r>
          </w:p>
        </w:tc>
        <w:tc>
          <w:tcPr>
            <w:tcW w:w="794" w:type="dxa"/>
            <w:tcBorders>
              <w:bottom w:val="single" w:sz="6" w:space="0" w:color="auto"/>
            </w:tcBorders>
          </w:tcPr>
          <w:p w14:paraId="48C8208D" w14:textId="77777777" w:rsidR="00AB205D" w:rsidRDefault="00471A3B">
            <w:pPr>
              <w:cnfStyle w:val="000000000000" w:firstRow="0" w:lastRow="0" w:firstColumn="0" w:lastColumn="0" w:oddVBand="0" w:evenVBand="0" w:oddHBand="0" w:evenHBand="0" w:firstRowFirstColumn="0" w:firstRowLastColumn="0" w:lastRowFirstColumn="0" w:lastRowLastColumn="0"/>
            </w:pPr>
            <w:r>
              <w:t>(487)</w:t>
            </w:r>
          </w:p>
        </w:tc>
      </w:tr>
      <w:tr w:rsidR="009C6724" w14:paraId="116D9790"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44D538B8" w14:textId="77777777" w:rsidR="00AB205D" w:rsidRDefault="00471A3B">
            <w:r>
              <w:rPr>
                <w:b/>
              </w:rPr>
              <w:t>Total payments</w:t>
            </w:r>
          </w:p>
        </w:tc>
        <w:tc>
          <w:tcPr>
            <w:tcW w:w="794" w:type="dxa"/>
            <w:tcBorders>
              <w:top w:val="single" w:sz="6" w:space="0" w:color="auto"/>
              <w:bottom w:val="single" w:sz="6" w:space="0" w:color="auto"/>
            </w:tcBorders>
          </w:tcPr>
          <w:p w14:paraId="42EDC9D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(9 220)</w:t>
            </w:r>
          </w:p>
        </w:tc>
        <w:tc>
          <w:tcPr>
            <w:tcW w:w="794" w:type="dxa"/>
            <w:tcBorders>
              <w:top w:val="single" w:sz="6" w:space="0" w:color="auto"/>
              <w:bottom w:val="single" w:sz="6" w:space="0" w:color="auto"/>
            </w:tcBorders>
          </w:tcPr>
          <w:p w14:paraId="3765965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(9 776)</w:t>
            </w:r>
          </w:p>
        </w:tc>
        <w:tc>
          <w:tcPr>
            <w:tcW w:w="794" w:type="dxa"/>
            <w:tcBorders>
              <w:top w:val="single" w:sz="6" w:space="0" w:color="auto"/>
              <w:bottom w:val="single" w:sz="6" w:space="0" w:color="auto"/>
            </w:tcBorders>
          </w:tcPr>
          <w:p w14:paraId="4F44B7B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(9 140)</w:t>
            </w:r>
          </w:p>
        </w:tc>
        <w:tc>
          <w:tcPr>
            <w:tcW w:w="794" w:type="dxa"/>
            <w:tcBorders>
              <w:top w:val="single" w:sz="6" w:space="0" w:color="auto"/>
              <w:bottom w:val="single" w:sz="6" w:space="0" w:color="auto"/>
            </w:tcBorders>
          </w:tcPr>
          <w:p w14:paraId="1A49690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(8 710)</w:t>
            </w:r>
          </w:p>
        </w:tc>
        <w:tc>
          <w:tcPr>
            <w:tcW w:w="794" w:type="dxa"/>
            <w:tcBorders>
              <w:top w:val="single" w:sz="6" w:space="0" w:color="auto"/>
              <w:bottom w:val="single" w:sz="6" w:space="0" w:color="auto"/>
            </w:tcBorders>
          </w:tcPr>
          <w:p w14:paraId="0D4E570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(9 835)</w:t>
            </w:r>
          </w:p>
        </w:tc>
      </w:tr>
      <w:tr w:rsidR="009C6724" w14:paraId="3FF8F9C2"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345C37FE" w14:textId="77777777" w:rsidR="00AB205D" w:rsidRDefault="00471A3B">
            <w:r>
              <w:rPr>
                <w:b/>
              </w:rPr>
              <w:t>Net cash flows from operating activities</w:t>
            </w:r>
          </w:p>
        </w:tc>
        <w:tc>
          <w:tcPr>
            <w:tcW w:w="794" w:type="dxa"/>
            <w:tcBorders>
              <w:top w:val="single" w:sz="6" w:space="0" w:color="auto"/>
            </w:tcBorders>
          </w:tcPr>
          <w:p w14:paraId="50DCEC7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1 030</w:t>
            </w:r>
          </w:p>
        </w:tc>
        <w:tc>
          <w:tcPr>
            <w:tcW w:w="794" w:type="dxa"/>
            <w:tcBorders>
              <w:top w:val="single" w:sz="6" w:space="0" w:color="auto"/>
            </w:tcBorders>
          </w:tcPr>
          <w:p w14:paraId="46680E8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866</w:t>
            </w:r>
          </w:p>
        </w:tc>
        <w:tc>
          <w:tcPr>
            <w:tcW w:w="794" w:type="dxa"/>
            <w:tcBorders>
              <w:top w:val="single" w:sz="6" w:space="0" w:color="auto"/>
            </w:tcBorders>
          </w:tcPr>
          <w:p w14:paraId="210262E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1 592</w:t>
            </w:r>
          </w:p>
        </w:tc>
        <w:tc>
          <w:tcPr>
            <w:tcW w:w="794" w:type="dxa"/>
            <w:tcBorders>
              <w:top w:val="single" w:sz="6" w:space="0" w:color="auto"/>
            </w:tcBorders>
          </w:tcPr>
          <w:p w14:paraId="739A110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2 123</w:t>
            </w:r>
          </w:p>
        </w:tc>
        <w:tc>
          <w:tcPr>
            <w:tcW w:w="794" w:type="dxa"/>
            <w:tcBorders>
              <w:top w:val="single" w:sz="6" w:space="0" w:color="auto"/>
            </w:tcBorders>
          </w:tcPr>
          <w:p w14:paraId="788C788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1 996</w:t>
            </w:r>
          </w:p>
        </w:tc>
      </w:tr>
      <w:tr w:rsidR="009C6724" w14:paraId="4997E534"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D926729" w14:textId="77777777" w:rsidR="00AB205D" w:rsidRDefault="00471A3B">
            <w:r>
              <w:rPr>
                <w:b/>
              </w:rPr>
              <w:t>Cash flows from investing activities</w:t>
            </w:r>
          </w:p>
        </w:tc>
        <w:tc>
          <w:tcPr>
            <w:tcW w:w="794" w:type="dxa"/>
          </w:tcPr>
          <w:p w14:paraId="048C6804"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197F05F2"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913DA00"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499EF79C"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728DEBB1"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7B8EDC72"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6340D820" w14:textId="77777777" w:rsidR="00AB205D" w:rsidRDefault="00471A3B">
            <w:r>
              <w:rPr>
                <w:b/>
              </w:rPr>
              <w:t>Cash flows from investments in non</w:t>
            </w:r>
            <w:r>
              <w:rPr>
                <w:b/>
              </w:rPr>
              <w:noBreakHyphen/>
              <w:t>financial assets</w:t>
            </w:r>
          </w:p>
        </w:tc>
        <w:tc>
          <w:tcPr>
            <w:tcW w:w="794" w:type="dxa"/>
          </w:tcPr>
          <w:p w14:paraId="49B03477"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7D9A834"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441686BE"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2F3BF52D"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2A398422"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693C5E6B"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2AC0849" w14:textId="77777777" w:rsidR="00AB205D" w:rsidRDefault="00471A3B">
            <w:r>
              <w:t>Purchases of non</w:t>
            </w:r>
            <w:r>
              <w:noBreakHyphen/>
              <w:t>financial assets</w:t>
            </w:r>
          </w:p>
        </w:tc>
        <w:tc>
          <w:tcPr>
            <w:tcW w:w="794" w:type="dxa"/>
          </w:tcPr>
          <w:p w14:paraId="0CC6B090" w14:textId="77777777" w:rsidR="00AB205D" w:rsidRDefault="00471A3B">
            <w:pPr>
              <w:cnfStyle w:val="000000000000" w:firstRow="0" w:lastRow="0" w:firstColumn="0" w:lastColumn="0" w:oddVBand="0" w:evenVBand="0" w:oddHBand="0" w:evenHBand="0" w:firstRowFirstColumn="0" w:firstRowLastColumn="0" w:lastRowFirstColumn="0" w:lastRowLastColumn="0"/>
            </w:pPr>
            <w:r>
              <w:t>(8 121)</w:t>
            </w:r>
          </w:p>
        </w:tc>
        <w:tc>
          <w:tcPr>
            <w:tcW w:w="794" w:type="dxa"/>
          </w:tcPr>
          <w:p w14:paraId="3D704833" w14:textId="77777777" w:rsidR="00AB205D" w:rsidRDefault="00471A3B">
            <w:pPr>
              <w:cnfStyle w:val="000000000000" w:firstRow="0" w:lastRow="0" w:firstColumn="0" w:lastColumn="0" w:oddVBand="0" w:evenVBand="0" w:oddHBand="0" w:evenHBand="0" w:firstRowFirstColumn="0" w:firstRowLastColumn="0" w:lastRowFirstColumn="0" w:lastRowLastColumn="0"/>
            </w:pPr>
            <w:r>
              <w:t>(8 611)</w:t>
            </w:r>
          </w:p>
        </w:tc>
        <w:tc>
          <w:tcPr>
            <w:tcW w:w="794" w:type="dxa"/>
          </w:tcPr>
          <w:p w14:paraId="178E95BC" w14:textId="77777777" w:rsidR="00AB205D" w:rsidRDefault="00471A3B">
            <w:pPr>
              <w:cnfStyle w:val="000000000000" w:firstRow="0" w:lastRow="0" w:firstColumn="0" w:lastColumn="0" w:oddVBand="0" w:evenVBand="0" w:oddHBand="0" w:evenHBand="0" w:firstRowFirstColumn="0" w:firstRowLastColumn="0" w:lastRowFirstColumn="0" w:lastRowLastColumn="0"/>
            </w:pPr>
            <w:r>
              <w:t>(6 908)</w:t>
            </w:r>
          </w:p>
        </w:tc>
        <w:tc>
          <w:tcPr>
            <w:tcW w:w="794" w:type="dxa"/>
          </w:tcPr>
          <w:p w14:paraId="54131288" w14:textId="77777777" w:rsidR="00AB205D" w:rsidRDefault="00471A3B">
            <w:pPr>
              <w:cnfStyle w:val="000000000000" w:firstRow="0" w:lastRow="0" w:firstColumn="0" w:lastColumn="0" w:oddVBand="0" w:evenVBand="0" w:oddHBand="0" w:evenHBand="0" w:firstRowFirstColumn="0" w:firstRowLastColumn="0" w:lastRowFirstColumn="0" w:lastRowLastColumn="0"/>
            </w:pPr>
            <w:r>
              <w:t>(7 116)</w:t>
            </w:r>
          </w:p>
        </w:tc>
        <w:tc>
          <w:tcPr>
            <w:tcW w:w="794" w:type="dxa"/>
          </w:tcPr>
          <w:p w14:paraId="7ABABEF3" w14:textId="77777777" w:rsidR="00AB205D" w:rsidRDefault="00471A3B">
            <w:pPr>
              <w:cnfStyle w:val="000000000000" w:firstRow="0" w:lastRow="0" w:firstColumn="0" w:lastColumn="0" w:oddVBand="0" w:evenVBand="0" w:oddHBand="0" w:evenHBand="0" w:firstRowFirstColumn="0" w:firstRowLastColumn="0" w:lastRowFirstColumn="0" w:lastRowLastColumn="0"/>
            </w:pPr>
            <w:r>
              <w:t>(6 275)</w:t>
            </w:r>
          </w:p>
        </w:tc>
      </w:tr>
      <w:tr w:rsidR="009C6724" w14:paraId="5F85F235"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4BFF2FAC" w14:textId="77777777" w:rsidR="00AB205D" w:rsidRDefault="00471A3B">
            <w:r>
              <w:t>Sales of non</w:t>
            </w:r>
            <w:r>
              <w:noBreakHyphen/>
              <w:t>financial assets</w:t>
            </w:r>
          </w:p>
        </w:tc>
        <w:tc>
          <w:tcPr>
            <w:tcW w:w="794" w:type="dxa"/>
            <w:tcBorders>
              <w:bottom w:val="single" w:sz="6" w:space="0" w:color="auto"/>
            </w:tcBorders>
          </w:tcPr>
          <w:p w14:paraId="17D4BC8B" w14:textId="77777777" w:rsidR="00AB205D" w:rsidRDefault="00471A3B">
            <w:pPr>
              <w:cnfStyle w:val="000000000000" w:firstRow="0" w:lastRow="0" w:firstColumn="0" w:lastColumn="0" w:oddVBand="0" w:evenVBand="0" w:oddHBand="0" w:evenHBand="0" w:firstRowFirstColumn="0" w:firstRowLastColumn="0" w:lastRowFirstColumn="0" w:lastRowLastColumn="0"/>
            </w:pPr>
            <w:r>
              <w:t>243</w:t>
            </w:r>
          </w:p>
        </w:tc>
        <w:tc>
          <w:tcPr>
            <w:tcW w:w="794" w:type="dxa"/>
            <w:tcBorders>
              <w:bottom w:val="single" w:sz="6" w:space="0" w:color="auto"/>
            </w:tcBorders>
          </w:tcPr>
          <w:p w14:paraId="5751D8EA" w14:textId="77777777" w:rsidR="00AB205D" w:rsidRDefault="00471A3B">
            <w:pPr>
              <w:cnfStyle w:val="000000000000" w:firstRow="0" w:lastRow="0" w:firstColumn="0" w:lastColumn="0" w:oddVBand="0" w:evenVBand="0" w:oddHBand="0" w:evenHBand="0" w:firstRowFirstColumn="0" w:firstRowLastColumn="0" w:lastRowFirstColumn="0" w:lastRowLastColumn="0"/>
            </w:pPr>
            <w:r>
              <w:t>279</w:t>
            </w:r>
          </w:p>
        </w:tc>
        <w:tc>
          <w:tcPr>
            <w:tcW w:w="794" w:type="dxa"/>
            <w:tcBorders>
              <w:bottom w:val="single" w:sz="6" w:space="0" w:color="auto"/>
            </w:tcBorders>
          </w:tcPr>
          <w:p w14:paraId="79FB8097" w14:textId="77777777" w:rsidR="00AB205D" w:rsidRDefault="00471A3B">
            <w:pPr>
              <w:cnfStyle w:val="000000000000" w:firstRow="0" w:lastRow="0" w:firstColumn="0" w:lastColumn="0" w:oddVBand="0" w:evenVBand="0" w:oddHBand="0" w:evenHBand="0" w:firstRowFirstColumn="0" w:firstRowLastColumn="0" w:lastRowFirstColumn="0" w:lastRowLastColumn="0"/>
            </w:pPr>
            <w:r>
              <w:t>207</w:t>
            </w:r>
          </w:p>
        </w:tc>
        <w:tc>
          <w:tcPr>
            <w:tcW w:w="794" w:type="dxa"/>
            <w:tcBorders>
              <w:bottom w:val="single" w:sz="6" w:space="0" w:color="auto"/>
            </w:tcBorders>
          </w:tcPr>
          <w:p w14:paraId="40811D29" w14:textId="77777777" w:rsidR="00AB205D" w:rsidRDefault="00471A3B">
            <w:pPr>
              <w:cnfStyle w:val="000000000000" w:firstRow="0" w:lastRow="0" w:firstColumn="0" w:lastColumn="0" w:oddVBand="0" w:evenVBand="0" w:oddHBand="0" w:evenHBand="0" w:firstRowFirstColumn="0" w:firstRowLastColumn="0" w:lastRowFirstColumn="0" w:lastRowLastColumn="0"/>
            </w:pPr>
            <w:r>
              <w:t>443</w:t>
            </w:r>
          </w:p>
        </w:tc>
        <w:tc>
          <w:tcPr>
            <w:tcW w:w="794" w:type="dxa"/>
            <w:tcBorders>
              <w:bottom w:val="single" w:sz="6" w:space="0" w:color="auto"/>
            </w:tcBorders>
          </w:tcPr>
          <w:p w14:paraId="344894EC" w14:textId="77777777" w:rsidR="00AB205D" w:rsidRDefault="00471A3B">
            <w:pPr>
              <w:cnfStyle w:val="000000000000" w:firstRow="0" w:lastRow="0" w:firstColumn="0" w:lastColumn="0" w:oddVBand="0" w:evenVBand="0" w:oddHBand="0" w:evenHBand="0" w:firstRowFirstColumn="0" w:firstRowLastColumn="0" w:lastRowFirstColumn="0" w:lastRowLastColumn="0"/>
            </w:pPr>
            <w:r>
              <w:t>183</w:t>
            </w:r>
          </w:p>
        </w:tc>
      </w:tr>
      <w:tr w:rsidR="009C6724" w14:paraId="3D278694"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30A9B83E" w14:textId="77777777" w:rsidR="00AB205D" w:rsidRDefault="00471A3B">
            <w:r>
              <w:rPr>
                <w:b/>
              </w:rPr>
              <w:t>Net cash flows from investments in non</w:t>
            </w:r>
            <w:r>
              <w:rPr>
                <w:b/>
              </w:rPr>
              <w:noBreakHyphen/>
              <w:t>financial assets</w:t>
            </w:r>
          </w:p>
        </w:tc>
        <w:tc>
          <w:tcPr>
            <w:tcW w:w="794" w:type="dxa"/>
            <w:tcBorders>
              <w:top w:val="single" w:sz="6" w:space="0" w:color="auto"/>
            </w:tcBorders>
          </w:tcPr>
          <w:p w14:paraId="7A0DE5F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(7 879)</w:t>
            </w:r>
          </w:p>
        </w:tc>
        <w:tc>
          <w:tcPr>
            <w:tcW w:w="794" w:type="dxa"/>
            <w:tcBorders>
              <w:top w:val="single" w:sz="6" w:space="0" w:color="auto"/>
            </w:tcBorders>
          </w:tcPr>
          <w:p w14:paraId="023BD42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(8 332)</w:t>
            </w:r>
          </w:p>
        </w:tc>
        <w:tc>
          <w:tcPr>
            <w:tcW w:w="794" w:type="dxa"/>
            <w:tcBorders>
              <w:top w:val="single" w:sz="6" w:space="0" w:color="auto"/>
            </w:tcBorders>
          </w:tcPr>
          <w:p w14:paraId="4C45ADA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(6 701)</w:t>
            </w:r>
          </w:p>
        </w:tc>
        <w:tc>
          <w:tcPr>
            <w:tcW w:w="794" w:type="dxa"/>
            <w:tcBorders>
              <w:top w:val="single" w:sz="6" w:space="0" w:color="auto"/>
            </w:tcBorders>
          </w:tcPr>
          <w:p w14:paraId="282404A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(6 673)</w:t>
            </w:r>
          </w:p>
        </w:tc>
        <w:tc>
          <w:tcPr>
            <w:tcW w:w="794" w:type="dxa"/>
            <w:tcBorders>
              <w:top w:val="single" w:sz="6" w:space="0" w:color="auto"/>
            </w:tcBorders>
          </w:tcPr>
          <w:p w14:paraId="08D3B73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(6 092)</w:t>
            </w:r>
          </w:p>
        </w:tc>
      </w:tr>
      <w:tr w:rsidR="009C6724" w14:paraId="2DA337F7"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3062A2F3" w14:textId="77777777" w:rsidR="00AB205D" w:rsidRDefault="00471A3B">
            <w:r>
              <w:t>Net cash flows from investments in financial assets for policy purposes</w:t>
            </w:r>
          </w:p>
        </w:tc>
        <w:tc>
          <w:tcPr>
            <w:tcW w:w="794" w:type="dxa"/>
            <w:tcBorders>
              <w:bottom w:val="single" w:sz="6" w:space="0" w:color="auto"/>
            </w:tcBorders>
          </w:tcPr>
          <w:p w14:paraId="53120D2F" w14:textId="77777777" w:rsidR="00AB205D" w:rsidRDefault="00471A3B">
            <w:pPr>
              <w:cnfStyle w:val="000000000000" w:firstRow="0" w:lastRow="0" w:firstColumn="0" w:lastColumn="0" w:oddVBand="0" w:evenVBand="0" w:oddHBand="0" w:evenHBand="0" w:firstRowFirstColumn="0" w:firstRowLastColumn="0" w:lastRowFirstColumn="0" w:lastRowLastColumn="0"/>
            </w:pPr>
            <w:r>
              <w:t>53</w:t>
            </w:r>
          </w:p>
        </w:tc>
        <w:tc>
          <w:tcPr>
            <w:tcW w:w="794" w:type="dxa"/>
            <w:tcBorders>
              <w:bottom w:val="single" w:sz="6" w:space="0" w:color="auto"/>
            </w:tcBorders>
          </w:tcPr>
          <w:p w14:paraId="769093CB" w14:textId="77777777" w:rsidR="00AB205D" w:rsidRDefault="00471A3B">
            <w:pPr>
              <w:cnfStyle w:val="000000000000" w:firstRow="0" w:lastRow="0" w:firstColumn="0" w:lastColumn="0" w:oddVBand="0" w:evenVBand="0" w:oddHBand="0" w:evenHBand="0" w:firstRowFirstColumn="0" w:firstRowLastColumn="0" w:lastRowFirstColumn="0" w:lastRowLastColumn="0"/>
            </w:pPr>
            <w:r>
              <w:t>168</w:t>
            </w:r>
          </w:p>
        </w:tc>
        <w:tc>
          <w:tcPr>
            <w:tcW w:w="794" w:type="dxa"/>
            <w:tcBorders>
              <w:bottom w:val="single" w:sz="6" w:space="0" w:color="auto"/>
            </w:tcBorders>
          </w:tcPr>
          <w:p w14:paraId="2382DD24" w14:textId="77777777" w:rsidR="00AB205D" w:rsidRDefault="00471A3B">
            <w:pPr>
              <w:cnfStyle w:val="000000000000" w:firstRow="0" w:lastRow="0" w:firstColumn="0" w:lastColumn="0" w:oddVBand="0" w:evenVBand="0" w:oddHBand="0" w:evenHBand="0" w:firstRowFirstColumn="0" w:firstRowLastColumn="0" w:lastRowFirstColumn="0" w:lastRowLastColumn="0"/>
            </w:pPr>
            <w:r>
              <w:t>85</w:t>
            </w:r>
          </w:p>
        </w:tc>
        <w:tc>
          <w:tcPr>
            <w:tcW w:w="794" w:type="dxa"/>
            <w:tcBorders>
              <w:bottom w:val="single" w:sz="6" w:space="0" w:color="auto"/>
            </w:tcBorders>
          </w:tcPr>
          <w:p w14:paraId="6E6A746F" w14:textId="77777777" w:rsidR="00AB205D" w:rsidRDefault="00471A3B">
            <w:pPr>
              <w:cnfStyle w:val="000000000000" w:firstRow="0" w:lastRow="0" w:firstColumn="0" w:lastColumn="0" w:oddVBand="0" w:evenVBand="0" w:oddHBand="0" w:evenHBand="0" w:firstRowFirstColumn="0" w:firstRowLastColumn="0" w:lastRowFirstColumn="0" w:lastRowLastColumn="0"/>
            </w:pPr>
            <w:r>
              <w:t>5</w:t>
            </w:r>
          </w:p>
        </w:tc>
        <w:tc>
          <w:tcPr>
            <w:tcW w:w="794" w:type="dxa"/>
            <w:tcBorders>
              <w:bottom w:val="single" w:sz="6" w:space="0" w:color="auto"/>
            </w:tcBorders>
          </w:tcPr>
          <w:p w14:paraId="0501B5AC" w14:textId="77777777" w:rsidR="00AB205D" w:rsidRDefault="00471A3B">
            <w:pPr>
              <w:cnfStyle w:val="000000000000" w:firstRow="0" w:lastRow="0" w:firstColumn="0" w:lastColumn="0" w:oddVBand="0" w:evenVBand="0" w:oddHBand="0" w:evenHBand="0" w:firstRowFirstColumn="0" w:firstRowLastColumn="0" w:lastRowFirstColumn="0" w:lastRowLastColumn="0"/>
            </w:pPr>
            <w:r>
              <w:t>6</w:t>
            </w:r>
          </w:p>
        </w:tc>
      </w:tr>
      <w:tr w:rsidR="009C6724" w14:paraId="1E18A868"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69A6C636" w14:textId="77777777" w:rsidR="00AB205D" w:rsidRDefault="00471A3B">
            <w:r>
              <w:rPr>
                <w:b/>
              </w:rPr>
              <w:t>Subtotal</w:t>
            </w:r>
          </w:p>
        </w:tc>
        <w:tc>
          <w:tcPr>
            <w:tcW w:w="794" w:type="dxa"/>
            <w:tcBorders>
              <w:top w:val="single" w:sz="6" w:space="0" w:color="auto"/>
            </w:tcBorders>
          </w:tcPr>
          <w:p w14:paraId="3E0EEA6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(7 826)</w:t>
            </w:r>
          </w:p>
        </w:tc>
        <w:tc>
          <w:tcPr>
            <w:tcW w:w="794" w:type="dxa"/>
            <w:tcBorders>
              <w:top w:val="single" w:sz="6" w:space="0" w:color="auto"/>
            </w:tcBorders>
          </w:tcPr>
          <w:p w14:paraId="5D430A4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(8 164)</w:t>
            </w:r>
          </w:p>
        </w:tc>
        <w:tc>
          <w:tcPr>
            <w:tcW w:w="794" w:type="dxa"/>
            <w:tcBorders>
              <w:top w:val="single" w:sz="6" w:space="0" w:color="auto"/>
            </w:tcBorders>
          </w:tcPr>
          <w:p w14:paraId="6FEEC4C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(6 616)</w:t>
            </w:r>
          </w:p>
        </w:tc>
        <w:tc>
          <w:tcPr>
            <w:tcW w:w="794" w:type="dxa"/>
            <w:tcBorders>
              <w:top w:val="single" w:sz="6" w:space="0" w:color="auto"/>
            </w:tcBorders>
          </w:tcPr>
          <w:p w14:paraId="35FFBE7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(6 668)</w:t>
            </w:r>
          </w:p>
        </w:tc>
        <w:tc>
          <w:tcPr>
            <w:tcW w:w="794" w:type="dxa"/>
            <w:tcBorders>
              <w:top w:val="single" w:sz="6" w:space="0" w:color="auto"/>
            </w:tcBorders>
          </w:tcPr>
          <w:p w14:paraId="2F3BA43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(6 086)</w:t>
            </w:r>
          </w:p>
        </w:tc>
      </w:tr>
      <w:tr w:rsidR="009C6724" w14:paraId="12511F6B"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33015501" w14:textId="77777777" w:rsidR="00AB205D" w:rsidRDefault="00471A3B">
            <w:r>
              <w:t>Net cash flows from investment in financial assets for liquidity management purposes</w:t>
            </w:r>
          </w:p>
        </w:tc>
        <w:tc>
          <w:tcPr>
            <w:tcW w:w="794" w:type="dxa"/>
            <w:tcBorders>
              <w:bottom w:val="single" w:sz="6" w:space="0" w:color="auto"/>
            </w:tcBorders>
          </w:tcPr>
          <w:p w14:paraId="5526DC2E" w14:textId="77777777" w:rsidR="00AB205D" w:rsidRDefault="00471A3B">
            <w:pPr>
              <w:cnfStyle w:val="000000000000" w:firstRow="0" w:lastRow="0" w:firstColumn="0" w:lastColumn="0" w:oddVBand="0" w:evenVBand="0" w:oddHBand="0" w:evenHBand="0" w:firstRowFirstColumn="0" w:firstRowLastColumn="0" w:lastRowFirstColumn="0" w:lastRowLastColumn="0"/>
            </w:pPr>
            <w:r>
              <w:t>9</w:t>
            </w:r>
          </w:p>
        </w:tc>
        <w:tc>
          <w:tcPr>
            <w:tcW w:w="794" w:type="dxa"/>
            <w:tcBorders>
              <w:bottom w:val="single" w:sz="6" w:space="0" w:color="auto"/>
            </w:tcBorders>
          </w:tcPr>
          <w:p w14:paraId="4ED9C23A" w14:textId="77777777" w:rsidR="00AB205D" w:rsidRDefault="00471A3B">
            <w:pPr>
              <w:cnfStyle w:val="000000000000" w:firstRow="0" w:lastRow="0" w:firstColumn="0" w:lastColumn="0" w:oddVBand="0" w:evenVBand="0" w:oddHBand="0" w:evenHBand="0" w:firstRowFirstColumn="0" w:firstRowLastColumn="0" w:lastRowFirstColumn="0" w:lastRowLastColumn="0"/>
            </w:pPr>
            <w:r>
              <w:t>54</w:t>
            </w:r>
          </w:p>
        </w:tc>
        <w:tc>
          <w:tcPr>
            <w:tcW w:w="794" w:type="dxa"/>
            <w:tcBorders>
              <w:bottom w:val="single" w:sz="6" w:space="0" w:color="auto"/>
            </w:tcBorders>
          </w:tcPr>
          <w:p w14:paraId="12FD0C08" w14:textId="77777777" w:rsidR="00AB205D" w:rsidRDefault="00471A3B">
            <w:pPr>
              <w:cnfStyle w:val="000000000000" w:firstRow="0" w:lastRow="0" w:firstColumn="0" w:lastColumn="0" w:oddVBand="0" w:evenVBand="0" w:oddHBand="0" w:evenHBand="0" w:firstRowFirstColumn="0" w:firstRowLastColumn="0" w:lastRowFirstColumn="0" w:lastRowLastColumn="0"/>
            </w:pPr>
            <w:r>
              <w:t>(5)</w:t>
            </w:r>
          </w:p>
        </w:tc>
        <w:tc>
          <w:tcPr>
            <w:tcW w:w="794" w:type="dxa"/>
            <w:tcBorders>
              <w:bottom w:val="single" w:sz="6" w:space="0" w:color="auto"/>
            </w:tcBorders>
          </w:tcPr>
          <w:p w14:paraId="10C34409" w14:textId="77777777" w:rsidR="00AB205D" w:rsidRDefault="00471A3B">
            <w:pPr>
              <w:cnfStyle w:val="000000000000" w:firstRow="0" w:lastRow="0" w:firstColumn="0" w:lastColumn="0" w:oddVBand="0" w:evenVBand="0" w:oddHBand="0" w:evenHBand="0" w:firstRowFirstColumn="0" w:firstRowLastColumn="0" w:lastRowFirstColumn="0" w:lastRowLastColumn="0"/>
            </w:pPr>
            <w:r>
              <w:t>(32)</w:t>
            </w:r>
          </w:p>
        </w:tc>
        <w:tc>
          <w:tcPr>
            <w:tcW w:w="794" w:type="dxa"/>
            <w:tcBorders>
              <w:bottom w:val="single" w:sz="6" w:space="0" w:color="auto"/>
            </w:tcBorders>
          </w:tcPr>
          <w:p w14:paraId="2E15B86E" w14:textId="77777777" w:rsidR="00AB205D" w:rsidRDefault="00471A3B">
            <w:pPr>
              <w:cnfStyle w:val="000000000000" w:firstRow="0" w:lastRow="0" w:firstColumn="0" w:lastColumn="0" w:oddVBand="0" w:evenVBand="0" w:oddHBand="0" w:evenHBand="0" w:firstRowFirstColumn="0" w:firstRowLastColumn="0" w:lastRowFirstColumn="0" w:lastRowLastColumn="0"/>
            </w:pPr>
            <w:r>
              <w:t>(20)</w:t>
            </w:r>
          </w:p>
        </w:tc>
      </w:tr>
      <w:tr w:rsidR="009C6724" w14:paraId="59A16828"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4D2EFBF9" w14:textId="77777777" w:rsidR="00AB205D" w:rsidRDefault="00471A3B">
            <w:r>
              <w:rPr>
                <w:b/>
              </w:rPr>
              <w:t>Net cash flows from investing activities</w:t>
            </w:r>
          </w:p>
        </w:tc>
        <w:tc>
          <w:tcPr>
            <w:tcW w:w="794" w:type="dxa"/>
            <w:tcBorders>
              <w:top w:val="single" w:sz="6" w:space="0" w:color="auto"/>
            </w:tcBorders>
          </w:tcPr>
          <w:p w14:paraId="1E8570D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(7 817)</w:t>
            </w:r>
          </w:p>
        </w:tc>
        <w:tc>
          <w:tcPr>
            <w:tcW w:w="794" w:type="dxa"/>
            <w:tcBorders>
              <w:top w:val="single" w:sz="6" w:space="0" w:color="auto"/>
            </w:tcBorders>
          </w:tcPr>
          <w:p w14:paraId="004621A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(8 109)</w:t>
            </w:r>
          </w:p>
        </w:tc>
        <w:tc>
          <w:tcPr>
            <w:tcW w:w="794" w:type="dxa"/>
            <w:tcBorders>
              <w:top w:val="single" w:sz="6" w:space="0" w:color="auto"/>
            </w:tcBorders>
          </w:tcPr>
          <w:p w14:paraId="1D86A73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(6 621)</w:t>
            </w:r>
          </w:p>
        </w:tc>
        <w:tc>
          <w:tcPr>
            <w:tcW w:w="794" w:type="dxa"/>
            <w:tcBorders>
              <w:top w:val="single" w:sz="6" w:space="0" w:color="auto"/>
            </w:tcBorders>
          </w:tcPr>
          <w:p w14:paraId="51C9B9C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(6 700)</w:t>
            </w:r>
          </w:p>
        </w:tc>
        <w:tc>
          <w:tcPr>
            <w:tcW w:w="794" w:type="dxa"/>
            <w:tcBorders>
              <w:top w:val="single" w:sz="6" w:space="0" w:color="auto"/>
            </w:tcBorders>
          </w:tcPr>
          <w:p w14:paraId="42E801F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(6 106)</w:t>
            </w:r>
          </w:p>
        </w:tc>
      </w:tr>
      <w:tr w:rsidR="009C6724" w14:paraId="7A9DD8DF"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0259C2D" w14:textId="77777777" w:rsidR="00AB205D" w:rsidRDefault="00471A3B">
            <w:r>
              <w:rPr>
                <w:b/>
              </w:rPr>
              <w:t>Cash flows from financing activities</w:t>
            </w:r>
          </w:p>
        </w:tc>
        <w:tc>
          <w:tcPr>
            <w:tcW w:w="794" w:type="dxa"/>
          </w:tcPr>
          <w:p w14:paraId="5DE5356D"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D3F7096"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45CF0A1A"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2C35898"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B2A8E32"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1F92862D"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1495D282" w14:textId="77777777" w:rsidR="00AB205D" w:rsidRDefault="00471A3B">
            <w:r>
              <w:t>Advances received (net)</w:t>
            </w:r>
          </w:p>
        </w:tc>
        <w:tc>
          <w:tcPr>
            <w:tcW w:w="794" w:type="dxa"/>
          </w:tcPr>
          <w:p w14:paraId="52B9837E" w14:textId="77777777" w:rsidR="00AB205D" w:rsidRDefault="00471A3B">
            <w:pPr>
              <w:cnfStyle w:val="000000000000" w:firstRow="0" w:lastRow="0" w:firstColumn="0" w:lastColumn="0" w:oddVBand="0" w:evenVBand="0" w:oddHBand="0" w:evenHBand="0" w:firstRowFirstColumn="0" w:firstRowLastColumn="0" w:lastRowFirstColumn="0" w:lastRowLastColumn="0"/>
            </w:pPr>
            <w:r>
              <w:t>1 710</w:t>
            </w:r>
          </w:p>
        </w:tc>
        <w:tc>
          <w:tcPr>
            <w:tcW w:w="794" w:type="dxa"/>
          </w:tcPr>
          <w:p w14:paraId="31F65071" w14:textId="77777777" w:rsidR="00AB205D" w:rsidRDefault="00471A3B">
            <w:pPr>
              <w:cnfStyle w:val="000000000000" w:firstRow="0" w:lastRow="0" w:firstColumn="0" w:lastColumn="0" w:oddVBand="0" w:evenVBand="0" w:oddHBand="0" w:evenHBand="0" w:firstRowFirstColumn="0" w:firstRowLastColumn="0" w:lastRowFirstColumn="0" w:lastRowLastColumn="0"/>
            </w:pPr>
            <w:r>
              <w:t>1 620</w:t>
            </w:r>
          </w:p>
        </w:tc>
        <w:tc>
          <w:tcPr>
            <w:tcW w:w="794" w:type="dxa"/>
          </w:tcPr>
          <w:p w14:paraId="5178C675" w14:textId="77777777" w:rsidR="00AB205D" w:rsidRDefault="00471A3B">
            <w:pPr>
              <w:cnfStyle w:val="000000000000" w:firstRow="0" w:lastRow="0" w:firstColumn="0" w:lastColumn="0" w:oddVBand="0" w:evenVBand="0" w:oddHBand="0" w:evenHBand="0" w:firstRowFirstColumn="0" w:firstRowLastColumn="0" w:lastRowFirstColumn="0" w:lastRowLastColumn="0"/>
            </w:pPr>
            <w:r>
              <w:t>181</w:t>
            </w:r>
          </w:p>
        </w:tc>
        <w:tc>
          <w:tcPr>
            <w:tcW w:w="794" w:type="dxa"/>
          </w:tcPr>
          <w:p w14:paraId="21625451" w14:textId="77777777" w:rsidR="00AB205D" w:rsidRDefault="00471A3B">
            <w:pPr>
              <w:cnfStyle w:val="000000000000" w:firstRow="0" w:lastRow="0" w:firstColumn="0" w:lastColumn="0" w:oddVBand="0" w:evenVBand="0" w:oddHBand="0" w:evenHBand="0" w:firstRowFirstColumn="0" w:firstRowLastColumn="0" w:lastRowFirstColumn="0" w:lastRowLastColumn="0"/>
            </w:pPr>
            <w:r>
              <w:t>94</w:t>
            </w:r>
          </w:p>
        </w:tc>
        <w:tc>
          <w:tcPr>
            <w:tcW w:w="794" w:type="dxa"/>
          </w:tcPr>
          <w:p w14:paraId="54496AC9" w14:textId="77777777" w:rsidR="00AB205D" w:rsidRDefault="00471A3B">
            <w:pPr>
              <w:cnfStyle w:val="000000000000" w:firstRow="0" w:lastRow="0" w:firstColumn="0" w:lastColumn="0" w:oddVBand="0" w:evenVBand="0" w:oddHBand="0" w:evenHBand="0" w:firstRowFirstColumn="0" w:firstRowLastColumn="0" w:lastRowFirstColumn="0" w:lastRowLastColumn="0"/>
            </w:pPr>
            <w:r>
              <w:t>95</w:t>
            </w:r>
          </w:p>
        </w:tc>
      </w:tr>
      <w:tr w:rsidR="009C6724" w14:paraId="151D24D8"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53322811" w14:textId="77777777" w:rsidR="00AB205D" w:rsidRDefault="00471A3B">
            <w:r>
              <w:t>Net borrowings</w:t>
            </w:r>
          </w:p>
        </w:tc>
        <w:tc>
          <w:tcPr>
            <w:tcW w:w="794" w:type="dxa"/>
          </w:tcPr>
          <w:p w14:paraId="4637E519" w14:textId="77777777" w:rsidR="00AB205D" w:rsidRDefault="00471A3B">
            <w:pPr>
              <w:cnfStyle w:val="000000000000" w:firstRow="0" w:lastRow="0" w:firstColumn="0" w:lastColumn="0" w:oddVBand="0" w:evenVBand="0" w:oddHBand="0" w:evenHBand="0" w:firstRowFirstColumn="0" w:firstRowLastColumn="0" w:lastRowFirstColumn="0" w:lastRowLastColumn="0"/>
            </w:pPr>
            <w:r>
              <w:t>2 413</w:t>
            </w:r>
          </w:p>
        </w:tc>
        <w:tc>
          <w:tcPr>
            <w:tcW w:w="794" w:type="dxa"/>
          </w:tcPr>
          <w:p w14:paraId="695CD083" w14:textId="77777777" w:rsidR="00AB205D" w:rsidRDefault="00471A3B">
            <w:pPr>
              <w:cnfStyle w:val="000000000000" w:firstRow="0" w:lastRow="0" w:firstColumn="0" w:lastColumn="0" w:oddVBand="0" w:evenVBand="0" w:oddHBand="0" w:evenHBand="0" w:firstRowFirstColumn="0" w:firstRowLastColumn="0" w:lastRowFirstColumn="0" w:lastRowLastColumn="0"/>
            </w:pPr>
            <w:r>
              <w:t>3 036</w:t>
            </w:r>
          </w:p>
        </w:tc>
        <w:tc>
          <w:tcPr>
            <w:tcW w:w="794" w:type="dxa"/>
          </w:tcPr>
          <w:p w14:paraId="28B82907" w14:textId="77777777" w:rsidR="00AB205D" w:rsidRDefault="00471A3B">
            <w:pPr>
              <w:cnfStyle w:val="000000000000" w:firstRow="0" w:lastRow="0" w:firstColumn="0" w:lastColumn="0" w:oddVBand="0" w:evenVBand="0" w:oddHBand="0" w:evenHBand="0" w:firstRowFirstColumn="0" w:firstRowLastColumn="0" w:lastRowFirstColumn="0" w:lastRowLastColumn="0"/>
            </w:pPr>
            <w:r>
              <w:t>1 633</w:t>
            </w:r>
          </w:p>
        </w:tc>
        <w:tc>
          <w:tcPr>
            <w:tcW w:w="794" w:type="dxa"/>
          </w:tcPr>
          <w:p w14:paraId="3C0AB98D" w14:textId="77777777" w:rsidR="00AB205D" w:rsidRDefault="00471A3B">
            <w:pPr>
              <w:cnfStyle w:val="000000000000" w:firstRow="0" w:lastRow="0" w:firstColumn="0" w:lastColumn="0" w:oddVBand="0" w:evenVBand="0" w:oddHBand="0" w:evenHBand="0" w:firstRowFirstColumn="0" w:firstRowLastColumn="0" w:lastRowFirstColumn="0" w:lastRowLastColumn="0"/>
            </w:pPr>
            <w:r>
              <w:t>1 886</w:t>
            </w:r>
          </w:p>
        </w:tc>
        <w:tc>
          <w:tcPr>
            <w:tcW w:w="794" w:type="dxa"/>
          </w:tcPr>
          <w:p w14:paraId="027D1F0F" w14:textId="77777777" w:rsidR="00AB205D" w:rsidRDefault="00471A3B">
            <w:pPr>
              <w:cnfStyle w:val="000000000000" w:firstRow="0" w:lastRow="0" w:firstColumn="0" w:lastColumn="0" w:oddVBand="0" w:evenVBand="0" w:oddHBand="0" w:evenHBand="0" w:firstRowFirstColumn="0" w:firstRowLastColumn="0" w:lastRowFirstColumn="0" w:lastRowLastColumn="0"/>
            </w:pPr>
            <w:r>
              <w:t>1 581</w:t>
            </w:r>
          </w:p>
        </w:tc>
      </w:tr>
      <w:tr w:rsidR="009C6724" w14:paraId="7D25F6A7"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1A1B3443" w14:textId="77777777" w:rsidR="00AB205D" w:rsidRDefault="00471A3B">
            <w:r>
              <w:t>Deposits received (net)</w:t>
            </w:r>
          </w:p>
        </w:tc>
        <w:tc>
          <w:tcPr>
            <w:tcW w:w="794" w:type="dxa"/>
          </w:tcPr>
          <w:p w14:paraId="20B0A4E4" w14:textId="77777777" w:rsidR="00AB205D" w:rsidRDefault="00471A3B">
            <w:pPr>
              <w:cnfStyle w:val="000000000000" w:firstRow="0" w:lastRow="0" w:firstColumn="0" w:lastColumn="0" w:oddVBand="0" w:evenVBand="0" w:oddHBand="0" w:evenHBand="0" w:firstRowFirstColumn="0" w:firstRowLastColumn="0" w:lastRowFirstColumn="0" w:lastRowLastColumn="0"/>
            </w:pPr>
            <w:r>
              <w:t>(12)</w:t>
            </w:r>
          </w:p>
        </w:tc>
        <w:tc>
          <w:tcPr>
            <w:tcW w:w="794" w:type="dxa"/>
          </w:tcPr>
          <w:p w14:paraId="33B27B4C" w14:textId="77777777" w:rsidR="00AB205D" w:rsidRDefault="00471A3B">
            <w:pPr>
              <w:cnfStyle w:val="000000000000" w:firstRow="0" w:lastRow="0" w:firstColumn="0" w:lastColumn="0" w:oddVBand="0" w:evenVBand="0" w:oddHBand="0" w:evenHBand="0" w:firstRowFirstColumn="0" w:firstRowLastColumn="0" w:lastRowFirstColumn="0" w:lastRowLastColumn="0"/>
            </w:pPr>
            <w:r>
              <w:t>(54)</w:t>
            </w:r>
          </w:p>
        </w:tc>
        <w:tc>
          <w:tcPr>
            <w:tcW w:w="794" w:type="dxa"/>
          </w:tcPr>
          <w:p w14:paraId="6130DC7D" w14:textId="77777777" w:rsidR="00AB205D" w:rsidRDefault="00471A3B">
            <w:pPr>
              <w:cnfStyle w:val="000000000000" w:firstRow="0" w:lastRow="0" w:firstColumn="0" w:lastColumn="0" w:oddVBand="0" w:evenVBand="0" w:oddHBand="0" w:evenHBand="0" w:firstRowFirstColumn="0" w:firstRowLastColumn="0" w:lastRowFirstColumn="0" w:lastRowLastColumn="0"/>
            </w:pPr>
            <w:r>
              <w:t>(10)</w:t>
            </w:r>
          </w:p>
        </w:tc>
        <w:tc>
          <w:tcPr>
            <w:tcW w:w="794" w:type="dxa"/>
          </w:tcPr>
          <w:p w14:paraId="2A8784FF" w14:textId="77777777" w:rsidR="00AB205D" w:rsidRDefault="00471A3B">
            <w:pPr>
              <w:cnfStyle w:val="000000000000" w:firstRow="0" w:lastRow="0" w:firstColumn="0" w:lastColumn="0" w:oddVBand="0" w:evenVBand="0" w:oddHBand="0" w:evenHBand="0" w:firstRowFirstColumn="0" w:firstRowLastColumn="0" w:lastRowFirstColumn="0" w:lastRowLastColumn="0"/>
            </w:pPr>
            <w:r>
              <w:t>3</w:t>
            </w:r>
          </w:p>
        </w:tc>
        <w:tc>
          <w:tcPr>
            <w:tcW w:w="794" w:type="dxa"/>
          </w:tcPr>
          <w:p w14:paraId="2C05FF75" w14:textId="77777777" w:rsidR="00AB205D" w:rsidRDefault="00471A3B">
            <w:pPr>
              <w:cnfStyle w:val="000000000000" w:firstRow="0" w:lastRow="0" w:firstColumn="0" w:lastColumn="0" w:oddVBand="0" w:evenVBand="0" w:oddHBand="0" w:evenHBand="0" w:firstRowFirstColumn="0" w:firstRowLastColumn="0" w:lastRowFirstColumn="0" w:lastRowLastColumn="0"/>
            </w:pPr>
            <w:r>
              <w:t>(14)</w:t>
            </w:r>
          </w:p>
        </w:tc>
      </w:tr>
      <w:tr w:rsidR="009C6724" w14:paraId="2B62D0AD"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34746BFD" w14:textId="77777777" w:rsidR="00AB205D" w:rsidRDefault="00471A3B">
            <w:r>
              <w:t>Other financing (net)</w:t>
            </w:r>
          </w:p>
        </w:tc>
        <w:tc>
          <w:tcPr>
            <w:tcW w:w="794" w:type="dxa"/>
            <w:tcBorders>
              <w:bottom w:val="single" w:sz="6" w:space="0" w:color="auto"/>
            </w:tcBorders>
          </w:tcPr>
          <w:p w14:paraId="715FA48B" w14:textId="77777777" w:rsidR="00AB205D" w:rsidRDefault="00471A3B">
            <w:pPr>
              <w:cnfStyle w:val="000000000000" w:firstRow="0" w:lastRow="0" w:firstColumn="0" w:lastColumn="0" w:oddVBand="0" w:evenVBand="0" w:oddHBand="0" w:evenHBand="0" w:firstRowFirstColumn="0" w:firstRowLastColumn="0" w:lastRowFirstColumn="0" w:lastRowLastColumn="0"/>
            </w:pPr>
            <w:r>
              <w:t>2 124</w:t>
            </w:r>
          </w:p>
        </w:tc>
        <w:tc>
          <w:tcPr>
            <w:tcW w:w="794" w:type="dxa"/>
            <w:tcBorders>
              <w:bottom w:val="single" w:sz="6" w:space="0" w:color="auto"/>
            </w:tcBorders>
          </w:tcPr>
          <w:p w14:paraId="7D386E51" w14:textId="77777777" w:rsidR="00AB205D" w:rsidRDefault="00471A3B">
            <w:pPr>
              <w:cnfStyle w:val="000000000000" w:firstRow="0" w:lastRow="0" w:firstColumn="0" w:lastColumn="0" w:oddVBand="0" w:evenVBand="0" w:oddHBand="0" w:evenHBand="0" w:firstRowFirstColumn="0" w:firstRowLastColumn="0" w:lastRowFirstColumn="0" w:lastRowLastColumn="0"/>
            </w:pPr>
            <w:r>
              <w:t>1 305</w:t>
            </w:r>
          </w:p>
        </w:tc>
        <w:tc>
          <w:tcPr>
            <w:tcW w:w="794" w:type="dxa"/>
            <w:tcBorders>
              <w:bottom w:val="single" w:sz="6" w:space="0" w:color="auto"/>
            </w:tcBorders>
          </w:tcPr>
          <w:p w14:paraId="78ED0325" w14:textId="77777777" w:rsidR="00AB205D" w:rsidRDefault="00471A3B">
            <w:pPr>
              <w:cnfStyle w:val="000000000000" w:firstRow="0" w:lastRow="0" w:firstColumn="0" w:lastColumn="0" w:oddVBand="0" w:evenVBand="0" w:oddHBand="0" w:evenHBand="0" w:firstRowFirstColumn="0" w:firstRowLastColumn="0" w:lastRowFirstColumn="0" w:lastRowLastColumn="0"/>
            </w:pPr>
            <w:r>
              <w:t>2 947</w:t>
            </w:r>
          </w:p>
        </w:tc>
        <w:tc>
          <w:tcPr>
            <w:tcW w:w="794" w:type="dxa"/>
            <w:tcBorders>
              <w:bottom w:val="single" w:sz="6" w:space="0" w:color="auto"/>
            </w:tcBorders>
          </w:tcPr>
          <w:p w14:paraId="379EAE09" w14:textId="77777777" w:rsidR="00AB205D" w:rsidRDefault="00471A3B">
            <w:pPr>
              <w:cnfStyle w:val="000000000000" w:firstRow="0" w:lastRow="0" w:firstColumn="0" w:lastColumn="0" w:oddVBand="0" w:evenVBand="0" w:oddHBand="0" w:evenHBand="0" w:firstRowFirstColumn="0" w:firstRowLastColumn="0" w:lastRowFirstColumn="0" w:lastRowLastColumn="0"/>
            </w:pPr>
            <w:r>
              <w:t>2 599</w:t>
            </w:r>
          </w:p>
        </w:tc>
        <w:tc>
          <w:tcPr>
            <w:tcW w:w="794" w:type="dxa"/>
            <w:tcBorders>
              <w:bottom w:val="single" w:sz="6" w:space="0" w:color="auto"/>
            </w:tcBorders>
          </w:tcPr>
          <w:p w14:paraId="5D875207" w14:textId="77777777" w:rsidR="00AB205D" w:rsidRDefault="00471A3B">
            <w:pPr>
              <w:cnfStyle w:val="000000000000" w:firstRow="0" w:lastRow="0" w:firstColumn="0" w:lastColumn="0" w:oddVBand="0" w:evenVBand="0" w:oddHBand="0" w:evenHBand="0" w:firstRowFirstColumn="0" w:firstRowLastColumn="0" w:lastRowFirstColumn="0" w:lastRowLastColumn="0"/>
            </w:pPr>
            <w:r>
              <w:t>2 387</w:t>
            </w:r>
          </w:p>
        </w:tc>
      </w:tr>
      <w:tr w:rsidR="009C6724" w14:paraId="23275582"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08EC598A" w14:textId="77777777" w:rsidR="00AB205D" w:rsidRDefault="00471A3B">
            <w:r>
              <w:rPr>
                <w:b/>
              </w:rPr>
              <w:t>Net cash flows from financing activities</w:t>
            </w:r>
          </w:p>
        </w:tc>
        <w:tc>
          <w:tcPr>
            <w:tcW w:w="794" w:type="dxa"/>
            <w:tcBorders>
              <w:top w:val="single" w:sz="6" w:space="0" w:color="auto"/>
              <w:bottom w:val="single" w:sz="6" w:space="0" w:color="auto"/>
            </w:tcBorders>
          </w:tcPr>
          <w:p w14:paraId="6E33AAB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6 234</w:t>
            </w:r>
          </w:p>
        </w:tc>
        <w:tc>
          <w:tcPr>
            <w:tcW w:w="794" w:type="dxa"/>
            <w:tcBorders>
              <w:top w:val="single" w:sz="6" w:space="0" w:color="auto"/>
              <w:bottom w:val="single" w:sz="6" w:space="0" w:color="auto"/>
            </w:tcBorders>
          </w:tcPr>
          <w:p w14:paraId="4F2844E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5 907</w:t>
            </w:r>
          </w:p>
        </w:tc>
        <w:tc>
          <w:tcPr>
            <w:tcW w:w="794" w:type="dxa"/>
            <w:tcBorders>
              <w:top w:val="single" w:sz="6" w:space="0" w:color="auto"/>
              <w:bottom w:val="single" w:sz="6" w:space="0" w:color="auto"/>
            </w:tcBorders>
          </w:tcPr>
          <w:p w14:paraId="56E854D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4 752</w:t>
            </w:r>
          </w:p>
        </w:tc>
        <w:tc>
          <w:tcPr>
            <w:tcW w:w="794" w:type="dxa"/>
            <w:tcBorders>
              <w:top w:val="single" w:sz="6" w:space="0" w:color="auto"/>
              <w:bottom w:val="single" w:sz="6" w:space="0" w:color="auto"/>
            </w:tcBorders>
          </w:tcPr>
          <w:p w14:paraId="2A0ABC4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4 582</w:t>
            </w:r>
          </w:p>
        </w:tc>
        <w:tc>
          <w:tcPr>
            <w:tcW w:w="794" w:type="dxa"/>
            <w:tcBorders>
              <w:top w:val="single" w:sz="6" w:space="0" w:color="auto"/>
              <w:bottom w:val="single" w:sz="6" w:space="0" w:color="auto"/>
            </w:tcBorders>
          </w:tcPr>
          <w:p w14:paraId="78E5CE4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4 049</w:t>
            </w:r>
          </w:p>
        </w:tc>
      </w:tr>
      <w:tr w:rsidR="009C6724" w14:paraId="7680EAC5"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37081C4B" w14:textId="77777777" w:rsidR="00AB205D" w:rsidRDefault="00471A3B">
            <w:r>
              <w:rPr>
                <w:b/>
              </w:rPr>
              <w:t>Net increase/(decrease) in cash and cash equivalents</w:t>
            </w:r>
          </w:p>
        </w:tc>
        <w:tc>
          <w:tcPr>
            <w:tcW w:w="794" w:type="dxa"/>
            <w:tcBorders>
              <w:top w:val="single" w:sz="6" w:space="0" w:color="auto"/>
            </w:tcBorders>
          </w:tcPr>
          <w:p w14:paraId="4D32285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(553)</w:t>
            </w:r>
          </w:p>
        </w:tc>
        <w:tc>
          <w:tcPr>
            <w:tcW w:w="794" w:type="dxa"/>
            <w:tcBorders>
              <w:top w:val="single" w:sz="6" w:space="0" w:color="auto"/>
            </w:tcBorders>
          </w:tcPr>
          <w:p w14:paraId="184242D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(1 337)</w:t>
            </w:r>
          </w:p>
        </w:tc>
        <w:tc>
          <w:tcPr>
            <w:tcW w:w="794" w:type="dxa"/>
            <w:tcBorders>
              <w:top w:val="single" w:sz="6" w:space="0" w:color="auto"/>
            </w:tcBorders>
          </w:tcPr>
          <w:p w14:paraId="410ACC2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(277)</w:t>
            </w:r>
          </w:p>
        </w:tc>
        <w:tc>
          <w:tcPr>
            <w:tcW w:w="794" w:type="dxa"/>
            <w:tcBorders>
              <w:top w:val="single" w:sz="6" w:space="0" w:color="auto"/>
            </w:tcBorders>
          </w:tcPr>
          <w:p w14:paraId="5647E2A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5</w:t>
            </w:r>
          </w:p>
        </w:tc>
        <w:tc>
          <w:tcPr>
            <w:tcW w:w="794" w:type="dxa"/>
            <w:tcBorders>
              <w:top w:val="single" w:sz="6" w:space="0" w:color="auto"/>
            </w:tcBorders>
          </w:tcPr>
          <w:p w14:paraId="1ECE96E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(60)</w:t>
            </w:r>
          </w:p>
        </w:tc>
      </w:tr>
      <w:tr w:rsidR="009C6724" w14:paraId="4C8106DE"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4ABB7E41" w14:textId="77777777" w:rsidR="00AB205D" w:rsidRDefault="00471A3B">
            <w:r>
              <w:t>Cash and cash equivalents at beginning of reporting period</w:t>
            </w:r>
            <w:r>
              <w:rPr>
                <w:vertAlign w:val="superscript"/>
              </w:rPr>
              <w:t xml:space="preserve"> (b)(c)</w:t>
            </w:r>
          </w:p>
        </w:tc>
        <w:tc>
          <w:tcPr>
            <w:tcW w:w="794" w:type="dxa"/>
            <w:tcBorders>
              <w:bottom w:val="single" w:sz="6" w:space="0" w:color="auto"/>
            </w:tcBorders>
          </w:tcPr>
          <w:p w14:paraId="15E752AA" w14:textId="77777777" w:rsidR="00AB205D" w:rsidRDefault="00471A3B">
            <w:pPr>
              <w:cnfStyle w:val="000000000000" w:firstRow="0" w:lastRow="0" w:firstColumn="0" w:lastColumn="0" w:oddVBand="0" w:evenVBand="0" w:oddHBand="0" w:evenHBand="0" w:firstRowFirstColumn="0" w:firstRowLastColumn="0" w:lastRowFirstColumn="0" w:lastRowLastColumn="0"/>
            </w:pPr>
            <w:r>
              <w:t>2 232</w:t>
            </w:r>
          </w:p>
        </w:tc>
        <w:tc>
          <w:tcPr>
            <w:tcW w:w="794" w:type="dxa"/>
            <w:tcBorders>
              <w:bottom w:val="single" w:sz="6" w:space="0" w:color="auto"/>
            </w:tcBorders>
          </w:tcPr>
          <w:p w14:paraId="665B0F6F" w14:textId="77777777" w:rsidR="00AB205D" w:rsidRDefault="00471A3B">
            <w:pPr>
              <w:cnfStyle w:val="000000000000" w:firstRow="0" w:lastRow="0" w:firstColumn="0" w:lastColumn="0" w:oddVBand="0" w:evenVBand="0" w:oddHBand="0" w:evenHBand="0" w:firstRowFirstColumn="0" w:firstRowLastColumn="0" w:lastRowFirstColumn="0" w:lastRowLastColumn="0"/>
            </w:pPr>
            <w:r>
              <w:t>2 232</w:t>
            </w:r>
          </w:p>
        </w:tc>
        <w:tc>
          <w:tcPr>
            <w:tcW w:w="794" w:type="dxa"/>
            <w:tcBorders>
              <w:bottom w:val="single" w:sz="6" w:space="0" w:color="auto"/>
            </w:tcBorders>
          </w:tcPr>
          <w:p w14:paraId="4E6C00B2" w14:textId="77777777" w:rsidR="00AB205D" w:rsidRDefault="00471A3B">
            <w:pPr>
              <w:cnfStyle w:val="000000000000" w:firstRow="0" w:lastRow="0" w:firstColumn="0" w:lastColumn="0" w:oddVBand="0" w:evenVBand="0" w:oddHBand="0" w:evenHBand="0" w:firstRowFirstColumn="0" w:firstRowLastColumn="0" w:lastRowFirstColumn="0" w:lastRowLastColumn="0"/>
            </w:pPr>
            <w:r>
              <w:t>895</w:t>
            </w:r>
          </w:p>
        </w:tc>
        <w:tc>
          <w:tcPr>
            <w:tcW w:w="794" w:type="dxa"/>
            <w:tcBorders>
              <w:bottom w:val="single" w:sz="6" w:space="0" w:color="auto"/>
            </w:tcBorders>
          </w:tcPr>
          <w:p w14:paraId="206391AB" w14:textId="77777777" w:rsidR="00AB205D" w:rsidRDefault="00471A3B">
            <w:pPr>
              <w:cnfStyle w:val="000000000000" w:firstRow="0" w:lastRow="0" w:firstColumn="0" w:lastColumn="0" w:oddVBand="0" w:evenVBand="0" w:oddHBand="0" w:evenHBand="0" w:firstRowFirstColumn="0" w:firstRowLastColumn="0" w:lastRowFirstColumn="0" w:lastRowLastColumn="0"/>
            </w:pPr>
            <w:r>
              <w:t>618</w:t>
            </w:r>
          </w:p>
        </w:tc>
        <w:tc>
          <w:tcPr>
            <w:tcW w:w="794" w:type="dxa"/>
            <w:tcBorders>
              <w:bottom w:val="single" w:sz="6" w:space="0" w:color="auto"/>
            </w:tcBorders>
          </w:tcPr>
          <w:p w14:paraId="26D82144" w14:textId="77777777" w:rsidR="00AB205D" w:rsidRDefault="00471A3B">
            <w:pPr>
              <w:cnfStyle w:val="000000000000" w:firstRow="0" w:lastRow="0" w:firstColumn="0" w:lastColumn="0" w:oddVBand="0" w:evenVBand="0" w:oddHBand="0" w:evenHBand="0" w:firstRowFirstColumn="0" w:firstRowLastColumn="0" w:lastRowFirstColumn="0" w:lastRowLastColumn="0"/>
            </w:pPr>
            <w:r>
              <w:t>623</w:t>
            </w:r>
          </w:p>
        </w:tc>
      </w:tr>
      <w:tr w:rsidR="009C6724" w14:paraId="56CCB381"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0CF15256" w14:textId="77777777" w:rsidR="00AB205D" w:rsidRDefault="00471A3B">
            <w:r>
              <w:rPr>
                <w:b/>
              </w:rPr>
              <w:t>Cash and cash equivalents at end of reporting period</w:t>
            </w:r>
            <w:r>
              <w:rPr>
                <w:b/>
                <w:vertAlign w:val="superscript"/>
              </w:rPr>
              <w:t xml:space="preserve"> (b)(c)</w:t>
            </w:r>
          </w:p>
        </w:tc>
        <w:tc>
          <w:tcPr>
            <w:tcW w:w="794" w:type="dxa"/>
            <w:tcBorders>
              <w:top w:val="single" w:sz="6" w:space="0" w:color="auto"/>
              <w:bottom w:val="single" w:sz="6" w:space="0" w:color="auto"/>
            </w:tcBorders>
          </w:tcPr>
          <w:p w14:paraId="20F05EF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1 679</w:t>
            </w:r>
          </w:p>
        </w:tc>
        <w:tc>
          <w:tcPr>
            <w:tcW w:w="794" w:type="dxa"/>
            <w:tcBorders>
              <w:top w:val="single" w:sz="6" w:space="0" w:color="auto"/>
              <w:bottom w:val="single" w:sz="6" w:space="0" w:color="auto"/>
            </w:tcBorders>
          </w:tcPr>
          <w:p w14:paraId="4079277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895</w:t>
            </w:r>
          </w:p>
        </w:tc>
        <w:tc>
          <w:tcPr>
            <w:tcW w:w="794" w:type="dxa"/>
            <w:tcBorders>
              <w:top w:val="single" w:sz="6" w:space="0" w:color="auto"/>
              <w:bottom w:val="single" w:sz="6" w:space="0" w:color="auto"/>
            </w:tcBorders>
          </w:tcPr>
          <w:p w14:paraId="02ECD1D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618</w:t>
            </w:r>
          </w:p>
        </w:tc>
        <w:tc>
          <w:tcPr>
            <w:tcW w:w="794" w:type="dxa"/>
            <w:tcBorders>
              <w:top w:val="single" w:sz="6" w:space="0" w:color="auto"/>
              <w:bottom w:val="single" w:sz="6" w:space="0" w:color="auto"/>
            </w:tcBorders>
          </w:tcPr>
          <w:p w14:paraId="523BAA8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623</w:t>
            </w:r>
          </w:p>
        </w:tc>
        <w:tc>
          <w:tcPr>
            <w:tcW w:w="794" w:type="dxa"/>
            <w:tcBorders>
              <w:top w:val="single" w:sz="6" w:space="0" w:color="auto"/>
              <w:bottom w:val="single" w:sz="6" w:space="0" w:color="auto"/>
            </w:tcBorders>
          </w:tcPr>
          <w:p w14:paraId="5609F36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562</w:t>
            </w:r>
          </w:p>
        </w:tc>
      </w:tr>
    </w:tbl>
    <w:p w14:paraId="060F2EF6" w14:textId="77777777" w:rsidR="00AB205D" w:rsidRPr="0016592B" w:rsidRDefault="00471A3B">
      <w:pPr>
        <w:pStyle w:val="TableHeading"/>
        <w:pageBreakBefore/>
      </w:pPr>
      <w:r w:rsidRPr="00921F69">
        <w:lastRenderedPageBreak/>
        <w:t>Table 5.3</w:t>
      </w:r>
      <w:r w:rsidRPr="00921F69">
        <w:tab/>
        <w:t xml:space="preserve">Public non-financial corporations sector cash flow statement </w:t>
      </w:r>
      <w:r>
        <w:br/>
      </w:r>
      <w:r w:rsidRPr="00921F69">
        <w:t>for the financial year ended 30 June</w:t>
      </w:r>
      <w:r>
        <w:t xml:space="preserve"> </w:t>
      </w:r>
      <w:r w:rsidRPr="00174DB6">
        <w:rPr>
          <w:i/>
          <w:iCs w:val="0"/>
          <w:sz w:val="18"/>
          <w:szCs w:val="16"/>
        </w:rPr>
        <w:t>(continued)</w:t>
      </w:r>
      <w:r w:rsidRPr="00921F69">
        <w:tab/>
        <w:t>($ million)</w:t>
      </w:r>
    </w:p>
    <w:tbl>
      <w:tblPr>
        <w:tblStyle w:val="DTFTableNumeric"/>
        <w:tblW w:w="7710" w:type="dxa"/>
        <w:tblLayout w:type="fixed"/>
        <w:tblLook w:val="06A0" w:firstRow="1" w:lastRow="0" w:firstColumn="1" w:lastColumn="0" w:noHBand="1" w:noVBand="1"/>
        <w:tblDescription w:val="Type:DtfTable|Workbook:Rawdata\BudgetUpdate\Budget Update\Financial Statements\SRIMS exports\SRIMS_BU_UPF_PNFC_PFC.xlsx|Table:PNFC_CF|MergedHeadingRow:1|FirstRow:46"/>
      </w:tblPr>
      <w:tblGrid>
        <w:gridCol w:w="3740"/>
        <w:gridCol w:w="794"/>
        <w:gridCol w:w="794"/>
        <w:gridCol w:w="794"/>
        <w:gridCol w:w="794"/>
        <w:gridCol w:w="794"/>
      </w:tblGrid>
      <w:tr w:rsidR="009C6724" w14:paraId="553F5617"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0F8957B4" w14:textId="77777777" w:rsidR="00AB205D" w:rsidRDefault="00AB205D">
            <w:pPr>
              <w:keepNext/>
            </w:pPr>
          </w:p>
        </w:tc>
        <w:tc>
          <w:tcPr>
            <w:tcW w:w="794" w:type="dxa"/>
          </w:tcPr>
          <w:p w14:paraId="22F6610B"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budget</w:t>
            </w:r>
          </w:p>
        </w:tc>
        <w:tc>
          <w:tcPr>
            <w:tcW w:w="794" w:type="dxa"/>
          </w:tcPr>
          <w:p w14:paraId="60F5B5DD"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revised</w:t>
            </w:r>
          </w:p>
        </w:tc>
        <w:tc>
          <w:tcPr>
            <w:tcW w:w="794" w:type="dxa"/>
          </w:tcPr>
          <w:p w14:paraId="4D4EDB71"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r>
              <w:br/>
              <w:t>estimate</w:t>
            </w:r>
          </w:p>
        </w:tc>
        <w:tc>
          <w:tcPr>
            <w:tcW w:w="794" w:type="dxa"/>
          </w:tcPr>
          <w:p w14:paraId="65455710"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3029F8ED"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r>
      <w:tr w:rsidR="009C6724" w14:paraId="3886B5A5"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79D6A0D2" w14:textId="77777777" w:rsidR="00AB205D" w:rsidRDefault="00471A3B">
            <w:r>
              <w:rPr>
                <w:b/>
              </w:rPr>
              <w:t>FISCAL AGGREGATES</w:t>
            </w:r>
          </w:p>
        </w:tc>
        <w:tc>
          <w:tcPr>
            <w:tcW w:w="794" w:type="dxa"/>
          </w:tcPr>
          <w:p w14:paraId="39E48AC8"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FACE31D"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76919BCF"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4B1350F4"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F158B1D"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57832B19"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2F35A2D" w14:textId="77777777" w:rsidR="00AB205D" w:rsidRDefault="00471A3B">
            <w:r>
              <w:t>Net cash flows from operating activities</w:t>
            </w:r>
          </w:p>
        </w:tc>
        <w:tc>
          <w:tcPr>
            <w:tcW w:w="794" w:type="dxa"/>
          </w:tcPr>
          <w:p w14:paraId="6CD74504" w14:textId="77777777" w:rsidR="00AB205D" w:rsidRDefault="00471A3B">
            <w:pPr>
              <w:cnfStyle w:val="000000000000" w:firstRow="0" w:lastRow="0" w:firstColumn="0" w:lastColumn="0" w:oddVBand="0" w:evenVBand="0" w:oddHBand="0" w:evenHBand="0" w:firstRowFirstColumn="0" w:firstRowLastColumn="0" w:lastRowFirstColumn="0" w:lastRowLastColumn="0"/>
            </w:pPr>
            <w:r>
              <w:t>1 030</w:t>
            </w:r>
          </w:p>
        </w:tc>
        <w:tc>
          <w:tcPr>
            <w:tcW w:w="794" w:type="dxa"/>
          </w:tcPr>
          <w:p w14:paraId="197F8E09" w14:textId="77777777" w:rsidR="00AB205D" w:rsidRDefault="00471A3B">
            <w:pPr>
              <w:cnfStyle w:val="000000000000" w:firstRow="0" w:lastRow="0" w:firstColumn="0" w:lastColumn="0" w:oddVBand="0" w:evenVBand="0" w:oddHBand="0" w:evenHBand="0" w:firstRowFirstColumn="0" w:firstRowLastColumn="0" w:lastRowFirstColumn="0" w:lastRowLastColumn="0"/>
            </w:pPr>
            <w:r>
              <w:t>866</w:t>
            </w:r>
          </w:p>
        </w:tc>
        <w:tc>
          <w:tcPr>
            <w:tcW w:w="794" w:type="dxa"/>
          </w:tcPr>
          <w:p w14:paraId="4D78B22E" w14:textId="77777777" w:rsidR="00AB205D" w:rsidRDefault="00471A3B">
            <w:pPr>
              <w:cnfStyle w:val="000000000000" w:firstRow="0" w:lastRow="0" w:firstColumn="0" w:lastColumn="0" w:oddVBand="0" w:evenVBand="0" w:oddHBand="0" w:evenHBand="0" w:firstRowFirstColumn="0" w:firstRowLastColumn="0" w:lastRowFirstColumn="0" w:lastRowLastColumn="0"/>
            </w:pPr>
            <w:r>
              <w:t>1 592</w:t>
            </w:r>
          </w:p>
        </w:tc>
        <w:tc>
          <w:tcPr>
            <w:tcW w:w="794" w:type="dxa"/>
          </w:tcPr>
          <w:p w14:paraId="2A58706B" w14:textId="77777777" w:rsidR="00AB205D" w:rsidRDefault="00471A3B">
            <w:pPr>
              <w:cnfStyle w:val="000000000000" w:firstRow="0" w:lastRow="0" w:firstColumn="0" w:lastColumn="0" w:oddVBand="0" w:evenVBand="0" w:oddHBand="0" w:evenHBand="0" w:firstRowFirstColumn="0" w:firstRowLastColumn="0" w:lastRowFirstColumn="0" w:lastRowLastColumn="0"/>
            </w:pPr>
            <w:r>
              <w:t>2 123</w:t>
            </w:r>
          </w:p>
        </w:tc>
        <w:tc>
          <w:tcPr>
            <w:tcW w:w="794" w:type="dxa"/>
          </w:tcPr>
          <w:p w14:paraId="1DDD8D51" w14:textId="77777777" w:rsidR="00AB205D" w:rsidRDefault="00471A3B">
            <w:pPr>
              <w:cnfStyle w:val="000000000000" w:firstRow="0" w:lastRow="0" w:firstColumn="0" w:lastColumn="0" w:oddVBand="0" w:evenVBand="0" w:oddHBand="0" w:evenHBand="0" w:firstRowFirstColumn="0" w:firstRowLastColumn="0" w:lastRowFirstColumn="0" w:lastRowLastColumn="0"/>
            </w:pPr>
            <w:r>
              <w:t>1 996</w:t>
            </w:r>
          </w:p>
        </w:tc>
      </w:tr>
      <w:tr w:rsidR="009C6724" w14:paraId="5B52F771"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5E1953A5" w14:textId="77777777" w:rsidR="00AB205D" w:rsidRDefault="00471A3B">
            <w:r>
              <w:t>Dividends paid</w:t>
            </w:r>
          </w:p>
        </w:tc>
        <w:tc>
          <w:tcPr>
            <w:tcW w:w="794" w:type="dxa"/>
          </w:tcPr>
          <w:p w14:paraId="0CAABA8F" w14:textId="77777777" w:rsidR="00AB205D" w:rsidRDefault="00471A3B">
            <w:pPr>
              <w:cnfStyle w:val="000000000000" w:firstRow="0" w:lastRow="0" w:firstColumn="0" w:lastColumn="0" w:oddVBand="0" w:evenVBand="0" w:oddHBand="0" w:evenHBand="0" w:firstRowFirstColumn="0" w:firstRowLastColumn="0" w:lastRowFirstColumn="0" w:lastRowLastColumn="0"/>
            </w:pPr>
            <w:r>
              <w:t>(162)</w:t>
            </w:r>
          </w:p>
        </w:tc>
        <w:tc>
          <w:tcPr>
            <w:tcW w:w="794" w:type="dxa"/>
          </w:tcPr>
          <w:p w14:paraId="0CC3BCB8" w14:textId="77777777" w:rsidR="00AB205D" w:rsidRDefault="00471A3B">
            <w:pPr>
              <w:cnfStyle w:val="000000000000" w:firstRow="0" w:lastRow="0" w:firstColumn="0" w:lastColumn="0" w:oddVBand="0" w:evenVBand="0" w:oddHBand="0" w:evenHBand="0" w:firstRowFirstColumn="0" w:firstRowLastColumn="0" w:lastRowFirstColumn="0" w:lastRowLastColumn="0"/>
            </w:pPr>
            <w:r>
              <w:t>(213)</w:t>
            </w:r>
          </w:p>
        </w:tc>
        <w:tc>
          <w:tcPr>
            <w:tcW w:w="794" w:type="dxa"/>
          </w:tcPr>
          <w:p w14:paraId="4C2B9E3C" w14:textId="77777777" w:rsidR="00AB205D" w:rsidRDefault="00471A3B">
            <w:pPr>
              <w:cnfStyle w:val="000000000000" w:firstRow="0" w:lastRow="0" w:firstColumn="0" w:lastColumn="0" w:oddVBand="0" w:evenVBand="0" w:oddHBand="0" w:evenHBand="0" w:firstRowFirstColumn="0" w:firstRowLastColumn="0" w:lastRowFirstColumn="0" w:lastRowLastColumn="0"/>
            </w:pPr>
            <w:r>
              <w:t>(176)</w:t>
            </w:r>
          </w:p>
        </w:tc>
        <w:tc>
          <w:tcPr>
            <w:tcW w:w="794" w:type="dxa"/>
          </w:tcPr>
          <w:p w14:paraId="406230E6" w14:textId="77777777" w:rsidR="00AB205D" w:rsidRDefault="00471A3B">
            <w:pPr>
              <w:cnfStyle w:val="000000000000" w:firstRow="0" w:lastRow="0" w:firstColumn="0" w:lastColumn="0" w:oddVBand="0" w:evenVBand="0" w:oddHBand="0" w:evenHBand="0" w:firstRowFirstColumn="0" w:firstRowLastColumn="0" w:lastRowFirstColumn="0" w:lastRowLastColumn="0"/>
            </w:pPr>
            <w:r>
              <w:t>(199)</w:t>
            </w:r>
          </w:p>
        </w:tc>
        <w:tc>
          <w:tcPr>
            <w:tcW w:w="794" w:type="dxa"/>
          </w:tcPr>
          <w:p w14:paraId="11FABDE0" w14:textId="77777777" w:rsidR="00AB205D" w:rsidRDefault="00471A3B">
            <w:pPr>
              <w:cnfStyle w:val="000000000000" w:firstRow="0" w:lastRow="0" w:firstColumn="0" w:lastColumn="0" w:oddVBand="0" w:evenVBand="0" w:oddHBand="0" w:evenHBand="0" w:firstRowFirstColumn="0" w:firstRowLastColumn="0" w:lastRowFirstColumn="0" w:lastRowLastColumn="0"/>
            </w:pPr>
            <w:r>
              <w:t>(191)</w:t>
            </w:r>
          </w:p>
        </w:tc>
      </w:tr>
      <w:tr w:rsidR="009C6724" w14:paraId="4E002C30"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18EB8551" w14:textId="77777777" w:rsidR="00AB205D" w:rsidRDefault="00471A3B">
            <w:r>
              <w:t>Net cash flows from investments in non</w:t>
            </w:r>
            <w:r>
              <w:noBreakHyphen/>
              <w:t>financial assets</w:t>
            </w:r>
          </w:p>
        </w:tc>
        <w:tc>
          <w:tcPr>
            <w:tcW w:w="794" w:type="dxa"/>
            <w:tcBorders>
              <w:bottom w:val="single" w:sz="6" w:space="0" w:color="auto"/>
            </w:tcBorders>
          </w:tcPr>
          <w:p w14:paraId="1E66310C" w14:textId="77777777" w:rsidR="00AB205D" w:rsidRDefault="00471A3B">
            <w:pPr>
              <w:cnfStyle w:val="000000000000" w:firstRow="0" w:lastRow="0" w:firstColumn="0" w:lastColumn="0" w:oddVBand="0" w:evenVBand="0" w:oddHBand="0" w:evenHBand="0" w:firstRowFirstColumn="0" w:firstRowLastColumn="0" w:lastRowFirstColumn="0" w:lastRowLastColumn="0"/>
            </w:pPr>
            <w:r>
              <w:t>(7 879)</w:t>
            </w:r>
          </w:p>
        </w:tc>
        <w:tc>
          <w:tcPr>
            <w:tcW w:w="794" w:type="dxa"/>
            <w:tcBorders>
              <w:bottom w:val="single" w:sz="6" w:space="0" w:color="auto"/>
            </w:tcBorders>
          </w:tcPr>
          <w:p w14:paraId="51744AD0" w14:textId="77777777" w:rsidR="00AB205D" w:rsidRDefault="00471A3B">
            <w:pPr>
              <w:cnfStyle w:val="000000000000" w:firstRow="0" w:lastRow="0" w:firstColumn="0" w:lastColumn="0" w:oddVBand="0" w:evenVBand="0" w:oddHBand="0" w:evenHBand="0" w:firstRowFirstColumn="0" w:firstRowLastColumn="0" w:lastRowFirstColumn="0" w:lastRowLastColumn="0"/>
            </w:pPr>
            <w:r>
              <w:t>(8 332)</w:t>
            </w:r>
          </w:p>
        </w:tc>
        <w:tc>
          <w:tcPr>
            <w:tcW w:w="794" w:type="dxa"/>
            <w:tcBorders>
              <w:bottom w:val="single" w:sz="6" w:space="0" w:color="auto"/>
            </w:tcBorders>
          </w:tcPr>
          <w:p w14:paraId="7566E2E7" w14:textId="77777777" w:rsidR="00AB205D" w:rsidRDefault="00471A3B">
            <w:pPr>
              <w:cnfStyle w:val="000000000000" w:firstRow="0" w:lastRow="0" w:firstColumn="0" w:lastColumn="0" w:oddVBand="0" w:evenVBand="0" w:oddHBand="0" w:evenHBand="0" w:firstRowFirstColumn="0" w:firstRowLastColumn="0" w:lastRowFirstColumn="0" w:lastRowLastColumn="0"/>
            </w:pPr>
            <w:r>
              <w:t>(6 701)</w:t>
            </w:r>
          </w:p>
        </w:tc>
        <w:tc>
          <w:tcPr>
            <w:tcW w:w="794" w:type="dxa"/>
            <w:tcBorders>
              <w:bottom w:val="single" w:sz="6" w:space="0" w:color="auto"/>
            </w:tcBorders>
          </w:tcPr>
          <w:p w14:paraId="071BB3DA" w14:textId="77777777" w:rsidR="00AB205D" w:rsidRDefault="00471A3B">
            <w:pPr>
              <w:cnfStyle w:val="000000000000" w:firstRow="0" w:lastRow="0" w:firstColumn="0" w:lastColumn="0" w:oddVBand="0" w:evenVBand="0" w:oddHBand="0" w:evenHBand="0" w:firstRowFirstColumn="0" w:firstRowLastColumn="0" w:lastRowFirstColumn="0" w:lastRowLastColumn="0"/>
            </w:pPr>
            <w:r>
              <w:t>(6 673)</w:t>
            </w:r>
          </w:p>
        </w:tc>
        <w:tc>
          <w:tcPr>
            <w:tcW w:w="794" w:type="dxa"/>
            <w:tcBorders>
              <w:bottom w:val="single" w:sz="6" w:space="0" w:color="auto"/>
            </w:tcBorders>
          </w:tcPr>
          <w:p w14:paraId="4CCF7674" w14:textId="77777777" w:rsidR="00AB205D" w:rsidRDefault="00471A3B">
            <w:pPr>
              <w:cnfStyle w:val="000000000000" w:firstRow="0" w:lastRow="0" w:firstColumn="0" w:lastColumn="0" w:oddVBand="0" w:evenVBand="0" w:oddHBand="0" w:evenHBand="0" w:firstRowFirstColumn="0" w:firstRowLastColumn="0" w:lastRowFirstColumn="0" w:lastRowLastColumn="0"/>
            </w:pPr>
            <w:r>
              <w:t>(6 092)</w:t>
            </w:r>
          </w:p>
        </w:tc>
      </w:tr>
      <w:tr w:rsidR="009C6724" w14:paraId="3857E850"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77AC046D" w14:textId="77777777" w:rsidR="00AB205D" w:rsidRDefault="00471A3B">
            <w:r>
              <w:rPr>
                <w:b/>
              </w:rPr>
              <w:t>Cash surplus/(deficit)</w:t>
            </w:r>
          </w:p>
        </w:tc>
        <w:tc>
          <w:tcPr>
            <w:tcW w:w="794" w:type="dxa"/>
            <w:tcBorders>
              <w:top w:val="single" w:sz="6" w:space="0" w:color="auto"/>
              <w:bottom w:val="single" w:sz="12" w:space="0" w:color="auto"/>
            </w:tcBorders>
          </w:tcPr>
          <w:p w14:paraId="1D32C56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(7 011)</w:t>
            </w:r>
          </w:p>
        </w:tc>
        <w:tc>
          <w:tcPr>
            <w:tcW w:w="794" w:type="dxa"/>
            <w:tcBorders>
              <w:top w:val="single" w:sz="6" w:space="0" w:color="auto"/>
              <w:bottom w:val="single" w:sz="12" w:space="0" w:color="auto"/>
            </w:tcBorders>
          </w:tcPr>
          <w:p w14:paraId="3FCAF6C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(7 679)</w:t>
            </w:r>
          </w:p>
        </w:tc>
        <w:tc>
          <w:tcPr>
            <w:tcW w:w="794" w:type="dxa"/>
            <w:tcBorders>
              <w:top w:val="single" w:sz="6" w:space="0" w:color="auto"/>
              <w:bottom w:val="single" w:sz="12" w:space="0" w:color="auto"/>
            </w:tcBorders>
          </w:tcPr>
          <w:p w14:paraId="6869F04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(5 284)</w:t>
            </w:r>
          </w:p>
        </w:tc>
        <w:tc>
          <w:tcPr>
            <w:tcW w:w="794" w:type="dxa"/>
            <w:tcBorders>
              <w:top w:val="single" w:sz="6" w:space="0" w:color="auto"/>
              <w:bottom w:val="single" w:sz="12" w:space="0" w:color="auto"/>
            </w:tcBorders>
          </w:tcPr>
          <w:p w14:paraId="4333D8A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(4 750)</w:t>
            </w:r>
          </w:p>
        </w:tc>
        <w:tc>
          <w:tcPr>
            <w:tcW w:w="794" w:type="dxa"/>
            <w:tcBorders>
              <w:top w:val="single" w:sz="6" w:space="0" w:color="auto"/>
              <w:bottom w:val="single" w:sz="12" w:space="0" w:color="auto"/>
            </w:tcBorders>
          </w:tcPr>
          <w:p w14:paraId="370AE74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(4 287)</w:t>
            </w:r>
          </w:p>
        </w:tc>
      </w:tr>
    </w:tbl>
    <w:p w14:paraId="1F780428" w14:textId="77777777" w:rsidR="00AB205D" w:rsidRPr="00921F69" w:rsidRDefault="00471A3B">
      <w:pPr>
        <w:pStyle w:val="Note"/>
      </w:pPr>
      <w:r w:rsidRPr="00921F69">
        <w:t>Notes:</w:t>
      </w:r>
    </w:p>
    <w:p w14:paraId="5A4423C2" w14:textId="77777777" w:rsidR="00AB205D" w:rsidRPr="00271558" w:rsidRDefault="00471A3B">
      <w:pPr>
        <w:pStyle w:val="Note"/>
      </w:pPr>
      <w:r w:rsidRPr="00271558">
        <w:t>(a)</w:t>
      </w:r>
      <w:r w:rsidRPr="00271558">
        <w:tab/>
      </w:r>
      <w:r w:rsidRPr="004168A6">
        <w:t>Sales of goods and services and payments for goods and services are inclusive of goods and services tax</w:t>
      </w:r>
      <w:r w:rsidRPr="00271558">
        <w:t>.</w:t>
      </w:r>
    </w:p>
    <w:p w14:paraId="031CB048" w14:textId="77777777" w:rsidR="00AB205D" w:rsidRPr="00271558" w:rsidRDefault="00471A3B">
      <w:pPr>
        <w:pStyle w:val="Note"/>
      </w:pPr>
      <w:r w:rsidRPr="00271558">
        <w:t>(b)</w:t>
      </w:r>
      <w:r w:rsidRPr="00271558">
        <w:tab/>
      </w:r>
      <w:r w:rsidRPr="00024C27">
        <w:rPr>
          <w:i w:val="0"/>
        </w:rPr>
        <w:t xml:space="preserve">2023-24 </w:t>
      </w:r>
      <w:r w:rsidRPr="00024C27">
        <w:rPr>
          <w:i w:val="0"/>
          <w:iCs/>
        </w:rPr>
        <w:t>Budget</w:t>
      </w:r>
      <w:r w:rsidRPr="00271558">
        <w:t xml:space="preserve"> figures have been restated to represent actual opening balances at 1 July 202</w:t>
      </w:r>
      <w:r>
        <w:t>3</w:t>
      </w:r>
      <w:r w:rsidRPr="00271558">
        <w:t>.</w:t>
      </w:r>
    </w:p>
    <w:p w14:paraId="7EA375B9" w14:textId="77777777" w:rsidR="00AB205D" w:rsidRPr="00271558" w:rsidRDefault="00471A3B">
      <w:pPr>
        <w:pStyle w:val="Note"/>
      </w:pPr>
      <w:r w:rsidRPr="00271558">
        <w:t>(c)</w:t>
      </w:r>
      <w:r w:rsidRPr="00271558">
        <w:tab/>
        <w:t>Cash and cash equivalents at the end of the reporting period does not equal cash and deposits on the balance sheet. This is due to overdrafts being included in the cash flow statement balances.</w:t>
      </w:r>
    </w:p>
    <w:p w14:paraId="5FE8238F" w14:textId="77777777" w:rsidR="00AB205D" w:rsidRPr="00271558" w:rsidRDefault="00AB205D"/>
    <w:p w14:paraId="67A8FE56" w14:textId="77777777" w:rsidR="00AB205D" w:rsidRDefault="00AB205D"/>
    <w:p w14:paraId="59321DD4" w14:textId="77777777" w:rsidR="00AB205D" w:rsidRDefault="00471A3B">
      <w:pPr>
        <w:tabs>
          <w:tab w:val="center" w:pos="3855"/>
        </w:tabs>
        <w:rPr>
          <w:rFonts w:asciiTheme="majorHAnsi" w:hAnsiTheme="majorHAnsi"/>
          <w:b/>
          <w:sz w:val="20"/>
        </w:rPr>
      </w:pPr>
      <w:r w:rsidRPr="00892D0D">
        <w:br w:type="page"/>
      </w:r>
    </w:p>
    <w:p w14:paraId="72AF4021" w14:textId="77777777" w:rsidR="00AB205D" w:rsidRPr="0016592B" w:rsidRDefault="00471A3B">
      <w:pPr>
        <w:pStyle w:val="TableHeading"/>
      </w:pPr>
      <w:r w:rsidRPr="00921F69">
        <w:lastRenderedPageBreak/>
        <w:t>Table 5.4</w:t>
      </w:r>
      <w:r w:rsidRPr="00921F69">
        <w:tab/>
        <w:t xml:space="preserve">Public non-financial corporations sector statement of changes in equity </w:t>
      </w:r>
      <w:r w:rsidRPr="00921F69">
        <w:br/>
        <w:t>for the financial year ended 30 June</w:t>
      </w:r>
      <w:r>
        <w:t xml:space="preserve"> </w:t>
      </w:r>
      <w:r w:rsidRPr="007D4405">
        <w:rPr>
          <w:vertAlign w:val="superscript"/>
        </w:rPr>
        <w:t>(a)</w:t>
      </w:r>
      <w:r w:rsidRPr="00921F69">
        <w:tab/>
        <w:t>($ million)</w:t>
      </w:r>
    </w:p>
    <w:tbl>
      <w:tblPr>
        <w:tblStyle w:val="DTFTableNumeric"/>
        <w:tblW w:w="7711" w:type="dxa"/>
        <w:tblLayout w:type="fixed"/>
        <w:tblLook w:val="06A0" w:firstRow="1" w:lastRow="0" w:firstColumn="1" w:lastColumn="0" w:noHBand="1" w:noVBand="1"/>
        <w:tblDescription w:val="Type:DtfTable|Workbook:Rawdata\BudgetUpdate\Budget Update\Financial Statements\SRIMS exports\SRIMS_BU_UPF_PNFC_PFC.xlsx|Table:PNFC_SOCIE"/>
      </w:tblPr>
      <w:tblGrid>
        <w:gridCol w:w="2814"/>
        <w:gridCol w:w="266"/>
        <w:gridCol w:w="966"/>
        <w:gridCol w:w="1120"/>
        <w:gridCol w:w="1054"/>
        <w:gridCol w:w="752"/>
        <w:gridCol w:w="739"/>
      </w:tblGrid>
      <w:tr w:rsidR="009C6724" w:rsidRPr="00174DB6" w14:paraId="60BE6844" w14:textId="77777777" w:rsidTr="009C672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14" w:type="dxa"/>
          </w:tcPr>
          <w:p w14:paraId="483C2454" w14:textId="77777777" w:rsidR="00AB205D" w:rsidRPr="00174DB6" w:rsidRDefault="00AB205D">
            <w:pPr>
              <w:keepNext/>
              <w:spacing w:after="0"/>
              <w:rPr>
                <w:szCs w:val="17"/>
              </w:rPr>
            </w:pPr>
          </w:p>
        </w:tc>
        <w:tc>
          <w:tcPr>
            <w:tcW w:w="1232" w:type="dxa"/>
            <w:gridSpan w:val="2"/>
          </w:tcPr>
          <w:p w14:paraId="464A8B8C" w14:textId="77777777" w:rsidR="00AB205D" w:rsidRPr="00174DB6" w:rsidRDefault="00471A3B">
            <w:pPr>
              <w:keepNext/>
              <w:spacing w:after="0"/>
              <w:cnfStyle w:val="100000000000" w:firstRow="1" w:lastRow="0" w:firstColumn="0" w:lastColumn="0" w:oddVBand="0" w:evenVBand="0" w:oddHBand="0" w:evenHBand="0" w:firstRowFirstColumn="0" w:firstRowLastColumn="0" w:lastRowFirstColumn="0" w:lastRowLastColumn="0"/>
              <w:rPr>
                <w:szCs w:val="17"/>
              </w:rPr>
            </w:pPr>
            <w:r w:rsidRPr="00174DB6">
              <w:rPr>
                <w:szCs w:val="17"/>
              </w:rPr>
              <w:t>Accumulated surplus/(deficit)</w:t>
            </w:r>
          </w:p>
        </w:tc>
        <w:tc>
          <w:tcPr>
            <w:tcW w:w="1120" w:type="dxa"/>
          </w:tcPr>
          <w:p w14:paraId="34D85C51" w14:textId="77777777" w:rsidR="00AB205D" w:rsidRPr="00174DB6" w:rsidRDefault="00471A3B">
            <w:pPr>
              <w:keepNext/>
              <w:spacing w:after="0"/>
              <w:cnfStyle w:val="100000000000" w:firstRow="1" w:lastRow="0" w:firstColumn="0" w:lastColumn="0" w:oddVBand="0" w:evenVBand="0" w:oddHBand="0" w:evenHBand="0" w:firstRowFirstColumn="0" w:firstRowLastColumn="0" w:lastRowFirstColumn="0" w:lastRowLastColumn="0"/>
              <w:rPr>
                <w:szCs w:val="17"/>
              </w:rPr>
            </w:pPr>
            <w:r w:rsidRPr="00174DB6">
              <w:rPr>
                <w:szCs w:val="17"/>
              </w:rPr>
              <w:t>Contributions by owners</w:t>
            </w:r>
          </w:p>
        </w:tc>
        <w:tc>
          <w:tcPr>
            <w:tcW w:w="1054" w:type="dxa"/>
          </w:tcPr>
          <w:p w14:paraId="6B5A5CD3" w14:textId="77777777" w:rsidR="00AB205D" w:rsidRPr="00174DB6" w:rsidRDefault="00471A3B">
            <w:pPr>
              <w:keepNext/>
              <w:spacing w:after="0"/>
              <w:cnfStyle w:val="100000000000" w:firstRow="1" w:lastRow="0" w:firstColumn="0" w:lastColumn="0" w:oddVBand="0" w:evenVBand="0" w:oddHBand="0" w:evenHBand="0" w:firstRowFirstColumn="0" w:firstRowLastColumn="0" w:lastRowFirstColumn="0" w:lastRowLastColumn="0"/>
              <w:rPr>
                <w:szCs w:val="17"/>
              </w:rPr>
            </w:pPr>
            <w:r w:rsidRPr="00174DB6">
              <w:rPr>
                <w:szCs w:val="17"/>
              </w:rPr>
              <w:t>Non</w:t>
            </w:r>
            <w:r w:rsidRPr="00174DB6">
              <w:rPr>
                <w:szCs w:val="17"/>
              </w:rPr>
              <w:noBreakHyphen/>
              <w:t>financial assets revaluation surplus</w:t>
            </w:r>
          </w:p>
        </w:tc>
        <w:tc>
          <w:tcPr>
            <w:tcW w:w="752" w:type="dxa"/>
          </w:tcPr>
          <w:p w14:paraId="04A7FCD9" w14:textId="77777777" w:rsidR="00AB205D" w:rsidRPr="00174DB6" w:rsidRDefault="00471A3B">
            <w:pPr>
              <w:keepNext/>
              <w:spacing w:after="0"/>
              <w:cnfStyle w:val="100000000000" w:firstRow="1" w:lastRow="0" w:firstColumn="0" w:lastColumn="0" w:oddVBand="0" w:evenVBand="0" w:oddHBand="0" w:evenHBand="0" w:firstRowFirstColumn="0" w:firstRowLastColumn="0" w:lastRowFirstColumn="0" w:lastRowLastColumn="0"/>
              <w:rPr>
                <w:szCs w:val="17"/>
              </w:rPr>
            </w:pPr>
            <w:r w:rsidRPr="00174DB6">
              <w:rPr>
                <w:szCs w:val="17"/>
              </w:rPr>
              <w:t>Other reserves</w:t>
            </w:r>
          </w:p>
        </w:tc>
        <w:tc>
          <w:tcPr>
            <w:tcW w:w="739" w:type="dxa"/>
          </w:tcPr>
          <w:p w14:paraId="3B9BBD6A" w14:textId="77777777" w:rsidR="00AB205D" w:rsidRPr="00174DB6" w:rsidRDefault="00471A3B">
            <w:pPr>
              <w:keepNext/>
              <w:spacing w:after="0"/>
              <w:cnfStyle w:val="100000000000" w:firstRow="1" w:lastRow="0" w:firstColumn="0" w:lastColumn="0" w:oddVBand="0" w:evenVBand="0" w:oddHBand="0" w:evenHBand="0" w:firstRowFirstColumn="0" w:firstRowLastColumn="0" w:lastRowFirstColumn="0" w:lastRowLastColumn="0"/>
              <w:rPr>
                <w:szCs w:val="17"/>
              </w:rPr>
            </w:pPr>
            <w:r w:rsidRPr="00174DB6">
              <w:rPr>
                <w:szCs w:val="17"/>
              </w:rPr>
              <w:t>Total</w:t>
            </w:r>
          </w:p>
        </w:tc>
      </w:tr>
      <w:tr w:rsidR="009C6724" w:rsidRPr="00174DB6" w14:paraId="26294925" w14:textId="77777777" w:rsidTr="009C6724">
        <w:trPr>
          <w:cantSplit/>
        </w:trPr>
        <w:tc>
          <w:tcPr>
            <w:cnfStyle w:val="001000000000" w:firstRow="0" w:lastRow="0" w:firstColumn="1" w:lastColumn="0" w:oddVBand="0" w:evenVBand="0" w:oddHBand="0" w:evenHBand="0" w:firstRowFirstColumn="0" w:firstRowLastColumn="0" w:lastRowFirstColumn="0" w:lastRowLastColumn="0"/>
            <w:tcW w:w="3080" w:type="dxa"/>
            <w:gridSpan w:val="2"/>
          </w:tcPr>
          <w:p w14:paraId="03B2F3F7" w14:textId="77777777" w:rsidR="00AB205D" w:rsidRPr="00174DB6" w:rsidRDefault="00471A3B">
            <w:pPr>
              <w:spacing w:after="0"/>
              <w:rPr>
                <w:szCs w:val="17"/>
              </w:rPr>
            </w:pPr>
            <w:r w:rsidRPr="00174DB6">
              <w:rPr>
                <w:b/>
                <w:szCs w:val="17"/>
              </w:rPr>
              <w:t>2023</w:t>
            </w:r>
            <w:r w:rsidRPr="00174DB6">
              <w:rPr>
                <w:b/>
                <w:szCs w:val="17"/>
              </w:rPr>
              <w:noBreakHyphen/>
              <w:t>24 budget</w:t>
            </w:r>
            <w:r w:rsidRPr="00174DB6">
              <w:rPr>
                <w:b/>
                <w:szCs w:val="17"/>
                <w:vertAlign w:val="superscript"/>
              </w:rPr>
              <w:t xml:space="preserve"> (b)</w:t>
            </w:r>
          </w:p>
        </w:tc>
        <w:tc>
          <w:tcPr>
            <w:tcW w:w="966" w:type="dxa"/>
          </w:tcPr>
          <w:p w14:paraId="0345F67E" w14:textId="77777777" w:rsidR="00AB205D" w:rsidRPr="00174DB6"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1120" w:type="dxa"/>
          </w:tcPr>
          <w:p w14:paraId="2E0DF63F" w14:textId="77777777" w:rsidR="00AB205D" w:rsidRPr="00174DB6"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1054" w:type="dxa"/>
          </w:tcPr>
          <w:p w14:paraId="68ACAAC0" w14:textId="77777777" w:rsidR="00AB205D" w:rsidRPr="00174DB6"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52" w:type="dxa"/>
          </w:tcPr>
          <w:p w14:paraId="431F6CC1" w14:textId="77777777" w:rsidR="00AB205D" w:rsidRPr="00174DB6"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39" w:type="dxa"/>
          </w:tcPr>
          <w:p w14:paraId="279BFC42" w14:textId="77777777" w:rsidR="00AB205D" w:rsidRPr="00174DB6"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r>
      <w:tr w:rsidR="009C6724" w:rsidRPr="00174DB6" w14:paraId="770DA63D" w14:textId="77777777" w:rsidTr="009C6724">
        <w:trPr>
          <w:cantSplit/>
        </w:trPr>
        <w:tc>
          <w:tcPr>
            <w:cnfStyle w:val="001000000000" w:firstRow="0" w:lastRow="0" w:firstColumn="1" w:lastColumn="0" w:oddVBand="0" w:evenVBand="0" w:oddHBand="0" w:evenHBand="0" w:firstRowFirstColumn="0" w:firstRowLastColumn="0" w:lastRowFirstColumn="0" w:lastRowLastColumn="0"/>
            <w:tcW w:w="3080" w:type="dxa"/>
            <w:gridSpan w:val="2"/>
          </w:tcPr>
          <w:p w14:paraId="18E7C9C4" w14:textId="77777777" w:rsidR="00AB205D" w:rsidRPr="00174DB6" w:rsidRDefault="00471A3B">
            <w:pPr>
              <w:spacing w:after="0"/>
              <w:rPr>
                <w:szCs w:val="17"/>
              </w:rPr>
            </w:pPr>
            <w:r w:rsidRPr="00174DB6">
              <w:rPr>
                <w:szCs w:val="17"/>
              </w:rPr>
              <w:t>Balance at 1 July 2023</w:t>
            </w:r>
          </w:p>
        </w:tc>
        <w:tc>
          <w:tcPr>
            <w:tcW w:w="966" w:type="dxa"/>
          </w:tcPr>
          <w:p w14:paraId="0F3415F5"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(29 846)</w:t>
            </w:r>
          </w:p>
        </w:tc>
        <w:tc>
          <w:tcPr>
            <w:tcW w:w="1120" w:type="dxa"/>
          </w:tcPr>
          <w:p w14:paraId="5C3B22DB"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78 417</w:t>
            </w:r>
          </w:p>
        </w:tc>
        <w:tc>
          <w:tcPr>
            <w:tcW w:w="1054" w:type="dxa"/>
          </w:tcPr>
          <w:p w14:paraId="63B51701"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31 605</w:t>
            </w:r>
          </w:p>
        </w:tc>
        <w:tc>
          <w:tcPr>
            <w:tcW w:w="752" w:type="dxa"/>
          </w:tcPr>
          <w:p w14:paraId="35406D56"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702</w:t>
            </w:r>
          </w:p>
        </w:tc>
        <w:tc>
          <w:tcPr>
            <w:tcW w:w="739" w:type="dxa"/>
          </w:tcPr>
          <w:p w14:paraId="03AF4C45"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80 880</w:t>
            </w:r>
          </w:p>
        </w:tc>
      </w:tr>
      <w:tr w:rsidR="009C6724" w:rsidRPr="00174DB6" w14:paraId="41818E01" w14:textId="77777777" w:rsidTr="009C6724">
        <w:trPr>
          <w:cantSplit/>
        </w:trPr>
        <w:tc>
          <w:tcPr>
            <w:cnfStyle w:val="001000000000" w:firstRow="0" w:lastRow="0" w:firstColumn="1" w:lastColumn="0" w:oddVBand="0" w:evenVBand="0" w:oddHBand="0" w:evenHBand="0" w:firstRowFirstColumn="0" w:firstRowLastColumn="0" w:lastRowFirstColumn="0" w:lastRowLastColumn="0"/>
            <w:tcW w:w="3080" w:type="dxa"/>
            <w:gridSpan w:val="2"/>
          </w:tcPr>
          <w:p w14:paraId="61AF74AF" w14:textId="77777777" w:rsidR="00AB205D" w:rsidRPr="00174DB6" w:rsidRDefault="00471A3B">
            <w:pPr>
              <w:spacing w:after="0"/>
              <w:rPr>
                <w:szCs w:val="17"/>
              </w:rPr>
            </w:pPr>
            <w:r w:rsidRPr="00174DB6">
              <w:rPr>
                <w:szCs w:val="17"/>
              </w:rPr>
              <w:t>Net result for the year</w:t>
            </w:r>
          </w:p>
        </w:tc>
        <w:tc>
          <w:tcPr>
            <w:tcW w:w="966" w:type="dxa"/>
          </w:tcPr>
          <w:p w14:paraId="231C479A"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(5 875)</w:t>
            </w:r>
          </w:p>
        </w:tc>
        <w:tc>
          <w:tcPr>
            <w:tcW w:w="1120" w:type="dxa"/>
          </w:tcPr>
          <w:p w14:paraId="0EF39340"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1054" w:type="dxa"/>
          </w:tcPr>
          <w:p w14:paraId="3164A97C"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752" w:type="dxa"/>
          </w:tcPr>
          <w:p w14:paraId="7DC6CC77"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739" w:type="dxa"/>
          </w:tcPr>
          <w:p w14:paraId="4E9EE9F0"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(5 875)</w:t>
            </w:r>
          </w:p>
        </w:tc>
      </w:tr>
      <w:tr w:rsidR="009C6724" w:rsidRPr="00174DB6" w14:paraId="11599644" w14:textId="77777777" w:rsidTr="009C6724">
        <w:trPr>
          <w:cantSplit/>
        </w:trPr>
        <w:tc>
          <w:tcPr>
            <w:cnfStyle w:val="001000000000" w:firstRow="0" w:lastRow="0" w:firstColumn="1" w:lastColumn="0" w:oddVBand="0" w:evenVBand="0" w:oddHBand="0" w:evenHBand="0" w:firstRowFirstColumn="0" w:firstRowLastColumn="0" w:lastRowFirstColumn="0" w:lastRowLastColumn="0"/>
            <w:tcW w:w="3080" w:type="dxa"/>
            <w:gridSpan w:val="2"/>
          </w:tcPr>
          <w:p w14:paraId="223192D5" w14:textId="77777777" w:rsidR="00AB205D" w:rsidRPr="00174DB6" w:rsidRDefault="00471A3B">
            <w:pPr>
              <w:spacing w:after="0"/>
              <w:rPr>
                <w:szCs w:val="17"/>
              </w:rPr>
            </w:pPr>
            <w:r w:rsidRPr="00174DB6">
              <w:rPr>
                <w:szCs w:val="17"/>
              </w:rPr>
              <w:t>Other comprehensive income for the year</w:t>
            </w:r>
          </w:p>
        </w:tc>
        <w:tc>
          <w:tcPr>
            <w:tcW w:w="966" w:type="dxa"/>
          </w:tcPr>
          <w:p w14:paraId="62DAC061"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(20)</w:t>
            </w:r>
          </w:p>
        </w:tc>
        <w:tc>
          <w:tcPr>
            <w:tcW w:w="1120" w:type="dxa"/>
          </w:tcPr>
          <w:p w14:paraId="7D13429E"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1054" w:type="dxa"/>
          </w:tcPr>
          <w:p w14:paraId="66EFB17D"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11</w:t>
            </w:r>
          </w:p>
        </w:tc>
        <w:tc>
          <w:tcPr>
            <w:tcW w:w="752" w:type="dxa"/>
          </w:tcPr>
          <w:p w14:paraId="1478FFA0"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15</w:t>
            </w:r>
          </w:p>
        </w:tc>
        <w:tc>
          <w:tcPr>
            <w:tcW w:w="739" w:type="dxa"/>
          </w:tcPr>
          <w:p w14:paraId="00F3503B"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6</w:t>
            </w:r>
          </w:p>
        </w:tc>
      </w:tr>
      <w:tr w:rsidR="009C6724" w:rsidRPr="00174DB6" w14:paraId="1386A544" w14:textId="77777777" w:rsidTr="009C6724">
        <w:trPr>
          <w:cantSplit/>
        </w:trPr>
        <w:tc>
          <w:tcPr>
            <w:cnfStyle w:val="001000000000" w:firstRow="0" w:lastRow="0" w:firstColumn="1" w:lastColumn="0" w:oddVBand="0" w:evenVBand="0" w:oddHBand="0" w:evenHBand="0" w:firstRowFirstColumn="0" w:firstRowLastColumn="0" w:lastRowFirstColumn="0" w:lastRowLastColumn="0"/>
            <w:tcW w:w="3080" w:type="dxa"/>
            <w:gridSpan w:val="2"/>
          </w:tcPr>
          <w:p w14:paraId="34E67656" w14:textId="77777777" w:rsidR="00AB205D" w:rsidRPr="00174DB6" w:rsidRDefault="00471A3B">
            <w:pPr>
              <w:spacing w:after="0"/>
              <w:rPr>
                <w:szCs w:val="17"/>
              </w:rPr>
            </w:pPr>
            <w:r w:rsidRPr="00174DB6">
              <w:rPr>
                <w:szCs w:val="17"/>
              </w:rPr>
              <w:t>Dividends paid</w:t>
            </w:r>
          </w:p>
        </w:tc>
        <w:tc>
          <w:tcPr>
            <w:tcW w:w="966" w:type="dxa"/>
          </w:tcPr>
          <w:p w14:paraId="08569919"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(162)</w:t>
            </w:r>
          </w:p>
        </w:tc>
        <w:tc>
          <w:tcPr>
            <w:tcW w:w="1120" w:type="dxa"/>
          </w:tcPr>
          <w:p w14:paraId="7D3C19B9"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1054" w:type="dxa"/>
          </w:tcPr>
          <w:p w14:paraId="05B3DB43"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752" w:type="dxa"/>
          </w:tcPr>
          <w:p w14:paraId="5FEF5DBF"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739" w:type="dxa"/>
          </w:tcPr>
          <w:p w14:paraId="7CEC625E"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(162)</w:t>
            </w:r>
          </w:p>
        </w:tc>
      </w:tr>
      <w:tr w:rsidR="009C6724" w:rsidRPr="00174DB6" w14:paraId="316D3253" w14:textId="77777777" w:rsidTr="009C6724">
        <w:trPr>
          <w:cantSplit/>
        </w:trPr>
        <w:tc>
          <w:tcPr>
            <w:cnfStyle w:val="001000000000" w:firstRow="0" w:lastRow="0" w:firstColumn="1" w:lastColumn="0" w:oddVBand="0" w:evenVBand="0" w:oddHBand="0" w:evenHBand="0" w:firstRowFirstColumn="0" w:firstRowLastColumn="0" w:lastRowFirstColumn="0" w:lastRowLastColumn="0"/>
            <w:tcW w:w="3080" w:type="dxa"/>
            <w:gridSpan w:val="2"/>
            <w:tcBorders>
              <w:bottom w:val="single" w:sz="6" w:space="0" w:color="auto"/>
            </w:tcBorders>
          </w:tcPr>
          <w:p w14:paraId="2F7ED195" w14:textId="77777777" w:rsidR="00AB205D" w:rsidRPr="00174DB6" w:rsidRDefault="00471A3B">
            <w:pPr>
              <w:spacing w:after="0"/>
              <w:rPr>
                <w:szCs w:val="17"/>
              </w:rPr>
            </w:pPr>
            <w:r w:rsidRPr="00174DB6">
              <w:rPr>
                <w:szCs w:val="17"/>
              </w:rPr>
              <w:t>Transactions with owners in their capacity as owners</w:t>
            </w:r>
          </w:p>
        </w:tc>
        <w:tc>
          <w:tcPr>
            <w:tcW w:w="966" w:type="dxa"/>
            <w:tcBorders>
              <w:bottom w:val="single" w:sz="6" w:space="0" w:color="auto"/>
            </w:tcBorders>
          </w:tcPr>
          <w:p w14:paraId="2F3B1D97"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1120" w:type="dxa"/>
            <w:tcBorders>
              <w:bottom w:val="single" w:sz="6" w:space="0" w:color="auto"/>
            </w:tcBorders>
          </w:tcPr>
          <w:p w14:paraId="09EB093E"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7 922</w:t>
            </w:r>
          </w:p>
        </w:tc>
        <w:tc>
          <w:tcPr>
            <w:tcW w:w="1054" w:type="dxa"/>
            <w:tcBorders>
              <w:bottom w:val="single" w:sz="6" w:space="0" w:color="auto"/>
            </w:tcBorders>
          </w:tcPr>
          <w:p w14:paraId="18CE4BC5"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752" w:type="dxa"/>
            <w:tcBorders>
              <w:bottom w:val="single" w:sz="6" w:space="0" w:color="auto"/>
            </w:tcBorders>
          </w:tcPr>
          <w:p w14:paraId="3D3D798B"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739" w:type="dxa"/>
            <w:tcBorders>
              <w:bottom w:val="single" w:sz="6" w:space="0" w:color="auto"/>
            </w:tcBorders>
          </w:tcPr>
          <w:p w14:paraId="7A6C8D14"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7 922</w:t>
            </w:r>
          </w:p>
        </w:tc>
      </w:tr>
      <w:tr w:rsidR="009C6724" w:rsidRPr="00174DB6" w14:paraId="03AE83EB" w14:textId="77777777" w:rsidTr="009C6724">
        <w:trPr>
          <w:cantSplit/>
        </w:trPr>
        <w:tc>
          <w:tcPr>
            <w:cnfStyle w:val="001000000000" w:firstRow="0" w:lastRow="0" w:firstColumn="1" w:lastColumn="0" w:oddVBand="0" w:evenVBand="0" w:oddHBand="0" w:evenHBand="0" w:firstRowFirstColumn="0" w:firstRowLastColumn="0" w:lastRowFirstColumn="0" w:lastRowLastColumn="0"/>
            <w:tcW w:w="3080" w:type="dxa"/>
            <w:gridSpan w:val="2"/>
            <w:tcBorders>
              <w:top w:val="single" w:sz="6" w:space="0" w:color="auto"/>
              <w:bottom w:val="single" w:sz="6" w:space="0" w:color="auto"/>
            </w:tcBorders>
          </w:tcPr>
          <w:p w14:paraId="45306FF2" w14:textId="77777777" w:rsidR="00AB205D" w:rsidRPr="00174DB6" w:rsidRDefault="00471A3B">
            <w:pPr>
              <w:spacing w:after="0"/>
              <w:rPr>
                <w:szCs w:val="17"/>
              </w:rPr>
            </w:pPr>
            <w:r w:rsidRPr="00174DB6">
              <w:rPr>
                <w:b/>
                <w:szCs w:val="17"/>
              </w:rPr>
              <w:t>Total equity as at 30 June 2024</w:t>
            </w:r>
          </w:p>
        </w:tc>
        <w:tc>
          <w:tcPr>
            <w:tcW w:w="966" w:type="dxa"/>
            <w:tcBorders>
              <w:top w:val="single" w:sz="6" w:space="0" w:color="auto"/>
              <w:bottom w:val="single" w:sz="6" w:space="0" w:color="auto"/>
            </w:tcBorders>
          </w:tcPr>
          <w:p w14:paraId="6E436FED"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(35 903)</w:t>
            </w:r>
          </w:p>
        </w:tc>
        <w:tc>
          <w:tcPr>
            <w:tcW w:w="1120" w:type="dxa"/>
            <w:tcBorders>
              <w:top w:val="single" w:sz="6" w:space="0" w:color="auto"/>
              <w:bottom w:val="single" w:sz="6" w:space="0" w:color="auto"/>
            </w:tcBorders>
          </w:tcPr>
          <w:p w14:paraId="2C29CF36"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86 340</w:t>
            </w:r>
          </w:p>
        </w:tc>
        <w:tc>
          <w:tcPr>
            <w:tcW w:w="1054" w:type="dxa"/>
            <w:tcBorders>
              <w:top w:val="single" w:sz="6" w:space="0" w:color="auto"/>
              <w:bottom w:val="single" w:sz="6" w:space="0" w:color="auto"/>
            </w:tcBorders>
          </w:tcPr>
          <w:p w14:paraId="5AFF04AF"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31 616</w:t>
            </w:r>
          </w:p>
        </w:tc>
        <w:tc>
          <w:tcPr>
            <w:tcW w:w="752" w:type="dxa"/>
            <w:tcBorders>
              <w:top w:val="single" w:sz="6" w:space="0" w:color="auto"/>
              <w:bottom w:val="single" w:sz="6" w:space="0" w:color="auto"/>
            </w:tcBorders>
          </w:tcPr>
          <w:p w14:paraId="0463A504"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718</w:t>
            </w:r>
          </w:p>
        </w:tc>
        <w:tc>
          <w:tcPr>
            <w:tcW w:w="739" w:type="dxa"/>
            <w:tcBorders>
              <w:top w:val="single" w:sz="6" w:space="0" w:color="auto"/>
              <w:bottom w:val="single" w:sz="6" w:space="0" w:color="auto"/>
            </w:tcBorders>
          </w:tcPr>
          <w:p w14:paraId="7DBE2C18"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82 771</w:t>
            </w:r>
          </w:p>
        </w:tc>
      </w:tr>
      <w:tr w:rsidR="009C6724" w:rsidRPr="00174DB6" w14:paraId="3A50E35F" w14:textId="77777777" w:rsidTr="009C6724">
        <w:trPr>
          <w:cantSplit/>
        </w:trPr>
        <w:tc>
          <w:tcPr>
            <w:cnfStyle w:val="001000000000" w:firstRow="0" w:lastRow="0" w:firstColumn="1" w:lastColumn="0" w:oddVBand="0" w:evenVBand="0" w:oddHBand="0" w:evenHBand="0" w:firstRowFirstColumn="0" w:firstRowLastColumn="0" w:lastRowFirstColumn="0" w:lastRowLastColumn="0"/>
            <w:tcW w:w="3080" w:type="dxa"/>
            <w:gridSpan w:val="2"/>
            <w:tcBorders>
              <w:top w:val="single" w:sz="6" w:space="0" w:color="auto"/>
            </w:tcBorders>
          </w:tcPr>
          <w:p w14:paraId="590770C3" w14:textId="77777777" w:rsidR="00AB205D" w:rsidRPr="00174DB6" w:rsidRDefault="00471A3B">
            <w:pPr>
              <w:spacing w:after="0"/>
              <w:rPr>
                <w:szCs w:val="17"/>
              </w:rPr>
            </w:pPr>
            <w:r w:rsidRPr="00174DB6">
              <w:rPr>
                <w:b/>
                <w:szCs w:val="17"/>
              </w:rPr>
              <w:t>2023</w:t>
            </w:r>
            <w:r w:rsidRPr="00174DB6">
              <w:rPr>
                <w:b/>
                <w:szCs w:val="17"/>
              </w:rPr>
              <w:noBreakHyphen/>
              <w:t>24 revised</w:t>
            </w:r>
          </w:p>
        </w:tc>
        <w:tc>
          <w:tcPr>
            <w:tcW w:w="966" w:type="dxa"/>
            <w:tcBorders>
              <w:top w:val="single" w:sz="6" w:space="0" w:color="auto"/>
            </w:tcBorders>
          </w:tcPr>
          <w:p w14:paraId="0D7DD0FE" w14:textId="77777777" w:rsidR="00AB205D" w:rsidRPr="00174DB6"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1120" w:type="dxa"/>
            <w:tcBorders>
              <w:top w:val="single" w:sz="6" w:space="0" w:color="auto"/>
            </w:tcBorders>
          </w:tcPr>
          <w:p w14:paraId="2EC7662F" w14:textId="77777777" w:rsidR="00AB205D" w:rsidRPr="00174DB6"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1054" w:type="dxa"/>
            <w:tcBorders>
              <w:top w:val="single" w:sz="6" w:space="0" w:color="auto"/>
            </w:tcBorders>
          </w:tcPr>
          <w:p w14:paraId="32A7DE9C" w14:textId="77777777" w:rsidR="00AB205D" w:rsidRPr="00174DB6"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52" w:type="dxa"/>
            <w:tcBorders>
              <w:top w:val="single" w:sz="6" w:space="0" w:color="auto"/>
            </w:tcBorders>
          </w:tcPr>
          <w:p w14:paraId="6D13CFB9" w14:textId="77777777" w:rsidR="00AB205D" w:rsidRPr="00174DB6"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39" w:type="dxa"/>
            <w:tcBorders>
              <w:top w:val="single" w:sz="6" w:space="0" w:color="auto"/>
            </w:tcBorders>
          </w:tcPr>
          <w:p w14:paraId="2C14F03B" w14:textId="77777777" w:rsidR="00AB205D" w:rsidRPr="00174DB6"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r>
      <w:tr w:rsidR="009C6724" w:rsidRPr="00174DB6" w14:paraId="151495E3" w14:textId="77777777" w:rsidTr="009C6724">
        <w:trPr>
          <w:cantSplit/>
        </w:trPr>
        <w:tc>
          <w:tcPr>
            <w:cnfStyle w:val="001000000000" w:firstRow="0" w:lastRow="0" w:firstColumn="1" w:lastColumn="0" w:oddVBand="0" w:evenVBand="0" w:oddHBand="0" w:evenHBand="0" w:firstRowFirstColumn="0" w:firstRowLastColumn="0" w:lastRowFirstColumn="0" w:lastRowLastColumn="0"/>
            <w:tcW w:w="3080" w:type="dxa"/>
            <w:gridSpan w:val="2"/>
          </w:tcPr>
          <w:p w14:paraId="4C2F887B" w14:textId="77777777" w:rsidR="00AB205D" w:rsidRPr="00174DB6" w:rsidRDefault="00471A3B">
            <w:pPr>
              <w:spacing w:after="0"/>
              <w:rPr>
                <w:szCs w:val="17"/>
              </w:rPr>
            </w:pPr>
            <w:r w:rsidRPr="00174DB6">
              <w:rPr>
                <w:szCs w:val="17"/>
              </w:rPr>
              <w:t>Balance at 1 July 2023</w:t>
            </w:r>
          </w:p>
        </w:tc>
        <w:tc>
          <w:tcPr>
            <w:tcW w:w="966" w:type="dxa"/>
          </w:tcPr>
          <w:p w14:paraId="5693AFC6"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(29 846)</w:t>
            </w:r>
          </w:p>
        </w:tc>
        <w:tc>
          <w:tcPr>
            <w:tcW w:w="1120" w:type="dxa"/>
          </w:tcPr>
          <w:p w14:paraId="7ACB17A4"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78 417</w:t>
            </w:r>
          </w:p>
        </w:tc>
        <w:tc>
          <w:tcPr>
            <w:tcW w:w="1054" w:type="dxa"/>
          </w:tcPr>
          <w:p w14:paraId="5C56F12D"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31 605</w:t>
            </w:r>
          </w:p>
        </w:tc>
        <w:tc>
          <w:tcPr>
            <w:tcW w:w="752" w:type="dxa"/>
          </w:tcPr>
          <w:p w14:paraId="0E6F3C45"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702</w:t>
            </w:r>
          </w:p>
        </w:tc>
        <w:tc>
          <w:tcPr>
            <w:tcW w:w="739" w:type="dxa"/>
          </w:tcPr>
          <w:p w14:paraId="5C67CC47"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80 880</w:t>
            </w:r>
          </w:p>
        </w:tc>
      </w:tr>
      <w:tr w:rsidR="009C6724" w:rsidRPr="00174DB6" w14:paraId="7840696D" w14:textId="77777777" w:rsidTr="009C6724">
        <w:trPr>
          <w:cantSplit/>
        </w:trPr>
        <w:tc>
          <w:tcPr>
            <w:cnfStyle w:val="001000000000" w:firstRow="0" w:lastRow="0" w:firstColumn="1" w:lastColumn="0" w:oddVBand="0" w:evenVBand="0" w:oddHBand="0" w:evenHBand="0" w:firstRowFirstColumn="0" w:firstRowLastColumn="0" w:lastRowFirstColumn="0" w:lastRowLastColumn="0"/>
            <w:tcW w:w="3080" w:type="dxa"/>
            <w:gridSpan w:val="2"/>
          </w:tcPr>
          <w:p w14:paraId="51C6F3FD" w14:textId="77777777" w:rsidR="00AB205D" w:rsidRPr="00174DB6" w:rsidRDefault="00471A3B">
            <w:pPr>
              <w:spacing w:after="0"/>
              <w:rPr>
                <w:szCs w:val="17"/>
              </w:rPr>
            </w:pPr>
            <w:r w:rsidRPr="00174DB6">
              <w:rPr>
                <w:szCs w:val="17"/>
              </w:rPr>
              <w:t>Net result for the year</w:t>
            </w:r>
          </w:p>
        </w:tc>
        <w:tc>
          <w:tcPr>
            <w:tcW w:w="966" w:type="dxa"/>
          </w:tcPr>
          <w:p w14:paraId="588B1889"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(4 860)</w:t>
            </w:r>
          </w:p>
        </w:tc>
        <w:tc>
          <w:tcPr>
            <w:tcW w:w="1120" w:type="dxa"/>
          </w:tcPr>
          <w:p w14:paraId="6B3921A0"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1054" w:type="dxa"/>
          </w:tcPr>
          <w:p w14:paraId="09CBD982"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752" w:type="dxa"/>
          </w:tcPr>
          <w:p w14:paraId="6C6416BB"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739" w:type="dxa"/>
          </w:tcPr>
          <w:p w14:paraId="56C90136"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(4 860)</w:t>
            </w:r>
          </w:p>
        </w:tc>
      </w:tr>
      <w:tr w:rsidR="009C6724" w:rsidRPr="00174DB6" w14:paraId="25C46A23" w14:textId="77777777" w:rsidTr="009C6724">
        <w:trPr>
          <w:cantSplit/>
        </w:trPr>
        <w:tc>
          <w:tcPr>
            <w:cnfStyle w:val="001000000000" w:firstRow="0" w:lastRow="0" w:firstColumn="1" w:lastColumn="0" w:oddVBand="0" w:evenVBand="0" w:oddHBand="0" w:evenHBand="0" w:firstRowFirstColumn="0" w:firstRowLastColumn="0" w:lastRowFirstColumn="0" w:lastRowLastColumn="0"/>
            <w:tcW w:w="3080" w:type="dxa"/>
            <w:gridSpan w:val="2"/>
          </w:tcPr>
          <w:p w14:paraId="5A19819E" w14:textId="77777777" w:rsidR="00AB205D" w:rsidRPr="00174DB6" w:rsidRDefault="00471A3B">
            <w:pPr>
              <w:spacing w:after="0"/>
              <w:rPr>
                <w:szCs w:val="17"/>
              </w:rPr>
            </w:pPr>
            <w:r w:rsidRPr="00174DB6">
              <w:rPr>
                <w:szCs w:val="17"/>
              </w:rPr>
              <w:t>Other comprehensive income for the year</w:t>
            </w:r>
          </w:p>
        </w:tc>
        <w:tc>
          <w:tcPr>
            <w:tcW w:w="966" w:type="dxa"/>
          </w:tcPr>
          <w:p w14:paraId="1F8E7087"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77</w:t>
            </w:r>
          </w:p>
        </w:tc>
        <w:tc>
          <w:tcPr>
            <w:tcW w:w="1120" w:type="dxa"/>
          </w:tcPr>
          <w:p w14:paraId="367FB4A0"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1054" w:type="dxa"/>
          </w:tcPr>
          <w:p w14:paraId="5C411FD6"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(427)</w:t>
            </w:r>
          </w:p>
        </w:tc>
        <w:tc>
          <w:tcPr>
            <w:tcW w:w="752" w:type="dxa"/>
          </w:tcPr>
          <w:p w14:paraId="496F3A0C"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33</w:t>
            </w:r>
          </w:p>
        </w:tc>
        <w:tc>
          <w:tcPr>
            <w:tcW w:w="739" w:type="dxa"/>
          </w:tcPr>
          <w:p w14:paraId="4B12A803"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(316)</w:t>
            </w:r>
          </w:p>
        </w:tc>
      </w:tr>
      <w:tr w:rsidR="009C6724" w:rsidRPr="00174DB6" w14:paraId="1894C02C" w14:textId="77777777" w:rsidTr="009C6724">
        <w:trPr>
          <w:cantSplit/>
        </w:trPr>
        <w:tc>
          <w:tcPr>
            <w:cnfStyle w:val="001000000000" w:firstRow="0" w:lastRow="0" w:firstColumn="1" w:lastColumn="0" w:oddVBand="0" w:evenVBand="0" w:oddHBand="0" w:evenHBand="0" w:firstRowFirstColumn="0" w:firstRowLastColumn="0" w:lastRowFirstColumn="0" w:lastRowLastColumn="0"/>
            <w:tcW w:w="3080" w:type="dxa"/>
            <w:gridSpan w:val="2"/>
          </w:tcPr>
          <w:p w14:paraId="7B287B88" w14:textId="77777777" w:rsidR="00AB205D" w:rsidRPr="00174DB6" w:rsidRDefault="00471A3B">
            <w:pPr>
              <w:spacing w:after="0"/>
              <w:rPr>
                <w:szCs w:val="17"/>
              </w:rPr>
            </w:pPr>
            <w:r w:rsidRPr="00174DB6">
              <w:rPr>
                <w:szCs w:val="17"/>
              </w:rPr>
              <w:t>Dividends paid</w:t>
            </w:r>
          </w:p>
        </w:tc>
        <w:tc>
          <w:tcPr>
            <w:tcW w:w="966" w:type="dxa"/>
          </w:tcPr>
          <w:p w14:paraId="5B1800CC"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(163)</w:t>
            </w:r>
          </w:p>
        </w:tc>
        <w:tc>
          <w:tcPr>
            <w:tcW w:w="1120" w:type="dxa"/>
          </w:tcPr>
          <w:p w14:paraId="42E37DA2"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1054" w:type="dxa"/>
          </w:tcPr>
          <w:p w14:paraId="2C577C6E"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752" w:type="dxa"/>
          </w:tcPr>
          <w:p w14:paraId="334D53DD"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739" w:type="dxa"/>
          </w:tcPr>
          <w:p w14:paraId="38971F33"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(163)</w:t>
            </w:r>
          </w:p>
        </w:tc>
      </w:tr>
      <w:tr w:rsidR="009C6724" w:rsidRPr="00174DB6" w14:paraId="51D53D59" w14:textId="77777777" w:rsidTr="009C6724">
        <w:trPr>
          <w:cantSplit/>
        </w:trPr>
        <w:tc>
          <w:tcPr>
            <w:cnfStyle w:val="001000000000" w:firstRow="0" w:lastRow="0" w:firstColumn="1" w:lastColumn="0" w:oddVBand="0" w:evenVBand="0" w:oddHBand="0" w:evenHBand="0" w:firstRowFirstColumn="0" w:firstRowLastColumn="0" w:lastRowFirstColumn="0" w:lastRowLastColumn="0"/>
            <w:tcW w:w="3080" w:type="dxa"/>
            <w:gridSpan w:val="2"/>
            <w:tcBorders>
              <w:bottom w:val="single" w:sz="6" w:space="0" w:color="auto"/>
            </w:tcBorders>
          </w:tcPr>
          <w:p w14:paraId="1D9D06E4" w14:textId="77777777" w:rsidR="00AB205D" w:rsidRPr="00174DB6" w:rsidRDefault="00471A3B">
            <w:pPr>
              <w:spacing w:after="0"/>
              <w:rPr>
                <w:szCs w:val="17"/>
              </w:rPr>
            </w:pPr>
            <w:r w:rsidRPr="00174DB6">
              <w:rPr>
                <w:szCs w:val="17"/>
              </w:rPr>
              <w:t>Transactions with owners in their capacity as owners</w:t>
            </w:r>
          </w:p>
        </w:tc>
        <w:tc>
          <w:tcPr>
            <w:tcW w:w="966" w:type="dxa"/>
            <w:tcBorders>
              <w:bottom w:val="single" w:sz="6" w:space="0" w:color="auto"/>
            </w:tcBorders>
          </w:tcPr>
          <w:p w14:paraId="2C1E276E"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1120" w:type="dxa"/>
            <w:tcBorders>
              <w:bottom w:val="single" w:sz="6" w:space="0" w:color="auto"/>
            </w:tcBorders>
          </w:tcPr>
          <w:p w14:paraId="1BDB6F32"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6 506</w:t>
            </w:r>
          </w:p>
        </w:tc>
        <w:tc>
          <w:tcPr>
            <w:tcW w:w="1054" w:type="dxa"/>
            <w:tcBorders>
              <w:bottom w:val="single" w:sz="6" w:space="0" w:color="auto"/>
            </w:tcBorders>
          </w:tcPr>
          <w:p w14:paraId="4C458889"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752" w:type="dxa"/>
            <w:tcBorders>
              <w:bottom w:val="single" w:sz="6" w:space="0" w:color="auto"/>
            </w:tcBorders>
          </w:tcPr>
          <w:p w14:paraId="2293D287"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739" w:type="dxa"/>
            <w:tcBorders>
              <w:bottom w:val="single" w:sz="6" w:space="0" w:color="auto"/>
            </w:tcBorders>
          </w:tcPr>
          <w:p w14:paraId="1C0047F5"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6 506</w:t>
            </w:r>
          </w:p>
        </w:tc>
      </w:tr>
      <w:tr w:rsidR="009C6724" w:rsidRPr="00174DB6" w14:paraId="231E2129" w14:textId="77777777" w:rsidTr="009C6724">
        <w:trPr>
          <w:cantSplit/>
        </w:trPr>
        <w:tc>
          <w:tcPr>
            <w:cnfStyle w:val="001000000000" w:firstRow="0" w:lastRow="0" w:firstColumn="1" w:lastColumn="0" w:oddVBand="0" w:evenVBand="0" w:oddHBand="0" w:evenHBand="0" w:firstRowFirstColumn="0" w:firstRowLastColumn="0" w:lastRowFirstColumn="0" w:lastRowLastColumn="0"/>
            <w:tcW w:w="3080" w:type="dxa"/>
            <w:gridSpan w:val="2"/>
            <w:tcBorders>
              <w:top w:val="single" w:sz="6" w:space="0" w:color="auto"/>
              <w:bottom w:val="single" w:sz="6" w:space="0" w:color="auto"/>
            </w:tcBorders>
          </w:tcPr>
          <w:p w14:paraId="7C9F53C6" w14:textId="77777777" w:rsidR="00AB205D" w:rsidRPr="00174DB6" w:rsidRDefault="00471A3B">
            <w:pPr>
              <w:spacing w:after="0"/>
              <w:rPr>
                <w:szCs w:val="17"/>
              </w:rPr>
            </w:pPr>
            <w:r w:rsidRPr="00174DB6">
              <w:rPr>
                <w:b/>
                <w:szCs w:val="17"/>
              </w:rPr>
              <w:t>Total equity as at 30 June 2024</w:t>
            </w:r>
          </w:p>
        </w:tc>
        <w:tc>
          <w:tcPr>
            <w:tcW w:w="966" w:type="dxa"/>
            <w:tcBorders>
              <w:top w:val="single" w:sz="6" w:space="0" w:color="auto"/>
              <w:bottom w:val="single" w:sz="6" w:space="0" w:color="auto"/>
            </w:tcBorders>
          </w:tcPr>
          <w:p w14:paraId="075DC7F9"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(34 791)</w:t>
            </w:r>
          </w:p>
        </w:tc>
        <w:tc>
          <w:tcPr>
            <w:tcW w:w="1120" w:type="dxa"/>
            <w:tcBorders>
              <w:top w:val="single" w:sz="6" w:space="0" w:color="auto"/>
              <w:bottom w:val="single" w:sz="6" w:space="0" w:color="auto"/>
            </w:tcBorders>
          </w:tcPr>
          <w:p w14:paraId="33CD4472"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84 923</w:t>
            </w:r>
          </w:p>
        </w:tc>
        <w:tc>
          <w:tcPr>
            <w:tcW w:w="1054" w:type="dxa"/>
            <w:tcBorders>
              <w:top w:val="single" w:sz="6" w:space="0" w:color="auto"/>
              <w:bottom w:val="single" w:sz="6" w:space="0" w:color="auto"/>
            </w:tcBorders>
          </w:tcPr>
          <w:p w14:paraId="64C78A9A"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31 179</w:t>
            </w:r>
          </w:p>
        </w:tc>
        <w:tc>
          <w:tcPr>
            <w:tcW w:w="752" w:type="dxa"/>
            <w:tcBorders>
              <w:top w:val="single" w:sz="6" w:space="0" w:color="auto"/>
              <w:bottom w:val="single" w:sz="6" w:space="0" w:color="auto"/>
            </w:tcBorders>
          </w:tcPr>
          <w:p w14:paraId="561D10D5"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736</w:t>
            </w:r>
          </w:p>
        </w:tc>
        <w:tc>
          <w:tcPr>
            <w:tcW w:w="739" w:type="dxa"/>
            <w:tcBorders>
              <w:top w:val="single" w:sz="6" w:space="0" w:color="auto"/>
              <w:bottom w:val="single" w:sz="6" w:space="0" w:color="auto"/>
            </w:tcBorders>
          </w:tcPr>
          <w:p w14:paraId="341BA1E2"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82 047</w:t>
            </w:r>
          </w:p>
        </w:tc>
      </w:tr>
      <w:tr w:rsidR="009C6724" w:rsidRPr="00174DB6" w14:paraId="3716907A" w14:textId="77777777" w:rsidTr="009C6724">
        <w:trPr>
          <w:cantSplit/>
        </w:trPr>
        <w:tc>
          <w:tcPr>
            <w:cnfStyle w:val="001000000000" w:firstRow="0" w:lastRow="0" w:firstColumn="1" w:lastColumn="0" w:oddVBand="0" w:evenVBand="0" w:oddHBand="0" w:evenHBand="0" w:firstRowFirstColumn="0" w:firstRowLastColumn="0" w:lastRowFirstColumn="0" w:lastRowLastColumn="0"/>
            <w:tcW w:w="3080" w:type="dxa"/>
            <w:gridSpan w:val="2"/>
            <w:tcBorders>
              <w:top w:val="single" w:sz="6" w:space="0" w:color="auto"/>
            </w:tcBorders>
          </w:tcPr>
          <w:p w14:paraId="55EAF55D" w14:textId="77777777" w:rsidR="00AB205D" w:rsidRPr="00174DB6" w:rsidRDefault="00471A3B">
            <w:pPr>
              <w:spacing w:after="0"/>
              <w:rPr>
                <w:szCs w:val="17"/>
              </w:rPr>
            </w:pPr>
            <w:r w:rsidRPr="00174DB6">
              <w:rPr>
                <w:b/>
                <w:szCs w:val="17"/>
              </w:rPr>
              <w:t>2024</w:t>
            </w:r>
            <w:r w:rsidRPr="00174DB6">
              <w:rPr>
                <w:b/>
                <w:szCs w:val="17"/>
              </w:rPr>
              <w:noBreakHyphen/>
              <w:t>25 estimate</w:t>
            </w:r>
          </w:p>
        </w:tc>
        <w:tc>
          <w:tcPr>
            <w:tcW w:w="966" w:type="dxa"/>
            <w:tcBorders>
              <w:top w:val="single" w:sz="6" w:space="0" w:color="auto"/>
            </w:tcBorders>
          </w:tcPr>
          <w:p w14:paraId="31D3D7F6" w14:textId="77777777" w:rsidR="00AB205D" w:rsidRPr="00174DB6"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1120" w:type="dxa"/>
            <w:tcBorders>
              <w:top w:val="single" w:sz="6" w:space="0" w:color="auto"/>
            </w:tcBorders>
          </w:tcPr>
          <w:p w14:paraId="2710D6C7" w14:textId="77777777" w:rsidR="00AB205D" w:rsidRPr="00174DB6"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1054" w:type="dxa"/>
            <w:tcBorders>
              <w:top w:val="single" w:sz="6" w:space="0" w:color="auto"/>
            </w:tcBorders>
          </w:tcPr>
          <w:p w14:paraId="4C0C6509" w14:textId="77777777" w:rsidR="00AB205D" w:rsidRPr="00174DB6"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52" w:type="dxa"/>
            <w:tcBorders>
              <w:top w:val="single" w:sz="6" w:space="0" w:color="auto"/>
            </w:tcBorders>
          </w:tcPr>
          <w:p w14:paraId="128CF4D2" w14:textId="77777777" w:rsidR="00AB205D" w:rsidRPr="00174DB6"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39" w:type="dxa"/>
            <w:tcBorders>
              <w:top w:val="single" w:sz="6" w:space="0" w:color="auto"/>
            </w:tcBorders>
          </w:tcPr>
          <w:p w14:paraId="4498DB01" w14:textId="77777777" w:rsidR="00AB205D" w:rsidRPr="00174DB6"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r>
      <w:tr w:rsidR="009C6724" w:rsidRPr="00174DB6" w14:paraId="4F99330C" w14:textId="77777777" w:rsidTr="009C6724">
        <w:trPr>
          <w:cantSplit/>
        </w:trPr>
        <w:tc>
          <w:tcPr>
            <w:cnfStyle w:val="001000000000" w:firstRow="0" w:lastRow="0" w:firstColumn="1" w:lastColumn="0" w:oddVBand="0" w:evenVBand="0" w:oddHBand="0" w:evenHBand="0" w:firstRowFirstColumn="0" w:firstRowLastColumn="0" w:lastRowFirstColumn="0" w:lastRowLastColumn="0"/>
            <w:tcW w:w="3080" w:type="dxa"/>
            <w:gridSpan w:val="2"/>
          </w:tcPr>
          <w:p w14:paraId="77B16D5C" w14:textId="77777777" w:rsidR="00AB205D" w:rsidRPr="00174DB6" w:rsidRDefault="00471A3B">
            <w:pPr>
              <w:spacing w:after="0"/>
              <w:rPr>
                <w:szCs w:val="17"/>
              </w:rPr>
            </w:pPr>
            <w:r w:rsidRPr="00174DB6">
              <w:rPr>
                <w:szCs w:val="17"/>
              </w:rPr>
              <w:t>Balance at 1 July 2024</w:t>
            </w:r>
          </w:p>
        </w:tc>
        <w:tc>
          <w:tcPr>
            <w:tcW w:w="966" w:type="dxa"/>
          </w:tcPr>
          <w:p w14:paraId="6CBD68D7"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(34 791)</w:t>
            </w:r>
          </w:p>
        </w:tc>
        <w:tc>
          <w:tcPr>
            <w:tcW w:w="1120" w:type="dxa"/>
          </w:tcPr>
          <w:p w14:paraId="396BFB37"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84 923</w:t>
            </w:r>
          </w:p>
        </w:tc>
        <w:tc>
          <w:tcPr>
            <w:tcW w:w="1054" w:type="dxa"/>
          </w:tcPr>
          <w:p w14:paraId="7E91313D"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31 179</w:t>
            </w:r>
          </w:p>
        </w:tc>
        <w:tc>
          <w:tcPr>
            <w:tcW w:w="752" w:type="dxa"/>
          </w:tcPr>
          <w:p w14:paraId="231ADD35"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736</w:t>
            </w:r>
          </w:p>
        </w:tc>
        <w:tc>
          <w:tcPr>
            <w:tcW w:w="739" w:type="dxa"/>
          </w:tcPr>
          <w:p w14:paraId="58A51165"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82 047</w:t>
            </w:r>
          </w:p>
        </w:tc>
      </w:tr>
      <w:tr w:rsidR="009C6724" w:rsidRPr="00174DB6" w14:paraId="6E1856CB" w14:textId="77777777" w:rsidTr="009C6724">
        <w:trPr>
          <w:cantSplit/>
        </w:trPr>
        <w:tc>
          <w:tcPr>
            <w:cnfStyle w:val="001000000000" w:firstRow="0" w:lastRow="0" w:firstColumn="1" w:lastColumn="0" w:oddVBand="0" w:evenVBand="0" w:oddHBand="0" w:evenHBand="0" w:firstRowFirstColumn="0" w:firstRowLastColumn="0" w:lastRowFirstColumn="0" w:lastRowLastColumn="0"/>
            <w:tcW w:w="3080" w:type="dxa"/>
            <w:gridSpan w:val="2"/>
          </w:tcPr>
          <w:p w14:paraId="434827A7" w14:textId="77777777" w:rsidR="00AB205D" w:rsidRPr="00174DB6" w:rsidRDefault="00471A3B">
            <w:pPr>
              <w:spacing w:after="0"/>
              <w:rPr>
                <w:szCs w:val="17"/>
              </w:rPr>
            </w:pPr>
            <w:r w:rsidRPr="00174DB6">
              <w:rPr>
                <w:szCs w:val="17"/>
              </w:rPr>
              <w:t>Net result for the year</w:t>
            </w:r>
          </w:p>
        </w:tc>
        <w:tc>
          <w:tcPr>
            <w:tcW w:w="966" w:type="dxa"/>
          </w:tcPr>
          <w:p w14:paraId="422618C5"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(3 331)</w:t>
            </w:r>
          </w:p>
        </w:tc>
        <w:tc>
          <w:tcPr>
            <w:tcW w:w="1120" w:type="dxa"/>
          </w:tcPr>
          <w:p w14:paraId="4A911502"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1054" w:type="dxa"/>
          </w:tcPr>
          <w:p w14:paraId="3ADFC698"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752" w:type="dxa"/>
          </w:tcPr>
          <w:p w14:paraId="35D27908"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739" w:type="dxa"/>
          </w:tcPr>
          <w:p w14:paraId="6679EA24"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(3 331)</w:t>
            </w:r>
          </w:p>
        </w:tc>
      </w:tr>
      <w:tr w:rsidR="009C6724" w:rsidRPr="00174DB6" w14:paraId="2BBC6986" w14:textId="77777777" w:rsidTr="009C6724">
        <w:trPr>
          <w:cantSplit/>
        </w:trPr>
        <w:tc>
          <w:tcPr>
            <w:cnfStyle w:val="001000000000" w:firstRow="0" w:lastRow="0" w:firstColumn="1" w:lastColumn="0" w:oddVBand="0" w:evenVBand="0" w:oddHBand="0" w:evenHBand="0" w:firstRowFirstColumn="0" w:firstRowLastColumn="0" w:lastRowFirstColumn="0" w:lastRowLastColumn="0"/>
            <w:tcW w:w="3080" w:type="dxa"/>
            <w:gridSpan w:val="2"/>
          </w:tcPr>
          <w:p w14:paraId="36C6A348" w14:textId="77777777" w:rsidR="00AB205D" w:rsidRPr="00174DB6" w:rsidRDefault="00471A3B">
            <w:pPr>
              <w:spacing w:after="0"/>
              <w:rPr>
                <w:szCs w:val="17"/>
              </w:rPr>
            </w:pPr>
            <w:r w:rsidRPr="00174DB6">
              <w:rPr>
                <w:szCs w:val="17"/>
              </w:rPr>
              <w:t>Other comprehensive income for the year</w:t>
            </w:r>
          </w:p>
        </w:tc>
        <w:tc>
          <w:tcPr>
            <w:tcW w:w="966" w:type="dxa"/>
          </w:tcPr>
          <w:p w14:paraId="7D72CC9B"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(22)</w:t>
            </w:r>
          </w:p>
        </w:tc>
        <w:tc>
          <w:tcPr>
            <w:tcW w:w="1120" w:type="dxa"/>
          </w:tcPr>
          <w:p w14:paraId="38205324"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1054" w:type="dxa"/>
          </w:tcPr>
          <w:p w14:paraId="4B22573B"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16</w:t>
            </w:r>
          </w:p>
        </w:tc>
        <w:tc>
          <w:tcPr>
            <w:tcW w:w="752" w:type="dxa"/>
          </w:tcPr>
          <w:p w14:paraId="7F795363"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8</w:t>
            </w:r>
          </w:p>
        </w:tc>
        <w:tc>
          <w:tcPr>
            <w:tcW w:w="739" w:type="dxa"/>
          </w:tcPr>
          <w:p w14:paraId="6C80FED0"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3</w:t>
            </w:r>
          </w:p>
        </w:tc>
      </w:tr>
      <w:tr w:rsidR="009C6724" w:rsidRPr="00174DB6" w14:paraId="17D9711A" w14:textId="77777777" w:rsidTr="009C6724">
        <w:trPr>
          <w:cantSplit/>
        </w:trPr>
        <w:tc>
          <w:tcPr>
            <w:cnfStyle w:val="001000000000" w:firstRow="0" w:lastRow="0" w:firstColumn="1" w:lastColumn="0" w:oddVBand="0" w:evenVBand="0" w:oddHBand="0" w:evenHBand="0" w:firstRowFirstColumn="0" w:firstRowLastColumn="0" w:lastRowFirstColumn="0" w:lastRowLastColumn="0"/>
            <w:tcW w:w="3080" w:type="dxa"/>
            <w:gridSpan w:val="2"/>
          </w:tcPr>
          <w:p w14:paraId="76290C2C" w14:textId="77777777" w:rsidR="00AB205D" w:rsidRPr="00174DB6" w:rsidRDefault="00471A3B">
            <w:pPr>
              <w:spacing w:after="0"/>
              <w:rPr>
                <w:szCs w:val="17"/>
              </w:rPr>
            </w:pPr>
            <w:r w:rsidRPr="00174DB6">
              <w:rPr>
                <w:szCs w:val="17"/>
              </w:rPr>
              <w:t>Dividends paid</w:t>
            </w:r>
          </w:p>
        </w:tc>
        <w:tc>
          <w:tcPr>
            <w:tcW w:w="966" w:type="dxa"/>
          </w:tcPr>
          <w:p w14:paraId="1FC4F3AA"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(176)</w:t>
            </w:r>
          </w:p>
        </w:tc>
        <w:tc>
          <w:tcPr>
            <w:tcW w:w="1120" w:type="dxa"/>
          </w:tcPr>
          <w:p w14:paraId="61C48803"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1054" w:type="dxa"/>
          </w:tcPr>
          <w:p w14:paraId="4BA2D154"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752" w:type="dxa"/>
          </w:tcPr>
          <w:p w14:paraId="40454F1E"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739" w:type="dxa"/>
          </w:tcPr>
          <w:p w14:paraId="3DF9164E"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(176)</w:t>
            </w:r>
          </w:p>
        </w:tc>
      </w:tr>
      <w:tr w:rsidR="009C6724" w:rsidRPr="00174DB6" w14:paraId="6C77EF85" w14:textId="77777777" w:rsidTr="009C6724">
        <w:trPr>
          <w:cantSplit/>
        </w:trPr>
        <w:tc>
          <w:tcPr>
            <w:cnfStyle w:val="001000000000" w:firstRow="0" w:lastRow="0" w:firstColumn="1" w:lastColumn="0" w:oddVBand="0" w:evenVBand="0" w:oddHBand="0" w:evenHBand="0" w:firstRowFirstColumn="0" w:firstRowLastColumn="0" w:lastRowFirstColumn="0" w:lastRowLastColumn="0"/>
            <w:tcW w:w="3080" w:type="dxa"/>
            <w:gridSpan w:val="2"/>
            <w:tcBorders>
              <w:bottom w:val="single" w:sz="6" w:space="0" w:color="auto"/>
            </w:tcBorders>
          </w:tcPr>
          <w:p w14:paraId="0BD49FDB" w14:textId="77777777" w:rsidR="00AB205D" w:rsidRPr="00174DB6" w:rsidRDefault="00471A3B">
            <w:pPr>
              <w:spacing w:after="0"/>
              <w:rPr>
                <w:szCs w:val="17"/>
              </w:rPr>
            </w:pPr>
            <w:r w:rsidRPr="00174DB6">
              <w:rPr>
                <w:szCs w:val="17"/>
              </w:rPr>
              <w:t>Transactions with owners in their capacity as owners</w:t>
            </w:r>
          </w:p>
        </w:tc>
        <w:tc>
          <w:tcPr>
            <w:tcW w:w="966" w:type="dxa"/>
            <w:tcBorders>
              <w:bottom w:val="single" w:sz="6" w:space="0" w:color="auto"/>
            </w:tcBorders>
          </w:tcPr>
          <w:p w14:paraId="77054AE1"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1120" w:type="dxa"/>
            <w:tcBorders>
              <w:bottom w:val="single" w:sz="6" w:space="0" w:color="auto"/>
            </w:tcBorders>
          </w:tcPr>
          <w:p w14:paraId="21168E07"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7 188</w:t>
            </w:r>
          </w:p>
        </w:tc>
        <w:tc>
          <w:tcPr>
            <w:tcW w:w="1054" w:type="dxa"/>
            <w:tcBorders>
              <w:bottom w:val="single" w:sz="6" w:space="0" w:color="auto"/>
            </w:tcBorders>
          </w:tcPr>
          <w:p w14:paraId="795378C8"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752" w:type="dxa"/>
            <w:tcBorders>
              <w:bottom w:val="single" w:sz="6" w:space="0" w:color="auto"/>
            </w:tcBorders>
          </w:tcPr>
          <w:p w14:paraId="124D937C"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739" w:type="dxa"/>
            <w:tcBorders>
              <w:bottom w:val="single" w:sz="6" w:space="0" w:color="auto"/>
            </w:tcBorders>
          </w:tcPr>
          <w:p w14:paraId="451FB538"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7 188</w:t>
            </w:r>
          </w:p>
        </w:tc>
      </w:tr>
      <w:tr w:rsidR="009C6724" w:rsidRPr="00174DB6" w14:paraId="66A1B33D" w14:textId="77777777" w:rsidTr="009C6724">
        <w:trPr>
          <w:cantSplit/>
        </w:trPr>
        <w:tc>
          <w:tcPr>
            <w:cnfStyle w:val="001000000000" w:firstRow="0" w:lastRow="0" w:firstColumn="1" w:lastColumn="0" w:oddVBand="0" w:evenVBand="0" w:oddHBand="0" w:evenHBand="0" w:firstRowFirstColumn="0" w:firstRowLastColumn="0" w:lastRowFirstColumn="0" w:lastRowLastColumn="0"/>
            <w:tcW w:w="3080" w:type="dxa"/>
            <w:gridSpan w:val="2"/>
            <w:tcBorders>
              <w:top w:val="single" w:sz="6" w:space="0" w:color="auto"/>
              <w:bottom w:val="single" w:sz="6" w:space="0" w:color="auto"/>
            </w:tcBorders>
          </w:tcPr>
          <w:p w14:paraId="502CBAC6" w14:textId="77777777" w:rsidR="00AB205D" w:rsidRPr="00174DB6" w:rsidRDefault="00471A3B">
            <w:pPr>
              <w:spacing w:after="0"/>
              <w:rPr>
                <w:szCs w:val="17"/>
              </w:rPr>
            </w:pPr>
            <w:r w:rsidRPr="00174DB6">
              <w:rPr>
                <w:b/>
                <w:szCs w:val="17"/>
              </w:rPr>
              <w:t>Total equity as at 30 June 2025</w:t>
            </w:r>
          </w:p>
        </w:tc>
        <w:tc>
          <w:tcPr>
            <w:tcW w:w="966" w:type="dxa"/>
            <w:tcBorders>
              <w:top w:val="single" w:sz="6" w:space="0" w:color="auto"/>
              <w:bottom w:val="single" w:sz="6" w:space="0" w:color="auto"/>
            </w:tcBorders>
          </w:tcPr>
          <w:p w14:paraId="5F0628B3"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(38 321)</w:t>
            </w:r>
          </w:p>
        </w:tc>
        <w:tc>
          <w:tcPr>
            <w:tcW w:w="1120" w:type="dxa"/>
            <w:tcBorders>
              <w:top w:val="single" w:sz="6" w:space="0" w:color="auto"/>
              <w:bottom w:val="single" w:sz="6" w:space="0" w:color="auto"/>
            </w:tcBorders>
          </w:tcPr>
          <w:p w14:paraId="0A545504"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92 112</w:t>
            </w:r>
          </w:p>
        </w:tc>
        <w:tc>
          <w:tcPr>
            <w:tcW w:w="1054" w:type="dxa"/>
            <w:tcBorders>
              <w:top w:val="single" w:sz="6" w:space="0" w:color="auto"/>
              <w:bottom w:val="single" w:sz="6" w:space="0" w:color="auto"/>
            </w:tcBorders>
          </w:tcPr>
          <w:p w14:paraId="604E22D6"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31 195</w:t>
            </w:r>
          </w:p>
        </w:tc>
        <w:tc>
          <w:tcPr>
            <w:tcW w:w="752" w:type="dxa"/>
            <w:tcBorders>
              <w:top w:val="single" w:sz="6" w:space="0" w:color="auto"/>
              <w:bottom w:val="single" w:sz="6" w:space="0" w:color="auto"/>
            </w:tcBorders>
          </w:tcPr>
          <w:p w14:paraId="309B6846"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744</w:t>
            </w:r>
          </w:p>
        </w:tc>
        <w:tc>
          <w:tcPr>
            <w:tcW w:w="739" w:type="dxa"/>
            <w:tcBorders>
              <w:top w:val="single" w:sz="6" w:space="0" w:color="auto"/>
              <w:bottom w:val="single" w:sz="6" w:space="0" w:color="auto"/>
            </w:tcBorders>
          </w:tcPr>
          <w:p w14:paraId="54FC1AEC"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85 730</w:t>
            </w:r>
          </w:p>
        </w:tc>
      </w:tr>
      <w:tr w:rsidR="009C6724" w:rsidRPr="00174DB6" w14:paraId="4FED968B" w14:textId="77777777" w:rsidTr="009C6724">
        <w:trPr>
          <w:cantSplit/>
        </w:trPr>
        <w:tc>
          <w:tcPr>
            <w:cnfStyle w:val="001000000000" w:firstRow="0" w:lastRow="0" w:firstColumn="1" w:lastColumn="0" w:oddVBand="0" w:evenVBand="0" w:oddHBand="0" w:evenHBand="0" w:firstRowFirstColumn="0" w:firstRowLastColumn="0" w:lastRowFirstColumn="0" w:lastRowLastColumn="0"/>
            <w:tcW w:w="3080" w:type="dxa"/>
            <w:gridSpan w:val="2"/>
            <w:tcBorders>
              <w:top w:val="single" w:sz="6" w:space="0" w:color="auto"/>
            </w:tcBorders>
          </w:tcPr>
          <w:p w14:paraId="64660D64" w14:textId="77777777" w:rsidR="00AB205D" w:rsidRPr="00174DB6" w:rsidRDefault="00471A3B">
            <w:pPr>
              <w:spacing w:after="0"/>
              <w:rPr>
                <w:szCs w:val="17"/>
              </w:rPr>
            </w:pPr>
            <w:r w:rsidRPr="00174DB6">
              <w:rPr>
                <w:b/>
                <w:szCs w:val="17"/>
              </w:rPr>
              <w:t>2025</w:t>
            </w:r>
            <w:r w:rsidRPr="00174DB6">
              <w:rPr>
                <w:b/>
                <w:szCs w:val="17"/>
              </w:rPr>
              <w:noBreakHyphen/>
              <w:t>26 estimate</w:t>
            </w:r>
          </w:p>
        </w:tc>
        <w:tc>
          <w:tcPr>
            <w:tcW w:w="966" w:type="dxa"/>
            <w:tcBorders>
              <w:top w:val="single" w:sz="6" w:space="0" w:color="auto"/>
            </w:tcBorders>
          </w:tcPr>
          <w:p w14:paraId="3A1C9430" w14:textId="77777777" w:rsidR="00AB205D" w:rsidRPr="00174DB6"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1120" w:type="dxa"/>
            <w:tcBorders>
              <w:top w:val="single" w:sz="6" w:space="0" w:color="auto"/>
            </w:tcBorders>
          </w:tcPr>
          <w:p w14:paraId="756DCDA0" w14:textId="77777777" w:rsidR="00AB205D" w:rsidRPr="00174DB6"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1054" w:type="dxa"/>
            <w:tcBorders>
              <w:top w:val="single" w:sz="6" w:space="0" w:color="auto"/>
            </w:tcBorders>
          </w:tcPr>
          <w:p w14:paraId="10766B50" w14:textId="77777777" w:rsidR="00AB205D" w:rsidRPr="00174DB6"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52" w:type="dxa"/>
            <w:tcBorders>
              <w:top w:val="single" w:sz="6" w:space="0" w:color="auto"/>
            </w:tcBorders>
          </w:tcPr>
          <w:p w14:paraId="29FF9D07" w14:textId="77777777" w:rsidR="00AB205D" w:rsidRPr="00174DB6"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39" w:type="dxa"/>
            <w:tcBorders>
              <w:top w:val="single" w:sz="6" w:space="0" w:color="auto"/>
            </w:tcBorders>
          </w:tcPr>
          <w:p w14:paraId="4E37DB87" w14:textId="77777777" w:rsidR="00AB205D" w:rsidRPr="00174DB6"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r>
      <w:tr w:rsidR="009C6724" w:rsidRPr="00174DB6" w14:paraId="1E646A65" w14:textId="77777777" w:rsidTr="009C6724">
        <w:trPr>
          <w:cantSplit/>
        </w:trPr>
        <w:tc>
          <w:tcPr>
            <w:cnfStyle w:val="001000000000" w:firstRow="0" w:lastRow="0" w:firstColumn="1" w:lastColumn="0" w:oddVBand="0" w:evenVBand="0" w:oddHBand="0" w:evenHBand="0" w:firstRowFirstColumn="0" w:firstRowLastColumn="0" w:lastRowFirstColumn="0" w:lastRowLastColumn="0"/>
            <w:tcW w:w="3080" w:type="dxa"/>
            <w:gridSpan w:val="2"/>
          </w:tcPr>
          <w:p w14:paraId="68B53DCB" w14:textId="77777777" w:rsidR="00AB205D" w:rsidRPr="00174DB6" w:rsidRDefault="00471A3B">
            <w:pPr>
              <w:spacing w:after="0"/>
              <w:rPr>
                <w:szCs w:val="17"/>
              </w:rPr>
            </w:pPr>
            <w:r w:rsidRPr="00174DB6">
              <w:rPr>
                <w:szCs w:val="17"/>
              </w:rPr>
              <w:t>Balance at 1 July 2025</w:t>
            </w:r>
          </w:p>
        </w:tc>
        <w:tc>
          <w:tcPr>
            <w:tcW w:w="966" w:type="dxa"/>
          </w:tcPr>
          <w:p w14:paraId="0C1072C9"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(38 321)</w:t>
            </w:r>
          </w:p>
        </w:tc>
        <w:tc>
          <w:tcPr>
            <w:tcW w:w="1120" w:type="dxa"/>
          </w:tcPr>
          <w:p w14:paraId="6E103AEB"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92 112</w:t>
            </w:r>
          </w:p>
        </w:tc>
        <w:tc>
          <w:tcPr>
            <w:tcW w:w="1054" w:type="dxa"/>
          </w:tcPr>
          <w:p w14:paraId="7FB14885"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31 195</w:t>
            </w:r>
          </w:p>
        </w:tc>
        <w:tc>
          <w:tcPr>
            <w:tcW w:w="752" w:type="dxa"/>
          </w:tcPr>
          <w:p w14:paraId="4F381FF6"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744</w:t>
            </w:r>
          </w:p>
        </w:tc>
        <w:tc>
          <w:tcPr>
            <w:tcW w:w="739" w:type="dxa"/>
          </w:tcPr>
          <w:p w14:paraId="372EEDC5"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85 730</w:t>
            </w:r>
          </w:p>
        </w:tc>
      </w:tr>
      <w:tr w:rsidR="009C6724" w:rsidRPr="00174DB6" w14:paraId="60E2D551" w14:textId="77777777" w:rsidTr="009C6724">
        <w:trPr>
          <w:cantSplit/>
        </w:trPr>
        <w:tc>
          <w:tcPr>
            <w:cnfStyle w:val="001000000000" w:firstRow="0" w:lastRow="0" w:firstColumn="1" w:lastColumn="0" w:oddVBand="0" w:evenVBand="0" w:oddHBand="0" w:evenHBand="0" w:firstRowFirstColumn="0" w:firstRowLastColumn="0" w:lastRowFirstColumn="0" w:lastRowLastColumn="0"/>
            <w:tcW w:w="3080" w:type="dxa"/>
            <w:gridSpan w:val="2"/>
          </w:tcPr>
          <w:p w14:paraId="0D5277A4" w14:textId="77777777" w:rsidR="00AB205D" w:rsidRPr="00174DB6" w:rsidRDefault="00471A3B">
            <w:pPr>
              <w:spacing w:after="0"/>
              <w:rPr>
                <w:szCs w:val="17"/>
              </w:rPr>
            </w:pPr>
            <w:r w:rsidRPr="00174DB6">
              <w:rPr>
                <w:szCs w:val="17"/>
              </w:rPr>
              <w:t>Net result for the year</w:t>
            </w:r>
          </w:p>
        </w:tc>
        <w:tc>
          <w:tcPr>
            <w:tcW w:w="966" w:type="dxa"/>
          </w:tcPr>
          <w:p w14:paraId="2FC484FA"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(17 600)</w:t>
            </w:r>
          </w:p>
        </w:tc>
        <w:tc>
          <w:tcPr>
            <w:tcW w:w="1120" w:type="dxa"/>
          </w:tcPr>
          <w:p w14:paraId="212E3FB7"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1054" w:type="dxa"/>
          </w:tcPr>
          <w:p w14:paraId="064F219B"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752" w:type="dxa"/>
          </w:tcPr>
          <w:p w14:paraId="24C8EDC9"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739" w:type="dxa"/>
          </w:tcPr>
          <w:p w14:paraId="4B56ED85"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(17 600)</w:t>
            </w:r>
          </w:p>
        </w:tc>
      </w:tr>
      <w:tr w:rsidR="009C6724" w:rsidRPr="00174DB6" w14:paraId="7EFC1B34" w14:textId="77777777" w:rsidTr="009C6724">
        <w:trPr>
          <w:cantSplit/>
        </w:trPr>
        <w:tc>
          <w:tcPr>
            <w:cnfStyle w:val="001000000000" w:firstRow="0" w:lastRow="0" w:firstColumn="1" w:lastColumn="0" w:oddVBand="0" w:evenVBand="0" w:oddHBand="0" w:evenHBand="0" w:firstRowFirstColumn="0" w:firstRowLastColumn="0" w:lastRowFirstColumn="0" w:lastRowLastColumn="0"/>
            <w:tcW w:w="3080" w:type="dxa"/>
            <w:gridSpan w:val="2"/>
          </w:tcPr>
          <w:p w14:paraId="791E61A2" w14:textId="77777777" w:rsidR="00AB205D" w:rsidRPr="00174DB6" w:rsidRDefault="00471A3B">
            <w:pPr>
              <w:spacing w:after="0"/>
              <w:rPr>
                <w:szCs w:val="17"/>
              </w:rPr>
            </w:pPr>
            <w:r w:rsidRPr="00174DB6">
              <w:rPr>
                <w:szCs w:val="17"/>
              </w:rPr>
              <w:t>Other comprehensive income for the year</w:t>
            </w:r>
          </w:p>
        </w:tc>
        <w:tc>
          <w:tcPr>
            <w:tcW w:w="966" w:type="dxa"/>
          </w:tcPr>
          <w:p w14:paraId="1D94828F"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(9)</w:t>
            </w:r>
          </w:p>
        </w:tc>
        <w:tc>
          <w:tcPr>
            <w:tcW w:w="1120" w:type="dxa"/>
          </w:tcPr>
          <w:p w14:paraId="6561616B"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1054" w:type="dxa"/>
          </w:tcPr>
          <w:p w14:paraId="63E32BEC"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979</w:t>
            </w:r>
          </w:p>
        </w:tc>
        <w:tc>
          <w:tcPr>
            <w:tcW w:w="752" w:type="dxa"/>
          </w:tcPr>
          <w:p w14:paraId="1D18E5B6"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11</w:t>
            </w:r>
          </w:p>
        </w:tc>
        <w:tc>
          <w:tcPr>
            <w:tcW w:w="739" w:type="dxa"/>
          </w:tcPr>
          <w:p w14:paraId="5F313CF3"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981</w:t>
            </w:r>
          </w:p>
        </w:tc>
      </w:tr>
      <w:tr w:rsidR="009C6724" w:rsidRPr="00174DB6" w14:paraId="670BE0C7" w14:textId="77777777" w:rsidTr="009C6724">
        <w:trPr>
          <w:cantSplit/>
        </w:trPr>
        <w:tc>
          <w:tcPr>
            <w:cnfStyle w:val="001000000000" w:firstRow="0" w:lastRow="0" w:firstColumn="1" w:lastColumn="0" w:oddVBand="0" w:evenVBand="0" w:oddHBand="0" w:evenHBand="0" w:firstRowFirstColumn="0" w:firstRowLastColumn="0" w:lastRowFirstColumn="0" w:lastRowLastColumn="0"/>
            <w:tcW w:w="3080" w:type="dxa"/>
            <w:gridSpan w:val="2"/>
          </w:tcPr>
          <w:p w14:paraId="28AC8D6F" w14:textId="77777777" w:rsidR="00AB205D" w:rsidRPr="00174DB6" w:rsidRDefault="00471A3B">
            <w:pPr>
              <w:spacing w:after="0"/>
              <w:rPr>
                <w:szCs w:val="17"/>
              </w:rPr>
            </w:pPr>
            <w:r w:rsidRPr="00174DB6">
              <w:rPr>
                <w:szCs w:val="17"/>
              </w:rPr>
              <w:t>Dividends paid</w:t>
            </w:r>
          </w:p>
        </w:tc>
        <w:tc>
          <w:tcPr>
            <w:tcW w:w="966" w:type="dxa"/>
          </w:tcPr>
          <w:p w14:paraId="7EBA9265"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(199)</w:t>
            </w:r>
          </w:p>
        </w:tc>
        <w:tc>
          <w:tcPr>
            <w:tcW w:w="1120" w:type="dxa"/>
          </w:tcPr>
          <w:p w14:paraId="568F19F0"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1054" w:type="dxa"/>
          </w:tcPr>
          <w:p w14:paraId="4AE2DFBB"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752" w:type="dxa"/>
          </w:tcPr>
          <w:p w14:paraId="7CADF713"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739" w:type="dxa"/>
          </w:tcPr>
          <w:p w14:paraId="38EC948E"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(199)</w:t>
            </w:r>
          </w:p>
        </w:tc>
      </w:tr>
      <w:tr w:rsidR="009C6724" w:rsidRPr="00174DB6" w14:paraId="776AC11D" w14:textId="77777777" w:rsidTr="009C6724">
        <w:trPr>
          <w:cantSplit/>
        </w:trPr>
        <w:tc>
          <w:tcPr>
            <w:cnfStyle w:val="001000000000" w:firstRow="0" w:lastRow="0" w:firstColumn="1" w:lastColumn="0" w:oddVBand="0" w:evenVBand="0" w:oddHBand="0" w:evenHBand="0" w:firstRowFirstColumn="0" w:firstRowLastColumn="0" w:lastRowFirstColumn="0" w:lastRowLastColumn="0"/>
            <w:tcW w:w="3080" w:type="dxa"/>
            <w:gridSpan w:val="2"/>
            <w:tcBorders>
              <w:bottom w:val="single" w:sz="6" w:space="0" w:color="auto"/>
            </w:tcBorders>
          </w:tcPr>
          <w:p w14:paraId="4DBB204A" w14:textId="77777777" w:rsidR="00AB205D" w:rsidRPr="00174DB6" w:rsidRDefault="00471A3B">
            <w:pPr>
              <w:spacing w:after="0"/>
              <w:rPr>
                <w:szCs w:val="17"/>
              </w:rPr>
            </w:pPr>
            <w:r w:rsidRPr="00174DB6">
              <w:rPr>
                <w:szCs w:val="17"/>
              </w:rPr>
              <w:t>Transactions with owners in their capacity as owners</w:t>
            </w:r>
          </w:p>
        </w:tc>
        <w:tc>
          <w:tcPr>
            <w:tcW w:w="966" w:type="dxa"/>
            <w:tcBorders>
              <w:bottom w:val="single" w:sz="6" w:space="0" w:color="auto"/>
            </w:tcBorders>
          </w:tcPr>
          <w:p w14:paraId="1ED2833D"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1120" w:type="dxa"/>
            <w:tcBorders>
              <w:bottom w:val="single" w:sz="6" w:space="0" w:color="auto"/>
            </w:tcBorders>
          </w:tcPr>
          <w:p w14:paraId="0D017229"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24 419</w:t>
            </w:r>
          </w:p>
        </w:tc>
        <w:tc>
          <w:tcPr>
            <w:tcW w:w="1054" w:type="dxa"/>
            <w:tcBorders>
              <w:bottom w:val="single" w:sz="6" w:space="0" w:color="auto"/>
            </w:tcBorders>
          </w:tcPr>
          <w:p w14:paraId="0B854ED0"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752" w:type="dxa"/>
            <w:tcBorders>
              <w:bottom w:val="single" w:sz="6" w:space="0" w:color="auto"/>
            </w:tcBorders>
          </w:tcPr>
          <w:p w14:paraId="142D32B8"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739" w:type="dxa"/>
            <w:tcBorders>
              <w:bottom w:val="single" w:sz="6" w:space="0" w:color="auto"/>
            </w:tcBorders>
          </w:tcPr>
          <w:p w14:paraId="24FF7651"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24 419</w:t>
            </w:r>
          </w:p>
        </w:tc>
      </w:tr>
      <w:tr w:rsidR="009C6724" w:rsidRPr="00174DB6" w14:paraId="196B6A79" w14:textId="77777777" w:rsidTr="009C6724">
        <w:trPr>
          <w:cantSplit/>
        </w:trPr>
        <w:tc>
          <w:tcPr>
            <w:cnfStyle w:val="001000000000" w:firstRow="0" w:lastRow="0" w:firstColumn="1" w:lastColumn="0" w:oddVBand="0" w:evenVBand="0" w:oddHBand="0" w:evenHBand="0" w:firstRowFirstColumn="0" w:firstRowLastColumn="0" w:lastRowFirstColumn="0" w:lastRowLastColumn="0"/>
            <w:tcW w:w="3080" w:type="dxa"/>
            <w:gridSpan w:val="2"/>
            <w:tcBorders>
              <w:top w:val="single" w:sz="6" w:space="0" w:color="auto"/>
              <w:bottom w:val="single" w:sz="6" w:space="0" w:color="auto"/>
            </w:tcBorders>
          </w:tcPr>
          <w:p w14:paraId="557F5E82" w14:textId="77777777" w:rsidR="00AB205D" w:rsidRPr="00174DB6" w:rsidRDefault="00471A3B">
            <w:pPr>
              <w:spacing w:after="0"/>
              <w:rPr>
                <w:szCs w:val="17"/>
              </w:rPr>
            </w:pPr>
            <w:r w:rsidRPr="00174DB6">
              <w:rPr>
                <w:b/>
                <w:szCs w:val="17"/>
              </w:rPr>
              <w:t>Total equity as at 30 June 2026</w:t>
            </w:r>
          </w:p>
        </w:tc>
        <w:tc>
          <w:tcPr>
            <w:tcW w:w="966" w:type="dxa"/>
            <w:tcBorders>
              <w:top w:val="single" w:sz="6" w:space="0" w:color="auto"/>
              <w:bottom w:val="single" w:sz="6" w:space="0" w:color="auto"/>
            </w:tcBorders>
          </w:tcPr>
          <w:p w14:paraId="12598D80"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(56 130)</w:t>
            </w:r>
          </w:p>
        </w:tc>
        <w:tc>
          <w:tcPr>
            <w:tcW w:w="1120" w:type="dxa"/>
            <w:tcBorders>
              <w:top w:val="single" w:sz="6" w:space="0" w:color="auto"/>
              <w:bottom w:val="single" w:sz="6" w:space="0" w:color="auto"/>
            </w:tcBorders>
          </w:tcPr>
          <w:p w14:paraId="10962D09"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116 530</w:t>
            </w:r>
          </w:p>
        </w:tc>
        <w:tc>
          <w:tcPr>
            <w:tcW w:w="1054" w:type="dxa"/>
            <w:tcBorders>
              <w:top w:val="single" w:sz="6" w:space="0" w:color="auto"/>
              <w:bottom w:val="single" w:sz="6" w:space="0" w:color="auto"/>
            </w:tcBorders>
          </w:tcPr>
          <w:p w14:paraId="6C4A7B52"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32 175</w:t>
            </w:r>
          </w:p>
        </w:tc>
        <w:tc>
          <w:tcPr>
            <w:tcW w:w="752" w:type="dxa"/>
            <w:tcBorders>
              <w:top w:val="single" w:sz="6" w:space="0" w:color="auto"/>
              <w:bottom w:val="single" w:sz="6" w:space="0" w:color="auto"/>
            </w:tcBorders>
          </w:tcPr>
          <w:p w14:paraId="0069FCD1"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755</w:t>
            </w:r>
          </w:p>
        </w:tc>
        <w:tc>
          <w:tcPr>
            <w:tcW w:w="739" w:type="dxa"/>
            <w:tcBorders>
              <w:top w:val="single" w:sz="6" w:space="0" w:color="auto"/>
              <w:bottom w:val="single" w:sz="6" w:space="0" w:color="auto"/>
            </w:tcBorders>
          </w:tcPr>
          <w:p w14:paraId="7D14937F"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93 330</w:t>
            </w:r>
          </w:p>
        </w:tc>
      </w:tr>
      <w:tr w:rsidR="009C6724" w:rsidRPr="00174DB6" w14:paraId="4EBE31FA" w14:textId="77777777" w:rsidTr="009C6724">
        <w:trPr>
          <w:cantSplit/>
        </w:trPr>
        <w:tc>
          <w:tcPr>
            <w:cnfStyle w:val="001000000000" w:firstRow="0" w:lastRow="0" w:firstColumn="1" w:lastColumn="0" w:oddVBand="0" w:evenVBand="0" w:oddHBand="0" w:evenHBand="0" w:firstRowFirstColumn="0" w:firstRowLastColumn="0" w:lastRowFirstColumn="0" w:lastRowLastColumn="0"/>
            <w:tcW w:w="3080" w:type="dxa"/>
            <w:gridSpan w:val="2"/>
            <w:tcBorders>
              <w:top w:val="single" w:sz="6" w:space="0" w:color="auto"/>
            </w:tcBorders>
          </w:tcPr>
          <w:p w14:paraId="48E06512" w14:textId="77777777" w:rsidR="00AB205D" w:rsidRPr="00174DB6" w:rsidRDefault="00471A3B">
            <w:pPr>
              <w:spacing w:after="0"/>
              <w:rPr>
                <w:szCs w:val="17"/>
              </w:rPr>
            </w:pPr>
            <w:r w:rsidRPr="00174DB6">
              <w:rPr>
                <w:b/>
                <w:szCs w:val="17"/>
              </w:rPr>
              <w:t>2026</w:t>
            </w:r>
            <w:r w:rsidRPr="00174DB6">
              <w:rPr>
                <w:b/>
                <w:szCs w:val="17"/>
              </w:rPr>
              <w:noBreakHyphen/>
              <w:t>27 estimate</w:t>
            </w:r>
          </w:p>
        </w:tc>
        <w:tc>
          <w:tcPr>
            <w:tcW w:w="966" w:type="dxa"/>
            <w:tcBorders>
              <w:top w:val="single" w:sz="6" w:space="0" w:color="auto"/>
            </w:tcBorders>
          </w:tcPr>
          <w:p w14:paraId="63923775" w14:textId="77777777" w:rsidR="00AB205D" w:rsidRPr="00174DB6"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1120" w:type="dxa"/>
            <w:tcBorders>
              <w:top w:val="single" w:sz="6" w:space="0" w:color="auto"/>
            </w:tcBorders>
          </w:tcPr>
          <w:p w14:paraId="7B666E20" w14:textId="77777777" w:rsidR="00AB205D" w:rsidRPr="00174DB6"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1054" w:type="dxa"/>
            <w:tcBorders>
              <w:top w:val="single" w:sz="6" w:space="0" w:color="auto"/>
            </w:tcBorders>
          </w:tcPr>
          <w:p w14:paraId="239BADAC" w14:textId="77777777" w:rsidR="00AB205D" w:rsidRPr="00174DB6"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52" w:type="dxa"/>
            <w:tcBorders>
              <w:top w:val="single" w:sz="6" w:space="0" w:color="auto"/>
            </w:tcBorders>
          </w:tcPr>
          <w:p w14:paraId="266276A1" w14:textId="77777777" w:rsidR="00AB205D" w:rsidRPr="00174DB6"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39" w:type="dxa"/>
            <w:tcBorders>
              <w:top w:val="single" w:sz="6" w:space="0" w:color="auto"/>
            </w:tcBorders>
          </w:tcPr>
          <w:p w14:paraId="2A6DBB7B" w14:textId="77777777" w:rsidR="00AB205D" w:rsidRPr="00174DB6"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r>
      <w:tr w:rsidR="009C6724" w:rsidRPr="00174DB6" w14:paraId="0FC5F076" w14:textId="77777777" w:rsidTr="009C6724">
        <w:trPr>
          <w:cantSplit/>
        </w:trPr>
        <w:tc>
          <w:tcPr>
            <w:cnfStyle w:val="001000000000" w:firstRow="0" w:lastRow="0" w:firstColumn="1" w:lastColumn="0" w:oddVBand="0" w:evenVBand="0" w:oddHBand="0" w:evenHBand="0" w:firstRowFirstColumn="0" w:firstRowLastColumn="0" w:lastRowFirstColumn="0" w:lastRowLastColumn="0"/>
            <w:tcW w:w="3080" w:type="dxa"/>
            <w:gridSpan w:val="2"/>
          </w:tcPr>
          <w:p w14:paraId="71902AEB" w14:textId="77777777" w:rsidR="00AB205D" w:rsidRPr="00174DB6" w:rsidRDefault="00471A3B">
            <w:pPr>
              <w:spacing w:after="0"/>
              <w:rPr>
                <w:szCs w:val="17"/>
              </w:rPr>
            </w:pPr>
            <w:r w:rsidRPr="00174DB6">
              <w:rPr>
                <w:szCs w:val="17"/>
              </w:rPr>
              <w:t>Balance at 1 July 2026</w:t>
            </w:r>
          </w:p>
        </w:tc>
        <w:tc>
          <w:tcPr>
            <w:tcW w:w="966" w:type="dxa"/>
          </w:tcPr>
          <w:p w14:paraId="42CB772D"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(56 130)</w:t>
            </w:r>
          </w:p>
        </w:tc>
        <w:tc>
          <w:tcPr>
            <w:tcW w:w="1120" w:type="dxa"/>
          </w:tcPr>
          <w:p w14:paraId="12A7D24A"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116 530</w:t>
            </w:r>
          </w:p>
        </w:tc>
        <w:tc>
          <w:tcPr>
            <w:tcW w:w="1054" w:type="dxa"/>
          </w:tcPr>
          <w:p w14:paraId="4B3B2BA9"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32 175</w:t>
            </w:r>
          </w:p>
        </w:tc>
        <w:tc>
          <w:tcPr>
            <w:tcW w:w="752" w:type="dxa"/>
          </w:tcPr>
          <w:p w14:paraId="3806D6E0"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755</w:t>
            </w:r>
          </w:p>
        </w:tc>
        <w:tc>
          <w:tcPr>
            <w:tcW w:w="739" w:type="dxa"/>
          </w:tcPr>
          <w:p w14:paraId="796E191A"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93 330</w:t>
            </w:r>
          </w:p>
        </w:tc>
      </w:tr>
      <w:tr w:rsidR="009C6724" w:rsidRPr="00174DB6" w14:paraId="4147D9C9" w14:textId="77777777" w:rsidTr="009C6724">
        <w:trPr>
          <w:cantSplit/>
        </w:trPr>
        <w:tc>
          <w:tcPr>
            <w:cnfStyle w:val="001000000000" w:firstRow="0" w:lastRow="0" w:firstColumn="1" w:lastColumn="0" w:oddVBand="0" w:evenVBand="0" w:oddHBand="0" w:evenHBand="0" w:firstRowFirstColumn="0" w:firstRowLastColumn="0" w:lastRowFirstColumn="0" w:lastRowLastColumn="0"/>
            <w:tcW w:w="3080" w:type="dxa"/>
            <w:gridSpan w:val="2"/>
          </w:tcPr>
          <w:p w14:paraId="37A695A4" w14:textId="77777777" w:rsidR="00AB205D" w:rsidRPr="00174DB6" w:rsidRDefault="00471A3B">
            <w:pPr>
              <w:spacing w:after="0"/>
              <w:rPr>
                <w:szCs w:val="17"/>
              </w:rPr>
            </w:pPr>
            <w:r w:rsidRPr="00174DB6">
              <w:rPr>
                <w:szCs w:val="17"/>
              </w:rPr>
              <w:t>Net result for the year</w:t>
            </w:r>
          </w:p>
        </w:tc>
        <w:tc>
          <w:tcPr>
            <w:tcW w:w="966" w:type="dxa"/>
          </w:tcPr>
          <w:p w14:paraId="0CC785F4"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(2 861)</w:t>
            </w:r>
          </w:p>
        </w:tc>
        <w:tc>
          <w:tcPr>
            <w:tcW w:w="1120" w:type="dxa"/>
          </w:tcPr>
          <w:p w14:paraId="5D6A9F28"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1054" w:type="dxa"/>
          </w:tcPr>
          <w:p w14:paraId="5E68A03D"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752" w:type="dxa"/>
          </w:tcPr>
          <w:p w14:paraId="6ED834C6"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739" w:type="dxa"/>
          </w:tcPr>
          <w:p w14:paraId="776D905B"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(2 861)</w:t>
            </w:r>
          </w:p>
        </w:tc>
      </w:tr>
      <w:tr w:rsidR="009C6724" w:rsidRPr="00174DB6" w14:paraId="1CED93F1" w14:textId="77777777" w:rsidTr="009C6724">
        <w:trPr>
          <w:cantSplit/>
        </w:trPr>
        <w:tc>
          <w:tcPr>
            <w:cnfStyle w:val="001000000000" w:firstRow="0" w:lastRow="0" w:firstColumn="1" w:lastColumn="0" w:oddVBand="0" w:evenVBand="0" w:oddHBand="0" w:evenHBand="0" w:firstRowFirstColumn="0" w:firstRowLastColumn="0" w:lastRowFirstColumn="0" w:lastRowLastColumn="0"/>
            <w:tcW w:w="3080" w:type="dxa"/>
            <w:gridSpan w:val="2"/>
          </w:tcPr>
          <w:p w14:paraId="7C7ACF0E" w14:textId="77777777" w:rsidR="00AB205D" w:rsidRPr="00174DB6" w:rsidRDefault="00471A3B">
            <w:pPr>
              <w:spacing w:after="0"/>
              <w:rPr>
                <w:szCs w:val="17"/>
              </w:rPr>
            </w:pPr>
            <w:r w:rsidRPr="00174DB6">
              <w:rPr>
                <w:szCs w:val="17"/>
              </w:rPr>
              <w:t>Other comprehensive income for the year</w:t>
            </w:r>
          </w:p>
        </w:tc>
        <w:tc>
          <w:tcPr>
            <w:tcW w:w="966" w:type="dxa"/>
          </w:tcPr>
          <w:p w14:paraId="0E664087"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3</w:t>
            </w:r>
          </w:p>
        </w:tc>
        <w:tc>
          <w:tcPr>
            <w:tcW w:w="1120" w:type="dxa"/>
          </w:tcPr>
          <w:p w14:paraId="03C63903"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1054" w:type="dxa"/>
          </w:tcPr>
          <w:p w14:paraId="6685E3E1"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7</w:t>
            </w:r>
          </w:p>
        </w:tc>
        <w:tc>
          <w:tcPr>
            <w:tcW w:w="752" w:type="dxa"/>
          </w:tcPr>
          <w:p w14:paraId="39842CFE"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739" w:type="dxa"/>
          </w:tcPr>
          <w:p w14:paraId="1EBEE896"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10</w:t>
            </w:r>
          </w:p>
        </w:tc>
      </w:tr>
      <w:tr w:rsidR="009C6724" w:rsidRPr="00174DB6" w14:paraId="6B96FDE1" w14:textId="77777777" w:rsidTr="009C6724">
        <w:trPr>
          <w:cantSplit/>
        </w:trPr>
        <w:tc>
          <w:tcPr>
            <w:cnfStyle w:val="001000000000" w:firstRow="0" w:lastRow="0" w:firstColumn="1" w:lastColumn="0" w:oddVBand="0" w:evenVBand="0" w:oddHBand="0" w:evenHBand="0" w:firstRowFirstColumn="0" w:firstRowLastColumn="0" w:lastRowFirstColumn="0" w:lastRowLastColumn="0"/>
            <w:tcW w:w="3080" w:type="dxa"/>
            <w:gridSpan w:val="2"/>
          </w:tcPr>
          <w:p w14:paraId="61514909" w14:textId="77777777" w:rsidR="00AB205D" w:rsidRPr="00174DB6" w:rsidRDefault="00471A3B">
            <w:pPr>
              <w:spacing w:after="0"/>
              <w:rPr>
                <w:szCs w:val="17"/>
              </w:rPr>
            </w:pPr>
            <w:r w:rsidRPr="00174DB6">
              <w:rPr>
                <w:szCs w:val="17"/>
              </w:rPr>
              <w:t>Dividends paid</w:t>
            </w:r>
          </w:p>
        </w:tc>
        <w:tc>
          <w:tcPr>
            <w:tcW w:w="966" w:type="dxa"/>
          </w:tcPr>
          <w:p w14:paraId="066BB8DD"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(191)</w:t>
            </w:r>
          </w:p>
        </w:tc>
        <w:tc>
          <w:tcPr>
            <w:tcW w:w="1120" w:type="dxa"/>
          </w:tcPr>
          <w:p w14:paraId="6D9F9A8C"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1054" w:type="dxa"/>
          </w:tcPr>
          <w:p w14:paraId="1EF8E9C4"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752" w:type="dxa"/>
          </w:tcPr>
          <w:p w14:paraId="4E2CD640"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739" w:type="dxa"/>
          </w:tcPr>
          <w:p w14:paraId="29242B1F"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(191)</w:t>
            </w:r>
          </w:p>
        </w:tc>
      </w:tr>
      <w:tr w:rsidR="009C6724" w:rsidRPr="00174DB6" w14:paraId="6091A07E" w14:textId="77777777" w:rsidTr="009C6724">
        <w:trPr>
          <w:cantSplit/>
        </w:trPr>
        <w:tc>
          <w:tcPr>
            <w:cnfStyle w:val="001000000000" w:firstRow="0" w:lastRow="0" w:firstColumn="1" w:lastColumn="0" w:oddVBand="0" w:evenVBand="0" w:oddHBand="0" w:evenHBand="0" w:firstRowFirstColumn="0" w:firstRowLastColumn="0" w:lastRowFirstColumn="0" w:lastRowLastColumn="0"/>
            <w:tcW w:w="3080" w:type="dxa"/>
            <w:gridSpan w:val="2"/>
            <w:tcBorders>
              <w:bottom w:val="single" w:sz="6" w:space="0" w:color="auto"/>
            </w:tcBorders>
          </w:tcPr>
          <w:p w14:paraId="1A9694BB" w14:textId="77777777" w:rsidR="00AB205D" w:rsidRPr="00174DB6" w:rsidRDefault="00471A3B">
            <w:pPr>
              <w:spacing w:after="0"/>
              <w:rPr>
                <w:szCs w:val="17"/>
              </w:rPr>
            </w:pPr>
            <w:r w:rsidRPr="00174DB6">
              <w:rPr>
                <w:szCs w:val="17"/>
              </w:rPr>
              <w:t>Transactions with owners in their capacity as owners</w:t>
            </w:r>
          </w:p>
        </w:tc>
        <w:tc>
          <w:tcPr>
            <w:tcW w:w="966" w:type="dxa"/>
            <w:tcBorders>
              <w:bottom w:val="single" w:sz="6" w:space="0" w:color="auto"/>
            </w:tcBorders>
          </w:tcPr>
          <w:p w14:paraId="1DD4844E"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1120" w:type="dxa"/>
            <w:tcBorders>
              <w:bottom w:val="single" w:sz="6" w:space="0" w:color="auto"/>
            </w:tcBorders>
          </w:tcPr>
          <w:p w14:paraId="7CE46AEA"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6 125</w:t>
            </w:r>
          </w:p>
        </w:tc>
        <w:tc>
          <w:tcPr>
            <w:tcW w:w="1054" w:type="dxa"/>
            <w:tcBorders>
              <w:bottom w:val="single" w:sz="6" w:space="0" w:color="auto"/>
            </w:tcBorders>
          </w:tcPr>
          <w:p w14:paraId="61E69741"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752" w:type="dxa"/>
            <w:tcBorders>
              <w:bottom w:val="single" w:sz="6" w:space="0" w:color="auto"/>
            </w:tcBorders>
          </w:tcPr>
          <w:p w14:paraId="66458961"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739" w:type="dxa"/>
            <w:tcBorders>
              <w:bottom w:val="single" w:sz="6" w:space="0" w:color="auto"/>
            </w:tcBorders>
          </w:tcPr>
          <w:p w14:paraId="14B4363E"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6 125</w:t>
            </w:r>
          </w:p>
        </w:tc>
      </w:tr>
      <w:tr w:rsidR="009C6724" w:rsidRPr="00174DB6" w14:paraId="4CB280CB" w14:textId="77777777" w:rsidTr="009C6724">
        <w:trPr>
          <w:cantSplit/>
        </w:trPr>
        <w:tc>
          <w:tcPr>
            <w:cnfStyle w:val="001000000000" w:firstRow="0" w:lastRow="0" w:firstColumn="1" w:lastColumn="0" w:oddVBand="0" w:evenVBand="0" w:oddHBand="0" w:evenHBand="0" w:firstRowFirstColumn="0" w:firstRowLastColumn="0" w:lastRowFirstColumn="0" w:lastRowLastColumn="0"/>
            <w:tcW w:w="3080" w:type="dxa"/>
            <w:gridSpan w:val="2"/>
            <w:tcBorders>
              <w:top w:val="single" w:sz="6" w:space="0" w:color="auto"/>
              <w:bottom w:val="single" w:sz="12" w:space="0" w:color="auto"/>
            </w:tcBorders>
          </w:tcPr>
          <w:p w14:paraId="4DC6F5E9" w14:textId="77777777" w:rsidR="00AB205D" w:rsidRPr="00174DB6" w:rsidRDefault="00471A3B">
            <w:pPr>
              <w:spacing w:after="0"/>
              <w:rPr>
                <w:szCs w:val="17"/>
              </w:rPr>
            </w:pPr>
            <w:r w:rsidRPr="00174DB6">
              <w:rPr>
                <w:b/>
                <w:szCs w:val="17"/>
              </w:rPr>
              <w:t>Total equity as at 30 June 2027</w:t>
            </w:r>
          </w:p>
        </w:tc>
        <w:tc>
          <w:tcPr>
            <w:tcW w:w="966" w:type="dxa"/>
            <w:tcBorders>
              <w:top w:val="single" w:sz="6" w:space="0" w:color="auto"/>
              <w:bottom w:val="single" w:sz="12" w:space="0" w:color="auto"/>
            </w:tcBorders>
          </w:tcPr>
          <w:p w14:paraId="64D4DA50"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(59 180)</w:t>
            </w:r>
          </w:p>
        </w:tc>
        <w:tc>
          <w:tcPr>
            <w:tcW w:w="1120" w:type="dxa"/>
            <w:tcBorders>
              <w:top w:val="single" w:sz="6" w:space="0" w:color="auto"/>
              <w:bottom w:val="single" w:sz="12" w:space="0" w:color="auto"/>
            </w:tcBorders>
          </w:tcPr>
          <w:p w14:paraId="54C813C4"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122 656</w:t>
            </w:r>
          </w:p>
        </w:tc>
        <w:tc>
          <w:tcPr>
            <w:tcW w:w="1054" w:type="dxa"/>
            <w:tcBorders>
              <w:top w:val="single" w:sz="6" w:space="0" w:color="auto"/>
              <w:bottom w:val="single" w:sz="12" w:space="0" w:color="auto"/>
            </w:tcBorders>
          </w:tcPr>
          <w:p w14:paraId="1AAB24D7"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32 182</w:t>
            </w:r>
          </w:p>
        </w:tc>
        <w:tc>
          <w:tcPr>
            <w:tcW w:w="752" w:type="dxa"/>
            <w:tcBorders>
              <w:top w:val="single" w:sz="6" w:space="0" w:color="auto"/>
              <w:bottom w:val="single" w:sz="12" w:space="0" w:color="auto"/>
            </w:tcBorders>
          </w:tcPr>
          <w:p w14:paraId="32B10F64"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755</w:t>
            </w:r>
          </w:p>
        </w:tc>
        <w:tc>
          <w:tcPr>
            <w:tcW w:w="739" w:type="dxa"/>
            <w:tcBorders>
              <w:top w:val="single" w:sz="6" w:space="0" w:color="auto"/>
              <w:bottom w:val="single" w:sz="12" w:space="0" w:color="auto"/>
            </w:tcBorders>
          </w:tcPr>
          <w:p w14:paraId="4DA84D83"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96 412</w:t>
            </w:r>
          </w:p>
        </w:tc>
      </w:tr>
    </w:tbl>
    <w:p w14:paraId="7703BC4A" w14:textId="77777777" w:rsidR="00AB205D" w:rsidRPr="00921F69" w:rsidRDefault="00471A3B">
      <w:pPr>
        <w:pStyle w:val="Note"/>
      </w:pPr>
      <w:r w:rsidRPr="00921F69">
        <w:t>Note</w:t>
      </w:r>
      <w:r>
        <w:t>s</w:t>
      </w:r>
      <w:r w:rsidRPr="00921F69">
        <w:t>:</w:t>
      </w:r>
    </w:p>
    <w:p w14:paraId="655B6D33" w14:textId="5D2E8012" w:rsidR="00AB205D" w:rsidRPr="00B249F8" w:rsidRDefault="00471A3B">
      <w:pPr>
        <w:pStyle w:val="Note"/>
      </w:pPr>
      <w:r w:rsidRPr="00B249F8">
        <w:t>(a)</w:t>
      </w:r>
      <w:r w:rsidRPr="00B249F8">
        <w:tab/>
      </w:r>
      <w:r>
        <w:t xml:space="preserve">The </w:t>
      </w:r>
      <w:r w:rsidRPr="005A15D6">
        <w:rPr>
          <w:i w:val="0"/>
          <w:iCs/>
        </w:rPr>
        <w:t>2023-24 Budget</w:t>
      </w:r>
      <w:r>
        <w:t xml:space="preserve"> included a</w:t>
      </w:r>
      <w:r w:rsidRPr="00B249F8">
        <w:t xml:space="preserve"> range of savings and efficiency initiatives </w:t>
      </w:r>
      <w:r>
        <w:t>that</w:t>
      </w:r>
      <w:r w:rsidRPr="00B249F8">
        <w:t xml:space="preserve"> will be implemented by the PNFC sector. The impact of these initiatives </w:t>
      </w:r>
      <w:r w:rsidR="00174DB6">
        <w:t>is</w:t>
      </w:r>
      <w:r w:rsidRPr="00B249F8">
        <w:t xml:space="preserve"> reflected in the estimates for the budget year and the three forward years.</w:t>
      </w:r>
    </w:p>
    <w:p w14:paraId="7F79235A" w14:textId="77777777" w:rsidR="00AB205D" w:rsidRDefault="00471A3B">
      <w:pPr>
        <w:pStyle w:val="Note"/>
      </w:pPr>
      <w:r w:rsidRPr="00921F69">
        <w:t>(</w:t>
      </w:r>
      <w:r>
        <w:t>b</w:t>
      </w:r>
      <w:r w:rsidRPr="00921F69">
        <w:t>)</w:t>
      </w:r>
      <w:r w:rsidRPr="00921F69">
        <w:tab/>
        <w:t>Balances represent actual opening balances at 1 July 20</w:t>
      </w:r>
      <w:r>
        <w:t>23</w:t>
      </w:r>
      <w:r w:rsidRPr="00921F69">
        <w:t xml:space="preserve"> plus 20</w:t>
      </w:r>
      <w:r>
        <w:t>23</w:t>
      </w:r>
      <w:r w:rsidRPr="00921F69">
        <w:t>-2</w:t>
      </w:r>
      <w:r>
        <w:t>4</w:t>
      </w:r>
      <w:r w:rsidRPr="00921F69">
        <w:t xml:space="preserve"> budgeted movements.</w:t>
      </w:r>
    </w:p>
    <w:p w14:paraId="654E2E20" w14:textId="77777777" w:rsidR="00AB205D" w:rsidRPr="0063276E" w:rsidRDefault="00471A3B">
      <w:pPr>
        <w:pStyle w:val="TableHeading"/>
      </w:pPr>
      <w:r w:rsidRPr="00921F69">
        <w:lastRenderedPageBreak/>
        <w:t>Table 5.5</w:t>
      </w:r>
      <w:r w:rsidRPr="00921F69">
        <w:tab/>
        <w:t xml:space="preserve">Net acquisition of non-financial assets – </w:t>
      </w:r>
      <w:r>
        <w:t xml:space="preserve"> </w:t>
      </w:r>
      <w:r>
        <w:br/>
      </w:r>
      <w:r w:rsidRPr="00921F69">
        <w:t>Public non-financial corporations sector</w:t>
      </w:r>
      <w:r w:rsidRPr="00921F69">
        <w:tab/>
        <w:t>($ million)</w:t>
      </w:r>
    </w:p>
    <w:tbl>
      <w:tblPr>
        <w:tblStyle w:val="DTFTableNumeric"/>
        <w:tblW w:w="7710" w:type="dxa"/>
        <w:tblLayout w:type="fixed"/>
        <w:tblLook w:val="06A0" w:firstRow="1" w:lastRow="0" w:firstColumn="1" w:lastColumn="0" w:noHBand="1" w:noVBand="1"/>
        <w:tblDescription w:val="Type:DtfTable|Workbook:Rawdata\BudgetUpdate\Budget Update\Financial Statements\SRIMS exports\SRIMS_BU_UPF_PNFC_PFC.xlsx|Table:PNFC_NFA|MergedHeadingRow:1"/>
      </w:tblPr>
      <w:tblGrid>
        <w:gridCol w:w="3740"/>
        <w:gridCol w:w="794"/>
        <w:gridCol w:w="794"/>
        <w:gridCol w:w="794"/>
        <w:gridCol w:w="794"/>
        <w:gridCol w:w="794"/>
      </w:tblGrid>
      <w:tr w:rsidR="009C6724" w14:paraId="6B5514C0"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034C7A57" w14:textId="77777777" w:rsidR="00AB205D" w:rsidRDefault="00AB205D">
            <w:pPr>
              <w:keepNext/>
            </w:pPr>
          </w:p>
        </w:tc>
        <w:tc>
          <w:tcPr>
            <w:tcW w:w="794" w:type="dxa"/>
          </w:tcPr>
          <w:p w14:paraId="27FE009F"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budget</w:t>
            </w:r>
          </w:p>
        </w:tc>
        <w:tc>
          <w:tcPr>
            <w:tcW w:w="794" w:type="dxa"/>
          </w:tcPr>
          <w:p w14:paraId="566AA343"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revised</w:t>
            </w:r>
          </w:p>
        </w:tc>
        <w:tc>
          <w:tcPr>
            <w:tcW w:w="794" w:type="dxa"/>
          </w:tcPr>
          <w:p w14:paraId="54062777"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r>
              <w:br/>
              <w:t>estimate</w:t>
            </w:r>
          </w:p>
        </w:tc>
        <w:tc>
          <w:tcPr>
            <w:tcW w:w="794" w:type="dxa"/>
          </w:tcPr>
          <w:p w14:paraId="0B24F02D"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231EB010"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r>
      <w:tr w:rsidR="009C6724" w14:paraId="77D2CC81"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A09F9C5" w14:textId="77777777" w:rsidR="00AB205D" w:rsidRDefault="00471A3B">
            <w:r>
              <w:t>Purchases of non</w:t>
            </w:r>
            <w:r>
              <w:noBreakHyphen/>
              <w:t>financial assets (including change in inventories)</w:t>
            </w:r>
          </w:p>
        </w:tc>
        <w:tc>
          <w:tcPr>
            <w:tcW w:w="794" w:type="dxa"/>
          </w:tcPr>
          <w:p w14:paraId="2BBFC353" w14:textId="77777777" w:rsidR="00AB205D" w:rsidRDefault="00471A3B">
            <w:pPr>
              <w:cnfStyle w:val="000000000000" w:firstRow="0" w:lastRow="0" w:firstColumn="0" w:lastColumn="0" w:oddVBand="0" w:evenVBand="0" w:oddHBand="0" w:evenHBand="0" w:firstRowFirstColumn="0" w:firstRowLastColumn="0" w:lastRowFirstColumn="0" w:lastRowLastColumn="0"/>
            </w:pPr>
            <w:r>
              <w:t>8 117</w:t>
            </w:r>
          </w:p>
        </w:tc>
        <w:tc>
          <w:tcPr>
            <w:tcW w:w="794" w:type="dxa"/>
          </w:tcPr>
          <w:p w14:paraId="76B508F0" w14:textId="77777777" w:rsidR="00AB205D" w:rsidRDefault="00471A3B">
            <w:pPr>
              <w:cnfStyle w:val="000000000000" w:firstRow="0" w:lastRow="0" w:firstColumn="0" w:lastColumn="0" w:oddVBand="0" w:evenVBand="0" w:oddHBand="0" w:evenHBand="0" w:firstRowFirstColumn="0" w:firstRowLastColumn="0" w:lastRowFirstColumn="0" w:lastRowLastColumn="0"/>
            </w:pPr>
            <w:r>
              <w:t>8 602</w:t>
            </w:r>
          </w:p>
        </w:tc>
        <w:tc>
          <w:tcPr>
            <w:tcW w:w="794" w:type="dxa"/>
          </w:tcPr>
          <w:p w14:paraId="1A24CB76" w14:textId="77777777" w:rsidR="00AB205D" w:rsidRDefault="00471A3B">
            <w:pPr>
              <w:cnfStyle w:val="000000000000" w:firstRow="0" w:lastRow="0" w:firstColumn="0" w:lastColumn="0" w:oddVBand="0" w:evenVBand="0" w:oddHBand="0" w:evenHBand="0" w:firstRowFirstColumn="0" w:firstRowLastColumn="0" w:lastRowFirstColumn="0" w:lastRowLastColumn="0"/>
            </w:pPr>
            <w:r>
              <w:t>6 908</w:t>
            </w:r>
          </w:p>
        </w:tc>
        <w:tc>
          <w:tcPr>
            <w:tcW w:w="794" w:type="dxa"/>
          </w:tcPr>
          <w:p w14:paraId="109E337B" w14:textId="77777777" w:rsidR="00AB205D" w:rsidRDefault="00471A3B">
            <w:pPr>
              <w:cnfStyle w:val="000000000000" w:firstRow="0" w:lastRow="0" w:firstColumn="0" w:lastColumn="0" w:oddVBand="0" w:evenVBand="0" w:oddHBand="0" w:evenHBand="0" w:firstRowFirstColumn="0" w:firstRowLastColumn="0" w:lastRowFirstColumn="0" w:lastRowLastColumn="0"/>
            </w:pPr>
            <w:r>
              <w:t>7 116</w:t>
            </w:r>
          </w:p>
        </w:tc>
        <w:tc>
          <w:tcPr>
            <w:tcW w:w="794" w:type="dxa"/>
          </w:tcPr>
          <w:p w14:paraId="20299F59" w14:textId="77777777" w:rsidR="00AB205D" w:rsidRDefault="00471A3B">
            <w:pPr>
              <w:cnfStyle w:val="000000000000" w:firstRow="0" w:lastRow="0" w:firstColumn="0" w:lastColumn="0" w:oddVBand="0" w:evenVBand="0" w:oddHBand="0" w:evenHBand="0" w:firstRowFirstColumn="0" w:firstRowLastColumn="0" w:lastRowFirstColumn="0" w:lastRowLastColumn="0"/>
            </w:pPr>
            <w:r>
              <w:t>6 275</w:t>
            </w:r>
          </w:p>
        </w:tc>
      </w:tr>
      <w:tr w:rsidR="009C6724" w14:paraId="352064BF"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6CFC7363" w14:textId="77777777" w:rsidR="00AB205D" w:rsidRDefault="00471A3B">
            <w:r>
              <w:t>Less: Sales of non</w:t>
            </w:r>
            <w:r>
              <w:noBreakHyphen/>
              <w:t>financial assets</w:t>
            </w:r>
          </w:p>
        </w:tc>
        <w:tc>
          <w:tcPr>
            <w:tcW w:w="794" w:type="dxa"/>
          </w:tcPr>
          <w:p w14:paraId="2BE386FD" w14:textId="77777777" w:rsidR="00AB205D" w:rsidRDefault="00471A3B">
            <w:pPr>
              <w:cnfStyle w:val="000000000000" w:firstRow="0" w:lastRow="0" w:firstColumn="0" w:lastColumn="0" w:oddVBand="0" w:evenVBand="0" w:oddHBand="0" w:evenHBand="0" w:firstRowFirstColumn="0" w:firstRowLastColumn="0" w:lastRowFirstColumn="0" w:lastRowLastColumn="0"/>
            </w:pPr>
            <w:r>
              <w:t>(243)</w:t>
            </w:r>
          </w:p>
        </w:tc>
        <w:tc>
          <w:tcPr>
            <w:tcW w:w="794" w:type="dxa"/>
          </w:tcPr>
          <w:p w14:paraId="52BE72A6" w14:textId="77777777" w:rsidR="00AB205D" w:rsidRDefault="00471A3B">
            <w:pPr>
              <w:cnfStyle w:val="000000000000" w:firstRow="0" w:lastRow="0" w:firstColumn="0" w:lastColumn="0" w:oddVBand="0" w:evenVBand="0" w:oddHBand="0" w:evenHBand="0" w:firstRowFirstColumn="0" w:firstRowLastColumn="0" w:lastRowFirstColumn="0" w:lastRowLastColumn="0"/>
            </w:pPr>
            <w:r>
              <w:t>(279)</w:t>
            </w:r>
          </w:p>
        </w:tc>
        <w:tc>
          <w:tcPr>
            <w:tcW w:w="794" w:type="dxa"/>
          </w:tcPr>
          <w:p w14:paraId="6F4122DE" w14:textId="77777777" w:rsidR="00AB205D" w:rsidRDefault="00471A3B">
            <w:pPr>
              <w:cnfStyle w:val="000000000000" w:firstRow="0" w:lastRow="0" w:firstColumn="0" w:lastColumn="0" w:oddVBand="0" w:evenVBand="0" w:oddHBand="0" w:evenHBand="0" w:firstRowFirstColumn="0" w:firstRowLastColumn="0" w:lastRowFirstColumn="0" w:lastRowLastColumn="0"/>
            </w:pPr>
            <w:r>
              <w:t>(207)</w:t>
            </w:r>
          </w:p>
        </w:tc>
        <w:tc>
          <w:tcPr>
            <w:tcW w:w="794" w:type="dxa"/>
          </w:tcPr>
          <w:p w14:paraId="30E39350" w14:textId="77777777" w:rsidR="00AB205D" w:rsidRDefault="00471A3B">
            <w:pPr>
              <w:cnfStyle w:val="000000000000" w:firstRow="0" w:lastRow="0" w:firstColumn="0" w:lastColumn="0" w:oddVBand="0" w:evenVBand="0" w:oddHBand="0" w:evenHBand="0" w:firstRowFirstColumn="0" w:firstRowLastColumn="0" w:lastRowFirstColumn="0" w:lastRowLastColumn="0"/>
            </w:pPr>
            <w:r>
              <w:t>(443)</w:t>
            </w:r>
          </w:p>
        </w:tc>
        <w:tc>
          <w:tcPr>
            <w:tcW w:w="794" w:type="dxa"/>
          </w:tcPr>
          <w:p w14:paraId="259736DC" w14:textId="77777777" w:rsidR="00AB205D" w:rsidRDefault="00471A3B">
            <w:pPr>
              <w:cnfStyle w:val="000000000000" w:firstRow="0" w:lastRow="0" w:firstColumn="0" w:lastColumn="0" w:oddVBand="0" w:evenVBand="0" w:oddHBand="0" w:evenHBand="0" w:firstRowFirstColumn="0" w:firstRowLastColumn="0" w:lastRowFirstColumn="0" w:lastRowLastColumn="0"/>
            </w:pPr>
            <w:r>
              <w:t>(183)</w:t>
            </w:r>
          </w:p>
        </w:tc>
      </w:tr>
      <w:tr w:rsidR="009C6724" w14:paraId="3A9639B5"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6C5D086" w14:textId="77777777" w:rsidR="00AB205D" w:rsidRDefault="00471A3B">
            <w:r>
              <w:t>Less: Depreciation and amortisation</w:t>
            </w:r>
          </w:p>
        </w:tc>
        <w:tc>
          <w:tcPr>
            <w:tcW w:w="794" w:type="dxa"/>
          </w:tcPr>
          <w:p w14:paraId="5DDD760D" w14:textId="77777777" w:rsidR="00AB205D" w:rsidRDefault="00471A3B">
            <w:pPr>
              <w:cnfStyle w:val="000000000000" w:firstRow="0" w:lastRow="0" w:firstColumn="0" w:lastColumn="0" w:oddVBand="0" w:evenVBand="0" w:oddHBand="0" w:evenHBand="0" w:firstRowFirstColumn="0" w:firstRowLastColumn="0" w:lastRowFirstColumn="0" w:lastRowLastColumn="0"/>
            </w:pPr>
            <w:r>
              <w:t>(2 006)</w:t>
            </w:r>
          </w:p>
        </w:tc>
        <w:tc>
          <w:tcPr>
            <w:tcW w:w="794" w:type="dxa"/>
          </w:tcPr>
          <w:p w14:paraId="1406B49B" w14:textId="77777777" w:rsidR="00AB205D" w:rsidRDefault="00471A3B">
            <w:pPr>
              <w:cnfStyle w:val="000000000000" w:firstRow="0" w:lastRow="0" w:firstColumn="0" w:lastColumn="0" w:oddVBand="0" w:evenVBand="0" w:oddHBand="0" w:evenHBand="0" w:firstRowFirstColumn="0" w:firstRowLastColumn="0" w:lastRowFirstColumn="0" w:lastRowLastColumn="0"/>
            </w:pPr>
            <w:r>
              <w:t>(2 024)</w:t>
            </w:r>
          </w:p>
        </w:tc>
        <w:tc>
          <w:tcPr>
            <w:tcW w:w="794" w:type="dxa"/>
          </w:tcPr>
          <w:p w14:paraId="604B56A7" w14:textId="77777777" w:rsidR="00AB205D" w:rsidRDefault="00471A3B">
            <w:pPr>
              <w:cnfStyle w:val="000000000000" w:firstRow="0" w:lastRow="0" w:firstColumn="0" w:lastColumn="0" w:oddVBand="0" w:evenVBand="0" w:oddHBand="0" w:evenHBand="0" w:firstRowFirstColumn="0" w:firstRowLastColumn="0" w:lastRowFirstColumn="0" w:lastRowLastColumn="0"/>
            </w:pPr>
            <w:r>
              <w:t>(2 078)</w:t>
            </w:r>
          </w:p>
        </w:tc>
        <w:tc>
          <w:tcPr>
            <w:tcW w:w="794" w:type="dxa"/>
          </w:tcPr>
          <w:p w14:paraId="45483549" w14:textId="77777777" w:rsidR="00AB205D" w:rsidRDefault="00471A3B">
            <w:pPr>
              <w:cnfStyle w:val="000000000000" w:firstRow="0" w:lastRow="0" w:firstColumn="0" w:lastColumn="0" w:oddVBand="0" w:evenVBand="0" w:oddHBand="0" w:evenHBand="0" w:firstRowFirstColumn="0" w:firstRowLastColumn="0" w:lastRowFirstColumn="0" w:lastRowLastColumn="0"/>
            </w:pPr>
            <w:r>
              <w:t>(2 135)</w:t>
            </w:r>
          </w:p>
        </w:tc>
        <w:tc>
          <w:tcPr>
            <w:tcW w:w="794" w:type="dxa"/>
          </w:tcPr>
          <w:p w14:paraId="7E310B94" w14:textId="77777777" w:rsidR="00AB205D" w:rsidRDefault="00471A3B">
            <w:pPr>
              <w:cnfStyle w:val="000000000000" w:firstRow="0" w:lastRow="0" w:firstColumn="0" w:lastColumn="0" w:oddVBand="0" w:evenVBand="0" w:oddHBand="0" w:evenHBand="0" w:firstRowFirstColumn="0" w:firstRowLastColumn="0" w:lastRowFirstColumn="0" w:lastRowLastColumn="0"/>
            </w:pPr>
            <w:r>
              <w:t>(2 191)</w:t>
            </w:r>
          </w:p>
        </w:tc>
      </w:tr>
      <w:tr w:rsidR="009C6724" w14:paraId="079FFAD6"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3030A1DB" w14:textId="77777777" w:rsidR="00AB205D" w:rsidRDefault="00471A3B">
            <w:r>
              <w:t>Plus: Other movements in non</w:t>
            </w:r>
            <w:r>
              <w:noBreakHyphen/>
              <w:t>financial assets</w:t>
            </w:r>
            <w:r>
              <w:rPr>
                <w:vertAlign w:val="superscript"/>
              </w:rPr>
              <w:t xml:space="preserve"> (a)(b)</w:t>
            </w:r>
          </w:p>
        </w:tc>
        <w:tc>
          <w:tcPr>
            <w:tcW w:w="794" w:type="dxa"/>
            <w:tcBorders>
              <w:bottom w:val="single" w:sz="6" w:space="0" w:color="auto"/>
            </w:tcBorders>
          </w:tcPr>
          <w:p w14:paraId="54BE24E0" w14:textId="77777777" w:rsidR="00AB205D" w:rsidRDefault="00471A3B">
            <w:pPr>
              <w:cnfStyle w:val="000000000000" w:firstRow="0" w:lastRow="0" w:firstColumn="0" w:lastColumn="0" w:oddVBand="0" w:evenVBand="0" w:oddHBand="0" w:evenHBand="0" w:firstRowFirstColumn="0" w:firstRowLastColumn="0" w:lastRowFirstColumn="0" w:lastRowLastColumn="0"/>
            </w:pPr>
            <w:r>
              <w:t>6 082</w:t>
            </w:r>
          </w:p>
        </w:tc>
        <w:tc>
          <w:tcPr>
            <w:tcW w:w="794" w:type="dxa"/>
            <w:tcBorders>
              <w:bottom w:val="single" w:sz="6" w:space="0" w:color="auto"/>
            </w:tcBorders>
          </w:tcPr>
          <w:p w14:paraId="1D9988CF" w14:textId="77777777" w:rsidR="00AB205D" w:rsidRDefault="00471A3B">
            <w:pPr>
              <w:cnfStyle w:val="000000000000" w:firstRow="0" w:lastRow="0" w:firstColumn="0" w:lastColumn="0" w:oddVBand="0" w:evenVBand="0" w:oddHBand="0" w:evenHBand="0" w:firstRowFirstColumn="0" w:firstRowLastColumn="0" w:lastRowFirstColumn="0" w:lastRowLastColumn="0"/>
            </w:pPr>
            <w:r>
              <w:t>5 720</w:t>
            </w:r>
          </w:p>
        </w:tc>
        <w:tc>
          <w:tcPr>
            <w:tcW w:w="794" w:type="dxa"/>
            <w:tcBorders>
              <w:bottom w:val="single" w:sz="6" w:space="0" w:color="auto"/>
            </w:tcBorders>
          </w:tcPr>
          <w:p w14:paraId="2622221A" w14:textId="77777777" w:rsidR="00AB205D" w:rsidRDefault="00471A3B">
            <w:pPr>
              <w:cnfStyle w:val="000000000000" w:firstRow="0" w:lastRow="0" w:firstColumn="0" w:lastColumn="0" w:oddVBand="0" w:evenVBand="0" w:oddHBand="0" w:evenHBand="0" w:firstRowFirstColumn="0" w:firstRowLastColumn="0" w:lastRowFirstColumn="0" w:lastRowLastColumn="0"/>
            </w:pPr>
            <w:r>
              <w:t>5 245</w:t>
            </w:r>
          </w:p>
        </w:tc>
        <w:tc>
          <w:tcPr>
            <w:tcW w:w="794" w:type="dxa"/>
            <w:tcBorders>
              <w:bottom w:val="single" w:sz="6" w:space="0" w:color="auto"/>
            </w:tcBorders>
          </w:tcPr>
          <w:p w14:paraId="0682FC11" w14:textId="77777777" w:rsidR="00AB205D" w:rsidRDefault="00471A3B">
            <w:pPr>
              <w:cnfStyle w:val="000000000000" w:firstRow="0" w:lastRow="0" w:firstColumn="0" w:lastColumn="0" w:oddVBand="0" w:evenVBand="0" w:oddHBand="0" w:evenHBand="0" w:firstRowFirstColumn="0" w:firstRowLastColumn="0" w:lastRowFirstColumn="0" w:lastRowLastColumn="0"/>
            </w:pPr>
            <w:r>
              <w:t>22 530</w:t>
            </w:r>
          </w:p>
        </w:tc>
        <w:tc>
          <w:tcPr>
            <w:tcW w:w="794" w:type="dxa"/>
            <w:tcBorders>
              <w:bottom w:val="single" w:sz="6" w:space="0" w:color="auto"/>
            </w:tcBorders>
          </w:tcPr>
          <w:p w14:paraId="6A0CC9A0" w14:textId="77777777" w:rsidR="00AB205D" w:rsidRDefault="00471A3B">
            <w:pPr>
              <w:cnfStyle w:val="000000000000" w:firstRow="0" w:lastRow="0" w:firstColumn="0" w:lastColumn="0" w:oddVBand="0" w:evenVBand="0" w:oddHBand="0" w:evenHBand="0" w:firstRowFirstColumn="0" w:firstRowLastColumn="0" w:lastRowFirstColumn="0" w:lastRowLastColumn="0"/>
            </w:pPr>
            <w:r>
              <w:t>5 005</w:t>
            </w:r>
          </w:p>
        </w:tc>
      </w:tr>
      <w:tr w:rsidR="009C6724" w14:paraId="602E83E9"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1F6692F3" w14:textId="77777777" w:rsidR="00AB205D" w:rsidRDefault="00471A3B">
            <w:r>
              <w:rPr>
                <w:b/>
              </w:rPr>
              <w:t>Total net acquisition of non</w:t>
            </w:r>
            <w:r>
              <w:rPr>
                <w:b/>
              </w:rPr>
              <w:noBreakHyphen/>
              <w:t>financial assets from transactions</w:t>
            </w:r>
          </w:p>
        </w:tc>
        <w:tc>
          <w:tcPr>
            <w:tcW w:w="794" w:type="dxa"/>
            <w:tcBorders>
              <w:top w:val="single" w:sz="6" w:space="0" w:color="auto"/>
              <w:bottom w:val="single" w:sz="12" w:space="0" w:color="auto"/>
            </w:tcBorders>
          </w:tcPr>
          <w:p w14:paraId="3D20386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11 950</w:t>
            </w:r>
          </w:p>
        </w:tc>
        <w:tc>
          <w:tcPr>
            <w:tcW w:w="794" w:type="dxa"/>
            <w:tcBorders>
              <w:top w:val="single" w:sz="6" w:space="0" w:color="auto"/>
              <w:bottom w:val="single" w:sz="12" w:space="0" w:color="auto"/>
            </w:tcBorders>
          </w:tcPr>
          <w:p w14:paraId="18200C1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12 019</w:t>
            </w:r>
          </w:p>
        </w:tc>
        <w:tc>
          <w:tcPr>
            <w:tcW w:w="794" w:type="dxa"/>
            <w:tcBorders>
              <w:top w:val="single" w:sz="6" w:space="0" w:color="auto"/>
              <w:bottom w:val="single" w:sz="12" w:space="0" w:color="auto"/>
            </w:tcBorders>
          </w:tcPr>
          <w:p w14:paraId="207C142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9 868</w:t>
            </w:r>
          </w:p>
        </w:tc>
        <w:tc>
          <w:tcPr>
            <w:tcW w:w="794" w:type="dxa"/>
            <w:tcBorders>
              <w:top w:val="single" w:sz="6" w:space="0" w:color="auto"/>
              <w:bottom w:val="single" w:sz="12" w:space="0" w:color="auto"/>
            </w:tcBorders>
          </w:tcPr>
          <w:p w14:paraId="531D576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27 068</w:t>
            </w:r>
          </w:p>
        </w:tc>
        <w:tc>
          <w:tcPr>
            <w:tcW w:w="794" w:type="dxa"/>
            <w:tcBorders>
              <w:top w:val="single" w:sz="6" w:space="0" w:color="auto"/>
              <w:bottom w:val="single" w:sz="12" w:space="0" w:color="auto"/>
            </w:tcBorders>
          </w:tcPr>
          <w:p w14:paraId="27AE2E2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8 906</w:t>
            </w:r>
          </w:p>
        </w:tc>
      </w:tr>
    </w:tbl>
    <w:p w14:paraId="73875C61" w14:textId="77777777" w:rsidR="00AB205D" w:rsidRDefault="00471A3B">
      <w:pPr>
        <w:pStyle w:val="Note"/>
      </w:pPr>
      <w:r>
        <w:t>Notes:</w:t>
      </w:r>
    </w:p>
    <w:p w14:paraId="2AEFF42B" w14:textId="77777777" w:rsidR="00AB205D" w:rsidRDefault="00471A3B">
      <w:pPr>
        <w:pStyle w:val="Note"/>
      </w:pPr>
      <w:r>
        <w:t>(a)</w:t>
      </w:r>
      <w:r>
        <w:tab/>
        <w:t>The other movements in non-financial assets primarily include fixed asset transfers from the general government sector to the public non</w:t>
      </w:r>
      <w:r>
        <w:noBreakHyphen/>
        <w:t xml:space="preserve">financial corporations sector </w:t>
      </w:r>
      <w:r w:rsidRPr="00021BFF">
        <w:t xml:space="preserve">and recognising service concession arrangements </w:t>
      </w:r>
      <w:r>
        <w:t xml:space="preserve">arising </w:t>
      </w:r>
      <w:r w:rsidRPr="00021BFF">
        <w:t>from public private partnerships.</w:t>
      </w:r>
    </w:p>
    <w:p w14:paraId="5276E412" w14:textId="77777777" w:rsidR="00AB205D" w:rsidRDefault="00471A3B">
      <w:pPr>
        <w:pStyle w:val="Note"/>
      </w:pPr>
      <w:r w:rsidRPr="00CB1089">
        <w:t>(b)</w:t>
      </w:r>
      <w:r w:rsidRPr="00CB1089">
        <w:tab/>
      </w:r>
      <w:r>
        <w:t>The public private partnerships across the budget and forward estimates relates to the North East Link – Primary Package (Tunnels) and the Homes Victoria Ground Lease Model Project 1 and 2.</w:t>
      </w:r>
    </w:p>
    <w:p w14:paraId="36186733" w14:textId="77777777" w:rsidR="00AB205D" w:rsidRPr="00921F69" w:rsidRDefault="00AB205D">
      <w:pPr>
        <w:pStyle w:val="Note"/>
        <w:rPr>
          <w:rFonts w:cstheme="majorHAnsi"/>
        </w:rPr>
      </w:pPr>
    </w:p>
    <w:p w14:paraId="613BCF24" w14:textId="77777777" w:rsidR="00AB205D" w:rsidRDefault="00471A3B">
      <w:pPr>
        <w:keepLines w:val="0"/>
        <w:rPr>
          <w:rFonts w:asciiTheme="majorHAnsi" w:hAnsiTheme="majorHAnsi" w:cstheme="minorBidi"/>
          <w:b/>
          <w:iCs/>
          <w:sz w:val="20"/>
          <w:szCs w:val="18"/>
        </w:rPr>
      </w:pPr>
      <w:r>
        <w:br w:type="page"/>
      </w:r>
    </w:p>
    <w:p w14:paraId="4E867A15" w14:textId="77777777" w:rsidR="00AB205D" w:rsidRPr="0063276E" w:rsidRDefault="00471A3B">
      <w:pPr>
        <w:pStyle w:val="TableHeading"/>
      </w:pPr>
      <w:r w:rsidRPr="00921F69">
        <w:lastRenderedPageBreak/>
        <w:t>Table 5.6</w:t>
      </w:r>
      <w:r w:rsidRPr="00921F69">
        <w:tab/>
        <w:t xml:space="preserve">Non-financial public sector comprehensive operating statement </w:t>
      </w:r>
      <w:r w:rsidRPr="00921F69">
        <w:br/>
        <w:t>for the financial year ended 30 June</w:t>
      </w:r>
      <w:r w:rsidRPr="00921F69">
        <w:tab/>
        <w:t>($ million)</w:t>
      </w:r>
    </w:p>
    <w:tbl>
      <w:tblPr>
        <w:tblStyle w:val="DTFTableNumeric"/>
        <w:tblW w:w="7710" w:type="dxa"/>
        <w:tblLayout w:type="fixed"/>
        <w:tblLook w:val="06A0" w:firstRow="1" w:lastRow="0" w:firstColumn="1" w:lastColumn="0" w:noHBand="1" w:noVBand="1"/>
        <w:tblDescription w:val="Type:DtfTable|Workbook:Rawdata\BudgetUpdate\Budget Update\Financial Statements\SRIMS exports\SRIMS_BU_UPF_NFPS_WoS.xlsx|Table:NFPS_OS|MergedHeadingRow:1"/>
      </w:tblPr>
      <w:tblGrid>
        <w:gridCol w:w="3836"/>
        <w:gridCol w:w="698"/>
        <w:gridCol w:w="794"/>
        <w:gridCol w:w="794"/>
        <w:gridCol w:w="794"/>
        <w:gridCol w:w="794"/>
      </w:tblGrid>
      <w:tr w:rsidR="009C6724" w14:paraId="564BAB4D"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36" w:type="dxa"/>
          </w:tcPr>
          <w:p w14:paraId="180667F3" w14:textId="77777777" w:rsidR="00AB205D" w:rsidRDefault="00AB205D">
            <w:pPr>
              <w:keepNext/>
              <w:spacing w:before="0" w:after="0"/>
            </w:pPr>
          </w:p>
        </w:tc>
        <w:tc>
          <w:tcPr>
            <w:tcW w:w="698" w:type="dxa"/>
          </w:tcPr>
          <w:p w14:paraId="48CE9378" w14:textId="77777777" w:rsidR="00AB205D" w:rsidRDefault="00471A3B">
            <w:pPr>
              <w:keepNext/>
              <w:spacing w:before="0" w:after="0"/>
              <w:cnfStyle w:val="100000000000" w:firstRow="1" w:lastRow="0" w:firstColumn="0" w:lastColumn="0" w:oddVBand="0" w:evenVBand="0" w:oddHBand="0" w:evenHBand="0" w:firstRowFirstColumn="0" w:firstRowLastColumn="0" w:lastRowFirstColumn="0" w:lastRowLastColumn="0"/>
            </w:pPr>
            <w:r>
              <w:t>2023</w:t>
            </w:r>
            <w:r>
              <w:noBreakHyphen/>
              <w:t>24</w:t>
            </w:r>
            <w:r>
              <w:br/>
              <w:t>budget</w:t>
            </w:r>
          </w:p>
        </w:tc>
        <w:tc>
          <w:tcPr>
            <w:tcW w:w="794" w:type="dxa"/>
          </w:tcPr>
          <w:p w14:paraId="37FC334B" w14:textId="77777777" w:rsidR="00AB205D" w:rsidRDefault="00471A3B">
            <w:pPr>
              <w:keepNext/>
              <w:spacing w:before="0" w:after="0"/>
              <w:cnfStyle w:val="100000000000" w:firstRow="1" w:lastRow="0" w:firstColumn="0" w:lastColumn="0" w:oddVBand="0" w:evenVBand="0" w:oddHBand="0" w:evenHBand="0" w:firstRowFirstColumn="0" w:firstRowLastColumn="0" w:lastRowFirstColumn="0" w:lastRowLastColumn="0"/>
            </w:pPr>
            <w:r>
              <w:t>2023</w:t>
            </w:r>
            <w:r>
              <w:noBreakHyphen/>
              <w:t>24</w:t>
            </w:r>
            <w:r>
              <w:br/>
              <w:t>revised</w:t>
            </w:r>
          </w:p>
        </w:tc>
        <w:tc>
          <w:tcPr>
            <w:tcW w:w="794" w:type="dxa"/>
          </w:tcPr>
          <w:p w14:paraId="61488FC6" w14:textId="77777777" w:rsidR="00AB205D" w:rsidRDefault="00471A3B">
            <w:pPr>
              <w:keepNext/>
              <w:spacing w:before="0" w:after="0"/>
              <w:cnfStyle w:val="100000000000" w:firstRow="1" w:lastRow="0" w:firstColumn="0" w:lastColumn="0" w:oddVBand="0" w:evenVBand="0" w:oddHBand="0" w:evenHBand="0" w:firstRowFirstColumn="0" w:firstRowLastColumn="0" w:lastRowFirstColumn="0" w:lastRowLastColumn="0"/>
            </w:pPr>
            <w:r>
              <w:t>2024</w:t>
            </w:r>
            <w:r>
              <w:noBreakHyphen/>
              <w:t>25</w:t>
            </w:r>
            <w:r>
              <w:br/>
              <w:t>estimate</w:t>
            </w:r>
          </w:p>
        </w:tc>
        <w:tc>
          <w:tcPr>
            <w:tcW w:w="794" w:type="dxa"/>
          </w:tcPr>
          <w:p w14:paraId="37C07C5E" w14:textId="77777777" w:rsidR="00AB205D" w:rsidRDefault="00471A3B">
            <w:pPr>
              <w:keepNext/>
              <w:spacing w:before="0" w:after="0"/>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6E6FE907" w14:textId="77777777" w:rsidR="00AB205D" w:rsidRDefault="00471A3B">
            <w:pPr>
              <w:keepNext/>
              <w:spacing w:before="0" w:after="0"/>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r>
      <w:tr w:rsidR="009C6724" w14:paraId="60DD2F9F" w14:textId="77777777" w:rsidTr="009C6724">
        <w:tc>
          <w:tcPr>
            <w:cnfStyle w:val="001000000000" w:firstRow="0" w:lastRow="0" w:firstColumn="1" w:lastColumn="0" w:oddVBand="0" w:evenVBand="0" w:oddHBand="0" w:evenHBand="0" w:firstRowFirstColumn="0" w:firstRowLastColumn="0" w:lastRowFirstColumn="0" w:lastRowLastColumn="0"/>
            <w:tcW w:w="3836" w:type="dxa"/>
          </w:tcPr>
          <w:p w14:paraId="2FF78942" w14:textId="77777777" w:rsidR="00AB205D" w:rsidRDefault="00471A3B">
            <w:pPr>
              <w:spacing w:before="0" w:after="0"/>
            </w:pPr>
            <w:r>
              <w:rPr>
                <w:b/>
              </w:rPr>
              <w:t>Revenue and income from transactions</w:t>
            </w:r>
          </w:p>
        </w:tc>
        <w:tc>
          <w:tcPr>
            <w:tcW w:w="698" w:type="dxa"/>
          </w:tcPr>
          <w:p w14:paraId="46596C1D" w14:textId="77777777" w:rsidR="00AB205D" w:rsidRDefault="00AB205D">
            <w:pPr>
              <w:spacing w:before="0" w:after="0"/>
              <w:cnfStyle w:val="000000000000" w:firstRow="0" w:lastRow="0" w:firstColumn="0" w:lastColumn="0" w:oddVBand="0" w:evenVBand="0" w:oddHBand="0" w:evenHBand="0" w:firstRowFirstColumn="0" w:firstRowLastColumn="0" w:lastRowFirstColumn="0" w:lastRowLastColumn="0"/>
            </w:pPr>
          </w:p>
        </w:tc>
        <w:tc>
          <w:tcPr>
            <w:tcW w:w="794" w:type="dxa"/>
          </w:tcPr>
          <w:p w14:paraId="6F9564C8" w14:textId="77777777" w:rsidR="00AB205D" w:rsidRDefault="00AB205D">
            <w:pPr>
              <w:spacing w:before="0" w:after="0"/>
              <w:cnfStyle w:val="000000000000" w:firstRow="0" w:lastRow="0" w:firstColumn="0" w:lastColumn="0" w:oddVBand="0" w:evenVBand="0" w:oddHBand="0" w:evenHBand="0" w:firstRowFirstColumn="0" w:firstRowLastColumn="0" w:lastRowFirstColumn="0" w:lastRowLastColumn="0"/>
            </w:pPr>
          </w:p>
        </w:tc>
        <w:tc>
          <w:tcPr>
            <w:tcW w:w="794" w:type="dxa"/>
          </w:tcPr>
          <w:p w14:paraId="51483B1A" w14:textId="77777777" w:rsidR="00AB205D" w:rsidRDefault="00AB205D">
            <w:pPr>
              <w:spacing w:before="0" w:after="0"/>
              <w:cnfStyle w:val="000000000000" w:firstRow="0" w:lastRow="0" w:firstColumn="0" w:lastColumn="0" w:oddVBand="0" w:evenVBand="0" w:oddHBand="0" w:evenHBand="0" w:firstRowFirstColumn="0" w:firstRowLastColumn="0" w:lastRowFirstColumn="0" w:lastRowLastColumn="0"/>
            </w:pPr>
          </w:p>
        </w:tc>
        <w:tc>
          <w:tcPr>
            <w:tcW w:w="794" w:type="dxa"/>
          </w:tcPr>
          <w:p w14:paraId="5B102464" w14:textId="77777777" w:rsidR="00AB205D" w:rsidRDefault="00AB205D">
            <w:pPr>
              <w:spacing w:before="0" w:after="0"/>
              <w:cnfStyle w:val="000000000000" w:firstRow="0" w:lastRow="0" w:firstColumn="0" w:lastColumn="0" w:oddVBand="0" w:evenVBand="0" w:oddHBand="0" w:evenHBand="0" w:firstRowFirstColumn="0" w:firstRowLastColumn="0" w:lastRowFirstColumn="0" w:lastRowLastColumn="0"/>
            </w:pPr>
          </w:p>
        </w:tc>
        <w:tc>
          <w:tcPr>
            <w:tcW w:w="794" w:type="dxa"/>
          </w:tcPr>
          <w:p w14:paraId="15510944" w14:textId="77777777" w:rsidR="00AB205D" w:rsidRDefault="00AB205D">
            <w:pPr>
              <w:spacing w:before="0" w:after="0"/>
              <w:cnfStyle w:val="000000000000" w:firstRow="0" w:lastRow="0" w:firstColumn="0" w:lastColumn="0" w:oddVBand="0" w:evenVBand="0" w:oddHBand="0" w:evenHBand="0" w:firstRowFirstColumn="0" w:firstRowLastColumn="0" w:lastRowFirstColumn="0" w:lastRowLastColumn="0"/>
            </w:pPr>
          </w:p>
        </w:tc>
      </w:tr>
      <w:tr w:rsidR="009C6724" w14:paraId="380DD7A4" w14:textId="77777777" w:rsidTr="009C6724">
        <w:tc>
          <w:tcPr>
            <w:cnfStyle w:val="001000000000" w:firstRow="0" w:lastRow="0" w:firstColumn="1" w:lastColumn="0" w:oddVBand="0" w:evenVBand="0" w:oddHBand="0" w:evenHBand="0" w:firstRowFirstColumn="0" w:firstRowLastColumn="0" w:lastRowFirstColumn="0" w:lastRowLastColumn="0"/>
            <w:tcW w:w="3836" w:type="dxa"/>
          </w:tcPr>
          <w:p w14:paraId="2078D043" w14:textId="77777777" w:rsidR="00AB205D" w:rsidRDefault="00471A3B">
            <w:pPr>
              <w:spacing w:before="0" w:after="0"/>
            </w:pPr>
            <w:r>
              <w:t>Taxation</w:t>
            </w:r>
          </w:p>
        </w:tc>
        <w:tc>
          <w:tcPr>
            <w:tcW w:w="698" w:type="dxa"/>
          </w:tcPr>
          <w:p w14:paraId="55DA6A96"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34 407</w:t>
            </w:r>
          </w:p>
        </w:tc>
        <w:tc>
          <w:tcPr>
            <w:tcW w:w="794" w:type="dxa"/>
          </w:tcPr>
          <w:p w14:paraId="3737EAF0"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35 287</w:t>
            </w:r>
          </w:p>
        </w:tc>
        <w:tc>
          <w:tcPr>
            <w:tcW w:w="794" w:type="dxa"/>
          </w:tcPr>
          <w:p w14:paraId="773CC8FC"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37 529</w:t>
            </w:r>
          </w:p>
        </w:tc>
        <w:tc>
          <w:tcPr>
            <w:tcW w:w="794" w:type="dxa"/>
          </w:tcPr>
          <w:p w14:paraId="71F7568B"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39 311</w:t>
            </w:r>
          </w:p>
        </w:tc>
        <w:tc>
          <w:tcPr>
            <w:tcW w:w="794" w:type="dxa"/>
          </w:tcPr>
          <w:p w14:paraId="38BFFB06"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41 219</w:t>
            </w:r>
          </w:p>
        </w:tc>
      </w:tr>
      <w:tr w:rsidR="009C6724" w14:paraId="143C93E3" w14:textId="77777777" w:rsidTr="009C6724">
        <w:tc>
          <w:tcPr>
            <w:cnfStyle w:val="001000000000" w:firstRow="0" w:lastRow="0" w:firstColumn="1" w:lastColumn="0" w:oddVBand="0" w:evenVBand="0" w:oddHBand="0" w:evenHBand="0" w:firstRowFirstColumn="0" w:firstRowLastColumn="0" w:lastRowFirstColumn="0" w:lastRowLastColumn="0"/>
            <w:tcW w:w="3836" w:type="dxa"/>
          </w:tcPr>
          <w:p w14:paraId="06168CD7" w14:textId="77777777" w:rsidR="00AB205D" w:rsidRDefault="00471A3B">
            <w:pPr>
              <w:spacing w:before="0" w:after="0"/>
            </w:pPr>
            <w:r>
              <w:t>Interest income</w:t>
            </w:r>
          </w:p>
        </w:tc>
        <w:tc>
          <w:tcPr>
            <w:tcW w:w="698" w:type="dxa"/>
          </w:tcPr>
          <w:p w14:paraId="2A25DAEA"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1 169</w:t>
            </w:r>
          </w:p>
        </w:tc>
        <w:tc>
          <w:tcPr>
            <w:tcW w:w="794" w:type="dxa"/>
          </w:tcPr>
          <w:p w14:paraId="094C0F70"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1 370</w:t>
            </w:r>
          </w:p>
        </w:tc>
        <w:tc>
          <w:tcPr>
            <w:tcW w:w="794" w:type="dxa"/>
          </w:tcPr>
          <w:p w14:paraId="45F8F9A7"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710</w:t>
            </w:r>
          </w:p>
        </w:tc>
        <w:tc>
          <w:tcPr>
            <w:tcW w:w="794" w:type="dxa"/>
          </w:tcPr>
          <w:p w14:paraId="7B8E5DD2"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669</w:t>
            </w:r>
          </w:p>
        </w:tc>
        <w:tc>
          <w:tcPr>
            <w:tcW w:w="794" w:type="dxa"/>
          </w:tcPr>
          <w:p w14:paraId="1FB23F8C"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666</w:t>
            </w:r>
          </w:p>
        </w:tc>
      </w:tr>
      <w:tr w:rsidR="009C6724" w14:paraId="23777238" w14:textId="77777777" w:rsidTr="009C6724">
        <w:tc>
          <w:tcPr>
            <w:cnfStyle w:val="001000000000" w:firstRow="0" w:lastRow="0" w:firstColumn="1" w:lastColumn="0" w:oddVBand="0" w:evenVBand="0" w:oddHBand="0" w:evenHBand="0" w:firstRowFirstColumn="0" w:firstRowLastColumn="0" w:lastRowFirstColumn="0" w:lastRowLastColumn="0"/>
            <w:tcW w:w="3836" w:type="dxa"/>
          </w:tcPr>
          <w:p w14:paraId="73021D84" w14:textId="77777777" w:rsidR="00AB205D" w:rsidRDefault="00471A3B">
            <w:pPr>
              <w:spacing w:before="0" w:after="0"/>
            </w:pPr>
            <w:r>
              <w:t>Dividends, income tax equivalent and rate equivalent income</w:t>
            </w:r>
          </w:p>
        </w:tc>
        <w:tc>
          <w:tcPr>
            <w:tcW w:w="698" w:type="dxa"/>
          </w:tcPr>
          <w:p w14:paraId="333337AE"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886</w:t>
            </w:r>
          </w:p>
        </w:tc>
        <w:tc>
          <w:tcPr>
            <w:tcW w:w="794" w:type="dxa"/>
          </w:tcPr>
          <w:p w14:paraId="4EEBE940"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1 794</w:t>
            </w:r>
          </w:p>
        </w:tc>
        <w:tc>
          <w:tcPr>
            <w:tcW w:w="794" w:type="dxa"/>
          </w:tcPr>
          <w:p w14:paraId="4B600A53"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951</w:t>
            </w:r>
          </w:p>
        </w:tc>
        <w:tc>
          <w:tcPr>
            <w:tcW w:w="794" w:type="dxa"/>
          </w:tcPr>
          <w:p w14:paraId="3E78F655"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765</w:t>
            </w:r>
          </w:p>
        </w:tc>
        <w:tc>
          <w:tcPr>
            <w:tcW w:w="794" w:type="dxa"/>
          </w:tcPr>
          <w:p w14:paraId="418EEF19"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833</w:t>
            </w:r>
          </w:p>
        </w:tc>
      </w:tr>
      <w:tr w:rsidR="009C6724" w14:paraId="6E750358" w14:textId="77777777" w:rsidTr="009C6724">
        <w:tc>
          <w:tcPr>
            <w:cnfStyle w:val="001000000000" w:firstRow="0" w:lastRow="0" w:firstColumn="1" w:lastColumn="0" w:oddVBand="0" w:evenVBand="0" w:oddHBand="0" w:evenHBand="0" w:firstRowFirstColumn="0" w:firstRowLastColumn="0" w:lastRowFirstColumn="0" w:lastRowLastColumn="0"/>
            <w:tcW w:w="3836" w:type="dxa"/>
          </w:tcPr>
          <w:p w14:paraId="3865838B" w14:textId="77777777" w:rsidR="00AB205D" w:rsidRDefault="00471A3B">
            <w:pPr>
              <w:spacing w:before="0" w:after="0"/>
            </w:pPr>
            <w:r>
              <w:t>Sales of goods and services</w:t>
            </w:r>
          </w:p>
        </w:tc>
        <w:tc>
          <w:tcPr>
            <w:tcW w:w="698" w:type="dxa"/>
          </w:tcPr>
          <w:p w14:paraId="297443FD"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13 165</w:t>
            </w:r>
          </w:p>
        </w:tc>
        <w:tc>
          <w:tcPr>
            <w:tcW w:w="794" w:type="dxa"/>
          </w:tcPr>
          <w:p w14:paraId="6C61083D"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13 500</w:t>
            </w:r>
          </w:p>
        </w:tc>
        <w:tc>
          <w:tcPr>
            <w:tcW w:w="794" w:type="dxa"/>
          </w:tcPr>
          <w:p w14:paraId="6186095D"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14 215</w:t>
            </w:r>
          </w:p>
        </w:tc>
        <w:tc>
          <w:tcPr>
            <w:tcW w:w="794" w:type="dxa"/>
          </w:tcPr>
          <w:p w14:paraId="6E2222B4"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14 331</w:t>
            </w:r>
          </w:p>
        </w:tc>
        <w:tc>
          <w:tcPr>
            <w:tcW w:w="794" w:type="dxa"/>
          </w:tcPr>
          <w:p w14:paraId="2E9A3F24"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15 331</w:t>
            </w:r>
          </w:p>
        </w:tc>
      </w:tr>
      <w:tr w:rsidR="009C6724" w14:paraId="175467E0" w14:textId="77777777" w:rsidTr="009C6724">
        <w:tc>
          <w:tcPr>
            <w:cnfStyle w:val="001000000000" w:firstRow="0" w:lastRow="0" w:firstColumn="1" w:lastColumn="0" w:oddVBand="0" w:evenVBand="0" w:oddHBand="0" w:evenHBand="0" w:firstRowFirstColumn="0" w:firstRowLastColumn="0" w:lastRowFirstColumn="0" w:lastRowLastColumn="0"/>
            <w:tcW w:w="3836" w:type="dxa"/>
          </w:tcPr>
          <w:p w14:paraId="1A0E3ACF" w14:textId="77777777" w:rsidR="00AB205D" w:rsidRDefault="00471A3B">
            <w:pPr>
              <w:spacing w:before="0" w:after="0"/>
            </w:pPr>
            <w:r>
              <w:t>Grants</w:t>
            </w:r>
          </w:p>
        </w:tc>
        <w:tc>
          <w:tcPr>
            <w:tcW w:w="698" w:type="dxa"/>
          </w:tcPr>
          <w:p w14:paraId="2EF2EA25"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41 724</w:t>
            </w:r>
          </w:p>
        </w:tc>
        <w:tc>
          <w:tcPr>
            <w:tcW w:w="794" w:type="dxa"/>
          </w:tcPr>
          <w:p w14:paraId="380D6A34"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40 600</w:t>
            </w:r>
          </w:p>
        </w:tc>
        <w:tc>
          <w:tcPr>
            <w:tcW w:w="794" w:type="dxa"/>
          </w:tcPr>
          <w:p w14:paraId="75B021C8"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43 282</w:t>
            </w:r>
          </w:p>
        </w:tc>
        <w:tc>
          <w:tcPr>
            <w:tcW w:w="794" w:type="dxa"/>
          </w:tcPr>
          <w:p w14:paraId="010CEE25"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46 261</w:t>
            </w:r>
          </w:p>
        </w:tc>
        <w:tc>
          <w:tcPr>
            <w:tcW w:w="794" w:type="dxa"/>
          </w:tcPr>
          <w:p w14:paraId="6818B7EA"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48 093</w:t>
            </w:r>
          </w:p>
        </w:tc>
      </w:tr>
      <w:tr w:rsidR="009C6724" w14:paraId="76D893C2" w14:textId="77777777" w:rsidTr="009C6724">
        <w:tc>
          <w:tcPr>
            <w:cnfStyle w:val="001000000000" w:firstRow="0" w:lastRow="0" w:firstColumn="1" w:lastColumn="0" w:oddVBand="0" w:evenVBand="0" w:oddHBand="0" w:evenHBand="0" w:firstRowFirstColumn="0" w:firstRowLastColumn="0" w:lastRowFirstColumn="0" w:lastRowLastColumn="0"/>
            <w:tcW w:w="3836" w:type="dxa"/>
            <w:tcBorders>
              <w:bottom w:val="single" w:sz="6" w:space="0" w:color="auto"/>
            </w:tcBorders>
          </w:tcPr>
          <w:p w14:paraId="1C21AF7B" w14:textId="77777777" w:rsidR="00AB205D" w:rsidRDefault="00471A3B">
            <w:pPr>
              <w:spacing w:before="0" w:after="0"/>
            </w:pPr>
            <w:r>
              <w:t>Other revenue and income</w:t>
            </w:r>
          </w:p>
        </w:tc>
        <w:tc>
          <w:tcPr>
            <w:tcW w:w="698" w:type="dxa"/>
            <w:tcBorders>
              <w:bottom w:val="single" w:sz="6" w:space="0" w:color="auto"/>
            </w:tcBorders>
          </w:tcPr>
          <w:p w14:paraId="5355B083"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4 277</w:t>
            </w:r>
          </w:p>
        </w:tc>
        <w:tc>
          <w:tcPr>
            <w:tcW w:w="794" w:type="dxa"/>
            <w:tcBorders>
              <w:bottom w:val="single" w:sz="6" w:space="0" w:color="auto"/>
            </w:tcBorders>
          </w:tcPr>
          <w:p w14:paraId="19617F96"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4 354</w:t>
            </w:r>
          </w:p>
        </w:tc>
        <w:tc>
          <w:tcPr>
            <w:tcW w:w="794" w:type="dxa"/>
            <w:tcBorders>
              <w:bottom w:val="single" w:sz="6" w:space="0" w:color="auto"/>
            </w:tcBorders>
          </w:tcPr>
          <w:p w14:paraId="4C6869D8"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3 993</w:t>
            </w:r>
          </w:p>
        </w:tc>
        <w:tc>
          <w:tcPr>
            <w:tcW w:w="794" w:type="dxa"/>
            <w:tcBorders>
              <w:bottom w:val="single" w:sz="6" w:space="0" w:color="auto"/>
            </w:tcBorders>
          </w:tcPr>
          <w:p w14:paraId="5CB160D4"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4 147</w:t>
            </w:r>
          </w:p>
        </w:tc>
        <w:tc>
          <w:tcPr>
            <w:tcW w:w="794" w:type="dxa"/>
            <w:tcBorders>
              <w:bottom w:val="single" w:sz="6" w:space="0" w:color="auto"/>
            </w:tcBorders>
          </w:tcPr>
          <w:p w14:paraId="1BDC8B4C"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4 713</w:t>
            </w:r>
          </w:p>
        </w:tc>
      </w:tr>
      <w:tr w:rsidR="009C6724" w14:paraId="392670DF" w14:textId="77777777" w:rsidTr="009C6724">
        <w:tc>
          <w:tcPr>
            <w:cnfStyle w:val="001000000000" w:firstRow="0" w:lastRow="0" w:firstColumn="1" w:lastColumn="0" w:oddVBand="0" w:evenVBand="0" w:oddHBand="0" w:evenHBand="0" w:firstRowFirstColumn="0" w:firstRowLastColumn="0" w:lastRowFirstColumn="0" w:lastRowLastColumn="0"/>
            <w:tcW w:w="3836" w:type="dxa"/>
            <w:tcBorders>
              <w:top w:val="single" w:sz="6" w:space="0" w:color="auto"/>
            </w:tcBorders>
          </w:tcPr>
          <w:p w14:paraId="6DA97FAC" w14:textId="77777777" w:rsidR="00AB205D" w:rsidRDefault="00471A3B">
            <w:pPr>
              <w:spacing w:before="0" w:after="0"/>
            </w:pPr>
            <w:r>
              <w:rPr>
                <w:b/>
              </w:rPr>
              <w:t>Total revenue and income from transactions</w:t>
            </w:r>
          </w:p>
        </w:tc>
        <w:tc>
          <w:tcPr>
            <w:tcW w:w="698" w:type="dxa"/>
            <w:tcBorders>
              <w:top w:val="single" w:sz="6" w:space="0" w:color="auto"/>
            </w:tcBorders>
          </w:tcPr>
          <w:p w14:paraId="1A93CF9D"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rPr>
                <w:b/>
              </w:rPr>
              <w:t>95 627</w:t>
            </w:r>
          </w:p>
        </w:tc>
        <w:tc>
          <w:tcPr>
            <w:tcW w:w="794" w:type="dxa"/>
            <w:tcBorders>
              <w:top w:val="single" w:sz="6" w:space="0" w:color="auto"/>
            </w:tcBorders>
          </w:tcPr>
          <w:p w14:paraId="339083B1"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rPr>
                <w:b/>
              </w:rPr>
              <w:t>96 904</w:t>
            </w:r>
          </w:p>
        </w:tc>
        <w:tc>
          <w:tcPr>
            <w:tcW w:w="794" w:type="dxa"/>
            <w:tcBorders>
              <w:top w:val="single" w:sz="6" w:space="0" w:color="auto"/>
            </w:tcBorders>
          </w:tcPr>
          <w:p w14:paraId="4A18E5FB"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rPr>
                <w:b/>
              </w:rPr>
              <w:t>100 680</w:t>
            </w:r>
          </w:p>
        </w:tc>
        <w:tc>
          <w:tcPr>
            <w:tcW w:w="794" w:type="dxa"/>
            <w:tcBorders>
              <w:top w:val="single" w:sz="6" w:space="0" w:color="auto"/>
            </w:tcBorders>
          </w:tcPr>
          <w:p w14:paraId="383BAF5E"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rPr>
                <w:b/>
              </w:rPr>
              <w:t>105 484</w:t>
            </w:r>
          </w:p>
        </w:tc>
        <w:tc>
          <w:tcPr>
            <w:tcW w:w="794" w:type="dxa"/>
            <w:tcBorders>
              <w:top w:val="single" w:sz="6" w:space="0" w:color="auto"/>
            </w:tcBorders>
          </w:tcPr>
          <w:p w14:paraId="64C3732D"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rPr>
                <w:b/>
              </w:rPr>
              <w:t>110 855</w:t>
            </w:r>
          </w:p>
        </w:tc>
      </w:tr>
      <w:tr w:rsidR="009C6724" w14:paraId="5BE93632" w14:textId="77777777" w:rsidTr="009C6724">
        <w:tc>
          <w:tcPr>
            <w:cnfStyle w:val="001000000000" w:firstRow="0" w:lastRow="0" w:firstColumn="1" w:lastColumn="0" w:oddVBand="0" w:evenVBand="0" w:oddHBand="0" w:evenHBand="0" w:firstRowFirstColumn="0" w:firstRowLastColumn="0" w:lastRowFirstColumn="0" w:lastRowLastColumn="0"/>
            <w:tcW w:w="3836" w:type="dxa"/>
          </w:tcPr>
          <w:p w14:paraId="12C4E797" w14:textId="77777777" w:rsidR="00AB205D" w:rsidRDefault="00471A3B">
            <w:pPr>
              <w:spacing w:before="0" w:after="0"/>
            </w:pPr>
            <w:r>
              <w:rPr>
                <w:b/>
              </w:rPr>
              <w:t>Expenses from transactions</w:t>
            </w:r>
          </w:p>
        </w:tc>
        <w:tc>
          <w:tcPr>
            <w:tcW w:w="698" w:type="dxa"/>
          </w:tcPr>
          <w:p w14:paraId="26F557C2" w14:textId="77777777" w:rsidR="00AB205D" w:rsidRDefault="00AB205D">
            <w:pPr>
              <w:spacing w:before="0" w:after="0"/>
              <w:cnfStyle w:val="000000000000" w:firstRow="0" w:lastRow="0" w:firstColumn="0" w:lastColumn="0" w:oddVBand="0" w:evenVBand="0" w:oddHBand="0" w:evenHBand="0" w:firstRowFirstColumn="0" w:firstRowLastColumn="0" w:lastRowFirstColumn="0" w:lastRowLastColumn="0"/>
            </w:pPr>
          </w:p>
        </w:tc>
        <w:tc>
          <w:tcPr>
            <w:tcW w:w="794" w:type="dxa"/>
          </w:tcPr>
          <w:p w14:paraId="2D348764" w14:textId="77777777" w:rsidR="00AB205D" w:rsidRDefault="00AB205D">
            <w:pPr>
              <w:spacing w:before="0" w:after="0"/>
              <w:cnfStyle w:val="000000000000" w:firstRow="0" w:lastRow="0" w:firstColumn="0" w:lastColumn="0" w:oddVBand="0" w:evenVBand="0" w:oddHBand="0" w:evenHBand="0" w:firstRowFirstColumn="0" w:firstRowLastColumn="0" w:lastRowFirstColumn="0" w:lastRowLastColumn="0"/>
            </w:pPr>
          </w:p>
        </w:tc>
        <w:tc>
          <w:tcPr>
            <w:tcW w:w="794" w:type="dxa"/>
          </w:tcPr>
          <w:p w14:paraId="533ADFF8" w14:textId="77777777" w:rsidR="00AB205D" w:rsidRDefault="00AB205D">
            <w:pPr>
              <w:spacing w:before="0" w:after="0"/>
              <w:cnfStyle w:val="000000000000" w:firstRow="0" w:lastRow="0" w:firstColumn="0" w:lastColumn="0" w:oddVBand="0" w:evenVBand="0" w:oddHBand="0" w:evenHBand="0" w:firstRowFirstColumn="0" w:firstRowLastColumn="0" w:lastRowFirstColumn="0" w:lastRowLastColumn="0"/>
            </w:pPr>
          </w:p>
        </w:tc>
        <w:tc>
          <w:tcPr>
            <w:tcW w:w="794" w:type="dxa"/>
          </w:tcPr>
          <w:p w14:paraId="14AF025D" w14:textId="77777777" w:rsidR="00AB205D" w:rsidRDefault="00AB205D">
            <w:pPr>
              <w:spacing w:before="0" w:after="0"/>
              <w:cnfStyle w:val="000000000000" w:firstRow="0" w:lastRow="0" w:firstColumn="0" w:lastColumn="0" w:oddVBand="0" w:evenVBand="0" w:oddHBand="0" w:evenHBand="0" w:firstRowFirstColumn="0" w:firstRowLastColumn="0" w:lastRowFirstColumn="0" w:lastRowLastColumn="0"/>
            </w:pPr>
          </w:p>
        </w:tc>
        <w:tc>
          <w:tcPr>
            <w:tcW w:w="794" w:type="dxa"/>
          </w:tcPr>
          <w:p w14:paraId="18FA7863" w14:textId="77777777" w:rsidR="00AB205D" w:rsidRDefault="00AB205D">
            <w:pPr>
              <w:spacing w:before="0" w:after="0"/>
              <w:cnfStyle w:val="000000000000" w:firstRow="0" w:lastRow="0" w:firstColumn="0" w:lastColumn="0" w:oddVBand="0" w:evenVBand="0" w:oddHBand="0" w:evenHBand="0" w:firstRowFirstColumn="0" w:firstRowLastColumn="0" w:lastRowFirstColumn="0" w:lastRowLastColumn="0"/>
            </w:pPr>
          </w:p>
        </w:tc>
      </w:tr>
      <w:tr w:rsidR="009C6724" w14:paraId="5ED7E686" w14:textId="77777777" w:rsidTr="009C6724">
        <w:tc>
          <w:tcPr>
            <w:cnfStyle w:val="001000000000" w:firstRow="0" w:lastRow="0" w:firstColumn="1" w:lastColumn="0" w:oddVBand="0" w:evenVBand="0" w:oddHBand="0" w:evenHBand="0" w:firstRowFirstColumn="0" w:firstRowLastColumn="0" w:lastRowFirstColumn="0" w:lastRowLastColumn="0"/>
            <w:tcW w:w="3836" w:type="dxa"/>
          </w:tcPr>
          <w:p w14:paraId="1CD0F9E7" w14:textId="77777777" w:rsidR="00AB205D" w:rsidRDefault="00471A3B">
            <w:pPr>
              <w:spacing w:before="0" w:after="0"/>
            </w:pPr>
            <w:r>
              <w:t>Employee expenses</w:t>
            </w:r>
          </w:p>
        </w:tc>
        <w:tc>
          <w:tcPr>
            <w:tcW w:w="698" w:type="dxa"/>
          </w:tcPr>
          <w:p w14:paraId="180FCF50"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36 896</w:t>
            </w:r>
          </w:p>
        </w:tc>
        <w:tc>
          <w:tcPr>
            <w:tcW w:w="794" w:type="dxa"/>
          </w:tcPr>
          <w:p w14:paraId="3190F2FA"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36 611</w:t>
            </w:r>
          </w:p>
        </w:tc>
        <w:tc>
          <w:tcPr>
            <w:tcW w:w="794" w:type="dxa"/>
          </w:tcPr>
          <w:p w14:paraId="20C61C2A"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37 701</w:t>
            </w:r>
          </w:p>
        </w:tc>
        <w:tc>
          <w:tcPr>
            <w:tcW w:w="794" w:type="dxa"/>
          </w:tcPr>
          <w:p w14:paraId="6B334BB3"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38 739</w:t>
            </w:r>
          </w:p>
        </w:tc>
        <w:tc>
          <w:tcPr>
            <w:tcW w:w="794" w:type="dxa"/>
          </w:tcPr>
          <w:p w14:paraId="29EC0711"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40 409</w:t>
            </w:r>
          </w:p>
        </w:tc>
      </w:tr>
      <w:tr w:rsidR="009C6724" w14:paraId="4CBB078A" w14:textId="77777777" w:rsidTr="009C6724">
        <w:tc>
          <w:tcPr>
            <w:cnfStyle w:val="001000000000" w:firstRow="0" w:lastRow="0" w:firstColumn="1" w:lastColumn="0" w:oddVBand="0" w:evenVBand="0" w:oddHBand="0" w:evenHBand="0" w:firstRowFirstColumn="0" w:firstRowLastColumn="0" w:lastRowFirstColumn="0" w:lastRowLastColumn="0"/>
            <w:tcW w:w="3836" w:type="dxa"/>
          </w:tcPr>
          <w:p w14:paraId="1BB38A3C" w14:textId="77777777" w:rsidR="00AB205D" w:rsidRDefault="00471A3B">
            <w:pPr>
              <w:spacing w:before="0" w:after="0"/>
            </w:pPr>
            <w:r>
              <w:t>Net superannuation interest expense</w:t>
            </w:r>
          </w:p>
        </w:tc>
        <w:tc>
          <w:tcPr>
            <w:tcW w:w="698" w:type="dxa"/>
          </w:tcPr>
          <w:p w14:paraId="51CAD452"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722</w:t>
            </w:r>
          </w:p>
        </w:tc>
        <w:tc>
          <w:tcPr>
            <w:tcW w:w="794" w:type="dxa"/>
          </w:tcPr>
          <w:p w14:paraId="6D40344A"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778</w:t>
            </w:r>
          </w:p>
        </w:tc>
        <w:tc>
          <w:tcPr>
            <w:tcW w:w="794" w:type="dxa"/>
          </w:tcPr>
          <w:p w14:paraId="5322E74E"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794</w:t>
            </w:r>
          </w:p>
        </w:tc>
        <w:tc>
          <w:tcPr>
            <w:tcW w:w="794" w:type="dxa"/>
          </w:tcPr>
          <w:p w14:paraId="7D106EE1"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800</w:t>
            </w:r>
          </w:p>
        </w:tc>
        <w:tc>
          <w:tcPr>
            <w:tcW w:w="794" w:type="dxa"/>
          </w:tcPr>
          <w:p w14:paraId="7A7A9BE1"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811</w:t>
            </w:r>
          </w:p>
        </w:tc>
      </w:tr>
      <w:tr w:rsidR="009C6724" w14:paraId="4683D22E" w14:textId="77777777" w:rsidTr="009C6724">
        <w:tc>
          <w:tcPr>
            <w:cnfStyle w:val="001000000000" w:firstRow="0" w:lastRow="0" w:firstColumn="1" w:lastColumn="0" w:oddVBand="0" w:evenVBand="0" w:oddHBand="0" w:evenHBand="0" w:firstRowFirstColumn="0" w:firstRowLastColumn="0" w:lastRowFirstColumn="0" w:lastRowLastColumn="0"/>
            <w:tcW w:w="3836" w:type="dxa"/>
          </w:tcPr>
          <w:p w14:paraId="3E1D1C43" w14:textId="77777777" w:rsidR="00AB205D" w:rsidRDefault="00471A3B">
            <w:pPr>
              <w:spacing w:before="0" w:after="0"/>
            </w:pPr>
            <w:r>
              <w:t>Other superannuation</w:t>
            </w:r>
          </w:p>
        </w:tc>
        <w:tc>
          <w:tcPr>
            <w:tcW w:w="698" w:type="dxa"/>
          </w:tcPr>
          <w:p w14:paraId="7DD21C17"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3 935</w:t>
            </w:r>
          </w:p>
        </w:tc>
        <w:tc>
          <w:tcPr>
            <w:tcW w:w="794" w:type="dxa"/>
          </w:tcPr>
          <w:p w14:paraId="008C91D3"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3 813</w:t>
            </w:r>
          </w:p>
        </w:tc>
        <w:tc>
          <w:tcPr>
            <w:tcW w:w="794" w:type="dxa"/>
          </w:tcPr>
          <w:p w14:paraId="2BC2FBAF"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3 805</w:t>
            </w:r>
          </w:p>
        </w:tc>
        <w:tc>
          <w:tcPr>
            <w:tcW w:w="794" w:type="dxa"/>
          </w:tcPr>
          <w:p w14:paraId="723E2C9C"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3 853</w:t>
            </w:r>
          </w:p>
        </w:tc>
        <w:tc>
          <w:tcPr>
            <w:tcW w:w="794" w:type="dxa"/>
          </w:tcPr>
          <w:p w14:paraId="56423F50"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3 926</w:t>
            </w:r>
          </w:p>
        </w:tc>
      </w:tr>
      <w:tr w:rsidR="009C6724" w14:paraId="3B79512F" w14:textId="77777777" w:rsidTr="009C6724">
        <w:tc>
          <w:tcPr>
            <w:cnfStyle w:val="001000000000" w:firstRow="0" w:lastRow="0" w:firstColumn="1" w:lastColumn="0" w:oddVBand="0" w:evenVBand="0" w:oddHBand="0" w:evenHBand="0" w:firstRowFirstColumn="0" w:firstRowLastColumn="0" w:lastRowFirstColumn="0" w:lastRowLastColumn="0"/>
            <w:tcW w:w="3836" w:type="dxa"/>
          </w:tcPr>
          <w:p w14:paraId="4A22FAB0" w14:textId="77777777" w:rsidR="00AB205D" w:rsidRDefault="00471A3B">
            <w:pPr>
              <w:spacing w:before="0" w:after="0"/>
            </w:pPr>
            <w:r>
              <w:t>Depreciation</w:t>
            </w:r>
          </w:p>
        </w:tc>
        <w:tc>
          <w:tcPr>
            <w:tcW w:w="698" w:type="dxa"/>
          </w:tcPr>
          <w:p w14:paraId="3AF812D2"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7 866</w:t>
            </w:r>
          </w:p>
        </w:tc>
        <w:tc>
          <w:tcPr>
            <w:tcW w:w="794" w:type="dxa"/>
          </w:tcPr>
          <w:p w14:paraId="59F6D6CF"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8 040</w:t>
            </w:r>
          </w:p>
        </w:tc>
        <w:tc>
          <w:tcPr>
            <w:tcW w:w="794" w:type="dxa"/>
          </w:tcPr>
          <w:p w14:paraId="6D9B98D7"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8 535</w:t>
            </w:r>
          </w:p>
        </w:tc>
        <w:tc>
          <w:tcPr>
            <w:tcW w:w="794" w:type="dxa"/>
          </w:tcPr>
          <w:p w14:paraId="0543618D"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8 925</w:t>
            </w:r>
          </w:p>
        </w:tc>
        <w:tc>
          <w:tcPr>
            <w:tcW w:w="794" w:type="dxa"/>
          </w:tcPr>
          <w:p w14:paraId="05021201"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9 472</w:t>
            </w:r>
          </w:p>
        </w:tc>
      </w:tr>
      <w:tr w:rsidR="009C6724" w14:paraId="658258F8" w14:textId="77777777" w:rsidTr="009C6724">
        <w:tc>
          <w:tcPr>
            <w:cnfStyle w:val="001000000000" w:firstRow="0" w:lastRow="0" w:firstColumn="1" w:lastColumn="0" w:oddVBand="0" w:evenVBand="0" w:oddHBand="0" w:evenHBand="0" w:firstRowFirstColumn="0" w:firstRowLastColumn="0" w:lastRowFirstColumn="0" w:lastRowLastColumn="0"/>
            <w:tcW w:w="3836" w:type="dxa"/>
          </w:tcPr>
          <w:p w14:paraId="382C40FB" w14:textId="77777777" w:rsidR="00AB205D" w:rsidRDefault="00471A3B">
            <w:pPr>
              <w:spacing w:before="0" w:after="0"/>
            </w:pPr>
            <w:r>
              <w:t>Interest expense</w:t>
            </w:r>
          </w:p>
        </w:tc>
        <w:tc>
          <w:tcPr>
            <w:tcW w:w="698" w:type="dxa"/>
          </w:tcPr>
          <w:p w14:paraId="14C5ACE9"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5 979</w:t>
            </w:r>
          </w:p>
        </w:tc>
        <w:tc>
          <w:tcPr>
            <w:tcW w:w="794" w:type="dxa"/>
          </w:tcPr>
          <w:p w14:paraId="7E87244F"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6 202</w:t>
            </w:r>
          </w:p>
        </w:tc>
        <w:tc>
          <w:tcPr>
            <w:tcW w:w="794" w:type="dxa"/>
          </w:tcPr>
          <w:p w14:paraId="2188D759"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7 245</w:t>
            </w:r>
          </w:p>
        </w:tc>
        <w:tc>
          <w:tcPr>
            <w:tcW w:w="794" w:type="dxa"/>
          </w:tcPr>
          <w:p w14:paraId="19BA337F"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8 510</w:t>
            </w:r>
          </w:p>
        </w:tc>
        <w:tc>
          <w:tcPr>
            <w:tcW w:w="794" w:type="dxa"/>
          </w:tcPr>
          <w:p w14:paraId="17565187"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9 676</w:t>
            </w:r>
          </w:p>
        </w:tc>
      </w:tr>
      <w:tr w:rsidR="009C6724" w14:paraId="3DBBBF84" w14:textId="77777777" w:rsidTr="009C6724">
        <w:tc>
          <w:tcPr>
            <w:cnfStyle w:val="001000000000" w:firstRow="0" w:lastRow="0" w:firstColumn="1" w:lastColumn="0" w:oddVBand="0" w:evenVBand="0" w:oddHBand="0" w:evenHBand="0" w:firstRowFirstColumn="0" w:firstRowLastColumn="0" w:lastRowFirstColumn="0" w:lastRowLastColumn="0"/>
            <w:tcW w:w="3836" w:type="dxa"/>
          </w:tcPr>
          <w:p w14:paraId="549C1362" w14:textId="77777777" w:rsidR="00AB205D" w:rsidRDefault="00471A3B">
            <w:pPr>
              <w:spacing w:before="0" w:after="0"/>
            </w:pPr>
            <w:r>
              <w:t>Grant expense</w:t>
            </w:r>
          </w:p>
        </w:tc>
        <w:tc>
          <w:tcPr>
            <w:tcW w:w="698" w:type="dxa"/>
          </w:tcPr>
          <w:p w14:paraId="02A08905"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15 153</w:t>
            </w:r>
          </w:p>
        </w:tc>
        <w:tc>
          <w:tcPr>
            <w:tcW w:w="794" w:type="dxa"/>
          </w:tcPr>
          <w:p w14:paraId="63B5464D"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15 346</w:t>
            </w:r>
          </w:p>
        </w:tc>
        <w:tc>
          <w:tcPr>
            <w:tcW w:w="794" w:type="dxa"/>
          </w:tcPr>
          <w:p w14:paraId="3C56EEBD"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15 512</w:t>
            </w:r>
          </w:p>
        </w:tc>
        <w:tc>
          <w:tcPr>
            <w:tcW w:w="794" w:type="dxa"/>
          </w:tcPr>
          <w:p w14:paraId="6E118F51"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15 374</w:t>
            </w:r>
          </w:p>
        </w:tc>
        <w:tc>
          <w:tcPr>
            <w:tcW w:w="794" w:type="dxa"/>
          </w:tcPr>
          <w:p w14:paraId="32B3FB48"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15 441</w:t>
            </w:r>
          </w:p>
        </w:tc>
      </w:tr>
      <w:tr w:rsidR="009C6724" w14:paraId="7B098D50" w14:textId="77777777" w:rsidTr="009C6724">
        <w:tc>
          <w:tcPr>
            <w:cnfStyle w:val="001000000000" w:firstRow="0" w:lastRow="0" w:firstColumn="1" w:lastColumn="0" w:oddVBand="0" w:evenVBand="0" w:oddHBand="0" w:evenHBand="0" w:firstRowFirstColumn="0" w:firstRowLastColumn="0" w:lastRowFirstColumn="0" w:lastRowLastColumn="0"/>
            <w:tcW w:w="3836" w:type="dxa"/>
          </w:tcPr>
          <w:p w14:paraId="66AEF3EE" w14:textId="77777777" w:rsidR="00AB205D" w:rsidRDefault="00471A3B">
            <w:pPr>
              <w:spacing w:before="0" w:after="0"/>
            </w:pPr>
            <w:r>
              <w:t>Other operating expenses</w:t>
            </w:r>
          </w:p>
        </w:tc>
        <w:tc>
          <w:tcPr>
            <w:tcW w:w="698" w:type="dxa"/>
          </w:tcPr>
          <w:p w14:paraId="60D0EE84"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30 542</w:t>
            </w:r>
          </w:p>
        </w:tc>
        <w:tc>
          <w:tcPr>
            <w:tcW w:w="794" w:type="dxa"/>
          </w:tcPr>
          <w:p w14:paraId="4A5B1DDC"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31 371</w:t>
            </w:r>
          </w:p>
        </w:tc>
        <w:tc>
          <w:tcPr>
            <w:tcW w:w="794" w:type="dxa"/>
          </w:tcPr>
          <w:p w14:paraId="24956DF2"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29 562</w:t>
            </w:r>
          </w:p>
        </w:tc>
        <w:tc>
          <w:tcPr>
            <w:tcW w:w="794" w:type="dxa"/>
          </w:tcPr>
          <w:p w14:paraId="13A79B68"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29 673</w:t>
            </w:r>
          </w:p>
        </w:tc>
        <w:tc>
          <w:tcPr>
            <w:tcW w:w="794" w:type="dxa"/>
          </w:tcPr>
          <w:p w14:paraId="2001AAFE"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31 596</w:t>
            </w:r>
          </w:p>
        </w:tc>
      </w:tr>
      <w:tr w:rsidR="009C6724" w14:paraId="6793E25E" w14:textId="77777777" w:rsidTr="009C6724">
        <w:tc>
          <w:tcPr>
            <w:cnfStyle w:val="001000000000" w:firstRow="0" w:lastRow="0" w:firstColumn="1" w:lastColumn="0" w:oddVBand="0" w:evenVBand="0" w:oddHBand="0" w:evenHBand="0" w:firstRowFirstColumn="0" w:firstRowLastColumn="0" w:lastRowFirstColumn="0" w:lastRowLastColumn="0"/>
            <w:tcW w:w="3836" w:type="dxa"/>
            <w:tcBorders>
              <w:top w:val="single" w:sz="6" w:space="0" w:color="auto"/>
              <w:bottom w:val="single" w:sz="6" w:space="0" w:color="auto"/>
            </w:tcBorders>
          </w:tcPr>
          <w:p w14:paraId="387F3B5C" w14:textId="77777777" w:rsidR="00AB205D" w:rsidRDefault="00471A3B">
            <w:pPr>
              <w:spacing w:before="0" w:after="0"/>
            </w:pPr>
            <w:r>
              <w:rPr>
                <w:b/>
              </w:rPr>
              <w:t>Total expenses from transactions</w:t>
            </w:r>
          </w:p>
        </w:tc>
        <w:tc>
          <w:tcPr>
            <w:tcW w:w="698" w:type="dxa"/>
            <w:tcBorders>
              <w:top w:val="single" w:sz="6" w:space="0" w:color="auto"/>
              <w:bottom w:val="single" w:sz="6" w:space="0" w:color="auto"/>
            </w:tcBorders>
          </w:tcPr>
          <w:p w14:paraId="041517A9"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rPr>
                <w:b/>
              </w:rPr>
              <w:t>101 093</w:t>
            </w:r>
          </w:p>
        </w:tc>
        <w:tc>
          <w:tcPr>
            <w:tcW w:w="794" w:type="dxa"/>
            <w:tcBorders>
              <w:top w:val="single" w:sz="6" w:space="0" w:color="auto"/>
              <w:bottom w:val="single" w:sz="6" w:space="0" w:color="auto"/>
            </w:tcBorders>
          </w:tcPr>
          <w:p w14:paraId="38395CB3"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rPr>
                <w:b/>
              </w:rPr>
              <w:t>102 162</w:t>
            </w:r>
          </w:p>
        </w:tc>
        <w:tc>
          <w:tcPr>
            <w:tcW w:w="794" w:type="dxa"/>
            <w:tcBorders>
              <w:top w:val="single" w:sz="6" w:space="0" w:color="auto"/>
              <w:bottom w:val="single" w:sz="6" w:space="0" w:color="auto"/>
            </w:tcBorders>
          </w:tcPr>
          <w:p w14:paraId="0BA6229C"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rPr>
                <w:b/>
              </w:rPr>
              <w:t>103 155</w:t>
            </w:r>
          </w:p>
        </w:tc>
        <w:tc>
          <w:tcPr>
            <w:tcW w:w="794" w:type="dxa"/>
            <w:tcBorders>
              <w:top w:val="single" w:sz="6" w:space="0" w:color="auto"/>
              <w:bottom w:val="single" w:sz="6" w:space="0" w:color="auto"/>
            </w:tcBorders>
          </w:tcPr>
          <w:p w14:paraId="7F8A7D81"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rPr>
                <w:b/>
              </w:rPr>
              <w:t>105 873</w:t>
            </w:r>
          </w:p>
        </w:tc>
        <w:tc>
          <w:tcPr>
            <w:tcW w:w="794" w:type="dxa"/>
            <w:tcBorders>
              <w:top w:val="single" w:sz="6" w:space="0" w:color="auto"/>
              <w:bottom w:val="single" w:sz="6" w:space="0" w:color="auto"/>
            </w:tcBorders>
          </w:tcPr>
          <w:p w14:paraId="7EFDBEF6"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rPr>
                <w:b/>
              </w:rPr>
              <w:t>111 331</w:t>
            </w:r>
          </w:p>
        </w:tc>
      </w:tr>
      <w:tr w:rsidR="009C6724" w14:paraId="7165D7C4" w14:textId="77777777" w:rsidTr="009C6724">
        <w:tc>
          <w:tcPr>
            <w:cnfStyle w:val="001000000000" w:firstRow="0" w:lastRow="0" w:firstColumn="1" w:lastColumn="0" w:oddVBand="0" w:evenVBand="0" w:oddHBand="0" w:evenHBand="0" w:firstRowFirstColumn="0" w:firstRowLastColumn="0" w:lastRowFirstColumn="0" w:lastRowLastColumn="0"/>
            <w:tcW w:w="3836" w:type="dxa"/>
            <w:tcBorders>
              <w:top w:val="single" w:sz="6" w:space="0" w:color="auto"/>
              <w:bottom w:val="single" w:sz="12" w:space="0" w:color="auto"/>
            </w:tcBorders>
          </w:tcPr>
          <w:p w14:paraId="2F602BDB" w14:textId="3BB05157" w:rsidR="00AB205D" w:rsidRDefault="00471A3B">
            <w:pPr>
              <w:spacing w:before="0" w:after="0"/>
            </w:pPr>
            <w:r>
              <w:rPr>
                <w:b/>
              </w:rPr>
              <w:t xml:space="preserve">Net result from transactions – </w:t>
            </w:r>
            <w:r w:rsidR="00174DB6">
              <w:rPr>
                <w:b/>
              </w:rPr>
              <w:t xml:space="preserve">Net </w:t>
            </w:r>
            <w:r>
              <w:rPr>
                <w:b/>
              </w:rPr>
              <w:t>operating balance</w:t>
            </w:r>
          </w:p>
        </w:tc>
        <w:tc>
          <w:tcPr>
            <w:tcW w:w="698" w:type="dxa"/>
            <w:tcBorders>
              <w:top w:val="single" w:sz="6" w:space="0" w:color="auto"/>
              <w:bottom w:val="single" w:sz="12" w:space="0" w:color="auto"/>
            </w:tcBorders>
          </w:tcPr>
          <w:p w14:paraId="177F4621"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rPr>
                <w:b/>
              </w:rPr>
              <w:t>(5 466)</w:t>
            </w:r>
          </w:p>
        </w:tc>
        <w:tc>
          <w:tcPr>
            <w:tcW w:w="794" w:type="dxa"/>
            <w:tcBorders>
              <w:top w:val="single" w:sz="6" w:space="0" w:color="auto"/>
              <w:bottom w:val="single" w:sz="12" w:space="0" w:color="auto"/>
            </w:tcBorders>
          </w:tcPr>
          <w:p w14:paraId="08B2241A"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rPr>
                <w:b/>
              </w:rPr>
              <w:t>(5 258)</w:t>
            </w:r>
          </w:p>
        </w:tc>
        <w:tc>
          <w:tcPr>
            <w:tcW w:w="794" w:type="dxa"/>
            <w:tcBorders>
              <w:top w:val="single" w:sz="6" w:space="0" w:color="auto"/>
              <w:bottom w:val="single" w:sz="12" w:space="0" w:color="auto"/>
            </w:tcBorders>
          </w:tcPr>
          <w:p w14:paraId="351FB131"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rPr>
                <w:b/>
              </w:rPr>
              <w:t>(2 474)</w:t>
            </w:r>
          </w:p>
        </w:tc>
        <w:tc>
          <w:tcPr>
            <w:tcW w:w="794" w:type="dxa"/>
            <w:tcBorders>
              <w:top w:val="single" w:sz="6" w:space="0" w:color="auto"/>
              <w:bottom w:val="single" w:sz="12" w:space="0" w:color="auto"/>
            </w:tcBorders>
          </w:tcPr>
          <w:p w14:paraId="1BDD840A"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rPr>
                <w:b/>
              </w:rPr>
              <w:t>(389)</w:t>
            </w:r>
          </w:p>
        </w:tc>
        <w:tc>
          <w:tcPr>
            <w:tcW w:w="794" w:type="dxa"/>
            <w:tcBorders>
              <w:top w:val="single" w:sz="6" w:space="0" w:color="auto"/>
              <w:bottom w:val="single" w:sz="12" w:space="0" w:color="auto"/>
            </w:tcBorders>
          </w:tcPr>
          <w:p w14:paraId="1C1F21F1"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rPr>
                <w:b/>
              </w:rPr>
              <w:t>(476)</w:t>
            </w:r>
          </w:p>
        </w:tc>
      </w:tr>
      <w:tr w:rsidR="009C6724" w14:paraId="58F7C439" w14:textId="77777777" w:rsidTr="009C6724">
        <w:tc>
          <w:tcPr>
            <w:cnfStyle w:val="001000000000" w:firstRow="0" w:lastRow="0" w:firstColumn="1" w:lastColumn="0" w:oddVBand="0" w:evenVBand="0" w:oddHBand="0" w:evenHBand="0" w:firstRowFirstColumn="0" w:firstRowLastColumn="0" w:lastRowFirstColumn="0" w:lastRowLastColumn="0"/>
            <w:tcW w:w="3836" w:type="dxa"/>
            <w:tcBorders>
              <w:top w:val="single" w:sz="6" w:space="0" w:color="auto"/>
            </w:tcBorders>
          </w:tcPr>
          <w:p w14:paraId="6B136366" w14:textId="77777777" w:rsidR="00AB205D" w:rsidRDefault="00471A3B">
            <w:pPr>
              <w:spacing w:before="0" w:after="0"/>
            </w:pPr>
            <w:r>
              <w:rPr>
                <w:b/>
              </w:rPr>
              <w:t>Other economic flows included in net result</w:t>
            </w:r>
          </w:p>
        </w:tc>
        <w:tc>
          <w:tcPr>
            <w:tcW w:w="698" w:type="dxa"/>
            <w:tcBorders>
              <w:top w:val="single" w:sz="6" w:space="0" w:color="auto"/>
            </w:tcBorders>
          </w:tcPr>
          <w:p w14:paraId="61D94128" w14:textId="77777777" w:rsidR="00AB205D" w:rsidRDefault="00AB205D">
            <w:pPr>
              <w:spacing w:before="0" w:after="0"/>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66A5742B" w14:textId="77777777" w:rsidR="00AB205D" w:rsidRDefault="00AB205D">
            <w:pPr>
              <w:spacing w:before="0" w:after="0"/>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4669140" w14:textId="77777777" w:rsidR="00AB205D" w:rsidRDefault="00AB205D">
            <w:pPr>
              <w:spacing w:before="0" w:after="0"/>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1DDF3937" w14:textId="77777777" w:rsidR="00AB205D" w:rsidRDefault="00AB205D">
            <w:pPr>
              <w:spacing w:before="0" w:after="0"/>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17A2BB4A" w14:textId="77777777" w:rsidR="00AB205D" w:rsidRDefault="00AB205D">
            <w:pPr>
              <w:spacing w:before="0" w:after="0"/>
              <w:cnfStyle w:val="000000000000" w:firstRow="0" w:lastRow="0" w:firstColumn="0" w:lastColumn="0" w:oddVBand="0" w:evenVBand="0" w:oddHBand="0" w:evenHBand="0" w:firstRowFirstColumn="0" w:firstRowLastColumn="0" w:lastRowFirstColumn="0" w:lastRowLastColumn="0"/>
            </w:pPr>
          </w:p>
        </w:tc>
      </w:tr>
      <w:tr w:rsidR="009C6724" w14:paraId="0656B7CF" w14:textId="77777777" w:rsidTr="009C6724">
        <w:tc>
          <w:tcPr>
            <w:cnfStyle w:val="001000000000" w:firstRow="0" w:lastRow="0" w:firstColumn="1" w:lastColumn="0" w:oddVBand="0" w:evenVBand="0" w:oddHBand="0" w:evenHBand="0" w:firstRowFirstColumn="0" w:firstRowLastColumn="0" w:lastRowFirstColumn="0" w:lastRowLastColumn="0"/>
            <w:tcW w:w="3836" w:type="dxa"/>
          </w:tcPr>
          <w:p w14:paraId="342F9D58" w14:textId="77777777" w:rsidR="00AB205D" w:rsidRDefault="00471A3B">
            <w:pPr>
              <w:spacing w:before="0" w:after="0"/>
            </w:pPr>
            <w:r>
              <w:t>Net gain/(loss) on disposal of non</w:t>
            </w:r>
            <w:r>
              <w:noBreakHyphen/>
              <w:t>financial assets</w:t>
            </w:r>
          </w:p>
        </w:tc>
        <w:tc>
          <w:tcPr>
            <w:tcW w:w="698" w:type="dxa"/>
          </w:tcPr>
          <w:p w14:paraId="21B3FC42"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62</w:t>
            </w:r>
          </w:p>
        </w:tc>
        <w:tc>
          <w:tcPr>
            <w:tcW w:w="794" w:type="dxa"/>
          </w:tcPr>
          <w:p w14:paraId="10E127CD"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56</w:t>
            </w:r>
          </w:p>
        </w:tc>
        <w:tc>
          <w:tcPr>
            <w:tcW w:w="794" w:type="dxa"/>
          </w:tcPr>
          <w:p w14:paraId="28C0A350"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56</w:t>
            </w:r>
          </w:p>
        </w:tc>
        <w:tc>
          <w:tcPr>
            <w:tcW w:w="794" w:type="dxa"/>
          </w:tcPr>
          <w:p w14:paraId="0146049D"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299</w:t>
            </w:r>
          </w:p>
        </w:tc>
        <w:tc>
          <w:tcPr>
            <w:tcW w:w="794" w:type="dxa"/>
          </w:tcPr>
          <w:p w14:paraId="762BB8A0"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45</w:t>
            </w:r>
          </w:p>
        </w:tc>
      </w:tr>
      <w:tr w:rsidR="009C6724" w14:paraId="0526E3AA" w14:textId="77777777" w:rsidTr="009C6724">
        <w:tc>
          <w:tcPr>
            <w:cnfStyle w:val="001000000000" w:firstRow="0" w:lastRow="0" w:firstColumn="1" w:lastColumn="0" w:oddVBand="0" w:evenVBand="0" w:oddHBand="0" w:evenHBand="0" w:firstRowFirstColumn="0" w:firstRowLastColumn="0" w:lastRowFirstColumn="0" w:lastRowLastColumn="0"/>
            <w:tcW w:w="3836" w:type="dxa"/>
          </w:tcPr>
          <w:p w14:paraId="47D62B95" w14:textId="77777777" w:rsidR="00AB205D" w:rsidRDefault="00471A3B">
            <w:pPr>
              <w:spacing w:before="0" w:after="0"/>
            </w:pPr>
            <w:r>
              <w:t>Net gain/(loss) on financial assets or liabilities at fair value</w:t>
            </w:r>
          </w:p>
        </w:tc>
        <w:tc>
          <w:tcPr>
            <w:tcW w:w="698" w:type="dxa"/>
          </w:tcPr>
          <w:p w14:paraId="7E52D37C"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60</w:t>
            </w:r>
          </w:p>
        </w:tc>
        <w:tc>
          <w:tcPr>
            <w:tcW w:w="794" w:type="dxa"/>
          </w:tcPr>
          <w:p w14:paraId="4A882C84"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9</w:t>
            </w:r>
          </w:p>
        </w:tc>
        <w:tc>
          <w:tcPr>
            <w:tcW w:w="794" w:type="dxa"/>
          </w:tcPr>
          <w:p w14:paraId="65209027"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82</w:t>
            </w:r>
          </w:p>
        </w:tc>
        <w:tc>
          <w:tcPr>
            <w:tcW w:w="794" w:type="dxa"/>
          </w:tcPr>
          <w:p w14:paraId="2D471DF5"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159</w:t>
            </w:r>
          </w:p>
        </w:tc>
        <w:tc>
          <w:tcPr>
            <w:tcW w:w="794" w:type="dxa"/>
          </w:tcPr>
          <w:p w14:paraId="1C55082A"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175</w:t>
            </w:r>
          </w:p>
        </w:tc>
      </w:tr>
      <w:tr w:rsidR="009C6724" w14:paraId="3BD26CFB" w14:textId="77777777" w:rsidTr="009C6724">
        <w:tc>
          <w:tcPr>
            <w:cnfStyle w:val="001000000000" w:firstRow="0" w:lastRow="0" w:firstColumn="1" w:lastColumn="0" w:oddVBand="0" w:evenVBand="0" w:oddHBand="0" w:evenHBand="0" w:firstRowFirstColumn="0" w:firstRowLastColumn="0" w:lastRowFirstColumn="0" w:lastRowLastColumn="0"/>
            <w:tcW w:w="3836" w:type="dxa"/>
          </w:tcPr>
          <w:p w14:paraId="3FF8B145" w14:textId="77777777" w:rsidR="00AB205D" w:rsidRDefault="00471A3B">
            <w:pPr>
              <w:spacing w:before="0" w:after="0"/>
            </w:pPr>
            <w:r>
              <w:t>Share of net profit/(loss) from associates/joint venture entities</w:t>
            </w:r>
          </w:p>
        </w:tc>
        <w:tc>
          <w:tcPr>
            <w:tcW w:w="698" w:type="dxa"/>
          </w:tcPr>
          <w:p w14:paraId="42B58CF7"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30</w:t>
            </w:r>
          </w:p>
        </w:tc>
        <w:tc>
          <w:tcPr>
            <w:tcW w:w="794" w:type="dxa"/>
          </w:tcPr>
          <w:p w14:paraId="49EDC4F5"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30</w:t>
            </w:r>
          </w:p>
        </w:tc>
        <w:tc>
          <w:tcPr>
            <w:tcW w:w="794" w:type="dxa"/>
          </w:tcPr>
          <w:p w14:paraId="41A9D40E"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32</w:t>
            </w:r>
          </w:p>
        </w:tc>
        <w:tc>
          <w:tcPr>
            <w:tcW w:w="794" w:type="dxa"/>
          </w:tcPr>
          <w:p w14:paraId="2B38E9E4"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36</w:t>
            </w:r>
          </w:p>
        </w:tc>
        <w:tc>
          <w:tcPr>
            <w:tcW w:w="794" w:type="dxa"/>
          </w:tcPr>
          <w:p w14:paraId="41718A46"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4</w:t>
            </w:r>
          </w:p>
        </w:tc>
      </w:tr>
      <w:tr w:rsidR="009C6724" w14:paraId="52881BF9" w14:textId="77777777" w:rsidTr="009C6724">
        <w:tc>
          <w:tcPr>
            <w:cnfStyle w:val="001000000000" w:firstRow="0" w:lastRow="0" w:firstColumn="1" w:lastColumn="0" w:oddVBand="0" w:evenVBand="0" w:oddHBand="0" w:evenHBand="0" w:firstRowFirstColumn="0" w:firstRowLastColumn="0" w:lastRowFirstColumn="0" w:lastRowLastColumn="0"/>
            <w:tcW w:w="3836" w:type="dxa"/>
            <w:tcBorders>
              <w:bottom w:val="single" w:sz="6" w:space="0" w:color="auto"/>
            </w:tcBorders>
          </w:tcPr>
          <w:p w14:paraId="12ABB2F3" w14:textId="77777777" w:rsidR="00AB205D" w:rsidRDefault="00471A3B">
            <w:pPr>
              <w:spacing w:before="0" w:after="0"/>
            </w:pPr>
            <w:r>
              <w:t>Other gains/(losses) from other economic flows</w:t>
            </w:r>
          </w:p>
        </w:tc>
        <w:tc>
          <w:tcPr>
            <w:tcW w:w="698" w:type="dxa"/>
            <w:tcBorders>
              <w:bottom w:val="single" w:sz="6" w:space="0" w:color="auto"/>
            </w:tcBorders>
          </w:tcPr>
          <w:p w14:paraId="5FFCDEFB"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(545)</w:t>
            </w:r>
          </w:p>
        </w:tc>
        <w:tc>
          <w:tcPr>
            <w:tcW w:w="794" w:type="dxa"/>
            <w:tcBorders>
              <w:bottom w:val="single" w:sz="6" w:space="0" w:color="auto"/>
            </w:tcBorders>
          </w:tcPr>
          <w:p w14:paraId="030320B3"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(680)</w:t>
            </w:r>
          </w:p>
        </w:tc>
        <w:tc>
          <w:tcPr>
            <w:tcW w:w="794" w:type="dxa"/>
            <w:tcBorders>
              <w:bottom w:val="single" w:sz="6" w:space="0" w:color="auto"/>
            </w:tcBorders>
          </w:tcPr>
          <w:p w14:paraId="2A0A1A84"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(507)</w:t>
            </w:r>
          </w:p>
        </w:tc>
        <w:tc>
          <w:tcPr>
            <w:tcW w:w="794" w:type="dxa"/>
            <w:tcBorders>
              <w:bottom w:val="single" w:sz="6" w:space="0" w:color="auto"/>
            </w:tcBorders>
          </w:tcPr>
          <w:p w14:paraId="60A8093A"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(476)</w:t>
            </w:r>
          </w:p>
        </w:tc>
        <w:tc>
          <w:tcPr>
            <w:tcW w:w="794" w:type="dxa"/>
            <w:tcBorders>
              <w:bottom w:val="single" w:sz="6" w:space="0" w:color="auto"/>
            </w:tcBorders>
          </w:tcPr>
          <w:p w14:paraId="2976EDA8"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(512)</w:t>
            </w:r>
          </w:p>
        </w:tc>
      </w:tr>
      <w:tr w:rsidR="009C6724" w14:paraId="08417BB3" w14:textId="77777777" w:rsidTr="009C6724">
        <w:tc>
          <w:tcPr>
            <w:cnfStyle w:val="001000000000" w:firstRow="0" w:lastRow="0" w:firstColumn="1" w:lastColumn="0" w:oddVBand="0" w:evenVBand="0" w:oddHBand="0" w:evenHBand="0" w:firstRowFirstColumn="0" w:firstRowLastColumn="0" w:lastRowFirstColumn="0" w:lastRowLastColumn="0"/>
            <w:tcW w:w="3836" w:type="dxa"/>
            <w:tcBorders>
              <w:top w:val="single" w:sz="6" w:space="0" w:color="auto"/>
              <w:bottom w:val="single" w:sz="6" w:space="0" w:color="auto"/>
            </w:tcBorders>
          </w:tcPr>
          <w:p w14:paraId="4AA60668" w14:textId="77777777" w:rsidR="00AB205D" w:rsidRDefault="00471A3B">
            <w:pPr>
              <w:spacing w:before="0" w:after="0"/>
            </w:pPr>
            <w:r>
              <w:rPr>
                <w:b/>
              </w:rPr>
              <w:t>Total other economic flows included in net result</w:t>
            </w:r>
          </w:p>
        </w:tc>
        <w:tc>
          <w:tcPr>
            <w:tcW w:w="698" w:type="dxa"/>
            <w:tcBorders>
              <w:top w:val="single" w:sz="6" w:space="0" w:color="auto"/>
              <w:bottom w:val="single" w:sz="6" w:space="0" w:color="auto"/>
            </w:tcBorders>
          </w:tcPr>
          <w:p w14:paraId="5E50B3A6"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rPr>
                <w:b/>
              </w:rPr>
              <w:t>(393)</w:t>
            </w:r>
          </w:p>
        </w:tc>
        <w:tc>
          <w:tcPr>
            <w:tcW w:w="794" w:type="dxa"/>
            <w:tcBorders>
              <w:top w:val="single" w:sz="6" w:space="0" w:color="auto"/>
              <w:bottom w:val="single" w:sz="6" w:space="0" w:color="auto"/>
            </w:tcBorders>
          </w:tcPr>
          <w:p w14:paraId="5908C869"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rPr>
                <w:b/>
              </w:rPr>
              <w:t>(585)</w:t>
            </w:r>
          </w:p>
        </w:tc>
        <w:tc>
          <w:tcPr>
            <w:tcW w:w="794" w:type="dxa"/>
            <w:tcBorders>
              <w:top w:val="single" w:sz="6" w:space="0" w:color="auto"/>
              <w:bottom w:val="single" w:sz="6" w:space="0" w:color="auto"/>
            </w:tcBorders>
          </w:tcPr>
          <w:p w14:paraId="40FD4D92"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rPr>
                <w:b/>
              </w:rPr>
              <w:t>(337)</w:t>
            </w:r>
          </w:p>
        </w:tc>
        <w:tc>
          <w:tcPr>
            <w:tcW w:w="794" w:type="dxa"/>
            <w:tcBorders>
              <w:top w:val="single" w:sz="6" w:space="0" w:color="auto"/>
              <w:bottom w:val="single" w:sz="6" w:space="0" w:color="auto"/>
            </w:tcBorders>
          </w:tcPr>
          <w:p w14:paraId="5095A351"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rPr>
                <w:b/>
              </w:rPr>
              <w:t>18</w:t>
            </w:r>
          </w:p>
        </w:tc>
        <w:tc>
          <w:tcPr>
            <w:tcW w:w="794" w:type="dxa"/>
            <w:tcBorders>
              <w:top w:val="single" w:sz="6" w:space="0" w:color="auto"/>
              <w:bottom w:val="single" w:sz="6" w:space="0" w:color="auto"/>
            </w:tcBorders>
          </w:tcPr>
          <w:p w14:paraId="17A74CFE"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rPr>
                <w:b/>
              </w:rPr>
              <w:t>(288)</w:t>
            </w:r>
          </w:p>
        </w:tc>
      </w:tr>
      <w:tr w:rsidR="009C6724" w14:paraId="34FC8CAD" w14:textId="77777777" w:rsidTr="009C6724">
        <w:tc>
          <w:tcPr>
            <w:cnfStyle w:val="001000000000" w:firstRow="0" w:lastRow="0" w:firstColumn="1" w:lastColumn="0" w:oddVBand="0" w:evenVBand="0" w:oddHBand="0" w:evenHBand="0" w:firstRowFirstColumn="0" w:firstRowLastColumn="0" w:lastRowFirstColumn="0" w:lastRowLastColumn="0"/>
            <w:tcW w:w="3836" w:type="dxa"/>
            <w:tcBorders>
              <w:top w:val="single" w:sz="6" w:space="0" w:color="auto"/>
              <w:bottom w:val="single" w:sz="12" w:space="0" w:color="auto"/>
            </w:tcBorders>
          </w:tcPr>
          <w:p w14:paraId="53334A2F" w14:textId="77777777" w:rsidR="00AB205D" w:rsidRDefault="00471A3B">
            <w:pPr>
              <w:spacing w:before="0" w:after="0"/>
            </w:pPr>
            <w:r>
              <w:rPr>
                <w:b/>
              </w:rPr>
              <w:t>Net result</w:t>
            </w:r>
          </w:p>
        </w:tc>
        <w:tc>
          <w:tcPr>
            <w:tcW w:w="698" w:type="dxa"/>
            <w:tcBorders>
              <w:top w:val="single" w:sz="6" w:space="0" w:color="auto"/>
              <w:bottom w:val="single" w:sz="12" w:space="0" w:color="auto"/>
            </w:tcBorders>
          </w:tcPr>
          <w:p w14:paraId="71B1C3D7"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rPr>
                <w:b/>
              </w:rPr>
              <w:t>(5 859)</w:t>
            </w:r>
          </w:p>
        </w:tc>
        <w:tc>
          <w:tcPr>
            <w:tcW w:w="794" w:type="dxa"/>
            <w:tcBorders>
              <w:top w:val="single" w:sz="6" w:space="0" w:color="auto"/>
              <w:bottom w:val="single" w:sz="12" w:space="0" w:color="auto"/>
            </w:tcBorders>
          </w:tcPr>
          <w:p w14:paraId="4BB2F5FB"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rPr>
                <w:b/>
              </w:rPr>
              <w:t>(5 843)</w:t>
            </w:r>
          </w:p>
        </w:tc>
        <w:tc>
          <w:tcPr>
            <w:tcW w:w="794" w:type="dxa"/>
            <w:tcBorders>
              <w:top w:val="single" w:sz="6" w:space="0" w:color="auto"/>
              <w:bottom w:val="single" w:sz="12" w:space="0" w:color="auto"/>
            </w:tcBorders>
          </w:tcPr>
          <w:p w14:paraId="2B938729"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rPr>
                <w:b/>
              </w:rPr>
              <w:t>(2 812)</w:t>
            </w:r>
          </w:p>
        </w:tc>
        <w:tc>
          <w:tcPr>
            <w:tcW w:w="794" w:type="dxa"/>
            <w:tcBorders>
              <w:top w:val="single" w:sz="6" w:space="0" w:color="auto"/>
              <w:bottom w:val="single" w:sz="12" w:space="0" w:color="auto"/>
            </w:tcBorders>
          </w:tcPr>
          <w:p w14:paraId="55B4F5BA"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rPr>
                <w:b/>
              </w:rPr>
              <w:t>(371)</w:t>
            </w:r>
          </w:p>
        </w:tc>
        <w:tc>
          <w:tcPr>
            <w:tcW w:w="794" w:type="dxa"/>
            <w:tcBorders>
              <w:top w:val="single" w:sz="6" w:space="0" w:color="auto"/>
              <w:bottom w:val="single" w:sz="12" w:space="0" w:color="auto"/>
            </w:tcBorders>
          </w:tcPr>
          <w:p w14:paraId="1A43C580"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rPr>
                <w:b/>
              </w:rPr>
              <w:t>(764)</w:t>
            </w:r>
          </w:p>
        </w:tc>
      </w:tr>
      <w:tr w:rsidR="009C6724" w14:paraId="354959B5" w14:textId="77777777" w:rsidTr="009C6724">
        <w:tc>
          <w:tcPr>
            <w:cnfStyle w:val="001000000000" w:firstRow="0" w:lastRow="0" w:firstColumn="1" w:lastColumn="0" w:oddVBand="0" w:evenVBand="0" w:oddHBand="0" w:evenHBand="0" w:firstRowFirstColumn="0" w:firstRowLastColumn="0" w:lastRowFirstColumn="0" w:lastRowLastColumn="0"/>
            <w:tcW w:w="3836" w:type="dxa"/>
            <w:tcBorders>
              <w:top w:val="single" w:sz="6" w:space="0" w:color="auto"/>
            </w:tcBorders>
          </w:tcPr>
          <w:p w14:paraId="57ADA622" w14:textId="7DD69B61" w:rsidR="00AB205D" w:rsidRDefault="00471A3B">
            <w:pPr>
              <w:spacing w:before="0" w:after="0"/>
            </w:pPr>
            <w:r>
              <w:rPr>
                <w:b/>
              </w:rPr>
              <w:t xml:space="preserve">Other economic flows – </w:t>
            </w:r>
            <w:r w:rsidR="00174DB6">
              <w:rPr>
                <w:b/>
              </w:rPr>
              <w:br/>
              <w:t xml:space="preserve">Other </w:t>
            </w:r>
            <w:r>
              <w:rPr>
                <w:b/>
              </w:rPr>
              <w:t>comprehensive income</w:t>
            </w:r>
          </w:p>
        </w:tc>
        <w:tc>
          <w:tcPr>
            <w:tcW w:w="698" w:type="dxa"/>
            <w:tcBorders>
              <w:top w:val="single" w:sz="6" w:space="0" w:color="auto"/>
            </w:tcBorders>
          </w:tcPr>
          <w:p w14:paraId="3BCB45A9" w14:textId="77777777" w:rsidR="00AB205D" w:rsidRDefault="00AB205D">
            <w:pPr>
              <w:spacing w:before="0" w:after="0"/>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003C4009" w14:textId="77777777" w:rsidR="00AB205D" w:rsidRDefault="00AB205D">
            <w:pPr>
              <w:spacing w:before="0" w:after="0"/>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2271525E" w14:textId="77777777" w:rsidR="00AB205D" w:rsidRDefault="00AB205D">
            <w:pPr>
              <w:spacing w:before="0" w:after="0"/>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071A35C" w14:textId="77777777" w:rsidR="00AB205D" w:rsidRDefault="00AB205D">
            <w:pPr>
              <w:spacing w:before="0" w:after="0"/>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5294E606" w14:textId="77777777" w:rsidR="00AB205D" w:rsidRDefault="00AB205D">
            <w:pPr>
              <w:spacing w:before="0" w:after="0"/>
              <w:cnfStyle w:val="000000000000" w:firstRow="0" w:lastRow="0" w:firstColumn="0" w:lastColumn="0" w:oddVBand="0" w:evenVBand="0" w:oddHBand="0" w:evenHBand="0" w:firstRowFirstColumn="0" w:firstRowLastColumn="0" w:lastRowFirstColumn="0" w:lastRowLastColumn="0"/>
            </w:pPr>
          </w:p>
        </w:tc>
      </w:tr>
      <w:tr w:rsidR="009C6724" w14:paraId="65147EE5" w14:textId="77777777" w:rsidTr="009C6724">
        <w:tc>
          <w:tcPr>
            <w:cnfStyle w:val="001000000000" w:firstRow="0" w:lastRow="0" w:firstColumn="1" w:lastColumn="0" w:oddVBand="0" w:evenVBand="0" w:oddHBand="0" w:evenHBand="0" w:firstRowFirstColumn="0" w:firstRowLastColumn="0" w:lastRowFirstColumn="0" w:lastRowLastColumn="0"/>
            <w:tcW w:w="3836" w:type="dxa"/>
          </w:tcPr>
          <w:p w14:paraId="5A035350" w14:textId="77777777" w:rsidR="00AB205D" w:rsidRDefault="00471A3B">
            <w:pPr>
              <w:spacing w:before="0" w:after="0"/>
            </w:pPr>
            <w:r>
              <w:rPr>
                <w:b/>
              </w:rPr>
              <w:t>Items that will not be reclassified to net result</w:t>
            </w:r>
          </w:p>
        </w:tc>
        <w:tc>
          <w:tcPr>
            <w:tcW w:w="698" w:type="dxa"/>
          </w:tcPr>
          <w:p w14:paraId="4CA006BE" w14:textId="77777777" w:rsidR="00AB205D" w:rsidRDefault="00AB205D">
            <w:pPr>
              <w:spacing w:before="0" w:after="0"/>
              <w:cnfStyle w:val="000000000000" w:firstRow="0" w:lastRow="0" w:firstColumn="0" w:lastColumn="0" w:oddVBand="0" w:evenVBand="0" w:oddHBand="0" w:evenHBand="0" w:firstRowFirstColumn="0" w:firstRowLastColumn="0" w:lastRowFirstColumn="0" w:lastRowLastColumn="0"/>
            </w:pPr>
          </w:p>
        </w:tc>
        <w:tc>
          <w:tcPr>
            <w:tcW w:w="794" w:type="dxa"/>
          </w:tcPr>
          <w:p w14:paraId="322F8955" w14:textId="77777777" w:rsidR="00AB205D" w:rsidRDefault="00AB205D">
            <w:pPr>
              <w:spacing w:before="0" w:after="0"/>
              <w:cnfStyle w:val="000000000000" w:firstRow="0" w:lastRow="0" w:firstColumn="0" w:lastColumn="0" w:oddVBand="0" w:evenVBand="0" w:oddHBand="0" w:evenHBand="0" w:firstRowFirstColumn="0" w:firstRowLastColumn="0" w:lastRowFirstColumn="0" w:lastRowLastColumn="0"/>
            </w:pPr>
          </w:p>
        </w:tc>
        <w:tc>
          <w:tcPr>
            <w:tcW w:w="794" w:type="dxa"/>
          </w:tcPr>
          <w:p w14:paraId="64B44157" w14:textId="77777777" w:rsidR="00AB205D" w:rsidRDefault="00AB205D">
            <w:pPr>
              <w:spacing w:before="0" w:after="0"/>
              <w:cnfStyle w:val="000000000000" w:firstRow="0" w:lastRow="0" w:firstColumn="0" w:lastColumn="0" w:oddVBand="0" w:evenVBand="0" w:oddHBand="0" w:evenHBand="0" w:firstRowFirstColumn="0" w:firstRowLastColumn="0" w:lastRowFirstColumn="0" w:lastRowLastColumn="0"/>
            </w:pPr>
          </w:p>
        </w:tc>
        <w:tc>
          <w:tcPr>
            <w:tcW w:w="794" w:type="dxa"/>
          </w:tcPr>
          <w:p w14:paraId="723BA109" w14:textId="77777777" w:rsidR="00AB205D" w:rsidRDefault="00AB205D">
            <w:pPr>
              <w:spacing w:before="0" w:after="0"/>
              <w:cnfStyle w:val="000000000000" w:firstRow="0" w:lastRow="0" w:firstColumn="0" w:lastColumn="0" w:oddVBand="0" w:evenVBand="0" w:oddHBand="0" w:evenHBand="0" w:firstRowFirstColumn="0" w:firstRowLastColumn="0" w:lastRowFirstColumn="0" w:lastRowLastColumn="0"/>
            </w:pPr>
          </w:p>
        </w:tc>
        <w:tc>
          <w:tcPr>
            <w:tcW w:w="794" w:type="dxa"/>
          </w:tcPr>
          <w:p w14:paraId="749DCED4" w14:textId="77777777" w:rsidR="00AB205D" w:rsidRDefault="00AB205D">
            <w:pPr>
              <w:spacing w:before="0" w:after="0"/>
              <w:cnfStyle w:val="000000000000" w:firstRow="0" w:lastRow="0" w:firstColumn="0" w:lastColumn="0" w:oddVBand="0" w:evenVBand="0" w:oddHBand="0" w:evenHBand="0" w:firstRowFirstColumn="0" w:firstRowLastColumn="0" w:lastRowFirstColumn="0" w:lastRowLastColumn="0"/>
            </w:pPr>
          </w:p>
        </w:tc>
      </w:tr>
      <w:tr w:rsidR="009C6724" w14:paraId="3DC8AC3E" w14:textId="77777777" w:rsidTr="009C6724">
        <w:tc>
          <w:tcPr>
            <w:cnfStyle w:val="001000000000" w:firstRow="0" w:lastRow="0" w:firstColumn="1" w:lastColumn="0" w:oddVBand="0" w:evenVBand="0" w:oddHBand="0" w:evenHBand="0" w:firstRowFirstColumn="0" w:firstRowLastColumn="0" w:lastRowFirstColumn="0" w:lastRowLastColumn="0"/>
            <w:tcW w:w="3836" w:type="dxa"/>
          </w:tcPr>
          <w:p w14:paraId="5E54F5F9" w14:textId="77777777" w:rsidR="00AB205D" w:rsidRDefault="00471A3B">
            <w:pPr>
              <w:spacing w:before="0" w:after="0"/>
            </w:pPr>
            <w:r>
              <w:t>Changes in non</w:t>
            </w:r>
            <w:r>
              <w:noBreakHyphen/>
              <w:t>financial assets revaluation surplus</w:t>
            </w:r>
          </w:p>
        </w:tc>
        <w:tc>
          <w:tcPr>
            <w:tcW w:w="698" w:type="dxa"/>
          </w:tcPr>
          <w:p w14:paraId="7C6D490A"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1 041</w:t>
            </w:r>
          </w:p>
        </w:tc>
        <w:tc>
          <w:tcPr>
            <w:tcW w:w="794" w:type="dxa"/>
          </w:tcPr>
          <w:p w14:paraId="079800F1"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549</w:t>
            </w:r>
          </w:p>
        </w:tc>
        <w:tc>
          <w:tcPr>
            <w:tcW w:w="794" w:type="dxa"/>
          </w:tcPr>
          <w:p w14:paraId="6D68DE36"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15 035</w:t>
            </w:r>
          </w:p>
        </w:tc>
        <w:tc>
          <w:tcPr>
            <w:tcW w:w="794" w:type="dxa"/>
          </w:tcPr>
          <w:p w14:paraId="6B21B473"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4 024</w:t>
            </w:r>
          </w:p>
        </w:tc>
        <w:tc>
          <w:tcPr>
            <w:tcW w:w="794" w:type="dxa"/>
          </w:tcPr>
          <w:p w14:paraId="0714A348"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9 706</w:t>
            </w:r>
          </w:p>
        </w:tc>
      </w:tr>
      <w:tr w:rsidR="009C6724" w14:paraId="474960CF" w14:textId="77777777" w:rsidTr="009C6724">
        <w:tc>
          <w:tcPr>
            <w:cnfStyle w:val="001000000000" w:firstRow="0" w:lastRow="0" w:firstColumn="1" w:lastColumn="0" w:oddVBand="0" w:evenVBand="0" w:oddHBand="0" w:evenHBand="0" w:firstRowFirstColumn="0" w:firstRowLastColumn="0" w:lastRowFirstColumn="0" w:lastRowLastColumn="0"/>
            <w:tcW w:w="3836" w:type="dxa"/>
          </w:tcPr>
          <w:p w14:paraId="56848B02" w14:textId="77777777" w:rsidR="00AB205D" w:rsidRDefault="00471A3B">
            <w:pPr>
              <w:spacing w:before="0" w:after="0"/>
            </w:pPr>
            <w:r>
              <w:t>Remeasurement of superannuation defined benefit plans</w:t>
            </w:r>
          </w:p>
        </w:tc>
        <w:tc>
          <w:tcPr>
            <w:tcW w:w="698" w:type="dxa"/>
          </w:tcPr>
          <w:p w14:paraId="35D5A651"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852</w:t>
            </w:r>
          </w:p>
        </w:tc>
        <w:tc>
          <w:tcPr>
            <w:tcW w:w="794" w:type="dxa"/>
          </w:tcPr>
          <w:p w14:paraId="605A3C0D"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2 541</w:t>
            </w:r>
          </w:p>
        </w:tc>
        <w:tc>
          <w:tcPr>
            <w:tcW w:w="794" w:type="dxa"/>
          </w:tcPr>
          <w:p w14:paraId="00BEBBA2"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567</w:t>
            </w:r>
          </w:p>
        </w:tc>
        <w:tc>
          <w:tcPr>
            <w:tcW w:w="794" w:type="dxa"/>
          </w:tcPr>
          <w:p w14:paraId="3030E176"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549</w:t>
            </w:r>
          </w:p>
        </w:tc>
        <w:tc>
          <w:tcPr>
            <w:tcW w:w="794" w:type="dxa"/>
          </w:tcPr>
          <w:p w14:paraId="5E463AC4"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528</w:t>
            </w:r>
          </w:p>
        </w:tc>
      </w:tr>
      <w:tr w:rsidR="009C6724" w14:paraId="495B2B65" w14:textId="77777777" w:rsidTr="009C6724">
        <w:tc>
          <w:tcPr>
            <w:cnfStyle w:val="001000000000" w:firstRow="0" w:lastRow="0" w:firstColumn="1" w:lastColumn="0" w:oddVBand="0" w:evenVBand="0" w:oddHBand="0" w:evenHBand="0" w:firstRowFirstColumn="0" w:firstRowLastColumn="0" w:lastRowFirstColumn="0" w:lastRowLastColumn="0"/>
            <w:tcW w:w="3836" w:type="dxa"/>
          </w:tcPr>
          <w:p w14:paraId="6513C10F" w14:textId="77777777" w:rsidR="00AB205D" w:rsidRDefault="00471A3B">
            <w:pPr>
              <w:spacing w:before="0" w:after="0"/>
            </w:pPr>
            <w:r>
              <w:t>Other movements in equity</w:t>
            </w:r>
          </w:p>
        </w:tc>
        <w:tc>
          <w:tcPr>
            <w:tcW w:w="698" w:type="dxa"/>
          </w:tcPr>
          <w:p w14:paraId="41E250D0"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8</w:t>
            </w:r>
          </w:p>
        </w:tc>
        <w:tc>
          <w:tcPr>
            <w:tcW w:w="794" w:type="dxa"/>
          </w:tcPr>
          <w:p w14:paraId="224318C7"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123</w:t>
            </w:r>
          </w:p>
        </w:tc>
        <w:tc>
          <w:tcPr>
            <w:tcW w:w="794" w:type="dxa"/>
          </w:tcPr>
          <w:p w14:paraId="031A3C46"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3</w:t>
            </w:r>
          </w:p>
        </w:tc>
        <w:tc>
          <w:tcPr>
            <w:tcW w:w="794" w:type="dxa"/>
          </w:tcPr>
          <w:p w14:paraId="208702D4"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(7)</w:t>
            </w:r>
          </w:p>
        </w:tc>
        <w:tc>
          <w:tcPr>
            <w:tcW w:w="794" w:type="dxa"/>
          </w:tcPr>
          <w:p w14:paraId="768437BC"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(2)</w:t>
            </w:r>
          </w:p>
        </w:tc>
      </w:tr>
      <w:tr w:rsidR="009C6724" w14:paraId="79DECB0F" w14:textId="77777777" w:rsidTr="009C6724">
        <w:tc>
          <w:tcPr>
            <w:cnfStyle w:val="001000000000" w:firstRow="0" w:lastRow="0" w:firstColumn="1" w:lastColumn="0" w:oddVBand="0" w:evenVBand="0" w:oddHBand="0" w:evenHBand="0" w:firstRowFirstColumn="0" w:firstRowLastColumn="0" w:lastRowFirstColumn="0" w:lastRowLastColumn="0"/>
            <w:tcW w:w="3836" w:type="dxa"/>
          </w:tcPr>
          <w:p w14:paraId="499CA486" w14:textId="77777777" w:rsidR="00AB205D" w:rsidRDefault="00471A3B">
            <w:pPr>
              <w:spacing w:before="0" w:after="0"/>
            </w:pPr>
            <w:r>
              <w:rPr>
                <w:b/>
              </w:rPr>
              <w:t>Items that may be reclassified subsequently to net result</w:t>
            </w:r>
          </w:p>
        </w:tc>
        <w:tc>
          <w:tcPr>
            <w:tcW w:w="698" w:type="dxa"/>
          </w:tcPr>
          <w:p w14:paraId="19607290" w14:textId="77777777" w:rsidR="00AB205D" w:rsidRDefault="00AB205D">
            <w:pPr>
              <w:spacing w:before="0" w:after="0"/>
              <w:cnfStyle w:val="000000000000" w:firstRow="0" w:lastRow="0" w:firstColumn="0" w:lastColumn="0" w:oddVBand="0" w:evenVBand="0" w:oddHBand="0" w:evenHBand="0" w:firstRowFirstColumn="0" w:firstRowLastColumn="0" w:lastRowFirstColumn="0" w:lastRowLastColumn="0"/>
            </w:pPr>
          </w:p>
        </w:tc>
        <w:tc>
          <w:tcPr>
            <w:tcW w:w="794" w:type="dxa"/>
          </w:tcPr>
          <w:p w14:paraId="2417B589" w14:textId="77777777" w:rsidR="00AB205D" w:rsidRDefault="00AB205D">
            <w:pPr>
              <w:spacing w:before="0" w:after="0"/>
              <w:cnfStyle w:val="000000000000" w:firstRow="0" w:lastRow="0" w:firstColumn="0" w:lastColumn="0" w:oddVBand="0" w:evenVBand="0" w:oddHBand="0" w:evenHBand="0" w:firstRowFirstColumn="0" w:firstRowLastColumn="0" w:lastRowFirstColumn="0" w:lastRowLastColumn="0"/>
            </w:pPr>
          </w:p>
        </w:tc>
        <w:tc>
          <w:tcPr>
            <w:tcW w:w="794" w:type="dxa"/>
          </w:tcPr>
          <w:p w14:paraId="3C9C1D97" w14:textId="77777777" w:rsidR="00AB205D" w:rsidRDefault="00AB205D">
            <w:pPr>
              <w:spacing w:before="0" w:after="0"/>
              <w:cnfStyle w:val="000000000000" w:firstRow="0" w:lastRow="0" w:firstColumn="0" w:lastColumn="0" w:oddVBand="0" w:evenVBand="0" w:oddHBand="0" w:evenHBand="0" w:firstRowFirstColumn="0" w:firstRowLastColumn="0" w:lastRowFirstColumn="0" w:lastRowLastColumn="0"/>
            </w:pPr>
          </w:p>
        </w:tc>
        <w:tc>
          <w:tcPr>
            <w:tcW w:w="794" w:type="dxa"/>
          </w:tcPr>
          <w:p w14:paraId="4C27F502" w14:textId="77777777" w:rsidR="00AB205D" w:rsidRDefault="00AB205D">
            <w:pPr>
              <w:spacing w:before="0" w:after="0"/>
              <w:cnfStyle w:val="000000000000" w:firstRow="0" w:lastRow="0" w:firstColumn="0" w:lastColumn="0" w:oddVBand="0" w:evenVBand="0" w:oddHBand="0" w:evenHBand="0" w:firstRowFirstColumn="0" w:firstRowLastColumn="0" w:lastRowFirstColumn="0" w:lastRowLastColumn="0"/>
            </w:pPr>
          </w:p>
        </w:tc>
        <w:tc>
          <w:tcPr>
            <w:tcW w:w="794" w:type="dxa"/>
          </w:tcPr>
          <w:p w14:paraId="33EF2EAF" w14:textId="77777777" w:rsidR="00AB205D" w:rsidRDefault="00AB205D">
            <w:pPr>
              <w:spacing w:before="0" w:after="0"/>
              <w:cnfStyle w:val="000000000000" w:firstRow="0" w:lastRow="0" w:firstColumn="0" w:lastColumn="0" w:oddVBand="0" w:evenVBand="0" w:oddHBand="0" w:evenHBand="0" w:firstRowFirstColumn="0" w:firstRowLastColumn="0" w:lastRowFirstColumn="0" w:lastRowLastColumn="0"/>
            </w:pPr>
          </w:p>
        </w:tc>
      </w:tr>
      <w:tr w:rsidR="009C6724" w14:paraId="42581CC7" w14:textId="77777777" w:rsidTr="009C6724">
        <w:tc>
          <w:tcPr>
            <w:cnfStyle w:val="001000000000" w:firstRow="0" w:lastRow="0" w:firstColumn="1" w:lastColumn="0" w:oddVBand="0" w:evenVBand="0" w:oddHBand="0" w:evenHBand="0" w:firstRowFirstColumn="0" w:firstRowLastColumn="0" w:lastRowFirstColumn="0" w:lastRowLastColumn="0"/>
            <w:tcW w:w="3836" w:type="dxa"/>
          </w:tcPr>
          <w:p w14:paraId="7320F655" w14:textId="77777777" w:rsidR="00AB205D" w:rsidRDefault="00471A3B">
            <w:pPr>
              <w:spacing w:before="0" w:after="0"/>
            </w:pPr>
            <w:r>
              <w:t>Net gain/(loss) on financial assets at fair value</w:t>
            </w:r>
          </w:p>
        </w:tc>
        <w:tc>
          <w:tcPr>
            <w:tcW w:w="698" w:type="dxa"/>
          </w:tcPr>
          <w:p w14:paraId="52970CB2"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(2)</w:t>
            </w:r>
          </w:p>
        </w:tc>
        <w:tc>
          <w:tcPr>
            <w:tcW w:w="794" w:type="dxa"/>
          </w:tcPr>
          <w:p w14:paraId="07CEDF36"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17</w:t>
            </w:r>
          </w:p>
        </w:tc>
        <w:tc>
          <w:tcPr>
            <w:tcW w:w="794" w:type="dxa"/>
          </w:tcPr>
          <w:p w14:paraId="2655C63A"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13</w:t>
            </w:r>
          </w:p>
        </w:tc>
        <w:tc>
          <w:tcPr>
            <w:tcW w:w="794" w:type="dxa"/>
          </w:tcPr>
          <w:p w14:paraId="43A26DF8"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18</w:t>
            </w:r>
          </w:p>
        </w:tc>
        <w:tc>
          <w:tcPr>
            <w:tcW w:w="794" w:type="dxa"/>
          </w:tcPr>
          <w:p w14:paraId="4961A733"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18</w:t>
            </w:r>
          </w:p>
        </w:tc>
      </w:tr>
      <w:tr w:rsidR="009C6724" w14:paraId="7AA61909" w14:textId="77777777" w:rsidTr="009C6724">
        <w:tc>
          <w:tcPr>
            <w:cnfStyle w:val="001000000000" w:firstRow="0" w:lastRow="0" w:firstColumn="1" w:lastColumn="0" w:oddVBand="0" w:evenVBand="0" w:oddHBand="0" w:evenHBand="0" w:firstRowFirstColumn="0" w:firstRowLastColumn="0" w:lastRowFirstColumn="0" w:lastRowLastColumn="0"/>
            <w:tcW w:w="3836" w:type="dxa"/>
            <w:tcBorders>
              <w:bottom w:val="single" w:sz="6" w:space="0" w:color="auto"/>
            </w:tcBorders>
          </w:tcPr>
          <w:p w14:paraId="4954E28C" w14:textId="77777777" w:rsidR="00AB205D" w:rsidRDefault="00471A3B">
            <w:pPr>
              <w:spacing w:before="0" w:after="0"/>
            </w:pPr>
            <w:r>
              <w:t>Net gain/(loss) on equity investments in other sector entities at proportional share of the carrying amount of net assets</w:t>
            </w:r>
          </w:p>
        </w:tc>
        <w:tc>
          <w:tcPr>
            <w:tcW w:w="698" w:type="dxa"/>
            <w:tcBorders>
              <w:bottom w:val="single" w:sz="6" w:space="0" w:color="auto"/>
            </w:tcBorders>
          </w:tcPr>
          <w:p w14:paraId="5883F00C"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(694)</w:t>
            </w:r>
          </w:p>
        </w:tc>
        <w:tc>
          <w:tcPr>
            <w:tcW w:w="794" w:type="dxa"/>
            <w:tcBorders>
              <w:bottom w:val="single" w:sz="6" w:space="0" w:color="auto"/>
            </w:tcBorders>
          </w:tcPr>
          <w:p w14:paraId="589CD85F"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652</w:t>
            </w:r>
          </w:p>
        </w:tc>
        <w:tc>
          <w:tcPr>
            <w:tcW w:w="794" w:type="dxa"/>
            <w:tcBorders>
              <w:bottom w:val="single" w:sz="6" w:space="0" w:color="auto"/>
            </w:tcBorders>
          </w:tcPr>
          <w:p w14:paraId="14259074"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(412)</w:t>
            </w:r>
          </w:p>
        </w:tc>
        <w:tc>
          <w:tcPr>
            <w:tcW w:w="794" w:type="dxa"/>
            <w:tcBorders>
              <w:bottom w:val="single" w:sz="6" w:space="0" w:color="auto"/>
            </w:tcBorders>
          </w:tcPr>
          <w:p w14:paraId="002360C0"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9</w:t>
            </w:r>
          </w:p>
        </w:tc>
        <w:tc>
          <w:tcPr>
            <w:tcW w:w="794" w:type="dxa"/>
            <w:tcBorders>
              <w:bottom w:val="single" w:sz="6" w:space="0" w:color="auto"/>
            </w:tcBorders>
          </w:tcPr>
          <w:p w14:paraId="68435879"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138</w:t>
            </w:r>
          </w:p>
        </w:tc>
      </w:tr>
      <w:tr w:rsidR="009C6724" w14:paraId="7174A25F" w14:textId="77777777" w:rsidTr="009C6724">
        <w:tc>
          <w:tcPr>
            <w:cnfStyle w:val="001000000000" w:firstRow="0" w:lastRow="0" w:firstColumn="1" w:lastColumn="0" w:oddVBand="0" w:evenVBand="0" w:oddHBand="0" w:evenHBand="0" w:firstRowFirstColumn="0" w:firstRowLastColumn="0" w:lastRowFirstColumn="0" w:lastRowLastColumn="0"/>
            <w:tcW w:w="3836" w:type="dxa"/>
            <w:tcBorders>
              <w:top w:val="single" w:sz="6" w:space="0" w:color="auto"/>
              <w:bottom w:val="single" w:sz="6" w:space="0" w:color="auto"/>
            </w:tcBorders>
          </w:tcPr>
          <w:p w14:paraId="511B58E4" w14:textId="2D13CE8D" w:rsidR="00AB205D" w:rsidRDefault="00471A3B">
            <w:pPr>
              <w:spacing w:before="0" w:after="0"/>
            </w:pPr>
            <w:r>
              <w:rPr>
                <w:b/>
              </w:rPr>
              <w:t xml:space="preserve">Total other economic flows – </w:t>
            </w:r>
            <w:r w:rsidR="00174DB6">
              <w:rPr>
                <w:b/>
              </w:rPr>
              <w:br/>
              <w:t xml:space="preserve">Other </w:t>
            </w:r>
            <w:r>
              <w:rPr>
                <w:b/>
              </w:rPr>
              <w:t>comprehensive income</w:t>
            </w:r>
          </w:p>
        </w:tc>
        <w:tc>
          <w:tcPr>
            <w:tcW w:w="698" w:type="dxa"/>
            <w:tcBorders>
              <w:top w:val="single" w:sz="6" w:space="0" w:color="auto"/>
              <w:bottom w:val="single" w:sz="6" w:space="0" w:color="auto"/>
            </w:tcBorders>
          </w:tcPr>
          <w:p w14:paraId="212E0EF4"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rPr>
                <w:b/>
              </w:rPr>
              <w:t>1 206</w:t>
            </w:r>
          </w:p>
        </w:tc>
        <w:tc>
          <w:tcPr>
            <w:tcW w:w="794" w:type="dxa"/>
            <w:tcBorders>
              <w:top w:val="single" w:sz="6" w:space="0" w:color="auto"/>
              <w:bottom w:val="single" w:sz="6" w:space="0" w:color="auto"/>
            </w:tcBorders>
          </w:tcPr>
          <w:p w14:paraId="7F005E3C"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rPr>
                <w:b/>
              </w:rPr>
              <w:t>3 882</w:t>
            </w:r>
          </w:p>
        </w:tc>
        <w:tc>
          <w:tcPr>
            <w:tcW w:w="794" w:type="dxa"/>
            <w:tcBorders>
              <w:top w:val="single" w:sz="6" w:space="0" w:color="auto"/>
              <w:bottom w:val="single" w:sz="6" w:space="0" w:color="auto"/>
            </w:tcBorders>
          </w:tcPr>
          <w:p w14:paraId="4C2C1B75"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rPr>
                <w:b/>
              </w:rPr>
              <w:t>15 206</w:t>
            </w:r>
          </w:p>
        </w:tc>
        <w:tc>
          <w:tcPr>
            <w:tcW w:w="794" w:type="dxa"/>
            <w:tcBorders>
              <w:top w:val="single" w:sz="6" w:space="0" w:color="auto"/>
              <w:bottom w:val="single" w:sz="6" w:space="0" w:color="auto"/>
            </w:tcBorders>
          </w:tcPr>
          <w:p w14:paraId="5326347D"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rPr>
                <w:b/>
              </w:rPr>
              <w:t>4 592</w:t>
            </w:r>
          </w:p>
        </w:tc>
        <w:tc>
          <w:tcPr>
            <w:tcW w:w="794" w:type="dxa"/>
            <w:tcBorders>
              <w:top w:val="single" w:sz="6" w:space="0" w:color="auto"/>
              <w:bottom w:val="single" w:sz="6" w:space="0" w:color="auto"/>
            </w:tcBorders>
          </w:tcPr>
          <w:p w14:paraId="7BB88935"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rPr>
                <w:b/>
              </w:rPr>
              <w:t>10 387</w:t>
            </w:r>
          </w:p>
        </w:tc>
      </w:tr>
      <w:tr w:rsidR="009C6724" w14:paraId="53633BAC" w14:textId="77777777" w:rsidTr="009C6724">
        <w:tc>
          <w:tcPr>
            <w:cnfStyle w:val="001000000000" w:firstRow="0" w:lastRow="0" w:firstColumn="1" w:lastColumn="0" w:oddVBand="0" w:evenVBand="0" w:oddHBand="0" w:evenHBand="0" w:firstRowFirstColumn="0" w:firstRowLastColumn="0" w:lastRowFirstColumn="0" w:lastRowLastColumn="0"/>
            <w:tcW w:w="3836" w:type="dxa"/>
            <w:tcBorders>
              <w:top w:val="single" w:sz="6" w:space="0" w:color="auto"/>
              <w:bottom w:val="single" w:sz="12" w:space="0" w:color="auto"/>
            </w:tcBorders>
          </w:tcPr>
          <w:p w14:paraId="22861AEA" w14:textId="3D88AB88" w:rsidR="00AB205D" w:rsidRDefault="00471A3B">
            <w:pPr>
              <w:spacing w:before="0" w:after="0"/>
            </w:pPr>
            <w:r>
              <w:rPr>
                <w:b/>
              </w:rPr>
              <w:t xml:space="preserve">Comprehensive result – </w:t>
            </w:r>
            <w:r w:rsidR="00174DB6">
              <w:rPr>
                <w:b/>
              </w:rPr>
              <w:t xml:space="preserve">Total </w:t>
            </w:r>
            <w:r>
              <w:rPr>
                <w:b/>
              </w:rPr>
              <w:t>change in net worth</w:t>
            </w:r>
          </w:p>
        </w:tc>
        <w:tc>
          <w:tcPr>
            <w:tcW w:w="698" w:type="dxa"/>
            <w:tcBorders>
              <w:top w:val="single" w:sz="6" w:space="0" w:color="auto"/>
              <w:bottom w:val="single" w:sz="12" w:space="0" w:color="auto"/>
            </w:tcBorders>
          </w:tcPr>
          <w:p w14:paraId="0DC334FD"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rPr>
                <w:b/>
              </w:rPr>
              <w:t>(4 654)</w:t>
            </w:r>
          </w:p>
        </w:tc>
        <w:tc>
          <w:tcPr>
            <w:tcW w:w="794" w:type="dxa"/>
            <w:tcBorders>
              <w:top w:val="single" w:sz="6" w:space="0" w:color="auto"/>
              <w:bottom w:val="single" w:sz="12" w:space="0" w:color="auto"/>
            </w:tcBorders>
          </w:tcPr>
          <w:p w14:paraId="14D4874F"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rPr>
                <w:b/>
              </w:rPr>
              <w:t>(1 960)</w:t>
            </w:r>
          </w:p>
        </w:tc>
        <w:tc>
          <w:tcPr>
            <w:tcW w:w="794" w:type="dxa"/>
            <w:tcBorders>
              <w:top w:val="single" w:sz="6" w:space="0" w:color="auto"/>
              <w:bottom w:val="single" w:sz="12" w:space="0" w:color="auto"/>
            </w:tcBorders>
          </w:tcPr>
          <w:p w14:paraId="38579A6C"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rPr>
                <w:b/>
              </w:rPr>
              <w:t>12 394</w:t>
            </w:r>
          </w:p>
        </w:tc>
        <w:tc>
          <w:tcPr>
            <w:tcW w:w="794" w:type="dxa"/>
            <w:tcBorders>
              <w:top w:val="single" w:sz="6" w:space="0" w:color="auto"/>
              <w:bottom w:val="single" w:sz="12" w:space="0" w:color="auto"/>
            </w:tcBorders>
          </w:tcPr>
          <w:p w14:paraId="13CBE7F8"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rPr>
                <w:b/>
              </w:rPr>
              <w:t>4 221</w:t>
            </w:r>
          </w:p>
        </w:tc>
        <w:tc>
          <w:tcPr>
            <w:tcW w:w="794" w:type="dxa"/>
            <w:tcBorders>
              <w:top w:val="single" w:sz="6" w:space="0" w:color="auto"/>
              <w:bottom w:val="single" w:sz="12" w:space="0" w:color="auto"/>
            </w:tcBorders>
          </w:tcPr>
          <w:p w14:paraId="108EDA8E"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rPr>
                <w:b/>
              </w:rPr>
              <w:t>9 623</w:t>
            </w:r>
          </w:p>
        </w:tc>
      </w:tr>
      <w:tr w:rsidR="009C6724" w14:paraId="1437D7EE" w14:textId="77777777" w:rsidTr="009C6724">
        <w:trPr>
          <w:trHeight w:hRule="exact" w:val="113"/>
        </w:trPr>
        <w:tc>
          <w:tcPr>
            <w:cnfStyle w:val="001000000000" w:firstRow="0" w:lastRow="0" w:firstColumn="1" w:lastColumn="0" w:oddVBand="0" w:evenVBand="0" w:oddHBand="0" w:evenHBand="0" w:firstRowFirstColumn="0" w:firstRowLastColumn="0" w:lastRowFirstColumn="0" w:lastRowLastColumn="0"/>
            <w:tcW w:w="3836" w:type="dxa"/>
            <w:tcBorders>
              <w:top w:val="single" w:sz="6" w:space="0" w:color="auto"/>
            </w:tcBorders>
          </w:tcPr>
          <w:p w14:paraId="20F51745" w14:textId="77777777" w:rsidR="00AB205D" w:rsidRDefault="00AB205D">
            <w:pPr>
              <w:spacing w:before="0" w:after="0"/>
            </w:pPr>
          </w:p>
        </w:tc>
        <w:tc>
          <w:tcPr>
            <w:tcW w:w="698" w:type="dxa"/>
            <w:tcBorders>
              <w:top w:val="single" w:sz="6" w:space="0" w:color="auto"/>
            </w:tcBorders>
          </w:tcPr>
          <w:p w14:paraId="758A671D" w14:textId="77777777" w:rsidR="00AB205D" w:rsidRDefault="00AB205D">
            <w:pPr>
              <w:spacing w:before="0" w:after="0"/>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59A2B473" w14:textId="77777777" w:rsidR="00AB205D" w:rsidRDefault="00AB205D">
            <w:pPr>
              <w:spacing w:before="0" w:after="0"/>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51F195CA" w14:textId="77777777" w:rsidR="00AB205D" w:rsidRDefault="00AB205D">
            <w:pPr>
              <w:spacing w:before="0" w:after="0"/>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C0C4372" w14:textId="77777777" w:rsidR="00AB205D" w:rsidRDefault="00AB205D">
            <w:pPr>
              <w:spacing w:before="0" w:after="0"/>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D8436D1" w14:textId="77777777" w:rsidR="00AB205D" w:rsidRDefault="00AB205D">
            <w:pPr>
              <w:spacing w:before="0" w:after="0"/>
              <w:cnfStyle w:val="000000000000" w:firstRow="0" w:lastRow="0" w:firstColumn="0" w:lastColumn="0" w:oddVBand="0" w:evenVBand="0" w:oddHBand="0" w:evenHBand="0" w:firstRowFirstColumn="0" w:firstRowLastColumn="0" w:lastRowFirstColumn="0" w:lastRowLastColumn="0"/>
            </w:pPr>
          </w:p>
        </w:tc>
      </w:tr>
      <w:tr w:rsidR="009C6724" w14:paraId="6A5CC0D2" w14:textId="77777777" w:rsidTr="009C6724">
        <w:tc>
          <w:tcPr>
            <w:cnfStyle w:val="001000000000" w:firstRow="0" w:lastRow="0" w:firstColumn="1" w:lastColumn="0" w:oddVBand="0" w:evenVBand="0" w:oddHBand="0" w:evenHBand="0" w:firstRowFirstColumn="0" w:firstRowLastColumn="0" w:lastRowFirstColumn="0" w:lastRowLastColumn="0"/>
            <w:tcW w:w="3836" w:type="dxa"/>
          </w:tcPr>
          <w:p w14:paraId="3D637D6F" w14:textId="77777777" w:rsidR="00AB205D" w:rsidRDefault="00471A3B">
            <w:pPr>
              <w:spacing w:before="0" w:after="0"/>
            </w:pPr>
            <w:r>
              <w:rPr>
                <w:b/>
              </w:rPr>
              <w:t>KEY FISCAL AGGREGATES</w:t>
            </w:r>
          </w:p>
        </w:tc>
        <w:tc>
          <w:tcPr>
            <w:tcW w:w="698" w:type="dxa"/>
          </w:tcPr>
          <w:p w14:paraId="2CCFD91A" w14:textId="77777777" w:rsidR="00AB205D" w:rsidRDefault="00AB205D">
            <w:pPr>
              <w:spacing w:before="0" w:after="0"/>
              <w:cnfStyle w:val="000000000000" w:firstRow="0" w:lastRow="0" w:firstColumn="0" w:lastColumn="0" w:oddVBand="0" w:evenVBand="0" w:oddHBand="0" w:evenHBand="0" w:firstRowFirstColumn="0" w:firstRowLastColumn="0" w:lastRowFirstColumn="0" w:lastRowLastColumn="0"/>
            </w:pPr>
          </w:p>
        </w:tc>
        <w:tc>
          <w:tcPr>
            <w:tcW w:w="794" w:type="dxa"/>
          </w:tcPr>
          <w:p w14:paraId="3CC882C0" w14:textId="77777777" w:rsidR="00AB205D" w:rsidRDefault="00AB205D">
            <w:pPr>
              <w:spacing w:before="0" w:after="0"/>
              <w:cnfStyle w:val="000000000000" w:firstRow="0" w:lastRow="0" w:firstColumn="0" w:lastColumn="0" w:oddVBand="0" w:evenVBand="0" w:oddHBand="0" w:evenHBand="0" w:firstRowFirstColumn="0" w:firstRowLastColumn="0" w:lastRowFirstColumn="0" w:lastRowLastColumn="0"/>
            </w:pPr>
          </w:p>
        </w:tc>
        <w:tc>
          <w:tcPr>
            <w:tcW w:w="794" w:type="dxa"/>
          </w:tcPr>
          <w:p w14:paraId="734CE473" w14:textId="77777777" w:rsidR="00AB205D" w:rsidRDefault="00AB205D">
            <w:pPr>
              <w:spacing w:before="0" w:after="0"/>
              <w:cnfStyle w:val="000000000000" w:firstRow="0" w:lastRow="0" w:firstColumn="0" w:lastColumn="0" w:oddVBand="0" w:evenVBand="0" w:oddHBand="0" w:evenHBand="0" w:firstRowFirstColumn="0" w:firstRowLastColumn="0" w:lastRowFirstColumn="0" w:lastRowLastColumn="0"/>
            </w:pPr>
          </w:p>
        </w:tc>
        <w:tc>
          <w:tcPr>
            <w:tcW w:w="794" w:type="dxa"/>
          </w:tcPr>
          <w:p w14:paraId="67E514C6" w14:textId="77777777" w:rsidR="00AB205D" w:rsidRDefault="00AB205D">
            <w:pPr>
              <w:spacing w:before="0" w:after="0"/>
              <w:cnfStyle w:val="000000000000" w:firstRow="0" w:lastRow="0" w:firstColumn="0" w:lastColumn="0" w:oddVBand="0" w:evenVBand="0" w:oddHBand="0" w:evenHBand="0" w:firstRowFirstColumn="0" w:firstRowLastColumn="0" w:lastRowFirstColumn="0" w:lastRowLastColumn="0"/>
            </w:pPr>
          </w:p>
        </w:tc>
        <w:tc>
          <w:tcPr>
            <w:tcW w:w="794" w:type="dxa"/>
          </w:tcPr>
          <w:p w14:paraId="5A5AD9A7" w14:textId="77777777" w:rsidR="00AB205D" w:rsidRDefault="00AB205D">
            <w:pPr>
              <w:spacing w:before="0" w:after="0"/>
              <w:cnfStyle w:val="000000000000" w:firstRow="0" w:lastRow="0" w:firstColumn="0" w:lastColumn="0" w:oddVBand="0" w:evenVBand="0" w:oddHBand="0" w:evenHBand="0" w:firstRowFirstColumn="0" w:firstRowLastColumn="0" w:lastRowFirstColumn="0" w:lastRowLastColumn="0"/>
            </w:pPr>
          </w:p>
        </w:tc>
      </w:tr>
      <w:tr w:rsidR="009C6724" w14:paraId="655A0263" w14:textId="77777777" w:rsidTr="009C6724">
        <w:tc>
          <w:tcPr>
            <w:cnfStyle w:val="001000000000" w:firstRow="0" w:lastRow="0" w:firstColumn="1" w:lastColumn="0" w:oddVBand="0" w:evenVBand="0" w:oddHBand="0" w:evenHBand="0" w:firstRowFirstColumn="0" w:firstRowLastColumn="0" w:lastRowFirstColumn="0" w:lastRowLastColumn="0"/>
            <w:tcW w:w="3836" w:type="dxa"/>
          </w:tcPr>
          <w:p w14:paraId="035E1A60" w14:textId="77777777" w:rsidR="00AB205D" w:rsidRDefault="00471A3B">
            <w:pPr>
              <w:spacing w:before="0" w:after="0"/>
            </w:pPr>
            <w:r>
              <w:rPr>
                <w:b/>
              </w:rPr>
              <w:t>Net operating balance</w:t>
            </w:r>
          </w:p>
        </w:tc>
        <w:tc>
          <w:tcPr>
            <w:tcW w:w="698" w:type="dxa"/>
          </w:tcPr>
          <w:p w14:paraId="4C267F6F"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rPr>
                <w:b/>
              </w:rPr>
              <w:t>(5 466)</w:t>
            </w:r>
          </w:p>
        </w:tc>
        <w:tc>
          <w:tcPr>
            <w:tcW w:w="794" w:type="dxa"/>
          </w:tcPr>
          <w:p w14:paraId="7BF3A5C1"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rPr>
                <w:b/>
              </w:rPr>
              <w:t>(5 258)</w:t>
            </w:r>
          </w:p>
        </w:tc>
        <w:tc>
          <w:tcPr>
            <w:tcW w:w="794" w:type="dxa"/>
          </w:tcPr>
          <w:p w14:paraId="4D2AD48C"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rPr>
                <w:b/>
              </w:rPr>
              <w:t>(2 474)</w:t>
            </w:r>
          </w:p>
        </w:tc>
        <w:tc>
          <w:tcPr>
            <w:tcW w:w="794" w:type="dxa"/>
          </w:tcPr>
          <w:p w14:paraId="7F28ED60"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rPr>
                <w:b/>
              </w:rPr>
              <w:t>(389)</w:t>
            </w:r>
          </w:p>
        </w:tc>
        <w:tc>
          <w:tcPr>
            <w:tcW w:w="794" w:type="dxa"/>
          </w:tcPr>
          <w:p w14:paraId="60277901"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rPr>
                <w:b/>
              </w:rPr>
              <w:t>(476)</w:t>
            </w:r>
          </w:p>
        </w:tc>
      </w:tr>
      <w:tr w:rsidR="009C6724" w14:paraId="75C33922" w14:textId="77777777" w:rsidTr="009C6724">
        <w:tc>
          <w:tcPr>
            <w:cnfStyle w:val="001000000000" w:firstRow="0" w:lastRow="0" w:firstColumn="1" w:lastColumn="0" w:oddVBand="0" w:evenVBand="0" w:oddHBand="0" w:evenHBand="0" w:firstRowFirstColumn="0" w:firstRowLastColumn="0" w:lastRowFirstColumn="0" w:lastRowLastColumn="0"/>
            <w:tcW w:w="3836" w:type="dxa"/>
            <w:tcBorders>
              <w:bottom w:val="single" w:sz="6" w:space="0" w:color="auto"/>
            </w:tcBorders>
          </w:tcPr>
          <w:p w14:paraId="491A86CD" w14:textId="77777777" w:rsidR="00AB205D" w:rsidRDefault="00471A3B">
            <w:pPr>
              <w:spacing w:before="0" w:after="0"/>
            </w:pPr>
            <w:r>
              <w:t>Less: Net acquisition of non</w:t>
            </w:r>
            <w:r>
              <w:noBreakHyphen/>
              <w:t>financial assets from transactions</w:t>
            </w:r>
          </w:p>
        </w:tc>
        <w:tc>
          <w:tcPr>
            <w:tcW w:w="698" w:type="dxa"/>
            <w:tcBorders>
              <w:bottom w:val="single" w:sz="6" w:space="0" w:color="auto"/>
            </w:tcBorders>
          </w:tcPr>
          <w:p w14:paraId="19B24376"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18 004</w:t>
            </w:r>
          </w:p>
        </w:tc>
        <w:tc>
          <w:tcPr>
            <w:tcW w:w="794" w:type="dxa"/>
            <w:tcBorders>
              <w:bottom w:val="single" w:sz="6" w:space="0" w:color="auto"/>
            </w:tcBorders>
          </w:tcPr>
          <w:p w14:paraId="66D2C94D"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20 481</w:t>
            </w:r>
          </w:p>
        </w:tc>
        <w:tc>
          <w:tcPr>
            <w:tcW w:w="794" w:type="dxa"/>
            <w:tcBorders>
              <w:bottom w:val="single" w:sz="6" w:space="0" w:color="auto"/>
            </w:tcBorders>
          </w:tcPr>
          <w:p w14:paraId="3F817B18"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17 177</w:t>
            </w:r>
          </w:p>
        </w:tc>
        <w:tc>
          <w:tcPr>
            <w:tcW w:w="794" w:type="dxa"/>
            <w:tcBorders>
              <w:bottom w:val="single" w:sz="6" w:space="0" w:color="auto"/>
            </w:tcBorders>
          </w:tcPr>
          <w:p w14:paraId="655C25AD"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15 681</w:t>
            </w:r>
          </w:p>
        </w:tc>
        <w:tc>
          <w:tcPr>
            <w:tcW w:w="794" w:type="dxa"/>
            <w:tcBorders>
              <w:bottom w:val="single" w:sz="6" w:space="0" w:color="auto"/>
            </w:tcBorders>
          </w:tcPr>
          <w:p w14:paraId="1B1E5583"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t>13 019</w:t>
            </w:r>
          </w:p>
        </w:tc>
      </w:tr>
      <w:tr w:rsidR="009C6724" w14:paraId="500BD0A1" w14:textId="77777777" w:rsidTr="009C6724">
        <w:tc>
          <w:tcPr>
            <w:cnfStyle w:val="001000000000" w:firstRow="0" w:lastRow="0" w:firstColumn="1" w:lastColumn="0" w:oddVBand="0" w:evenVBand="0" w:oddHBand="0" w:evenHBand="0" w:firstRowFirstColumn="0" w:firstRowLastColumn="0" w:lastRowFirstColumn="0" w:lastRowLastColumn="0"/>
            <w:tcW w:w="3836" w:type="dxa"/>
            <w:tcBorders>
              <w:top w:val="single" w:sz="6" w:space="0" w:color="auto"/>
              <w:bottom w:val="single" w:sz="12" w:space="0" w:color="auto"/>
            </w:tcBorders>
          </w:tcPr>
          <w:p w14:paraId="5D73D68B" w14:textId="77777777" w:rsidR="00AB205D" w:rsidRDefault="00471A3B">
            <w:pPr>
              <w:spacing w:before="0" w:after="0"/>
            </w:pPr>
            <w:r>
              <w:rPr>
                <w:b/>
              </w:rPr>
              <w:t>Net lending/(borrowing)</w:t>
            </w:r>
          </w:p>
        </w:tc>
        <w:tc>
          <w:tcPr>
            <w:tcW w:w="698" w:type="dxa"/>
            <w:tcBorders>
              <w:top w:val="single" w:sz="6" w:space="0" w:color="auto"/>
              <w:bottom w:val="single" w:sz="12" w:space="0" w:color="auto"/>
            </w:tcBorders>
          </w:tcPr>
          <w:p w14:paraId="3FFA82D0"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rPr>
                <w:b/>
              </w:rPr>
              <w:t>(23 470)</w:t>
            </w:r>
          </w:p>
        </w:tc>
        <w:tc>
          <w:tcPr>
            <w:tcW w:w="794" w:type="dxa"/>
            <w:tcBorders>
              <w:top w:val="single" w:sz="6" w:space="0" w:color="auto"/>
              <w:bottom w:val="single" w:sz="12" w:space="0" w:color="auto"/>
            </w:tcBorders>
          </w:tcPr>
          <w:p w14:paraId="08794A1F"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rPr>
                <w:b/>
              </w:rPr>
              <w:t>(25 739)</w:t>
            </w:r>
          </w:p>
        </w:tc>
        <w:tc>
          <w:tcPr>
            <w:tcW w:w="794" w:type="dxa"/>
            <w:tcBorders>
              <w:top w:val="single" w:sz="6" w:space="0" w:color="auto"/>
              <w:bottom w:val="single" w:sz="12" w:space="0" w:color="auto"/>
            </w:tcBorders>
          </w:tcPr>
          <w:p w14:paraId="301D3199"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rPr>
                <w:b/>
              </w:rPr>
              <w:t>(19 651)</w:t>
            </w:r>
          </w:p>
        </w:tc>
        <w:tc>
          <w:tcPr>
            <w:tcW w:w="794" w:type="dxa"/>
            <w:tcBorders>
              <w:top w:val="single" w:sz="6" w:space="0" w:color="auto"/>
              <w:bottom w:val="single" w:sz="12" w:space="0" w:color="auto"/>
            </w:tcBorders>
          </w:tcPr>
          <w:p w14:paraId="6B04861C"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rPr>
                <w:b/>
              </w:rPr>
              <w:t>(16 069)</w:t>
            </w:r>
          </w:p>
        </w:tc>
        <w:tc>
          <w:tcPr>
            <w:tcW w:w="794" w:type="dxa"/>
            <w:tcBorders>
              <w:top w:val="single" w:sz="6" w:space="0" w:color="auto"/>
              <w:bottom w:val="single" w:sz="12" w:space="0" w:color="auto"/>
            </w:tcBorders>
          </w:tcPr>
          <w:p w14:paraId="2799BD9C" w14:textId="77777777" w:rsidR="00AB205D" w:rsidRDefault="00471A3B">
            <w:pPr>
              <w:spacing w:before="0" w:after="0"/>
              <w:cnfStyle w:val="000000000000" w:firstRow="0" w:lastRow="0" w:firstColumn="0" w:lastColumn="0" w:oddVBand="0" w:evenVBand="0" w:oddHBand="0" w:evenHBand="0" w:firstRowFirstColumn="0" w:firstRowLastColumn="0" w:lastRowFirstColumn="0" w:lastRowLastColumn="0"/>
            </w:pPr>
            <w:r>
              <w:rPr>
                <w:b/>
              </w:rPr>
              <w:t>(13 496)</w:t>
            </w:r>
          </w:p>
        </w:tc>
      </w:tr>
    </w:tbl>
    <w:p w14:paraId="704F8AD9" w14:textId="77777777" w:rsidR="00AB205D" w:rsidRDefault="00471A3B">
      <w:pPr>
        <w:pStyle w:val="TableHeading"/>
      </w:pPr>
      <w:r w:rsidRPr="00921F69">
        <w:lastRenderedPageBreak/>
        <w:t>Table 5.7</w:t>
      </w:r>
      <w:r w:rsidRPr="00921F69">
        <w:tab/>
        <w:t>Non-financial public sector balance sheet as at 30 June</w:t>
      </w:r>
      <w:r w:rsidRPr="00921F69">
        <w:tab/>
        <w:t>($ million)</w:t>
      </w:r>
    </w:p>
    <w:tbl>
      <w:tblPr>
        <w:tblStyle w:val="DTFTableNumeric"/>
        <w:tblW w:w="7710" w:type="dxa"/>
        <w:tblLayout w:type="fixed"/>
        <w:tblLook w:val="06A0" w:firstRow="1" w:lastRow="0" w:firstColumn="1" w:lastColumn="0" w:noHBand="1" w:noVBand="1"/>
        <w:tblDescription w:val="Type:DtfTable|Workbook:Rawdata\BudgetUpdate\Budget Update\Financial Statements\Manual reports\Balance Sheet\Link_BU_BS.xlsx|Table:Manual_NFPS_BS"/>
      </w:tblPr>
      <w:tblGrid>
        <w:gridCol w:w="3740"/>
        <w:gridCol w:w="794"/>
        <w:gridCol w:w="794"/>
        <w:gridCol w:w="794"/>
        <w:gridCol w:w="794"/>
        <w:gridCol w:w="794"/>
      </w:tblGrid>
      <w:tr w:rsidR="009C6724" w14:paraId="0FFA6FAB"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368EA948" w14:textId="77777777" w:rsidR="00AB205D" w:rsidRDefault="00AB205D">
            <w:pPr>
              <w:keepNext/>
            </w:pPr>
          </w:p>
        </w:tc>
        <w:tc>
          <w:tcPr>
            <w:tcW w:w="794" w:type="dxa"/>
          </w:tcPr>
          <w:p w14:paraId="1A011224"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p>
        </w:tc>
        <w:tc>
          <w:tcPr>
            <w:tcW w:w="794" w:type="dxa"/>
          </w:tcPr>
          <w:p w14:paraId="3621A088"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p>
        </w:tc>
        <w:tc>
          <w:tcPr>
            <w:tcW w:w="794" w:type="dxa"/>
          </w:tcPr>
          <w:p w14:paraId="431856C0"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p>
        </w:tc>
        <w:tc>
          <w:tcPr>
            <w:tcW w:w="794" w:type="dxa"/>
          </w:tcPr>
          <w:p w14:paraId="17C4D952"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p>
        </w:tc>
        <w:tc>
          <w:tcPr>
            <w:tcW w:w="794" w:type="dxa"/>
          </w:tcPr>
          <w:p w14:paraId="75D1E2E5"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2027</w:t>
            </w:r>
          </w:p>
        </w:tc>
      </w:tr>
      <w:tr w:rsidR="009C6724" w14:paraId="069F882F"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159AABFF" w14:textId="77777777" w:rsidR="00AB205D" w:rsidRDefault="00AB205D">
            <w:pPr>
              <w:keepNext/>
            </w:pPr>
          </w:p>
        </w:tc>
        <w:tc>
          <w:tcPr>
            <w:tcW w:w="794" w:type="dxa"/>
          </w:tcPr>
          <w:p w14:paraId="69C503F1"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budget</w:t>
            </w:r>
            <w:r>
              <w:rPr>
                <w:vertAlign w:val="superscript"/>
              </w:rPr>
              <w:t xml:space="preserve"> (a)</w:t>
            </w:r>
          </w:p>
        </w:tc>
        <w:tc>
          <w:tcPr>
            <w:tcW w:w="794" w:type="dxa"/>
          </w:tcPr>
          <w:p w14:paraId="46351821"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revised</w:t>
            </w:r>
          </w:p>
        </w:tc>
        <w:tc>
          <w:tcPr>
            <w:tcW w:w="794" w:type="dxa"/>
          </w:tcPr>
          <w:p w14:paraId="7DEB932F"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517A732D"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61A15DFC"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estimate</w:t>
            </w:r>
          </w:p>
        </w:tc>
      </w:tr>
      <w:tr w:rsidR="009C6724" w14:paraId="5EB9C4D8"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1381B50" w14:textId="77777777" w:rsidR="00AB205D" w:rsidRDefault="00471A3B">
            <w:r>
              <w:rPr>
                <w:b/>
              </w:rPr>
              <w:t>Assets</w:t>
            </w:r>
          </w:p>
        </w:tc>
        <w:tc>
          <w:tcPr>
            <w:tcW w:w="794" w:type="dxa"/>
          </w:tcPr>
          <w:p w14:paraId="507C944B"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5651DEFB"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1DE425F1"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54905176"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F91FD93"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66E78036"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17C18782" w14:textId="77777777" w:rsidR="00AB205D" w:rsidRDefault="00471A3B">
            <w:r>
              <w:rPr>
                <w:b/>
              </w:rPr>
              <w:t>Financial assets</w:t>
            </w:r>
          </w:p>
        </w:tc>
        <w:tc>
          <w:tcPr>
            <w:tcW w:w="794" w:type="dxa"/>
          </w:tcPr>
          <w:p w14:paraId="7678556C"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1721037"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FE4CAC0"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5742E724"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CAA28AE"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03AE4FE4"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5A2E9220" w14:textId="77777777" w:rsidR="00AB205D" w:rsidRDefault="00471A3B">
            <w:r>
              <w:t>Cash and deposits</w:t>
            </w:r>
          </w:p>
        </w:tc>
        <w:tc>
          <w:tcPr>
            <w:tcW w:w="794" w:type="dxa"/>
          </w:tcPr>
          <w:p w14:paraId="47A8AECA" w14:textId="77777777" w:rsidR="00AB205D" w:rsidRDefault="00471A3B">
            <w:pPr>
              <w:cnfStyle w:val="000000000000" w:firstRow="0" w:lastRow="0" w:firstColumn="0" w:lastColumn="0" w:oddVBand="0" w:evenVBand="0" w:oddHBand="0" w:evenHBand="0" w:firstRowFirstColumn="0" w:firstRowLastColumn="0" w:lastRowFirstColumn="0" w:lastRowLastColumn="0"/>
            </w:pPr>
            <w:r>
              <w:t>13 994</w:t>
            </w:r>
          </w:p>
        </w:tc>
        <w:tc>
          <w:tcPr>
            <w:tcW w:w="794" w:type="dxa"/>
          </w:tcPr>
          <w:p w14:paraId="2D465B11" w14:textId="77777777" w:rsidR="00AB205D" w:rsidRDefault="00471A3B">
            <w:pPr>
              <w:cnfStyle w:val="000000000000" w:firstRow="0" w:lastRow="0" w:firstColumn="0" w:lastColumn="0" w:oddVBand="0" w:evenVBand="0" w:oddHBand="0" w:evenHBand="0" w:firstRowFirstColumn="0" w:firstRowLastColumn="0" w:lastRowFirstColumn="0" w:lastRowLastColumn="0"/>
            </w:pPr>
            <w:r>
              <w:t>13 375</w:t>
            </w:r>
          </w:p>
        </w:tc>
        <w:tc>
          <w:tcPr>
            <w:tcW w:w="794" w:type="dxa"/>
          </w:tcPr>
          <w:p w14:paraId="7F20734A" w14:textId="77777777" w:rsidR="00AB205D" w:rsidRDefault="00471A3B">
            <w:pPr>
              <w:cnfStyle w:val="000000000000" w:firstRow="0" w:lastRow="0" w:firstColumn="0" w:lastColumn="0" w:oddVBand="0" w:evenVBand="0" w:oddHBand="0" w:evenHBand="0" w:firstRowFirstColumn="0" w:firstRowLastColumn="0" w:lastRowFirstColumn="0" w:lastRowLastColumn="0"/>
            </w:pPr>
            <w:r>
              <w:t>13 920</w:t>
            </w:r>
          </w:p>
        </w:tc>
        <w:tc>
          <w:tcPr>
            <w:tcW w:w="794" w:type="dxa"/>
          </w:tcPr>
          <w:p w14:paraId="1AF3CF1A" w14:textId="77777777" w:rsidR="00AB205D" w:rsidRDefault="00471A3B">
            <w:pPr>
              <w:cnfStyle w:val="000000000000" w:firstRow="0" w:lastRow="0" w:firstColumn="0" w:lastColumn="0" w:oddVBand="0" w:evenVBand="0" w:oddHBand="0" w:evenHBand="0" w:firstRowFirstColumn="0" w:firstRowLastColumn="0" w:lastRowFirstColumn="0" w:lastRowLastColumn="0"/>
            </w:pPr>
            <w:r>
              <w:t>14 764</w:t>
            </w:r>
          </w:p>
        </w:tc>
        <w:tc>
          <w:tcPr>
            <w:tcW w:w="794" w:type="dxa"/>
          </w:tcPr>
          <w:p w14:paraId="165CDD9B" w14:textId="77777777" w:rsidR="00AB205D" w:rsidRDefault="00471A3B">
            <w:pPr>
              <w:cnfStyle w:val="000000000000" w:firstRow="0" w:lastRow="0" w:firstColumn="0" w:lastColumn="0" w:oddVBand="0" w:evenVBand="0" w:oddHBand="0" w:evenHBand="0" w:firstRowFirstColumn="0" w:firstRowLastColumn="0" w:lastRowFirstColumn="0" w:lastRowLastColumn="0"/>
            </w:pPr>
            <w:r>
              <w:t>15 525</w:t>
            </w:r>
          </w:p>
        </w:tc>
      </w:tr>
      <w:tr w:rsidR="009C6724" w14:paraId="3C780C14"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513B835E" w14:textId="77777777" w:rsidR="00AB205D" w:rsidRDefault="00471A3B">
            <w:r>
              <w:t>Advances paid</w:t>
            </w:r>
          </w:p>
        </w:tc>
        <w:tc>
          <w:tcPr>
            <w:tcW w:w="794" w:type="dxa"/>
          </w:tcPr>
          <w:p w14:paraId="732B870F" w14:textId="77777777" w:rsidR="00AB205D" w:rsidRDefault="00471A3B">
            <w:pPr>
              <w:cnfStyle w:val="000000000000" w:firstRow="0" w:lastRow="0" w:firstColumn="0" w:lastColumn="0" w:oddVBand="0" w:evenVBand="0" w:oddHBand="0" w:evenHBand="0" w:firstRowFirstColumn="0" w:firstRowLastColumn="0" w:lastRowFirstColumn="0" w:lastRowLastColumn="0"/>
            </w:pPr>
            <w:r>
              <w:t>633</w:t>
            </w:r>
          </w:p>
        </w:tc>
        <w:tc>
          <w:tcPr>
            <w:tcW w:w="794" w:type="dxa"/>
          </w:tcPr>
          <w:p w14:paraId="67E94973" w14:textId="77777777" w:rsidR="00AB205D" w:rsidRDefault="00471A3B">
            <w:pPr>
              <w:cnfStyle w:val="000000000000" w:firstRow="0" w:lastRow="0" w:firstColumn="0" w:lastColumn="0" w:oddVBand="0" w:evenVBand="0" w:oddHBand="0" w:evenHBand="0" w:firstRowFirstColumn="0" w:firstRowLastColumn="0" w:lastRowFirstColumn="0" w:lastRowLastColumn="0"/>
            </w:pPr>
            <w:r>
              <w:t>423</w:t>
            </w:r>
          </w:p>
        </w:tc>
        <w:tc>
          <w:tcPr>
            <w:tcW w:w="794" w:type="dxa"/>
          </w:tcPr>
          <w:p w14:paraId="7BB3BC7B" w14:textId="77777777" w:rsidR="00AB205D" w:rsidRDefault="00471A3B">
            <w:pPr>
              <w:cnfStyle w:val="000000000000" w:firstRow="0" w:lastRow="0" w:firstColumn="0" w:lastColumn="0" w:oddVBand="0" w:evenVBand="0" w:oddHBand="0" w:evenHBand="0" w:firstRowFirstColumn="0" w:firstRowLastColumn="0" w:lastRowFirstColumn="0" w:lastRowLastColumn="0"/>
            </w:pPr>
            <w:r>
              <w:t>324</w:t>
            </w:r>
          </w:p>
        </w:tc>
        <w:tc>
          <w:tcPr>
            <w:tcW w:w="794" w:type="dxa"/>
          </w:tcPr>
          <w:p w14:paraId="3952B69E" w14:textId="77777777" w:rsidR="00AB205D" w:rsidRDefault="00471A3B">
            <w:pPr>
              <w:cnfStyle w:val="000000000000" w:firstRow="0" w:lastRow="0" w:firstColumn="0" w:lastColumn="0" w:oddVBand="0" w:evenVBand="0" w:oddHBand="0" w:evenHBand="0" w:firstRowFirstColumn="0" w:firstRowLastColumn="0" w:lastRowFirstColumn="0" w:lastRowLastColumn="0"/>
            </w:pPr>
            <w:r>
              <w:t>293</w:t>
            </w:r>
          </w:p>
        </w:tc>
        <w:tc>
          <w:tcPr>
            <w:tcW w:w="794" w:type="dxa"/>
          </w:tcPr>
          <w:p w14:paraId="35348FA9" w14:textId="77777777" w:rsidR="00AB205D" w:rsidRDefault="00471A3B">
            <w:pPr>
              <w:cnfStyle w:val="000000000000" w:firstRow="0" w:lastRow="0" w:firstColumn="0" w:lastColumn="0" w:oddVBand="0" w:evenVBand="0" w:oddHBand="0" w:evenHBand="0" w:firstRowFirstColumn="0" w:firstRowLastColumn="0" w:lastRowFirstColumn="0" w:lastRowLastColumn="0"/>
            </w:pPr>
            <w:r>
              <w:t>303</w:t>
            </w:r>
          </w:p>
        </w:tc>
      </w:tr>
      <w:tr w:rsidR="009C6724" w14:paraId="3C44A203"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64743241" w14:textId="77777777" w:rsidR="00AB205D" w:rsidRDefault="00471A3B">
            <w:r>
              <w:t>Receivables and contract assets</w:t>
            </w:r>
          </w:p>
        </w:tc>
        <w:tc>
          <w:tcPr>
            <w:tcW w:w="794" w:type="dxa"/>
          </w:tcPr>
          <w:p w14:paraId="58B8E365" w14:textId="77777777" w:rsidR="00AB205D" w:rsidRDefault="00471A3B">
            <w:pPr>
              <w:cnfStyle w:val="000000000000" w:firstRow="0" w:lastRow="0" w:firstColumn="0" w:lastColumn="0" w:oddVBand="0" w:evenVBand="0" w:oddHBand="0" w:evenHBand="0" w:firstRowFirstColumn="0" w:firstRowLastColumn="0" w:lastRowFirstColumn="0" w:lastRowLastColumn="0"/>
            </w:pPr>
            <w:r>
              <w:t>11 174</w:t>
            </w:r>
          </w:p>
        </w:tc>
        <w:tc>
          <w:tcPr>
            <w:tcW w:w="794" w:type="dxa"/>
          </w:tcPr>
          <w:p w14:paraId="47F8763A" w14:textId="77777777" w:rsidR="00AB205D" w:rsidRDefault="00471A3B">
            <w:pPr>
              <w:cnfStyle w:val="000000000000" w:firstRow="0" w:lastRow="0" w:firstColumn="0" w:lastColumn="0" w:oddVBand="0" w:evenVBand="0" w:oddHBand="0" w:evenHBand="0" w:firstRowFirstColumn="0" w:firstRowLastColumn="0" w:lastRowFirstColumn="0" w:lastRowLastColumn="0"/>
            </w:pPr>
            <w:r>
              <w:t>10 513</w:t>
            </w:r>
          </w:p>
        </w:tc>
        <w:tc>
          <w:tcPr>
            <w:tcW w:w="794" w:type="dxa"/>
          </w:tcPr>
          <w:p w14:paraId="21DC756D" w14:textId="77777777" w:rsidR="00AB205D" w:rsidRDefault="00471A3B">
            <w:pPr>
              <w:cnfStyle w:val="000000000000" w:firstRow="0" w:lastRow="0" w:firstColumn="0" w:lastColumn="0" w:oddVBand="0" w:evenVBand="0" w:oddHBand="0" w:evenHBand="0" w:firstRowFirstColumn="0" w:firstRowLastColumn="0" w:lastRowFirstColumn="0" w:lastRowLastColumn="0"/>
            </w:pPr>
            <w:r>
              <w:t>10 998</w:t>
            </w:r>
          </w:p>
        </w:tc>
        <w:tc>
          <w:tcPr>
            <w:tcW w:w="794" w:type="dxa"/>
          </w:tcPr>
          <w:p w14:paraId="21918EB9" w14:textId="77777777" w:rsidR="00AB205D" w:rsidRDefault="00471A3B">
            <w:pPr>
              <w:cnfStyle w:val="000000000000" w:firstRow="0" w:lastRow="0" w:firstColumn="0" w:lastColumn="0" w:oddVBand="0" w:evenVBand="0" w:oddHBand="0" w:evenHBand="0" w:firstRowFirstColumn="0" w:firstRowLastColumn="0" w:lastRowFirstColumn="0" w:lastRowLastColumn="0"/>
            </w:pPr>
            <w:r>
              <w:t>11 377</w:t>
            </w:r>
          </w:p>
        </w:tc>
        <w:tc>
          <w:tcPr>
            <w:tcW w:w="794" w:type="dxa"/>
          </w:tcPr>
          <w:p w14:paraId="681D048E" w14:textId="77777777" w:rsidR="00AB205D" w:rsidRDefault="00471A3B">
            <w:pPr>
              <w:cnfStyle w:val="000000000000" w:firstRow="0" w:lastRow="0" w:firstColumn="0" w:lastColumn="0" w:oddVBand="0" w:evenVBand="0" w:oddHBand="0" w:evenHBand="0" w:firstRowFirstColumn="0" w:firstRowLastColumn="0" w:lastRowFirstColumn="0" w:lastRowLastColumn="0"/>
            </w:pPr>
            <w:r>
              <w:t>11 995</w:t>
            </w:r>
          </w:p>
        </w:tc>
      </w:tr>
      <w:tr w:rsidR="009C6724" w14:paraId="63768D6D"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008328B" w14:textId="77777777" w:rsidR="00AB205D" w:rsidRDefault="00471A3B">
            <w:r>
              <w:t>Investments, loans and placements</w:t>
            </w:r>
          </w:p>
        </w:tc>
        <w:tc>
          <w:tcPr>
            <w:tcW w:w="794" w:type="dxa"/>
          </w:tcPr>
          <w:p w14:paraId="4587D616" w14:textId="77777777" w:rsidR="00AB205D" w:rsidRDefault="00471A3B">
            <w:pPr>
              <w:cnfStyle w:val="000000000000" w:firstRow="0" w:lastRow="0" w:firstColumn="0" w:lastColumn="0" w:oddVBand="0" w:evenVBand="0" w:oddHBand="0" w:evenHBand="0" w:firstRowFirstColumn="0" w:firstRowLastColumn="0" w:lastRowFirstColumn="0" w:lastRowLastColumn="0"/>
            </w:pPr>
            <w:r>
              <w:t>14 188</w:t>
            </w:r>
          </w:p>
        </w:tc>
        <w:tc>
          <w:tcPr>
            <w:tcW w:w="794" w:type="dxa"/>
          </w:tcPr>
          <w:p w14:paraId="072CF0CC" w14:textId="77777777" w:rsidR="00AB205D" w:rsidRDefault="00471A3B">
            <w:pPr>
              <w:cnfStyle w:val="000000000000" w:firstRow="0" w:lastRow="0" w:firstColumn="0" w:lastColumn="0" w:oddVBand="0" w:evenVBand="0" w:oddHBand="0" w:evenHBand="0" w:firstRowFirstColumn="0" w:firstRowLastColumn="0" w:lastRowFirstColumn="0" w:lastRowLastColumn="0"/>
            </w:pPr>
            <w:r>
              <w:t>14 422</w:t>
            </w:r>
          </w:p>
        </w:tc>
        <w:tc>
          <w:tcPr>
            <w:tcW w:w="794" w:type="dxa"/>
          </w:tcPr>
          <w:p w14:paraId="621E7DAD" w14:textId="77777777" w:rsidR="00AB205D" w:rsidRDefault="00471A3B">
            <w:pPr>
              <w:cnfStyle w:val="000000000000" w:firstRow="0" w:lastRow="0" w:firstColumn="0" w:lastColumn="0" w:oddVBand="0" w:evenVBand="0" w:oddHBand="0" w:evenHBand="0" w:firstRowFirstColumn="0" w:firstRowLastColumn="0" w:lastRowFirstColumn="0" w:lastRowLastColumn="0"/>
            </w:pPr>
            <w:r>
              <w:t>15 982</w:t>
            </w:r>
          </w:p>
        </w:tc>
        <w:tc>
          <w:tcPr>
            <w:tcW w:w="794" w:type="dxa"/>
          </w:tcPr>
          <w:p w14:paraId="46C83F32" w14:textId="77777777" w:rsidR="00AB205D" w:rsidRDefault="00471A3B">
            <w:pPr>
              <w:cnfStyle w:val="000000000000" w:firstRow="0" w:lastRow="0" w:firstColumn="0" w:lastColumn="0" w:oddVBand="0" w:evenVBand="0" w:oddHBand="0" w:evenHBand="0" w:firstRowFirstColumn="0" w:firstRowLastColumn="0" w:lastRowFirstColumn="0" w:lastRowLastColumn="0"/>
            </w:pPr>
            <w:r>
              <w:t>17 824</w:t>
            </w:r>
          </w:p>
        </w:tc>
        <w:tc>
          <w:tcPr>
            <w:tcW w:w="794" w:type="dxa"/>
          </w:tcPr>
          <w:p w14:paraId="0B2D49D8" w14:textId="77777777" w:rsidR="00AB205D" w:rsidRDefault="00471A3B">
            <w:pPr>
              <w:cnfStyle w:val="000000000000" w:firstRow="0" w:lastRow="0" w:firstColumn="0" w:lastColumn="0" w:oddVBand="0" w:evenVBand="0" w:oddHBand="0" w:evenHBand="0" w:firstRowFirstColumn="0" w:firstRowLastColumn="0" w:lastRowFirstColumn="0" w:lastRowLastColumn="0"/>
            </w:pPr>
            <w:r>
              <w:t>19 974</w:t>
            </w:r>
          </w:p>
        </w:tc>
      </w:tr>
      <w:tr w:rsidR="009C6724" w14:paraId="19787407"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561C8402" w14:textId="77777777" w:rsidR="00AB205D" w:rsidRDefault="00471A3B">
            <w:r>
              <w:t>Investments accounted for using equity method</w:t>
            </w:r>
          </w:p>
        </w:tc>
        <w:tc>
          <w:tcPr>
            <w:tcW w:w="794" w:type="dxa"/>
          </w:tcPr>
          <w:p w14:paraId="1F0132C5" w14:textId="77777777" w:rsidR="00AB205D" w:rsidRDefault="00471A3B">
            <w:pPr>
              <w:cnfStyle w:val="000000000000" w:firstRow="0" w:lastRow="0" w:firstColumn="0" w:lastColumn="0" w:oddVBand="0" w:evenVBand="0" w:oddHBand="0" w:evenHBand="0" w:firstRowFirstColumn="0" w:firstRowLastColumn="0" w:lastRowFirstColumn="0" w:lastRowLastColumn="0"/>
            </w:pPr>
            <w:r>
              <w:t>1 180</w:t>
            </w:r>
          </w:p>
        </w:tc>
        <w:tc>
          <w:tcPr>
            <w:tcW w:w="794" w:type="dxa"/>
          </w:tcPr>
          <w:p w14:paraId="0C057494" w14:textId="77777777" w:rsidR="00AB205D" w:rsidRDefault="00471A3B">
            <w:pPr>
              <w:cnfStyle w:val="000000000000" w:firstRow="0" w:lastRow="0" w:firstColumn="0" w:lastColumn="0" w:oddVBand="0" w:evenVBand="0" w:oddHBand="0" w:evenHBand="0" w:firstRowFirstColumn="0" w:firstRowLastColumn="0" w:lastRowFirstColumn="0" w:lastRowLastColumn="0"/>
            </w:pPr>
            <w:r>
              <w:t>1 180</w:t>
            </w:r>
          </w:p>
        </w:tc>
        <w:tc>
          <w:tcPr>
            <w:tcW w:w="794" w:type="dxa"/>
          </w:tcPr>
          <w:p w14:paraId="48561068" w14:textId="77777777" w:rsidR="00AB205D" w:rsidRDefault="00471A3B">
            <w:pPr>
              <w:cnfStyle w:val="000000000000" w:firstRow="0" w:lastRow="0" w:firstColumn="0" w:lastColumn="0" w:oddVBand="0" w:evenVBand="0" w:oddHBand="0" w:evenHBand="0" w:firstRowFirstColumn="0" w:firstRowLastColumn="0" w:lastRowFirstColumn="0" w:lastRowLastColumn="0"/>
            </w:pPr>
            <w:r>
              <w:t>1 389</w:t>
            </w:r>
          </w:p>
        </w:tc>
        <w:tc>
          <w:tcPr>
            <w:tcW w:w="794" w:type="dxa"/>
          </w:tcPr>
          <w:p w14:paraId="28C039ED" w14:textId="77777777" w:rsidR="00AB205D" w:rsidRDefault="00471A3B">
            <w:pPr>
              <w:cnfStyle w:val="000000000000" w:firstRow="0" w:lastRow="0" w:firstColumn="0" w:lastColumn="0" w:oddVBand="0" w:evenVBand="0" w:oddHBand="0" w:evenHBand="0" w:firstRowFirstColumn="0" w:firstRowLastColumn="0" w:lastRowFirstColumn="0" w:lastRowLastColumn="0"/>
            </w:pPr>
            <w:r>
              <w:t>1 389</w:t>
            </w:r>
          </w:p>
        </w:tc>
        <w:tc>
          <w:tcPr>
            <w:tcW w:w="794" w:type="dxa"/>
          </w:tcPr>
          <w:p w14:paraId="717B1242" w14:textId="77777777" w:rsidR="00AB205D" w:rsidRDefault="00471A3B">
            <w:pPr>
              <w:cnfStyle w:val="000000000000" w:firstRow="0" w:lastRow="0" w:firstColumn="0" w:lastColumn="0" w:oddVBand="0" w:evenVBand="0" w:oddHBand="0" w:evenHBand="0" w:firstRowFirstColumn="0" w:firstRowLastColumn="0" w:lastRowFirstColumn="0" w:lastRowLastColumn="0"/>
            </w:pPr>
            <w:r>
              <w:t>1 389</w:t>
            </w:r>
          </w:p>
        </w:tc>
      </w:tr>
      <w:tr w:rsidR="009C6724" w14:paraId="6CF92989"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3D07E25F" w14:textId="77777777" w:rsidR="00AB205D" w:rsidRDefault="00471A3B">
            <w:r>
              <w:t>Investments in other sector entities</w:t>
            </w:r>
          </w:p>
        </w:tc>
        <w:tc>
          <w:tcPr>
            <w:tcW w:w="794" w:type="dxa"/>
            <w:tcBorders>
              <w:bottom w:val="single" w:sz="6" w:space="0" w:color="auto"/>
            </w:tcBorders>
          </w:tcPr>
          <w:p w14:paraId="72842855" w14:textId="77777777" w:rsidR="00AB205D" w:rsidRDefault="00471A3B">
            <w:pPr>
              <w:cnfStyle w:val="000000000000" w:firstRow="0" w:lastRow="0" w:firstColumn="0" w:lastColumn="0" w:oddVBand="0" w:evenVBand="0" w:oddHBand="0" w:evenHBand="0" w:firstRowFirstColumn="0" w:firstRowLastColumn="0" w:lastRowFirstColumn="0" w:lastRowLastColumn="0"/>
            </w:pPr>
            <w:r>
              <w:t>14 622</w:t>
            </w:r>
          </w:p>
        </w:tc>
        <w:tc>
          <w:tcPr>
            <w:tcW w:w="794" w:type="dxa"/>
            <w:tcBorders>
              <w:bottom w:val="single" w:sz="6" w:space="0" w:color="auto"/>
            </w:tcBorders>
          </w:tcPr>
          <w:p w14:paraId="530C2C34" w14:textId="77777777" w:rsidR="00AB205D" w:rsidRDefault="00471A3B">
            <w:pPr>
              <w:cnfStyle w:val="000000000000" w:firstRow="0" w:lastRow="0" w:firstColumn="0" w:lastColumn="0" w:oddVBand="0" w:evenVBand="0" w:oddHBand="0" w:evenHBand="0" w:firstRowFirstColumn="0" w:firstRowLastColumn="0" w:lastRowFirstColumn="0" w:lastRowLastColumn="0"/>
            </w:pPr>
            <w:r>
              <w:t>15 967</w:t>
            </w:r>
          </w:p>
        </w:tc>
        <w:tc>
          <w:tcPr>
            <w:tcW w:w="794" w:type="dxa"/>
            <w:tcBorders>
              <w:bottom w:val="single" w:sz="6" w:space="0" w:color="auto"/>
            </w:tcBorders>
          </w:tcPr>
          <w:p w14:paraId="1508B351" w14:textId="77777777" w:rsidR="00AB205D" w:rsidRDefault="00471A3B">
            <w:pPr>
              <w:cnfStyle w:val="000000000000" w:firstRow="0" w:lastRow="0" w:firstColumn="0" w:lastColumn="0" w:oddVBand="0" w:evenVBand="0" w:oddHBand="0" w:evenHBand="0" w:firstRowFirstColumn="0" w:firstRowLastColumn="0" w:lastRowFirstColumn="0" w:lastRowLastColumn="0"/>
            </w:pPr>
            <w:r>
              <w:t>15 703</w:t>
            </w:r>
          </w:p>
        </w:tc>
        <w:tc>
          <w:tcPr>
            <w:tcW w:w="794" w:type="dxa"/>
            <w:tcBorders>
              <w:bottom w:val="single" w:sz="6" w:space="0" w:color="auto"/>
            </w:tcBorders>
          </w:tcPr>
          <w:p w14:paraId="09D3D789" w14:textId="77777777" w:rsidR="00AB205D" w:rsidRDefault="00471A3B">
            <w:pPr>
              <w:cnfStyle w:val="000000000000" w:firstRow="0" w:lastRow="0" w:firstColumn="0" w:lastColumn="0" w:oddVBand="0" w:evenVBand="0" w:oddHBand="0" w:evenHBand="0" w:firstRowFirstColumn="0" w:firstRowLastColumn="0" w:lastRowFirstColumn="0" w:lastRowLastColumn="0"/>
            </w:pPr>
            <w:r>
              <w:t>15 328</w:t>
            </w:r>
          </w:p>
        </w:tc>
        <w:tc>
          <w:tcPr>
            <w:tcW w:w="794" w:type="dxa"/>
            <w:tcBorders>
              <w:bottom w:val="single" w:sz="6" w:space="0" w:color="auto"/>
            </w:tcBorders>
          </w:tcPr>
          <w:p w14:paraId="1F006396" w14:textId="77777777" w:rsidR="00AB205D" w:rsidRDefault="00471A3B">
            <w:pPr>
              <w:cnfStyle w:val="000000000000" w:firstRow="0" w:lastRow="0" w:firstColumn="0" w:lastColumn="0" w:oddVBand="0" w:evenVBand="0" w:oddHBand="0" w:evenHBand="0" w:firstRowFirstColumn="0" w:firstRowLastColumn="0" w:lastRowFirstColumn="0" w:lastRowLastColumn="0"/>
            </w:pPr>
            <w:r>
              <w:t>15 717</w:t>
            </w:r>
          </w:p>
        </w:tc>
      </w:tr>
      <w:tr w:rsidR="009C6724" w14:paraId="7A319EDA"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2DBB67E1" w14:textId="77777777" w:rsidR="00AB205D" w:rsidRDefault="00471A3B">
            <w:r>
              <w:rPr>
                <w:b/>
              </w:rPr>
              <w:t>Total financial assets</w:t>
            </w:r>
          </w:p>
        </w:tc>
        <w:tc>
          <w:tcPr>
            <w:tcW w:w="794" w:type="dxa"/>
            <w:tcBorders>
              <w:top w:val="single" w:sz="6" w:space="0" w:color="auto"/>
              <w:bottom w:val="single" w:sz="6" w:space="0" w:color="auto"/>
            </w:tcBorders>
          </w:tcPr>
          <w:p w14:paraId="098CE70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55 791</w:t>
            </w:r>
          </w:p>
        </w:tc>
        <w:tc>
          <w:tcPr>
            <w:tcW w:w="794" w:type="dxa"/>
            <w:tcBorders>
              <w:top w:val="single" w:sz="6" w:space="0" w:color="auto"/>
              <w:bottom w:val="single" w:sz="6" w:space="0" w:color="auto"/>
            </w:tcBorders>
          </w:tcPr>
          <w:p w14:paraId="7D86B0A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55 880</w:t>
            </w:r>
          </w:p>
        </w:tc>
        <w:tc>
          <w:tcPr>
            <w:tcW w:w="794" w:type="dxa"/>
            <w:tcBorders>
              <w:top w:val="single" w:sz="6" w:space="0" w:color="auto"/>
              <w:bottom w:val="single" w:sz="6" w:space="0" w:color="auto"/>
            </w:tcBorders>
          </w:tcPr>
          <w:p w14:paraId="3335009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58 316</w:t>
            </w:r>
          </w:p>
        </w:tc>
        <w:tc>
          <w:tcPr>
            <w:tcW w:w="794" w:type="dxa"/>
            <w:tcBorders>
              <w:top w:val="single" w:sz="6" w:space="0" w:color="auto"/>
              <w:bottom w:val="single" w:sz="6" w:space="0" w:color="auto"/>
            </w:tcBorders>
          </w:tcPr>
          <w:p w14:paraId="1363902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60 976</w:t>
            </w:r>
          </w:p>
        </w:tc>
        <w:tc>
          <w:tcPr>
            <w:tcW w:w="794" w:type="dxa"/>
            <w:tcBorders>
              <w:top w:val="single" w:sz="6" w:space="0" w:color="auto"/>
              <w:bottom w:val="single" w:sz="6" w:space="0" w:color="auto"/>
            </w:tcBorders>
          </w:tcPr>
          <w:p w14:paraId="6D9EA52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64 903</w:t>
            </w:r>
          </w:p>
        </w:tc>
      </w:tr>
      <w:tr w:rsidR="009C6724" w14:paraId="008D5283"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5CA8167E" w14:textId="77777777" w:rsidR="00AB205D" w:rsidRDefault="00471A3B">
            <w:r>
              <w:rPr>
                <w:b/>
              </w:rPr>
              <w:t>Non</w:t>
            </w:r>
            <w:r>
              <w:rPr>
                <w:b/>
              </w:rPr>
              <w:noBreakHyphen/>
              <w:t>financial assets</w:t>
            </w:r>
          </w:p>
        </w:tc>
        <w:tc>
          <w:tcPr>
            <w:tcW w:w="794" w:type="dxa"/>
            <w:tcBorders>
              <w:top w:val="single" w:sz="6" w:space="0" w:color="auto"/>
            </w:tcBorders>
          </w:tcPr>
          <w:p w14:paraId="3773BF02"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6E738465"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60AAFA45"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1A501258"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0CDC7551"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4FE0C159"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8A313E7" w14:textId="77777777" w:rsidR="00AB205D" w:rsidRDefault="00471A3B">
            <w:r>
              <w:t>Inventories</w:t>
            </w:r>
          </w:p>
        </w:tc>
        <w:tc>
          <w:tcPr>
            <w:tcW w:w="794" w:type="dxa"/>
          </w:tcPr>
          <w:p w14:paraId="333F541F" w14:textId="77777777" w:rsidR="00AB205D" w:rsidRDefault="00471A3B">
            <w:pPr>
              <w:cnfStyle w:val="000000000000" w:firstRow="0" w:lastRow="0" w:firstColumn="0" w:lastColumn="0" w:oddVBand="0" w:evenVBand="0" w:oddHBand="0" w:evenHBand="0" w:firstRowFirstColumn="0" w:firstRowLastColumn="0" w:lastRowFirstColumn="0" w:lastRowLastColumn="0"/>
            </w:pPr>
            <w:r>
              <w:t>1 519</w:t>
            </w:r>
          </w:p>
        </w:tc>
        <w:tc>
          <w:tcPr>
            <w:tcW w:w="794" w:type="dxa"/>
          </w:tcPr>
          <w:p w14:paraId="1F8AE7FB" w14:textId="77777777" w:rsidR="00AB205D" w:rsidRDefault="00471A3B">
            <w:pPr>
              <w:cnfStyle w:val="000000000000" w:firstRow="0" w:lastRow="0" w:firstColumn="0" w:lastColumn="0" w:oddVBand="0" w:evenVBand="0" w:oddHBand="0" w:evenHBand="0" w:firstRowFirstColumn="0" w:firstRowLastColumn="0" w:lastRowFirstColumn="0" w:lastRowLastColumn="0"/>
            </w:pPr>
            <w:r>
              <w:t>2 468</w:t>
            </w:r>
          </w:p>
        </w:tc>
        <w:tc>
          <w:tcPr>
            <w:tcW w:w="794" w:type="dxa"/>
          </w:tcPr>
          <w:p w14:paraId="2EF23CEF" w14:textId="77777777" w:rsidR="00AB205D" w:rsidRDefault="00471A3B">
            <w:pPr>
              <w:cnfStyle w:val="000000000000" w:firstRow="0" w:lastRow="0" w:firstColumn="0" w:lastColumn="0" w:oddVBand="0" w:evenVBand="0" w:oddHBand="0" w:evenHBand="0" w:firstRowFirstColumn="0" w:firstRowLastColumn="0" w:lastRowFirstColumn="0" w:lastRowLastColumn="0"/>
            </w:pPr>
            <w:r>
              <w:t>2 266</w:t>
            </w:r>
          </w:p>
        </w:tc>
        <w:tc>
          <w:tcPr>
            <w:tcW w:w="794" w:type="dxa"/>
          </w:tcPr>
          <w:p w14:paraId="1E1871DF" w14:textId="77777777" w:rsidR="00AB205D" w:rsidRDefault="00471A3B">
            <w:pPr>
              <w:cnfStyle w:val="000000000000" w:firstRow="0" w:lastRow="0" w:firstColumn="0" w:lastColumn="0" w:oddVBand="0" w:evenVBand="0" w:oddHBand="0" w:evenHBand="0" w:firstRowFirstColumn="0" w:firstRowLastColumn="0" w:lastRowFirstColumn="0" w:lastRowLastColumn="0"/>
            </w:pPr>
            <w:r>
              <w:t>2 523</w:t>
            </w:r>
          </w:p>
        </w:tc>
        <w:tc>
          <w:tcPr>
            <w:tcW w:w="794" w:type="dxa"/>
          </w:tcPr>
          <w:p w14:paraId="2AD531B5" w14:textId="77777777" w:rsidR="00AB205D" w:rsidRDefault="00471A3B">
            <w:pPr>
              <w:cnfStyle w:val="000000000000" w:firstRow="0" w:lastRow="0" w:firstColumn="0" w:lastColumn="0" w:oddVBand="0" w:evenVBand="0" w:oddHBand="0" w:evenHBand="0" w:firstRowFirstColumn="0" w:firstRowLastColumn="0" w:lastRowFirstColumn="0" w:lastRowLastColumn="0"/>
            </w:pPr>
            <w:r>
              <w:t>1 965</w:t>
            </w:r>
          </w:p>
        </w:tc>
      </w:tr>
      <w:tr w:rsidR="009C6724" w14:paraId="6C4D3ED4"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7C664FF1" w14:textId="77777777" w:rsidR="00AB205D" w:rsidRDefault="00471A3B">
            <w:r>
              <w:t>Non</w:t>
            </w:r>
            <w:r>
              <w:noBreakHyphen/>
              <w:t>financial assets held for sale</w:t>
            </w:r>
          </w:p>
        </w:tc>
        <w:tc>
          <w:tcPr>
            <w:tcW w:w="794" w:type="dxa"/>
          </w:tcPr>
          <w:p w14:paraId="7C15BDDE" w14:textId="77777777" w:rsidR="00AB205D" w:rsidRDefault="00471A3B">
            <w:pPr>
              <w:cnfStyle w:val="000000000000" w:firstRow="0" w:lastRow="0" w:firstColumn="0" w:lastColumn="0" w:oddVBand="0" w:evenVBand="0" w:oddHBand="0" w:evenHBand="0" w:firstRowFirstColumn="0" w:firstRowLastColumn="0" w:lastRowFirstColumn="0" w:lastRowLastColumn="0"/>
            </w:pPr>
            <w:r>
              <w:t>116</w:t>
            </w:r>
          </w:p>
        </w:tc>
        <w:tc>
          <w:tcPr>
            <w:tcW w:w="794" w:type="dxa"/>
          </w:tcPr>
          <w:p w14:paraId="6921EE73" w14:textId="77777777" w:rsidR="00AB205D" w:rsidRDefault="00471A3B">
            <w:pPr>
              <w:cnfStyle w:val="000000000000" w:firstRow="0" w:lastRow="0" w:firstColumn="0" w:lastColumn="0" w:oddVBand="0" w:evenVBand="0" w:oddHBand="0" w:evenHBand="0" w:firstRowFirstColumn="0" w:firstRowLastColumn="0" w:lastRowFirstColumn="0" w:lastRowLastColumn="0"/>
            </w:pPr>
            <w:r>
              <w:t>93</w:t>
            </w:r>
          </w:p>
        </w:tc>
        <w:tc>
          <w:tcPr>
            <w:tcW w:w="794" w:type="dxa"/>
          </w:tcPr>
          <w:p w14:paraId="55C594E8" w14:textId="77777777" w:rsidR="00AB205D" w:rsidRDefault="00471A3B">
            <w:pPr>
              <w:cnfStyle w:val="000000000000" w:firstRow="0" w:lastRow="0" w:firstColumn="0" w:lastColumn="0" w:oddVBand="0" w:evenVBand="0" w:oddHBand="0" w:evenHBand="0" w:firstRowFirstColumn="0" w:firstRowLastColumn="0" w:lastRowFirstColumn="0" w:lastRowLastColumn="0"/>
            </w:pPr>
            <w:r>
              <w:t>60</w:t>
            </w:r>
          </w:p>
        </w:tc>
        <w:tc>
          <w:tcPr>
            <w:tcW w:w="794" w:type="dxa"/>
          </w:tcPr>
          <w:p w14:paraId="17EE6E09" w14:textId="77777777" w:rsidR="00AB205D" w:rsidRDefault="00471A3B">
            <w:pPr>
              <w:cnfStyle w:val="000000000000" w:firstRow="0" w:lastRow="0" w:firstColumn="0" w:lastColumn="0" w:oddVBand="0" w:evenVBand="0" w:oddHBand="0" w:evenHBand="0" w:firstRowFirstColumn="0" w:firstRowLastColumn="0" w:lastRowFirstColumn="0" w:lastRowLastColumn="0"/>
            </w:pPr>
            <w:r>
              <w:t>54</w:t>
            </w:r>
          </w:p>
        </w:tc>
        <w:tc>
          <w:tcPr>
            <w:tcW w:w="794" w:type="dxa"/>
          </w:tcPr>
          <w:p w14:paraId="31001C5F" w14:textId="77777777" w:rsidR="00AB205D" w:rsidRDefault="00471A3B">
            <w:pPr>
              <w:cnfStyle w:val="000000000000" w:firstRow="0" w:lastRow="0" w:firstColumn="0" w:lastColumn="0" w:oddVBand="0" w:evenVBand="0" w:oddHBand="0" w:evenHBand="0" w:firstRowFirstColumn="0" w:firstRowLastColumn="0" w:lastRowFirstColumn="0" w:lastRowLastColumn="0"/>
            </w:pPr>
            <w:r>
              <w:t>40</w:t>
            </w:r>
          </w:p>
        </w:tc>
      </w:tr>
      <w:tr w:rsidR="009C6724" w14:paraId="31DE88B7"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6A702E71" w14:textId="77777777" w:rsidR="00AB205D" w:rsidRDefault="00471A3B">
            <w:r>
              <w:t>Land, buildings, infrastructure, plant and equipment</w:t>
            </w:r>
          </w:p>
        </w:tc>
        <w:tc>
          <w:tcPr>
            <w:tcW w:w="794" w:type="dxa"/>
          </w:tcPr>
          <w:p w14:paraId="6CB2A6C0" w14:textId="77777777" w:rsidR="00AB205D" w:rsidRDefault="00471A3B">
            <w:pPr>
              <w:cnfStyle w:val="000000000000" w:firstRow="0" w:lastRow="0" w:firstColumn="0" w:lastColumn="0" w:oddVBand="0" w:evenVBand="0" w:oddHBand="0" w:evenHBand="0" w:firstRowFirstColumn="0" w:firstRowLastColumn="0" w:lastRowFirstColumn="0" w:lastRowLastColumn="0"/>
            </w:pPr>
            <w:r>
              <w:t>428 510</w:t>
            </w:r>
          </w:p>
        </w:tc>
        <w:tc>
          <w:tcPr>
            <w:tcW w:w="794" w:type="dxa"/>
          </w:tcPr>
          <w:p w14:paraId="1CB3FDB3" w14:textId="77777777" w:rsidR="00AB205D" w:rsidRDefault="00471A3B">
            <w:pPr>
              <w:cnfStyle w:val="000000000000" w:firstRow="0" w:lastRow="0" w:firstColumn="0" w:lastColumn="0" w:oddVBand="0" w:evenVBand="0" w:oddHBand="0" w:evenHBand="0" w:firstRowFirstColumn="0" w:firstRowLastColumn="0" w:lastRowFirstColumn="0" w:lastRowLastColumn="0"/>
            </w:pPr>
            <w:r>
              <w:t>429 622</w:t>
            </w:r>
          </w:p>
        </w:tc>
        <w:tc>
          <w:tcPr>
            <w:tcW w:w="794" w:type="dxa"/>
          </w:tcPr>
          <w:p w14:paraId="40188FDF" w14:textId="77777777" w:rsidR="00AB205D" w:rsidRDefault="00471A3B">
            <w:pPr>
              <w:cnfStyle w:val="000000000000" w:firstRow="0" w:lastRow="0" w:firstColumn="0" w:lastColumn="0" w:oddVBand="0" w:evenVBand="0" w:oddHBand="0" w:evenHBand="0" w:firstRowFirstColumn="0" w:firstRowLastColumn="0" w:lastRowFirstColumn="0" w:lastRowLastColumn="0"/>
            </w:pPr>
            <w:r>
              <w:t>462 220</w:t>
            </w:r>
          </w:p>
        </w:tc>
        <w:tc>
          <w:tcPr>
            <w:tcW w:w="794" w:type="dxa"/>
          </w:tcPr>
          <w:p w14:paraId="095441AC" w14:textId="77777777" w:rsidR="00AB205D" w:rsidRDefault="00471A3B">
            <w:pPr>
              <w:cnfStyle w:val="000000000000" w:firstRow="0" w:lastRow="0" w:firstColumn="0" w:lastColumn="0" w:oddVBand="0" w:evenVBand="0" w:oddHBand="0" w:evenHBand="0" w:firstRowFirstColumn="0" w:firstRowLastColumn="0" w:lastRowFirstColumn="0" w:lastRowLastColumn="0"/>
            </w:pPr>
            <w:r>
              <w:t>482 274</w:t>
            </w:r>
          </w:p>
        </w:tc>
        <w:tc>
          <w:tcPr>
            <w:tcW w:w="794" w:type="dxa"/>
          </w:tcPr>
          <w:p w14:paraId="006806EE" w14:textId="77777777" w:rsidR="00AB205D" w:rsidRDefault="00471A3B">
            <w:pPr>
              <w:cnfStyle w:val="000000000000" w:firstRow="0" w:lastRow="0" w:firstColumn="0" w:lastColumn="0" w:oddVBand="0" w:evenVBand="0" w:oddHBand="0" w:evenHBand="0" w:firstRowFirstColumn="0" w:firstRowLastColumn="0" w:lastRowFirstColumn="0" w:lastRowLastColumn="0"/>
            </w:pPr>
            <w:r>
              <w:t>505 934</w:t>
            </w:r>
          </w:p>
        </w:tc>
      </w:tr>
      <w:tr w:rsidR="009C6724" w14:paraId="3773BA4F"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412FAD6C" w14:textId="77777777" w:rsidR="00AB205D" w:rsidRDefault="00471A3B">
            <w:r>
              <w:t>Other non</w:t>
            </w:r>
            <w:r>
              <w:noBreakHyphen/>
              <w:t>financial assets</w:t>
            </w:r>
          </w:p>
        </w:tc>
        <w:tc>
          <w:tcPr>
            <w:tcW w:w="794" w:type="dxa"/>
            <w:tcBorders>
              <w:bottom w:val="single" w:sz="6" w:space="0" w:color="auto"/>
            </w:tcBorders>
          </w:tcPr>
          <w:p w14:paraId="5D1CE166" w14:textId="77777777" w:rsidR="00AB205D" w:rsidRDefault="00471A3B">
            <w:pPr>
              <w:cnfStyle w:val="000000000000" w:firstRow="0" w:lastRow="0" w:firstColumn="0" w:lastColumn="0" w:oddVBand="0" w:evenVBand="0" w:oddHBand="0" w:evenHBand="0" w:firstRowFirstColumn="0" w:firstRowLastColumn="0" w:lastRowFirstColumn="0" w:lastRowLastColumn="0"/>
            </w:pPr>
            <w:r>
              <w:t>6 814</w:t>
            </w:r>
          </w:p>
        </w:tc>
        <w:tc>
          <w:tcPr>
            <w:tcW w:w="794" w:type="dxa"/>
            <w:tcBorders>
              <w:bottom w:val="single" w:sz="6" w:space="0" w:color="auto"/>
            </w:tcBorders>
          </w:tcPr>
          <w:p w14:paraId="37FFE5BD" w14:textId="77777777" w:rsidR="00AB205D" w:rsidRDefault="00471A3B">
            <w:pPr>
              <w:cnfStyle w:val="000000000000" w:firstRow="0" w:lastRow="0" w:firstColumn="0" w:lastColumn="0" w:oddVBand="0" w:evenVBand="0" w:oddHBand="0" w:evenHBand="0" w:firstRowFirstColumn="0" w:firstRowLastColumn="0" w:lastRowFirstColumn="0" w:lastRowLastColumn="0"/>
            </w:pPr>
            <w:r>
              <w:t>6 819</w:t>
            </w:r>
          </w:p>
        </w:tc>
        <w:tc>
          <w:tcPr>
            <w:tcW w:w="794" w:type="dxa"/>
            <w:tcBorders>
              <w:bottom w:val="single" w:sz="6" w:space="0" w:color="auto"/>
            </w:tcBorders>
          </w:tcPr>
          <w:p w14:paraId="6F1D5BC6" w14:textId="77777777" w:rsidR="00AB205D" w:rsidRDefault="00471A3B">
            <w:pPr>
              <w:cnfStyle w:val="000000000000" w:firstRow="0" w:lastRow="0" w:firstColumn="0" w:lastColumn="0" w:oddVBand="0" w:evenVBand="0" w:oddHBand="0" w:evenHBand="0" w:firstRowFirstColumn="0" w:firstRowLastColumn="0" w:lastRowFirstColumn="0" w:lastRowLastColumn="0"/>
            </w:pPr>
            <w:r>
              <w:t>6 625</w:t>
            </w:r>
          </w:p>
        </w:tc>
        <w:tc>
          <w:tcPr>
            <w:tcW w:w="794" w:type="dxa"/>
            <w:tcBorders>
              <w:bottom w:val="single" w:sz="6" w:space="0" w:color="auto"/>
            </w:tcBorders>
          </w:tcPr>
          <w:p w14:paraId="5456AC25" w14:textId="77777777" w:rsidR="00AB205D" w:rsidRDefault="00471A3B">
            <w:pPr>
              <w:cnfStyle w:val="000000000000" w:firstRow="0" w:lastRow="0" w:firstColumn="0" w:lastColumn="0" w:oddVBand="0" w:evenVBand="0" w:oddHBand="0" w:evenHBand="0" w:firstRowFirstColumn="0" w:firstRowLastColumn="0" w:lastRowFirstColumn="0" w:lastRowLastColumn="0"/>
            </w:pPr>
            <w:r>
              <w:t>6 337</w:t>
            </w:r>
          </w:p>
        </w:tc>
        <w:tc>
          <w:tcPr>
            <w:tcW w:w="794" w:type="dxa"/>
            <w:tcBorders>
              <w:bottom w:val="single" w:sz="6" w:space="0" w:color="auto"/>
            </w:tcBorders>
          </w:tcPr>
          <w:p w14:paraId="1C16F2F7" w14:textId="77777777" w:rsidR="00AB205D" w:rsidRDefault="00471A3B">
            <w:pPr>
              <w:cnfStyle w:val="000000000000" w:firstRow="0" w:lastRow="0" w:firstColumn="0" w:lastColumn="0" w:oddVBand="0" w:evenVBand="0" w:oddHBand="0" w:evenHBand="0" w:firstRowFirstColumn="0" w:firstRowLastColumn="0" w:lastRowFirstColumn="0" w:lastRowLastColumn="0"/>
            </w:pPr>
            <w:r>
              <w:t>6 038</w:t>
            </w:r>
          </w:p>
        </w:tc>
      </w:tr>
      <w:tr w:rsidR="009C6724" w14:paraId="42BBDEC6"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6DBF3499" w14:textId="77777777" w:rsidR="00AB205D" w:rsidRDefault="00471A3B">
            <w:r>
              <w:rPr>
                <w:b/>
              </w:rPr>
              <w:t>Total non</w:t>
            </w:r>
            <w:r>
              <w:rPr>
                <w:b/>
              </w:rPr>
              <w:noBreakHyphen/>
              <w:t>financial assets</w:t>
            </w:r>
          </w:p>
        </w:tc>
        <w:tc>
          <w:tcPr>
            <w:tcW w:w="794" w:type="dxa"/>
            <w:tcBorders>
              <w:top w:val="single" w:sz="6" w:space="0" w:color="auto"/>
              <w:bottom w:val="single" w:sz="6" w:space="0" w:color="auto"/>
            </w:tcBorders>
          </w:tcPr>
          <w:p w14:paraId="5B51D1D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436 960</w:t>
            </w:r>
          </w:p>
        </w:tc>
        <w:tc>
          <w:tcPr>
            <w:tcW w:w="794" w:type="dxa"/>
            <w:tcBorders>
              <w:top w:val="single" w:sz="6" w:space="0" w:color="auto"/>
              <w:bottom w:val="single" w:sz="6" w:space="0" w:color="auto"/>
            </w:tcBorders>
          </w:tcPr>
          <w:p w14:paraId="6CECBD8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439 002</w:t>
            </w:r>
          </w:p>
        </w:tc>
        <w:tc>
          <w:tcPr>
            <w:tcW w:w="794" w:type="dxa"/>
            <w:tcBorders>
              <w:top w:val="single" w:sz="6" w:space="0" w:color="auto"/>
              <w:bottom w:val="single" w:sz="6" w:space="0" w:color="auto"/>
            </w:tcBorders>
          </w:tcPr>
          <w:p w14:paraId="5131129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471 172</w:t>
            </w:r>
          </w:p>
        </w:tc>
        <w:tc>
          <w:tcPr>
            <w:tcW w:w="794" w:type="dxa"/>
            <w:tcBorders>
              <w:top w:val="single" w:sz="6" w:space="0" w:color="auto"/>
              <w:bottom w:val="single" w:sz="6" w:space="0" w:color="auto"/>
            </w:tcBorders>
          </w:tcPr>
          <w:p w14:paraId="62A2ACE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491 187</w:t>
            </w:r>
          </w:p>
        </w:tc>
        <w:tc>
          <w:tcPr>
            <w:tcW w:w="794" w:type="dxa"/>
            <w:tcBorders>
              <w:top w:val="single" w:sz="6" w:space="0" w:color="auto"/>
              <w:bottom w:val="single" w:sz="6" w:space="0" w:color="auto"/>
            </w:tcBorders>
          </w:tcPr>
          <w:p w14:paraId="15CF09E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513 977</w:t>
            </w:r>
          </w:p>
        </w:tc>
      </w:tr>
      <w:tr w:rsidR="009C6724" w14:paraId="5363327C"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3C5E356F" w14:textId="77777777" w:rsidR="00AB205D" w:rsidRDefault="00471A3B">
            <w:r>
              <w:rPr>
                <w:b/>
              </w:rPr>
              <w:t>Total assets</w:t>
            </w:r>
          </w:p>
        </w:tc>
        <w:tc>
          <w:tcPr>
            <w:tcW w:w="794" w:type="dxa"/>
            <w:tcBorders>
              <w:top w:val="single" w:sz="6" w:space="0" w:color="auto"/>
            </w:tcBorders>
          </w:tcPr>
          <w:p w14:paraId="0534C58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492 750</w:t>
            </w:r>
          </w:p>
        </w:tc>
        <w:tc>
          <w:tcPr>
            <w:tcW w:w="794" w:type="dxa"/>
            <w:tcBorders>
              <w:top w:val="single" w:sz="6" w:space="0" w:color="auto"/>
            </w:tcBorders>
          </w:tcPr>
          <w:p w14:paraId="548BB77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494 882</w:t>
            </w:r>
          </w:p>
        </w:tc>
        <w:tc>
          <w:tcPr>
            <w:tcW w:w="794" w:type="dxa"/>
            <w:tcBorders>
              <w:top w:val="single" w:sz="6" w:space="0" w:color="auto"/>
            </w:tcBorders>
          </w:tcPr>
          <w:p w14:paraId="0F09689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529 488</w:t>
            </w:r>
          </w:p>
        </w:tc>
        <w:tc>
          <w:tcPr>
            <w:tcW w:w="794" w:type="dxa"/>
            <w:tcBorders>
              <w:top w:val="single" w:sz="6" w:space="0" w:color="auto"/>
            </w:tcBorders>
          </w:tcPr>
          <w:p w14:paraId="76FED42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552 163</w:t>
            </w:r>
          </w:p>
        </w:tc>
        <w:tc>
          <w:tcPr>
            <w:tcW w:w="794" w:type="dxa"/>
            <w:tcBorders>
              <w:top w:val="single" w:sz="6" w:space="0" w:color="auto"/>
            </w:tcBorders>
          </w:tcPr>
          <w:p w14:paraId="291CDD5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578 880</w:t>
            </w:r>
          </w:p>
        </w:tc>
      </w:tr>
      <w:tr w:rsidR="009C6724" w14:paraId="71999948"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1F949285" w14:textId="77777777" w:rsidR="00AB205D" w:rsidRDefault="00471A3B">
            <w:r>
              <w:rPr>
                <w:b/>
              </w:rPr>
              <w:t>Liabilities</w:t>
            </w:r>
          </w:p>
        </w:tc>
        <w:tc>
          <w:tcPr>
            <w:tcW w:w="794" w:type="dxa"/>
          </w:tcPr>
          <w:p w14:paraId="21C5B922"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95C0566"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1A47EECD"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54A0F2A8"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D89FC1C"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52635140"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C9A5A91" w14:textId="77777777" w:rsidR="00AB205D" w:rsidRDefault="00471A3B">
            <w:r>
              <w:t>Deposits held and advances received</w:t>
            </w:r>
          </w:p>
        </w:tc>
        <w:tc>
          <w:tcPr>
            <w:tcW w:w="794" w:type="dxa"/>
          </w:tcPr>
          <w:p w14:paraId="38912672" w14:textId="77777777" w:rsidR="00AB205D" w:rsidRDefault="00471A3B">
            <w:pPr>
              <w:cnfStyle w:val="000000000000" w:firstRow="0" w:lastRow="0" w:firstColumn="0" w:lastColumn="0" w:oddVBand="0" w:evenVBand="0" w:oddHBand="0" w:evenHBand="0" w:firstRowFirstColumn="0" w:firstRowLastColumn="0" w:lastRowFirstColumn="0" w:lastRowLastColumn="0"/>
            </w:pPr>
            <w:r>
              <w:t>1 641</w:t>
            </w:r>
          </w:p>
        </w:tc>
        <w:tc>
          <w:tcPr>
            <w:tcW w:w="794" w:type="dxa"/>
          </w:tcPr>
          <w:p w14:paraId="337CBEFA" w14:textId="77777777" w:rsidR="00AB205D" w:rsidRDefault="00471A3B">
            <w:pPr>
              <w:cnfStyle w:val="000000000000" w:firstRow="0" w:lastRow="0" w:firstColumn="0" w:lastColumn="0" w:oddVBand="0" w:evenVBand="0" w:oddHBand="0" w:evenHBand="0" w:firstRowFirstColumn="0" w:firstRowLastColumn="0" w:lastRowFirstColumn="0" w:lastRowLastColumn="0"/>
            </w:pPr>
            <w:r>
              <w:t>1 600</w:t>
            </w:r>
          </w:p>
        </w:tc>
        <w:tc>
          <w:tcPr>
            <w:tcW w:w="794" w:type="dxa"/>
          </w:tcPr>
          <w:p w14:paraId="53B7554F" w14:textId="77777777" w:rsidR="00AB205D" w:rsidRDefault="00471A3B">
            <w:pPr>
              <w:cnfStyle w:val="000000000000" w:firstRow="0" w:lastRow="0" w:firstColumn="0" w:lastColumn="0" w:oddVBand="0" w:evenVBand="0" w:oddHBand="0" w:evenHBand="0" w:firstRowFirstColumn="0" w:firstRowLastColumn="0" w:lastRowFirstColumn="0" w:lastRowLastColumn="0"/>
            </w:pPr>
            <w:r>
              <w:t>1 598</w:t>
            </w:r>
          </w:p>
        </w:tc>
        <w:tc>
          <w:tcPr>
            <w:tcW w:w="794" w:type="dxa"/>
          </w:tcPr>
          <w:p w14:paraId="3B50A565" w14:textId="77777777" w:rsidR="00AB205D" w:rsidRDefault="00471A3B">
            <w:pPr>
              <w:cnfStyle w:val="000000000000" w:firstRow="0" w:lastRow="0" w:firstColumn="0" w:lastColumn="0" w:oddVBand="0" w:evenVBand="0" w:oddHBand="0" w:evenHBand="0" w:firstRowFirstColumn="0" w:firstRowLastColumn="0" w:lastRowFirstColumn="0" w:lastRowLastColumn="0"/>
            </w:pPr>
            <w:r>
              <w:t>1 552</w:t>
            </w:r>
          </w:p>
        </w:tc>
        <w:tc>
          <w:tcPr>
            <w:tcW w:w="794" w:type="dxa"/>
          </w:tcPr>
          <w:p w14:paraId="1FE5EA89" w14:textId="77777777" w:rsidR="00AB205D" w:rsidRDefault="00471A3B">
            <w:pPr>
              <w:cnfStyle w:val="000000000000" w:firstRow="0" w:lastRow="0" w:firstColumn="0" w:lastColumn="0" w:oddVBand="0" w:evenVBand="0" w:oddHBand="0" w:evenHBand="0" w:firstRowFirstColumn="0" w:firstRowLastColumn="0" w:lastRowFirstColumn="0" w:lastRowLastColumn="0"/>
            </w:pPr>
            <w:r>
              <w:t>1 539</w:t>
            </w:r>
          </w:p>
        </w:tc>
      </w:tr>
      <w:tr w:rsidR="009C6724" w14:paraId="3BD3FF0B"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730E907" w14:textId="77777777" w:rsidR="00AB205D" w:rsidRDefault="00471A3B">
            <w:r>
              <w:t>Payables</w:t>
            </w:r>
          </w:p>
        </w:tc>
        <w:tc>
          <w:tcPr>
            <w:tcW w:w="794" w:type="dxa"/>
          </w:tcPr>
          <w:p w14:paraId="3A689725" w14:textId="77777777" w:rsidR="00AB205D" w:rsidRDefault="00471A3B">
            <w:pPr>
              <w:cnfStyle w:val="000000000000" w:firstRow="0" w:lastRow="0" w:firstColumn="0" w:lastColumn="0" w:oddVBand="0" w:evenVBand="0" w:oddHBand="0" w:evenHBand="0" w:firstRowFirstColumn="0" w:firstRowLastColumn="0" w:lastRowFirstColumn="0" w:lastRowLastColumn="0"/>
            </w:pPr>
            <w:r>
              <w:t>38 127</w:t>
            </w:r>
          </w:p>
        </w:tc>
        <w:tc>
          <w:tcPr>
            <w:tcW w:w="794" w:type="dxa"/>
          </w:tcPr>
          <w:p w14:paraId="597B4BF8" w14:textId="77777777" w:rsidR="00AB205D" w:rsidRDefault="00471A3B">
            <w:pPr>
              <w:cnfStyle w:val="000000000000" w:firstRow="0" w:lastRow="0" w:firstColumn="0" w:lastColumn="0" w:oddVBand="0" w:evenVBand="0" w:oddHBand="0" w:evenHBand="0" w:firstRowFirstColumn="0" w:firstRowLastColumn="0" w:lastRowFirstColumn="0" w:lastRowLastColumn="0"/>
            </w:pPr>
            <w:r>
              <w:t>37 080</w:t>
            </w:r>
          </w:p>
        </w:tc>
        <w:tc>
          <w:tcPr>
            <w:tcW w:w="794" w:type="dxa"/>
          </w:tcPr>
          <w:p w14:paraId="6A1E47A7" w14:textId="77777777" w:rsidR="00AB205D" w:rsidRDefault="00471A3B">
            <w:pPr>
              <w:cnfStyle w:val="000000000000" w:firstRow="0" w:lastRow="0" w:firstColumn="0" w:lastColumn="0" w:oddVBand="0" w:evenVBand="0" w:oddHBand="0" w:evenHBand="0" w:firstRowFirstColumn="0" w:firstRowLastColumn="0" w:lastRowFirstColumn="0" w:lastRowLastColumn="0"/>
            </w:pPr>
            <w:r>
              <w:t>36 503</w:t>
            </w:r>
          </w:p>
        </w:tc>
        <w:tc>
          <w:tcPr>
            <w:tcW w:w="794" w:type="dxa"/>
          </w:tcPr>
          <w:p w14:paraId="26AFB45A" w14:textId="77777777" w:rsidR="00AB205D" w:rsidRDefault="00471A3B">
            <w:pPr>
              <w:cnfStyle w:val="000000000000" w:firstRow="0" w:lastRow="0" w:firstColumn="0" w:lastColumn="0" w:oddVBand="0" w:evenVBand="0" w:oddHBand="0" w:evenHBand="0" w:firstRowFirstColumn="0" w:firstRowLastColumn="0" w:lastRowFirstColumn="0" w:lastRowLastColumn="0"/>
            </w:pPr>
            <w:r>
              <w:t>35 727</w:t>
            </w:r>
          </w:p>
        </w:tc>
        <w:tc>
          <w:tcPr>
            <w:tcW w:w="794" w:type="dxa"/>
          </w:tcPr>
          <w:p w14:paraId="3DA69CA3" w14:textId="77777777" w:rsidR="00AB205D" w:rsidRDefault="00471A3B">
            <w:pPr>
              <w:cnfStyle w:val="000000000000" w:firstRow="0" w:lastRow="0" w:firstColumn="0" w:lastColumn="0" w:oddVBand="0" w:evenVBand="0" w:oddHBand="0" w:evenHBand="0" w:firstRowFirstColumn="0" w:firstRowLastColumn="0" w:lastRowFirstColumn="0" w:lastRowLastColumn="0"/>
            </w:pPr>
            <w:r>
              <w:t>34 770</w:t>
            </w:r>
          </w:p>
        </w:tc>
      </w:tr>
      <w:tr w:rsidR="009C6724" w14:paraId="59208340"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EEC1D11" w14:textId="77777777" w:rsidR="00AB205D" w:rsidRDefault="00471A3B">
            <w:r>
              <w:t>Contract liabilities</w:t>
            </w:r>
          </w:p>
        </w:tc>
        <w:tc>
          <w:tcPr>
            <w:tcW w:w="794" w:type="dxa"/>
          </w:tcPr>
          <w:p w14:paraId="5323E75F" w14:textId="77777777" w:rsidR="00AB205D" w:rsidRDefault="00471A3B">
            <w:pPr>
              <w:cnfStyle w:val="000000000000" w:firstRow="0" w:lastRow="0" w:firstColumn="0" w:lastColumn="0" w:oddVBand="0" w:evenVBand="0" w:oddHBand="0" w:evenHBand="0" w:firstRowFirstColumn="0" w:firstRowLastColumn="0" w:lastRowFirstColumn="0" w:lastRowLastColumn="0"/>
            </w:pPr>
            <w:r>
              <w:t>529</w:t>
            </w:r>
          </w:p>
        </w:tc>
        <w:tc>
          <w:tcPr>
            <w:tcW w:w="794" w:type="dxa"/>
          </w:tcPr>
          <w:p w14:paraId="23700B51" w14:textId="77777777" w:rsidR="00AB205D" w:rsidRDefault="00471A3B">
            <w:pPr>
              <w:cnfStyle w:val="000000000000" w:firstRow="0" w:lastRow="0" w:firstColumn="0" w:lastColumn="0" w:oddVBand="0" w:evenVBand="0" w:oddHBand="0" w:evenHBand="0" w:firstRowFirstColumn="0" w:firstRowLastColumn="0" w:lastRowFirstColumn="0" w:lastRowLastColumn="0"/>
            </w:pPr>
            <w:r>
              <w:t>615</w:t>
            </w:r>
          </w:p>
        </w:tc>
        <w:tc>
          <w:tcPr>
            <w:tcW w:w="794" w:type="dxa"/>
          </w:tcPr>
          <w:p w14:paraId="1C6EFA2B" w14:textId="77777777" w:rsidR="00AB205D" w:rsidRDefault="00471A3B">
            <w:pPr>
              <w:cnfStyle w:val="000000000000" w:firstRow="0" w:lastRow="0" w:firstColumn="0" w:lastColumn="0" w:oddVBand="0" w:evenVBand="0" w:oddHBand="0" w:evenHBand="0" w:firstRowFirstColumn="0" w:firstRowLastColumn="0" w:lastRowFirstColumn="0" w:lastRowLastColumn="0"/>
            </w:pPr>
            <w:r>
              <w:t>606</w:t>
            </w:r>
          </w:p>
        </w:tc>
        <w:tc>
          <w:tcPr>
            <w:tcW w:w="794" w:type="dxa"/>
          </w:tcPr>
          <w:p w14:paraId="688011FE" w14:textId="77777777" w:rsidR="00AB205D" w:rsidRDefault="00471A3B">
            <w:pPr>
              <w:cnfStyle w:val="000000000000" w:firstRow="0" w:lastRow="0" w:firstColumn="0" w:lastColumn="0" w:oddVBand="0" w:evenVBand="0" w:oddHBand="0" w:evenHBand="0" w:firstRowFirstColumn="0" w:firstRowLastColumn="0" w:lastRowFirstColumn="0" w:lastRowLastColumn="0"/>
            </w:pPr>
            <w:r>
              <w:t>610</w:t>
            </w:r>
          </w:p>
        </w:tc>
        <w:tc>
          <w:tcPr>
            <w:tcW w:w="794" w:type="dxa"/>
          </w:tcPr>
          <w:p w14:paraId="143F3D54" w14:textId="77777777" w:rsidR="00AB205D" w:rsidRDefault="00471A3B">
            <w:pPr>
              <w:cnfStyle w:val="000000000000" w:firstRow="0" w:lastRow="0" w:firstColumn="0" w:lastColumn="0" w:oddVBand="0" w:evenVBand="0" w:oddHBand="0" w:evenHBand="0" w:firstRowFirstColumn="0" w:firstRowLastColumn="0" w:lastRowFirstColumn="0" w:lastRowLastColumn="0"/>
            </w:pPr>
            <w:r>
              <w:t>611</w:t>
            </w:r>
          </w:p>
        </w:tc>
      </w:tr>
      <w:tr w:rsidR="009C6724" w14:paraId="2F2EFD90"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F580FE2" w14:textId="77777777" w:rsidR="00AB205D" w:rsidRDefault="00471A3B">
            <w:r>
              <w:t>Borrowings</w:t>
            </w:r>
          </w:p>
        </w:tc>
        <w:tc>
          <w:tcPr>
            <w:tcW w:w="794" w:type="dxa"/>
          </w:tcPr>
          <w:p w14:paraId="00661E95" w14:textId="77777777" w:rsidR="00AB205D" w:rsidRDefault="00471A3B">
            <w:pPr>
              <w:cnfStyle w:val="000000000000" w:firstRow="0" w:lastRow="0" w:firstColumn="0" w:lastColumn="0" w:oddVBand="0" w:evenVBand="0" w:oddHBand="0" w:evenHBand="0" w:firstRowFirstColumn="0" w:firstRowLastColumn="0" w:lastRowFirstColumn="0" w:lastRowLastColumn="0"/>
            </w:pPr>
            <w:r>
              <w:t>184 730</w:t>
            </w:r>
          </w:p>
        </w:tc>
        <w:tc>
          <w:tcPr>
            <w:tcW w:w="794" w:type="dxa"/>
          </w:tcPr>
          <w:p w14:paraId="68AFE68F" w14:textId="77777777" w:rsidR="00AB205D" w:rsidRDefault="00471A3B">
            <w:pPr>
              <w:cnfStyle w:val="000000000000" w:firstRow="0" w:lastRow="0" w:firstColumn="0" w:lastColumn="0" w:oddVBand="0" w:evenVBand="0" w:oddHBand="0" w:evenHBand="0" w:firstRowFirstColumn="0" w:firstRowLastColumn="0" w:lastRowFirstColumn="0" w:lastRowLastColumn="0"/>
            </w:pPr>
            <w:r>
              <w:t>187 155</w:t>
            </w:r>
          </w:p>
        </w:tc>
        <w:tc>
          <w:tcPr>
            <w:tcW w:w="794" w:type="dxa"/>
          </w:tcPr>
          <w:p w14:paraId="3F2CF124" w14:textId="77777777" w:rsidR="00AB205D" w:rsidRDefault="00471A3B">
            <w:pPr>
              <w:cnfStyle w:val="000000000000" w:firstRow="0" w:lastRow="0" w:firstColumn="0" w:lastColumn="0" w:oddVBand="0" w:evenVBand="0" w:oddHBand="0" w:evenHBand="0" w:firstRowFirstColumn="0" w:firstRowLastColumn="0" w:lastRowFirstColumn="0" w:lastRowLastColumn="0"/>
            </w:pPr>
            <w:r>
              <w:t>209 771</w:t>
            </w:r>
          </w:p>
        </w:tc>
        <w:tc>
          <w:tcPr>
            <w:tcW w:w="794" w:type="dxa"/>
          </w:tcPr>
          <w:p w14:paraId="3A2BB73D" w14:textId="77777777" w:rsidR="00AB205D" w:rsidRDefault="00471A3B">
            <w:pPr>
              <w:cnfStyle w:val="000000000000" w:firstRow="0" w:lastRow="0" w:firstColumn="0" w:lastColumn="0" w:oddVBand="0" w:evenVBand="0" w:oddHBand="0" w:evenHBand="0" w:firstRowFirstColumn="0" w:firstRowLastColumn="0" w:lastRowFirstColumn="0" w:lastRowLastColumn="0"/>
            </w:pPr>
            <w:r>
              <w:t>228 225</w:t>
            </w:r>
          </w:p>
        </w:tc>
        <w:tc>
          <w:tcPr>
            <w:tcW w:w="794" w:type="dxa"/>
          </w:tcPr>
          <w:p w14:paraId="3A216BBD" w14:textId="77777777" w:rsidR="00AB205D" w:rsidRDefault="00471A3B">
            <w:pPr>
              <w:cnfStyle w:val="000000000000" w:firstRow="0" w:lastRow="0" w:firstColumn="0" w:lastColumn="0" w:oddVBand="0" w:evenVBand="0" w:oddHBand="0" w:evenHBand="0" w:firstRowFirstColumn="0" w:firstRowLastColumn="0" w:lastRowFirstColumn="0" w:lastRowLastColumn="0"/>
            </w:pPr>
            <w:r>
              <w:t>245 655</w:t>
            </w:r>
          </w:p>
        </w:tc>
      </w:tr>
      <w:tr w:rsidR="009C6724" w14:paraId="73F4FB35"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8C2573A" w14:textId="77777777" w:rsidR="00AB205D" w:rsidRDefault="00471A3B">
            <w:r>
              <w:t>Employee benefits</w:t>
            </w:r>
          </w:p>
        </w:tc>
        <w:tc>
          <w:tcPr>
            <w:tcW w:w="794" w:type="dxa"/>
          </w:tcPr>
          <w:p w14:paraId="129924B7" w14:textId="77777777" w:rsidR="00AB205D" w:rsidRDefault="00471A3B">
            <w:pPr>
              <w:cnfStyle w:val="000000000000" w:firstRow="0" w:lastRow="0" w:firstColumn="0" w:lastColumn="0" w:oddVBand="0" w:evenVBand="0" w:oddHBand="0" w:evenHBand="0" w:firstRowFirstColumn="0" w:firstRowLastColumn="0" w:lastRowFirstColumn="0" w:lastRowLastColumn="0"/>
            </w:pPr>
            <w:r>
              <w:t>11 169</w:t>
            </w:r>
          </w:p>
        </w:tc>
        <w:tc>
          <w:tcPr>
            <w:tcW w:w="794" w:type="dxa"/>
          </w:tcPr>
          <w:p w14:paraId="18222F63" w14:textId="77777777" w:rsidR="00AB205D" w:rsidRDefault="00471A3B">
            <w:pPr>
              <w:cnfStyle w:val="000000000000" w:firstRow="0" w:lastRow="0" w:firstColumn="0" w:lastColumn="0" w:oddVBand="0" w:evenVBand="0" w:oddHBand="0" w:evenHBand="0" w:firstRowFirstColumn="0" w:firstRowLastColumn="0" w:lastRowFirstColumn="0" w:lastRowLastColumn="0"/>
            </w:pPr>
            <w:r>
              <w:t>11 158</w:t>
            </w:r>
          </w:p>
        </w:tc>
        <w:tc>
          <w:tcPr>
            <w:tcW w:w="794" w:type="dxa"/>
          </w:tcPr>
          <w:p w14:paraId="7280B790" w14:textId="77777777" w:rsidR="00AB205D" w:rsidRDefault="00471A3B">
            <w:pPr>
              <w:cnfStyle w:val="000000000000" w:firstRow="0" w:lastRow="0" w:firstColumn="0" w:lastColumn="0" w:oddVBand="0" w:evenVBand="0" w:oddHBand="0" w:evenHBand="0" w:firstRowFirstColumn="0" w:firstRowLastColumn="0" w:lastRowFirstColumn="0" w:lastRowLastColumn="0"/>
            </w:pPr>
            <w:r>
              <w:t>11 511</w:t>
            </w:r>
          </w:p>
        </w:tc>
        <w:tc>
          <w:tcPr>
            <w:tcW w:w="794" w:type="dxa"/>
          </w:tcPr>
          <w:p w14:paraId="4F0EFDE8" w14:textId="77777777" w:rsidR="00AB205D" w:rsidRDefault="00471A3B">
            <w:pPr>
              <w:cnfStyle w:val="000000000000" w:firstRow="0" w:lastRow="0" w:firstColumn="0" w:lastColumn="0" w:oddVBand="0" w:evenVBand="0" w:oddHBand="0" w:evenHBand="0" w:firstRowFirstColumn="0" w:firstRowLastColumn="0" w:lastRowFirstColumn="0" w:lastRowLastColumn="0"/>
            </w:pPr>
            <w:r>
              <w:t>11 873</w:t>
            </w:r>
          </w:p>
        </w:tc>
        <w:tc>
          <w:tcPr>
            <w:tcW w:w="794" w:type="dxa"/>
          </w:tcPr>
          <w:p w14:paraId="0D2F8B05" w14:textId="77777777" w:rsidR="00AB205D" w:rsidRDefault="00471A3B">
            <w:pPr>
              <w:cnfStyle w:val="000000000000" w:firstRow="0" w:lastRow="0" w:firstColumn="0" w:lastColumn="0" w:oddVBand="0" w:evenVBand="0" w:oddHBand="0" w:evenHBand="0" w:firstRowFirstColumn="0" w:firstRowLastColumn="0" w:lastRowFirstColumn="0" w:lastRowLastColumn="0"/>
            </w:pPr>
            <w:r>
              <w:t>12 239</w:t>
            </w:r>
          </w:p>
        </w:tc>
      </w:tr>
      <w:tr w:rsidR="009C6724" w14:paraId="48FCD763"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18560988" w14:textId="77777777" w:rsidR="00AB205D" w:rsidRDefault="00471A3B">
            <w:r>
              <w:t>Superannuation</w:t>
            </w:r>
          </w:p>
        </w:tc>
        <w:tc>
          <w:tcPr>
            <w:tcW w:w="794" w:type="dxa"/>
          </w:tcPr>
          <w:p w14:paraId="37B861D3" w14:textId="77777777" w:rsidR="00AB205D" w:rsidRDefault="00471A3B">
            <w:pPr>
              <w:cnfStyle w:val="000000000000" w:firstRow="0" w:lastRow="0" w:firstColumn="0" w:lastColumn="0" w:oddVBand="0" w:evenVBand="0" w:oddHBand="0" w:evenHBand="0" w:firstRowFirstColumn="0" w:firstRowLastColumn="0" w:lastRowFirstColumn="0" w:lastRowLastColumn="0"/>
            </w:pPr>
            <w:r>
              <w:t>19 009</w:t>
            </w:r>
          </w:p>
        </w:tc>
        <w:tc>
          <w:tcPr>
            <w:tcW w:w="794" w:type="dxa"/>
          </w:tcPr>
          <w:p w14:paraId="378DB711" w14:textId="77777777" w:rsidR="00AB205D" w:rsidRDefault="00471A3B">
            <w:pPr>
              <w:cnfStyle w:val="000000000000" w:firstRow="0" w:lastRow="0" w:firstColumn="0" w:lastColumn="0" w:oddVBand="0" w:evenVBand="0" w:oddHBand="0" w:evenHBand="0" w:firstRowFirstColumn="0" w:firstRowLastColumn="0" w:lastRowFirstColumn="0" w:lastRowLastColumn="0"/>
            </w:pPr>
            <w:r>
              <w:t>17 199</w:t>
            </w:r>
          </w:p>
        </w:tc>
        <w:tc>
          <w:tcPr>
            <w:tcW w:w="794" w:type="dxa"/>
          </w:tcPr>
          <w:p w14:paraId="52B4D1BB" w14:textId="77777777" w:rsidR="00AB205D" w:rsidRDefault="00471A3B">
            <w:pPr>
              <w:cnfStyle w:val="000000000000" w:firstRow="0" w:lastRow="0" w:firstColumn="0" w:lastColumn="0" w:oddVBand="0" w:evenVBand="0" w:oddHBand="0" w:evenHBand="0" w:firstRowFirstColumn="0" w:firstRowLastColumn="0" w:lastRowFirstColumn="0" w:lastRowLastColumn="0"/>
            </w:pPr>
            <w:r>
              <w:t>17 284</w:t>
            </w:r>
          </w:p>
        </w:tc>
        <w:tc>
          <w:tcPr>
            <w:tcW w:w="794" w:type="dxa"/>
          </w:tcPr>
          <w:p w14:paraId="7DDEC281" w14:textId="77777777" w:rsidR="00AB205D" w:rsidRDefault="00471A3B">
            <w:pPr>
              <w:cnfStyle w:val="000000000000" w:firstRow="0" w:lastRow="0" w:firstColumn="0" w:lastColumn="0" w:oddVBand="0" w:evenVBand="0" w:oddHBand="0" w:evenHBand="0" w:firstRowFirstColumn="0" w:firstRowLastColumn="0" w:lastRowFirstColumn="0" w:lastRowLastColumn="0"/>
            </w:pPr>
            <w:r>
              <w:t>17 585</w:t>
            </w:r>
          </w:p>
        </w:tc>
        <w:tc>
          <w:tcPr>
            <w:tcW w:w="794" w:type="dxa"/>
          </w:tcPr>
          <w:p w14:paraId="65D8CB51" w14:textId="77777777" w:rsidR="00AB205D" w:rsidRDefault="00471A3B">
            <w:pPr>
              <w:cnfStyle w:val="000000000000" w:firstRow="0" w:lastRow="0" w:firstColumn="0" w:lastColumn="0" w:oddVBand="0" w:evenVBand="0" w:oddHBand="0" w:evenHBand="0" w:firstRowFirstColumn="0" w:firstRowLastColumn="0" w:lastRowFirstColumn="0" w:lastRowLastColumn="0"/>
            </w:pPr>
            <w:r>
              <w:t>17 668</w:t>
            </w:r>
          </w:p>
        </w:tc>
      </w:tr>
      <w:tr w:rsidR="009C6724" w14:paraId="0587C18F"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26DFDF90" w14:textId="77777777" w:rsidR="00AB205D" w:rsidRDefault="00471A3B">
            <w:r>
              <w:t>Other provisions</w:t>
            </w:r>
          </w:p>
        </w:tc>
        <w:tc>
          <w:tcPr>
            <w:tcW w:w="794" w:type="dxa"/>
            <w:tcBorders>
              <w:bottom w:val="single" w:sz="6" w:space="0" w:color="auto"/>
            </w:tcBorders>
          </w:tcPr>
          <w:p w14:paraId="75904EAE" w14:textId="77777777" w:rsidR="00AB205D" w:rsidRDefault="00471A3B">
            <w:pPr>
              <w:cnfStyle w:val="000000000000" w:firstRow="0" w:lastRow="0" w:firstColumn="0" w:lastColumn="0" w:oddVBand="0" w:evenVBand="0" w:oddHBand="0" w:evenHBand="0" w:firstRowFirstColumn="0" w:firstRowLastColumn="0" w:lastRowFirstColumn="0" w:lastRowLastColumn="0"/>
            </w:pPr>
            <w:r>
              <w:t>3 191</w:t>
            </w:r>
          </w:p>
        </w:tc>
        <w:tc>
          <w:tcPr>
            <w:tcW w:w="794" w:type="dxa"/>
            <w:tcBorders>
              <w:bottom w:val="single" w:sz="6" w:space="0" w:color="auto"/>
            </w:tcBorders>
          </w:tcPr>
          <w:p w14:paraId="3C277255" w14:textId="77777777" w:rsidR="00AB205D" w:rsidRDefault="00471A3B">
            <w:pPr>
              <w:cnfStyle w:val="000000000000" w:firstRow="0" w:lastRow="0" w:firstColumn="0" w:lastColumn="0" w:oddVBand="0" w:evenVBand="0" w:oddHBand="0" w:evenHBand="0" w:firstRowFirstColumn="0" w:firstRowLastColumn="0" w:lastRowFirstColumn="0" w:lastRowLastColumn="0"/>
            </w:pPr>
            <w:r>
              <w:t>3 026</w:t>
            </w:r>
          </w:p>
        </w:tc>
        <w:tc>
          <w:tcPr>
            <w:tcW w:w="794" w:type="dxa"/>
            <w:tcBorders>
              <w:bottom w:val="single" w:sz="6" w:space="0" w:color="auto"/>
            </w:tcBorders>
          </w:tcPr>
          <w:p w14:paraId="5059E9F0" w14:textId="77777777" w:rsidR="00AB205D" w:rsidRDefault="00471A3B">
            <w:pPr>
              <w:cnfStyle w:val="000000000000" w:firstRow="0" w:lastRow="0" w:firstColumn="0" w:lastColumn="0" w:oddVBand="0" w:evenVBand="0" w:oddHBand="0" w:evenHBand="0" w:firstRowFirstColumn="0" w:firstRowLastColumn="0" w:lastRowFirstColumn="0" w:lastRowLastColumn="0"/>
            </w:pPr>
            <w:r>
              <w:t>2 774</w:t>
            </w:r>
          </w:p>
        </w:tc>
        <w:tc>
          <w:tcPr>
            <w:tcW w:w="794" w:type="dxa"/>
            <w:tcBorders>
              <w:bottom w:val="single" w:sz="6" w:space="0" w:color="auto"/>
            </w:tcBorders>
          </w:tcPr>
          <w:p w14:paraId="24708BD5" w14:textId="77777777" w:rsidR="00AB205D" w:rsidRDefault="00471A3B">
            <w:pPr>
              <w:cnfStyle w:val="000000000000" w:firstRow="0" w:lastRow="0" w:firstColumn="0" w:lastColumn="0" w:oddVBand="0" w:evenVBand="0" w:oddHBand="0" w:evenHBand="0" w:firstRowFirstColumn="0" w:firstRowLastColumn="0" w:lastRowFirstColumn="0" w:lastRowLastColumn="0"/>
            </w:pPr>
            <w:r>
              <w:t>2 927</w:t>
            </w:r>
          </w:p>
        </w:tc>
        <w:tc>
          <w:tcPr>
            <w:tcW w:w="794" w:type="dxa"/>
            <w:tcBorders>
              <w:bottom w:val="single" w:sz="6" w:space="0" w:color="auto"/>
            </w:tcBorders>
          </w:tcPr>
          <w:p w14:paraId="0CB13696" w14:textId="77777777" w:rsidR="00AB205D" w:rsidRDefault="00471A3B">
            <w:pPr>
              <w:cnfStyle w:val="000000000000" w:firstRow="0" w:lastRow="0" w:firstColumn="0" w:lastColumn="0" w:oddVBand="0" w:evenVBand="0" w:oddHBand="0" w:evenHBand="0" w:firstRowFirstColumn="0" w:firstRowLastColumn="0" w:lastRowFirstColumn="0" w:lastRowLastColumn="0"/>
            </w:pPr>
            <w:r>
              <w:t>3 112</w:t>
            </w:r>
          </w:p>
        </w:tc>
      </w:tr>
      <w:tr w:rsidR="009C6724" w14:paraId="28828C71"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44192CBE" w14:textId="77777777" w:rsidR="00AB205D" w:rsidRDefault="00471A3B">
            <w:r>
              <w:rPr>
                <w:b/>
              </w:rPr>
              <w:t>Total liabilities</w:t>
            </w:r>
          </w:p>
        </w:tc>
        <w:tc>
          <w:tcPr>
            <w:tcW w:w="794" w:type="dxa"/>
            <w:tcBorders>
              <w:top w:val="single" w:sz="6" w:space="0" w:color="auto"/>
              <w:bottom w:val="single" w:sz="6" w:space="0" w:color="auto"/>
            </w:tcBorders>
          </w:tcPr>
          <w:p w14:paraId="14D64BC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258 396</w:t>
            </w:r>
          </w:p>
        </w:tc>
        <w:tc>
          <w:tcPr>
            <w:tcW w:w="794" w:type="dxa"/>
            <w:tcBorders>
              <w:top w:val="single" w:sz="6" w:space="0" w:color="auto"/>
              <w:bottom w:val="single" w:sz="6" w:space="0" w:color="auto"/>
            </w:tcBorders>
          </w:tcPr>
          <w:p w14:paraId="7C266B4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257 834</w:t>
            </w:r>
          </w:p>
        </w:tc>
        <w:tc>
          <w:tcPr>
            <w:tcW w:w="794" w:type="dxa"/>
            <w:tcBorders>
              <w:top w:val="single" w:sz="6" w:space="0" w:color="auto"/>
              <w:bottom w:val="single" w:sz="6" w:space="0" w:color="auto"/>
            </w:tcBorders>
          </w:tcPr>
          <w:p w14:paraId="68EDABE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280 046</w:t>
            </w:r>
          </w:p>
        </w:tc>
        <w:tc>
          <w:tcPr>
            <w:tcW w:w="794" w:type="dxa"/>
            <w:tcBorders>
              <w:top w:val="single" w:sz="6" w:space="0" w:color="auto"/>
              <w:bottom w:val="single" w:sz="6" w:space="0" w:color="auto"/>
            </w:tcBorders>
          </w:tcPr>
          <w:p w14:paraId="00E7959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298 500</w:t>
            </w:r>
          </w:p>
        </w:tc>
        <w:tc>
          <w:tcPr>
            <w:tcW w:w="794" w:type="dxa"/>
            <w:tcBorders>
              <w:top w:val="single" w:sz="6" w:space="0" w:color="auto"/>
              <w:bottom w:val="single" w:sz="6" w:space="0" w:color="auto"/>
            </w:tcBorders>
          </w:tcPr>
          <w:p w14:paraId="4F631DF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315 594</w:t>
            </w:r>
          </w:p>
        </w:tc>
      </w:tr>
      <w:tr w:rsidR="009C6724" w14:paraId="6AFB379A"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335290F6" w14:textId="77777777" w:rsidR="00AB205D" w:rsidRDefault="00471A3B">
            <w:r>
              <w:rPr>
                <w:b/>
              </w:rPr>
              <w:t>Net assets</w:t>
            </w:r>
          </w:p>
        </w:tc>
        <w:tc>
          <w:tcPr>
            <w:tcW w:w="794" w:type="dxa"/>
            <w:tcBorders>
              <w:top w:val="single" w:sz="6" w:space="0" w:color="auto"/>
              <w:bottom w:val="single" w:sz="12" w:space="0" w:color="auto"/>
            </w:tcBorders>
          </w:tcPr>
          <w:p w14:paraId="018FF2E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234 355</w:t>
            </w:r>
          </w:p>
        </w:tc>
        <w:tc>
          <w:tcPr>
            <w:tcW w:w="794" w:type="dxa"/>
            <w:tcBorders>
              <w:top w:val="single" w:sz="6" w:space="0" w:color="auto"/>
              <w:bottom w:val="single" w:sz="12" w:space="0" w:color="auto"/>
            </w:tcBorders>
          </w:tcPr>
          <w:p w14:paraId="0A6650F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237 048</w:t>
            </w:r>
          </w:p>
        </w:tc>
        <w:tc>
          <w:tcPr>
            <w:tcW w:w="794" w:type="dxa"/>
            <w:tcBorders>
              <w:top w:val="single" w:sz="6" w:space="0" w:color="auto"/>
              <w:bottom w:val="single" w:sz="12" w:space="0" w:color="auto"/>
            </w:tcBorders>
          </w:tcPr>
          <w:p w14:paraId="123D3E1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249 442</w:t>
            </w:r>
          </w:p>
        </w:tc>
        <w:tc>
          <w:tcPr>
            <w:tcW w:w="794" w:type="dxa"/>
            <w:tcBorders>
              <w:top w:val="single" w:sz="6" w:space="0" w:color="auto"/>
              <w:bottom w:val="single" w:sz="12" w:space="0" w:color="auto"/>
            </w:tcBorders>
          </w:tcPr>
          <w:p w14:paraId="5284EC3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253 663</w:t>
            </w:r>
          </w:p>
        </w:tc>
        <w:tc>
          <w:tcPr>
            <w:tcW w:w="794" w:type="dxa"/>
            <w:tcBorders>
              <w:top w:val="single" w:sz="6" w:space="0" w:color="auto"/>
              <w:bottom w:val="single" w:sz="12" w:space="0" w:color="auto"/>
            </w:tcBorders>
          </w:tcPr>
          <w:p w14:paraId="5065C31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263 286</w:t>
            </w:r>
          </w:p>
        </w:tc>
      </w:tr>
      <w:tr w:rsidR="009C6724" w14:paraId="599A9ABE"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429109C1" w14:textId="77777777" w:rsidR="00AB205D" w:rsidRDefault="00471A3B">
            <w:r>
              <w:t>Accumulated surplus/(deficit)</w:t>
            </w:r>
          </w:p>
        </w:tc>
        <w:tc>
          <w:tcPr>
            <w:tcW w:w="794" w:type="dxa"/>
            <w:tcBorders>
              <w:top w:val="single" w:sz="6" w:space="0" w:color="auto"/>
            </w:tcBorders>
          </w:tcPr>
          <w:p w14:paraId="512FFFDD" w14:textId="77777777" w:rsidR="00AB205D" w:rsidRDefault="00471A3B">
            <w:pPr>
              <w:cnfStyle w:val="000000000000" w:firstRow="0" w:lastRow="0" w:firstColumn="0" w:lastColumn="0" w:oddVBand="0" w:evenVBand="0" w:oddHBand="0" w:evenHBand="0" w:firstRowFirstColumn="0" w:firstRowLastColumn="0" w:lastRowFirstColumn="0" w:lastRowLastColumn="0"/>
            </w:pPr>
            <w:r>
              <w:t>64 722</w:t>
            </w:r>
          </w:p>
        </w:tc>
        <w:tc>
          <w:tcPr>
            <w:tcW w:w="794" w:type="dxa"/>
            <w:tcBorders>
              <w:top w:val="single" w:sz="6" w:space="0" w:color="auto"/>
            </w:tcBorders>
          </w:tcPr>
          <w:p w14:paraId="39779774" w14:textId="77777777" w:rsidR="00AB205D" w:rsidRDefault="00471A3B">
            <w:pPr>
              <w:cnfStyle w:val="000000000000" w:firstRow="0" w:lastRow="0" w:firstColumn="0" w:lastColumn="0" w:oddVBand="0" w:evenVBand="0" w:oddHBand="0" w:evenHBand="0" w:firstRowFirstColumn="0" w:firstRowLastColumn="0" w:lastRowFirstColumn="0" w:lastRowLastColumn="0"/>
            </w:pPr>
            <w:r>
              <w:t>66 528</w:t>
            </w:r>
          </w:p>
        </w:tc>
        <w:tc>
          <w:tcPr>
            <w:tcW w:w="794" w:type="dxa"/>
            <w:tcBorders>
              <w:top w:val="single" w:sz="6" w:space="0" w:color="auto"/>
            </w:tcBorders>
          </w:tcPr>
          <w:p w14:paraId="3BFA12A2" w14:textId="77777777" w:rsidR="00AB205D" w:rsidRDefault="00471A3B">
            <w:pPr>
              <w:cnfStyle w:val="000000000000" w:firstRow="0" w:lastRow="0" w:firstColumn="0" w:lastColumn="0" w:oddVBand="0" w:evenVBand="0" w:oddHBand="0" w:evenHBand="0" w:firstRowFirstColumn="0" w:firstRowLastColumn="0" w:lastRowFirstColumn="0" w:lastRowLastColumn="0"/>
            </w:pPr>
            <w:r>
              <w:t>64 274</w:t>
            </w:r>
          </w:p>
        </w:tc>
        <w:tc>
          <w:tcPr>
            <w:tcW w:w="794" w:type="dxa"/>
            <w:tcBorders>
              <w:top w:val="single" w:sz="6" w:space="0" w:color="auto"/>
            </w:tcBorders>
          </w:tcPr>
          <w:p w14:paraId="03A9B45C" w14:textId="77777777" w:rsidR="00AB205D" w:rsidRDefault="00471A3B">
            <w:pPr>
              <w:cnfStyle w:val="000000000000" w:firstRow="0" w:lastRow="0" w:firstColumn="0" w:lastColumn="0" w:oddVBand="0" w:evenVBand="0" w:oddHBand="0" w:evenHBand="0" w:firstRowFirstColumn="0" w:firstRowLastColumn="0" w:lastRowFirstColumn="0" w:lastRowLastColumn="0"/>
            </w:pPr>
            <w:r>
              <w:t>64 780</w:t>
            </w:r>
          </w:p>
        </w:tc>
        <w:tc>
          <w:tcPr>
            <w:tcW w:w="794" w:type="dxa"/>
            <w:tcBorders>
              <w:top w:val="single" w:sz="6" w:space="0" w:color="auto"/>
            </w:tcBorders>
          </w:tcPr>
          <w:p w14:paraId="2078E94B" w14:textId="77777777" w:rsidR="00AB205D" w:rsidRDefault="00471A3B">
            <w:pPr>
              <w:cnfStyle w:val="000000000000" w:firstRow="0" w:lastRow="0" w:firstColumn="0" w:lastColumn="0" w:oddVBand="0" w:evenVBand="0" w:oddHBand="0" w:evenHBand="0" w:firstRowFirstColumn="0" w:firstRowLastColumn="0" w:lastRowFirstColumn="0" w:lastRowLastColumn="0"/>
            </w:pPr>
            <w:r>
              <w:t>64 541</w:t>
            </w:r>
          </w:p>
        </w:tc>
      </w:tr>
      <w:tr w:rsidR="009C6724" w14:paraId="0DB91EA3"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1B2F4337" w14:textId="77777777" w:rsidR="00AB205D" w:rsidRDefault="00471A3B">
            <w:r>
              <w:t>Reserves</w:t>
            </w:r>
          </w:p>
        </w:tc>
        <w:tc>
          <w:tcPr>
            <w:tcW w:w="794" w:type="dxa"/>
            <w:tcBorders>
              <w:bottom w:val="single" w:sz="6" w:space="0" w:color="auto"/>
            </w:tcBorders>
          </w:tcPr>
          <w:p w14:paraId="7F3266CC" w14:textId="77777777" w:rsidR="00AB205D" w:rsidRDefault="00471A3B">
            <w:pPr>
              <w:cnfStyle w:val="000000000000" w:firstRow="0" w:lastRow="0" w:firstColumn="0" w:lastColumn="0" w:oddVBand="0" w:evenVBand="0" w:oddHBand="0" w:evenHBand="0" w:firstRowFirstColumn="0" w:firstRowLastColumn="0" w:lastRowFirstColumn="0" w:lastRowLastColumn="0"/>
            </w:pPr>
            <w:r>
              <w:t>169 633</w:t>
            </w:r>
          </w:p>
        </w:tc>
        <w:tc>
          <w:tcPr>
            <w:tcW w:w="794" w:type="dxa"/>
            <w:tcBorders>
              <w:bottom w:val="single" w:sz="6" w:space="0" w:color="auto"/>
            </w:tcBorders>
          </w:tcPr>
          <w:p w14:paraId="4B9EADCC" w14:textId="77777777" w:rsidR="00AB205D" w:rsidRDefault="00471A3B">
            <w:pPr>
              <w:cnfStyle w:val="000000000000" w:firstRow="0" w:lastRow="0" w:firstColumn="0" w:lastColumn="0" w:oddVBand="0" w:evenVBand="0" w:oddHBand="0" w:evenHBand="0" w:firstRowFirstColumn="0" w:firstRowLastColumn="0" w:lastRowFirstColumn="0" w:lastRowLastColumn="0"/>
            </w:pPr>
            <w:r>
              <w:t>170 519</w:t>
            </w:r>
          </w:p>
        </w:tc>
        <w:tc>
          <w:tcPr>
            <w:tcW w:w="794" w:type="dxa"/>
            <w:tcBorders>
              <w:bottom w:val="single" w:sz="6" w:space="0" w:color="auto"/>
            </w:tcBorders>
          </w:tcPr>
          <w:p w14:paraId="217E5788" w14:textId="77777777" w:rsidR="00AB205D" w:rsidRDefault="00471A3B">
            <w:pPr>
              <w:cnfStyle w:val="000000000000" w:firstRow="0" w:lastRow="0" w:firstColumn="0" w:lastColumn="0" w:oddVBand="0" w:evenVBand="0" w:oddHBand="0" w:evenHBand="0" w:firstRowFirstColumn="0" w:firstRowLastColumn="0" w:lastRowFirstColumn="0" w:lastRowLastColumn="0"/>
            </w:pPr>
            <w:r>
              <w:t>185 168</w:t>
            </w:r>
          </w:p>
        </w:tc>
        <w:tc>
          <w:tcPr>
            <w:tcW w:w="794" w:type="dxa"/>
            <w:tcBorders>
              <w:bottom w:val="single" w:sz="6" w:space="0" w:color="auto"/>
            </w:tcBorders>
          </w:tcPr>
          <w:p w14:paraId="06F0CFE1" w14:textId="77777777" w:rsidR="00AB205D" w:rsidRDefault="00471A3B">
            <w:pPr>
              <w:cnfStyle w:val="000000000000" w:firstRow="0" w:lastRow="0" w:firstColumn="0" w:lastColumn="0" w:oddVBand="0" w:evenVBand="0" w:oddHBand="0" w:evenHBand="0" w:firstRowFirstColumn="0" w:firstRowLastColumn="0" w:lastRowFirstColumn="0" w:lastRowLastColumn="0"/>
            </w:pPr>
            <w:r>
              <w:t>188 883</w:t>
            </w:r>
          </w:p>
        </w:tc>
        <w:tc>
          <w:tcPr>
            <w:tcW w:w="794" w:type="dxa"/>
            <w:tcBorders>
              <w:bottom w:val="single" w:sz="6" w:space="0" w:color="auto"/>
            </w:tcBorders>
          </w:tcPr>
          <w:p w14:paraId="5F63AB8D" w14:textId="77777777" w:rsidR="00AB205D" w:rsidRDefault="00471A3B">
            <w:pPr>
              <w:cnfStyle w:val="000000000000" w:firstRow="0" w:lastRow="0" w:firstColumn="0" w:lastColumn="0" w:oddVBand="0" w:evenVBand="0" w:oddHBand="0" w:evenHBand="0" w:firstRowFirstColumn="0" w:firstRowLastColumn="0" w:lastRowFirstColumn="0" w:lastRowLastColumn="0"/>
            </w:pPr>
            <w:r>
              <w:t>198 745</w:t>
            </w:r>
          </w:p>
        </w:tc>
      </w:tr>
      <w:tr w:rsidR="009C6724" w14:paraId="13E67508"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11D90199" w14:textId="77777777" w:rsidR="00AB205D" w:rsidRDefault="00471A3B">
            <w:r>
              <w:rPr>
                <w:b/>
              </w:rPr>
              <w:t>Net worth</w:t>
            </w:r>
          </w:p>
        </w:tc>
        <w:tc>
          <w:tcPr>
            <w:tcW w:w="794" w:type="dxa"/>
            <w:tcBorders>
              <w:top w:val="single" w:sz="6" w:space="0" w:color="auto"/>
              <w:bottom w:val="single" w:sz="12" w:space="0" w:color="auto"/>
            </w:tcBorders>
          </w:tcPr>
          <w:p w14:paraId="4D1F0EC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234 355</w:t>
            </w:r>
          </w:p>
        </w:tc>
        <w:tc>
          <w:tcPr>
            <w:tcW w:w="794" w:type="dxa"/>
            <w:tcBorders>
              <w:top w:val="single" w:sz="6" w:space="0" w:color="auto"/>
              <w:bottom w:val="single" w:sz="12" w:space="0" w:color="auto"/>
            </w:tcBorders>
          </w:tcPr>
          <w:p w14:paraId="3B865A4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237 048</w:t>
            </w:r>
          </w:p>
        </w:tc>
        <w:tc>
          <w:tcPr>
            <w:tcW w:w="794" w:type="dxa"/>
            <w:tcBorders>
              <w:top w:val="single" w:sz="6" w:space="0" w:color="auto"/>
              <w:bottom w:val="single" w:sz="12" w:space="0" w:color="auto"/>
            </w:tcBorders>
          </w:tcPr>
          <w:p w14:paraId="2C42574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249 442</w:t>
            </w:r>
          </w:p>
        </w:tc>
        <w:tc>
          <w:tcPr>
            <w:tcW w:w="794" w:type="dxa"/>
            <w:tcBorders>
              <w:top w:val="single" w:sz="6" w:space="0" w:color="auto"/>
              <w:bottom w:val="single" w:sz="12" w:space="0" w:color="auto"/>
            </w:tcBorders>
          </w:tcPr>
          <w:p w14:paraId="081AC71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253 663</w:t>
            </w:r>
          </w:p>
        </w:tc>
        <w:tc>
          <w:tcPr>
            <w:tcW w:w="794" w:type="dxa"/>
            <w:tcBorders>
              <w:top w:val="single" w:sz="6" w:space="0" w:color="auto"/>
              <w:bottom w:val="single" w:sz="12" w:space="0" w:color="auto"/>
            </w:tcBorders>
          </w:tcPr>
          <w:p w14:paraId="06555D3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263 286</w:t>
            </w:r>
          </w:p>
        </w:tc>
      </w:tr>
      <w:tr w:rsidR="009C6724" w14:paraId="5C90F06C" w14:textId="77777777" w:rsidTr="009C6724">
        <w:trPr>
          <w:trHeight w:hRule="exact" w:val="113"/>
        </w:trPr>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0B246A28" w14:textId="77777777" w:rsidR="00AB205D" w:rsidRDefault="00AB205D"/>
        </w:tc>
        <w:tc>
          <w:tcPr>
            <w:tcW w:w="794" w:type="dxa"/>
            <w:tcBorders>
              <w:top w:val="single" w:sz="6" w:space="0" w:color="auto"/>
            </w:tcBorders>
          </w:tcPr>
          <w:p w14:paraId="0F09477E"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20860C5"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46756804"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21244470"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07622E25"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647DBD02"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F6434CE" w14:textId="77777777" w:rsidR="00AB205D" w:rsidRDefault="00471A3B">
            <w:r>
              <w:rPr>
                <w:b/>
              </w:rPr>
              <w:t>FISCAL AGGREGATES</w:t>
            </w:r>
          </w:p>
        </w:tc>
        <w:tc>
          <w:tcPr>
            <w:tcW w:w="794" w:type="dxa"/>
          </w:tcPr>
          <w:p w14:paraId="024A86F3"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027D007"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1264556B"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2E2DAF2D"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29A61B9A"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5C31B7A9"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6C8DC4E" w14:textId="77777777" w:rsidR="00AB205D" w:rsidRDefault="00471A3B">
            <w:r>
              <w:t>Net financial worth</w:t>
            </w:r>
          </w:p>
        </w:tc>
        <w:tc>
          <w:tcPr>
            <w:tcW w:w="794" w:type="dxa"/>
          </w:tcPr>
          <w:p w14:paraId="22B8695D" w14:textId="77777777" w:rsidR="00AB205D" w:rsidRDefault="00471A3B">
            <w:pPr>
              <w:cnfStyle w:val="000000000000" w:firstRow="0" w:lastRow="0" w:firstColumn="0" w:lastColumn="0" w:oddVBand="0" w:evenVBand="0" w:oddHBand="0" w:evenHBand="0" w:firstRowFirstColumn="0" w:firstRowLastColumn="0" w:lastRowFirstColumn="0" w:lastRowLastColumn="0"/>
            </w:pPr>
            <w:r>
              <w:t>(202 605)</w:t>
            </w:r>
          </w:p>
        </w:tc>
        <w:tc>
          <w:tcPr>
            <w:tcW w:w="794" w:type="dxa"/>
          </w:tcPr>
          <w:p w14:paraId="17AEE423" w14:textId="77777777" w:rsidR="00AB205D" w:rsidRDefault="00471A3B">
            <w:pPr>
              <w:cnfStyle w:val="000000000000" w:firstRow="0" w:lastRow="0" w:firstColumn="0" w:lastColumn="0" w:oddVBand="0" w:evenVBand="0" w:oddHBand="0" w:evenHBand="0" w:firstRowFirstColumn="0" w:firstRowLastColumn="0" w:lastRowFirstColumn="0" w:lastRowLastColumn="0"/>
            </w:pPr>
            <w:r>
              <w:t>(201 955)</w:t>
            </w:r>
          </w:p>
        </w:tc>
        <w:tc>
          <w:tcPr>
            <w:tcW w:w="794" w:type="dxa"/>
          </w:tcPr>
          <w:p w14:paraId="2B72D3E7" w14:textId="77777777" w:rsidR="00AB205D" w:rsidRDefault="00471A3B">
            <w:pPr>
              <w:cnfStyle w:val="000000000000" w:firstRow="0" w:lastRow="0" w:firstColumn="0" w:lastColumn="0" w:oddVBand="0" w:evenVBand="0" w:oddHBand="0" w:evenHBand="0" w:firstRowFirstColumn="0" w:firstRowLastColumn="0" w:lastRowFirstColumn="0" w:lastRowLastColumn="0"/>
            </w:pPr>
            <w:r>
              <w:t>(221 730)</w:t>
            </w:r>
          </w:p>
        </w:tc>
        <w:tc>
          <w:tcPr>
            <w:tcW w:w="794" w:type="dxa"/>
          </w:tcPr>
          <w:p w14:paraId="6F381FCE" w14:textId="77777777" w:rsidR="00AB205D" w:rsidRDefault="00471A3B">
            <w:pPr>
              <w:cnfStyle w:val="000000000000" w:firstRow="0" w:lastRow="0" w:firstColumn="0" w:lastColumn="0" w:oddVBand="0" w:evenVBand="0" w:oddHBand="0" w:evenHBand="0" w:firstRowFirstColumn="0" w:firstRowLastColumn="0" w:lastRowFirstColumn="0" w:lastRowLastColumn="0"/>
            </w:pPr>
            <w:r>
              <w:t>(237 524)</w:t>
            </w:r>
          </w:p>
        </w:tc>
        <w:tc>
          <w:tcPr>
            <w:tcW w:w="794" w:type="dxa"/>
          </w:tcPr>
          <w:p w14:paraId="57290856" w14:textId="77777777" w:rsidR="00AB205D" w:rsidRDefault="00471A3B">
            <w:pPr>
              <w:cnfStyle w:val="000000000000" w:firstRow="0" w:lastRow="0" w:firstColumn="0" w:lastColumn="0" w:oddVBand="0" w:evenVBand="0" w:oddHBand="0" w:evenHBand="0" w:firstRowFirstColumn="0" w:firstRowLastColumn="0" w:lastRowFirstColumn="0" w:lastRowLastColumn="0"/>
            </w:pPr>
            <w:r>
              <w:t>(250 691)</w:t>
            </w:r>
          </w:p>
        </w:tc>
      </w:tr>
      <w:tr w:rsidR="009C6724" w14:paraId="61476F4C"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7A5FC83A" w14:textId="77777777" w:rsidR="00AB205D" w:rsidRDefault="00471A3B">
            <w:r>
              <w:t>Net financial liabilities</w:t>
            </w:r>
          </w:p>
        </w:tc>
        <w:tc>
          <w:tcPr>
            <w:tcW w:w="794" w:type="dxa"/>
          </w:tcPr>
          <w:p w14:paraId="4791403F" w14:textId="77777777" w:rsidR="00AB205D" w:rsidRDefault="00471A3B">
            <w:pPr>
              <w:cnfStyle w:val="000000000000" w:firstRow="0" w:lastRow="0" w:firstColumn="0" w:lastColumn="0" w:oddVBand="0" w:evenVBand="0" w:oddHBand="0" w:evenHBand="0" w:firstRowFirstColumn="0" w:firstRowLastColumn="0" w:lastRowFirstColumn="0" w:lastRowLastColumn="0"/>
            </w:pPr>
            <w:r>
              <w:t>217 227</w:t>
            </w:r>
          </w:p>
        </w:tc>
        <w:tc>
          <w:tcPr>
            <w:tcW w:w="794" w:type="dxa"/>
          </w:tcPr>
          <w:p w14:paraId="2A5A8F5F" w14:textId="77777777" w:rsidR="00AB205D" w:rsidRDefault="00471A3B">
            <w:pPr>
              <w:cnfStyle w:val="000000000000" w:firstRow="0" w:lastRow="0" w:firstColumn="0" w:lastColumn="0" w:oddVBand="0" w:evenVBand="0" w:oddHBand="0" w:evenHBand="0" w:firstRowFirstColumn="0" w:firstRowLastColumn="0" w:lastRowFirstColumn="0" w:lastRowLastColumn="0"/>
            </w:pPr>
            <w:r>
              <w:t>217 921</w:t>
            </w:r>
          </w:p>
        </w:tc>
        <w:tc>
          <w:tcPr>
            <w:tcW w:w="794" w:type="dxa"/>
          </w:tcPr>
          <w:p w14:paraId="6F3B0B39" w14:textId="77777777" w:rsidR="00AB205D" w:rsidRDefault="00471A3B">
            <w:pPr>
              <w:cnfStyle w:val="000000000000" w:firstRow="0" w:lastRow="0" w:firstColumn="0" w:lastColumn="0" w:oddVBand="0" w:evenVBand="0" w:oddHBand="0" w:evenHBand="0" w:firstRowFirstColumn="0" w:firstRowLastColumn="0" w:lastRowFirstColumn="0" w:lastRowLastColumn="0"/>
            </w:pPr>
            <w:r>
              <w:t>237 433</w:t>
            </w:r>
          </w:p>
        </w:tc>
        <w:tc>
          <w:tcPr>
            <w:tcW w:w="794" w:type="dxa"/>
          </w:tcPr>
          <w:p w14:paraId="472A7022" w14:textId="77777777" w:rsidR="00AB205D" w:rsidRDefault="00471A3B">
            <w:pPr>
              <w:cnfStyle w:val="000000000000" w:firstRow="0" w:lastRow="0" w:firstColumn="0" w:lastColumn="0" w:oddVBand="0" w:evenVBand="0" w:oddHBand="0" w:evenHBand="0" w:firstRowFirstColumn="0" w:firstRowLastColumn="0" w:lastRowFirstColumn="0" w:lastRowLastColumn="0"/>
            </w:pPr>
            <w:r>
              <w:t>252 852</w:t>
            </w:r>
          </w:p>
        </w:tc>
        <w:tc>
          <w:tcPr>
            <w:tcW w:w="794" w:type="dxa"/>
          </w:tcPr>
          <w:p w14:paraId="421CADE1" w14:textId="77777777" w:rsidR="00AB205D" w:rsidRDefault="00471A3B">
            <w:pPr>
              <w:cnfStyle w:val="000000000000" w:firstRow="0" w:lastRow="0" w:firstColumn="0" w:lastColumn="0" w:oddVBand="0" w:evenVBand="0" w:oddHBand="0" w:evenHBand="0" w:firstRowFirstColumn="0" w:firstRowLastColumn="0" w:lastRowFirstColumn="0" w:lastRowLastColumn="0"/>
            </w:pPr>
            <w:r>
              <w:t>266 408</w:t>
            </w:r>
          </w:p>
        </w:tc>
      </w:tr>
      <w:tr w:rsidR="009C6724" w14:paraId="58D775E7"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12" w:space="0" w:color="auto"/>
            </w:tcBorders>
          </w:tcPr>
          <w:p w14:paraId="0C85994B" w14:textId="77777777" w:rsidR="00AB205D" w:rsidRDefault="00471A3B">
            <w:r>
              <w:t>Net debt</w:t>
            </w:r>
          </w:p>
        </w:tc>
        <w:tc>
          <w:tcPr>
            <w:tcW w:w="794" w:type="dxa"/>
            <w:tcBorders>
              <w:bottom w:val="single" w:sz="12" w:space="0" w:color="auto"/>
            </w:tcBorders>
          </w:tcPr>
          <w:p w14:paraId="7C568E2F" w14:textId="77777777" w:rsidR="00AB205D" w:rsidRDefault="00471A3B">
            <w:pPr>
              <w:cnfStyle w:val="000000000000" w:firstRow="0" w:lastRow="0" w:firstColumn="0" w:lastColumn="0" w:oddVBand="0" w:evenVBand="0" w:oddHBand="0" w:evenHBand="0" w:firstRowFirstColumn="0" w:firstRowLastColumn="0" w:lastRowFirstColumn="0" w:lastRowLastColumn="0"/>
            </w:pPr>
            <w:r>
              <w:t>157 557</w:t>
            </w:r>
          </w:p>
        </w:tc>
        <w:tc>
          <w:tcPr>
            <w:tcW w:w="794" w:type="dxa"/>
            <w:tcBorders>
              <w:bottom w:val="single" w:sz="12" w:space="0" w:color="auto"/>
            </w:tcBorders>
          </w:tcPr>
          <w:p w14:paraId="1F99AD44" w14:textId="77777777" w:rsidR="00AB205D" w:rsidRDefault="00471A3B">
            <w:pPr>
              <w:cnfStyle w:val="000000000000" w:firstRow="0" w:lastRow="0" w:firstColumn="0" w:lastColumn="0" w:oddVBand="0" w:evenVBand="0" w:oddHBand="0" w:evenHBand="0" w:firstRowFirstColumn="0" w:firstRowLastColumn="0" w:lastRowFirstColumn="0" w:lastRowLastColumn="0"/>
            </w:pPr>
            <w:r>
              <w:t>160 536</w:t>
            </w:r>
          </w:p>
        </w:tc>
        <w:tc>
          <w:tcPr>
            <w:tcW w:w="794" w:type="dxa"/>
            <w:tcBorders>
              <w:bottom w:val="single" w:sz="12" w:space="0" w:color="auto"/>
            </w:tcBorders>
          </w:tcPr>
          <w:p w14:paraId="6598DDD8" w14:textId="77777777" w:rsidR="00AB205D" w:rsidRDefault="00471A3B">
            <w:pPr>
              <w:cnfStyle w:val="000000000000" w:firstRow="0" w:lastRow="0" w:firstColumn="0" w:lastColumn="0" w:oddVBand="0" w:evenVBand="0" w:oddHBand="0" w:evenHBand="0" w:firstRowFirstColumn="0" w:firstRowLastColumn="0" w:lastRowFirstColumn="0" w:lastRowLastColumn="0"/>
            </w:pPr>
            <w:r>
              <w:t>181 143</w:t>
            </w:r>
          </w:p>
        </w:tc>
        <w:tc>
          <w:tcPr>
            <w:tcW w:w="794" w:type="dxa"/>
            <w:tcBorders>
              <w:bottom w:val="single" w:sz="12" w:space="0" w:color="auto"/>
            </w:tcBorders>
          </w:tcPr>
          <w:p w14:paraId="3483A6FF" w14:textId="77777777" w:rsidR="00AB205D" w:rsidRDefault="00471A3B">
            <w:pPr>
              <w:cnfStyle w:val="000000000000" w:firstRow="0" w:lastRow="0" w:firstColumn="0" w:lastColumn="0" w:oddVBand="0" w:evenVBand="0" w:oddHBand="0" w:evenHBand="0" w:firstRowFirstColumn="0" w:firstRowLastColumn="0" w:lastRowFirstColumn="0" w:lastRowLastColumn="0"/>
            </w:pPr>
            <w:r>
              <w:t>196 896</w:t>
            </w:r>
          </w:p>
        </w:tc>
        <w:tc>
          <w:tcPr>
            <w:tcW w:w="794" w:type="dxa"/>
            <w:tcBorders>
              <w:bottom w:val="single" w:sz="12" w:space="0" w:color="auto"/>
            </w:tcBorders>
          </w:tcPr>
          <w:p w14:paraId="39AA6452" w14:textId="77777777" w:rsidR="00AB205D" w:rsidRDefault="00471A3B">
            <w:pPr>
              <w:cnfStyle w:val="000000000000" w:firstRow="0" w:lastRow="0" w:firstColumn="0" w:lastColumn="0" w:oddVBand="0" w:evenVBand="0" w:oddHBand="0" w:evenHBand="0" w:firstRowFirstColumn="0" w:firstRowLastColumn="0" w:lastRowFirstColumn="0" w:lastRowLastColumn="0"/>
            </w:pPr>
            <w:r>
              <w:t>211 391</w:t>
            </w:r>
          </w:p>
        </w:tc>
      </w:tr>
    </w:tbl>
    <w:p w14:paraId="5CD31022" w14:textId="77777777" w:rsidR="00AB205D" w:rsidRPr="00921F69" w:rsidRDefault="00471A3B">
      <w:pPr>
        <w:pStyle w:val="Note"/>
      </w:pPr>
      <w:r w:rsidRPr="00921F69">
        <w:t>Note:</w:t>
      </w:r>
    </w:p>
    <w:p w14:paraId="281ED3CD" w14:textId="77777777" w:rsidR="00AB205D" w:rsidRDefault="00471A3B">
      <w:pPr>
        <w:pStyle w:val="Note"/>
      </w:pPr>
      <w:r w:rsidRPr="00B249F8">
        <w:t>(a)</w:t>
      </w:r>
      <w:r w:rsidRPr="00B249F8">
        <w:tab/>
      </w:r>
      <w:r w:rsidRPr="00921F69">
        <w:t>Balances represent actual opening balances at 1 July 20</w:t>
      </w:r>
      <w:r>
        <w:t>23</w:t>
      </w:r>
      <w:r w:rsidRPr="00921F69">
        <w:t xml:space="preserve"> plus 20</w:t>
      </w:r>
      <w:r>
        <w:t>23</w:t>
      </w:r>
      <w:r w:rsidRPr="00921F69">
        <w:t>-2</w:t>
      </w:r>
      <w:r>
        <w:t>4</w:t>
      </w:r>
      <w:r w:rsidRPr="00921F69">
        <w:t xml:space="preserve"> budgeted movements.</w:t>
      </w:r>
    </w:p>
    <w:p w14:paraId="41B02515" w14:textId="77777777" w:rsidR="00AB205D" w:rsidRPr="002C7CE8" w:rsidRDefault="00AB205D"/>
    <w:p w14:paraId="1D8B66A8" w14:textId="77777777" w:rsidR="00AB205D" w:rsidRDefault="00471A3B">
      <w:pPr>
        <w:pStyle w:val="TableHeading"/>
        <w:pageBreakBefore/>
      </w:pPr>
      <w:r w:rsidRPr="00921F69">
        <w:lastRenderedPageBreak/>
        <w:t>Table 5.8</w:t>
      </w:r>
      <w:r w:rsidRPr="00921F69">
        <w:tab/>
        <w:t xml:space="preserve">Non-financial public sector cash flow statement for the </w:t>
      </w:r>
      <w:r w:rsidRPr="00921F69">
        <w:br/>
        <w:t>financial year ended 30 June</w:t>
      </w:r>
      <w:r w:rsidRPr="00921F69">
        <w:tab/>
        <w:t>($ million)</w:t>
      </w:r>
    </w:p>
    <w:tbl>
      <w:tblPr>
        <w:tblStyle w:val="DTFTableNumeric"/>
        <w:tblW w:w="7710" w:type="dxa"/>
        <w:tblLayout w:type="fixed"/>
        <w:tblLook w:val="06A0" w:firstRow="1" w:lastRow="0" w:firstColumn="1" w:lastColumn="0" w:noHBand="1" w:noVBand="1"/>
        <w:tblDescription w:val="Type:DtfTable|Workbook:Rawdata\BudgetUpdate\Budget Update\Financial Statements\SRIMS exports\SRIMS_BU_UPF_NFPS_WoS.xlsx|Table:NFPS_CF"/>
      </w:tblPr>
      <w:tblGrid>
        <w:gridCol w:w="3740"/>
        <w:gridCol w:w="794"/>
        <w:gridCol w:w="794"/>
        <w:gridCol w:w="794"/>
        <w:gridCol w:w="794"/>
        <w:gridCol w:w="794"/>
      </w:tblGrid>
      <w:tr w:rsidR="009C6724" w14:paraId="591000B5"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07EDEE36" w14:textId="77777777" w:rsidR="00AB205D" w:rsidRDefault="00AB205D">
            <w:pPr>
              <w:keepNext/>
            </w:pPr>
          </w:p>
        </w:tc>
        <w:tc>
          <w:tcPr>
            <w:tcW w:w="794" w:type="dxa"/>
          </w:tcPr>
          <w:p w14:paraId="4DD8436A"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7C9F2361"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001D3355"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7B46F75A"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p>
        </w:tc>
        <w:tc>
          <w:tcPr>
            <w:tcW w:w="794" w:type="dxa"/>
          </w:tcPr>
          <w:p w14:paraId="6C8C2FBB"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p>
        </w:tc>
      </w:tr>
      <w:tr w:rsidR="009C6724" w14:paraId="31A29580"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55F80F9F" w14:textId="77777777" w:rsidR="00AB205D" w:rsidRDefault="00AB205D">
            <w:pPr>
              <w:keepNext/>
            </w:pPr>
          </w:p>
        </w:tc>
        <w:tc>
          <w:tcPr>
            <w:tcW w:w="794" w:type="dxa"/>
          </w:tcPr>
          <w:p w14:paraId="287C27DF"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budget</w:t>
            </w:r>
          </w:p>
        </w:tc>
        <w:tc>
          <w:tcPr>
            <w:tcW w:w="794" w:type="dxa"/>
          </w:tcPr>
          <w:p w14:paraId="3E125913"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revised</w:t>
            </w:r>
          </w:p>
        </w:tc>
        <w:tc>
          <w:tcPr>
            <w:tcW w:w="794" w:type="dxa"/>
          </w:tcPr>
          <w:p w14:paraId="60EFF72E"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70EA9246"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71FA7D37"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estimate</w:t>
            </w:r>
          </w:p>
        </w:tc>
      </w:tr>
      <w:tr w:rsidR="009C6724" w14:paraId="0500BB91"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54E2658" w14:textId="77777777" w:rsidR="00AB205D" w:rsidRDefault="00471A3B">
            <w:r>
              <w:rPr>
                <w:b/>
              </w:rPr>
              <w:t>Cash flows from operating activities</w:t>
            </w:r>
          </w:p>
        </w:tc>
        <w:tc>
          <w:tcPr>
            <w:tcW w:w="794" w:type="dxa"/>
          </w:tcPr>
          <w:p w14:paraId="6221C573"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44A0B18E"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63C87A30"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1D0468F8"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4D3BAA4A"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7F260C65"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0828659F" w14:textId="77777777" w:rsidR="00AB205D" w:rsidRDefault="00471A3B">
            <w:r>
              <w:rPr>
                <w:b/>
              </w:rPr>
              <w:t>Receipts</w:t>
            </w:r>
          </w:p>
        </w:tc>
        <w:tc>
          <w:tcPr>
            <w:tcW w:w="794" w:type="dxa"/>
          </w:tcPr>
          <w:p w14:paraId="10CF443B"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7A793923"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1791EC47"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54221D4F"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BCB3E69"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67796386"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71B67F1E" w14:textId="77777777" w:rsidR="00AB205D" w:rsidRDefault="00471A3B">
            <w:r>
              <w:t>Taxes received</w:t>
            </w:r>
          </w:p>
        </w:tc>
        <w:tc>
          <w:tcPr>
            <w:tcW w:w="794" w:type="dxa"/>
          </w:tcPr>
          <w:p w14:paraId="013788A1" w14:textId="77777777" w:rsidR="00AB205D" w:rsidRDefault="00471A3B">
            <w:pPr>
              <w:cnfStyle w:val="000000000000" w:firstRow="0" w:lastRow="0" w:firstColumn="0" w:lastColumn="0" w:oddVBand="0" w:evenVBand="0" w:oddHBand="0" w:evenHBand="0" w:firstRowFirstColumn="0" w:firstRowLastColumn="0" w:lastRowFirstColumn="0" w:lastRowLastColumn="0"/>
            </w:pPr>
            <w:r>
              <w:t>33 651</w:t>
            </w:r>
          </w:p>
        </w:tc>
        <w:tc>
          <w:tcPr>
            <w:tcW w:w="794" w:type="dxa"/>
          </w:tcPr>
          <w:p w14:paraId="4A813D2A" w14:textId="77777777" w:rsidR="00AB205D" w:rsidRDefault="00471A3B">
            <w:pPr>
              <w:cnfStyle w:val="000000000000" w:firstRow="0" w:lastRow="0" w:firstColumn="0" w:lastColumn="0" w:oddVBand="0" w:evenVBand="0" w:oddHBand="0" w:evenHBand="0" w:firstRowFirstColumn="0" w:firstRowLastColumn="0" w:lastRowFirstColumn="0" w:lastRowLastColumn="0"/>
            </w:pPr>
            <w:r>
              <w:t>35 082</w:t>
            </w:r>
          </w:p>
        </w:tc>
        <w:tc>
          <w:tcPr>
            <w:tcW w:w="794" w:type="dxa"/>
          </w:tcPr>
          <w:p w14:paraId="5B144255" w14:textId="77777777" w:rsidR="00AB205D" w:rsidRDefault="00471A3B">
            <w:pPr>
              <w:cnfStyle w:val="000000000000" w:firstRow="0" w:lastRow="0" w:firstColumn="0" w:lastColumn="0" w:oddVBand="0" w:evenVBand="0" w:oddHBand="0" w:evenHBand="0" w:firstRowFirstColumn="0" w:firstRowLastColumn="0" w:lastRowFirstColumn="0" w:lastRowLastColumn="0"/>
            </w:pPr>
            <w:r>
              <w:t>37 107</w:t>
            </w:r>
          </w:p>
        </w:tc>
        <w:tc>
          <w:tcPr>
            <w:tcW w:w="794" w:type="dxa"/>
          </w:tcPr>
          <w:p w14:paraId="3341A686" w14:textId="77777777" w:rsidR="00AB205D" w:rsidRDefault="00471A3B">
            <w:pPr>
              <w:cnfStyle w:val="000000000000" w:firstRow="0" w:lastRow="0" w:firstColumn="0" w:lastColumn="0" w:oddVBand="0" w:evenVBand="0" w:oddHBand="0" w:evenHBand="0" w:firstRowFirstColumn="0" w:firstRowLastColumn="0" w:lastRowFirstColumn="0" w:lastRowLastColumn="0"/>
            </w:pPr>
            <w:r>
              <w:t>38 818</w:t>
            </w:r>
          </w:p>
        </w:tc>
        <w:tc>
          <w:tcPr>
            <w:tcW w:w="794" w:type="dxa"/>
          </w:tcPr>
          <w:p w14:paraId="789E2EE1" w14:textId="77777777" w:rsidR="00AB205D" w:rsidRDefault="00471A3B">
            <w:pPr>
              <w:cnfStyle w:val="000000000000" w:firstRow="0" w:lastRow="0" w:firstColumn="0" w:lastColumn="0" w:oddVBand="0" w:evenVBand="0" w:oddHBand="0" w:evenHBand="0" w:firstRowFirstColumn="0" w:firstRowLastColumn="0" w:lastRowFirstColumn="0" w:lastRowLastColumn="0"/>
            </w:pPr>
            <w:r>
              <w:t>40 722</w:t>
            </w:r>
          </w:p>
        </w:tc>
      </w:tr>
      <w:tr w:rsidR="009C6724" w14:paraId="1FD0AD04"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6EBFA33" w14:textId="77777777" w:rsidR="00AB205D" w:rsidRDefault="00471A3B">
            <w:r>
              <w:t>Grants</w:t>
            </w:r>
          </w:p>
        </w:tc>
        <w:tc>
          <w:tcPr>
            <w:tcW w:w="794" w:type="dxa"/>
          </w:tcPr>
          <w:p w14:paraId="15EA4D4C" w14:textId="77777777" w:rsidR="00AB205D" w:rsidRDefault="00471A3B">
            <w:pPr>
              <w:cnfStyle w:val="000000000000" w:firstRow="0" w:lastRow="0" w:firstColumn="0" w:lastColumn="0" w:oddVBand="0" w:evenVBand="0" w:oddHBand="0" w:evenHBand="0" w:firstRowFirstColumn="0" w:firstRowLastColumn="0" w:lastRowFirstColumn="0" w:lastRowLastColumn="0"/>
            </w:pPr>
            <w:r>
              <w:t>41 726</w:t>
            </w:r>
          </w:p>
        </w:tc>
        <w:tc>
          <w:tcPr>
            <w:tcW w:w="794" w:type="dxa"/>
          </w:tcPr>
          <w:p w14:paraId="58A41D1F" w14:textId="77777777" w:rsidR="00AB205D" w:rsidRDefault="00471A3B">
            <w:pPr>
              <w:cnfStyle w:val="000000000000" w:firstRow="0" w:lastRow="0" w:firstColumn="0" w:lastColumn="0" w:oddVBand="0" w:evenVBand="0" w:oddHBand="0" w:evenHBand="0" w:firstRowFirstColumn="0" w:firstRowLastColumn="0" w:lastRowFirstColumn="0" w:lastRowLastColumn="0"/>
            </w:pPr>
            <w:r>
              <w:t>39 736</w:t>
            </w:r>
          </w:p>
        </w:tc>
        <w:tc>
          <w:tcPr>
            <w:tcW w:w="794" w:type="dxa"/>
          </w:tcPr>
          <w:p w14:paraId="2AFE172A" w14:textId="77777777" w:rsidR="00AB205D" w:rsidRDefault="00471A3B">
            <w:pPr>
              <w:cnfStyle w:val="000000000000" w:firstRow="0" w:lastRow="0" w:firstColumn="0" w:lastColumn="0" w:oddVBand="0" w:evenVBand="0" w:oddHBand="0" w:evenHBand="0" w:firstRowFirstColumn="0" w:firstRowLastColumn="0" w:lastRowFirstColumn="0" w:lastRowLastColumn="0"/>
            </w:pPr>
            <w:r>
              <w:t>43 281</w:t>
            </w:r>
          </w:p>
        </w:tc>
        <w:tc>
          <w:tcPr>
            <w:tcW w:w="794" w:type="dxa"/>
          </w:tcPr>
          <w:p w14:paraId="70CB651F" w14:textId="77777777" w:rsidR="00AB205D" w:rsidRDefault="00471A3B">
            <w:pPr>
              <w:cnfStyle w:val="000000000000" w:firstRow="0" w:lastRow="0" w:firstColumn="0" w:lastColumn="0" w:oddVBand="0" w:evenVBand="0" w:oddHBand="0" w:evenHBand="0" w:firstRowFirstColumn="0" w:firstRowLastColumn="0" w:lastRowFirstColumn="0" w:lastRowLastColumn="0"/>
            </w:pPr>
            <w:r>
              <w:t>46 261</w:t>
            </w:r>
          </w:p>
        </w:tc>
        <w:tc>
          <w:tcPr>
            <w:tcW w:w="794" w:type="dxa"/>
          </w:tcPr>
          <w:p w14:paraId="45F33F50" w14:textId="77777777" w:rsidR="00AB205D" w:rsidRDefault="00471A3B">
            <w:pPr>
              <w:cnfStyle w:val="000000000000" w:firstRow="0" w:lastRow="0" w:firstColumn="0" w:lastColumn="0" w:oddVBand="0" w:evenVBand="0" w:oddHBand="0" w:evenHBand="0" w:firstRowFirstColumn="0" w:firstRowLastColumn="0" w:lastRowFirstColumn="0" w:lastRowLastColumn="0"/>
            </w:pPr>
            <w:r>
              <w:t>48 093</w:t>
            </w:r>
          </w:p>
        </w:tc>
      </w:tr>
      <w:tr w:rsidR="009C6724" w14:paraId="636B4765"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38A3AD6" w14:textId="77777777" w:rsidR="00AB205D" w:rsidRDefault="00471A3B">
            <w:r>
              <w:t>Sales of goods and services</w:t>
            </w:r>
            <w:r>
              <w:rPr>
                <w:vertAlign w:val="superscript"/>
              </w:rPr>
              <w:t xml:space="preserve"> (a)</w:t>
            </w:r>
          </w:p>
        </w:tc>
        <w:tc>
          <w:tcPr>
            <w:tcW w:w="794" w:type="dxa"/>
          </w:tcPr>
          <w:p w14:paraId="08FFE90E" w14:textId="77777777" w:rsidR="00AB205D" w:rsidRDefault="00471A3B">
            <w:pPr>
              <w:cnfStyle w:val="000000000000" w:firstRow="0" w:lastRow="0" w:firstColumn="0" w:lastColumn="0" w:oddVBand="0" w:evenVBand="0" w:oddHBand="0" w:evenHBand="0" w:firstRowFirstColumn="0" w:firstRowLastColumn="0" w:lastRowFirstColumn="0" w:lastRowLastColumn="0"/>
            </w:pPr>
            <w:r>
              <w:t>14 149</w:t>
            </w:r>
          </w:p>
        </w:tc>
        <w:tc>
          <w:tcPr>
            <w:tcW w:w="794" w:type="dxa"/>
          </w:tcPr>
          <w:p w14:paraId="5C9C723C" w14:textId="77777777" w:rsidR="00AB205D" w:rsidRDefault="00471A3B">
            <w:pPr>
              <w:cnfStyle w:val="000000000000" w:firstRow="0" w:lastRow="0" w:firstColumn="0" w:lastColumn="0" w:oddVBand="0" w:evenVBand="0" w:oddHBand="0" w:evenHBand="0" w:firstRowFirstColumn="0" w:firstRowLastColumn="0" w:lastRowFirstColumn="0" w:lastRowLastColumn="0"/>
            </w:pPr>
            <w:r>
              <w:t>14 297</w:t>
            </w:r>
          </w:p>
        </w:tc>
        <w:tc>
          <w:tcPr>
            <w:tcW w:w="794" w:type="dxa"/>
          </w:tcPr>
          <w:p w14:paraId="78D751D1" w14:textId="77777777" w:rsidR="00AB205D" w:rsidRDefault="00471A3B">
            <w:pPr>
              <w:cnfStyle w:val="000000000000" w:firstRow="0" w:lastRow="0" w:firstColumn="0" w:lastColumn="0" w:oddVBand="0" w:evenVBand="0" w:oddHBand="0" w:evenHBand="0" w:firstRowFirstColumn="0" w:firstRowLastColumn="0" w:lastRowFirstColumn="0" w:lastRowLastColumn="0"/>
            </w:pPr>
            <w:r>
              <w:t>15 312</w:t>
            </w:r>
          </w:p>
        </w:tc>
        <w:tc>
          <w:tcPr>
            <w:tcW w:w="794" w:type="dxa"/>
          </w:tcPr>
          <w:p w14:paraId="776ABFF3" w14:textId="77777777" w:rsidR="00AB205D" w:rsidRDefault="00471A3B">
            <w:pPr>
              <w:cnfStyle w:val="000000000000" w:firstRow="0" w:lastRow="0" w:firstColumn="0" w:lastColumn="0" w:oddVBand="0" w:evenVBand="0" w:oddHBand="0" w:evenHBand="0" w:firstRowFirstColumn="0" w:firstRowLastColumn="0" w:lastRowFirstColumn="0" w:lastRowLastColumn="0"/>
            </w:pPr>
            <w:r>
              <w:t>15 490</w:t>
            </w:r>
          </w:p>
        </w:tc>
        <w:tc>
          <w:tcPr>
            <w:tcW w:w="794" w:type="dxa"/>
          </w:tcPr>
          <w:p w14:paraId="5552C563" w14:textId="77777777" w:rsidR="00AB205D" w:rsidRDefault="00471A3B">
            <w:pPr>
              <w:cnfStyle w:val="000000000000" w:firstRow="0" w:lastRow="0" w:firstColumn="0" w:lastColumn="0" w:oddVBand="0" w:evenVBand="0" w:oddHBand="0" w:evenHBand="0" w:firstRowFirstColumn="0" w:firstRowLastColumn="0" w:lastRowFirstColumn="0" w:lastRowLastColumn="0"/>
            </w:pPr>
            <w:r>
              <w:t>16 588</w:t>
            </w:r>
          </w:p>
        </w:tc>
      </w:tr>
      <w:tr w:rsidR="009C6724" w14:paraId="4D1F8189"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59EE521" w14:textId="77777777" w:rsidR="00AB205D" w:rsidRDefault="00471A3B">
            <w:r>
              <w:t>Interest received</w:t>
            </w:r>
          </w:p>
        </w:tc>
        <w:tc>
          <w:tcPr>
            <w:tcW w:w="794" w:type="dxa"/>
          </w:tcPr>
          <w:p w14:paraId="5BC8EAFE" w14:textId="77777777" w:rsidR="00AB205D" w:rsidRDefault="00471A3B">
            <w:pPr>
              <w:cnfStyle w:val="000000000000" w:firstRow="0" w:lastRow="0" w:firstColumn="0" w:lastColumn="0" w:oddVBand="0" w:evenVBand="0" w:oddHBand="0" w:evenHBand="0" w:firstRowFirstColumn="0" w:firstRowLastColumn="0" w:lastRowFirstColumn="0" w:lastRowLastColumn="0"/>
            </w:pPr>
            <w:r>
              <w:t>1 113</w:t>
            </w:r>
          </w:p>
        </w:tc>
        <w:tc>
          <w:tcPr>
            <w:tcW w:w="794" w:type="dxa"/>
          </w:tcPr>
          <w:p w14:paraId="45EC0178" w14:textId="77777777" w:rsidR="00AB205D" w:rsidRDefault="00471A3B">
            <w:pPr>
              <w:cnfStyle w:val="000000000000" w:firstRow="0" w:lastRow="0" w:firstColumn="0" w:lastColumn="0" w:oddVBand="0" w:evenVBand="0" w:oddHBand="0" w:evenHBand="0" w:firstRowFirstColumn="0" w:firstRowLastColumn="0" w:lastRowFirstColumn="0" w:lastRowLastColumn="0"/>
            </w:pPr>
            <w:r>
              <w:t>1 314</w:t>
            </w:r>
          </w:p>
        </w:tc>
        <w:tc>
          <w:tcPr>
            <w:tcW w:w="794" w:type="dxa"/>
          </w:tcPr>
          <w:p w14:paraId="0A01215A" w14:textId="77777777" w:rsidR="00AB205D" w:rsidRDefault="00471A3B">
            <w:pPr>
              <w:cnfStyle w:val="000000000000" w:firstRow="0" w:lastRow="0" w:firstColumn="0" w:lastColumn="0" w:oddVBand="0" w:evenVBand="0" w:oddHBand="0" w:evenHBand="0" w:firstRowFirstColumn="0" w:firstRowLastColumn="0" w:lastRowFirstColumn="0" w:lastRowLastColumn="0"/>
            </w:pPr>
            <w:r>
              <w:t>629</w:t>
            </w:r>
          </w:p>
        </w:tc>
        <w:tc>
          <w:tcPr>
            <w:tcW w:w="794" w:type="dxa"/>
          </w:tcPr>
          <w:p w14:paraId="68693B7B" w14:textId="77777777" w:rsidR="00AB205D" w:rsidRDefault="00471A3B">
            <w:pPr>
              <w:cnfStyle w:val="000000000000" w:firstRow="0" w:lastRow="0" w:firstColumn="0" w:lastColumn="0" w:oddVBand="0" w:evenVBand="0" w:oddHBand="0" w:evenHBand="0" w:firstRowFirstColumn="0" w:firstRowLastColumn="0" w:lastRowFirstColumn="0" w:lastRowLastColumn="0"/>
            </w:pPr>
            <w:r>
              <w:t>570</w:t>
            </w:r>
          </w:p>
        </w:tc>
        <w:tc>
          <w:tcPr>
            <w:tcW w:w="794" w:type="dxa"/>
          </w:tcPr>
          <w:p w14:paraId="281BC9F5" w14:textId="77777777" w:rsidR="00AB205D" w:rsidRDefault="00471A3B">
            <w:pPr>
              <w:cnfStyle w:val="000000000000" w:firstRow="0" w:lastRow="0" w:firstColumn="0" w:lastColumn="0" w:oddVBand="0" w:evenVBand="0" w:oddHBand="0" w:evenHBand="0" w:firstRowFirstColumn="0" w:firstRowLastColumn="0" w:lastRowFirstColumn="0" w:lastRowLastColumn="0"/>
            </w:pPr>
            <w:r>
              <w:t>570</w:t>
            </w:r>
          </w:p>
        </w:tc>
      </w:tr>
      <w:tr w:rsidR="009C6724" w14:paraId="7E79622A"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CB95430" w14:textId="77777777" w:rsidR="00AB205D" w:rsidRDefault="00471A3B">
            <w:r>
              <w:t>Dividends, income tax equivalent and rate equivalent receipts</w:t>
            </w:r>
          </w:p>
        </w:tc>
        <w:tc>
          <w:tcPr>
            <w:tcW w:w="794" w:type="dxa"/>
          </w:tcPr>
          <w:p w14:paraId="7CDF9318" w14:textId="77777777" w:rsidR="00AB205D" w:rsidRDefault="00471A3B">
            <w:pPr>
              <w:cnfStyle w:val="000000000000" w:firstRow="0" w:lastRow="0" w:firstColumn="0" w:lastColumn="0" w:oddVBand="0" w:evenVBand="0" w:oddHBand="0" w:evenHBand="0" w:firstRowFirstColumn="0" w:firstRowLastColumn="0" w:lastRowFirstColumn="0" w:lastRowLastColumn="0"/>
            </w:pPr>
            <w:r>
              <w:t>1 167</w:t>
            </w:r>
          </w:p>
        </w:tc>
        <w:tc>
          <w:tcPr>
            <w:tcW w:w="794" w:type="dxa"/>
          </w:tcPr>
          <w:p w14:paraId="281B01DF" w14:textId="77777777" w:rsidR="00AB205D" w:rsidRDefault="00471A3B">
            <w:pPr>
              <w:cnfStyle w:val="000000000000" w:firstRow="0" w:lastRow="0" w:firstColumn="0" w:lastColumn="0" w:oddVBand="0" w:evenVBand="0" w:oddHBand="0" w:evenHBand="0" w:firstRowFirstColumn="0" w:firstRowLastColumn="0" w:lastRowFirstColumn="0" w:lastRowLastColumn="0"/>
            </w:pPr>
            <w:r>
              <w:t>1 951</w:t>
            </w:r>
          </w:p>
        </w:tc>
        <w:tc>
          <w:tcPr>
            <w:tcW w:w="794" w:type="dxa"/>
          </w:tcPr>
          <w:p w14:paraId="2F238F1F" w14:textId="77777777" w:rsidR="00AB205D" w:rsidRDefault="00471A3B">
            <w:pPr>
              <w:cnfStyle w:val="000000000000" w:firstRow="0" w:lastRow="0" w:firstColumn="0" w:lastColumn="0" w:oddVBand="0" w:evenVBand="0" w:oddHBand="0" w:evenHBand="0" w:firstRowFirstColumn="0" w:firstRowLastColumn="0" w:lastRowFirstColumn="0" w:lastRowLastColumn="0"/>
            </w:pPr>
            <w:r>
              <w:t>1 177</w:t>
            </w:r>
          </w:p>
        </w:tc>
        <w:tc>
          <w:tcPr>
            <w:tcW w:w="794" w:type="dxa"/>
          </w:tcPr>
          <w:p w14:paraId="02365A34" w14:textId="77777777" w:rsidR="00AB205D" w:rsidRDefault="00471A3B">
            <w:pPr>
              <w:cnfStyle w:val="000000000000" w:firstRow="0" w:lastRow="0" w:firstColumn="0" w:lastColumn="0" w:oddVBand="0" w:evenVBand="0" w:oddHBand="0" w:evenHBand="0" w:firstRowFirstColumn="0" w:firstRowLastColumn="0" w:lastRowFirstColumn="0" w:lastRowLastColumn="0"/>
            </w:pPr>
            <w:r>
              <w:t>764</w:t>
            </w:r>
          </w:p>
        </w:tc>
        <w:tc>
          <w:tcPr>
            <w:tcW w:w="794" w:type="dxa"/>
          </w:tcPr>
          <w:p w14:paraId="7A2F2A5E" w14:textId="77777777" w:rsidR="00AB205D" w:rsidRDefault="00471A3B">
            <w:pPr>
              <w:cnfStyle w:val="000000000000" w:firstRow="0" w:lastRow="0" w:firstColumn="0" w:lastColumn="0" w:oddVBand="0" w:evenVBand="0" w:oddHBand="0" w:evenHBand="0" w:firstRowFirstColumn="0" w:firstRowLastColumn="0" w:lastRowFirstColumn="0" w:lastRowLastColumn="0"/>
            </w:pPr>
            <w:r>
              <w:t>832</w:t>
            </w:r>
          </w:p>
        </w:tc>
      </w:tr>
      <w:tr w:rsidR="009C6724" w14:paraId="0CFD9A7F"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11B7EC82" w14:textId="77777777" w:rsidR="00AB205D" w:rsidRDefault="00471A3B">
            <w:r>
              <w:t>Other receipts</w:t>
            </w:r>
          </w:p>
        </w:tc>
        <w:tc>
          <w:tcPr>
            <w:tcW w:w="794" w:type="dxa"/>
            <w:tcBorders>
              <w:bottom w:val="single" w:sz="6" w:space="0" w:color="auto"/>
            </w:tcBorders>
          </w:tcPr>
          <w:p w14:paraId="57F8E575" w14:textId="77777777" w:rsidR="00AB205D" w:rsidRDefault="00471A3B">
            <w:pPr>
              <w:cnfStyle w:val="000000000000" w:firstRow="0" w:lastRow="0" w:firstColumn="0" w:lastColumn="0" w:oddVBand="0" w:evenVBand="0" w:oddHBand="0" w:evenHBand="0" w:firstRowFirstColumn="0" w:firstRowLastColumn="0" w:lastRowFirstColumn="0" w:lastRowLastColumn="0"/>
            </w:pPr>
            <w:r>
              <w:t>2 333</w:t>
            </w:r>
          </w:p>
        </w:tc>
        <w:tc>
          <w:tcPr>
            <w:tcW w:w="794" w:type="dxa"/>
            <w:tcBorders>
              <w:bottom w:val="single" w:sz="6" w:space="0" w:color="auto"/>
            </w:tcBorders>
          </w:tcPr>
          <w:p w14:paraId="0287961F" w14:textId="77777777" w:rsidR="00AB205D" w:rsidRDefault="00471A3B">
            <w:pPr>
              <w:cnfStyle w:val="000000000000" w:firstRow="0" w:lastRow="0" w:firstColumn="0" w:lastColumn="0" w:oddVBand="0" w:evenVBand="0" w:oddHBand="0" w:evenHBand="0" w:firstRowFirstColumn="0" w:firstRowLastColumn="0" w:lastRowFirstColumn="0" w:lastRowLastColumn="0"/>
            </w:pPr>
            <w:r>
              <w:t>2 861</w:t>
            </w:r>
          </w:p>
        </w:tc>
        <w:tc>
          <w:tcPr>
            <w:tcW w:w="794" w:type="dxa"/>
            <w:tcBorders>
              <w:bottom w:val="single" w:sz="6" w:space="0" w:color="auto"/>
            </w:tcBorders>
          </w:tcPr>
          <w:p w14:paraId="2696C3DB" w14:textId="77777777" w:rsidR="00AB205D" w:rsidRDefault="00471A3B">
            <w:pPr>
              <w:cnfStyle w:val="000000000000" w:firstRow="0" w:lastRow="0" w:firstColumn="0" w:lastColumn="0" w:oddVBand="0" w:evenVBand="0" w:oddHBand="0" w:evenHBand="0" w:firstRowFirstColumn="0" w:firstRowLastColumn="0" w:lastRowFirstColumn="0" w:lastRowLastColumn="0"/>
            </w:pPr>
            <w:r>
              <w:t>2 565</w:t>
            </w:r>
          </w:p>
        </w:tc>
        <w:tc>
          <w:tcPr>
            <w:tcW w:w="794" w:type="dxa"/>
            <w:tcBorders>
              <w:bottom w:val="single" w:sz="6" w:space="0" w:color="auto"/>
            </w:tcBorders>
          </w:tcPr>
          <w:p w14:paraId="00E482EE" w14:textId="77777777" w:rsidR="00AB205D" w:rsidRDefault="00471A3B">
            <w:pPr>
              <w:cnfStyle w:val="000000000000" w:firstRow="0" w:lastRow="0" w:firstColumn="0" w:lastColumn="0" w:oddVBand="0" w:evenVBand="0" w:oddHBand="0" w:evenHBand="0" w:firstRowFirstColumn="0" w:firstRowLastColumn="0" w:lastRowFirstColumn="0" w:lastRowLastColumn="0"/>
            </w:pPr>
            <w:r>
              <w:t>2 667</w:t>
            </w:r>
          </w:p>
        </w:tc>
        <w:tc>
          <w:tcPr>
            <w:tcW w:w="794" w:type="dxa"/>
            <w:tcBorders>
              <w:bottom w:val="single" w:sz="6" w:space="0" w:color="auto"/>
            </w:tcBorders>
          </w:tcPr>
          <w:p w14:paraId="597F8AD3" w14:textId="77777777" w:rsidR="00AB205D" w:rsidRDefault="00471A3B">
            <w:pPr>
              <w:cnfStyle w:val="000000000000" w:firstRow="0" w:lastRow="0" w:firstColumn="0" w:lastColumn="0" w:oddVBand="0" w:evenVBand="0" w:oddHBand="0" w:evenHBand="0" w:firstRowFirstColumn="0" w:firstRowLastColumn="0" w:lastRowFirstColumn="0" w:lastRowLastColumn="0"/>
            </w:pPr>
            <w:r>
              <w:t>3 041</w:t>
            </w:r>
          </w:p>
        </w:tc>
      </w:tr>
      <w:tr w:rsidR="009C6724" w14:paraId="3A5F9264"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781CB0E8" w14:textId="77777777" w:rsidR="00AB205D" w:rsidRDefault="00471A3B">
            <w:r>
              <w:rPr>
                <w:b/>
              </w:rPr>
              <w:t>Total receipts</w:t>
            </w:r>
          </w:p>
        </w:tc>
        <w:tc>
          <w:tcPr>
            <w:tcW w:w="794" w:type="dxa"/>
            <w:tcBorders>
              <w:top w:val="single" w:sz="6" w:space="0" w:color="auto"/>
            </w:tcBorders>
          </w:tcPr>
          <w:p w14:paraId="7FBBAC0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94 138</w:t>
            </w:r>
          </w:p>
        </w:tc>
        <w:tc>
          <w:tcPr>
            <w:tcW w:w="794" w:type="dxa"/>
            <w:tcBorders>
              <w:top w:val="single" w:sz="6" w:space="0" w:color="auto"/>
            </w:tcBorders>
          </w:tcPr>
          <w:p w14:paraId="5DC2F97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95 242</w:t>
            </w:r>
          </w:p>
        </w:tc>
        <w:tc>
          <w:tcPr>
            <w:tcW w:w="794" w:type="dxa"/>
            <w:tcBorders>
              <w:top w:val="single" w:sz="6" w:space="0" w:color="auto"/>
            </w:tcBorders>
          </w:tcPr>
          <w:p w14:paraId="1BE9D06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100 070</w:t>
            </w:r>
          </w:p>
        </w:tc>
        <w:tc>
          <w:tcPr>
            <w:tcW w:w="794" w:type="dxa"/>
            <w:tcBorders>
              <w:top w:val="single" w:sz="6" w:space="0" w:color="auto"/>
            </w:tcBorders>
          </w:tcPr>
          <w:p w14:paraId="73ECEEC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104 570</w:t>
            </w:r>
          </w:p>
        </w:tc>
        <w:tc>
          <w:tcPr>
            <w:tcW w:w="794" w:type="dxa"/>
            <w:tcBorders>
              <w:top w:val="single" w:sz="6" w:space="0" w:color="auto"/>
            </w:tcBorders>
          </w:tcPr>
          <w:p w14:paraId="6390858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109 847</w:t>
            </w:r>
          </w:p>
        </w:tc>
      </w:tr>
      <w:tr w:rsidR="009C6724" w14:paraId="68345AA3"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7F7FD3F3" w14:textId="77777777" w:rsidR="00AB205D" w:rsidRDefault="00471A3B">
            <w:r>
              <w:rPr>
                <w:b/>
              </w:rPr>
              <w:t>Payments</w:t>
            </w:r>
          </w:p>
        </w:tc>
        <w:tc>
          <w:tcPr>
            <w:tcW w:w="794" w:type="dxa"/>
          </w:tcPr>
          <w:p w14:paraId="65F3185F"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9FAE188"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68AB0342"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3A8E78D"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1C7C745"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57ED41DB"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B85FE60" w14:textId="77777777" w:rsidR="00AB205D" w:rsidRDefault="00471A3B">
            <w:r>
              <w:t>Payments for employees</w:t>
            </w:r>
          </w:p>
        </w:tc>
        <w:tc>
          <w:tcPr>
            <w:tcW w:w="794" w:type="dxa"/>
          </w:tcPr>
          <w:p w14:paraId="1E7C8D95" w14:textId="77777777" w:rsidR="00AB205D" w:rsidRDefault="00471A3B">
            <w:pPr>
              <w:cnfStyle w:val="000000000000" w:firstRow="0" w:lastRow="0" w:firstColumn="0" w:lastColumn="0" w:oddVBand="0" w:evenVBand="0" w:oddHBand="0" w:evenHBand="0" w:firstRowFirstColumn="0" w:firstRowLastColumn="0" w:lastRowFirstColumn="0" w:lastRowLastColumn="0"/>
            </w:pPr>
            <w:r>
              <w:t>(36 563)</w:t>
            </w:r>
          </w:p>
        </w:tc>
        <w:tc>
          <w:tcPr>
            <w:tcW w:w="794" w:type="dxa"/>
          </w:tcPr>
          <w:p w14:paraId="2B504567" w14:textId="77777777" w:rsidR="00AB205D" w:rsidRDefault="00471A3B">
            <w:pPr>
              <w:cnfStyle w:val="000000000000" w:firstRow="0" w:lastRow="0" w:firstColumn="0" w:lastColumn="0" w:oddVBand="0" w:evenVBand="0" w:oddHBand="0" w:evenHBand="0" w:firstRowFirstColumn="0" w:firstRowLastColumn="0" w:lastRowFirstColumn="0" w:lastRowLastColumn="0"/>
            </w:pPr>
            <w:r>
              <w:t>(36 290)</w:t>
            </w:r>
          </w:p>
        </w:tc>
        <w:tc>
          <w:tcPr>
            <w:tcW w:w="794" w:type="dxa"/>
          </w:tcPr>
          <w:p w14:paraId="418343B4" w14:textId="77777777" w:rsidR="00AB205D" w:rsidRDefault="00471A3B">
            <w:pPr>
              <w:cnfStyle w:val="000000000000" w:firstRow="0" w:lastRow="0" w:firstColumn="0" w:lastColumn="0" w:oddVBand="0" w:evenVBand="0" w:oddHBand="0" w:evenHBand="0" w:firstRowFirstColumn="0" w:firstRowLastColumn="0" w:lastRowFirstColumn="0" w:lastRowLastColumn="0"/>
            </w:pPr>
            <w:r>
              <w:t>(37 363)</w:t>
            </w:r>
          </w:p>
        </w:tc>
        <w:tc>
          <w:tcPr>
            <w:tcW w:w="794" w:type="dxa"/>
          </w:tcPr>
          <w:p w14:paraId="63C92E93" w14:textId="77777777" w:rsidR="00AB205D" w:rsidRDefault="00471A3B">
            <w:pPr>
              <w:cnfStyle w:val="000000000000" w:firstRow="0" w:lastRow="0" w:firstColumn="0" w:lastColumn="0" w:oddVBand="0" w:evenVBand="0" w:oddHBand="0" w:evenHBand="0" w:firstRowFirstColumn="0" w:firstRowLastColumn="0" w:lastRowFirstColumn="0" w:lastRowLastColumn="0"/>
            </w:pPr>
            <w:r>
              <w:t>(38 390)</w:t>
            </w:r>
          </w:p>
        </w:tc>
        <w:tc>
          <w:tcPr>
            <w:tcW w:w="794" w:type="dxa"/>
          </w:tcPr>
          <w:p w14:paraId="380CA39B" w14:textId="77777777" w:rsidR="00AB205D" w:rsidRDefault="00471A3B">
            <w:pPr>
              <w:cnfStyle w:val="000000000000" w:firstRow="0" w:lastRow="0" w:firstColumn="0" w:lastColumn="0" w:oddVBand="0" w:evenVBand="0" w:oddHBand="0" w:evenHBand="0" w:firstRowFirstColumn="0" w:firstRowLastColumn="0" w:lastRowFirstColumn="0" w:lastRowLastColumn="0"/>
            </w:pPr>
            <w:r>
              <w:t>(40 058)</w:t>
            </w:r>
          </w:p>
        </w:tc>
      </w:tr>
      <w:tr w:rsidR="009C6724" w14:paraId="18004F10"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4045283" w14:textId="77777777" w:rsidR="00AB205D" w:rsidRDefault="00471A3B">
            <w:r>
              <w:t>Superannuation</w:t>
            </w:r>
          </w:p>
        </w:tc>
        <w:tc>
          <w:tcPr>
            <w:tcW w:w="794" w:type="dxa"/>
          </w:tcPr>
          <w:p w14:paraId="74DE5144" w14:textId="77777777" w:rsidR="00AB205D" w:rsidRDefault="00471A3B">
            <w:pPr>
              <w:cnfStyle w:val="000000000000" w:firstRow="0" w:lastRow="0" w:firstColumn="0" w:lastColumn="0" w:oddVBand="0" w:evenVBand="0" w:oddHBand="0" w:evenHBand="0" w:firstRowFirstColumn="0" w:firstRowLastColumn="0" w:lastRowFirstColumn="0" w:lastRowLastColumn="0"/>
            </w:pPr>
            <w:r>
              <w:t>(3 700)</w:t>
            </w:r>
          </w:p>
        </w:tc>
        <w:tc>
          <w:tcPr>
            <w:tcW w:w="794" w:type="dxa"/>
          </w:tcPr>
          <w:p w14:paraId="0FE08A34" w14:textId="77777777" w:rsidR="00AB205D" w:rsidRDefault="00471A3B">
            <w:pPr>
              <w:cnfStyle w:val="000000000000" w:firstRow="0" w:lastRow="0" w:firstColumn="0" w:lastColumn="0" w:oddVBand="0" w:evenVBand="0" w:oddHBand="0" w:evenHBand="0" w:firstRowFirstColumn="0" w:firstRowLastColumn="0" w:lastRowFirstColumn="0" w:lastRowLastColumn="0"/>
            </w:pPr>
            <w:r>
              <w:t>(3 755)</w:t>
            </w:r>
          </w:p>
        </w:tc>
        <w:tc>
          <w:tcPr>
            <w:tcW w:w="794" w:type="dxa"/>
          </w:tcPr>
          <w:p w14:paraId="3422A0F8" w14:textId="77777777" w:rsidR="00AB205D" w:rsidRDefault="00471A3B">
            <w:pPr>
              <w:cnfStyle w:val="000000000000" w:firstRow="0" w:lastRow="0" w:firstColumn="0" w:lastColumn="0" w:oddVBand="0" w:evenVBand="0" w:oddHBand="0" w:evenHBand="0" w:firstRowFirstColumn="0" w:firstRowLastColumn="0" w:lastRowFirstColumn="0" w:lastRowLastColumn="0"/>
            </w:pPr>
            <w:r>
              <w:t>(3 946)</w:t>
            </w:r>
          </w:p>
        </w:tc>
        <w:tc>
          <w:tcPr>
            <w:tcW w:w="794" w:type="dxa"/>
          </w:tcPr>
          <w:p w14:paraId="2F8606C9" w14:textId="77777777" w:rsidR="00AB205D" w:rsidRDefault="00471A3B">
            <w:pPr>
              <w:cnfStyle w:val="000000000000" w:firstRow="0" w:lastRow="0" w:firstColumn="0" w:lastColumn="0" w:oddVBand="0" w:evenVBand="0" w:oddHBand="0" w:evenHBand="0" w:firstRowFirstColumn="0" w:firstRowLastColumn="0" w:lastRowFirstColumn="0" w:lastRowLastColumn="0"/>
            </w:pPr>
            <w:r>
              <w:t>(3 803)</w:t>
            </w:r>
          </w:p>
        </w:tc>
        <w:tc>
          <w:tcPr>
            <w:tcW w:w="794" w:type="dxa"/>
          </w:tcPr>
          <w:p w14:paraId="43BF2BCE" w14:textId="77777777" w:rsidR="00AB205D" w:rsidRDefault="00471A3B">
            <w:pPr>
              <w:cnfStyle w:val="000000000000" w:firstRow="0" w:lastRow="0" w:firstColumn="0" w:lastColumn="0" w:oddVBand="0" w:evenVBand="0" w:oddHBand="0" w:evenHBand="0" w:firstRowFirstColumn="0" w:firstRowLastColumn="0" w:lastRowFirstColumn="0" w:lastRowLastColumn="0"/>
            </w:pPr>
            <w:r>
              <w:t>(4 125)</w:t>
            </w:r>
          </w:p>
        </w:tc>
      </w:tr>
      <w:tr w:rsidR="009C6724" w14:paraId="407B1371"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5EE5C864" w14:textId="77777777" w:rsidR="00AB205D" w:rsidRDefault="00471A3B">
            <w:r>
              <w:t>Interest paid</w:t>
            </w:r>
          </w:p>
        </w:tc>
        <w:tc>
          <w:tcPr>
            <w:tcW w:w="794" w:type="dxa"/>
          </w:tcPr>
          <w:p w14:paraId="30458B48" w14:textId="77777777" w:rsidR="00AB205D" w:rsidRDefault="00471A3B">
            <w:pPr>
              <w:cnfStyle w:val="000000000000" w:firstRow="0" w:lastRow="0" w:firstColumn="0" w:lastColumn="0" w:oddVBand="0" w:evenVBand="0" w:oddHBand="0" w:evenHBand="0" w:firstRowFirstColumn="0" w:firstRowLastColumn="0" w:lastRowFirstColumn="0" w:lastRowLastColumn="0"/>
            </w:pPr>
            <w:r>
              <w:t>(5 635)</w:t>
            </w:r>
          </w:p>
        </w:tc>
        <w:tc>
          <w:tcPr>
            <w:tcW w:w="794" w:type="dxa"/>
          </w:tcPr>
          <w:p w14:paraId="76FD12A8" w14:textId="77777777" w:rsidR="00AB205D" w:rsidRDefault="00471A3B">
            <w:pPr>
              <w:cnfStyle w:val="000000000000" w:firstRow="0" w:lastRow="0" w:firstColumn="0" w:lastColumn="0" w:oddVBand="0" w:evenVBand="0" w:oddHBand="0" w:evenHBand="0" w:firstRowFirstColumn="0" w:firstRowLastColumn="0" w:lastRowFirstColumn="0" w:lastRowLastColumn="0"/>
            </w:pPr>
            <w:r>
              <w:t>(5 857)</w:t>
            </w:r>
          </w:p>
        </w:tc>
        <w:tc>
          <w:tcPr>
            <w:tcW w:w="794" w:type="dxa"/>
          </w:tcPr>
          <w:p w14:paraId="65C1BE80" w14:textId="77777777" w:rsidR="00AB205D" w:rsidRDefault="00471A3B">
            <w:pPr>
              <w:cnfStyle w:val="000000000000" w:firstRow="0" w:lastRow="0" w:firstColumn="0" w:lastColumn="0" w:oddVBand="0" w:evenVBand="0" w:oddHBand="0" w:evenHBand="0" w:firstRowFirstColumn="0" w:firstRowLastColumn="0" w:lastRowFirstColumn="0" w:lastRowLastColumn="0"/>
            </w:pPr>
            <w:r>
              <w:t>(6 981)</w:t>
            </w:r>
          </w:p>
        </w:tc>
        <w:tc>
          <w:tcPr>
            <w:tcW w:w="794" w:type="dxa"/>
          </w:tcPr>
          <w:p w14:paraId="54B61DEC" w14:textId="77777777" w:rsidR="00AB205D" w:rsidRDefault="00471A3B">
            <w:pPr>
              <w:cnfStyle w:val="000000000000" w:firstRow="0" w:lastRow="0" w:firstColumn="0" w:lastColumn="0" w:oddVBand="0" w:evenVBand="0" w:oddHBand="0" w:evenHBand="0" w:firstRowFirstColumn="0" w:firstRowLastColumn="0" w:lastRowFirstColumn="0" w:lastRowLastColumn="0"/>
            </w:pPr>
            <w:r>
              <w:t>(8 373)</w:t>
            </w:r>
          </w:p>
        </w:tc>
        <w:tc>
          <w:tcPr>
            <w:tcW w:w="794" w:type="dxa"/>
          </w:tcPr>
          <w:p w14:paraId="69A6D660" w14:textId="77777777" w:rsidR="00AB205D" w:rsidRDefault="00471A3B">
            <w:pPr>
              <w:cnfStyle w:val="000000000000" w:firstRow="0" w:lastRow="0" w:firstColumn="0" w:lastColumn="0" w:oddVBand="0" w:evenVBand="0" w:oddHBand="0" w:evenHBand="0" w:firstRowFirstColumn="0" w:firstRowLastColumn="0" w:lastRowFirstColumn="0" w:lastRowLastColumn="0"/>
            </w:pPr>
            <w:r>
              <w:t>(9 618)</w:t>
            </w:r>
          </w:p>
        </w:tc>
      </w:tr>
      <w:tr w:rsidR="009C6724" w14:paraId="041A200C"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CA5A579" w14:textId="77777777" w:rsidR="00AB205D" w:rsidRDefault="00471A3B">
            <w:r>
              <w:t>Grants and subsidies</w:t>
            </w:r>
          </w:p>
        </w:tc>
        <w:tc>
          <w:tcPr>
            <w:tcW w:w="794" w:type="dxa"/>
          </w:tcPr>
          <w:p w14:paraId="09CA017B" w14:textId="77777777" w:rsidR="00AB205D" w:rsidRDefault="00471A3B">
            <w:pPr>
              <w:cnfStyle w:val="000000000000" w:firstRow="0" w:lastRow="0" w:firstColumn="0" w:lastColumn="0" w:oddVBand="0" w:evenVBand="0" w:oddHBand="0" w:evenHBand="0" w:firstRowFirstColumn="0" w:firstRowLastColumn="0" w:lastRowFirstColumn="0" w:lastRowLastColumn="0"/>
            </w:pPr>
            <w:r>
              <w:t>(15 055)</w:t>
            </w:r>
          </w:p>
        </w:tc>
        <w:tc>
          <w:tcPr>
            <w:tcW w:w="794" w:type="dxa"/>
          </w:tcPr>
          <w:p w14:paraId="25A77C17" w14:textId="77777777" w:rsidR="00AB205D" w:rsidRDefault="00471A3B">
            <w:pPr>
              <w:cnfStyle w:val="000000000000" w:firstRow="0" w:lastRow="0" w:firstColumn="0" w:lastColumn="0" w:oddVBand="0" w:evenVBand="0" w:oddHBand="0" w:evenHBand="0" w:firstRowFirstColumn="0" w:firstRowLastColumn="0" w:lastRowFirstColumn="0" w:lastRowLastColumn="0"/>
            </w:pPr>
            <w:r>
              <w:t>(15 103)</w:t>
            </w:r>
          </w:p>
        </w:tc>
        <w:tc>
          <w:tcPr>
            <w:tcW w:w="794" w:type="dxa"/>
          </w:tcPr>
          <w:p w14:paraId="25503EDF" w14:textId="77777777" w:rsidR="00AB205D" w:rsidRDefault="00471A3B">
            <w:pPr>
              <w:cnfStyle w:val="000000000000" w:firstRow="0" w:lastRow="0" w:firstColumn="0" w:lastColumn="0" w:oddVBand="0" w:evenVBand="0" w:oddHBand="0" w:evenHBand="0" w:firstRowFirstColumn="0" w:firstRowLastColumn="0" w:lastRowFirstColumn="0" w:lastRowLastColumn="0"/>
            </w:pPr>
            <w:r>
              <w:t>(15 329)</w:t>
            </w:r>
          </w:p>
        </w:tc>
        <w:tc>
          <w:tcPr>
            <w:tcW w:w="794" w:type="dxa"/>
          </w:tcPr>
          <w:p w14:paraId="1288B38D" w14:textId="77777777" w:rsidR="00AB205D" w:rsidRDefault="00471A3B">
            <w:pPr>
              <w:cnfStyle w:val="000000000000" w:firstRow="0" w:lastRow="0" w:firstColumn="0" w:lastColumn="0" w:oddVBand="0" w:evenVBand="0" w:oddHBand="0" w:evenHBand="0" w:firstRowFirstColumn="0" w:firstRowLastColumn="0" w:lastRowFirstColumn="0" w:lastRowLastColumn="0"/>
            </w:pPr>
            <w:r>
              <w:t>(15 232)</w:t>
            </w:r>
          </w:p>
        </w:tc>
        <w:tc>
          <w:tcPr>
            <w:tcW w:w="794" w:type="dxa"/>
          </w:tcPr>
          <w:p w14:paraId="215CE717" w14:textId="77777777" w:rsidR="00AB205D" w:rsidRDefault="00471A3B">
            <w:pPr>
              <w:cnfStyle w:val="000000000000" w:firstRow="0" w:lastRow="0" w:firstColumn="0" w:lastColumn="0" w:oddVBand="0" w:evenVBand="0" w:oddHBand="0" w:evenHBand="0" w:firstRowFirstColumn="0" w:firstRowLastColumn="0" w:lastRowFirstColumn="0" w:lastRowLastColumn="0"/>
            </w:pPr>
            <w:r>
              <w:t>(15 369)</w:t>
            </w:r>
          </w:p>
        </w:tc>
      </w:tr>
      <w:tr w:rsidR="009C6724" w14:paraId="4B7FB979"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794C12CB" w14:textId="77777777" w:rsidR="00AB205D" w:rsidRDefault="00471A3B">
            <w:r>
              <w:t>Goods and services</w:t>
            </w:r>
            <w:r>
              <w:rPr>
                <w:vertAlign w:val="superscript"/>
              </w:rPr>
              <w:t xml:space="preserve"> (a)</w:t>
            </w:r>
          </w:p>
        </w:tc>
        <w:tc>
          <w:tcPr>
            <w:tcW w:w="794" w:type="dxa"/>
          </w:tcPr>
          <w:p w14:paraId="7679FCEA" w14:textId="77777777" w:rsidR="00AB205D" w:rsidRDefault="00471A3B">
            <w:pPr>
              <w:cnfStyle w:val="000000000000" w:firstRow="0" w:lastRow="0" w:firstColumn="0" w:lastColumn="0" w:oddVBand="0" w:evenVBand="0" w:oddHBand="0" w:evenHBand="0" w:firstRowFirstColumn="0" w:firstRowLastColumn="0" w:lastRowFirstColumn="0" w:lastRowLastColumn="0"/>
            </w:pPr>
            <w:r>
              <w:t>(30 609)</w:t>
            </w:r>
          </w:p>
        </w:tc>
        <w:tc>
          <w:tcPr>
            <w:tcW w:w="794" w:type="dxa"/>
          </w:tcPr>
          <w:p w14:paraId="40E890EC" w14:textId="77777777" w:rsidR="00AB205D" w:rsidRDefault="00471A3B">
            <w:pPr>
              <w:cnfStyle w:val="000000000000" w:firstRow="0" w:lastRow="0" w:firstColumn="0" w:lastColumn="0" w:oddVBand="0" w:evenVBand="0" w:oddHBand="0" w:evenHBand="0" w:firstRowFirstColumn="0" w:firstRowLastColumn="0" w:lastRowFirstColumn="0" w:lastRowLastColumn="0"/>
            </w:pPr>
            <w:r>
              <w:t>(31 636)</w:t>
            </w:r>
          </w:p>
        </w:tc>
        <w:tc>
          <w:tcPr>
            <w:tcW w:w="794" w:type="dxa"/>
          </w:tcPr>
          <w:p w14:paraId="350C8793" w14:textId="77777777" w:rsidR="00AB205D" w:rsidRDefault="00471A3B">
            <w:pPr>
              <w:cnfStyle w:val="000000000000" w:firstRow="0" w:lastRow="0" w:firstColumn="0" w:lastColumn="0" w:oddVBand="0" w:evenVBand="0" w:oddHBand="0" w:evenHBand="0" w:firstRowFirstColumn="0" w:firstRowLastColumn="0" w:lastRowFirstColumn="0" w:lastRowLastColumn="0"/>
            </w:pPr>
            <w:r>
              <w:t>(30 333)</w:t>
            </w:r>
          </w:p>
        </w:tc>
        <w:tc>
          <w:tcPr>
            <w:tcW w:w="794" w:type="dxa"/>
          </w:tcPr>
          <w:p w14:paraId="3CB9E413" w14:textId="77777777" w:rsidR="00AB205D" w:rsidRDefault="00471A3B">
            <w:pPr>
              <w:cnfStyle w:val="000000000000" w:firstRow="0" w:lastRow="0" w:firstColumn="0" w:lastColumn="0" w:oddVBand="0" w:evenVBand="0" w:oddHBand="0" w:evenHBand="0" w:firstRowFirstColumn="0" w:firstRowLastColumn="0" w:lastRowFirstColumn="0" w:lastRowLastColumn="0"/>
            </w:pPr>
            <w:r>
              <w:t>(29 768)</w:t>
            </w:r>
          </w:p>
        </w:tc>
        <w:tc>
          <w:tcPr>
            <w:tcW w:w="794" w:type="dxa"/>
          </w:tcPr>
          <w:p w14:paraId="426F864B" w14:textId="77777777" w:rsidR="00AB205D" w:rsidRDefault="00471A3B">
            <w:pPr>
              <w:cnfStyle w:val="000000000000" w:firstRow="0" w:lastRow="0" w:firstColumn="0" w:lastColumn="0" w:oddVBand="0" w:evenVBand="0" w:oddHBand="0" w:evenHBand="0" w:firstRowFirstColumn="0" w:firstRowLastColumn="0" w:lastRowFirstColumn="0" w:lastRowLastColumn="0"/>
            </w:pPr>
            <w:r>
              <w:t>(31 915)</w:t>
            </w:r>
          </w:p>
        </w:tc>
      </w:tr>
      <w:tr w:rsidR="009C6724" w14:paraId="25011DDF"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7DFB22B5" w14:textId="77777777" w:rsidR="00AB205D" w:rsidRDefault="00471A3B">
            <w:r>
              <w:t>Other payments</w:t>
            </w:r>
          </w:p>
        </w:tc>
        <w:tc>
          <w:tcPr>
            <w:tcW w:w="794" w:type="dxa"/>
            <w:tcBorders>
              <w:bottom w:val="single" w:sz="6" w:space="0" w:color="auto"/>
            </w:tcBorders>
          </w:tcPr>
          <w:p w14:paraId="266F6C19" w14:textId="77777777" w:rsidR="00AB205D" w:rsidRDefault="00471A3B">
            <w:pPr>
              <w:cnfStyle w:val="000000000000" w:firstRow="0" w:lastRow="0" w:firstColumn="0" w:lastColumn="0" w:oddVBand="0" w:evenVBand="0" w:oddHBand="0" w:evenHBand="0" w:firstRowFirstColumn="0" w:firstRowLastColumn="0" w:lastRowFirstColumn="0" w:lastRowLastColumn="0"/>
            </w:pPr>
            <w:r>
              <w:t>(928)</w:t>
            </w:r>
          </w:p>
        </w:tc>
        <w:tc>
          <w:tcPr>
            <w:tcW w:w="794" w:type="dxa"/>
            <w:tcBorders>
              <w:bottom w:val="single" w:sz="6" w:space="0" w:color="auto"/>
            </w:tcBorders>
          </w:tcPr>
          <w:p w14:paraId="1B92B5C1" w14:textId="77777777" w:rsidR="00AB205D" w:rsidRDefault="00471A3B">
            <w:pPr>
              <w:cnfStyle w:val="000000000000" w:firstRow="0" w:lastRow="0" w:firstColumn="0" w:lastColumn="0" w:oddVBand="0" w:evenVBand="0" w:oddHBand="0" w:evenHBand="0" w:firstRowFirstColumn="0" w:firstRowLastColumn="0" w:lastRowFirstColumn="0" w:lastRowLastColumn="0"/>
            </w:pPr>
            <w:r>
              <w:t>(1 589)</w:t>
            </w:r>
          </w:p>
        </w:tc>
        <w:tc>
          <w:tcPr>
            <w:tcW w:w="794" w:type="dxa"/>
            <w:tcBorders>
              <w:bottom w:val="single" w:sz="6" w:space="0" w:color="auto"/>
            </w:tcBorders>
          </w:tcPr>
          <w:p w14:paraId="66536934" w14:textId="77777777" w:rsidR="00AB205D" w:rsidRDefault="00471A3B">
            <w:pPr>
              <w:cnfStyle w:val="000000000000" w:firstRow="0" w:lastRow="0" w:firstColumn="0" w:lastColumn="0" w:oddVBand="0" w:evenVBand="0" w:oddHBand="0" w:evenHBand="0" w:firstRowFirstColumn="0" w:firstRowLastColumn="0" w:lastRowFirstColumn="0" w:lastRowLastColumn="0"/>
            </w:pPr>
            <w:r>
              <w:t>(1 059)</w:t>
            </w:r>
          </w:p>
        </w:tc>
        <w:tc>
          <w:tcPr>
            <w:tcW w:w="794" w:type="dxa"/>
            <w:tcBorders>
              <w:bottom w:val="single" w:sz="6" w:space="0" w:color="auto"/>
            </w:tcBorders>
          </w:tcPr>
          <w:p w14:paraId="28F7E3A8" w14:textId="77777777" w:rsidR="00AB205D" w:rsidRDefault="00471A3B">
            <w:pPr>
              <w:cnfStyle w:val="000000000000" w:firstRow="0" w:lastRow="0" w:firstColumn="0" w:lastColumn="0" w:oddVBand="0" w:evenVBand="0" w:oddHBand="0" w:evenHBand="0" w:firstRowFirstColumn="0" w:firstRowLastColumn="0" w:lastRowFirstColumn="0" w:lastRowLastColumn="0"/>
            </w:pPr>
            <w:r>
              <w:t>(1 014)</w:t>
            </w:r>
          </w:p>
        </w:tc>
        <w:tc>
          <w:tcPr>
            <w:tcW w:w="794" w:type="dxa"/>
            <w:tcBorders>
              <w:bottom w:val="single" w:sz="6" w:space="0" w:color="auto"/>
            </w:tcBorders>
          </w:tcPr>
          <w:p w14:paraId="48E56FDC" w14:textId="77777777" w:rsidR="00AB205D" w:rsidRDefault="00471A3B">
            <w:pPr>
              <w:cnfStyle w:val="000000000000" w:firstRow="0" w:lastRow="0" w:firstColumn="0" w:lastColumn="0" w:oddVBand="0" w:evenVBand="0" w:oddHBand="0" w:evenHBand="0" w:firstRowFirstColumn="0" w:firstRowLastColumn="0" w:lastRowFirstColumn="0" w:lastRowLastColumn="0"/>
            </w:pPr>
            <w:r>
              <w:t>(1 063)</w:t>
            </w:r>
          </w:p>
        </w:tc>
      </w:tr>
      <w:tr w:rsidR="009C6724" w14:paraId="603E398D"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36E3AA69" w14:textId="77777777" w:rsidR="00AB205D" w:rsidRDefault="00471A3B">
            <w:r>
              <w:rPr>
                <w:b/>
              </w:rPr>
              <w:t>Total payments</w:t>
            </w:r>
          </w:p>
        </w:tc>
        <w:tc>
          <w:tcPr>
            <w:tcW w:w="794" w:type="dxa"/>
            <w:tcBorders>
              <w:top w:val="single" w:sz="6" w:space="0" w:color="auto"/>
              <w:bottom w:val="single" w:sz="6" w:space="0" w:color="auto"/>
            </w:tcBorders>
          </w:tcPr>
          <w:p w14:paraId="570D530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(92 490)</w:t>
            </w:r>
          </w:p>
        </w:tc>
        <w:tc>
          <w:tcPr>
            <w:tcW w:w="794" w:type="dxa"/>
            <w:tcBorders>
              <w:top w:val="single" w:sz="6" w:space="0" w:color="auto"/>
              <w:bottom w:val="single" w:sz="6" w:space="0" w:color="auto"/>
            </w:tcBorders>
          </w:tcPr>
          <w:p w14:paraId="353778C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(94 230)</w:t>
            </w:r>
          </w:p>
        </w:tc>
        <w:tc>
          <w:tcPr>
            <w:tcW w:w="794" w:type="dxa"/>
            <w:tcBorders>
              <w:top w:val="single" w:sz="6" w:space="0" w:color="auto"/>
              <w:bottom w:val="single" w:sz="6" w:space="0" w:color="auto"/>
            </w:tcBorders>
          </w:tcPr>
          <w:p w14:paraId="2C2060F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(95 012)</w:t>
            </w:r>
          </w:p>
        </w:tc>
        <w:tc>
          <w:tcPr>
            <w:tcW w:w="794" w:type="dxa"/>
            <w:tcBorders>
              <w:top w:val="single" w:sz="6" w:space="0" w:color="auto"/>
              <w:bottom w:val="single" w:sz="6" w:space="0" w:color="auto"/>
            </w:tcBorders>
          </w:tcPr>
          <w:p w14:paraId="7134262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(96 580)</w:t>
            </w:r>
          </w:p>
        </w:tc>
        <w:tc>
          <w:tcPr>
            <w:tcW w:w="794" w:type="dxa"/>
            <w:tcBorders>
              <w:top w:val="single" w:sz="6" w:space="0" w:color="auto"/>
              <w:bottom w:val="single" w:sz="6" w:space="0" w:color="auto"/>
            </w:tcBorders>
          </w:tcPr>
          <w:p w14:paraId="78A8011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(102 149)</w:t>
            </w:r>
          </w:p>
        </w:tc>
      </w:tr>
      <w:tr w:rsidR="009C6724" w14:paraId="4A22C53D"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4E32B59B" w14:textId="77777777" w:rsidR="00AB205D" w:rsidRDefault="00471A3B">
            <w:r>
              <w:rPr>
                <w:b/>
              </w:rPr>
              <w:t>Net cash flows from operating activities</w:t>
            </w:r>
          </w:p>
        </w:tc>
        <w:tc>
          <w:tcPr>
            <w:tcW w:w="794" w:type="dxa"/>
            <w:tcBorders>
              <w:top w:val="single" w:sz="6" w:space="0" w:color="auto"/>
            </w:tcBorders>
          </w:tcPr>
          <w:p w14:paraId="0A6DDDE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1 648</w:t>
            </w:r>
          </w:p>
        </w:tc>
        <w:tc>
          <w:tcPr>
            <w:tcW w:w="794" w:type="dxa"/>
            <w:tcBorders>
              <w:top w:val="single" w:sz="6" w:space="0" w:color="auto"/>
            </w:tcBorders>
          </w:tcPr>
          <w:p w14:paraId="33E7355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1 012</w:t>
            </w:r>
          </w:p>
        </w:tc>
        <w:tc>
          <w:tcPr>
            <w:tcW w:w="794" w:type="dxa"/>
            <w:tcBorders>
              <w:top w:val="single" w:sz="6" w:space="0" w:color="auto"/>
            </w:tcBorders>
          </w:tcPr>
          <w:p w14:paraId="47F65AE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5 058</w:t>
            </w:r>
          </w:p>
        </w:tc>
        <w:tc>
          <w:tcPr>
            <w:tcW w:w="794" w:type="dxa"/>
            <w:tcBorders>
              <w:top w:val="single" w:sz="6" w:space="0" w:color="auto"/>
            </w:tcBorders>
          </w:tcPr>
          <w:p w14:paraId="510ABD1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7 990</w:t>
            </w:r>
          </w:p>
        </w:tc>
        <w:tc>
          <w:tcPr>
            <w:tcW w:w="794" w:type="dxa"/>
            <w:tcBorders>
              <w:top w:val="single" w:sz="6" w:space="0" w:color="auto"/>
            </w:tcBorders>
          </w:tcPr>
          <w:p w14:paraId="24040AE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7 698</w:t>
            </w:r>
          </w:p>
        </w:tc>
      </w:tr>
      <w:tr w:rsidR="009C6724" w14:paraId="67F8A0F3"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2F58B07" w14:textId="77777777" w:rsidR="00AB205D" w:rsidRDefault="00471A3B">
            <w:r>
              <w:rPr>
                <w:b/>
              </w:rPr>
              <w:t>Cash flows from investing activities</w:t>
            </w:r>
          </w:p>
        </w:tc>
        <w:tc>
          <w:tcPr>
            <w:tcW w:w="794" w:type="dxa"/>
          </w:tcPr>
          <w:p w14:paraId="10E36B88"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7FA0E7AA"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5AE46BDA"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80A7738"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148C5DD6"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7685FEC6"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8436BAF" w14:textId="77777777" w:rsidR="00AB205D" w:rsidRDefault="00471A3B">
            <w:r>
              <w:rPr>
                <w:b/>
              </w:rPr>
              <w:t>Cash flows from investments in non</w:t>
            </w:r>
            <w:r>
              <w:rPr>
                <w:b/>
              </w:rPr>
              <w:noBreakHyphen/>
              <w:t>financial assets</w:t>
            </w:r>
          </w:p>
        </w:tc>
        <w:tc>
          <w:tcPr>
            <w:tcW w:w="794" w:type="dxa"/>
          </w:tcPr>
          <w:p w14:paraId="5D86F782"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1DD21563"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1F8B44AB"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CD61576"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7C021253"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36DC698D"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0D8BDF41" w14:textId="77777777" w:rsidR="00AB205D" w:rsidRDefault="00471A3B">
            <w:r>
              <w:t>Purchases of non</w:t>
            </w:r>
            <w:r>
              <w:noBreakHyphen/>
              <w:t>financial assets</w:t>
            </w:r>
          </w:p>
        </w:tc>
        <w:tc>
          <w:tcPr>
            <w:tcW w:w="794" w:type="dxa"/>
          </w:tcPr>
          <w:p w14:paraId="4A0074B0" w14:textId="77777777" w:rsidR="00AB205D" w:rsidRDefault="00471A3B">
            <w:pPr>
              <w:cnfStyle w:val="000000000000" w:firstRow="0" w:lastRow="0" w:firstColumn="0" w:lastColumn="0" w:oddVBand="0" w:evenVBand="0" w:oddHBand="0" w:evenHBand="0" w:firstRowFirstColumn="0" w:firstRowLastColumn="0" w:lastRowFirstColumn="0" w:lastRowLastColumn="0"/>
            </w:pPr>
            <w:r>
              <w:t>(23 698)</w:t>
            </w:r>
          </w:p>
        </w:tc>
        <w:tc>
          <w:tcPr>
            <w:tcW w:w="794" w:type="dxa"/>
          </w:tcPr>
          <w:p w14:paraId="0E8966FF" w14:textId="77777777" w:rsidR="00AB205D" w:rsidRDefault="00471A3B">
            <w:pPr>
              <w:cnfStyle w:val="000000000000" w:firstRow="0" w:lastRow="0" w:firstColumn="0" w:lastColumn="0" w:oddVBand="0" w:evenVBand="0" w:oddHBand="0" w:evenHBand="0" w:firstRowFirstColumn="0" w:firstRowLastColumn="0" w:lastRowFirstColumn="0" w:lastRowLastColumn="0"/>
            </w:pPr>
            <w:r>
              <w:t>(25 717)</w:t>
            </w:r>
          </w:p>
        </w:tc>
        <w:tc>
          <w:tcPr>
            <w:tcW w:w="794" w:type="dxa"/>
          </w:tcPr>
          <w:p w14:paraId="4840FD0F" w14:textId="77777777" w:rsidR="00AB205D" w:rsidRDefault="00471A3B">
            <w:pPr>
              <w:cnfStyle w:val="000000000000" w:firstRow="0" w:lastRow="0" w:firstColumn="0" w:lastColumn="0" w:oddVBand="0" w:evenVBand="0" w:oddHBand="0" w:evenHBand="0" w:firstRowFirstColumn="0" w:firstRowLastColumn="0" w:lastRowFirstColumn="0" w:lastRowLastColumn="0"/>
            </w:pPr>
            <w:r>
              <w:t>(24 096)</w:t>
            </w:r>
          </w:p>
        </w:tc>
        <w:tc>
          <w:tcPr>
            <w:tcW w:w="794" w:type="dxa"/>
          </w:tcPr>
          <w:p w14:paraId="0038F9AD" w14:textId="77777777" w:rsidR="00AB205D" w:rsidRDefault="00471A3B">
            <w:pPr>
              <w:cnfStyle w:val="000000000000" w:firstRow="0" w:lastRow="0" w:firstColumn="0" w:lastColumn="0" w:oddVBand="0" w:evenVBand="0" w:oddHBand="0" w:evenHBand="0" w:firstRowFirstColumn="0" w:firstRowLastColumn="0" w:lastRowFirstColumn="0" w:lastRowLastColumn="0"/>
            </w:pPr>
            <w:r>
              <w:t>(24 154)</w:t>
            </w:r>
          </w:p>
        </w:tc>
        <w:tc>
          <w:tcPr>
            <w:tcW w:w="794" w:type="dxa"/>
          </w:tcPr>
          <w:p w14:paraId="24CF116E" w14:textId="77777777" w:rsidR="00AB205D" w:rsidRDefault="00471A3B">
            <w:pPr>
              <w:cnfStyle w:val="000000000000" w:firstRow="0" w:lastRow="0" w:firstColumn="0" w:lastColumn="0" w:oddVBand="0" w:evenVBand="0" w:oddHBand="0" w:evenHBand="0" w:firstRowFirstColumn="0" w:firstRowLastColumn="0" w:lastRowFirstColumn="0" w:lastRowLastColumn="0"/>
            </w:pPr>
            <w:r>
              <w:t>(21 234)</w:t>
            </w:r>
          </w:p>
        </w:tc>
      </w:tr>
      <w:tr w:rsidR="009C6724" w14:paraId="7E5E7992"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40CA1E1D" w14:textId="77777777" w:rsidR="00AB205D" w:rsidRDefault="00471A3B">
            <w:r>
              <w:t>Sales of non</w:t>
            </w:r>
            <w:r>
              <w:noBreakHyphen/>
              <w:t>financial assets</w:t>
            </w:r>
          </w:p>
        </w:tc>
        <w:tc>
          <w:tcPr>
            <w:tcW w:w="794" w:type="dxa"/>
            <w:tcBorders>
              <w:bottom w:val="single" w:sz="6" w:space="0" w:color="auto"/>
            </w:tcBorders>
          </w:tcPr>
          <w:p w14:paraId="24F21AD9" w14:textId="77777777" w:rsidR="00AB205D" w:rsidRDefault="00471A3B">
            <w:pPr>
              <w:cnfStyle w:val="000000000000" w:firstRow="0" w:lastRow="0" w:firstColumn="0" w:lastColumn="0" w:oddVBand="0" w:evenVBand="0" w:oddHBand="0" w:evenHBand="0" w:firstRowFirstColumn="0" w:firstRowLastColumn="0" w:lastRowFirstColumn="0" w:lastRowLastColumn="0"/>
            </w:pPr>
            <w:r>
              <w:t>787</w:t>
            </w:r>
          </w:p>
        </w:tc>
        <w:tc>
          <w:tcPr>
            <w:tcW w:w="794" w:type="dxa"/>
            <w:tcBorders>
              <w:bottom w:val="single" w:sz="6" w:space="0" w:color="auto"/>
            </w:tcBorders>
          </w:tcPr>
          <w:p w14:paraId="76FCC847" w14:textId="77777777" w:rsidR="00AB205D" w:rsidRDefault="00471A3B">
            <w:pPr>
              <w:cnfStyle w:val="000000000000" w:firstRow="0" w:lastRow="0" w:firstColumn="0" w:lastColumn="0" w:oddVBand="0" w:evenVBand="0" w:oddHBand="0" w:evenHBand="0" w:firstRowFirstColumn="0" w:firstRowLastColumn="0" w:lastRowFirstColumn="0" w:lastRowLastColumn="0"/>
            </w:pPr>
            <w:r>
              <w:t>849</w:t>
            </w:r>
          </w:p>
        </w:tc>
        <w:tc>
          <w:tcPr>
            <w:tcW w:w="794" w:type="dxa"/>
            <w:tcBorders>
              <w:bottom w:val="single" w:sz="6" w:space="0" w:color="auto"/>
            </w:tcBorders>
          </w:tcPr>
          <w:p w14:paraId="5A9C36A4" w14:textId="77777777" w:rsidR="00AB205D" w:rsidRDefault="00471A3B">
            <w:pPr>
              <w:cnfStyle w:val="000000000000" w:firstRow="0" w:lastRow="0" w:firstColumn="0" w:lastColumn="0" w:oddVBand="0" w:evenVBand="0" w:oddHBand="0" w:evenHBand="0" w:firstRowFirstColumn="0" w:firstRowLastColumn="0" w:lastRowFirstColumn="0" w:lastRowLastColumn="0"/>
            </w:pPr>
            <w:r>
              <w:t>792</w:t>
            </w:r>
          </w:p>
        </w:tc>
        <w:tc>
          <w:tcPr>
            <w:tcW w:w="794" w:type="dxa"/>
            <w:tcBorders>
              <w:bottom w:val="single" w:sz="6" w:space="0" w:color="auto"/>
            </w:tcBorders>
          </w:tcPr>
          <w:p w14:paraId="35E90C51" w14:textId="77777777" w:rsidR="00AB205D" w:rsidRDefault="00471A3B">
            <w:pPr>
              <w:cnfStyle w:val="000000000000" w:firstRow="0" w:lastRow="0" w:firstColumn="0" w:lastColumn="0" w:oddVBand="0" w:evenVBand="0" w:oddHBand="0" w:evenHBand="0" w:firstRowFirstColumn="0" w:firstRowLastColumn="0" w:lastRowFirstColumn="0" w:lastRowLastColumn="0"/>
            </w:pPr>
            <w:r>
              <w:t>1 178</w:t>
            </w:r>
          </w:p>
        </w:tc>
        <w:tc>
          <w:tcPr>
            <w:tcW w:w="794" w:type="dxa"/>
            <w:tcBorders>
              <w:bottom w:val="single" w:sz="6" w:space="0" w:color="auto"/>
            </w:tcBorders>
          </w:tcPr>
          <w:p w14:paraId="488A57FE" w14:textId="77777777" w:rsidR="00AB205D" w:rsidRDefault="00471A3B">
            <w:pPr>
              <w:cnfStyle w:val="000000000000" w:firstRow="0" w:lastRow="0" w:firstColumn="0" w:lastColumn="0" w:oddVBand="0" w:evenVBand="0" w:oddHBand="0" w:evenHBand="0" w:firstRowFirstColumn="0" w:firstRowLastColumn="0" w:lastRowFirstColumn="0" w:lastRowLastColumn="0"/>
            </w:pPr>
            <w:r>
              <w:t>649</w:t>
            </w:r>
          </w:p>
        </w:tc>
      </w:tr>
      <w:tr w:rsidR="009C6724" w14:paraId="6ED705A0"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096ACF20" w14:textId="77777777" w:rsidR="00AB205D" w:rsidRDefault="00471A3B">
            <w:r>
              <w:rPr>
                <w:b/>
              </w:rPr>
              <w:t>Net cash flows from investments in non</w:t>
            </w:r>
            <w:r>
              <w:rPr>
                <w:b/>
              </w:rPr>
              <w:noBreakHyphen/>
              <w:t>financial assets</w:t>
            </w:r>
          </w:p>
        </w:tc>
        <w:tc>
          <w:tcPr>
            <w:tcW w:w="794" w:type="dxa"/>
            <w:tcBorders>
              <w:top w:val="single" w:sz="6" w:space="0" w:color="auto"/>
            </w:tcBorders>
          </w:tcPr>
          <w:p w14:paraId="6198C67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(22 911)</w:t>
            </w:r>
          </w:p>
        </w:tc>
        <w:tc>
          <w:tcPr>
            <w:tcW w:w="794" w:type="dxa"/>
            <w:tcBorders>
              <w:top w:val="single" w:sz="6" w:space="0" w:color="auto"/>
            </w:tcBorders>
          </w:tcPr>
          <w:p w14:paraId="3D033DF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(24 869)</w:t>
            </w:r>
          </w:p>
        </w:tc>
        <w:tc>
          <w:tcPr>
            <w:tcW w:w="794" w:type="dxa"/>
            <w:tcBorders>
              <w:top w:val="single" w:sz="6" w:space="0" w:color="auto"/>
            </w:tcBorders>
          </w:tcPr>
          <w:p w14:paraId="406C178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(23 304)</w:t>
            </w:r>
          </w:p>
        </w:tc>
        <w:tc>
          <w:tcPr>
            <w:tcW w:w="794" w:type="dxa"/>
            <w:tcBorders>
              <w:top w:val="single" w:sz="6" w:space="0" w:color="auto"/>
            </w:tcBorders>
          </w:tcPr>
          <w:p w14:paraId="0DD03D4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(22 976)</w:t>
            </w:r>
          </w:p>
        </w:tc>
        <w:tc>
          <w:tcPr>
            <w:tcW w:w="794" w:type="dxa"/>
            <w:tcBorders>
              <w:top w:val="single" w:sz="6" w:space="0" w:color="auto"/>
            </w:tcBorders>
          </w:tcPr>
          <w:p w14:paraId="08CB004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(20 585)</w:t>
            </w:r>
          </w:p>
        </w:tc>
      </w:tr>
      <w:tr w:rsidR="009C6724" w14:paraId="59D6BC08"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49FFB6CC" w14:textId="77777777" w:rsidR="00AB205D" w:rsidRDefault="00471A3B">
            <w:r>
              <w:t>Net cash flows from investments in financial assets for policy purposes</w:t>
            </w:r>
          </w:p>
        </w:tc>
        <w:tc>
          <w:tcPr>
            <w:tcW w:w="794" w:type="dxa"/>
            <w:tcBorders>
              <w:bottom w:val="single" w:sz="6" w:space="0" w:color="auto"/>
            </w:tcBorders>
          </w:tcPr>
          <w:p w14:paraId="72148AB2" w14:textId="77777777" w:rsidR="00AB205D" w:rsidRDefault="00471A3B">
            <w:pPr>
              <w:cnfStyle w:val="000000000000" w:firstRow="0" w:lastRow="0" w:firstColumn="0" w:lastColumn="0" w:oddVBand="0" w:evenVBand="0" w:oddHBand="0" w:evenHBand="0" w:firstRowFirstColumn="0" w:firstRowLastColumn="0" w:lastRowFirstColumn="0" w:lastRowLastColumn="0"/>
            </w:pPr>
            <w:r>
              <w:t>164</w:t>
            </w:r>
          </w:p>
        </w:tc>
        <w:tc>
          <w:tcPr>
            <w:tcW w:w="794" w:type="dxa"/>
            <w:tcBorders>
              <w:bottom w:val="single" w:sz="6" w:space="0" w:color="auto"/>
            </w:tcBorders>
          </w:tcPr>
          <w:p w14:paraId="1919BFA9" w14:textId="77777777" w:rsidR="00AB205D" w:rsidRDefault="00471A3B">
            <w:pPr>
              <w:cnfStyle w:val="000000000000" w:firstRow="0" w:lastRow="0" w:firstColumn="0" w:lastColumn="0" w:oddVBand="0" w:evenVBand="0" w:oddHBand="0" w:evenHBand="0" w:firstRowFirstColumn="0" w:firstRowLastColumn="0" w:lastRowFirstColumn="0" w:lastRowLastColumn="0"/>
            </w:pPr>
            <w:r>
              <w:t>492</w:t>
            </w:r>
          </w:p>
        </w:tc>
        <w:tc>
          <w:tcPr>
            <w:tcW w:w="794" w:type="dxa"/>
            <w:tcBorders>
              <w:bottom w:val="single" w:sz="6" w:space="0" w:color="auto"/>
            </w:tcBorders>
          </w:tcPr>
          <w:p w14:paraId="0BDA6694" w14:textId="77777777" w:rsidR="00AB205D" w:rsidRDefault="00471A3B">
            <w:pPr>
              <w:cnfStyle w:val="000000000000" w:firstRow="0" w:lastRow="0" w:firstColumn="0" w:lastColumn="0" w:oddVBand="0" w:evenVBand="0" w:oddHBand="0" w:evenHBand="0" w:firstRowFirstColumn="0" w:firstRowLastColumn="0" w:lastRowFirstColumn="0" w:lastRowLastColumn="0"/>
            </w:pPr>
            <w:r>
              <w:t>(219)</w:t>
            </w:r>
          </w:p>
        </w:tc>
        <w:tc>
          <w:tcPr>
            <w:tcW w:w="794" w:type="dxa"/>
            <w:tcBorders>
              <w:bottom w:val="single" w:sz="6" w:space="0" w:color="auto"/>
            </w:tcBorders>
          </w:tcPr>
          <w:p w14:paraId="549DE75F" w14:textId="77777777" w:rsidR="00AB205D" w:rsidRDefault="00471A3B">
            <w:pPr>
              <w:cnfStyle w:val="000000000000" w:firstRow="0" w:lastRow="0" w:firstColumn="0" w:lastColumn="0" w:oddVBand="0" w:evenVBand="0" w:oddHBand="0" w:evenHBand="0" w:firstRowFirstColumn="0" w:firstRowLastColumn="0" w:lastRowFirstColumn="0" w:lastRowLastColumn="0"/>
            </w:pPr>
            <w:r>
              <w:t>444</w:t>
            </w:r>
          </w:p>
        </w:tc>
        <w:tc>
          <w:tcPr>
            <w:tcW w:w="794" w:type="dxa"/>
            <w:tcBorders>
              <w:bottom w:val="single" w:sz="6" w:space="0" w:color="auto"/>
            </w:tcBorders>
          </w:tcPr>
          <w:p w14:paraId="48C21CC6" w14:textId="77777777" w:rsidR="00AB205D" w:rsidRDefault="00471A3B">
            <w:pPr>
              <w:cnfStyle w:val="000000000000" w:firstRow="0" w:lastRow="0" w:firstColumn="0" w:lastColumn="0" w:oddVBand="0" w:evenVBand="0" w:oddHBand="0" w:evenHBand="0" w:firstRowFirstColumn="0" w:firstRowLastColumn="0" w:lastRowFirstColumn="0" w:lastRowLastColumn="0"/>
            </w:pPr>
            <w:r>
              <w:t>(259)</w:t>
            </w:r>
          </w:p>
        </w:tc>
      </w:tr>
      <w:tr w:rsidR="009C6724" w14:paraId="144EF7E8"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1DF87286" w14:textId="77777777" w:rsidR="00AB205D" w:rsidRDefault="00471A3B">
            <w:r>
              <w:rPr>
                <w:b/>
              </w:rPr>
              <w:t>Subtotal</w:t>
            </w:r>
          </w:p>
        </w:tc>
        <w:tc>
          <w:tcPr>
            <w:tcW w:w="794" w:type="dxa"/>
            <w:tcBorders>
              <w:top w:val="single" w:sz="6" w:space="0" w:color="auto"/>
            </w:tcBorders>
          </w:tcPr>
          <w:p w14:paraId="5F4E3C9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(22 747)</w:t>
            </w:r>
          </w:p>
        </w:tc>
        <w:tc>
          <w:tcPr>
            <w:tcW w:w="794" w:type="dxa"/>
            <w:tcBorders>
              <w:top w:val="single" w:sz="6" w:space="0" w:color="auto"/>
            </w:tcBorders>
          </w:tcPr>
          <w:p w14:paraId="5776883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(24 376)</w:t>
            </w:r>
          </w:p>
        </w:tc>
        <w:tc>
          <w:tcPr>
            <w:tcW w:w="794" w:type="dxa"/>
            <w:tcBorders>
              <w:top w:val="single" w:sz="6" w:space="0" w:color="auto"/>
            </w:tcBorders>
          </w:tcPr>
          <w:p w14:paraId="7954F51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(23 523)</w:t>
            </w:r>
          </w:p>
        </w:tc>
        <w:tc>
          <w:tcPr>
            <w:tcW w:w="794" w:type="dxa"/>
            <w:tcBorders>
              <w:top w:val="single" w:sz="6" w:space="0" w:color="auto"/>
            </w:tcBorders>
          </w:tcPr>
          <w:p w14:paraId="4B4B029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(22 532)</w:t>
            </w:r>
          </w:p>
        </w:tc>
        <w:tc>
          <w:tcPr>
            <w:tcW w:w="794" w:type="dxa"/>
            <w:tcBorders>
              <w:top w:val="single" w:sz="6" w:space="0" w:color="auto"/>
            </w:tcBorders>
          </w:tcPr>
          <w:p w14:paraId="17AE49B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(20 844)</w:t>
            </w:r>
          </w:p>
        </w:tc>
      </w:tr>
      <w:tr w:rsidR="009C6724" w14:paraId="15941262"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34892D83" w14:textId="77777777" w:rsidR="00AB205D" w:rsidRDefault="00471A3B">
            <w:r>
              <w:t>Net cash flows from investment in financial assets for liquidity management purposes</w:t>
            </w:r>
          </w:p>
        </w:tc>
        <w:tc>
          <w:tcPr>
            <w:tcW w:w="794" w:type="dxa"/>
            <w:tcBorders>
              <w:bottom w:val="single" w:sz="6" w:space="0" w:color="auto"/>
            </w:tcBorders>
          </w:tcPr>
          <w:p w14:paraId="0DA3D734" w14:textId="77777777" w:rsidR="00AB205D" w:rsidRDefault="00471A3B">
            <w:pPr>
              <w:cnfStyle w:val="000000000000" w:firstRow="0" w:lastRow="0" w:firstColumn="0" w:lastColumn="0" w:oddVBand="0" w:evenVBand="0" w:oddHBand="0" w:evenHBand="0" w:firstRowFirstColumn="0" w:firstRowLastColumn="0" w:lastRowFirstColumn="0" w:lastRowLastColumn="0"/>
            </w:pPr>
            <w:r>
              <w:t>(9 508)</w:t>
            </w:r>
          </w:p>
        </w:tc>
        <w:tc>
          <w:tcPr>
            <w:tcW w:w="794" w:type="dxa"/>
            <w:tcBorders>
              <w:bottom w:val="single" w:sz="6" w:space="0" w:color="auto"/>
            </w:tcBorders>
          </w:tcPr>
          <w:p w14:paraId="6183ACD9" w14:textId="77777777" w:rsidR="00AB205D" w:rsidRDefault="00471A3B">
            <w:pPr>
              <w:cnfStyle w:val="000000000000" w:firstRow="0" w:lastRow="0" w:firstColumn="0" w:lastColumn="0" w:oddVBand="0" w:evenVBand="0" w:oddHBand="0" w:evenHBand="0" w:firstRowFirstColumn="0" w:firstRowLastColumn="0" w:lastRowFirstColumn="0" w:lastRowLastColumn="0"/>
            </w:pPr>
            <w:r>
              <w:t>(9 785)</w:t>
            </w:r>
          </w:p>
        </w:tc>
        <w:tc>
          <w:tcPr>
            <w:tcW w:w="794" w:type="dxa"/>
            <w:tcBorders>
              <w:bottom w:val="single" w:sz="6" w:space="0" w:color="auto"/>
            </w:tcBorders>
          </w:tcPr>
          <w:p w14:paraId="138ADB33" w14:textId="77777777" w:rsidR="00AB205D" w:rsidRDefault="00471A3B">
            <w:pPr>
              <w:cnfStyle w:val="000000000000" w:firstRow="0" w:lastRow="0" w:firstColumn="0" w:lastColumn="0" w:oddVBand="0" w:evenVBand="0" w:oddHBand="0" w:evenHBand="0" w:firstRowFirstColumn="0" w:firstRowLastColumn="0" w:lastRowFirstColumn="0" w:lastRowLastColumn="0"/>
            </w:pPr>
            <w:r>
              <w:t>(1 503)</w:t>
            </w:r>
          </w:p>
        </w:tc>
        <w:tc>
          <w:tcPr>
            <w:tcW w:w="794" w:type="dxa"/>
            <w:tcBorders>
              <w:bottom w:val="single" w:sz="6" w:space="0" w:color="auto"/>
            </w:tcBorders>
          </w:tcPr>
          <w:p w14:paraId="5107E940" w14:textId="77777777" w:rsidR="00AB205D" w:rsidRDefault="00471A3B">
            <w:pPr>
              <w:cnfStyle w:val="000000000000" w:firstRow="0" w:lastRow="0" w:firstColumn="0" w:lastColumn="0" w:oddVBand="0" w:evenVBand="0" w:oddHBand="0" w:evenHBand="0" w:firstRowFirstColumn="0" w:firstRowLastColumn="0" w:lastRowFirstColumn="0" w:lastRowLastColumn="0"/>
            </w:pPr>
            <w:r>
              <w:t>(1 683)</w:t>
            </w:r>
          </w:p>
        </w:tc>
        <w:tc>
          <w:tcPr>
            <w:tcW w:w="794" w:type="dxa"/>
            <w:tcBorders>
              <w:bottom w:val="single" w:sz="6" w:space="0" w:color="auto"/>
            </w:tcBorders>
          </w:tcPr>
          <w:p w14:paraId="378C1F28" w14:textId="77777777" w:rsidR="00AB205D" w:rsidRDefault="00471A3B">
            <w:pPr>
              <w:cnfStyle w:val="000000000000" w:firstRow="0" w:lastRow="0" w:firstColumn="0" w:lastColumn="0" w:oddVBand="0" w:evenVBand="0" w:oddHBand="0" w:evenHBand="0" w:firstRowFirstColumn="0" w:firstRowLastColumn="0" w:lastRowFirstColumn="0" w:lastRowLastColumn="0"/>
            </w:pPr>
            <w:r>
              <w:t>(1 951)</w:t>
            </w:r>
          </w:p>
        </w:tc>
      </w:tr>
      <w:tr w:rsidR="009C6724" w14:paraId="115085CC"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6C91ECB3" w14:textId="77777777" w:rsidR="00AB205D" w:rsidRDefault="00471A3B">
            <w:r>
              <w:rPr>
                <w:b/>
              </w:rPr>
              <w:t>Net cash flows from investing activities</w:t>
            </w:r>
          </w:p>
        </w:tc>
        <w:tc>
          <w:tcPr>
            <w:tcW w:w="794" w:type="dxa"/>
            <w:tcBorders>
              <w:top w:val="single" w:sz="6" w:space="0" w:color="auto"/>
            </w:tcBorders>
          </w:tcPr>
          <w:p w14:paraId="35328A9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(32 255)</w:t>
            </w:r>
          </w:p>
        </w:tc>
        <w:tc>
          <w:tcPr>
            <w:tcW w:w="794" w:type="dxa"/>
            <w:tcBorders>
              <w:top w:val="single" w:sz="6" w:space="0" w:color="auto"/>
            </w:tcBorders>
          </w:tcPr>
          <w:p w14:paraId="6EFB643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(34 161)</w:t>
            </w:r>
          </w:p>
        </w:tc>
        <w:tc>
          <w:tcPr>
            <w:tcW w:w="794" w:type="dxa"/>
            <w:tcBorders>
              <w:top w:val="single" w:sz="6" w:space="0" w:color="auto"/>
            </w:tcBorders>
          </w:tcPr>
          <w:p w14:paraId="3D3FCBD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(25 026)</w:t>
            </w:r>
          </w:p>
        </w:tc>
        <w:tc>
          <w:tcPr>
            <w:tcW w:w="794" w:type="dxa"/>
            <w:tcBorders>
              <w:top w:val="single" w:sz="6" w:space="0" w:color="auto"/>
            </w:tcBorders>
          </w:tcPr>
          <w:p w14:paraId="537C1D1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(24 215)</w:t>
            </w:r>
          </w:p>
        </w:tc>
        <w:tc>
          <w:tcPr>
            <w:tcW w:w="794" w:type="dxa"/>
            <w:tcBorders>
              <w:top w:val="single" w:sz="6" w:space="0" w:color="auto"/>
            </w:tcBorders>
          </w:tcPr>
          <w:p w14:paraId="5B74223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(22 795)</w:t>
            </w:r>
          </w:p>
        </w:tc>
      </w:tr>
      <w:tr w:rsidR="009C6724" w14:paraId="57DC8DDB"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5929AE56" w14:textId="77777777" w:rsidR="00AB205D" w:rsidRDefault="00471A3B">
            <w:r>
              <w:rPr>
                <w:b/>
              </w:rPr>
              <w:t>Cash flows from financing activities</w:t>
            </w:r>
          </w:p>
        </w:tc>
        <w:tc>
          <w:tcPr>
            <w:tcW w:w="794" w:type="dxa"/>
          </w:tcPr>
          <w:p w14:paraId="2F12012B"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60C3A5FC"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4CC3ACCE"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9C94922"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A075F38"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7437D2EF"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33AF256" w14:textId="77777777" w:rsidR="00AB205D" w:rsidRDefault="00471A3B">
            <w:r>
              <w:t>Advances received (net)</w:t>
            </w:r>
          </w:p>
        </w:tc>
        <w:tc>
          <w:tcPr>
            <w:tcW w:w="794" w:type="dxa"/>
          </w:tcPr>
          <w:p w14:paraId="476F96AC" w14:textId="77777777" w:rsidR="00AB205D" w:rsidRDefault="00471A3B">
            <w:pPr>
              <w:cnfStyle w:val="000000000000" w:firstRow="0" w:lastRow="0" w:firstColumn="0" w:lastColumn="0" w:oddVBand="0" w:evenVBand="0" w:oddHBand="0" w:evenHBand="0" w:firstRowFirstColumn="0" w:firstRowLastColumn="0" w:lastRowFirstColumn="0" w:lastRowLastColumn="0"/>
            </w:pPr>
            <w:r>
              <w:t>(64)</w:t>
            </w:r>
          </w:p>
        </w:tc>
        <w:tc>
          <w:tcPr>
            <w:tcW w:w="794" w:type="dxa"/>
          </w:tcPr>
          <w:p w14:paraId="1EF41EA0" w14:textId="77777777" w:rsidR="00AB205D" w:rsidRDefault="00471A3B">
            <w:pPr>
              <w:cnfStyle w:val="000000000000" w:firstRow="0" w:lastRow="0" w:firstColumn="0" w:lastColumn="0" w:oddVBand="0" w:evenVBand="0" w:oddHBand="0" w:evenHBand="0" w:firstRowFirstColumn="0" w:firstRowLastColumn="0" w:lastRowFirstColumn="0" w:lastRowLastColumn="0"/>
            </w:pPr>
            <w:r>
              <w:t>16</w:t>
            </w:r>
          </w:p>
        </w:tc>
        <w:tc>
          <w:tcPr>
            <w:tcW w:w="794" w:type="dxa"/>
          </w:tcPr>
          <w:p w14:paraId="1647A74F" w14:textId="77777777" w:rsidR="00AB205D" w:rsidRDefault="00471A3B">
            <w:pPr>
              <w:cnfStyle w:val="000000000000" w:firstRow="0" w:lastRow="0" w:firstColumn="0" w:lastColumn="0" w:oddVBand="0" w:evenVBand="0" w:oddHBand="0" w:evenHBand="0" w:firstRowFirstColumn="0" w:firstRowLastColumn="0" w:lastRowFirstColumn="0" w:lastRowLastColumn="0"/>
            </w:pPr>
            <w:r>
              <w:t>8</w:t>
            </w:r>
          </w:p>
        </w:tc>
        <w:tc>
          <w:tcPr>
            <w:tcW w:w="794" w:type="dxa"/>
          </w:tcPr>
          <w:p w14:paraId="55EA4A9A" w14:textId="77777777" w:rsidR="00AB205D" w:rsidRDefault="00471A3B">
            <w:pPr>
              <w:cnfStyle w:val="000000000000" w:firstRow="0" w:lastRow="0" w:firstColumn="0" w:lastColumn="0" w:oddVBand="0" w:evenVBand="0" w:oddHBand="0" w:evenHBand="0" w:firstRowFirstColumn="0" w:firstRowLastColumn="0" w:lastRowFirstColumn="0" w:lastRowLastColumn="0"/>
            </w:pPr>
            <w:r>
              <w:t>(48)</w:t>
            </w:r>
          </w:p>
        </w:tc>
        <w:tc>
          <w:tcPr>
            <w:tcW w:w="794" w:type="dxa"/>
          </w:tcPr>
          <w:p w14:paraId="183CEC09"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r>
      <w:tr w:rsidR="009C6724" w14:paraId="0116F96F"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1CA40779" w14:textId="77777777" w:rsidR="00AB205D" w:rsidRDefault="00471A3B">
            <w:r>
              <w:t>Net borrowings</w:t>
            </w:r>
          </w:p>
        </w:tc>
        <w:tc>
          <w:tcPr>
            <w:tcW w:w="794" w:type="dxa"/>
          </w:tcPr>
          <w:p w14:paraId="5BBF6F1E" w14:textId="77777777" w:rsidR="00AB205D" w:rsidRDefault="00471A3B">
            <w:pPr>
              <w:cnfStyle w:val="000000000000" w:firstRow="0" w:lastRow="0" w:firstColumn="0" w:lastColumn="0" w:oddVBand="0" w:evenVBand="0" w:oddHBand="0" w:evenHBand="0" w:firstRowFirstColumn="0" w:firstRowLastColumn="0" w:lastRowFirstColumn="0" w:lastRowLastColumn="0"/>
            </w:pPr>
            <w:r>
              <w:t>22 637</w:t>
            </w:r>
          </w:p>
        </w:tc>
        <w:tc>
          <w:tcPr>
            <w:tcW w:w="794" w:type="dxa"/>
          </w:tcPr>
          <w:p w14:paraId="5A16BAA6" w14:textId="77777777" w:rsidR="00AB205D" w:rsidRDefault="00471A3B">
            <w:pPr>
              <w:cnfStyle w:val="000000000000" w:firstRow="0" w:lastRow="0" w:firstColumn="0" w:lastColumn="0" w:oddVBand="0" w:evenVBand="0" w:oddHBand="0" w:evenHBand="0" w:firstRowFirstColumn="0" w:firstRowLastColumn="0" w:lastRowFirstColumn="0" w:lastRowLastColumn="0"/>
            </w:pPr>
            <w:r>
              <w:t>24 581</w:t>
            </w:r>
          </w:p>
        </w:tc>
        <w:tc>
          <w:tcPr>
            <w:tcW w:w="794" w:type="dxa"/>
          </w:tcPr>
          <w:p w14:paraId="35034999" w14:textId="77777777" w:rsidR="00AB205D" w:rsidRDefault="00471A3B">
            <w:pPr>
              <w:cnfStyle w:val="000000000000" w:firstRow="0" w:lastRow="0" w:firstColumn="0" w:lastColumn="0" w:oddVBand="0" w:evenVBand="0" w:oddHBand="0" w:evenHBand="0" w:firstRowFirstColumn="0" w:firstRowLastColumn="0" w:lastRowFirstColumn="0" w:lastRowLastColumn="0"/>
            </w:pPr>
            <w:r>
              <w:t>20 429</w:t>
            </w:r>
          </w:p>
        </w:tc>
        <w:tc>
          <w:tcPr>
            <w:tcW w:w="794" w:type="dxa"/>
          </w:tcPr>
          <w:p w14:paraId="5A2B3D82" w14:textId="77777777" w:rsidR="00AB205D" w:rsidRDefault="00471A3B">
            <w:pPr>
              <w:cnfStyle w:val="000000000000" w:firstRow="0" w:lastRow="0" w:firstColumn="0" w:lastColumn="0" w:oddVBand="0" w:evenVBand="0" w:oddHBand="0" w:evenHBand="0" w:firstRowFirstColumn="0" w:firstRowLastColumn="0" w:lastRowFirstColumn="0" w:lastRowLastColumn="0"/>
            </w:pPr>
            <w:r>
              <w:t>17 071</w:t>
            </w:r>
          </w:p>
        </w:tc>
        <w:tc>
          <w:tcPr>
            <w:tcW w:w="794" w:type="dxa"/>
          </w:tcPr>
          <w:p w14:paraId="47E396A4" w14:textId="77777777" w:rsidR="00AB205D" w:rsidRDefault="00471A3B">
            <w:pPr>
              <w:cnfStyle w:val="000000000000" w:firstRow="0" w:lastRow="0" w:firstColumn="0" w:lastColumn="0" w:oddVBand="0" w:evenVBand="0" w:oddHBand="0" w:evenHBand="0" w:firstRowFirstColumn="0" w:firstRowLastColumn="0" w:lastRowFirstColumn="0" w:lastRowLastColumn="0"/>
            </w:pPr>
            <w:r>
              <w:t>15 817</w:t>
            </w:r>
          </w:p>
        </w:tc>
      </w:tr>
      <w:tr w:rsidR="009C6724" w14:paraId="268B8A43"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696BC15B" w14:textId="77777777" w:rsidR="00AB205D" w:rsidRDefault="00471A3B">
            <w:r>
              <w:t>Deposits received (net)</w:t>
            </w:r>
          </w:p>
        </w:tc>
        <w:tc>
          <w:tcPr>
            <w:tcW w:w="794" w:type="dxa"/>
          </w:tcPr>
          <w:p w14:paraId="65E5BC70" w14:textId="77777777" w:rsidR="00AB205D" w:rsidRDefault="00471A3B">
            <w:pPr>
              <w:cnfStyle w:val="000000000000" w:firstRow="0" w:lastRow="0" w:firstColumn="0" w:lastColumn="0" w:oddVBand="0" w:evenVBand="0" w:oddHBand="0" w:evenHBand="0" w:firstRowFirstColumn="0" w:firstRowLastColumn="0" w:lastRowFirstColumn="0" w:lastRowLastColumn="0"/>
            </w:pPr>
            <w:r>
              <w:t>(12)</w:t>
            </w:r>
          </w:p>
        </w:tc>
        <w:tc>
          <w:tcPr>
            <w:tcW w:w="794" w:type="dxa"/>
          </w:tcPr>
          <w:p w14:paraId="397B0E12" w14:textId="77777777" w:rsidR="00AB205D" w:rsidRDefault="00471A3B">
            <w:pPr>
              <w:cnfStyle w:val="000000000000" w:firstRow="0" w:lastRow="0" w:firstColumn="0" w:lastColumn="0" w:oddVBand="0" w:evenVBand="0" w:oddHBand="0" w:evenHBand="0" w:firstRowFirstColumn="0" w:firstRowLastColumn="0" w:lastRowFirstColumn="0" w:lastRowLastColumn="0"/>
            </w:pPr>
            <w:r>
              <w:t>(54)</w:t>
            </w:r>
          </w:p>
        </w:tc>
        <w:tc>
          <w:tcPr>
            <w:tcW w:w="794" w:type="dxa"/>
          </w:tcPr>
          <w:p w14:paraId="40D7AC45" w14:textId="77777777" w:rsidR="00AB205D" w:rsidRDefault="00471A3B">
            <w:pPr>
              <w:cnfStyle w:val="000000000000" w:firstRow="0" w:lastRow="0" w:firstColumn="0" w:lastColumn="0" w:oddVBand="0" w:evenVBand="0" w:oddHBand="0" w:evenHBand="0" w:firstRowFirstColumn="0" w:firstRowLastColumn="0" w:lastRowFirstColumn="0" w:lastRowLastColumn="0"/>
            </w:pPr>
            <w:r>
              <w:t>(11)</w:t>
            </w:r>
          </w:p>
        </w:tc>
        <w:tc>
          <w:tcPr>
            <w:tcW w:w="794" w:type="dxa"/>
          </w:tcPr>
          <w:p w14:paraId="2CF8A3D7" w14:textId="77777777" w:rsidR="00AB205D" w:rsidRDefault="00471A3B">
            <w:pPr>
              <w:cnfStyle w:val="000000000000" w:firstRow="0" w:lastRow="0" w:firstColumn="0" w:lastColumn="0" w:oddVBand="0" w:evenVBand="0" w:oddHBand="0" w:evenHBand="0" w:firstRowFirstColumn="0" w:firstRowLastColumn="0" w:lastRowFirstColumn="0" w:lastRowLastColumn="0"/>
            </w:pPr>
            <w:r>
              <w:t>2</w:t>
            </w:r>
          </w:p>
        </w:tc>
        <w:tc>
          <w:tcPr>
            <w:tcW w:w="794" w:type="dxa"/>
          </w:tcPr>
          <w:p w14:paraId="59B2419A" w14:textId="77777777" w:rsidR="00AB205D" w:rsidRDefault="00471A3B">
            <w:pPr>
              <w:cnfStyle w:val="000000000000" w:firstRow="0" w:lastRow="0" w:firstColumn="0" w:lastColumn="0" w:oddVBand="0" w:evenVBand="0" w:oddHBand="0" w:evenHBand="0" w:firstRowFirstColumn="0" w:firstRowLastColumn="0" w:lastRowFirstColumn="0" w:lastRowLastColumn="0"/>
            </w:pPr>
            <w:r>
              <w:t>(14)</w:t>
            </w:r>
          </w:p>
        </w:tc>
      </w:tr>
      <w:tr w:rsidR="009C6724" w14:paraId="1B48DC6F"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5243F399" w14:textId="77777777" w:rsidR="00AB205D" w:rsidRDefault="00471A3B">
            <w:r>
              <w:rPr>
                <w:b/>
              </w:rPr>
              <w:t>Net cash flows from financing activities</w:t>
            </w:r>
          </w:p>
        </w:tc>
        <w:tc>
          <w:tcPr>
            <w:tcW w:w="794" w:type="dxa"/>
            <w:tcBorders>
              <w:top w:val="single" w:sz="6" w:space="0" w:color="auto"/>
              <w:bottom w:val="single" w:sz="6" w:space="0" w:color="auto"/>
            </w:tcBorders>
          </w:tcPr>
          <w:p w14:paraId="13E5047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22 561</w:t>
            </w:r>
          </w:p>
        </w:tc>
        <w:tc>
          <w:tcPr>
            <w:tcW w:w="794" w:type="dxa"/>
            <w:tcBorders>
              <w:top w:val="single" w:sz="6" w:space="0" w:color="auto"/>
              <w:bottom w:val="single" w:sz="6" w:space="0" w:color="auto"/>
            </w:tcBorders>
          </w:tcPr>
          <w:p w14:paraId="53E8C81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24 544</w:t>
            </w:r>
          </w:p>
        </w:tc>
        <w:tc>
          <w:tcPr>
            <w:tcW w:w="794" w:type="dxa"/>
            <w:tcBorders>
              <w:top w:val="single" w:sz="6" w:space="0" w:color="auto"/>
              <w:bottom w:val="single" w:sz="6" w:space="0" w:color="auto"/>
            </w:tcBorders>
          </w:tcPr>
          <w:p w14:paraId="2451983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20 427</w:t>
            </w:r>
          </w:p>
        </w:tc>
        <w:tc>
          <w:tcPr>
            <w:tcW w:w="794" w:type="dxa"/>
            <w:tcBorders>
              <w:top w:val="single" w:sz="6" w:space="0" w:color="auto"/>
              <w:bottom w:val="single" w:sz="6" w:space="0" w:color="auto"/>
            </w:tcBorders>
          </w:tcPr>
          <w:p w14:paraId="694938B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17 026</w:t>
            </w:r>
          </w:p>
        </w:tc>
        <w:tc>
          <w:tcPr>
            <w:tcW w:w="794" w:type="dxa"/>
            <w:tcBorders>
              <w:top w:val="single" w:sz="6" w:space="0" w:color="auto"/>
              <w:bottom w:val="single" w:sz="6" w:space="0" w:color="auto"/>
            </w:tcBorders>
          </w:tcPr>
          <w:p w14:paraId="3912A4C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15 803</w:t>
            </w:r>
          </w:p>
        </w:tc>
      </w:tr>
      <w:tr w:rsidR="009C6724" w14:paraId="0762FBCB"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553D5C40" w14:textId="77777777" w:rsidR="00AB205D" w:rsidRDefault="00471A3B">
            <w:r>
              <w:rPr>
                <w:b/>
              </w:rPr>
              <w:t>Net increase/(decrease) in cash and cash equivalents</w:t>
            </w:r>
          </w:p>
        </w:tc>
        <w:tc>
          <w:tcPr>
            <w:tcW w:w="794" w:type="dxa"/>
            <w:tcBorders>
              <w:top w:val="single" w:sz="6" w:space="0" w:color="auto"/>
            </w:tcBorders>
          </w:tcPr>
          <w:p w14:paraId="2E08D97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(8 047)</w:t>
            </w:r>
          </w:p>
        </w:tc>
        <w:tc>
          <w:tcPr>
            <w:tcW w:w="794" w:type="dxa"/>
            <w:tcBorders>
              <w:top w:val="single" w:sz="6" w:space="0" w:color="auto"/>
            </w:tcBorders>
          </w:tcPr>
          <w:p w14:paraId="248C933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(8 605)</w:t>
            </w:r>
          </w:p>
        </w:tc>
        <w:tc>
          <w:tcPr>
            <w:tcW w:w="794" w:type="dxa"/>
            <w:tcBorders>
              <w:top w:val="single" w:sz="6" w:space="0" w:color="auto"/>
            </w:tcBorders>
          </w:tcPr>
          <w:p w14:paraId="3FF9442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459</w:t>
            </w:r>
          </w:p>
        </w:tc>
        <w:tc>
          <w:tcPr>
            <w:tcW w:w="794" w:type="dxa"/>
            <w:tcBorders>
              <w:top w:val="single" w:sz="6" w:space="0" w:color="auto"/>
            </w:tcBorders>
          </w:tcPr>
          <w:p w14:paraId="58B97B5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801</w:t>
            </w:r>
          </w:p>
        </w:tc>
        <w:tc>
          <w:tcPr>
            <w:tcW w:w="794" w:type="dxa"/>
            <w:tcBorders>
              <w:top w:val="single" w:sz="6" w:space="0" w:color="auto"/>
            </w:tcBorders>
          </w:tcPr>
          <w:p w14:paraId="5EBCADC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707</w:t>
            </w:r>
          </w:p>
        </w:tc>
      </w:tr>
      <w:tr w:rsidR="009C6724" w14:paraId="177F42EE"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7B624813" w14:textId="77777777" w:rsidR="00AB205D" w:rsidRDefault="00471A3B">
            <w:r>
              <w:t>Cash and cash equivalents at beginning of reporting period</w:t>
            </w:r>
            <w:r>
              <w:rPr>
                <w:vertAlign w:val="superscript"/>
              </w:rPr>
              <w:t xml:space="preserve"> (b)(c)</w:t>
            </w:r>
          </w:p>
        </w:tc>
        <w:tc>
          <w:tcPr>
            <w:tcW w:w="794" w:type="dxa"/>
            <w:tcBorders>
              <w:bottom w:val="single" w:sz="6" w:space="0" w:color="auto"/>
            </w:tcBorders>
          </w:tcPr>
          <w:p w14:paraId="0473FCFD" w14:textId="77777777" w:rsidR="00AB205D" w:rsidRDefault="00471A3B">
            <w:pPr>
              <w:cnfStyle w:val="000000000000" w:firstRow="0" w:lastRow="0" w:firstColumn="0" w:lastColumn="0" w:oddVBand="0" w:evenVBand="0" w:oddHBand="0" w:evenHBand="0" w:firstRowFirstColumn="0" w:firstRowLastColumn="0" w:lastRowFirstColumn="0" w:lastRowLastColumn="0"/>
            </w:pPr>
            <w:r>
              <w:t>21 930</w:t>
            </w:r>
          </w:p>
        </w:tc>
        <w:tc>
          <w:tcPr>
            <w:tcW w:w="794" w:type="dxa"/>
            <w:tcBorders>
              <w:bottom w:val="single" w:sz="6" w:space="0" w:color="auto"/>
            </w:tcBorders>
          </w:tcPr>
          <w:p w14:paraId="70BD2197" w14:textId="77777777" w:rsidR="00AB205D" w:rsidRDefault="00471A3B">
            <w:pPr>
              <w:cnfStyle w:val="000000000000" w:firstRow="0" w:lastRow="0" w:firstColumn="0" w:lastColumn="0" w:oddVBand="0" w:evenVBand="0" w:oddHBand="0" w:evenHBand="0" w:firstRowFirstColumn="0" w:firstRowLastColumn="0" w:lastRowFirstColumn="0" w:lastRowLastColumn="0"/>
            </w:pPr>
            <w:r>
              <w:t>21 930</w:t>
            </w:r>
          </w:p>
        </w:tc>
        <w:tc>
          <w:tcPr>
            <w:tcW w:w="794" w:type="dxa"/>
            <w:tcBorders>
              <w:bottom w:val="single" w:sz="6" w:space="0" w:color="auto"/>
            </w:tcBorders>
          </w:tcPr>
          <w:p w14:paraId="22BE9A17" w14:textId="77777777" w:rsidR="00AB205D" w:rsidRDefault="00471A3B">
            <w:pPr>
              <w:cnfStyle w:val="000000000000" w:firstRow="0" w:lastRow="0" w:firstColumn="0" w:lastColumn="0" w:oddVBand="0" w:evenVBand="0" w:oddHBand="0" w:evenHBand="0" w:firstRowFirstColumn="0" w:firstRowLastColumn="0" w:lastRowFirstColumn="0" w:lastRowLastColumn="0"/>
            </w:pPr>
            <w:r>
              <w:t>13 325</w:t>
            </w:r>
          </w:p>
        </w:tc>
        <w:tc>
          <w:tcPr>
            <w:tcW w:w="794" w:type="dxa"/>
            <w:tcBorders>
              <w:bottom w:val="single" w:sz="6" w:space="0" w:color="auto"/>
            </w:tcBorders>
          </w:tcPr>
          <w:p w14:paraId="052A1E21" w14:textId="77777777" w:rsidR="00AB205D" w:rsidRDefault="00471A3B">
            <w:pPr>
              <w:cnfStyle w:val="000000000000" w:firstRow="0" w:lastRow="0" w:firstColumn="0" w:lastColumn="0" w:oddVBand="0" w:evenVBand="0" w:oddHBand="0" w:evenHBand="0" w:firstRowFirstColumn="0" w:firstRowLastColumn="0" w:lastRowFirstColumn="0" w:lastRowLastColumn="0"/>
            </w:pPr>
            <w:r>
              <w:t>13 784</w:t>
            </w:r>
          </w:p>
        </w:tc>
        <w:tc>
          <w:tcPr>
            <w:tcW w:w="794" w:type="dxa"/>
            <w:tcBorders>
              <w:bottom w:val="single" w:sz="6" w:space="0" w:color="auto"/>
            </w:tcBorders>
          </w:tcPr>
          <w:p w14:paraId="3BD28D30" w14:textId="77777777" w:rsidR="00AB205D" w:rsidRDefault="00471A3B">
            <w:pPr>
              <w:cnfStyle w:val="000000000000" w:firstRow="0" w:lastRow="0" w:firstColumn="0" w:lastColumn="0" w:oddVBand="0" w:evenVBand="0" w:oddHBand="0" w:evenHBand="0" w:firstRowFirstColumn="0" w:firstRowLastColumn="0" w:lastRowFirstColumn="0" w:lastRowLastColumn="0"/>
            </w:pPr>
            <w:r>
              <w:t>14 585</w:t>
            </w:r>
          </w:p>
        </w:tc>
      </w:tr>
      <w:tr w:rsidR="009C6724" w14:paraId="48D887B0"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08376BCC" w14:textId="77777777" w:rsidR="00AB205D" w:rsidRDefault="00471A3B">
            <w:r>
              <w:rPr>
                <w:b/>
              </w:rPr>
              <w:t>Cash and cash equivalents at end of reporting period</w:t>
            </w:r>
            <w:r>
              <w:rPr>
                <w:b/>
                <w:vertAlign w:val="superscript"/>
              </w:rPr>
              <w:t xml:space="preserve"> (b)(c)</w:t>
            </w:r>
          </w:p>
        </w:tc>
        <w:tc>
          <w:tcPr>
            <w:tcW w:w="794" w:type="dxa"/>
            <w:tcBorders>
              <w:top w:val="single" w:sz="6" w:space="0" w:color="auto"/>
              <w:bottom w:val="single" w:sz="6" w:space="0" w:color="auto"/>
            </w:tcBorders>
          </w:tcPr>
          <w:p w14:paraId="512F219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13 883</w:t>
            </w:r>
          </w:p>
        </w:tc>
        <w:tc>
          <w:tcPr>
            <w:tcW w:w="794" w:type="dxa"/>
            <w:tcBorders>
              <w:top w:val="single" w:sz="6" w:space="0" w:color="auto"/>
              <w:bottom w:val="single" w:sz="6" w:space="0" w:color="auto"/>
            </w:tcBorders>
          </w:tcPr>
          <w:p w14:paraId="1828655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13 325</w:t>
            </w:r>
          </w:p>
        </w:tc>
        <w:tc>
          <w:tcPr>
            <w:tcW w:w="794" w:type="dxa"/>
            <w:tcBorders>
              <w:top w:val="single" w:sz="6" w:space="0" w:color="auto"/>
              <w:bottom w:val="single" w:sz="6" w:space="0" w:color="auto"/>
            </w:tcBorders>
          </w:tcPr>
          <w:p w14:paraId="60C4790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13 784</w:t>
            </w:r>
          </w:p>
        </w:tc>
        <w:tc>
          <w:tcPr>
            <w:tcW w:w="794" w:type="dxa"/>
            <w:tcBorders>
              <w:top w:val="single" w:sz="6" w:space="0" w:color="auto"/>
              <w:bottom w:val="single" w:sz="6" w:space="0" w:color="auto"/>
            </w:tcBorders>
          </w:tcPr>
          <w:p w14:paraId="6C639A6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14 585</w:t>
            </w:r>
          </w:p>
        </w:tc>
        <w:tc>
          <w:tcPr>
            <w:tcW w:w="794" w:type="dxa"/>
            <w:tcBorders>
              <w:top w:val="single" w:sz="6" w:space="0" w:color="auto"/>
              <w:bottom w:val="single" w:sz="6" w:space="0" w:color="auto"/>
            </w:tcBorders>
          </w:tcPr>
          <w:p w14:paraId="4427E06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15 291</w:t>
            </w:r>
          </w:p>
        </w:tc>
      </w:tr>
    </w:tbl>
    <w:p w14:paraId="12BF0D33" w14:textId="65D71720" w:rsidR="00174DB6" w:rsidRDefault="00174DB6" w:rsidP="00174DB6">
      <w:pPr>
        <w:pStyle w:val="TableHeading"/>
        <w:pageBreakBefore/>
      </w:pPr>
      <w:r w:rsidRPr="00921F69">
        <w:lastRenderedPageBreak/>
        <w:t>Table 5.8</w:t>
      </w:r>
      <w:r w:rsidRPr="00921F69">
        <w:tab/>
        <w:t xml:space="preserve">Non-financial public sector cash flow statement for the </w:t>
      </w:r>
      <w:r w:rsidRPr="00921F69">
        <w:br/>
        <w:t>financial year ended 30 June</w:t>
      </w:r>
      <w:r>
        <w:t xml:space="preserve"> </w:t>
      </w:r>
      <w:r w:rsidRPr="003F6D78">
        <w:rPr>
          <w:i/>
          <w:iCs w:val="0"/>
          <w:sz w:val="18"/>
          <w:szCs w:val="16"/>
        </w:rPr>
        <w:t>(continued)</w:t>
      </w:r>
      <w:r w:rsidRPr="00921F69">
        <w:tab/>
        <w:t>($ million)</w:t>
      </w:r>
    </w:p>
    <w:tbl>
      <w:tblPr>
        <w:tblStyle w:val="DTFTableNumeric"/>
        <w:tblW w:w="7710" w:type="dxa"/>
        <w:tblLayout w:type="fixed"/>
        <w:tblLook w:val="06A0" w:firstRow="1" w:lastRow="0" w:firstColumn="1" w:lastColumn="0" w:noHBand="1" w:noVBand="1"/>
        <w:tblDescription w:val="Type:DtfTable|Workbook:Rawdata\BudgetUpdate\Budget Update\Financial Statements\SRIMS exports\SRIMS_BU_UPF_NFPS_WoS.xlsx|Table:NFPS_CF"/>
      </w:tblPr>
      <w:tblGrid>
        <w:gridCol w:w="3740"/>
        <w:gridCol w:w="794"/>
        <w:gridCol w:w="794"/>
        <w:gridCol w:w="794"/>
        <w:gridCol w:w="794"/>
        <w:gridCol w:w="794"/>
      </w:tblGrid>
      <w:tr w:rsidR="003F6D78" w14:paraId="2ED8AF19" w14:textId="77777777" w:rsidTr="00273B0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2F58A7EB" w14:textId="77777777" w:rsidR="003F6D78" w:rsidRDefault="003F6D78" w:rsidP="00273B08">
            <w:pPr>
              <w:keepNext/>
            </w:pPr>
          </w:p>
        </w:tc>
        <w:tc>
          <w:tcPr>
            <w:tcW w:w="794" w:type="dxa"/>
          </w:tcPr>
          <w:p w14:paraId="772EA042" w14:textId="77777777" w:rsidR="003F6D78" w:rsidRDefault="003F6D78" w:rsidP="00273B08">
            <w:pPr>
              <w:keepNext/>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52C70587" w14:textId="77777777" w:rsidR="003F6D78" w:rsidRDefault="003F6D78" w:rsidP="00273B08">
            <w:pPr>
              <w:keepNext/>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382BE821" w14:textId="77777777" w:rsidR="003F6D78" w:rsidRDefault="003F6D78" w:rsidP="00273B08">
            <w:pPr>
              <w:keepNext/>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07751CE6" w14:textId="77777777" w:rsidR="003F6D78" w:rsidRDefault="003F6D78" w:rsidP="00273B08">
            <w:pPr>
              <w:keepNext/>
              <w:cnfStyle w:val="100000000000" w:firstRow="1" w:lastRow="0" w:firstColumn="0" w:lastColumn="0" w:oddVBand="0" w:evenVBand="0" w:oddHBand="0" w:evenHBand="0" w:firstRowFirstColumn="0" w:firstRowLastColumn="0" w:lastRowFirstColumn="0" w:lastRowLastColumn="0"/>
            </w:pPr>
            <w:r>
              <w:t>2025</w:t>
            </w:r>
            <w:r>
              <w:noBreakHyphen/>
              <w:t>26</w:t>
            </w:r>
          </w:p>
        </w:tc>
        <w:tc>
          <w:tcPr>
            <w:tcW w:w="794" w:type="dxa"/>
          </w:tcPr>
          <w:p w14:paraId="32E24E0A" w14:textId="77777777" w:rsidR="003F6D78" w:rsidRDefault="003F6D78" w:rsidP="00273B08">
            <w:pPr>
              <w:keepNext/>
              <w:cnfStyle w:val="100000000000" w:firstRow="1" w:lastRow="0" w:firstColumn="0" w:lastColumn="0" w:oddVBand="0" w:evenVBand="0" w:oddHBand="0" w:evenHBand="0" w:firstRowFirstColumn="0" w:firstRowLastColumn="0" w:lastRowFirstColumn="0" w:lastRowLastColumn="0"/>
            </w:pPr>
            <w:r>
              <w:t>2026</w:t>
            </w:r>
            <w:r>
              <w:noBreakHyphen/>
              <w:t>27</w:t>
            </w:r>
          </w:p>
        </w:tc>
      </w:tr>
      <w:tr w:rsidR="003F6D78" w14:paraId="361168AA" w14:textId="77777777" w:rsidTr="00273B0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49C22746" w14:textId="77777777" w:rsidR="003F6D78" w:rsidRDefault="003F6D78" w:rsidP="00273B08">
            <w:pPr>
              <w:keepNext/>
            </w:pPr>
          </w:p>
        </w:tc>
        <w:tc>
          <w:tcPr>
            <w:tcW w:w="794" w:type="dxa"/>
          </w:tcPr>
          <w:p w14:paraId="3869966D" w14:textId="77777777" w:rsidR="003F6D78" w:rsidRDefault="003F6D78" w:rsidP="00273B08">
            <w:pPr>
              <w:keepNext/>
              <w:cnfStyle w:val="100000000000" w:firstRow="1" w:lastRow="0" w:firstColumn="0" w:lastColumn="0" w:oddVBand="0" w:evenVBand="0" w:oddHBand="0" w:evenHBand="0" w:firstRowFirstColumn="0" w:firstRowLastColumn="0" w:lastRowFirstColumn="0" w:lastRowLastColumn="0"/>
            </w:pPr>
            <w:r>
              <w:t>budget</w:t>
            </w:r>
          </w:p>
        </w:tc>
        <w:tc>
          <w:tcPr>
            <w:tcW w:w="794" w:type="dxa"/>
          </w:tcPr>
          <w:p w14:paraId="45BC9FF3" w14:textId="77777777" w:rsidR="003F6D78" w:rsidRDefault="003F6D78" w:rsidP="00273B08">
            <w:pPr>
              <w:keepNext/>
              <w:cnfStyle w:val="100000000000" w:firstRow="1" w:lastRow="0" w:firstColumn="0" w:lastColumn="0" w:oddVBand="0" w:evenVBand="0" w:oddHBand="0" w:evenHBand="0" w:firstRowFirstColumn="0" w:firstRowLastColumn="0" w:lastRowFirstColumn="0" w:lastRowLastColumn="0"/>
            </w:pPr>
            <w:r>
              <w:t>revised</w:t>
            </w:r>
          </w:p>
        </w:tc>
        <w:tc>
          <w:tcPr>
            <w:tcW w:w="794" w:type="dxa"/>
          </w:tcPr>
          <w:p w14:paraId="70510AA3" w14:textId="77777777" w:rsidR="003F6D78" w:rsidRDefault="003F6D78" w:rsidP="00273B08">
            <w:pPr>
              <w:keepNext/>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7011F57D" w14:textId="77777777" w:rsidR="003F6D78" w:rsidRDefault="003F6D78" w:rsidP="00273B08">
            <w:pPr>
              <w:keepNext/>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7C03BA5C" w14:textId="77777777" w:rsidR="003F6D78" w:rsidRDefault="003F6D78" w:rsidP="00273B08">
            <w:pPr>
              <w:keepNext/>
              <w:cnfStyle w:val="100000000000" w:firstRow="1" w:lastRow="0" w:firstColumn="0" w:lastColumn="0" w:oddVBand="0" w:evenVBand="0" w:oddHBand="0" w:evenHBand="0" w:firstRowFirstColumn="0" w:firstRowLastColumn="0" w:lastRowFirstColumn="0" w:lastRowLastColumn="0"/>
            </w:pPr>
            <w:r>
              <w:t>estimate</w:t>
            </w:r>
          </w:p>
        </w:tc>
      </w:tr>
      <w:tr w:rsidR="009C6724" w14:paraId="0782D046"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5DA5496" w14:textId="77777777" w:rsidR="00AB205D" w:rsidRDefault="00471A3B" w:rsidP="00174DB6">
            <w:r>
              <w:rPr>
                <w:b/>
              </w:rPr>
              <w:t>FISCAL AGGREGATES</w:t>
            </w:r>
          </w:p>
        </w:tc>
        <w:tc>
          <w:tcPr>
            <w:tcW w:w="794" w:type="dxa"/>
          </w:tcPr>
          <w:p w14:paraId="13EBDCAE"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5A7DBF0C"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25172646"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4240906"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757AEA7E"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45EC604A"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07CC181" w14:textId="77777777" w:rsidR="00AB205D" w:rsidRDefault="00471A3B">
            <w:r>
              <w:t>Net cash flows from operating activities</w:t>
            </w:r>
          </w:p>
        </w:tc>
        <w:tc>
          <w:tcPr>
            <w:tcW w:w="794" w:type="dxa"/>
          </w:tcPr>
          <w:p w14:paraId="0D1854EC" w14:textId="77777777" w:rsidR="00AB205D" w:rsidRDefault="00471A3B">
            <w:pPr>
              <w:cnfStyle w:val="000000000000" w:firstRow="0" w:lastRow="0" w:firstColumn="0" w:lastColumn="0" w:oddVBand="0" w:evenVBand="0" w:oddHBand="0" w:evenHBand="0" w:firstRowFirstColumn="0" w:firstRowLastColumn="0" w:lastRowFirstColumn="0" w:lastRowLastColumn="0"/>
            </w:pPr>
            <w:r>
              <w:t>1 648</w:t>
            </w:r>
          </w:p>
        </w:tc>
        <w:tc>
          <w:tcPr>
            <w:tcW w:w="794" w:type="dxa"/>
          </w:tcPr>
          <w:p w14:paraId="797E9A27" w14:textId="77777777" w:rsidR="00AB205D" w:rsidRDefault="00471A3B">
            <w:pPr>
              <w:cnfStyle w:val="000000000000" w:firstRow="0" w:lastRow="0" w:firstColumn="0" w:lastColumn="0" w:oddVBand="0" w:evenVBand="0" w:oddHBand="0" w:evenHBand="0" w:firstRowFirstColumn="0" w:firstRowLastColumn="0" w:lastRowFirstColumn="0" w:lastRowLastColumn="0"/>
            </w:pPr>
            <w:r>
              <w:t>1 012</w:t>
            </w:r>
          </w:p>
        </w:tc>
        <w:tc>
          <w:tcPr>
            <w:tcW w:w="794" w:type="dxa"/>
          </w:tcPr>
          <w:p w14:paraId="08ECC1C2" w14:textId="77777777" w:rsidR="00AB205D" w:rsidRDefault="00471A3B">
            <w:pPr>
              <w:cnfStyle w:val="000000000000" w:firstRow="0" w:lastRow="0" w:firstColumn="0" w:lastColumn="0" w:oddVBand="0" w:evenVBand="0" w:oddHBand="0" w:evenHBand="0" w:firstRowFirstColumn="0" w:firstRowLastColumn="0" w:lastRowFirstColumn="0" w:lastRowLastColumn="0"/>
            </w:pPr>
            <w:r>
              <w:t>5 058</w:t>
            </w:r>
          </w:p>
        </w:tc>
        <w:tc>
          <w:tcPr>
            <w:tcW w:w="794" w:type="dxa"/>
          </w:tcPr>
          <w:p w14:paraId="7DD1DF0D" w14:textId="77777777" w:rsidR="00AB205D" w:rsidRDefault="00471A3B">
            <w:pPr>
              <w:cnfStyle w:val="000000000000" w:firstRow="0" w:lastRow="0" w:firstColumn="0" w:lastColumn="0" w:oddVBand="0" w:evenVBand="0" w:oddHBand="0" w:evenHBand="0" w:firstRowFirstColumn="0" w:firstRowLastColumn="0" w:lastRowFirstColumn="0" w:lastRowLastColumn="0"/>
            </w:pPr>
            <w:r>
              <w:t>7 990</w:t>
            </w:r>
          </w:p>
        </w:tc>
        <w:tc>
          <w:tcPr>
            <w:tcW w:w="794" w:type="dxa"/>
          </w:tcPr>
          <w:p w14:paraId="77670309" w14:textId="77777777" w:rsidR="00AB205D" w:rsidRDefault="00471A3B">
            <w:pPr>
              <w:cnfStyle w:val="000000000000" w:firstRow="0" w:lastRow="0" w:firstColumn="0" w:lastColumn="0" w:oddVBand="0" w:evenVBand="0" w:oddHBand="0" w:evenHBand="0" w:firstRowFirstColumn="0" w:firstRowLastColumn="0" w:lastRowFirstColumn="0" w:lastRowLastColumn="0"/>
            </w:pPr>
            <w:r>
              <w:t>7 698</w:t>
            </w:r>
          </w:p>
        </w:tc>
      </w:tr>
      <w:tr w:rsidR="009C6724" w14:paraId="50659718"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1836BFA4" w14:textId="77777777" w:rsidR="00AB205D" w:rsidRDefault="00471A3B">
            <w:r>
              <w:t>Net cash flows from investments in non</w:t>
            </w:r>
            <w:r>
              <w:noBreakHyphen/>
              <w:t>financial assets</w:t>
            </w:r>
          </w:p>
        </w:tc>
        <w:tc>
          <w:tcPr>
            <w:tcW w:w="794" w:type="dxa"/>
            <w:tcBorders>
              <w:bottom w:val="single" w:sz="6" w:space="0" w:color="auto"/>
            </w:tcBorders>
          </w:tcPr>
          <w:p w14:paraId="0762B85E" w14:textId="77777777" w:rsidR="00AB205D" w:rsidRDefault="00471A3B">
            <w:pPr>
              <w:cnfStyle w:val="000000000000" w:firstRow="0" w:lastRow="0" w:firstColumn="0" w:lastColumn="0" w:oddVBand="0" w:evenVBand="0" w:oddHBand="0" w:evenHBand="0" w:firstRowFirstColumn="0" w:firstRowLastColumn="0" w:lastRowFirstColumn="0" w:lastRowLastColumn="0"/>
            </w:pPr>
            <w:r>
              <w:t>(22 911)</w:t>
            </w:r>
          </w:p>
        </w:tc>
        <w:tc>
          <w:tcPr>
            <w:tcW w:w="794" w:type="dxa"/>
            <w:tcBorders>
              <w:bottom w:val="single" w:sz="6" w:space="0" w:color="auto"/>
            </w:tcBorders>
          </w:tcPr>
          <w:p w14:paraId="7147B40E" w14:textId="77777777" w:rsidR="00AB205D" w:rsidRDefault="00471A3B">
            <w:pPr>
              <w:cnfStyle w:val="000000000000" w:firstRow="0" w:lastRow="0" w:firstColumn="0" w:lastColumn="0" w:oddVBand="0" w:evenVBand="0" w:oddHBand="0" w:evenHBand="0" w:firstRowFirstColumn="0" w:firstRowLastColumn="0" w:lastRowFirstColumn="0" w:lastRowLastColumn="0"/>
            </w:pPr>
            <w:r>
              <w:t>(24 869)</w:t>
            </w:r>
          </w:p>
        </w:tc>
        <w:tc>
          <w:tcPr>
            <w:tcW w:w="794" w:type="dxa"/>
            <w:tcBorders>
              <w:bottom w:val="single" w:sz="6" w:space="0" w:color="auto"/>
            </w:tcBorders>
          </w:tcPr>
          <w:p w14:paraId="66D368FB" w14:textId="77777777" w:rsidR="00AB205D" w:rsidRDefault="00471A3B">
            <w:pPr>
              <w:cnfStyle w:val="000000000000" w:firstRow="0" w:lastRow="0" w:firstColumn="0" w:lastColumn="0" w:oddVBand="0" w:evenVBand="0" w:oddHBand="0" w:evenHBand="0" w:firstRowFirstColumn="0" w:firstRowLastColumn="0" w:lastRowFirstColumn="0" w:lastRowLastColumn="0"/>
            </w:pPr>
            <w:r>
              <w:t>(23 304)</w:t>
            </w:r>
          </w:p>
        </w:tc>
        <w:tc>
          <w:tcPr>
            <w:tcW w:w="794" w:type="dxa"/>
            <w:tcBorders>
              <w:bottom w:val="single" w:sz="6" w:space="0" w:color="auto"/>
            </w:tcBorders>
          </w:tcPr>
          <w:p w14:paraId="576F549A" w14:textId="77777777" w:rsidR="00AB205D" w:rsidRDefault="00471A3B">
            <w:pPr>
              <w:cnfStyle w:val="000000000000" w:firstRow="0" w:lastRow="0" w:firstColumn="0" w:lastColumn="0" w:oddVBand="0" w:evenVBand="0" w:oddHBand="0" w:evenHBand="0" w:firstRowFirstColumn="0" w:firstRowLastColumn="0" w:lastRowFirstColumn="0" w:lastRowLastColumn="0"/>
            </w:pPr>
            <w:r>
              <w:t>(22 976)</w:t>
            </w:r>
          </w:p>
        </w:tc>
        <w:tc>
          <w:tcPr>
            <w:tcW w:w="794" w:type="dxa"/>
            <w:tcBorders>
              <w:bottom w:val="single" w:sz="6" w:space="0" w:color="auto"/>
            </w:tcBorders>
          </w:tcPr>
          <w:p w14:paraId="650D759B" w14:textId="77777777" w:rsidR="00AB205D" w:rsidRDefault="00471A3B">
            <w:pPr>
              <w:cnfStyle w:val="000000000000" w:firstRow="0" w:lastRow="0" w:firstColumn="0" w:lastColumn="0" w:oddVBand="0" w:evenVBand="0" w:oddHBand="0" w:evenHBand="0" w:firstRowFirstColumn="0" w:firstRowLastColumn="0" w:lastRowFirstColumn="0" w:lastRowLastColumn="0"/>
            </w:pPr>
            <w:r>
              <w:t>(20 585)</w:t>
            </w:r>
          </w:p>
        </w:tc>
      </w:tr>
      <w:tr w:rsidR="009C6724" w14:paraId="13E3B387"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6462611D" w14:textId="77777777" w:rsidR="00AB205D" w:rsidRDefault="00471A3B">
            <w:r>
              <w:rPr>
                <w:b/>
              </w:rPr>
              <w:t>Cash surplus/(deficit)</w:t>
            </w:r>
          </w:p>
        </w:tc>
        <w:tc>
          <w:tcPr>
            <w:tcW w:w="794" w:type="dxa"/>
            <w:tcBorders>
              <w:top w:val="single" w:sz="6" w:space="0" w:color="auto"/>
              <w:bottom w:val="single" w:sz="12" w:space="0" w:color="auto"/>
            </w:tcBorders>
          </w:tcPr>
          <w:p w14:paraId="2D3476D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(21 263)</w:t>
            </w:r>
          </w:p>
        </w:tc>
        <w:tc>
          <w:tcPr>
            <w:tcW w:w="794" w:type="dxa"/>
            <w:tcBorders>
              <w:top w:val="single" w:sz="6" w:space="0" w:color="auto"/>
              <w:bottom w:val="single" w:sz="12" w:space="0" w:color="auto"/>
            </w:tcBorders>
          </w:tcPr>
          <w:p w14:paraId="50C0FA9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(23 856)</w:t>
            </w:r>
          </w:p>
        </w:tc>
        <w:tc>
          <w:tcPr>
            <w:tcW w:w="794" w:type="dxa"/>
            <w:tcBorders>
              <w:top w:val="single" w:sz="6" w:space="0" w:color="auto"/>
              <w:bottom w:val="single" w:sz="12" w:space="0" w:color="auto"/>
            </w:tcBorders>
          </w:tcPr>
          <w:p w14:paraId="165B3C5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(18 246)</w:t>
            </w:r>
          </w:p>
        </w:tc>
        <w:tc>
          <w:tcPr>
            <w:tcW w:w="794" w:type="dxa"/>
            <w:tcBorders>
              <w:top w:val="single" w:sz="6" w:space="0" w:color="auto"/>
              <w:bottom w:val="single" w:sz="12" w:space="0" w:color="auto"/>
            </w:tcBorders>
          </w:tcPr>
          <w:p w14:paraId="4525BCC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(14 986)</w:t>
            </w:r>
          </w:p>
        </w:tc>
        <w:tc>
          <w:tcPr>
            <w:tcW w:w="794" w:type="dxa"/>
            <w:tcBorders>
              <w:top w:val="single" w:sz="6" w:space="0" w:color="auto"/>
              <w:bottom w:val="single" w:sz="12" w:space="0" w:color="auto"/>
            </w:tcBorders>
          </w:tcPr>
          <w:p w14:paraId="53C6FCF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(12 886)</w:t>
            </w:r>
          </w:p>
        </w:tc>
      </w:tr>
    </w:tbl>
    <w:p w14:paraId="216AF812" w14:textId="77777777" w:rsidR="00AB205D" w:rsidRPr="00921F69" w:rsidRDefault="00471A3B">
      <w:pPr>
        <w:pStyle w:val="Note"/>
        <w:ind w:left="0" w:firstLine="0"/>
      </w:pPr>
      <w:r w:rsidRPr="00921F69">
        <w:t>Notes:</w:t>
      </w:r>
    </w:p>
    <w:p w14:paraId="1FBB7C98" w14:textId="77777777" w:rsidR="00AB205D" w:rsidRPr="00921F69" w:rsidRDefault="00471A3B">
      <w:pPr>
        <w:pStyle w:val="Note"/>
      </w:pPr>
      <w:r w:rsidRPr="00921F69">
        <w:t>(a)</w:t>
      </w:r>
      <w:r w:rsidRPr="00921F69">
        <w:tab/>
      </w:r>
      <w:r w:rsidRPr="00150902">
        <w:t>Sales of goods and services and payments for goods and services are inclusive of goods and services tax</w:t>
      </w:r>
      <w:r w:rsidRPr="00921F69">
        <w:t>.</w:t>
      </w:r>
    </w:p>
    <w:p w14:paraId="76A79394" w14:textId="1825082B" w:rsidR="00AB205D" w:rsidRPr="00921F69" w:rsidRDefault="00471A3B">
      <w:pPr>
        <w:pStyle w:val="Note"/>
      </w:pPr>
      <w:r w:rsidRPr="00921F69">
        <w:t>(b)</w:t>
      </w:r>
      <w:r w:rsidRPr="00921F69">
        <w:tab/>
      </w:r>
      <w:r w:rsidR="00882944" w:rsidRPr="00882944">
        <w:rPr>
          <w:i w:val="0"/>
          <w:iCs/>
        </w:rPr>
        <w:t>2023-24 Budget</w:t>
      </w:r>
      <w:r w:rsidR="00882944" w:rsidRPr="00921F69">
        <w:t xml:space="preserve"> </w:t>
      </w:r>
      <w:r w:rsidRPr="00921F69">
        <w:t>figures have been restated to represent actual opening balances at 1 July 20</w:t>
      </w:r>
      <w:r>
        <w:t>23</w:t>
      </w:r>
      <w:r w:rsidRPr="00921F69">
        <w:t>.</w:t>
      </w:r>
    </w:p>
    <w:p w14:paraId="15D59618" w14:textId="77777777" w:rsidR="00AB205D" w:rsidRPr="009E38F8" w:rsidRDefault="00471A3B">
      <w:pPr>
        <w:pStyle w:val="Note"/>
        <w:rPr>
          <w:iCs/>
        </w:rPr>
      </w:pPr>
      <w:r w:rsidRPr="009E38F8">
        <w:rPr>
          <w:iCs/>
        </w:rPr>
        <w:t>(</w:t>
      </w:r>
      <w:r>
        <w:rPr>
          <w:iCs/>
        </w:rPr>
        <w:t>c</w:t>
      </w:r>
      <w:r w:rsidRPr="009E38F8">
        <w:rPr>
          <w:iCs/>
        </w:rPr>
        <w:t>)</w:t>
      </w:r>
      <w:r w:rsidRPr="009E38F8">
        <w:rPr>
          <w:iCs/>
        </w:rPr>
        <w:tab/>
      </w:r>
      <w:r>
        <w:t>Cash and cash equivalents at the end of the reporting period does not equal cash and deposits on the balance sheet. This is due to overdrafts being included in the cash flow statement balances.</w:t>
      </w:r>
    </w:p>
    <w:p w14:paraId="3DEBDDFA" w14:textId="77777777" w:rsidR="00AB205D" w:rsidRPr="00921F69" w:rsidRDefault="00AB205D">
      <w:pPr>
        <w:rPr>
          <w:rFonts w:asciiTheme="majorHAnsi" w:hAnsiTheme="majorHAnsi"/>
        </w:rPr>
      </w:pPr>
    </w:p>
    <w:p w14:paraId="1CAF8FB2" w14:textId="77777777" w:rsidR="00AB205D" w:rsidRDefault="00471A3B">
      <w:pPr>
        <w:rPr>
          <w:rFonts w:asciiTheme="majorHAnsi" w:hAnsiTheme="majorHAnsi"/>
          <w:b/>
          <w:sz w:val="20"/>
        </w:rPr>
      </w:pPr>
      <w:r>
        <w:br w:type="page"/>
      </w:r>
    </w:p>
    <w:p w14:paraId="16286B45" w14:textId="77777777" w:rsidR="00AB205D" w:rsidRDefault="00471A3B">
      <w:pPr>
        <w:pStyle w:val="TableHeading"/>
      </w:pPr>
      <w:r w:rsidRPr="00921F69">
        <w:lastRenderedPageBreak/>
        <w:t>Table 5.9</w:t>
      </w:r>
      <w:r w:rsidRPr="00921F69">
        <w:tab/>
        <w:t xml:space="preserve">Non-financial public sector statement of changes in equity </w:t>
      </w:r>
      <w:r w:rsidRPr="00921F69">
        <w:br/>
        <w:t>for the financial year ended 30 June</w:t>
      </w:r>
      <w:r w:rsidRPr="00921F69">
        <w:tab/>
        <w:t>($ million)</w:t>
      </w:r>
    </w:p>
    <w:tbl>
      <w:tblPr>
        <w:tblStyle w:val="DTFTableNumeric"/>
        <w:tblW w:w="7833" w:type="dxa"/>
        <w:tblLayout w:type="fixed"/>
        <w:tblLook w:val="06A0" w:firstRow="1" w:lastRow="0" w:firstColumn="1" w:lastColumn="0" w:noHBand="1" w:noVBand="1"/>
        <w:tblDescription w:val="Type:DtfTable|Workbook:Rawdata\BudgetUpdate\Budget Update\Financial Statements\Manual reports\SOCIE\Link_BU_SOCIE.xlsx|Table:Manual_NFPS_SOCIE"/>
      </w:tblPr>
      <w:tblGrid>
        <w:gridCol w:w="2545"/>
        <w:gridCol w:w="535"/>
        <w:gridCol w:w="1008"/>
        <w:gridCol w:w="1162"/>
        <w:gridCol w:w="1161"/>
        <w:gridCol w:w="742"/>
        <w:gridCol w:w="680"/>
      </w:tblGrid>
      <w:tr w:rsidR="009C6724" w:rsidRPr="00174DB6" w14:paraId="63373D00"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5" w:type="dxa"/>
          </w:tcPr>
          <w:p w14:paraId="27A7F41C" w14:textId="77777777" w:rsidR="00AB205D" w:rsidRPr="00174DB6" w:rsidRDefault="00AB205D">
            <w:pPr>
              <w:keepNext/>
              <w:spacing w:after="0"/>
              <w:rPr>
                <w:szCs w:val="17"/>
              </w:rPr>
            </w:pPr>
          </w:p>
        </w:tc>
        <w:tc>
          <w:tcPr>
            <w:tcW w:w="1543" w:type="dxa"/>
            <w:gridSpan w:val="2"/>
          </w:tcPr>
          <w:p w14:paraId="714C98EE" w14:textId="77777777" w:rsidR="00AB205D" w:rsidRPr="00174DB6" w:rsidRDefault="00471A3B">
            <w:pPr>
              <w:keepNext/>
              <w:spacing w:after="0"/>
              <w:cnfStyle w:val="100000000000" w:firstRow="1" w:lastRow="0" w:firstColumn="0" w:lastColumn="0" w:oddVBand="0" w:evenVBand="0" w:oddHBand="0" w:evenHBand="0" w:firstRowFirstColumn="0" w:firstRowLastColumn="0" w:lastRowFirstColumn="0" w:lastRowLastColumn="0"/>
              <w:rPr>
                <w:szCs w:val="17"/>
              </w:rPr>
            </w:pPr>
            <w:r w:rsidRPr="00174DB6">
              <w:rPr>
                <w:szCs w:val="17"/>
              </w:rPr>
              <w:t>Accumulated surplus/(deficit)</w:t>
            </w:r>
          </w:p>
        </w:tc>
        <w:tc>
          <w:tcPr>
            <w:tcW w:w="1162" w:type="dxa"/>
          </w:tcPr>
          <w:p w14:paraId="2293DC99" w14:textId="77777777" w:rsidR="00AB205D" w:rsidRPr="00174DB6" w:rsidRDefault="00471A3B">
            <w:pPr>
              <w:keepNext/>
              <w:spacing w:after="0"/>
              <w:cnfStyle w:val="100000000000" w:firstRow="1" w:lastRow="0" w:firstColumn="0" w:lastColumn="0" w:oddVBand="0" w:evenVBand="0" w:oddHBand="0" w:evenHBand="0" w:firstRowFirstColumn="0" w:firstRowLastColumn="0" w:lastRowFirstColumn="0" w:lastRowLastColumn="0"/>
              <w:rPr>
                <w:szCs w:val="17"/>
              </w:rPr>
            </w:pPr>
            <w:r w:rsidRPr="00174DB6">
              <w:rPr>
                <w:szCs w:val="17"/>
              </w:rPr>
              <w:t>Non</w:t>
            </w:r>
            <w:r w:rsidRPr="00174DB6">
              <w:rPr>
                <w:szCs w:val="17"/>
              </w:rPr>
              <w:noBreakHyphen/>
              <w:t>financial assets revaluation surplus</w:t>
            </w:r>
          </w:p>
        </w:tc>
        <w:tc>
          <w:tcPr>
            <w:tcW w:w="1161" w:type="dxa"/>
          </w:tcPr>
          <w:p w14:paraId="1D82900F" w14:textId="77777777" w:rsidR="00AB205D" w:rsidRPr="00174DB6" w:rsidRDefault="00471A3B">
            <w:pPr>
              <w:keepNext/>
              <w:spacing w:after="0"/>
              <w:cnfStyle w:val="100000000000" w:firstRow="1" w:lastRow="0" w:firstColumn="0" w:lastColumn="0" w:oddVBand="0" w:evenVBand="0" w:oddHBand="0" w:evenHBand="0" w:firstRowFirstColumn="0" w:firstRowLastColumn="0" w:lastRowFirstColumn="0" w:lastRowLastColumn="0"/>
              <w:rPr>
                <w:szCs w:val="17"/>
              </w:rPr>
            </w:pPr>
            <w:r w:rsidRPr="00174DB6">
              <w:rPr>
                <w:szCs w:val="17"/>
              </w:rPr>
              <w:t>Investment in other sector entities revaluation surplus</w:t>
            </w:r>
          </w:p>
        </w:tc>
        <w:tc>
          <w:tcPr>
            <w:tcW w:w="742" w:type="dxa"/>
          </w:tcPr>
          <w:p w14:paraId="34DD44F3" w14:textId="77777777" w:rsidR="00AB205D" w:rsidRPr="00174DB6" w:rsidRDefault="00471A3B">
            <w:pPr>
              <w:keepNext/>
              <w:spacing w:after="0"/>
              <w:cnfStyle w:val="100000000000" w:firstRow="1" w:lastRow="0" w:firstColumn="0" w:lastColumn="0" w:oddVBand="0" w:evenVBand="0" w:oddHBand="0" w:evenHBand="0" w:firstRowFirstColumn="0" w:firstRowLastColumn="0" w:lastRowFirstColumn="0" w:lastRowLastColumn="0"/>
              <w:rPr>
                <w:szCs w:val="17"/>
              </w:rPr>
            </w:pPr>
            <w:r w:rsidRPr="00174DB6">
              <w:rPr>
                <w:szCs w:val="17"/>
              </w:rPr>
              <w:t>Other reserves</w:t>
            </w:r>
          </w:p>
        </w:tc>
        <w:tc>
          <w:tcPr>
            <w:tcW w:w="680" w:type="dxa"/>
          </w:tcPr>
          <w:p w14:paraId="27AAEC48" w14:textId="77777777" w:rsidR="00AB205D" w:rsidRPr="00174DB6" w:rsidRDefault="00471A3B">
            <w:pPr>
              <w:keepNext/>
              <w:spacing w:after="0"/>
              <w:cnfStyle w:val="100000000000" w:firstRow="1" w:lastRow="0" w:firstColumn="0" w:lastColumn="0" w:oddVBand="0" w:evenVBand="0" w:oddHBand="0" w:evenHBand="0" w:firstRowFirstColumn="0" w:firstRowLastColumn="0" w:lastRowFirstColumn="0" w:lastRowLastColumn="0"/>
              <w:rPr>
                <w:szCs w:val="17"/>
              </w:rPr>
            </w:pPr>
            <w:r w:rsidRPr="00174DB6">
              <w:rPr>
                <w:szCs w:val="17"/>
              </w:rPr>
              <w:t>Total</w:t>
            </w:r>
          </w:p>
        </w:tc>
      </w:tr>
      <w:tr w:rsidR="009C6724" w:rsidRPr="00174DB6" w14:paraId="7D024B3B" w14:textId="77777777" w:rsidTr="009C6724">
        <w:tc>
          <w:tcPr>
            <w:cnfStyle w:val="001000000000" w:firstRow="0" w:lastRow="0" w:firstColumn="1" w:lastColumn="0" w:oddVBand="0" w:evenVBand="0" w:oddHBand="0" w:evenHBand="0" w:firstRowFirstColumn="0" w:firstRowLastColumn="0" w:lastRowFirstColumn="0" w:lastRowLastColumn="0"/>
            <w:tcW w:w="3080" w:type="dxa"/>
            <w:gridSpan w:val="2"/>
          </w:tcPr>
          <w:p w14:paraId="592C27B4" w14:textId="77777777" w:rsidR="00AB205D" w:rsidRPr="00174DB6" w:rsidRDefault="00471A3B">
            <w:pPr>
              <w:spacing w:after="0"/>
              <w:rPr>
                <w:szCs w:val="17"/>
              </w:rPr>
            </w:pPr>
            <w:r w:rsidRPr="00174DB6">
              <w:rPr>
                <w:b/>
                <w:szCs w:val="17"/>
              </w:rPr>
              <w:t>2023</w:t>
            </w:r>
            <w:r w:rsidRPr="00174DB6">
              <w:rPr>
                <w:b/>
                <w:szCs w:val="17"/>
              </w:rPr>
              <w:noBreakHyphen/>
              <w:t>24 budget</w:t>
            </w:r>
            <w:r w:rsidRPr="00174DB6">
              <w:rPr>
                <w:b/>
                <w:szCs w:val="17"/>
                <w:vertAlign w:val="superscript"/>
              </w:rPr>
              <w:t xml:space="preserve"> (a)</w:t>
            </w:r>
          </w:p>
        </w:tc>
        <w:tc>
          <w:tcPr>
            <w:tcW w:w="1008" w:type="dxa"/>
          </w:tcPr>
          <w:p w14:paraId="0DFC0427" w14:textId="77777777" w:rsidR="00AB205D" w:rsidRPr="00174DB6"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1162" w:type="dxa"/>
          </w:tcPr>
          <w:p w14:paraId="183804E4" w14:textId="77777777" w:rsidR="00AB205D" w:rsidRPr="00174DB6"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1161" w:type="dxa"/>
          </w:tcPr>
          <w:p w14:paraId="38206590" w14:textId="77777777" w:rsidR="00AB205D" w:rsidRPr="00174DB6"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42" w:type="dxa"/>
          </w:tcPr>
          <w:p w14:paraId="4DE50AC5" w14:textId="77777777" w:rsidR="00AB205D" w:rsidRPr="00174DB6"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680" w:type="dxa"/>
          </w:tcPr>
          <w:p w14:paraId="66DB1004" w14:textId="77777777" w:rsidR="00AB205D" w:rsidRPr="00174DB6" w:rsidRDefault="00AB205D">
            <w:pPr>
              <w:cnfStyle w:val="000000000000" w:firstRow="0" w:lastRow="0" w:firstColumn="0" w:lastColumn="0" w:oddVBand="0" w:evenVBand="0" w:oddHBand="0" w:evenHBand="0" w:firstRowFirstColumn="0" w:firstRowLastColumn="0" w:lastRowFirstColumn="0" w:lastRowLastColumn="0"/>
              <w:rPr>
                <w:szCs w:val="17"/>
              </w:rPr>
            </w:pPr>
          </w:p>
        </w:tc>
      </w:tr>
      <w:tr w:rsidR="009C6724" w:rsidRPr="00174DB6" w14:paraId="117FD18F" w14:textId="77777777" w:rsidTr="009C6724">
        <w:tc>
          <w:tcPr>
            <w:cnfStyle w:val="001000000000" w:firstRow="0" w:lastRow="0" w:firstColumn="1" w:lastColumn="0" w:oddVBand="0" w:evenVBand="0" w:oddHBand="0" w:evenHBand="0" w:firstRowFirstColumn="0" w:firstRowLastColumn="0" w:lastRowFirstColumn="0" w:lastRowLastColumn="0"/>
            <w:tcW w:w="3080" w:type="dxa"/>
            <w:gridSpan w:val="2"/>
          </w:tcPr>
          <w:p w14:paraId="5C0D1835" w14:textId="77777777" w:rsidR="00AB205D" w:rsidRPr="00174DB6" w:rsidRDefault="00471A3B">
            <w:pPr>
              <w:spacing w:after="0"/>
              <w:rPr>
                <w:szCs w:val="17"/>
              </w:rPr>
            </w:pPr>
            <w:r w:rsidRPr="00174DB6">
              <w:rPr>
                <w:szCs w:val="17"/>
              </w:rPr>
              <w:t>Balance at 1 July 2023</w:t>
            </w:r>
          </w:p>
        </w:tc>
        <w:tc>
          <w:tcPr>
            <w:tcW w:w="1008" w:type="dxa"/>
          </w:tcPr>
          <w:p w14:paraId="7D669A2B"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69 741</w:t>
            </w:r>
          </w:p>
        </w:tc>
        <w:tc>
          <w:tcPr>
            <w:tcW w:w="1162" w:type="dxa"/>
          </w:tcPr>
          <w:p w14:paraId="6435598E"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151 941</w:t>
            </w:r>
          </w:p>
        </w:tc>
        <w:tc>
          <w:tcPr>
            <w:tcW w:w="1161" w:type="dxa"/>
          </w:tcPr>
          <w:p w14:paraId="6DB99930"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15 243</w:t>
            </w:r>
          </w:p>
        </w:tc>
        <w:tc>
          <w:tcPr>
            <w:tcW w:w="742" w:type="dxa"/>
          </w:tcPr>
          <w:p w14:paraId="0436C944"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2 082</w:t>
            </w:r>
          </w:p>
        </w:tc>
        <w:tc>
          <w:tcPr>
            <w:tcW w:w="680" w:type="dxa"/>
          </w:tcPr>
          <w:p w14:paraId="44D3EEE0"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239 008</w:t>
            </w:r>
          </w:p>
        </w:tc>
      </w:tr>
      <w:tr w:rsidR="009C6724" w:rsidRPr="00174DB6" w14:paraId="62A172FD" w14:textId="77777777" w:rsidTr="009C6724">
        <w:tc>
          <w:tcPr>
            <w:cnfStyle w:val="001000000000" w:firstRow="0" w:lastRow="0" w:firstColumn="1" w:lastColumn="0" w:oddVBand="0" w:evenVBand="0" w:oddHBand="0" w:evenHBand="0" w:firstRowFirstColumn="0" w:firstRowLastColumn="0" w:lastRowFirstColumn="0" w:lastRowLastColumn="0"/>
            <w:tcW w:w="3080" w:type="dxa"/>
            <w:gridSpan w:val="2"/>
          </w:tcPr>
          <w:p w14:paraId="6F9707AE" w14:textId="77777777" w:rsidR="00AB205D" w:rsidRPr="00174DB6" w:rsidRDefault="00471A3B">
            <w:pPr>
              <w:spacing w:after="0"/>
              <w:rPr>
                <w:szCs w:val="17"/>
              </w:rPr>
            </w:pPr>
            <w:r w:rsidRPr="00174DB6">
              <w:rPr>
                <w:szCs w:val="17"/>
              </w:rPr>
              <w:t>Net result for the year</w:t>
            </w:r>
          </w:p>
        </w:tc>
        <w:tc>
          <w:tcPr>
            <w:tcW w:w="1008" w:type="dxa"/>
          </w:tcPr>
          <w:p w14:paraId="100E88E9"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(5 859)</w:t>
            </w:r>
          </w:p>
        </w:tc>
        <w:tc>
          <w:tcPr>
            <w:tcW w:w="1162" w:type="dxa"/>
          </w:tcPr>
          <w:p w14:paraId="18A71F4D"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1161" w:type="dxa"/>
          </w:tcPr>
          <w:p w14:paraId="5E68797B"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742" w:type="dxa"/>
          </w:tcPr>
          <w:p w14:paraId="69093979"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680" w:type="dxa"/>
          </w:tcPr>
          <w:p w14:paraId="21EED656"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(5 859)</w:t>
            </w:r>
          </w:p>
        </w:tc>
      </w:tr>
      <w:tr w:rsidR="009C6724" w:rsidRPr="00174DB6" w14:paraId="71543752" w14:textId="77777777" w:rsidTr="009C6724">
        <w:tc>
          <w:tcPr>
            <w:cnfStyle w:val="001000000000" w:firstRow="0" w:lastRow="0" w:firstColumn="1" w:lastColumn="0" w:oddVBand="0" w:evenVBand="0" w:oddHBand="0" w:evenHBand="0" w:firstRowFirstColumn="0" w:firstRowLastColumn="0" w:lastRowFirstColumn="0" w:lastRowLastColumn="0"/>
            <w:tcW w:w="3080" w:type="dxa"/>
            <w:gridSpan w:val="2"/>
          </w:tcPr>
          <w:p w14:paraId="66C53444" w14:textId="77777777" w:rsidR="00AB205D" w:rsidRPr="00174DB6" w:rsidRDefault="00471A3B">
            <w:pPr>
              <w:spacing w:after="0"/>
              <w:rPr>
                <w:szCs w:val="17"/>
              </w:rPr>
            </w:pPr>
            <w:r w:rsidRPr="00174DB6">
              <w:rPr>
                <w:szCs w:val="17"/>
              </w:rPr>
              <w:t>Other comprehensive income for the year</w:t>
            </w:r>
          </w:p>
        </w:tc>
        <w:tc>
          <w:tcPr>
            <w:tcW w:w="1008" w:type="dxa"/>
          </w:tcPr>
          <w:p w14:paraId="3673052C"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840</w:t>
            </w:r>
          </w:p>
        </w:tc>
        <w:tc>
          <w:tcPr>
            <w:tcW w:w="1162" w:type="dxa"/>
          </w:tcPr>
          <w:p w14:paraId="759A351C"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1 041</w:t>
            </w:r>
          </w:p>
        </w:tc>
        <w:tc>
          <w:tcPr>
            <w:tcW w:w="1161" w:type="dxa"/>
          </w:tcPr>
          <w:p w14:paraId="37F461FE"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(694)</w:t>
            </w:r>
          </w:p>
        </w:tc>
        <w:tc>
          <w:tcPr>
            <w:tcW w:w="742" w:type="dxa"/>
          </w:tcPr>
          <w:p w14:paraId="356019A0"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18</w:t>
            </w:r>
          </w:p>
        </w:tc>
        <w:tc>
          <w:tcPr>
            <w:tcW w:w="680" w:type="dxa"/>
          </w:tcPr>
          <w:p w14:paraId="42C3EC7C"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1 206</w:t>
            </w:r>
          </w:p>
        </w:tc>
      </w:tr>
      <w:tr w:rsidR="009C6724" w:rsidRPr="00174DB6" w14:paraId="06044A28" w14:textId="77777777" w:rsidTr="009C6724">
        <w:tc>
          <w:tcPr>
            <w:cnfStyle w:val="001000000000" w:firstRow="0" w:lastRow="0" w:firstColumn="1" w:lastColumn="0" w:oddVBand="0" w:evenVBand="0" w:oddHBand="0" w:evenHBand="0" w:firstRowFirstColumn="0" w:firstRowLastColumn="0" w:lastRowFirstColumn="0" w:lastRowLastColumn="0"/>
            <w:tcW w:w="3080" w:type="dxa"/>
            <w:gridSpan w:val="2"/>
          </w:tcPr>
          <w:p w14:paraId="46DB42AB" w14:textId="77777777" w:rsidR="00AB205D" w:rsidRPr="00174DB6" w:rsidRDefault="00471A3B">
            <w:pPr>
              <w:spacing w:after="0"/>
              <w:rPr>
                <w:szCs w:val="17"/>
              </w:rPr>
            </w:pPr>
            <w:r w:rsidRPr="00174DB6">
              <w:rPr>
                <w:szCs w:val="17"/>
              </w:rPr>
              <w:t>Transfer to/(from) accumulated surplus</w:t>
            </w:r>
          </w:p>
        </w:tc>
        <w:tc>
          <w:tcPr>
            <w:tcW w:w="1008" w:type="dxa"/>
          </w:tcPr>
          <w:p w14:paraId="649979F4"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1162" w:type="dxa"/>
          </w:tcPr>
          <w:p w14:paraId="6EE86BB1"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1161" w:type="dxa"/>
          </w:tcPr>
          <w:p w14:paraId="65784E46"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742" w:type="dxa"/>
          </w:tcPr>
          <w:p w14:paraId="535FBFB3"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680" w:type="dxa"/>
          </w:tcPr>
          <w:p w14:paraId="1B4A21ED"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r>
      <w:tr w:rsidR="009C6724" w:rsidRPr="00174DB6" w14:paraId="71453BD6" w14:textId="77777777" w:rsidTr="009C6724">
        <w:tc>
          <w:tcPr>
            <w:cnfStyle w:val="001000000000" w:firstRow="0" w:lastRow="0" w:firstColumn="1" w:lastColumn="0" w:oddVBand="0" w:evenVBand="0" w:oddHBand="0" w:evenHBand="0" w:firstRowFirstColumn="0" w:firstRowLastColumn="0" w:lastRowFirstColumn="0" w:lastRowLastColumn="0"/>
            <w:tcW w:w="3080" w:type="dxa"/>
            <w:gridSpan w:val="2"/>
            <w:tcBorders>
              <w:top w:val="single" w:sz="6" w:space="0" w:color="auto"/>
              <w:bottom w:val="single" w:sz="6" w:space="0" w:color="auto"/>
            </w:tcBorders>
          </w:tcPr>
          <w:p w14:paraId="6D9D97D3" w14:textId="77777777" w:rsidR="00AB205D" w:rsidRPr="00174DB6" w:rsidRDefault="00471A3B">
            <w:pPr>
              <w:spacing w:after="0"/>
              <w:rPr>
                <w:szCs w:val="17"/>
              </w:rPr>
            </w:pPr>
            <w:r w:rsidRPr="00174DB6">
              <w:rPr>
                <w:b/>
                <w:szCs w:val="17"/>
              </w:rPr>
              <w:t>Total equity as at 30 June 2024</w:t>
            </w:r>
          </w:p>
        </w:tc>
        <w:tc>
          <w:tcPr>
            <w:tcW w:w="1008" w:type="dxa"/>
            <w:tcBorders>
              <w:top w:val="single" w:sz="6" w:space="0" w:color="auto"/>
              <w:bottom w:val="single" w:sz="6" w:space="0" w:color="auto"/>
            </w:tcBorders>
          </w:tcPr>
          <w:p w14:paraId="51D67BCD"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64 722</w:t>
            </w:r>
          </w:p>
        </w:tc>
        <w:tc>
          <w:tcPr>
            <w:tcW w:w="1162" w:type="dxa"/>
            <w:tcBorders>
              <w:top w:val="single" w:sz="6" w:space="0" w:color="auto"/>
              <w:bottom w:val="single" w:sz="6" w:space="0" w:color="auto"/>
            </w:tcBorders>
          </w:tcPr>
          <w:p w14:paraId="2C5854F2"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152 983</w:t>
            </w:r>
          </w:p>
        </w:tc>
        <w:tc>
          <w:tcPr>
            <w:tcW w:w="1161" w:type="dxa"/>
            <w:tcBorders>
              <w:top w:val="single" w:sz="6" w:space="0" w:color="auto"/>
              <w:bottom w:val="single" w:sz="6" w:space="0" w:color="auto"/>
            </w:tcBorders>
          </w:tcPr>
          <w:p w14:paraId="53BF89DA"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14 550</w:t>
            </w:r>
          </w:p>
        </w:tc>
        <w:tc>
          <w:tcPr>
            <w:tcW w:w="742" w:type="dxa"/>
            <w:tcBorders>
              <w:top w:val="single" w:sz="6" w:space="0" w:color="auto"/>
              <w:bottom w:val="single" w:sz="6" w:space="0" w:color="auto"/>
            </w:tcBorders>
          </w:tcPr>
          <w:p w14:paraId="76184409"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2 100</w:t>
            </w:r>
          </w:p>
        </w:tc>
        <w:tc>
          <w:tcPr>
            <w:tcW w:w="680" w:type="dxa"/>
            <w:tcBorders>
              <w:top w:val="single" w:sz="6" w:space="0" w:color="auto"/>
              <w:bottom w:val="single" w:sz="6" w:space="0" w:color="auto"/>
            </w:tcBorders>
          </w:tcPr>
          <w:p w14:paraId="1BF7174A"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234 355</w:t>
            </w:r>
          </w:p>
        </w:tc>
      </w:tr>
      <w:tr w:rsidR="009C6724" w:rsidRPr="00174DB6" w14:paraId="6C4ECCB2" w14:textId="77777777" w:rsidTr="009C6724">
        <w:tc>
          <w:tcPr>
            <w:cnfStyle w:val="001000000000" w:firstRow="0" w:lastRow="0" w:firstColumn="1" w:lastColumn="0" w:oddVBand="0" w:evenVBand="0" w:oddHBand="0" w:evenHBand="0" w:firstRowFirstColumn="0" w:firstRowLastColumn="0" w:lastRowFirstColumn="0" w:lastRowLastColumn="0"/>
            <w:tcW w:w="3080" w:type="dxa"/>
            <w:gridSpan w:val="2"/>
            <w:tcBorders>
              <w:top w:val="single" w:sz="6" w:space="0" w:color="auto"/>
            </w:tcBorders>
          </w:tcPr>
          <w:p w14:paraId="0815654D" w14:textId="77777777" w:rsidR="00AB205D" w:rsidRPr="00174DB6" w:rsidRDefault="00471A3B">
            <w:pPr>
              <w:spacing w:after="0"/>
              <w:rPr>
                <w:szCs w:val="17"/>
              </w:rPr>
            </w:pPr>
            <w:r w:rsidRPr="00174DB6">
              <w:rPr>
                <w:b/>
                <w:szCs w:val="17"/>
              </w:rPr>
              <w:t>2023</w:t>
            </w:r>
            <w:r w:rsidRPr="00174DB6">
              <w:rPr>
                <w:b/>
                <w:szCs w:val="17"/>
              </w:rPr>
              <w:noBreakHyphen/>
              <w:t>24 revised</w:t>
            </w:r>
          </w:p>
        </w:tc>
        <w:tc>
          <w:tcPr>
            <w:tcW w:w="1008" w:type="dxa"/>
            <w:tcBorders>
              <w:top w:val="single" w:sz="6" w:space="0" w:color="auto"/>
            </w:tcBorders>
          </w:tcPr>
          <w:p w14:paraId="37DBE575" w14:textId="77777777" w:rsidR="00AB205D" w:rsidRPr="00174DB6"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1162" w:type="dxa"/>
            <w:tcBorders>
              <w:top w:val="single" w:sz="6" w:space="0" w:color="auto"/>
            </w:tcBorders>
          </w:tcPr>
          <w:p w14:paraId="09FE92F9" w14:textId="77777777" w:rsidR="00AB205D" w:rsidRPr="00174DB6"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1161" w:type="dxa"/>
            <w:tcBorders>
              <w:top w:val="single" w:sz="6" w:space="0" w:color="auto"/>
            </w:tcBorders>
          </w:tcPr>
          <w:p w14:paraId="0659094B" w14:textId="77777777" w:rsidR="00AB205D" w:rsidRPr="00174DB6"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42" w:type="dxa"/>
            <w:tcBorders>
              <w:top w:val="single" w:sz="6" w:space="0" w:color="auto"/>
            </w:tcBorders>
          </w:tcPr>
          <w:p w14:paraId="20C62384" w14:textId="77777777" w:rsidR="00AB205D" w:rsidRPr="00174DB6"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680" w:type="dxa"/>
            <w:tcBorders>
              <w:top w:val="single" w:sz="6" w:space="0" w:color="auto"/>
            </w:tcBorders>
          </w:tcPr>
          <w:p w14:paraId="6C4D4B4D" w14:textId="77777777" w:rsidR="00AB205D" w:rsidRPr="00174DB6" w:rsidRDefault="00AB205D">
            <w:pPr>
              <w:cnfStyle w:val="000000000000" w:firstRow="0" w:lastRow="0" w:firstColumn="0" w:lastColumn="0" w:oddVBand="0" w:evenVBand="0" w:oddHBand="0" w:evenHBand="0" w:firstRowFirstColumn="0" w:firstRowLastColumn="0" w:lastRowFirstColumn="0" w:lastRowLastColumn="0"/>
              <w:rPr>
                <w:szCs w:val="17"/>
              </w:rPr>
            </w:pPr>
          </w:p>
        </w:tc>
      </w:tr>
      <w:tr w:rsidR="009C6724" w:rsidRPr="00174DB6" w14:paraId="5E6C13B3" w14:textId="77777777" w:rsidTr="009C6724">
        <w:tc>
          <w:tcPr>
            <w:cnfStyle w:val="001000000000" w:firstRow="0" w:lastRow="0" w:firstColumn="1" w:lastColumn="0" w:oddVBand="0" w:evenVBand="0" w:oddHBand="0" w:evenHBand="0" w:firstRowFirstColumn="0" w:firstRowLastColumn="0" w:lastRowFirstColumn="0" w:lastRowLastColumn="0"/>
            <w:tcW w:w="3080" w:type="dxa"/>
            <w:gridSpan w:val="2"/>
          </w:tcPr>
          <w:p w14:paraId="260FAF18" w14:textId="77777777" w:rsidR="00AB205D" w:rsidRPr="00174DB6" w:rsidRDefault="00471A3B">
            <w:pPr>
              <w:spacing w:after="0"/>
              <w:rPr>
                <w:szCs w:val="17"/>
              </w:rPr>
            </w:pPr>
            <w:r w:rsidRPr="00174DB6">
              <w:rPr>
                <w:szCs w:val="17"/>
              </w:rPr>
              <w:t>Balance at 1 July 2023</w:t>
            </w:r>
          </w:p>
        </w:tc>
        <w:tc>
          <w:tcPr>
            <w:tcW w:w="1008" w:type="dxa"/>
          </w:tcPr>
          <w:p w14:paraId="42BCEAE2"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69 741</w:t>
            </w:r>
          </w:p>
        </w:tc>
        <w:tc>
          <w:tcPr>
            <w:tcW w:w="1162" w:type="dxa"/>
          </w:tcPr>
          <w:p w14:paraId="648BBEA9"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151 941</w:t>
            </w:r>
          </w:p>
        </w:tc>
        <w:tc>
          <w:tcPr>
            <w:tcW w:w="1161" w:type="dxa"/>
          </w:tcPr>
          <w:p w14:paraId="601E3C13"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15 243</w:t>
            </w:r>
          </w:p>
        </w:tc>
        <w:tc>
          <w:tcPr>
            <w:tcW w:w="742" w:type="dxa"/>
          </w:tcPr>
          <w:p w14:paraId="02F38736"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2 082</w:t>
            </w:r>
          </w:p>
        </w:tc>
        <w:tc>
          <w:tcPr>
            <w:tcW w:w="680" w:type="dxa"/>
          </w:tcPr>
          <w:p w14:paraId="5396E215"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239 008</w:t>
            </w:r>
          </w:p>
        </w:tc>
      </w:tr>
      <w:tr w:rsidR="009C6724" w:rsidRPr="00174DB6" w14:paraId="7A7AAC5F" w14:textId="77777777" w:rsidTr="009C6724">
        <w:tc>
          <w:tcPr>
            <w:cnfStyle w:val="001000000000" w:firstRow="0" w:lastRow="0" w:firstColumn="1" w:lastColumn="0" w:oddVBand="0" w:evenVBand="0" w:oddHBand="0" w:evenHBand="0" w:firstRowFirstColumn="0" w:firstRowLastColumn="0" w:lastRowFirstColumn="0" w:lastRowLastColumn="0"/>
            <w:tcW w:w="3080" w:type="dxa"/>
            <w:gridSpan w:val="2"/>
          </w:tcPr>
          <w:p w14:paraId="733CA339" w14:textId="77777777" w:rsidR="00AB205D" w:rsidRPr="00174DB6" w:rsidRDefault="00471A3B">
            <w:pPr>
              <w:spacing w:after="0"/>
              <w:rPr>
                <w:szCs w:val="17"/>
              </w:rPr>
            </w:pPr>
            <w:r w:rsidRPr="00174DB6">
              <w:rPr>
                <w:szCs w:val="17"/>
              </w:rPr>
              <w:t>Net result for the year</w:t>
            </w:r>
          </w:p>
        </w:tc>
        <w:tc>
          <w:tcPr>
            <w:tcW w:w="1008" w:type="dxa"/>
          </w:tcPr>
          <w:p w14:paraId="784EC2CE"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(5 843)</w:t>
            </w:r>
          </w:p>
        </w:tc>
        <w:tc>
          <w:tcPr>
            <w:tcW w:w="1162" w:type="dxa"/>
          </w:tcPr>
          <w:p w14:paraId="009457D8"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1161" w:type="dxa"/>
          </w:tcPr>
          <w:p w14:paraId="55FAA873"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742" w:type="dxa"/>
          </w:tcPr>
          <w:p w14:paraId="0C1D195A"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680" w:type="dxa"/>
          </w:tcPr>
          <w:p w14:paraId="53623AE8"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(5 843)</w:t>
            </w:r>
          </w:p>
        </w:tc>
      </w:tr>
      <w:tr w:rsidR="009C6724" w:rsidRPr="00174DB6" w14:paraId="1FCA6ACC" w14:textId="77777777" w:rsidTr="009C6724">
        <w:tc>
          <w:tcPr>
            <w:cnfStyle w:val="001000000000" w:firstRow="0" w:lastRow="0" w:firstColumn="1" w:lastColumn="0" w:oddVBand="0" w:evenVBand="0" w:oddHBand="0" w:evenHBand="0" w:firstRowFirstColumn="0" w:firstRowLastColumn="0" w:lastRowFirstColumn="0" w:lastRowLastColumn="0"/>
            <w:tcW w:w="3080" w:type="dxa"/>
            <w:gridSpan w:val="2"/>
          </w:tcPr>
          <w:p w14:paraId="4F33AD66" w14:textId="77777777" w:rsidR="00AB205D" w:rsidRPr="00174DB6" w:rsidRDefault="00471A3B">
            <w:pPr>
              <w:spacing w:after="0"/>
              <w:rPr>
                <w:szCs w:val="17"/>
              </w:rPr>
            </w:pPr>
            <w:r w:rsidRPr="00174DB6">
              <w:rPr>
                <w:szCs w:val="17"/>
              </w:rPr>
              <w:t>Other comprehensive income for the year</w:t>
            </w:r>
          </w:p>
        </w:tc>
        <w:tc>
          <w:tcPr>
            <w:tcW w:w="1008" w:type="dxa"/>
          </w:tcPr>
          <w:p w14:paraId="0C9009AF"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2 630</w:t>
            </w:r>
          </w:p>
        </w:tc>
        <w:tc>
          <w:tcPr>
            <w:tcW w:w="1162" w:type="dxa"/>
          </w:tcPr>
          <w:p w14:paraId="0CD03A12"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549</w:t>
            </w:r>
          </w:p>
        </w:tc>
        <w:tc>
          <w:tcPr>
            <w:tcW w:w="1161" w:type="dxa"/>
          </w:tcPr>
          <w:p w14:paraId="2B50808F"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652</w:t>
            </w:r>
          </w:p>
        </w:tc>
        <w:tc>
          <w:tcPr>
            <w:tcW w:w="742" w:type="dxa"/>
          </w:tcPr>
          <w:p w14:paraId="4A60B462"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52</w:t>
            </w:r>
          </w:p>
        </w:tc>
        <w:tc>
          <w:tcPr>
            <w:tcW w:w="680" w:type="dxa"/>
          </w:tcPr>
          <w:p w14:paraId="7AF4E38C"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3 882</w:t>
            </w:r>
          </w:p>
        </w:tc>
      </w:tr>
      <w:tr w:rsidR="009C6724" w:rsidRPr="00174DB6" w14:paraId="0BF7737D" w14:textId="77777777" w:rsidTr="009C6724">
        <w:tc>
          <w:tcPr>
            <w:cnfStyle w:val="001000000000" w:firstRow="0" w:lastRow="0" w:firstColumn="1" w:lastColumn="0" w:oddVBand="0" w:evenVBand="0" w:oddHBand="0" w:evenHBand="0" w:firstRowFirstColumn="0" w:firstRowLastColumn="0" w:lastRowFirstColumn="0" w:lastRowLastColumn="0"/>
            <w:tcW w:w="3080" w:type="dxa"/>
            <w:gridSpan w:val="2"/>
          </w:tcPr>
          <w:p w14:paraId="336FCE2E" w14:textId="77777777" w:rsidR="00AB205D" w:rsidRPr="00174DB6" w:rsidRDefault="00471A3B">
            <w:pPr>
              <w:spacing w:after="0"/>
              <w:rPr>
                <w:szCs w:val="17"/>
              </w:rPr>
            </w:pPr>
            <w:r w:rsidRPr="00174DB6">
              <w:rPr>
                <w:szCs w:val="17"/>
              </w:rPr>
              <w:t>Transfer to/(from) accumulated surplus</w:t>
            </w:r>
          </w:p>
        </w:tc>
        <w:tc>
          <w:tcPr>
            <w:tcW w:w="1008" w:type="dxa"/>
          </w:tcPr>
          <w:p w14:paraId="63458BC8"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1162" w:type="dxa"/>
          </w:tcPr>
          <w:p w14:paraId="7E106606"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1161" w:type="dxa"/>
          </w:tcPr>
          <w:p w14:paraId="5626E35F"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742" w:type="dxa"/>
          </w:tcPr>
          <w:p w14:paraId="2CEDA2A2"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680" w:type="dxa"/>
          </w:tcPr>
          <w:p w14:paraId="3384E2A4"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r>
      <w:tr w:rsidR="009C6724" w:rsidRPr="00174DB6" w14:paraId="123EA0A4" w14:textId="77777777" w:rsidTr="009C6724">
        <w:tc>
          <w:tcPr>
            <w:cnfStyle w:val="001000000000" w:firstRow="0" w:lastRow="0" w:firstColumn="1" w:lastColumn="0" w:oddVBand="0" w:evenVBand="0" w:oddHBand="0" w:evenHBand="0" w:firstRowFirstColumn="0" w:firstRowLastColumn="0" w:lastRowFirstColumn="0" w:lastRowLastColumn="0"/>
            <w:tcW w:w="3080" w:type="dxa"/>
            <w:gridSpan w:val="2"/>
            <w:tcBorders>
              <w:top w:val="single" w:sz="6" w:space="0" w:color="auto"/>
              <w:bottom w:val="single" w:sz="6" w:space="0" w:color="auto"/>
            </w:tcBorders>
          </w:tcPr>
          <w:p w14:paraId="2F1647F2" w14:textId="77777777" w:rsidR="00AB205D" w:rsidRPr="00174DB6" w:rsidRDefault="00471A3B">
            <w:pPr>
              <w:spacing w:after="0"/>
              <w:rPr>
                <w:szCs w:val="17"/>
              </w:rPr>
            </w:pPr>
            <w:r w:rsidRPr="00174DB6">
              <w:rPr>
                <w:b/>
                <w:szCs w:val="17"/>
              </w:rPr>
              <w:t>Total equity as at 30 June 2024</w:t>
            </w:r>
          </w:p>
        </w:tc>
        <w:tc>
          <w:tcPr>
            <w:tcW w:w="1008" w:type="dxa"/>
            <w:tcBorders>
              <w:top w:val="single" w:sz="6" w:space="0" w:color="auto"/>
              <w:bottom w:val="single" w:sz="6" w:space="0" w:color="auto"/>
            </w:tcBorders>
          </w:tcPr>
          <w:p w14:paraId="04D2D7F9"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66 528</w:t>
            </w:r>
          </w:p>
        </w:tc>
        <w:tc>
          <w:tcPr>
            <w:tcW w:w="1162" w:type="dxa"/>
            <w:tcBorders>
              <w:top w:val="single" w:sz="6" w:space="0" w:color="auto"/>
              <w:bottom w:val="single" w:sz="6" w:space="0" w:color="auto"/>
            </w:tcBorders>
          </w:tcPr>
          <w:p w14:paraId="27B422C2"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152 491</w:t>
            </w:r>
          </w:p>
        </w:tc>
        <w:tc>
          <w:tcPr>
            <w:tcW w:w="1161" w:type="dxa"/>
            <w:tcBorders>
              <w:top w:val="single" w:sz="6" w:space="0" w:color="auto"/>
              <w:bottom w:val="single" w:sz="6" w:space="0" w:color="auto"/>
            </w:tcBorders>
          </w:tcPr>
          <w:p w14:paraId="44A621E7"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15 895</w:t>
            </w:r>
          </w:p>
        </w:tc>
        <w:tc>
          <w:tcPr>
            <w:tcW w:w="742" w:type="dxa"/>
            <w:tcBorders>
              <w:top w:val="single" w:sz="6" w:space="0" w:color="auto"/>
              <w:bottom w:val="single" w:sz="6" w:space="0" w:color="auto"/>
            </w:tcBorders>
          </w:tcPr>
          <w:p w14:paraId="346F61F3"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2 134</w:t>
            </w:r>
          </w:p>
        </w:tc>
        <w:tc>
          <w:tcPr>
            <w:tcW w:w="680" w:type="dxa"/>
            <w:tcBorders>
              <w:top w:val="single" w:sz="6" w:space="0" w:color="auto"/>
              <w:bottom w:val="single" w:sz="6" w:space="0" w:color="auto"/>
            </w:tcBorders>
          </w:tcPr>
          <w:p w14:paraId="300D889C"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237 048</w:t>
            </w:r>
          </w:p>
        </w:tc>
      </w:tr>
      <w:tr w:rsidR="009C6724" w:rsidRPr="00174DB6" w14:paraId="18841C05" w14:textId="77777777" w:rsidTr="009C6724">
        <w:tc>
          <w:tcPr>
            <w:cnfStyle w:val="001000000000" w:firstRow="0" w:lastRow="0" w:firstColumn="1" w:lastColumn="0" w:oddVBand="0" w:evenVBand="0" w:oddHBand="0" w:evenHBand="0" w:firstRowFirstColumn="0" w:firstRowLastColumn="0" w:lastRowFirstColumn="0" w:lastRowLastColumn="0"/>
            <w:tcW w:w="3080" w:type="dxa"/>
            <w:gridSpan w:val="2"/>
            <w:tcBorders>
              <w:top w:val="single" w:sz="6" w:space="0" w:color="auto"/>
            </w:tcBorders>
          </w:tcPr>
          <w:p w14:paraId="07A57080" w14:textId="77777777" w:rsidR="00AB205D" w:rsidRPr="00174DB6" w:rsidRDefault="00471A3B">
            <w:pPr>
              <w:spacing w:after="0"/>
              <w:rPr>
                <w:szCs w:val="17"/>
              </w:rPr>
            </w:pPr>
            <w:r w:rsidRPr="00174DB6">
              <w:rPr>
                <w:b/>
                <w:szCs w:val="17"/>
              </w:rPr>
              <w:t>2024</w:t>
            </w:r>
            <w:r w:rsidRPr="00174DB6">
              <w:rPr>
                <w:b/>
                <w:szCs w:val="17"/>
              </w:rPr>
              <w:noBreakHyphen/>
              <w:t>25 estimate</w:t>
            </w:r>
          </w:p>
        </w:tc>
        <w:tc>
          <w:tcPr>
            <w:tcW w:w="1008" w:type="dxa"/>
            <w:tcBorders>
              <w:top w:val="single" w:sz="6" w:space="0" w:color="auto"/>
            </w:tcBorders>
          </w:tcPr>
          <w:p w14:paraId="70D98576" w14:textId="77777777" w:rsidR="00AB205D" w:rsidRPr="00174DB6"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1162" w:type="dxa"/>
            <w:tcBorders>
              <w:top w:val="single" w:sz="6" w:space="0" w:color="auto"/>
            </w:tcBorders>
          </w:tcPr>
          <w:p w14:paraId="63E1EB16" w14:textId="77777777" w:rsidR="00AB205D" w:rsidRPr="00174DB6"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1161" w:type="dxa"/>
            <w:tcBorders>
              <w:top w:val="single" w:sz="6" w:space="0" w:color="auto"/>
            </w:tcBorders>
          </w:tcPr>
          <w:p w14:paraId="6D04A87F" w14:textId="77777777" w:rsidR="00AB205D" w:rsidRPr="00174DB6"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42" w:type="dxa"/>
            <w:tcBorders>
              <w:top w:val="single" w:sz="6" w:space="0" w:color="auto"/>
            </w:tcBorders>
          </w:tcPr>
          <w:p w14:paraId="66C0F37D" w14:textId="77777777" w:rsidR="00AB205D" w:rsidRPr="00174DB6"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680" w:type="dxa"/>
            <w:tcBorders>
              <w:top w:val="single" w:sz="6" w:space="0" w:color="auto"/>
            </w:tcBorders>
          </w:tcPr>
          <w:p w14:paraId="1349FD38" w14:textId="77777777" w:rsidR="00AB205D" w:rsidRPr="00174DB6" w:rsidRDefault="00AB205D">
            <w:pPr>
              <w:cnfStyle w:val="000000000000" w:firstRow="0" w:lastRow="0" w:firstColumn="0" w:lastColumn="0" w:oddVBand="0" w:evenVBand="0" w:oddHBand="0" w:evenHBand="0" w:firstRowFirstColumn="0" w:firstRowLastColumn="0" w:lastRowFirstColumn="0" w:lastRowLastColumn="0"/>
              <w:rPr>
                <w:szCs w:val="17"/>
              </w:rPr>
            </w:pPr>
          </w:p>
        </w:tc>
      </w:tr>
      <w:tr w:rsidR="009C6724" w:rsidRPr="00174DB6" w14:paraId="133F3FB9" w14:textId="77777777" w:rsidTr="009C6724">
        <w:tc>
          <w:tcPr>
            <w:cnfStyle w:val="001000000000" w:firstRow="0" w:lastRow="0" w:firstColumn="1" w:lastColumn="0" w:oddVBand="0" w:evenVBand="0" w:oddHBand="0" w:evenHBand="0" w:firstRowFirstColumn="0" w:firstRowLastColumn="0" w:lastRowFirstColumn="0" w:lastRowLastColumn="0"/>
            <w:tcW w:w="3080" w:type="dxa"/>
            <w:gridSpan w:val="2"/>
          </w:tcPr>
          <w:p w14:paraId="1F33BB05" w14:textId="77777777" w:rsidR="00AB205D" w:rsidRPr="00174DB6" w:rsidRDefault="00471A3B">
            <w:pPr>
              <w:spacing w:after="0"/>
              <w:rPr>
                <w:szCs w:val="17"/>
              </w:rPr>
            </w:pPr>
            <w:r w:rsidRPr="00174DB6">
              <w:rPr>
                <w:szCs w:val="17"/>
              </w:rPr>
              <w:t>Balance at 1 July 2024</w:t>
            </w:r>
          </w:p>
        </w:tc>
        <w:tc>
          <w:tcPr>
            <w:tcW w:w="1008" w:type="dxa"/>
          </w:tcPr>
          <w:p w14:paraId="1E9A6212"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66 528</w:t>
            </w:r>
          </w:p>
        </w:tc>
        <w:tc>
          <w:tcPr>
            <w:tcW w:w="1162" w:type="dxa"/>
          </w:tcPr>
          <w:p w14:paraId="23B1094F"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152 491</w:t>
            </w:r>
          </w:p>
        </w:tc>
        <w:tc>
          <w:tcPr>
            <w:tcW w:w="1161" w:type="dxa"/>
          </w:tcPr>
          <w:p w14:paraId="59BEDB16"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15 895</w:t>
            </w:r>
          </w:p>
        </w:tc>
        <w:tc>
          <w:tcPr>
            <w:tcW w:w="742" w:type="dxa"/>
          </w:tcPr>
          <w:p w14:paraId="09E7CE76"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2 134</w:t>
            </w:r>
          </w:p>
        </w:tc>
        <w:tc>
          <w:tcPr>
            <w:tcW w:w="680" w:type="dxa"/>
          </w:tcPr>
          <w:p w14:paraId="1CE834D3"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237 048</w:t>
            </w:r>
          </w:p>
        </w:tc>
      </w:tr>
      <w:tr w:rsidR="009C6724" w:rsidRPr="00174DB6" w14:paraId="57CB31A4" w14:textId="77777777" w:rsidTr="009C6724">
        <w:tc>
          <w:tcPr>
            <w:cnfStyle w:val="001000000000" w:firstRow="0" w:lastRow="0" w:firstColumn="1" w:lastColumn="0" w:oddVBand="0" w:evenVBand="0" w:oddHBand="0" w:evenHBand="0" w:firstRowFirstColumn="0" w:firstRowLastColumn="0" w:lastRowFirstColumn="0" w:lastRowLastColumn="0"/>
            <w:tcW w:w="3080" w:type="dxa"/>
            <w:gridSpan w:val="2"/>
          </w:tcPr>
          <w:p w14:paraId="7C7C511A" w14:textId="77777777" w:rsidR="00AB205D" w:rsidRPr="00174DB6" w:rsidRDefault="00471A3B">
            <w:pPr>
              <w:spacing w:after="0"/>
              <w:rPr>
                <w:szCs w:val="17"/>
              </w:rPr>
            </w:pPr>
            <w:r w:rsidRPr="00174DB6">
              <w:rPr>
                <w:szCs w:val="17"/>
              </w:rPr>
              <w:t>Net result for the year</w:t>
            </w:r>
          </w:p>
        </w:tc>
        <w:tc>
          <w:tcPr>
            <w:tcW w:w="1008" w:type="dxa"/>
          </w:tcPr>
          <w:p w14:paraId="48405BCA"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(2 812)</w:t>
            </w:r>
          </w:p>
        </w:tc>
        <w:tc>
          <w:tcPr>
            <w:tcW w:w="1162" w:type="dxa"/>
          </w:tcPr>
          <w:p w14:paraId="680E2C46"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1161" w:type="dxa"/>
          </w:tcPr>
          <w:p w14:paraId="02C555BF"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742" w:type="dxa"/>
          </w:tcPr>
          <w:p w14:paraId="67772B78"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680" w:type="dxa"/>
          </w:tcPr>
          <w:p w14:paraId="61CB8571"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(2 812)</w:t>
            </w:r>
          </w:p>
        </w:tc>
      </w:tr>
      <w:tr w:rsidR="009C6724" w:rsidRPr="00174DB6" w14:paraId="22FFC9E2" w14:textId="77777777" w:rsidTr="009C6724">
        <w:tc>
          <w:tcPr>
            <w:cnfStyle w:val="001000000000" w:firstRow="0" w:lastRow="0" w:firstColumn="1" w:lastColumn="0" w:oddVBand="0" w:evenVBand="0" w:oddHBand="0" w:evenHBand="0" w:firstRowFirstColumn="0" w:firstRowLastColumn="0" w:lastRowFirstColumn="0" w:lastRowLastColumn="0"/>
            <w:tcW w:w="3080" w:type="dxa"/>
            <w:gridSpan w:val="2"/>
          </w:tcPr>
          <w:p w14:paraId="293C4881" w14:textId="77777777" w:rsidR="00AB205D" w:rsidRPr="00174DB6" w:rsidRDefault="00471A3B">
            <w:pPr>
              <w:spacing w:after="0"/>
              <w:rPr>
                <w:szCs w:val="17"/>
              </w:rPr>
            </w:pPr>
            <w:r w:rsidRPr="00174DB6">
              <w:rPr>
                <w:szCs w:val="17"/>
              </w:rPr>
              <w:t>Other comprehensive income for the year</w:t>
            </w:r>
          </w:p>
        </w:tc>
        <w:tc>
          <w:tcPr>
            <w:tcW w:w="1008" w:type="dxa"/>
          </w:tcPr>
          <w:p w14:paraId="08B6543C"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558</w:t>
            </w:r>
          </w:p>
        </w:tc>
        <w:tc>
          <w:tcPr>
            <w:tcW w:w="1162" w:type="dxa"/>
          </w:tcPr>
          <w:p w14:paraId="55CA2D54"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15 035</w:t>
            </w:r>
          </w:p>
        </w:tc>
        <w:tc>
          <w:tcPr>
            <w:tcW w:w="1161" w:type="dxa"/>
          </w:tcPr>
          <w:p w14:paraId="4839DDCF"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(412)</w:t>
            </w:r>
          </w:p>
        </w:tc>
        <w:tc>
          <w:tcPr>
            <w:tcW w:w="742" w:type="dxa"/>
          </w:tcPr>
          <w:p w14:paraId="6EFF366C"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26</w:t>
            </w:r>
          </w:p>
        </w:tc>
        <w:tc>
          <w:tcPr>
            <w:tcW w:w="680" w:type="dxa"/>
          </w:tcPr>
          <w:p w14:paraId="4FD7C079"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15 206</w:t>
            </w:r>
          </w:p>
        </w:tc>
      </w:tr>
      <w:tr w:rsidR="009C6724" w:rsidRPr="00174DB6" w14:paraId="5567466D" w14:textId="77777777" w:rsidTr="009C6724">
        <w:tc>
          <w:tcPr>
            <w:cnfStyle w:val="001000000000" w:firstRow="0" w:lastRow="0" w:firstColumn="1" w:lastColumn="0" w:oddVBand="0" w:evenVBand="0" w:oddHBand="0" w:evenHBand="0" w:firstRowFirstColumn="0" w:firstRowLastColumn="0" w:lastRowFirstColumn="0" w:lastRowLastColumn="0"/>
            <w:tcW w:w="3080" w:type="dxa"/>
            <w:gridSpan w:val="2"/>
          </w:tcPr>
          <w:p w14:paraId="49F0BA78" w14:textId="77777777" w:rsidR="00AB205D" w:rsidRPr="00174DB6" w:rsidRDefault="00471A3B">
            <w:pPr>
              <w:spacing w:after="0"/>
              <w:rPr>
                <w:szCs w:val="17"/>
              </w:rPr>
            </w:pPr>
            <w:r w:rsidRPr="00174DB6">
              <w:rPr>
                <w:szCs w:val="17"/>
              </w:rPr>
              <w:t>Transfer to/(from) accumulated surplus</w:t>
            </w:r>
          </w:p>
        </w:tc>
        <w:tc>
          <w:tcPr>
            <w:tcW w:w="1008" w:type="dxa"/>
          </w:tcPr>
          <w:p w14:paraId="332E5F7E"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1162" w:type="dxa"/>
          </w:tcPr>
          <w:p w14:paraId="15122CB5"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1161" w:type="dxa"/>
          </w:tcPr>
          <w:p w14:paraId="7549DD9D"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742" w:type="dxa"/>
          </w:tcPr>
          <w:p w14:paraId="2DC7C347"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680" w:type="dxa"/>
          </w:tcPr>
          <w:p w14:paraId="639B3C5A"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r>
      <w:tr w:rsidR="009C6724" w:rsidRPr="00174DB6" w14:paraId="56E2D7CF" w14:textId="77777777" w:rsidTr="009C6724">
        <w:tc>
          <w:tcPr>
            <w:cnfStyle w:val="001000000000" w:firstRow="0" w:lastRow="0" w:firstColumn="1" w:lastColumn="0" w:oddVBand="0" w:evenVBand="0" w:oddHBand="0" w:evenHBand="0" w:firstRowFirstColumn="0" w:firstRowLastColumn="0" w:lastRowFirstColumn="0" w:lastRowLastColumn="0"/>
            <w:tcW w:w="3080" w:type="dxa"/>
            <w:gridSpan w:val="2"/>
            <w:tcBorders>
              <w:top w:val="single" w:sz="6" w:space="0" w:color="auto"/>
              <w:bottom w:val="single" w:sz="6" w:space="0" w:color="auto"/>
            </w:tcBorders>
          </w:tcPr>
          <w:p w14:paraId="7605957E" w14:textId="77777777" w:rsidR="00AB205D" w:rsidRPr="00174DB6" w:rsidRDefault="00471A3B">
            <w:pPr>
              <w:spacing w:after="0"/>
              <w:rPr>
                <w:szCs w:val="17"/>
              </w:rPr>
            </w:pPr>
            <w:r w:rsidRPr="00174DB6">
              <w:rPr>
                <w:b/>
                <w:szCs w:val="17"/>
              </w:rPr>
              <w:t>Total equity as at 30 June 2025</w:t>
            </w:r>
          </w:p>
        </w:tc>
        <w:tc>
          <w:tcPr>
            <w:tcW w:w="1008" w:type="dxa"/>
            <w:tcBorders>
              <w:top w:val="single" w:sz="6" w:space="0" w:color="auto"/>
              <w:bottom w:val="single" w:sz="6" w:space="0" w:color="auto"/>
            </w:tcBorders>
          </w:tcPr>
          <w:p w14:paraId="4F44F111"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64 274</w:t>
            </w:r>
          </w:p>
        </w:tc>
        <w:tc>
          <w:tcPr>
            <w:tcW w:w="1162" w:type="dxa"/>
            <w:tcBorders>
              <w:top w:val="single" w:sz="6" w:space="0" w:color="auto"/>
              <w:bottom w:val="single" w:sz="6" w:space="0" w:color="auto"/>
            </w:tcBorders>
          </w:tcPr>
          <w:p w14:paraId="22E10167"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167 525</w:t>
            </w:r>
          </w:p>
        </w:tc>
        <w:tc>
          <w:tcPr>
            <w:tcW w:w="1161" w:type="dxa"/>
            <w:tcBorders>
              <w:top w:val="single" w:sz="6" w:space="0" w:color="auto"/>
              <w:bottom w:val="single" w:sz="6" w:space="0" w:color="auto"/>
            </w:tcBorders>
          </w:tcPr>
          <w:p w14:paraId="2CFF994C"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15 483</w:t>
            </w:r>
          </w:p>
        </w:tc>
        <w:tc>
          <w:tcPr>
            <w:tcW w:w="742" w:type="dxa"/>
            <w:tcBorders>
              <w:top w:val="single" w:sz="6" w:space="0" w:color="auto"/>
              <w:bottom w:val="single" w:sz="6" w:space="0" w:color="auto"/>
            </w:tcBorders>
          </w:tcPr>
          <w:p w14:paraId="64A8BA05"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2 160</w:t>
            </w:r>
          </w:p>
        </w:tc>
        <w:tc>
          <w:tcPr>
            <w:tcW w:w="680" w:type="dxa"/>
            <w:tcBorders>
              <w:top w:val="single" w:sz="6" w:space="0" w:color="auto"/>
              <w:bottom w:val="single" w:sz="6" w:space="0" w:color="auto"/>
            </w:tcBorders>
          </w:tcPr>
          <w:p w14:paraId="37F5419C"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249 442</w:t>
            </w:r>
          </w:p>
        </w:tc>
      </w:tr>
      <w:tr w:rsidR="009C6724" w:rsidRPr="00174DB6" w14:paraId="63CBFBD8" w14:textId="77777777" w:rsidTr="009C6724">
        <w:tc>
          <w:tcPr>
            <w:cnfStyle w:val="001000000000" w:firstRow="0" w:lastRow="0" w:firstColumn="1" w:lastColumn="0" w:oddVBand="0" w:evenVBand="0" w:oddHBand="0" w:evenHBand="0" w:firstRowFirstColumn="0" w:firstRowLastColumn="0" w:lastRowFirstColumn="0" w:lastRowLastColumn="0"/>
            <w:tcW w:w="3080" w:type="dxa"/>
            <w:gridSpan w:val="2"/>
            <w:tcBorders>
              <w:top w:val="single" w:sz="6" w:space="0" w:color="auto"/>
            </w:tcBorders>
          </w:tcPr>
          <w:p w14:paraId="577E0DBE" w14:textId="77777777" w:rsidR="00AB205D" w:rsidRPr="00174DB6" w:rsidRDefault="00471A3B">
            <w:pPr>
              <w:spacing w:after="0"/>
              <w:rPr>
                <w:szCs w:val="17"/>
              </w:rPr>
            </w:pPr>
            <w:r w:rsidRPr="00174DB6">
              <w:rPr>
                <w:b/>
                <w:szCs w:val="17"/>
              </w:rPr>
              <w:t>2025</w:t>
            </w:r>
            <w:r w:rsidRPr="00174DB6">
              <w:rPr>
                <w:b/>
                <w:szCs w:val="17"/>
              </w:rPr>
              <w:noBreakHyphen/>
              <w:t>26 estimate</w:t>
            </w:r>
          </w:p>
        </w:tc>
        <w:tc>
          <w:tcPr>
            <w:tcW w:w="1008" w:type="dxa"/>
            <w:tcBorders>
              <w:top w:val="single" w:sz="6" w:space="0" w:color="auto"/>
            </w:tcBorders>
          </w:tcPr>
          <w:p w14:paraId="19E2214B" w14:textId="77777777" w:rsidR="00AB205D" w:rsidRPr="00174DB6"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1162" w:type="dxa"/>
            <w:tcBorders>
              <w:top w:val="single" w:sz="6" w:space="0" w:color="auto"/>
            </w:tcBorders>
          </w:tcPr>
          <w:p w14:paraId="132409F9" w14:textId="77777777" w:rsidR="00AB205D" w:rsidRPr="00174DB6"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1161" w:type="dxa"/>
            <w:tcBorders>
              <w:top w:val="single" w:sz="6" w:space="0" w:color="auto"/>
            </w:tcBorders>
          </w:tcPr>
          <w:p w14:paraId="689F531F" w14:textId="77777777" w:rsidR="00AB205D" w:rsidRPr="00174DB6"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42" w:type="dxa"/>
            <w:tcBorders>
              <w:top w:val="single" w:sz="6" w:space="0" w:color="auto"/>
            </w:tcBorders>
          </w:tcPr>
          <w:p w14:paraId="4344B8E8" w14:textId="77777777" w:rsidR="00AB205D" w:rsidRPr="00174DB6"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680" w:type="dxa"/>
            <w:tcBorders>
              <w:top w:val="single" w:sz="6" w:space="0" w:color="auto"/>
            </w:tcBorders>
          </w:tcPr>
          <w:p w14:paraId="3E7684A8" w14:textId="77777777" w:rsidR="00AB205D" w:rsidRPr="00174DB6" w:rsidRDefault="00AB205D">
            <w:pPr>
              <w:cnfStyle w:val="000000000000" w:firstRow="0" w:lastRow="0" w:firstColumn="0" w:lastColumn="0" w:oddVBand="0" w:evenVBand="0" w:oddHBand="0" w:evenHBand="0" w:firstRowFirstColumn="0" w:firstRowLastColumn="0" w:lastRowFirstColumn="0" w:lastRowLastColumn="0"/>
              <w:rPr>
                <w:szCs w:val="17"/>
              </w:rPr>
            </w:pPr>
          </w:p>
        </w:tc>
      </w:tr>
      <w:tr w:rsidR="009C6724" w:rsidRPr="00174DB6" w14:paraId="72625AB2" w14:textId="77777777" w:rsidTr="009C6724">
        <w:tc>
          <w:tcPr>
            <w:cnfStyle w:val="001000000000" w:firstRow="0" w:lastRow="0" w:firstColumn="1" w:lastColumn="0" w:oddVBand="0" w:evenVBand="0" w:oddHBand="0" w:evenHBand="0" w:firstRowFirstColumn="0" w:firstRowLastColumn="0" w:lastRowFirstColumn="0" w:lastRowLastColumn="0"/>
            <w:tcW w:w="3080" w:type="dxa"/>
            <w:gridSpan w:val="2"/>
          </w:tcPr>
          <w:p w14:paraId="23896D01" w14:textId="77777777" w:rsidR="00AB205D" w:rsidRPr="00174DB6" w:rsidRDefault="00471A3B">
            <w:pPr>
              <w:spacing w:after="0"/>
              <w:rPr>
                <w:szCs w:val="17"/>
              </w:rPr>
            </w:pPr>
            <w:r w:rsidRPr="00174DB6">
              <w:rPr>
                <w:szCs w:val="17"/>
              </w:rPr>
              <w:t>Balance at 1 July 2025</w:t>
            </w:r>
          </w:p>
        </w:tc>
        <w:tc>
          <w:tcPr>
            <w:tcW w:w="1008" w:type="dxa"/>
          </w:tcPr>
          <w:p w14:paraId="6A27898A"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64 274</w:t>
            </w:r>
          </w:p>
        </w:tc>
        <w:tc>
          <w:tcPr>
            <w:tcW w:w="1162" w:type="dxa"/>
          </w:tcPr>
          <w:p w14:paraId="09D46C98"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167 525</w:t>
            </w:r>
          </w:p>
        </w:tc>
        <w:tc>
          <w:tcPr>
            <w:tcW w:w="1161" w:type="dxa"/>
          </w:tcPr>
          <w:p w14:paraId="3556C78E"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15 483</w:t>
            </w:r>
          </w:p>
        </w:tc>
        <w:tc>
          <w:tcPr>
            <w:tcW w:w="742" w:type="dxa"/>
          </w:tcPr>
          <w:p w14:paraId="5D325F3C"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2 160</w:t>
            </w:r>
          </w:p>
        </w:tc>
        <w:tc>
          <w:tcPr>
            <w:tcW w:w="680" w:type="dxa"/>
          </w:tcPr>
          <w:p w14:paraId="707C7A07"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249 442</w:t>
            </w:r>
          </w:p>
        </w:tc>
      </w:tr>
      <w:tr w:rsidR="009C6724" w:rsidRPr="00174DB6" w14:paraId="7BEB6D49" w14:textId="77777777" w:rsidTr="009C6724">
        <w:tc>
          <w:tcPr>
            <w:cnfStyle w:val="001000000000" w:firstRow="0" w:lastRow="0" w:firstColumn="1" w:lastColumn="0" w:oddVBand="0" w:evenVBand="0" w:oddHBand="0" w:evenHBand="0" w:firstRowFirstColumn="0" w:firstRowLastColumn="0" w:lastRowFirstColumn="0" w:lastRowLastColumn="0"/>
            <w:tcW w:w="3080" w:type="dxa"/>
            <w:gridSpan w:val="2"/>
          </w:tcPr>
          <w:p w14:paraId="423E5E1E" w14:textId="77777777" w:rsidR="00AB205D" w:rsidRPr="00174DB6" w:rsidRDefault="00471A3B">
            <w:pPr>
              <w:spacing w:after="0"/>
              <w:rPr>
                <w:szCs w:val="17"/>
              </w:rPr>
            </w:pPr>
            <w:r w:rsidRPr="00174DB6">
              <w:rPr>
                <w:szCs w:val="17"/>
              </w:rPr>
              <w:t>Net result for the year</w:t>
            </w:r>
          </w:p>
        </w:tc>
        <w:tc>
          <w:tcPr>
            <w:tcW w:w="1008" w:type="dxa"/>
          </w:tcPr>
          <w:p w14:paraId="6DAD7DB0"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(371)</w:t>
            </w:r>
          </w:p>
        </w:tc>
        <w:tc>
          <w:tcPr>
            <w:tcW w:w="1162" w:type="dxa"/>
          </w:tcPr>
          <w:p w14:paraId="33BBAC25"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1161" w:type="dxa"/>
          </w:tcPr>
          <w:p w14:paraId="41C7CDCD"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742" w:type="dxa"/>
          </w:tcPr>
          <w:p w14:paraId="292EFA74"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680" w:type="dxa"/>
          </w:tcPr>
          <w:p w14:paraId="0A4B0AD6"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(371)</w:t>
            </w:r>
          </w:p>
        </w:tc>
      </w:tr>
      <w:tr w:rsidR="009C6724" w:rsidRPr="00174DB6" w14:paraId="4C0E8715" w14:textId="77777777" w:rsidTr="009C6724">
        <w:tc>
          <w:tcPr>
            <w:cnfStyle w:val="001000000000" w:firstRow="0" w:lastRow="0" w:firstColumn="1" w:lastColumn="0" w:oddVBand="0" w:evenVBand="0" w:oddHBand="0" w:evenHBand="0" w:firstRowFirstColumn="0" w:firstRowLastColumn="0" w:lastRowFirstColumn="0" w:lastRowLastColumn="0"/>
            <w:tcW w:w="3080" w:type="dxa"/>
            <w:gridSpan w:val="2"/>
          </w:tcPr>
          <w:p w14:paraId="11CC768B" w14:textId="77777777" w:rsidR="00AB205D" w:rsidRPr="00174DB6" w:rsidRDefault="00471A3B">
            <w:pPr>
              <w:spacing w:after="0"/>
              <w:rPr>
                <w:szCs w:val="17"/>
              </w:rPr>
            </w:pPr>
            <w:r w:rsidRPr="00174DB6">
              <w:rPr>
                <w:szCs w:val="17"/>
              </w:rPr>
              <w:t>Other comprehensive income for the year</w:t>
            </w:r>
          </w:p>
        </w:tc>
        <w:tc>
          <w:tcPr>
            <w:tcW w:w="1008" w:type="dxa"/>
          </w:tcPr>
          <w:p w14:paraId="6BEC710F"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531</w:t>
            </w:r>
          </w:p>
        </w:tc>
        <w:tc>
          <w:tcPr>
            <w:tcW w:w="1162" w:type="dxa"/>
          </w:tcPr>
          <w:p w14:paraId="68BA3FFD"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4 024</w:t>
            </w:r>
          </w:p>
        </w:tc>
        <w:tc>
          <w:tcPr>
            <w:tcW w:w="1161" w:type="dxa"/>
          </w:tcPr>
          <w:p w14:paraId="4C35AA58"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9</w:t>
            </w:r>
          </w:p>
        </w:tc>
        <w:tc>
          <w:tcPr>
            <w:tcW w:w="742" w:type="dxa"/>
          </w:tcPr>
          <w:p w14:paraId="41D4DF37"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29</w:t>
            </w:r>
          </w:p>
        </w:tc>
        <w:tc>
          <w:tcPr>
            <w:tcW w:w="680" w:type="dxa"/>
          </w:tcPr>
          <w:p w14:paraId="1E841461"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4 592</w:t>
            </w:r>
          </w:p>
        </w:tc>
      </w:tr>
      <w:tr w:rsidR="009C6724" w:rsidRPr="00174DB6" w14:paraId="2AD9F016" w14:textId="77777777" w:rsidTr="009C6724">
        <w:tc>
          <w:tcPr>
            <w:cnfStyle w:val="001000000000" w:firstRow="0" w:lastRow="0" w:firstColumn="1" w:lastColumn="0" w:oddVBand="0" w:evenVBand="0" w:oddHBand="0" w:evenHBand="0" w:firstRowFirstColumn="0" w:firstRowLastColumn="0" w:lastRowFirstColumn="0" w:lastRowLastColumn="0"/>
            <w:tcW w:w="3080" w:type="dxa"/>
            <w:gridSpan w:val="2"/>
          </w:tcPr>
          <w:p w14:paraId="64611328" w14:textId="77777777" w:rsidR="00AB205D" w:rsidRPr="00174DB6" w:rsidRDefault="00471A3B">
            <w:pPr>
              <w:spacing w:after="0"/>
              <w:rPr>
                <w:szCs w:val="17"/>
              </w:rPr>
            </w:pPr>
            <w:r w:rsidRPr="00174DB6">
              <w:rPr>
                <w:szCs w:val="17"/>
              </w:rPr>
              <w:t>Transfer to/(from) accumulated surplus</w:t>
            </w:r>
          </w:p>
        </w:tc>
        <w:tc>
          <w:tcPr>
            <w:tcW w:w="1008" w:type="dxa"/>
          </w:tcPr>
          <w:p w14:paraId="7B28E043"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345</w:t>
            </w:r>
          </w:p>
        </w:tc>
        <w:tc>
          <w:tcPr>
            <w:tcW w:w="1162" w:type="dxa"/>
          </w:tcPr>
          <w:p w14:paraId="6A305868"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(345)</w:t>
            </w:r>
          </w:p>
        </w:tc>
        <w:tc>
          <w:tcPr>
            <w:tcW w:w="1161" w:type="dxa"/>
          </w:tcPr>
          <w:p w14:paraId="5BBC878A"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742" w:type="dxa"/>
          </w:tcPr>
          <w:p w14:paraId="6AA89957"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680" w:type="dxa"/>
          </w:tcPr>
          <w:p w14:paraId="610F8122"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r>
      <w:tr w:rsidR="009C6724" w:rsidRPr="00174DB6" w14:paraId="416C24DF" w14:textId="77777777" w:rsidTr="009C6724">
        <w:tc>
          <w:tcPr>
            <w:cnfStyle w:val="001000000000" w:firstRow="0" w:lastRow="0" w:firstColumn="1" w:lastColumn="0" w:oddVBand="0" w:evenVBand="0" w:oddHBand="0" w:evenHBand="0" w:firstRowFirstColumn="0" w:firstRowLastColumn="0" w:lastRowFirstColumn="0" w:lastRowLastColumn="0"/>
            <w:tcW w:w="3080" w:type="dxa"/>
            <w:gridSpan w:val="2"/>
            <w:tcBorders>
              <w:top w:val="single" w:sz="6" w:space="0" w:color="auto"/>
              <w:bottom w:val="single" w:sz="6" w:space="0" w:color="auto"/>
            </w:tcBorders>
          </w:tcPr>
          <w:p w14:paraId="05DC43B4" w14:textId="77777777" w:rsidR="00AB205D" w:rsidRPr="00174DB6" w:rsidRDefault="00471A3B">
            <w:pPr>
              <w:spacing w:after="0"/>
              <w:rPr>
                <w:szCs w:val="17"/>
              </w:rPr>
            </w:pPr>
            <w:r w:rsidRPr="00174DB6">
              <w:rPr>
                <w:b/>
                <w:szCs w:val="17"/>
              </w:rPr>
              <w:t>Total equity as at 30 June 2026</w:t>
            </w:r>
          </w:p>
        </w:tc>
        <w:tc>
          <w:tcPr>
            <w:tcW w:w="1008" w:type="dxa"/>
            <w:tcBorders>
              <w:top w:val="single" w:sz="6" w:space="0" w:color="auto"/>
              <w:bottom w:val="single" w:sz="6" w:space="0" w:color="auto"/>
            </w:tcBorders>
          </w:tcPr>
          <w:p w14:paraId="6E1DFD58"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64 780</w:t>
            </w:r>
          </w:p>
        </w:tc>
        <w:tc>
          <w:tcPr>
            <w:tcW w:w="1162" w:type="dxa"/>
            <w:tcBorders>
              <w:top w:val="single" w:sz="6" w:space="0" w:color="auto"/>
              <w:bottom w:val="single" w:sz="6" w:space="0" w:color="auto"/>
            </w:tcBorders>
          </w:tcPr>
          <w:p w14:paraId="0F8D1893"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171 204</w:t>
            </w:r>
          </w:p>
        </w:tc>
        <w:tc>
          <w:tcPr>
            <w:tcW w:w="1161" w:type="dxa"/>
            <w:tcBorders>
              <w:top w:val="single" w:sz="6" w:space="0" w:color="auto"/>
              <w:bottom w:val="single" w:sz="6" w:space="0" w:color="auto"/>
            </w:tcBorders>
          </w:tcPr>
          <w:p w14:paraId="32F47FC4"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15 491</w:t>
            </w:r>
          </w:p>
        </w:tc>
        <w:tc>
          <w:tcPr>
            <w:tcW w:w="742" w:type="dxa"/>
            <w:tcBorders>
              <w:top w:val="single" w:sz="6" w:space="0" w:color="auto"/>
              <w:bottom w:val="single" w:sz="6" w:space="0" w:color="auto"/>
            </w:tcBorders>
          </w:tcPr>
          <w:p w14:paraId="68D65D2A"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2 188</w:t>
            </w:r>
          </w:p>
        </w:tc>
        <w:tc>
          <w:tcPr>
            <w:tcW w:w="680" w:type="dxa"/>
            <w:tcBorders>
              <w:top w:val="single" w:sz="6" w:space="0" w:color="auto"/>
              <w:bottom w:val="single" w:sz="6" w:space="0" w:color="auto"/>
            </w:tcBorders>
          </w:tcPr>
          <w:p w14:paraId="02C101BB"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253 663</w:t>
            </w:r>
          </w:p>
        </w:tc>
      </w:tr>
      <w:tr w:rsidR="009C6724" w:rsidRPr="00174DB6" w14:paraId="084CDCD4" w14:textId="77777777" w:rsidTr="009C6724">
        <w:tc>
          <w:tcPr>
            <w:cnfStyle w:val="001000000000" w:firstRow="0" w:lastRow="0" w:firstColumn="1" w:lastColumn="0" w:oddVBand="0" w:evenVBand="0" w:oddHBand="0" w:evenHBand="0" w:firstRowFirstColumn="0" w:firstRowLastColumn="0" w:lastRowFirstColumn="0" w:lastRowLastColumn="0"/>
            <w:tcW w:w="3080" w:type="dxa"/>
            <w:gridSpan w:val="2"/>
            <w:tcBorders>
              <w:top w:val="single" w:sz="6" w:space="0" w:color="auto"/>
            </w:tcBorders>
          </w:tcPr>
          <w:p w14:paraId="6CCF52DB" w14:textId="77777777" w:rsidR="00AB205D" w:rsidRPr="00174DB6" w:rsidRDefault="00471A3B">
            <w:pPr>
              <w:spacing w:after="0"/>
              <w:rPr>
                <w:szCs w:val="17"/>
              </w:rPr>
            </w:pPr>
            <w:r w:rsidRPr="00174DB6">
              <w:rPr>
                <w:b/>
                <w:szCs w:val="17"/>
              </w:rPr>
              <w:t>2026</w:t>
            </w:r>
            <w:r w:rsidRPr="00174DB6">
              <w:rPr>
                <w:b/>
                <w:szCs w:val="17"/>
              </w:rPr>
              <w:noBreakHyphen/>
              <w:t>27 estimate</w:t>
            </w:r>
          </w:p>
        </w:tc>
        <w:tc>
          <w:tcPr>
            <w:tcW w:w="1008" w:type="dxa"/>
            <w:tcBorders>
              <w:top w:val="single" w:sz="6" w:space="0" w:color="auto"/>
            </w:tcBorders>
          </w:tcPr>
          <w:p w14:paraId="68AA9637" w14:textId="77777777" w:rsidR="00AB205D" w:rsidRPr="00174DB6"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1162" w:type="dxa"/>
            <w:tcBorders>
              <w:top w:val="single" w:sz="6" w:space="0" w:color="auto"/>
            </w:tcBorders>
          </w:tcPr>
          <w:p w14:paraId="7351A327" w14:textId="77777777" w:rsidR="00AB205D" w:rsidRPr="00174DB6"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1161" w:type="dxa"/>
            <w:tcBorders>
              <w:top w:val="single" w:sz="6" w:space="0" w:color="auto"/>
            </w:tcBorders>
          </w:tcPr>
          <w:p w14:paraId="1DED13F1" w14:textId="77777777" w:rsidR="00AB205D" w:rsidRPr="00174DB6"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42" w:type="dxa"/>
            <w:tcBorders>
              <w:top w:val="single" w:sz="6" w:space="0" w:color="auto"/>
            </w:tcBorders>
          </w:tcPr>
          <w:p w14:paraId="2B22D94C" w14:textId="77777777" w:rsidR="00AB205D" w:rsidRPr="00174DB6"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680" w:type="dxa"/>
            <w:tcBorders>
              <w:top w:val="single" w:sz="6" w:space="0" w:color="auto"/>
            </w:tcBorders>
          </w:tcPr>
          <w:p w14:paraId="72F6FCCB" w14:textId="77777777" w:rsidR="00AB205D" w:rsidRPr="00174DB6" w:rsidRDefault="00AB205D">
            <w:pPr>
              <w:cnfStyle w:val="000000000000" w:firstRow="0" w:lastRow="0" w:firstColumn="0" w:lastColumn="0" w:oddVBand="0" w:evenVBand="0" w:oddHBand="0" w:evenHBand="0" w:firstRowFirstColumn="0" w:firstRowLastColumn="0" w:lastRowFirstColumn="0" w:lastRowLastColumn="0"/>
              <w:rPr>
                <w:szCs w:val="17"/>
              </w:rPr>
            </w:pPr>
          </w:p>
        </w:tc>
      </w:tr>
      <w:tr w:rsidR="009C6724" w:rsidRPr="00174DB6" w14:paraId="077B0B9D" w14:textId="77777777" w:rsidTr="009C6724">
        <w:tc>
          <w:tcPr>
            <w:cnfStyle w:val="001000000000" w:firstRow="0" w:lastRow="0" w:firstColumn="1" w:lastColumn="0" w:oddVBand="0" w:evenVBand="0" w:oddHBand="0" w:evenHBand="0" w:firstRowFirstColumn="0" w:firstRowLastColumn="0" w:lastRowFirstColumn="0" w:lastRowLastColumn="0"/>
            <w:tcW w:w="3080" w:type="dxa"/>
            <w:gridSpan w:val="2"/>
          </w:tcPr>
          <w:p w14:paraId="07C065D8" w14:textId="77777777" w:rsidR="00AB205D" w:rsidRPr="00174DB6" w:rsidRDefault="00471A3B">
            <w:pPr>
              <w:spacing w:after="0"/>
              <w:rPr>
                <w:szCs w:val="17"/>
              </w:rPr>
            </w:pPr>
            <w:r w:rsidRPr="00174DB6">
              <w:rPr>
                <w:szCs w:val="17"/>
              </w:rPr>
              <w:t>Balance at 1 July 2026</w:t>
            </w:r>
          </w:p>
        </w:tc>
        <w:tc>
          <w:tcPr>
            <w:tcW w:w="1008" w:type="dxa"/>
          </w:tcPr>
          <w:p w14:paraId="7B0FC51D"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64 780</w:t>
            </w:r>
          </w:p>
        </w:tc>
        <w:tc>
          <w:tcPr>
            <w:tcW w:w="1162" w:type="dxa"/>
          </w:tcPr>
          <w:p w14:paraId="2709EBD6"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171 204</w:t>
            </w:r>
          </w:p>
        </w:tc>
        <w:tc>
          <w:tcPr>
            <w:tcW w:w="1161" w:type="dxa"/>
          </w:tcPr>
          <w:p w14:paraId="42A945C9"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15 491</w:t>
            </w:r>
          </w:p>
        </w:tc>
        <w:tc>
          <w:tcPr>
            <w:tcW w:w="742" w:type="dxa"/>
          </w:tcPr>
          <w:p w14:paraId="72E71013"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2 188</w:t>
            </w:r>
          </w:p>
        </w:tc>
        <w:tc>
          <w:tcPr>
            <w:tcW w:w="680" w:type="dxa"/>
          </w:tcPr>
          <w:p w14:paraId="2560A3DD"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253 663</w:t>
            </w:r>
          </w:p>
        </w:tc>
      </w:tr>
      <w:tr w:rsidR="009C6724" w:rsidRPr="00174DB6" w14:paraId="1DD9073E" w14:textId="77777777" w:rsidTr="009C6724">
        <w:tc>
          <w:tcPr>
            <w:cnfStyle w:val="001000000000" w:firstRow="0" w:lastRow="0" w:firstColumn="1" w:lastColumn="0" w:oddVBand="0" w:evenVBand="0" w:oddHBand="0" w:evenHBand="0" w:firstRowFirstColumn="0" w:firstRowLastColumn="0" w:lastRowFirstColumn="0" w:lastRowLastColumn="0"/>
            <w:tcW w:w="3080" w:type="dxa"/>
            <w:gridSpan w:val="2"/>
          </w:tcPr>
          <w:p w14:paraId="16792D9A" w14:textId="77777777" w:rsidR="00AB205D" w:rsidRPr="00174DB6" w:rsidRDefault="00471A3B">
            <w:pPr>
              <w:spacing w:after="0"/>
              <w:rPr>
                <w:szCs w:val="17"/>
              </w:rPr>
            </w:pPr>
            <w:r w:rsidRPr="00174DB6">
              <w:rPr>
                <w:szCs w:val="17"/>
              </w:rPr>
              <w:t>Net result for the year</w:t>
            </w:r>
          </w:p>
        </w:tc>
        <w:tc>
          <w:tcPr>
            <w:tcW w:w="1008" w:type="dxa"/>
          </w:tcPr>
          <w:p w14:paraId="41D71CD3"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(764)</w:t>
            </w:r>
          </w:p>
        </w:tc>
        <w:tc>
          <w:tcPr>
            <w:tcW w:w="1162" w:type="dxa"/>
          </w:tcPr>
          <w:p w14:paraId="7479A71C"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1161" w:type="dxa"/>
          </w:tcPr>
          <w:p w14:paraId="7A0CE2EA"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742" w:type="dxa"/>
          </w:tcPr>
          <w:p w14:paraId="5B6A340D"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680" w:type="dxa"/>
          </w:tcPr>
          <w:p w14:paraId="145BB91B"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(764)</w:t>
            </w:r>
          </w:p>
        </w:tc>
      </w:tr>
      <w:tr w:rsidR="009C6724" w:rsidRPr="00174DB6" w14:paraId="441CA417" w14:textId="77777777" w:rsidTr="009C6724">
        <w:tc>
          <w:tcPr>
            <w:cnfStyle w:val="001000000000" w:firstRow="0" w:lastRow="0" w:firstColumn="1" w:lastColumn="0" w:oddVBand="0" w:evenVBand="0" w:oddHBand="0" w:evenHBand="0" w:firstRowFirstColumn="0" w:firstRowLastColumn="0" w:lastRowFirstColumn="0" w:lastRowLastColumn="0"/>
            <w:tcW w:w="3080" w:type="dxa"/>
            <w:gridSpan w:val="2"/>
          </w:tcPr>
          <w:p w14:paraId="29F7A579" w14:textId="77777777" w:rsidR="00AB205D" w:rsidRPr="00174DB6" w:rsidRDefault="00471A3B">
            <w:pPr>
              <w:spacing w:after="0"/>
              <w:rPr>
                <w:szCs w:val="17"/>
              </w:rPr>
            </w:pPr>
            <w:r w:rsidRPr="00174DB6">
              <w:rPr>
                <w:szCs w:val="17"/>
              </w:rPr>
              <w:t>Other comprehensive income for the year</w:t>
            </w:r>
          </w:p>
        </w:tc>
        <w:tc>
          <w:tcPr>
            <w:tcW w:w="1008" w:type="dxa"/>
          </w:tcPr>
          <w:p w14:paraId="1C93E588"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525</w:t>
            </w:r>
          </w:p>
        </w:tc>
        <w:tc>
          <w:tcPr>
            <w:tcW w:w="1162" w:type="dxa"/>
          </w:tcPr>
          <w:p w14:paraId="70D94C53"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9 706</w:t>
            </w:r>
          </w:p>
        </w:tc>
        <w:tc>
          <w:tcPr>
            <w:tcW w:w="1161" w:type="dxa"/>
          </w:tcPr>
          <w:p w14:paraId="5B51F5A6"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138</w:t>
            </w:r>
          </w:p>
        </w:tc>
        <w:tc>
          <w:tcPr>
            <w:tcW w:w="742" w:type="dxa"/>
          </w:tcPr>
          <w:p w14:paraId="7249D7EA"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18</w:t>
            </w:r>
          </w:p>
        </w:tc>
        <w:tc>
          <w:tcPr>
            <w:tcW w:w="680" w:type="dxa"/>
          </w:tcPr>
          <w:p w14:paraId="15ED1A74"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10 387</w:t>
            </w:r>
          </w:p>
        </w:tc>
      </w:tr>
      <w:tr w:rsidR="009C6724" w:rsidRPr="00174DB6" w14:paraId="4665BE25" w14:textId="77777777" w:rsidTr="009C6724">
        <w:tc>
          <w:tcPr>
            <w:cnfStyle w:val="001000000000" w:firstRow="0" w:lastRow="0" w:firstColumn="1" w:lastColumn="0" w:oddVBand="0" w:evenVBand="0" w:oddHBand="0" w:evenHBand="0" w:firstRowFirstColumn="0" w:firstRowLastColumn="0" w:lastRowFirstColumn="0" w:lastRowLastColumn="0"/>
            <w:tcW w:w="3080" w:type="dxa"/>
            <w:gridSpan w:val="2"/>
          </w:tcPr>
          <w:p w14:paraId="19CFD8EE" w14:textId="77777777" w:rsidR="00AB205D" w:rsidRPr="00174DB6" w:rsidRDefault="00471A3B">
            <w:pPr>
              <w:spacing w:after="0"/>
              <w:rPr>
                <w:szCs w:val="17"/>
              </w:rPr>
            </w:pPr>
            <w:r w:rsidRPr="00174DB6">
              <w:rPr>
                <w:szCs w:val="17"/>
              </w:rPr>
              <w:t>Transfer to/(from) accumulated surplus</w:t>
            </w:r>
          </w:p>
        </w:tc>
        <w:tc>
          <w:tcPr>
            <w:tcW w:w="1008" w:type="dxa"/>
          </w:tcPr>
          <w:p w14:paraId="55C1DC61"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1162" w:type="dxa"/>
          </w:tcPr>
          <w:p w14:paraId="09305EBE" w14:textId="77777777" w:rsidR="00AB205D" w:rsidRPr="00174DB6" w:rsidRDefault="00471A3B">
            <w:pPr>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1161" w:type="dxa"/>
          </w:tcPr>
          <w:p w14:paraId="1FAF48E9"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742" w:type="dxa"/>
          </w:tcPr>
          <w:p w14:paraId="228CDABA"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c>
          <w:tcPr>
            <w:tcW w:w="680" w:type="dxa"/>
          </w:tcPr>
          <w:p w14:paraId="10AFE15F"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szCs w:val="17"/>
              </w:rPr>
              <w:t>..</w:t>
            </w:r>
          </w:p>
        </w:tc>
      </w:tr>
      <w:tr w:rsidR="009C6724" w:rsidRPr="00174DB6" w14:paraId="292F208D" w14:textId="77777777" w:rsidTr="009C6724">
        <w:tc>
          <w:tcPr>
            <w:cnfStyle w:val="001000000000" w:firstRow="0" w:lastRow="0" w:firstColumn="1" w:lastColumn="0" w:oddVBand="0" w:evenVBand="0" w:oddHBand="0" w:evenHBand="0" w:firstRowFirstColumn="0" w:firstRowLastColumn="0" w:lastRowFirstColumn="0" w:lastRowLastColumn="0"/>
            <w:tcW w:w="3080" w:type="dxa"/>
            <w:gridSpan w:val="2"/>
            <w:tcBorders>
              <w:top w:val="single" w:sz="6" w:space="0" w:color="auto"/>
              <w:bottom w:val="single" w:sz="12" w:space="0" w:color="auto"/>
            </w:tcBorders>
          </w:tcPr>
          <w:p w14:paraId="483C79F7" w14:textId="77777777" w:rsidR="00AB205D" w:rsidRPr="00174DB6" w:rsidRDefault="00471A3B">
            <w:pPr>
              <w:spacing w:after="0"/>
              <w:rPr>
                <w:szCs w:val="17"/>
              </w:rPr>
            </w:pPr>
            <w:r w:rsidRPr="00174DB6">
              <w:rPr>
                <w:b/>
                <w:szCs w:val="17"/>
              </w:rPr>
              <w:t>Total equity as at 30 June 2027</w:t>
            </w:r>
          </w:p>
        </w:tc>
        <w:tc>
          <w:tcPr>
            <w:tcW w:w="1008" w:type="dxa"/>
            <w:tcBorders>
              <w:top w:val="single" w:sz="6" w:space="0" w:color="auto"/>
              <w:bottom w:val="single" w:sz="12" w:space="0" w:color="auto"/>
            </w:tcBorders>
          </w:tcPr>
          <w:p w14:paraId="531FE17B"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64 541</w:t>
            </w:r>
          </w:p>
        </w:tc>
        <w:tc>
          <w:tcPr>
            <w:tcW w:w="1162" w:type="dxa"/>
            <w:tcBorders>
              <w:top w:val="single" w:sz="6" w:space="0" w:color="auto"/>
              <w:bottom w:val="single" w:sz="12" w:space="0" w:color="auto"/>
            </w:tcBorders>
          </w:tcPr>
          <w:p w14:paraId="091A02FB"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180 910</w:t>
            </w:r>
          </w:p>
        </w:tc>
        <w:tc>
          <w:tcPr>
            <w:tcW w:w="1161" w:type="dxa"/>
            <w:tcBorders>
              <w:top w:val="single" w:sz="6" w:space="0" w:color="auto"/>
              <w:bottom w:val="single" w:sz="12" w:space="0" w:color="auto"/>
            </w:tcBorders>
          </w:tcPr>
          <w:p w14:paraId="45F0FBC0"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15 629</w:t>
            </w:r>
          </w:p>
        </w:tc>
        <w:tc>
          <w:tcPr>
            <w:tcW w:w="742" w:type="dxa"/>
            <w:tcBorders>
              <w:top w:val="single" w:sz="6" w:space="0" w:color="auto"/>
              <w:bottom w:val="single" w:sz="12" w:space="0" w:color="auto"/>
            </w:tcBorders>
          </w:tcPr>
          <w:p w14:paraId="48F6C0CD"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2 206</w:t>
            </w:r>
          </w:p>
        </w:tc>
        <w:tc>
          <w:tcPr>
            <w:tcW w:w="680" w:type="dxa"/>
            <w:tcBorders>
              <w:top w:val="single" w:sz="6" w:space="0" w:color="auto"/>
              <w:bottom w:val="single" w:sz="12" w:space="0" w:color="auto"/>
            </w:tcBorders>
          </w:tcPr>
          <w:p w14:paraId="3D4F6053" w14:textId="77777777" w:rsidR="00AB205D" w:rsidRPr="00174DB6"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174DB6">
              <w:rPr>
                <w:b/>
                <w:szCs w:val="17"/>
              </w:rPr>
              <w:t>263 286</w:t>
            </w:r>
          </w:p>
        </w:tc>
      </w:tr>
    </w:tbl>
    <w:p w14:paraId="1000973E" w14:textId="77777777" w:rsidR="00AB205D" w:rsidRPr="00921F69" w:rsidRDefault="00471A3B">
      <w:pPr>
        <w:pStyle w:val="Note"/>
        <w:ind w:left="0" w:firstLine="0"/>
      </w:pPr>
      <w:r w:rsidRPr="00921F69">
        <w:t>Note:</w:t>
      </w:r>
    </w:p>
    <w:p w14:paraId="01B6ED16" w14:textId="77777777" w:rsidR="00AB205D" w:rsidRDefault="00471A3B">
      <w:pPr>
        <w:pStyle w:val="Note"/>
      </w:pPr>
      <w:r w:rsidRPr="00921F69">
        <w:t>(a)</w:t>
      </w:r>
      <w:r w:rsidRPr="00921F69">
        <w:tab/>
        <w:t>Balances represent actual opening balances at 1 July 20</w:t>
      </w:r>
      <w:r>
        <w:t xml:space="preserve">23 </w:t>
      </w:r>
      <w:r w:rsidRPr="00921F69">
        <w:t>plus 20</w:t>
      </w:r>
      <w:r>
        <w:t>23</w:t>
      </w:r>
      <w:r w:rsidRPr="00921F69">
        <w:t>-2</w:t>
      </w:r>
      <w:r>
        <w:t>4</w:t>
      </w:r>
      <w:r w:rsidRPr="00921F69">
        <w:t xml:space="preserve"> budgeted movements.</w:t>
      </w:r>
    </w:p>
    <w:p w14:paraId="61B20403" w14:textId="77777777" w:rsidR="00AB205D" w:rsidRDefault="00AB205D">
      <w:pPr>
        <w:pStyle w:val="TableHeading"/>
        <w:ind w:left="0" w:firstLine="0"/>
      </w:pPr>
    </w:p>
    <w:p w14:paraId="0550C894" w14:textId="77777777" w:rsidR="00AB205D" w:rsidRDefault="00AB205D">
      <w:pPr>
        <w:pStyle w:val="TableHeading"/>
        <w:ind w:left="0" w:firstLine="0"/>
      </w:pPr>
    </w:p>
    <w:p w14:paraId="072B85F3" w14:textId="77777777" w:rsidR="00AB205D" w:rsidRDefault="00AB205D">
      <w:pPr>
        <w:pStyle w:val="TableHeading"/>
        <w:ind w:left="0" w:firstLine="0"/>
      </w:pPr>
    </w:p>
    <w:p w14:paraId="2BBE66E3" w14:textId="77777777" w:rsidR="00AB205D" w:rsidRDefault="00AB205D">
      <w:pPr>
        <w:pStyle w:val="TableHeading"/>
        <w:ind w:left="0" w:firstLine="0"/>
      </w:pPr>
    </w:p>
    <w:p w14:paraId="427DE15D" w14:textId="77777777" w:rsidR="00AB205D" w:rsidRPr="0063276E" w:rsidRDefault="00471A3B">
      <w:pPr>
        <w:pStyle w:val="TableHeading"/>
        <w:pageBreakBefore/>
        <w:ind w:left="0" w:firstLine="0"/>
      </w:pPr>
      <w:r w:rsidRPr="00921F69">
        <w:lastRenderedPageBreak/>
        <w:t>Table 5.10</w:t>
      </w:r>
      <w:r w:rsidRPr="00921F69">
        <w:tab/>
        <w:t>Net acquisition of non-financial assets – Non-financial public sector</w:t>
      </w:r>
      <w:r w:rsidRPr="00921F69">
        <w:tab/>
        <w:t>($ million)</w:t>
      </w:r>
    </w:p>
    <w:tbl>
      <w:tblPr>
        <w:tblStyle w:val="DTFTableNumeric"/>
        <w:tblW w:w="7710" w:type="dxa"/>
        <w:tblLayout w:type="fixed"/>
        <w:tblLook w:val="06A0" w:firstRow="1" w:lastRow="0" w:firstColumn="1" w:lastColumn="0" w:noHBand="1" w:noVBand="1"/>
        <w:tblDescription w:val="Type:DtfTable|Workbook:Rawdata\BudgetUpdate\Budget Update\Financial Statements\SRIMS exports\SRIMS_BU_UPF_NFPS_WoS.xlsx|Table:NFPS_NFA|MergedHeadingRow:1"/>
      </w:tblPr>
      <w:tblGrid>
        <w:gridCol w:w="3740"/>
        <w:gridCol w:w="794"/>
        <w:gridCol w:w="794"/>
        <w:gridCol w:w="794"/>
        <w:gridCol w:w="794"/>
        <w:gridCol w:w="794"/>
      </w:tblGrid>
      <w:tr w:rsidR="009C6724" w14:paraId="0A2D2AAE"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723B90E3" w14:textId="77777777" w:rsidR="00AB205D" w:rsidRDefault="00AB205D">
            <w:pPr>
              <w:keepNext/>
            </w:pPr>
          </w:p>
        </w:tc>
        <w:tc>
          <w:tcPr>
            <w:tcW w:w="794" w:type="dxa"/>
          </w:tcPr>
          <w:p w14:paraId="72324814"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budget</w:t>
            </w:r>
          </w:p>
        </w:tc>
        <w:tc>
          <w:tcPr>
            <w:tcW w:w="794" w:type="dxa"/>
          </w:tcPr>
          <w:p w14:paraId="0E040B99"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revised</w:t>
            </w:r>
          </w:p>
        </w:tc>
        <w:tc>
          <w:tcPr>
            <w:tcW w:w="794" w:type="dxa"/>
          </w:tcPr>
          <w:p w14:paraId="4C3DA873"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r>
              <w:br/>
              <w:t>estimate</w:t>
            </w:r>
          </w:p>
        </w:tc>
        <w:tc>
          <w:tcPr>
            <w:tcW w:w="794" w:type="dxa"/>
          </w:tcPr>
          <w:p w14:paraId="747422A2"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26619F68"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r>
      <w:tr w:rsidR="009C6724" w14:paraId="48CDD9B8"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01CB1D25" w14:textId="3E782AB3" w:rsidR="00AB205D" w:rsidRDefault="00471A3B">
            <w:r>
              <w:t>Purchases of non</w:t>
            </w:r>
            <w:r>
              <w:noBreakHyphen/>
              <w:t xml:space="preserve">financial assets </w:t>
            </w:r>
            <w:r w:rsidR="00882944">
              <w:br/>
            </w:r>
            <w:r>
              <w:t>(including change in inventories)</w:t>
            </w:r>
          </w:p>
        </w:tc>
        <w:tc>
          <w:tcPr>
            <w:tcW w:w="794" w:type="dxa"/>
          </w:tcPr>
          <w:p w14:paraId="6829D64D" w14:textId="77777777" w:rsidR="00AB205D" w:rsidRDefault="00471A3B">
            <w:pPr>
              <w:cnfStyle w:val="000000000000" w:firstRow="0" w:lastRow="0" w:firstColumn="0" w:lastColumn="0" w:oddVBand="0" w:evenVBand="0" w:oddHBand="0" w:evenHBand="0" w:firstRowFirstColumn="0" w:firstRowLastColumn="0" w:lastRowFirstColumn="0" w:lastRowLastColumn="0"/>
            </w:pPr>
            <w:r>
              <w:t>23 277</w:t>
            </w:r>
          </w:p>
        </w:tc>
        <w:tc>
          <w:tcPr>
            <w:tcW w:w="794" w:type="dxa"/>
          </w:tcPr>
          <w:p w14:paraId="280F3B37" w14:textId="77777777" w:rsidR="00AB205D" w:rsidRDefault="00471A3B">
            <w:pPr>
              <w:cnfStyle w:val="000000000000" w:firstRow="0" w:lastRow="0" w:firstColumn="0" w:lastColumn="0" w:oddVBand="0" w:evenVBand="0" w:oddHBand="0" w:evenHBand="0" w:firstRowFirstColumn="0" w:firstRowLastColumn="0" w:lastRowFirstColumn="0" w:lastRowLastColumn="0"/>
            </w:pPr>
            <w:r>
              <w:t>25 525</w:t>
            </w:r>
          </w:p>
        </w:tc>
        <w:tc>
          <w:tcPr>
            <w:tcW w:w="794" w:type="dxa"/>
          </w:tcPr>
          <w:p w14:paraId="6B5F8565" w14:textId="77777777" w:rsidR="00AB205D" w:rsidRDefault="00471A3B">
            <w:pPr>
              <w:cnfStyle w:val="000000000000" w:firstRow="0" w:lastRow="0" w:firstColumn="0" w:lastColumn="0" w:oddVBand="0" w:evenVBand="0" w:oddHBand="0" w:evenHBand="0" w:firstRowFirstColumn="0" w:firstRowLastColumn="0" w:lastRowFirstColumn="0" w:lastRowLastColumn="0"/>
            </w:pPr>
            <w:r>
              <w:t>24 070</w:t>
            </w:r>
          </w:p>
        </w:tc>
        <w:tc>
          <w:tcPr>
            <w:tcW w:w="794" w:type="dxa"/>
          </w:tcPr>
          <w:p w14:paraId="4A8D5A6B" w14:textId="77777777" w:rsidR="00AB205D" w:rsidRDefault="00471A3B">
            <w:pPr>
              <w:cnfStyle w:val="000000000000" w:firstRow="0" w:lastRow="0" w:firstColumn="0" w:lastColumn="0" w:oddVBand="0" w:evenVBand="0" w:oddHBand="0" w:evenHBand="0" w:firstRowFirstColumn="0" w:firstRowLastColumn="0" w:lastRowFirstColumn="0" w:lastRowLastColumn="0"/>
            </w:pPr>
            <w:r>
              <w:t>24 128</w:t>
            </w:r>
          </w:p>
        </w:tc>
        <w:tc>
          <w:tcPr>
            <w:tcW w:w="794" w:type="dxa"/>
          </w:tcPr>
          <w:p w14:paraId="2BD295E9" w14:textId="77777777" w:rsidR="00AB205D" w:rsidRDefault="00471A3B">
            <w:pPr>
              <w:cnfStyle w:val="000000000000" w:firstRow="0" w:lastRow="0" w:firstColumn="0" w:lastColumn="0" w:oddVBand="0" w:evenVBand="0" w:oddHBand="0" w:evenHBand="0" w:firstRowFirstColumn="0" w:firstRowLastColumn="0" w:lastRowFirstColumn="0" w:lastRowLastColumn="0"/>
            </w:pPr>
            <w:r>
              <w:t>21 175</w:t>
            </w:r>
          </w:p>
        </w:tc>
      </w:tr>
      <w:tr w:rsidR="009C6724" w14:paraId="6E0837A6"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1C264C06" w14:textId="77777777" w:rsidR="00AB205D" w:rsidRDefault="00471A3B">
            <w:r>
              <w:t>Less: Sales of non</w:t>
            </w:r>
            <w:r>
              <w:noBreakHyphen/>
              <w:t>financial assets</w:t>
            </w:r>
          </w:p>
        </w:tc>
        <w:tc>
          <w:tcPr>
            <w:tcW w:w="794" w:type="dxa"/>
          </w:tcPr>
          <w:p w14:paraId="043F5667" w14:textId="77777777" w:rsidR="00AB205D" w:rsidRDefault="00471A3B">
            <w:pPr>
              <w:cnfStyle w:val="000000000000" w:firstRow="0" w:lastRow="0" w:firstColumn="0" w:lastColumn="0" w:oddVBand="0" w:evenVBand="0" w:oddHBand="0" w:evenHBand="0" w:firstRowFirstColumn="0" w:firstRowLastColumn="0" w:lastRowFirstColumn="0" w:lastRowLastColumn="0"/>
            </w:pPr>
            <w:r>
              <w:t>(787)</w:t>
            </w:r>
          </w:p>
        </w:tc>
        <w:tc>
          <w:tcPr>
            <w:tcW w:w="794" w:type="dxa"/>
          </w:tcPr>
          <w:p w14:paraId="0CE26731" w14:textId="77777777" w:rsidR="00AB205D" w:rsidRDefault="00471A3B">
            <w:pPr>
              <w:cnfStyle w:val="000000000000" w:firstRow="0" w:lastRow="0" w:firstColumn="0" w:lastColumn="0" w:oddVBand="0" w:evenVBand="0" w:oddHBand="0" w:evenHBand="0" w:firstRowFirstColumn="0" w:firstRowLastColumn="0" w:lastRowFirstColumn="0" w:lastRowLastColumn="0"/>
            </w:pPr>
            <w:r>
              <w:t>(849)</w:t>
            </w:r>
          </w:p>
        </w:tc>
        <w:tc>
          <w:tcPr>
            <w:tcW w:w="794" w:type="dxa"/>
          </w:tcPr>
          <w:p w14:paraId="649D77FF" w14:textId="77777777" w:rsidR="00AB205D" w:rsidRDefault="00471A3B">
            <w:pPr>
              <w:cnfStyle w:val="000000000000" w:firstRow="0" w:lastRow="0" w:firstColumn="0" w:lastColumn="0" w:oddVBand="0" w:evenVBand="0" w:oddHBand="0" w:evenHBand="0" w:firstRowFirstColumn="0" w:firstRowLastColumn="0" w:lastRowFirstColumn="0" w:lastRowLastColumn="0"/>
            </w:pPr>
            <w:r>
              <w:t>(792)</w:t>
            </w:r>
          </w:p>
        </w:tc>
        <w:tc>
          <w:tcPr>
            <w:tcW w:w="794" w:type="dxa"/>
          </w:tcPr>
          <w:p w14:paraId="0811707E" w14:textId="77777777" w:rsidR="00AB205D" w:rsidRDefault="00471A3B">
            <w:pPr>
              <w:cnfStyle w:val="000000000000" w:firstRow="0" w:lastRow="0" w:firstColumn="0" w:lastColumn="0" w:oddVBand="0" w:evenVBand="0" w:oddHBand="0" w:evenHBand="0" w:firstRowFirstColumn="0" w:firstRowLastColumn="0" w:lastRowFirstColumn="0" w:lastRowLastColumn="0"/>
            </w:pPr>
            <w:r>
              <w:t>(1 178)</w:t>
            </w:r>
          </w:p>
        </w:tc>
        <w:tc>
          <w:tcPr>
            <w:tcW w:w="794" w:type="dxa"/>
          </w:tcPr>
          <w:p w14:paraId="2015591C" w14:textId="77777777" w:rsidR="00AB205D" w:rsidRDefault="00471A3B">
            <w:pPr>
              <w:cnfStyle w:val="000000000000" w:firstRow="0" w:lastRow="0" w:firstColumn="0" w:lastColumn="0" w:oddVBand="0" w:evenVBand="0" w:oddHBand="0" w:evenHBand="0" w:firstRowFirstColumn="0" w:firstRowLastColumn="0" w:lastRowFirstColumn="0" w:lastRowLastColumn="0"/>
            </w:pPr>
            <w:r>
              <w:t>(649)</w:t>
            </w:r>
          </w:p>
        </w:tc>
      </w:tr>
      <w:tr w:rsidR="009C6724" w14:paraId="2A0FB7FD"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C4BC926" w14:textId="77777777" w:rsidR="00AB205D" w:rsidRDefault="00471A3B">
            <w:r>
              <w:t>Less: Depreciation and amortisation</w:t>
            </w:r>
          </w:p>
        </w:tc>
        <w:tc>
          <w:tcPr>
            <w:tcW w:w="794" w:type="dxa"/>
          </w:tcPr>
          <w:p w14:paraId="12709BBC" w14:textId="77777777" w:rsidR="00AB205D" w:rsidRDefault="00471A3B">
            <w:pPr>
              <w:cnfStyle w:val="000000000000" w:firstRow="0" w:lastRow="0" w:firstColumn="0" w:lastColumn="0" w:oddVBand="0" w:evenVBand="0" w:oddHBand="0" w:evenHBand="0" w:firstRowFirstColumn="0" w:firstRowLastColumn="0" w:lastRowFirstColumn="0" w:lastRowLastColumn="0"/>
            </w:pPr>
            <w:r>
              <w:t>(7 866)</w:t>
            </w:r>
          </w:p>
        </w:tc>
        <w:tc>
          <w:tcPr>
            <w:tcW w:w="794" w:type="dxa"/>
          </w:tcPr>
          <w:p w14:paraId="0513487A" w14:textId="77777777" w:rsidR="00AB205D" w:rsidRDefault="00471A3B">
            <w:pPr>
              <w:cnfStyle w:val="000000000000" w:firstRow="0" w:lastRow="0" w:firstColumn="0" w:lastColumn="0" w:oddVBand="0" w:evenVBand="0" w:oddHBand="0" w:evenHBand="0" w:firstRowFirstColumn="0" w:firstRowLastColumn="0" w:lastRowFirstColumn="0" w:lastRowLastColumn="0"/>
            </w:pPr>
            <w:r>
              <w:t>(8 040)</w:t>
            </w:r>
          </w:p>
        </w:tc>
        <w:tc>
          <w:tcPr>
            <w:tcW w:w="794" w:type="dxa"/>
          </w:tcPr>
          <w:p w14:paraId="4FD0273E" w14:textId="77777777" w:rsidR="00AB205D" w:rsidRDefault="00471A3B">
            <w:pPr>
              <w:cnfStyle w:val="000000000000" w:firstRow="0" w:lastRow="0" w:firstColumn="0" w:lastColumn="0" w:oddVBand="0" w:evenVBand="0" w:oddHBand="0" w:evenHBand="0" w:firstRowFirstColumn="0" w:firstRowLastColumn="0" w:lastRowFirstColumn="0" w:lastRowLastColumn="0"/>
            </w:pPr>
            <w:r>
              <w:t>(8 535)</w:t>
            </w:r>
          </w:p>
        </w:tc>
        <w:tc>
          <w:tcPr>
            <w:tcW w:w="794" w:type="dxa"/>
          </w:tcPr>
          <w:p w14:paraId="7F7E54D4" w14:textId="77777777" w:rsidR="00AB205D" w:rsidRDefault="00471A3B">
            <w:pPr>
              <w:cnfStyle w:val="000000000000" w:firstRow="0" w:lastRow="0" w:firstColumn="0" w:lastColumn="0" w:oddVBand="0" w:evenVBand="0" w:oddHBand="0" w:evenHBand="0" w:firstRowFirstColumn="0" w:firstRowLastColumn="0" w:lastRowFirstColumn="0" w:lastRowLastColumn="0"/>
            </w:pPr>
            <w:r>
              <w:t>(8 925)</w:t>
            </w:r>
          </w:p>
        </w:tc>
        <w:tc>
          <w:tcPr>
            <w:tcW w:w="794" w:type="dxa"/>
          </w:tcPr>
          <w:p w14:paraId="2C894B05" w14:textId="77777777" w:rsidR="00AB205D" w:rsidRDefault="00471A3B">
            <w:pPr>
              <w:cnfStyle w:val="000000000000" w:firstRow="0" w:lastRow="0" w:firstColumn="0" w:lastColumn="0" w:oddVBand="0" w:evenVBand="0" w:oddHBand="0" w:evenHBand="0" w:firstRowFirstColumn="0" w:firstRowLastColumn="0" w:lastRowFirstColumn="0" w:lastRowLastColumn="0"/>
            </w:pPr>
            <w:r>
              <w:t>(9 472)</w:t>
            </w:r>
          </w:p>
        </w:tc>
      </w:tr>
      <w:tr w:rsidR="009C6724" w14:paraId="166648B8"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38122F17" w14:textId="77777777" w:rsidR="00AB205D" w:rsidRDefault="00471A3B">
            <w:r>
              <w:t>Plus: Other movements in non</w:t>
            </w:r>
            <w:r>
              <w:noBreakHyphen/>
              <w:t>financial assets</w:t>
            </w:r>
            <w:r>
              <w:rPr>
                <w:vertAlign w:val="superscript"/>
              </w:rPr>
              <w:t xml:space="preserve"> (a)(b)</w:t>
            </w:r>
          </w:p>
        </w:tc>
        <w:tc>
          <w:tcPr>
            <w:tcW w:w="794" w:type="dxa"/>
            <w:tcBorders>
              <w:bottom w:val="single" w:sz="6" w:space="0" w:color="auto"/>
            </w:tcBorders>
          </w:tcPr>
          <w:p w14:paraId="2CA55874" w14:textId="77777777" w:rsidR="00AB205D" w:rsidRDefault="00471A3B">
            <w:pPr>
              <w:cnfStyle w:val="000000000000" w:firstRow="0" w:lastRow="0" w:firstColumn="0" w:lastColumn="0" w:oddVBand="0" w:evenVBand="0" w:oddHBand="0" w:evenHBand="0" w:firstRowFirstColumn="0" w:firstRowLastColumn="0" w:lastRowFirstColumn="0" w:lastRowLastColumn="0"/>
            </w:pPr>
            <w:r>
              <w:t>3 380</w:t>
            </w:r>
          </w:p>
        </w:tc>
        <w:tc>
          <w:tcPr>
            <w:tcW w:w="794" w:type="dxa"/>
            <w:tcBorders>
              <w:bottom w:val="single" w:sz="6" w:space="0" w:color="auto"/>
            </w:tcBorders>
          </w:tcPr>
          <w:p w14:paraId="5E3F1E79" w14:textId="77777777" w:rsidR="00AB205D" w:rsidRDefault="00471A3B">
            <w:pPr>
              <w:cnfStyle w:val="000000000000" w:firstRow="0" w:lastRow="0" w:firstColumn="0" w:lastColumn="0" w:oddVBand="0" w:evenVBand="0" w:oddHBand="0" w:evenHBand="0" w:firstRowFirstColumn="0" w:firstRowLastColumn="0" w:lastRowFirstColumn="0" w:lastRowLastColumn="0"/>
            </w:pPr>
            <w:r>
              <w:t>3 844</w:t>
            </w:r>
          </w:p>
        </w:tc>
        <w:tc>
          <w:tcPr>
            <w:tcW w:w="794" w:type="dxa"/>
            <w:tcBorders>
              <w:bottom w:val="single" w:sz="6" w:space="0" w:color="auto"/>
            </w:tcBorders>
          </w:tcPr>
          <w:p w14:paraId="3680FAF9" w14:textId="77777777" w:rsidR="00AB205D" w:rsidRDefault="00471A3B">
            <w:pPr>
              <w:cnfStyle w:val="000000000000" w:firstRow="0" w:lastRow="0" w:firstColumn="0" w:lastColumn="0" w:oddVBand="0" w:evenVBand="0" w:oddHBand="0" w:evenHBand="0" w:firstRowFirstColumn="0" w:firstRowLastColumn="0" w:lastRowFirstColumn="0" w:lastRowLastColumn="0"/>
            </w:pPr>
            <w:r>
              <w:t>2 434</w:t>
            </w:r>
          </w:p>
        </w:tc>
        <w:tc>
          <w:tcPr>
            <w:tcW w:w="794" w:type="dxa"/>
            <w:tcBorders>
              <w:bottom w:val="single" w:sz="6" w:space="0" w:color="auto"/>
            </w:tcBorders>
          </w:tcPr>
          <w:p w14:paraId="0D28F555" w14:textId="77777777" w:rsidR="00AB205D" w:rsidRDefault="00471A3B">
            <w:pPr>
              <w:cnfStyle w:val="000000000000" w:firstRow="0" w:lastRow="0" w:firstColumn="0" w:lastColumn="0" w:oddVBand="0" w:evenVBand="0" w:oddHBand="0" w:evenHBand="0" w:firstRowFirstColumn="0" w:firstRowLastColumn="0" w:lastRowFirstColumn="0" w:lastRowLastColumn="0"/>
            </w:pPr>
            <w:r>
              <w:t>1 656</w:t>
            </w:r>
          </w:p>
        </w:tc>
        <w:tc>
          <w:tcPr>
            <w:tcW w:w="794" w:type="dxa"/>
            <w:tcBorders>
              <w:bottom w:val="single" w:sz="6" w:space="0" w:color="auto"/>
            </w:tcBorders>
          </w:tcPr>
          <w:p w14:paraId="77586D4E" w14:textId="77777777" w:rsidR="00AB205D" w:rsidRDefault="00471A3B">
            <w:pPr>
              <w:cnfStyle w:val="000000000000" w:firstRow="0" w:lastRow="0" w:firstColumn="0" w:lastColumn="0" w:oddVBand="0" w:evenVBand="0" w:oddHBand="0" w:evenHBand="0" w:firstRowFirstColumn="0" w:firstRowLastColumn="0" w:lastRowFirstColumn="0" w:lastRowLastColumn="0"/>
            </w:pPr>
            <w:r>
              <w:t>1 966</w:t>
            </w:r>
          </w:p>
        </w:tc>
      </w:tr>
      <w:tr w:rsidR="009C6724" w14:paraId="739B0C4F"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6D00663A" w14:textId="77777777" w:rsidR="00AB205D" w:rsidRDefault="00471A3B">
            <w:r>
              <w:rPr>
                <w:b/>
              </w:rPr>
              <w:t>Total net acquisition of non</w:t>
            </w:r>
            <w:r>
              <w:rPr>
                <w:b/>
              </w:rPr>
              <w:noBreakHyphen/>
              <w:t>financial assets from transactions</w:t>
            </w:r>
          </w:p>
        </w:tc>
        <w:tc>
          <w:tcPr>
            <w:tcW w:w="794" w:type="dxa"/>
            <w:tcBorders>
              <w:top w:val="single" w:sz="6" w:space="0" w:color="auto"/>
              <w:bottom w:val="single" w:sz="12" w:space="0" w:color="auto"/>
            </w:tcBorders>
          </w:tcPr>
          <w:p w14:paraId="435E9F6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18 004</w:t>
            </w:r>
          </w:p>
        </w:tc>
        <w:tc>
          <w:tcPr>
            <w:tcW w:w="794" w:type="dxa"/>
            <w:tcBorders>
              <w:top w:val="single" w:sz="6" w:space="0" w:color="auto"/>
              <w:bottom w:val="single" w:sz="12" w:space="0" w:color="auto"/>
            </w:tcBorders>
          </w:tcPr>
          <w:p w14:paraId="2017093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20 481</w:t>
            </w:r>
          </w:p>
        </w:tc>
        <w:tc>
          <w:tcPr>
            <w:tcW w:w="794" w:type="dxa"/>
            <w:tcBorders>
              <w:top w:val="single" w:sz="6" w:space="0" w:color="auto"/>
              <w:bottom w:val="single" w:sz="12" w:space="0" w:color="auto"/>
            </w:tcBorders>
          </w:tcPr>
          <w:p w14:paraId="2EC95D0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17 177</w:t>
            </w:r>
          </w:p>
        </w:tc>
        <w:tc>
          <w:tcPr>
            <w:tcW w:w="794" w:type="dxa"/>
            <w:tcBorders>
              <w:top w:val="single" w:sz="6" w:space="0" w:color="auto"/>
              <w:bottom w:val="single" w:sz="12" w:space="0" w:color="auto"/>
            </w:tcBorders>
          </w:tcPr>
          <w:p w14:paraId="7E03559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15 681</w:t>
            </w:r>
          </w:p>
        </w:tc>
        <w:tc>
          <w:tcPr>
            <w:tcW w:w="794" w:type="dxa"/>
            <w:tcBorders>
              <w:top w:val="single" w:sz="6" w:space="0" w:color="auto"/>
              <w:bottom w:val="single" w:sz="12" w:space="0" w:color="auto"/>
            </w:tcBorders>
          </w:tcPr>
          <w:p w14:paraId="60F6B56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13 019</w:t>
            </w:r>
          </w:p>
        </w:tc>
      </w:tr>
    </w:tbl>
    <w:p w14:paraId="1E341A41" w14:textId="77777777" w:rsidR="00AB205D" w:rsidRDefault="00471A3B">
      <w:pPr>
        <w:pStyle w:val="Note"/>
      </w:pPr>
      <w:r>
        <w:t>Notes:</w:t>
      </w:r>
    </w:p>
    <w:p w14:paraId="4FDFE44A" w14:textId="77777777" w:rsidR="00AB205D" w:rsidRDefault="00471A3B">
      <w:pPr>
        <w:pStyle w:val="Note"/>
      </w:pPr>
      <w:r w:rsidRPr="00714B66">
        <w:t>(a)</w:t>
      </w:r>
      <w:r w:rsidRPr="00714B66">
        <w:tab/>
        <w:t>The other movements in non-financial assets includes recognising right</w:t>
      </w:r>
      <w:r>
        <w:t>-</w:t>
      </w:r>
      <w:r w:rsidRPr="00714B66">
        <w:t>of</w:t>
      </w:r>
      <w:r>
        <w:t>-</w:t>
      </w:r>
      <w:r w:rsidRPr="00714B66">
        <w:t xml:space="preserve">use assets under lease arrangements, and recognising service concession arrangements </w:t>
      </w:r>
      <w:r>
        <w:t>arising</w:t>
      </w:r>
      <w:r w:rsidRPr="00714B66">
        <w:t xml:space="preserve"> from </w:t>
      </w:r>
      <w:r>
        <w:t>p</w:t>
      </w:r>
      <w:r w:rsidRPr="00714B66">
        <w:t xml:space="preserve">ublic </w:t>
      </w:r>
      <w:r>
        <w:t>p</w:t>
      </w:r>
      <w:r w:rsidRPr="00714B66">
        <w:t xml:space="preserve">rivate </w:t>
      </w:r>
      <w:r>
        <w:t>p</w:t>
      </w:r>
      <w:r w:rsidRPr="00714B66">
        <w:t xml:space="preserve">artnerships. </w:t>
      </w:r>
    </w:p>
    <w:p w14:paraId="5B45B8F5" w14:textId="77777777" w:rsidR="00AB205D" w:rsidRDefault="00471A3B">
      <w:pPr>
        <w:pStyle w:val="Note"/>
      </w:pPr>
      <w:r w:rsidRPr="00B842CF">
        <w:t>(b)</w:t>
      </w:r>
      <w:r w:rsidRPr="00B842CF">
        <w:tab/>
      </w:r>
      <w:r>
        <w:t>The public private partnerships across the budget and forward estimates relate to the High Capacity Metro Trains, the Metro Tunnel</w:t>
      </w:r>
      <w:r w:rsidRPr="000C2F83">
        <w:t>, the new Melton Hospital, the</w:t>
      </w:r>
      <w:r>
        <w:t xml:space="preserve"> new Footscray Hospital, the Frankston Hospital Redevelopment, the North East Link – Primary Package (Tunnels), the Homes Victoria Ground Lease Model Project 1 and 2, and the West Gate Tunnel.</w:t>
      </w:r>
    </w:p>
    <w:p w14:paraId="1CD5732F" w14:textId="77777777" w:rsidR="00AB205D" w:rsidRDefault="00AB205D">
      <w:pPr>
        <w:pStyle w:val="Note"/>
      </w:pPr>
    </w:p>
    <w:p w14:paraId="43B0A64B" w14:textId="77777777" w:rsidR="00AB205D" w:rsidRDefault="00471A3B">
      <w:pPr>
        <w:keepLines w:val="0"/>
        <w:rPr>
          <w:rFonts w:asciiTheme="majorHAnsi" w:hAnsiTheme="majorHAnsi" w:cstheme="minorBidi"/>
          <w:b/>
          <w:sz w:val="20"/>
          <w:szCs w:val="18"/>
        </w:rPr>
      </w:pPr>
      <w:r>
        <w:br w:type="page"/>
      </w:r>
    </w:p>
    <w:p w14:paraId="6AE86B60" w14:textId="77777777" w:rsidR="00AB205D" w:rsidRPr="0063276E" w:rsidRDefault="00471A3B">
      <w:pPr>
        <w:pStyle w:val="TableHeading"/>
      </w:pPr>
      <w:r w:rsidRPr="00921F69">
        <w:lastRenderedPageBreak/>
        <w:t>Table 5.11</w:t>
      </w:r>
      <w:r w:rsidRPr="00921F69">
        <w:tab/>
        <w:t xml:space="preserve">Public financial corporations sector comprehensive operating statement </w:t>
      </w:r>
      <w:r w:rsidRPr="00921F69">
        <w:br/>
        <w:t>for the financial year ended 30 June</w:t>
      </w:r>
      <w:r>
        <w:t xml:space="preserve"> </w:t>
      </w:r>
      <w:r w:rsidRPr="007E598B">
        <w:rPr>
          <w:vertAlign w:val="superscript"/>
        </w:rPr>
        <w:t>(a)</w:t>
      </w:r>
      <w:r w:rsidRPr="00921F69">
        <w:tab/>
        <w:t>($ million)</w:t>
      </w:r>
    </w:p>
    <w:tbl>
      <w:tblPr>
        <w:tblStyle w:val="DTFTableNumeric"/>
        <w:tblW w:w="7710" w:type="dxa"/>
        <w:tblLayout w:type="fixed"/>
        <w:tblLook w:val="06A0" w:firstRow="1" w:lastRow="0" w:firstColumn="1" w:lastColumn="0" w:noHBand="1" w:noVBand="1"/>
        <w:tblDescription w:val="Type:DtfTable|Workbook:Rawdata\BudgetUpdate\Budget Update\Financial Statements\SRIMS exports\SRIMS_BU_UPF_PNFC_PFC.xlsx|Table:PFC_OS|MergedHeadingRow:1"/>
      </w:tblPr>
      <w:tblGrid>
        <w:gridCol w:w="3740"/>
        <w:gridCol w:w="794"/>
        <w:gridCol w:w="794"/>
        <w:gridCol w:w="794"/>
        <w:gridCol w:w="794"/>
        <w:gridCol w:w="794"/>
      </w:tblGrid>
      <w:tr w:rsidR="009C6724" w14:paraId="1FC45CF0"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716C43CC" w14:textId="77777777" w:rsidR="00AB205D" w:rsidRDefault="00AB205D">
            <w:pPr>
              <w:keepNext/>
            </w:pPr>
          </w:p>
        </w:tc>
        <w:tc>
          <w:tcPr>
            <w:tcW w:w="794" w:type="dxa"/>
          </w:tcPr>
          <w:p w14:paraId="6171E81C"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rPr>
                <w:sz w:val="16"/>
              </w:rPr>
              <w:t>2023</w:t>
            </w:r>
            <w:r>
              <w:rPr>
                <w:sz w:val="16"/>
              </w:rPr>
              <w:noBreakHyphen/>
              <w:t>24</w:t>
            </w:r>
            <w:r>
              <w:br/>
              <w:t>budget</w:t>
            </w:r>
          </w:p>
        </w:tc>
        <w:tc>
          <w:tcPr>
            <w:tcW w:w="794" w:type="dxa"/>
          </w:tcPr>
          <w:p w14:paraId="69E275E0"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rPr>
                <w:sz w:val="16"/>
              </w:rPr>
              <w:t>2023</w:t>
            </w:r>
            <w:r>
              <w:rPr>
                <w:sz w:val="16"/>
              </w:rPr>
              <w:noBreakHyphen/>
              <w:t>24</w:t>
            </w:r>
            <w:r>
              <w:br/>
              <w:t>revised</w:t>
            </w:r>
          </w:p>
        </w:tc>
        <w:tc>
          <w:tcPr>
            <w:tcW w:w="794" w:type="dxa"/>
          </w:tcPr>
          <w:p w14:paraId="2FD10E4F"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rPr>
                <w:sz w:val="16"/>
              </w:rPr>
              <w:t>2024</w:t>
            </w:r>
            <w:r>
              <w:rPr>
                <w:sz w:val="16"/>
              </w:rPr>
              <w:noBreakHyphen/>
              <w:t>25</w:t>
            </w:r>
            <w:r>
              <w:br/>
              <w:t>estimate</w:t>
            </w:r>
          </w:p>
        </w:tc>
        <w:tc>
          <w:tcPr>
            <w:tcW w:w="794" w:type="dxa"/>
          </w:tcPr>
          <w:p w14:paraId="021EB0D0"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rPr>
                <w:sz w:val="16"/>
              </w:rPr>
              <w:t>2025</w:t>
            </w:r>
            <w:r>
              <w:rPr>
                <w:sz w:val="16"/>
              </w:rPr>
              <w:noBreakHyphen/>
              <w:t>26</w:t>
            </w:r>
            <w:r>
              <w:br/>
              <w:t>estimate</w:t>
            </w:r>
          </w:p>
        </w:tc>
        <w:tc>
          <w:tcPr>
            <w:tcW w:w="794" w:type="dxa"/>
          </w:tcPr>
          <w:p w14:paraId="6E71D34F"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rPr>
                <w:sz w:val="16"/>
              </w:rPr>
              <w:t>2026</w:t>
            </w:r>
            <w:r>
              <w:rPr>
                <w:sz w:val="16"/>
              </w:rPr>
              <w:noBreakHyphen/>
              <w:t>27</w:t>
            </w:r>
            <w:r>
              <w:br/>
              <w:t>estimate</w:t>
            </w:r>
          </w:p>
        </w:tc>
      </w:tr>
      <w:tr w:rsidR="009C6724" w14:paraId="215A039C"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B2E287F" w14:textId="77777777" w:rsidR="00AB205D" w:rsidRDefault="00471A3B">
            <w:r>
              <w:rPr>
                <w:b/>
                <w:sz w:val="16"/>
              </w:rPr>
              <w:t>Revenue and income from transactions</w:t>
            </w:r>
          </w:p>
        </w:tc>
        <w:tc>
          <w:tcPr>
            <w:tcW w:w="794" w:type="dxa"/>
          </w:tcPr>
          <w:p w14:paraId="44D46AA6"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240C4C55"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6D90D2F"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4FDB6F4F"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049FC1F"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44A0903A"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1549430D" w14:textId="77777777" w:rsidR="00AB205D" w:rsidRDefault="00471A3B">
            <w:r>
              <w:rPr>
                <w:sz w:val="16"/>
              </w:rPr>
              <w:t>Interest income</w:t>
            </w:r>
          </w:p>
        </w:tc>
        <w:tc>
          <w:tcPr>
            <w:tcW w:w="794" w:type="dxa"/>
          </w:tcPr>
          <w:p w14:paraId="369E193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5 094</w:t>
            </w:r>
          </w:p>
        </w:tc>
        <w:tc>
          <w:tcPr>
            <w:tcW w:w="794" w:type="dxa"/>
          </w:tcPr>
          <w:p w14:paraId="6A3A6ED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5 548</w:t>
            </w:r>
          </w:p>
        </w:tc>
        <w:tc>
          <w:tcPr>
            <w:tcW w:w="794" w:type="dxa"/>
          </w:tcPr>
          <w:p w14:paraId="5EBAB40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6 668</w:t>
            </w:r>
          </w:p>
        </w:tc>
        <w:tc>
          <w:tcPr>
            <w:tcW w:w="794" w:type="dxa"/>
          </w:tcPr>
          <w:p w14:paraId="3B99316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7 918</w:t>
            </w:r>
          </w:p>
        </w:tc>
        <w:tc>
          <w:tcPr>
            <w:tcW w:w="794" w:type="dxa"/>
          </w:tcPr>
          <w:p w14:paraId="7F0A2E5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9 225</w:t>
            </w:r>
          </w:p>
        </w:tc>
      </w:tr>
      <w:tr w:rsidR="009C6724" w14:paraId="74EEDC36"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5EC9EBFE" w14:textId="77777777" w:rsidR="00AB205D" w:rsidRDefault="00471A3B">
            <w:r>
              <w:rPr>
                <w:sz w:val="16"/>
              </w:rPr>
              <w:t>Dividend income</w:t>
            </w:r>
          </w:p>
        </w:tc>
        <w:tc>
          <w:tcPr>
            <w:tcW w:w="794" w:type="dxa"/>
          </w:tcPr>
          <w:p w14:paraId="036F50D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1 879</w:t>
            </w:r>
          </w:p>
        </w:tc>
        <w:tc>
          <w:tcPr>
            <w:tcW w:w="794" w:type="dxa"/>
          </w:tcPr>
          <w:p w14:paraId="607CC1E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2 045</w:t>
            </w:r>
          </w:p>
        </w:tc>
        <w:tc>
          <w:tcPr>
            <w:tcW w:w="794" w:type="dxa"/>
          </w:tcPr>
          <w:p w14:paraId="2D26F86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2 109</w:t>
            </w:r>
          </w:p>
        </w:tc>
        <w:tc>
          <w:tcPr>
            <w:tcW w:w="794" w:type="dxa"/>
          </w:tcPr>
          <w:p w14:paraId="4B13960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2 239</w:t>
            </w:r>
          </w:p>
        </w:tc>
        <w:tc>
          <w:tcPr>
            <w:tcW w:w="794" w:type="dxa"/>
          </w:tcPr>
          <w:p w14:paraId="4970516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2 773</w:t>
            </w:r>
          </w:p>
        </w:tc>
      </w:tr>
      <w:tr w:rsidR="009C6724" w14:paraId="61A8D896"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0A830BFE" w14:textId="77777777" w:rsidR="00AB205D" w:rsidRDefault="00471A3B">
            <w:r>
              <w:rPr>
                <w:sz w:val="16"/>
              </w:rPr>
              <w:t>Sales of goods and services</w:t>
            </w:r>
          </w:p>
        </w:tc>
        <w:tc>
          <w:tcPr>
            <w:tcW w:w="794" w:type="dxa"/>
          </w:tcPr>
          <w:p w14:paraId="606FB2D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7 793</w:t>
            </w:r>
          </w:p>
        </w:tc>
        <w:tc>
          <w:tcPr>
            <w:tcW w:w="794" w:type="dxa"/>
          </w:tcPr>
          <w:p w14:paraId="382DACD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7 860</w:t>
            </w:r>
          </w:p>
        </w:tc>
        <w:tc>
          <w:tcPr>
            <w:tcW w:w="794" w:type="dxa"/>
          </w:tcPr>
          <w:p w14:paraId="4B4C84C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8 223</w:t>
            </w:r>
          </w:p>
        </w:tc>
        <w:tc>
          <w:tcPr>
            <w:tcW w:w="794" w:type="dxa"/>
          </w:tcPr>
          <w:p w14:paraId="518F9E5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8 605</w:t>
            </w:r>
          </w:p>
        </w:tc>
        <w:tc>
          <w:tcPr>
            <w:tcW w:w="794" w:type="dxa"/>
          </w:tcPr>
          <w:p w14:paraId="0DBB333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9 005</w:t>
            </w:r>
          </w:p>
        </w:tc>
      </w:tr>
      <w:tr w:rsidR="009C6724" w14:paraId="00FDCE59"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589EC41" w14:textId="77777777" w:rsidR="00AB205D" w:rsidRDefault="00471A3B">
            <w:r>
              <w:rPr>
                <w:sz w:val="16"/>
              </w:rPr>
              <w:t>Grants</w:t>
            </w:r>
          </w:p>
        </w:tc>
        <w:tc>
          <w:tcPr>
            <w:tcW w:w="794" w:type="dxa"/>
          </w:tcPr>
          <w:p w14:paraId="3739337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25</w:t>
            </w:r>
          </w:p>
        </w:tc>
        <w:tc>
          <w:tcPr>
            <w:tcW w:w="794" w:type="dxa"/>
          </w:tcPr>
          <w:p w14:paraId="2877F20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25</w:t>
            </w:r>
          </w:p>
        </w:tc>
        <w:tc>
          <w:tcPr>
            <w:tcW w:w="794" w:type="dxa"/>
          </w:tcPr>
          <w:p w14:paraId="1C8D17A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27</w:t>
            </w:r>
          </w:p>
        </w:tc>
        <w:tc>
          <w:tcPr>
            <w:tcW w:w="794" w:type="dxa"/>
          </w:tcPr>
          <w:p w14:paraId="6BD0B64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29</w:t>
            </w:r>
          </w:p>
        </w:tc>
        <w:tc>
          <w:tcPr>
            <w:tcW w:w="794" w:type="dxa"/>
          </w:tcPr>
          <w:p w14:paraId="40EDE1D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31</w:t>
            </w:r>
          </w:p>
        </w:tc>
      </w:tr>
      <w:tr w:rsidR="009C6724" w14:paraId="42FC2FD9"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23E1EC9F" w14:textId="77777777" w:rsidR="00AB205D" w:rsidRDefault="00471A3B">
            <w:r>
              <w:rPr>
                <w:sz w:val="16"/>
              </w:rPr>
              <w:t>Other revenue and income</w:t>
            </w:r>
          </w:p>
        </w:tc>
        <w:tc>
          <w:tcPr>
            <w:tcW w:w="794" w:type="dxa"/>
            <w:tcBorders>
              <w:bottom w:val="single" w:sz="6" w:space="0" w:color="auto"/>
            </w:tcBorders>
          </w:tcPr>
          <w:p w14:paraId="2D3F63C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22</w:t>
            </w:r>
          </w:p>
        </w:tc>
        <w:tc>
          <w:tcPr>
            <w:tcW w:w="794" w:type="dxa"/>
            <w:tcBorders>
              <w:bottom w:val="single" w:sz="6" w:space="0" w:color="auto"/>
            </w:tcBorders>
          </w:tcPr>
          <w:p w14:paraId="73E2E03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23</w:t>
            </w:r>
          </w:p>
        </w:tc>
        <w:tc>
          <w:tcPr>
            <w:tcW w:w="794" w:type="dxa"/>
            <w:tcBorders>
              <w:bottom w:val="single" w:sz="6" w:space="0" w:color="auto"/>
            </w:tcBorders>
          </w:tcPr>
          <w:p w14:paraId="61C0217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23</w:t>
            </w:r>
          </w:p>
        </w:tc>
        <w:tc>
          <w:tcPr>
            <w:tcW w:w="794" w:type="dxa"/>
            <w:tcBorders>
              <w:bottom w:val="single" w:sz="6" w:space="0" w:color="auto"/>
            </w:tcBorders>
          </w:tcPr>
          <w:p w14:paraId="22D0AA2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24</w:t>
            </w:r>
          </w:p>
        </w:tc>
        <w:tc>
          <w:tcPr>
            <w:tcW w:w="794" w:type="dxa"/>
            <w:tcBorders>
              <w:bottom w:val="single" w:sz="6" w:space="0" w:color="auto"/>
            </w:tcBorders>
          </w:tcPr>
          <w:p w14:paraId="3A1B439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25</w:t>
            </w:r>
          </w:p>
        </w:tc>
      </w:tr>
      <w:tr w:rsidR="009C6724" w14:paraId="6792BD66"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5FC482AE" w14:textId="77777777" w:rsidR="00AB205D" w:rsidRDefault="00471A3B">
            <w:r>
              <w:rPr>
                <w:b/>
                <w:sz w:val="16"/>
              </w:rPr>
              <w:t>Total revenue and income from transactions</w:t>
            </w:r>
          </w:p>
        </w:tc>
        <w:tc>
          <w:tcPr>
            <w:tcW w:w="794" w:type="dxa"/>
            <w:tcBorders>
              <w:top w:val="single" w:sz="6" w:space="0" w:color="auto"/>
            </w:tcBorders>
          </w:tcPr>
          <w:p w14:paraId="10D627C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14 813</w:t>
            </w:r>
          </w:p>
        </w:tc>
        <w:tc>
          <w:tcPr>
            <w:tcW w:w="794" w:type="dxa"/>
            <w:tcBorders>
              <w:top w:val="single" w:sz="6" w:space="0" w:color="auto"/>
            </w:tcBorders>
          </w:tcPr>
          <w:p w14:paraId="02C1AE1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15 500</w:t>
            </w:r>
          </w:p>
        </w:tc>
        <w:tc>
          <w:tcPr>
            <w:tcW w:w="794" w:type="dxa"/>
            <w:tcBorders>
              <w:top w:val="single" w:sz="6" w:space="0" w:color="auto"/>
            </w:tcBorders>
          </w:tcPr>
          <w:p w14:paraId="5B40F1F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17 051</w:t>
            </w:r>
          </w:p>
        </w:tc>
        <w:tc>
          <w:tcPr>
            <w:tcW w:w="794" w:type="dxa"/>
            <w:tcBorders>
              <w:top w:val="single" w:sz="6" w:space="0" w:color="auto"/>
            </w:tcBorders>
          </w:tcPr>
          <w:p w14:paraId="659048E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18 815</w:t>
            </w:r>
          </w:p>
        </w:tc>
        <w:tc>
          <w:tcPr>
            <w:tcW w:w="794" w:type="dxa"/>
            <w:tcBorders>
              <w:top w:val="single" w:sz="6" w:space="0" w:color="auto"/>
            </w:tcBorders>
          </w:tcPr>
          <w:p w14:paraId="6B48EC0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21 058</w:t>
            </w:r>
          </w:p>
        </w:tc>
      </w:tr>
      <w:tr w:rsidR="009C6724" w14:paraId="3B1D3899"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0378E692" w14:textId="77777777" w:rsidR="00AB205D" w:rsidRDefault="00471A3B">
            <w:r>
              <w:rPr>
                <w:b/>
                <w:sz w:val="16"/>
              </w:rPr>
              <w:t>Expenses from transactions</w:t>
            </w:r>
          </w:p>
        </w:tc>
        <w:tc>
          <w:tcPr>
            <w:tcW w:w="794" w:type="dxa"/>
          </w:tcPr>
          <w:p w14:paraId="503233D3"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0FAF5C0"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26B2A742"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2EC76705"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2C7EEB4"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3C7946B0"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6B110AD0" w14:textId="77777777" w:rsidR="00AB205D" w:rsidRDefault="00471A3B">
            <w:r>
              <w:rPr>
                <w:sz w:val="16"/>
              </w:rPr>
              <w:t>Employee expenses</w:t>
            </w:r>
          </w:p>
        </w:tc>
        <w:tc>
          <w:tcPr>
            <w:tcW w:w="794" w:type="dxa"/>
          </w:tcPr>
          <w:p w14:paraId="07D8C77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545</w:t>
            </w:r>
          </w:p>
        </w:tc>
        <w:tc>
          <w:tcPr>
            <w:tcW w:w="794" w:type="dxa"/>
          </w:tcPr>
          <w:p w14:paraId="226934D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551</w:t>
            </w:r>
          </w:p>
        </w:tc>
        <w:tc>
          <w:tcPr>
            <w:tcW w:w="794" w:type="dxa"/>
          </w:tcPr>
          <w:p w14:paraId="391BF0D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561</w:t>
            </w:r>
          </w:p>
        </w:tc>
        <w:tc>
          <w:tcPr>
            <w:tcW w:w="794" w:type="dxa"/>
          </w:tcPr>
          <w:p w14:paraId="7FF2794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569</w:t>
            </w:r>
          </w:p>
        </w:tc>
        <w:tc>
          <w:tcPr>
            <w:tcW w:w="794" w:type="dxa"/>
          </w:tcPr>
          <w:p w14:paraId="1423CCE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582</w:t>
            </w:r>
          </w:p>
        </w:tc>
      </w:tr>
      <w:tr w:rsidR="009C6724" w14:paraId="26A636C4"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13999652" w14:textId="77777777" w:rsidR="00AB205D" w:rsidRDefault="00471A3B">
            <w:r>
              <w:rPr>
                <w:sz w:val="16"/>
              </w:rPr>
              <w:t>Other superannuation</w:t>
            </w:r>
          </w:p>
        </w:tc>
        <w:tc>
          <w:tcPr>
            <w:tcW w:w="794" w:type="dxa"/>
          </w:tcPr>
          <w:p w14:paraId="06288D1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52</w:t>
            </w:r>
          </w:p>
        </w:tc>
        <w:tc>
          <w:tcPr>
            <w:tcW w:w="794" w:type="dxa"/>
          </w:tcPr>
          <w:p w14:paraId="5CB9D29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55</w:t>
            </w:r>
          </w:p>
        </w:tc>
        <w:tc>
          <w:tcPr>
            <w:tcW w:w="794" w:type="dxa"/>
          </w:tcPr>
          <w:p w14:paraId="5FD0FB3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56</w:t>
            </w:r>
          </w:p>
        </w:tc>
        <w:tc>
          <w:tcPr>
            <w:tcW w:w="794" w:type="dxa"/>
          </w:tcPr>
          <w:p w14:paraId="6F43542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58</w:t>
            </w:r>
          </w:p>
        </w:tc>
        <w:tc>
          <w:tcPr>
            <w:tcW w:w="794" w:type="dxa"/>
          </w:tcPr>
          <w:p w14:paraId="0501870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60</w:t>
            </w:r>
          </w:p>
        </w:tc>
      </w:tr>
      <w:tr w:rsidR="009C6724" w14:paraId="20BDB73E"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518FD684" w14:textId="77777777" w:rsidR="00AB205D" w:rsidRDefault="00471A3B">
            <w:r>
              <w:rPr>
                <w:sz w:val="16"/>
              </w:rPr>
              <w:t>Depreciation</w:t>
            </w:r>
          </w:p>
        </w:tc>
        <w:tc>
          <w:tcPr>
            <w:tcW w:w="794" w:type="dxa"/>
          </w:tcPr>
          <w:p w14:paraId="1625739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85</w:t>
            </w:r>
          </w:p>
        </w:tc>
        <w:tc>
          <w:tcPr>
            <w:tcW w:w="794" w:type="dxa"/>
          </w:tcPr>
          <w:p w14:paraId="35CF9E4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84</w:t>
            </w:r>
          </w:p>
        </w:tc>
        <w:tc>
          <w:tcPr>
            <w:tcW w:w="794" w:type="dxa"/>
          </w:tcPr>
          <w:p w14:paraId="78F7D56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82</w:t>
            </w:r>
          </w:p>
        </w:tc>
        <w:tc>
          <w:tcPr>
            <w:tcW w:w="794" w:type="dxa"/>
          </w:tcPr>
          <w:p w14:paraId="56C2681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72</w:t>
            </w:r>
          </w:p>
        </w:tc>
        <w:tc>
          <w:tcPr>
            <w:tcW w:w="794" w:type="dxa"/>
          </w:tcPr>
          <w:p w14:paraId="7B2049D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65</w:t>
            </w:r>
          </w:p>
        </w:tc>
      </w:tr>
      <w:tr w:rsidR="009C6724" w14:paraId="1B9FDF6D"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92B7BFF" w14:textId="77777777" w:rsidR="00AB205D" w:rsidRDefault="00471A3B">
            <w:r>
              <w:rPr>
                <w:sz w:val="16"/>
              </w:rPr>
              <w:t>Interest expense</w:t>
            </w:r>
          </w:p>
        </w:tc>
        <w:tc>
          <w:tcPr>
            <w:tcW w:w="794" w:type="dxa"/>
          </w:tcPr>
          <w:p w14:paraId="0440C18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4 810</w:t>
            </w:r>
          </w:p>
        </w:tc>
        <w:tc>
          <w:tcPr>
            <w:tcW w:w="794" w:type="dxa"/>
          </w:tcPr>
          <w:p w14:paraId="434C198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5 176</w:t>
            </w:r>
          </w:p>
        </w:tc>
        <w:tc>
          <w:tcPr>
            <w:tcW w:w="794" w:type="dxa"/>
          </w:tcPr>
          <w:p w14:paraId="597B20B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6 346</w:t>
            </w:r>
          </w:p>
        </w:tc>
        <w:tc>
          <w:tcPr>
            <w:tcW w:w="794" w:type="dxa"/>
          </w:tcPr>
          <w:p w14:paraId="63A2BE7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7 587</w:t>
            </w:r>
          </w:p>
        </w:tc>
        <w:tc>
          <w:tcPr>
            <w:tcW w:w="794" w:type="dxa"/>
          </w:tcPr>
          <w:p w14:paraId="75716E4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8 856</w:t>
            </w:r>
          </w:p>
        </w:tc>
      </w:tr>
      <w:tr w:rsidR="009C6724" w14:paraId="68C22DD2"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5F4B1F67" w14:textId="77777777" w:rsidR="00AB205D" w:rsidRDefault="00471A3B">
            <w:r>
              <w:rPr>
                <w:sz w:val="16"/>
              </w:rPr>
              <w:t>Grant expense</w:t>
            </w:r>
          </w:p>
        </w:tc>
        <w:tc>
          <w:tcPr>
            <w:tcW w:w="794" w:type="dxa"/>
          </w:tcPr>
          <w:p w14:paraId="6000A53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1 150</w:t>
            </w:r>
          </w:p>
        </w:tc>
        <w:tc>
          <w:tcPr>
            <w:tcW w:w="794" w:type="dxa"/>
          </w:tcPr>
          <w:p w14:paraId="13CEC69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181</w:t>
            </w:r>
          </w:p>
        </w:tc>
        <w:tc>
          <w:tcPr>
            <w:tcW w:w="794" w:type="dxa"/>
          </w:tcPr>
          <w:p w14:paraId="7EA5244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279</w:t>
            </w:r>
          </w:p>
        </w:tc>
        <w:tc>
          <w:tcPr>
            <w:tcW w:w="794" w:type="dxa"/>
          </w:tcPr>
          <w:p w14:paraId="206DDC6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274</w:t>
            </w:r>
          </w:p>
        </w:tc>
        <w:tc>
          <w:tcPr>
            <w:tcW w:w="794" w:type="dxa"/>
          </w:tcPr>
          <w:p w14:paraId="31AD848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923</w:t>
            </w:r>
          </w:p>
        </w:tc>
      </w:tr>
      <w:tr w:rsidR="009C6724" w14:paraId="100A57C7"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7C64B803" w14:textId="77777777" w:rsidR="00AB205D" w:rsidRDefault="00471A3B">
            <w:r>
              <w:rPr>
                <w:sz w:val="16"/>
              </w:rPr>
              <w:t>Other operating expenses</w:t>
            </w:r>
          </w:p>
        </w:tc>
        <w:tc>
          <w:tcPr>
            <w:tcW w:w="794" w:type="dxa"/>
          </w:tcPr>
          <w:p w14:paraId="3EF44C6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11 315</w:t>
            </w:r>
          </w:p>
        </w:tc>
        <w:tc>
          <w:tcPr>
            <w:tcW w:w="794" w:type="dxa"/>
          </w:tcPr>
          <w:p w14:paraId="3D246C2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12 222</w:t>
            </w:r>
          </w:p>
        </w:tc>
        <w:tc>
          <w:tcPr>
            <w:tcW w:w="794" w:type="dxa"/>
          </w:tcPr>
          <w:p w14:paraId="3954FDD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13 109</w:t>
            </w:r>
          </w:p>
        </w:tc>
        <w:tc>
          <w:tcPr>
            <w:tcW w:w="794" w:type="dxa"/>
          </w:tcPr>
          <w:p w14:paraId="0C9BD2E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13 985</w:t>
            </w:r>
          </w:p>
        </w:tc>
        <w:tc>
          <w:tcPr>
            <w:tcW w:w="794" w:type="dxa"/>
          </w:tcPr>
          <w:p w14:paraId="50F632D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14 875</w:t>
            </w:r>
          </w:p>
        </w:tc>
      </w:tr>
      <w:tr w:rsidR="009C6724" w14:paraId="6358106F"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77D61AB2" w14:textId="77777777" w:rsidR="00AB205D" w:rsidRDefault="00471A3B">
            <w:r>
              <w:rPr>
                <w:sz w:val="16"/>
              </w:rPr>
              <w:t>Other property expenses</w:t>
            </w:r>
          </w:p>
        </w:tc>
        <w:tc>
          <w:tcPr>
            <w:tcW w:w="794" w:type="dxa"/>
            <w:tcBorders>
              <w:bottom w:val="single" w:sz="6" w:space="0" w:color="auto"/>
            </w:tcBorders>
          </w:tcPr>
          <w:p w14:paraId="6BCB21B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8</w:t>
            </w:r>
          </w:p>
        </w:tc>
        <w:tc>
          <w:tcPr>
            <w:tcW w:w="794" w:type="dxa"/>
            <w:tcBorders>
              <w:bottom w:val="single" w:sz="6" w:space="0" w:color="auto"/>
            </w:tcBorders>
          </w:tcPr>
          <w:p w14:paraId="6AD9377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250</w:t>
            </w:r>
          </w:p>
        </w:tc>
        <w:tc>
          <w:tcPr>
            <w:tcW w:w="794" w:type="dxa"/>
            <w:tcBorders>
              <w:bottom w:val="single" w:sz="6" w:space="0" w:color="auto"/>
            </w:tcBorders>
          </w:tcPr>
          <w:p w14:paraId="2A3246F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7</w:t>
            </w:r>
          </w:p>
        </w:tc>
        <w:tc>
          <w:tcPr>
            <w:tcW w:w="794" w:type="dxa"/>
            <w:tcBorders>
              <w:bottom w:val="single" w:sz="6" w:space="0" w:color="auto"/>
            </w:tcBorders>
          </w:tcPr>
          <w:p w14:paraId="65D9777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11</w:t>
            </w:r>
          </w:p>
        </w:tc>
        <w:tc>
          <w:tcPr>
            <w:tcW w:w="794" w:type="dxa"/>
            <w:tcBorders>
              <w:bottom w:val="single" w:sz="6" w:space="0" w:color="auto"/>
            </w:tcBorders>
          </w:tcPr>
          <w:p w14:paraId="62C965E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34</w:t>
            </w:r>
          </w:p>
        </w:tc>
      </w:tr>
      <w:tr w:rsidR="009C6724" w14:paraId="71FEF98D"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447B5C46" w14:textId="77777777" w:rsidR="00AB205D" w:rsidRDefault="00471A3B">
            <w:r>
              <w:rPr>
                <w:b/>
                <w:sz w:val="16"/>
              </w:rPr>
              <w:t>Total expenses from transactions</w:t>
            </w:r>
          </w:p>
        </w:tc>
        <w:tc>
          <w:tcPr>
            <w:tcW w:w="794" w:type="dxa"/>
            <w:tcBorders>
              <w:top w:val="single" w:sz="6" w:space="0" w:color="auto"/>
              <w:bottom w:val="single" w:sz="6" w:space="0" w:color="auto"/>
            </w:tcBorders>
          </w:tcPr>
          <w:p w14:paraId="4B8FBD2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17 965</w:t>
            </w:r>
          </w:p>
        </w:tc>
        <w:tc>
          <w:tcPr>
            <w:tcW w:w="794" w:type="dxa"/>
            <w:tcBorders>
              <w:top w:val="single" w:sz="6" w:space="0" w:color="auto"/>
              <w:bottom w:val="single" w:sz="6" w:space="0" w:color="auto"/>
            </w:tcBorders>
          </w:tcPr>
          <w:p w14:paraId="64574A5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18 518</w:t>
            </w:r>
          </w:p>
        </w:tc>
        <w:tc>
          <w:tcPr>
            <w:tcW w:w="794" w:type="dxa"/>
            <w:tcBorders>
              <w:top w:val="single" w:sz="6" w:space="0" w:color="auto"/>
              <w:bottom w:val="single" w:sz="6" w:space="0" w:color="auto"/>
            </w:tcBorders>
          </w:tcPr>
          <w:p w14:paraId="03CBE40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20 440</w:t>
            </w:r>
          </w:p>
        </w:tc>
        <w:tc>
          <w:tcPr>
            <w:tcW w:w="794" w:type="dxa"/>
            <w:tcBorders>
              <w:top w:val="single" w:sz="6" w:space="0" w:color="auto"/>
              <w:bottom w:val="single" w:sz="6" w:space="0" w:color="auto"/>
            </w:tcBorders>
          </w:tcPr>
          <w:p w14:paraId="3FF7435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22 556</w:t>
            </w:r>
          </w:p>
        </w:tc>
        <w:tc>
          <w:tcPr>
            <w:tcW w:w="794" w:type="dxa"/>
            <w:tcBorders>
              <w:top w:val="single" w:sz="6" w:space="0" w:color="auto"/>
              <w:bottom w:val="single" w:sz="6" w:space="0" w:color="auto"/>
            </w:tcBorders>
          </w:tcPr>
          <w:p w14:paraId="0BDE80C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25 395</w:t>
            </w:r>
          </w:p>
        </w:tc>
      </w:tr>
      <w:tr w:rsidR="009C6724" w14:paraId="538E9A01"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5DB89D51" w14:textId="77777777" w:rsidR="00AB205D" w:rsidRDefault="00471A3B">
            <w:r>
              <w:rPr>
                <w:b/>
                <w:sz w:val="16"/>
              </w:rPr>
              <w:t>Net result from transactions – net operating balance</w:t>
            </w:r>
            <w:r>
              <w:rPr>
                <w:b/>
                <w:sz w:val="16"/>
                <w:vertAlign w:val="superscript"/>
              </w:rPr>
              <w:t xml:space="preserve"> (b)</w:t>
            </w:r>
          </w:p>
        </w:tc>
        <w:tc>
          <w:tcPr>
            <w:tcW w:w="794" w:type="dxa"/>
            <w:tcBorders>
              <w:top w:val="single" w:sz="6" w:space="0" w:color="auto"/>
              <w:bottom w:val="single" w:sz="12" w:space="0" w:color="auto"/>
            </w:tcBorders>
          </w:tcPr>
          <w:p w14:paraId="0E78197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(3 152)</w:t>
            </w:r>
          </w:p>
        </w:tc>
        <w:tc>
          <w:tcPr>
            <w:tcW w:w="794" w:type="dxa"/>
            <w:tcBorders>
              <w:top w:val="single" w:sz="6" w:space="0" w:color="auto"/>
              <w:bottom w:val="single" w:sz="12" w:space="0" w:color="auto"/>
            </w:tcBorders>
          </w:tcPr>
          <w:p w14:paraId="30750F4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(3 018)</w:t>
            </w:r>
          </w:p>
        </w:tc>
        <w:tc>
          <w:tcPr>
            <w:tcW w:w="794" w:type="dxa"/>
            <w:tcBorders>
              <w:top w:val="single" w:sz="6" w:space="0" w:color="auto"/>
              <w:bottom w:val="single" w:sz="12" w:space="0" w:color="auto"/>
            </w:tcBorders>
          </w:tcPr>
          <w:p w14:paraId="15D7904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(3 389)</w:t>
            </w:r>
          </w:p>
        </w:tc>
        <w:tc>
          <w:tcPr>
            <w:tcW w:w="794" w:type="dxa"/>
            <w:tcBorders>
              <w:top w:val="single" w:sz="6" w:space="0" w:color="auto"/>
              <w:bottom w:val="single" w:sz="12" w:space="0" w:color="auto"/>
            </w:tcBorders>
          </w:tcPr>
          <w:p w14:paraId="09C6AED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(3 741)</w:t>
            </w:r>
          </w:p>
        </w:tc>
        <w:tc>
          <w:tcPr>
            <w:tcW w:w="794" w:type="dxa"/>
            <w:tcBorders>
              <w:top w:val="single" w:sz="6" w:space="0" w:color="auto"/>
              <w:bottom w:val="single" w:sz="12" w:space="0" w:color="auto"/>
            </w:tcBorders>
          </w:tcPr>
          <w:p w14:paraId="262E26A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(4 337)</w:t>
            </w:r>
          </w:p>
        </w:tc>
      </w:tr>
      <w:tr w:rsidR="009C6724" w14:paraId="0DE08542"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20B70C6E" w14:textId="77777777" w:rsidR="00AB205D" w:rsidRDefault="00471A3B">
            <w:r>
              <w:rPr>
                <w:b/>
                <w:sz w:val="16"/>
              </w:rPr>
              <w:t>Other economic flows included in net result</w:t>
            </w:r>
          </w:p>
        </w:tc>
        <w:tc>
          <w:tcPr>
            <w:tcW w:w="794" w:type="dxa"/>
            <w:tcBorders>
              <w:top w:val="single" w:sz="6" w:space="0" w:color="auto"/>
            </w:tcBorders>
          </w:tcPr>
          <w:p w14:paraId="2964994D"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1359E170"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A2A3D95"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41896A4D"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4FBFD879"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0E2886BF"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7964ECA5" w14:textId="77777777" w:rsidR="00AB205D" w:rsidRDefault="00471A3B">
            <w:r>
              <w:rPr>
                <w:sz w:val="16"/>
              </w:rPr>
              <w:t>Net gain/(loss) on financial assets or liabilities at fair value</w:t>
            </w:r>
          </w:p>
        </w:tc>
        <w:tc>
          <w:tcPr>
            <w:tcW w:w="794" w:type="dxa"/>
          </w:tcPr>
          <w:p w14:paraId="2FD7749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282</w:t>
            </w:r>
          </w:p>
        </w:tc>
        <w:tc>
          <w:tcPr>
            <w:tcW w:w="794" w:type="dxa"/>
          </w:tcPr>
          <w:p w14:paraId="779FDDF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1 671</w:t>
            </w:r>
          </w:p>
        </w:tc>
        <w:tc>
          <w:tcPr>
            <w:tcW w:w="794" w:type="dxa"/>
          </w:tcPr>
          <w:p w14:paraId="4B13B0F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395</w:t>
            </w:r>
          </w:p>
        </w:tc>
        <w:tc>
          <w:tcPr>
            <w:tcW w:w="794" w:type="dxa"/>
          </w:tcPr>
          <w:p w14:paraId="4D78B1F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515</w:t>
            </w:r>
          </w:p>
        </w:tc>
        <w:tc>
          <w:tcPr>
            <w:tcW w:w="794" w:type="dxa"/>
          </w:tcPr>
          <w:p w14:paraId="2A515B4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993</w:t>
            </w:r>
          </w:p>
        </w:tc>
      </w:tr>
      <w:tr w:rsidR="009C6724" w14:paraId="34F97604"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43C604D5" w14:textId="77777777" w:rsidR="00AB205D" w:rsidRDefault="00471A3B">
            <w:r>
              <w:rPr>
                <w:sz w:val="16"/>
              </w:rPr>
              <w:t>Other gains/(losses) from other economic flows</w:t>
            </w:r>
          </w:p>
        </w:tc>
        <w:tc>
          <w:tcPr>
            <w:tcW w:w="794" w:type="dxa"/>
            <w:tcBorders>
              <w:bottom w:val="single" w:sz="6" w:space="0" w:color="auto"/>
            </w:tcBorders>
          </w:tcPr>
          <w:p w14:paraId="1EB4491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1 526</w:t>
            </w:r>
          </w:p>
        </w:tc>
        <w:tc>
          <w:tcPr>
            <w:tcW w:w="794" w:type="dxa"/>
            <w:tcBorders>
              <w:bottom w:val="single" w:sz="6" w:space="0" w:color="auto"/>
            </w:tcBorders>
          </w:tcPr>
          <w:p w14:paraId="05654F9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2 804</w:t>
            </w:r>
          </w:p>
        </w:tc>
        <w:tc>
          <w:tcPr>
            <w:tcW w:w="794" w:type="dxa"/>
            <w:tcBorders>
              <w:bottom w:val="single" w:sz="6" w:space="0" w:color="auto"/>
            </w:tcBorders>
          </w:tcPr>
          <w:p w14:paraId="1AAB82A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1 874</w:t>
            </w:r>
          </w:p>
        </w:tc>
        <w:tc>
          <w:tcPr>
            <w:tcW w:w="794" w:type="dxa"/>
            <w:tcBorders>
              <w:bottom w:val="single" w:sz="6" w:space="0" w:color="auto"/>
            </w:tcBorders>
          </w:tcPr>
          <w:p w14:paraId="40C084A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1 976</w:t>
            </w:r>
          </w:p>
        </w:tc>
        <w:tc>
          <w:tcPr>
            <w:tcW w:w="794" w:type="dxa"/>
            <w:tcBorders>
              <w:bottom w:val="single" w:sz="6" w:space="0" w:color="auto"/>
            </w:tcBorders>
          </w:tcPr>
          <w:p w14:paraId="34AEE7A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1 954</w:t>
            </w:r>
          </w:p>
        </w:tc>
      </w:tr>
      <w:tr w:rsidR="009C6724" w14:paraId="4E5D43CF"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61313F75" w14:textId="77777777" w:rsidR="00AB205D" w:rsidRDefault="00471A3B">
            <w:r>
              <w:rPr>
                <w:b/>
                <w:sz w:val="16"/>
              </w:rPr>
              <w:t>Total other economic flows included in net result</w:t>
            </w:r>
          </w:p>
        </w:tc>
        <w:tc>
          <w:tcPr>
            <w:tcW w:w="794" w:type="dxa"/>
            <w:tcBorders>
              <w:top w:val="single" w:sz="6" w:space="0" w:color="auto"/>
              <w:bottom w:val="single" w:sz="6" w:space="0" w:color="auto"/>
            </w:tcBorders>
          </w:tcPr>
          <w:p w14:paraId="395C5AB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1 808</w:t>
            </w:r>
          </w:p>
        </w:tc>
        <w:tc>
          <w:tcPr>
            <w:tcW w:w="794" w:type="dxa"/>
            <w:tcBorders>
              <w:top w:val="single" w:sz="6" w:space="0" w:color="auto"/>
              <w:bottom w:val="single" w:sz="6" w:space="0" w:color="auto"/>
            </w:tcBorders>
          </w:tcPr>
          <w:p w14:paraId="27104DC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4 475</w:t>
            </w:r>
          </w:p>
        </w:tc>
        <w:tc>
          <w:tcPr>
            <w:tcW w:w="794" w:type="dxa"/>
            <w:tcBorders>
              <w:top w:val="single" w:sz="6" w:space="0" w:color="auto"/>
              <w:bottom w:val="single" w:sz="6" w:space="0" w:color="auto"/>
            </w:tcBorders>
          </w:tcPr>
          <w:p w14:paraId="3784D9C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2 269</w:t>
            </w:r>
          </w:p>
        </w:tc>
        <w:tc>
          <w:tcPr>
            <w:tcW w:w="794" w:type="dxa"/>
            <w:tcBorders>
              <w:top w:val="single" w:sz="6" w:space="0" w:color="auto"/>
              <w:bottom w:val="single" w:sz="6" w:space="0" w:color="auto"/>
            </w:tcBorders>
          </w:tcPr>
          <w:p w14:paraId="7EA4A01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2 491</w:t>
            </w:r>
          </w:p>
        </w:tc>
        <w:tc>
          <w:tcPr>
            <w:tcW w:w="794" w:type="dxa"/>
            <w:tcBorders>
              <w:top w:val="single" w:sz="6" w:space="0" w:color="auto"/>
              <w:bottom w:val="single" w:sz="6" w:space="0" w:color="auto"/>
            </w:tcBorders>
          </w:tcPr>
          <w:p w14:paraId="0C9F17B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2 946</w:t>
            </w:r>
          </w:p>
        </w:tc>
      </w:tr>
      <w:tr w:rsidR="009C6724" w14:paraId="119F6E58"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6AFF39DB" w14:textId="77777777" w:rsidR="00AB205D" w:rsidRDefault="00471A3B">
            <w:r>
              <w:rPr>
                <w:b/>
                <w:sz w:val="16"/>
              </w:rPr>
              <w:t>Net result</w:t>
            </w:r>
          </w:p>
        </w:tc>
        <w:tc>
          <w:tcPr>
            <w:tcW w:w="794" w:type="dxa"/>
            <w:tcBorders>
              <w:top w:val="single" w:sz="6" w:space="0" w:color="auto"/>
              <w:bottom w:val="single" w:sz="12" w:space="0" w:color="auto"/>
            </w:tcBorders>
          </w:tcPr>
          <w:p w14:paraId="5C5B88B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(1 344)</w:t>
            </w:r>
          </w:p>
        </w:tc>
        <w:tc>
          <w:tcPr>
            <w:tcW w:w="794" w:type="dxa"/>
            <w:tcBorders>
              <w:top w:val="single" w:sz="6" w:space="0" w:color="auto"/>
              <w:bottom w:val="single" w:sz="12" w:space="0" w:color="auto"/>
            </w:tcBorders>
          </w:tcPr>
          <w:p w14:paraId="3E98753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1 457</w:t>
            </w:r>
          </w:p>
        </w:tc>
        <w:tc>
          <w:tcPr>
            <w:tcW w:w="794" w:type="dxa"/>
            <w:tcBorders>
              <w:top w:val="single" w:sz="6" w:space="0" w:color="auto"/>
              <w:bottom w:val="single" w:sz="12" w:space="0" w:color="auto"/>
            </w:tcBorders>
          </w:tcPr>
          <w:p w14:paraId="79D5F40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(1 120)</w:t>
            </w:r>
          </w:p>
        </w:tc>
        <w:tc>
          <w:tcPr>
            <w:tcW w:w="794" w:type="dxa"/>
            <w:tcBorders>
              <w:top w:val="single" w:sz="6" w:space="0" w:color="auto"/>
              <w:bottom w:val="single" w:sz="12" w:space="0" w:color="auto"/>
            </w:tcBorders>
          </w:tcPr>
          <w:p w14:paraId="1FFEC49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(1 250)</w:t>
            </w:r>
          </w:p>
        </w:tc>
        <w:tc>
          <w:tcPr>
            <w:tcW w:w="794" w:type="dxa"/>
            <w:tcBorders>
              <w:top w:val="single" w:sz="6" w:space="0" w:color="auto"/>
              <w:bottom w:val="single" w:sz="12" w:space="0" w:color="auto"/>
            </w:tcBorders>
          </w:tcPr>
          <w:p w14:paraId="0BC7F8C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(1 390)</w:t>
            </w:r>
          </w:p>
        </w:tc>
      </w:tr>
      <w:tr w:rsidR="009C6724" w14:paraId="400508E5"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2C58D21A" w14:textId="77777777" w:rsidR="00AB205D" w:rsidRDefault="00471A3B">
            <w:r>
              <w:rPr>
                <w:b/>
                <w:sz w:val="16"/>
              </w:rPr>
              <w:t>Other economic flows – other comprehensive income</w:t>
            </w:r>
          </w:p>
        </w:tc>
        <w:tc>
          <w:tcPr>
            <w:tcW w:w="794" w:type="dxa"/>
            <w:tcBorders>
              <w:top w:val="single" w:sz="6" w:space="0" w:color="auto"/>
            </w:tcBorders>
          </w:tcPr>
          <w:p w14:paraId="668108C2"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F39E818"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6B89D6F4"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220840C2"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1A91E88"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1E8420C5"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1C330998" w14:textId="77777777" w:rsidR="00AB205D" w:rsidRDefault="00471A3B">
            <w:r>
              <w:rPr>
                <w:b/>
                <w:sz w:val="16"/>
              </w:rPr>
              <w:t>Total other economic flows – other comprehensive income</w:t>
            </w:r>
          </w:p>
        </w:tc>
        <w:tc>
          <w:tcPr>
            <w:tcW w:w="794" w:type="dxa"/>
            <w:tcBorders>
              <w:top w:val="single" w:sz="6" w:space="0" w:color="auto"/>
              <w:bottom w:val="single" w:sz="6" w:space="0" w:color="auto"/>
            </w:tcBorders>
          </w:tcPr>
          <w:p w14:paraId="6D03BBDF"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Borders>
              <w:top w:val="single" w:sz="6" w:space="0" w:color="auto"/>
              <w:bottom w:val="single" w:sz="6" w:space="0" w:color="auto"/>
            </w:tcBorders>
          </w:tcPr>
          <w:p w14:paraId="434B47EF"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Borders>
              <w:top w:val="single" w:sz="6" w:space="0" w:color="auto"/>
              <w:bottom w:val="single" w:sz="6" w:space="0" w:color="auto"/>
            </w:tcBorders>
          </w:tcPr>
          <w:p w14:paraId="3A136149"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Borders>
              <w:top w:val="single" w:sz="6" w:space="0" w:color="auto"/>
              <w:bottom w:val="single" w:sz="6" w:space="0" w:color="auto"/>
            </w:tcBorders>
          </w:tcPr>
          <w:p w14:paraId="1487EF9C"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Borders>
              <w:top w:val="single" w:sz="6" w:space="0" w:color="auto"/>
              <w:bottom w:val="single" w:sz="6" w:space="0" w:color="auto"/>
            </w:tcBorders>
          </w:tcPr>
          <w:p w14:paraId="3DFFEF17"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r>
      <w:tr w:rsidR="009C6724" w14:paraId="63B339D6"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4DE9F01F" w14:textId="77777777" w:rsidR="00AB205D" w:rsidRDefault="00471A3B">
            <w:r>
              <w:rPr>
                <w:b/>
                <w:sz w:val="16"/>
              </w:rPr>
              <w:t>Comprehensive result – total change in net worth</w:t>
            </w:r>
          </w:p>
        </w:tc>
        <w:tc>
          <w:tcPr>
            <w:tcW w:w="794" w:type="dxa"/>
            <w:tcBorders>
              <w:top w:val="single" w:sz="6" w:space="0" w:color="auto"/>
              <w:bottom w:val="single" w:sz="12" w:space="0" w:color="auto"/>
            </w:tcBorders>
          </w:tcPr>
          <w:p w14:paraId="22ADA4D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(1 344)</w:t>
            </w:r>
          </w:p>
        </w:tc>
        <w:tc>
          <w:tcPr>
            <w:tcW w:w="794" w:type="dxa"/>
            <w:tcBorders>
              <w:top w:val="single" w:sz="6" w:space="0" w:color="auto"/>
              <w:bottom w:val="single" w:sz="12" w:space="0" w:color="auto"/>
            </w:tcBorders>
          </w:tcPr>
          <w:p w14:paraId="7A997BD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1 457</w:t>
            </w:r>
          </w:p>
        </w:tc>
        <w:tc>
          <w:tcPr>
            <w:tcW w:w="794" w:type="dxa"/>
            <w:tcBorders>
              <w:top w:val="single" w:sz="6" w:space="0" w:color="auto"/>
              <w:bottom w:val="single" w:sz="12" w:space="0" w:color="auto"/>
            </w:tcBorders>
          </w:tcPr>
          <w:p w14:paraId="6D308F4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(1 120)</w:t>
            </w:r>
          </w:p>
        </w:tc>
        <w:tc>
          <w:tcPr>
            <w:tcW w:w="794" w:type="dxa"/>
            <w:tcBorders>
              <w:top w:val="single" w:sz="6" w:space="0" w:color="auto"/>
              <w:bottom w:val="single" w:sz="12" w:space="0" w:color="auto"/>
            </w:tcBorders>
          </w:tcPr>
          <w:p w14:paraId="7AF50B5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(1 250)</w:t>
            </w:r>
          </w:p>
        </w:tc>
        <w:tc>
          <w:tcPr>
            <w:tcW w:w="794" w:type="dxa"/>
            <w:tcBorders>
              <w:top w:val="single" w:sz="6" w:space="0" w:color="auto"/>
              <w:bottom w:val="single" w:sz="12" w:space="0" w:color="auto"/>
            </w:tcBorders>
          </w:tcPr>
          <w:p w14:paraId="25C0777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(1 390)</w:t>
            </w:r>
          </w:p>
        </w:tc>
      </w:tr>
      <w:tr w:rsidR="009C6724" w14:paraId="5E8CEAFB" w14:textId="77777777" w:rsidTr="009C6724">
        <w:trPr>
          <w:trHeight w:hRule="exact" w:val="113"/>
        </w:trPr>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6DBEB662" w14:textId="77777777" w:rsidR="00AB205D" w:rsidRDefault="00AB205D"/>
        </w:tc>
        <w:tc>
          <w:tcPr>
            <w:tcW w:w="794" w:type="dxa"/>
            <w:tcBorders>
              <w:top w:val="single" w:sz="6" w:space="0" w:color="auto"/>
            </w:tcBorders>
          </w:tcPr>
          <w:p w14:paraId="4867C02B"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4F44011F"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EEBD162"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7CC959D"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E946900"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456B6D6C"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5F1F920C" w14:textId="77777777" w:rsidR="00AB205D" w:rsidRDefault="00471A3B">
            <w:r>
              <w:rPr>
                <w:b/>
                <w:sz w:val="16"/>
              </w:rPr>
              <w:t>KEY FISCAL AGGREGATES</w:t>
            </w:r>
          </w:p>
        </w:tc>
        <w:tc>
          <w:tcPr>
            <w:tcW w:w="794" w:type="dxa"/>
          </w:tcPr>
          <w:p w14:paraId="5932C1A8"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B3C2812"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1DD9EC72"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4C5083D7"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47DEB24F"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6F1D6958"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5519137" w14:textId="77777777" w:rsidR="00AB205D" w:rsidRDefault="00471A3B">
            <w:r>
              <w:rPr>
                <w:b/>
                <w:sz w:val="16"/>
              </w:rPr>
              <w:t>Net operating balance</w:t>
            </w:r>
          </w:p>
        </w:tc>
        <w:tc>
          <w:tcPr>
            <w:tcW w:w="794" w:type="dxa"/>
          </w:tcPr>
          <w:p w14:paraId="653CC1A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(3 152)</w:t>
            </w:r>
          </w:p>
        </w:tc>
        <w:tc>
          <w:tcPr>
            <w:tcW w:w="794" w:type="dxa"/>
          </w:tcPr>
          <w:p w14:paraId="66DEC36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(3 018)</w:t>
            </w:r>
          </w:p>
        </w:tc>
        <w:tc>
          <w:tcPr>
            <w:tcW w:w="794" w:type="dxa"/>
          </w:tcPr>
          <w:p w14:paraId="0AFAC05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(3 389)</w:t>
            </w:r>
          </w:p>
        </w:tc>
        <w:tc>
          <w:tcPr>
            <w:tcW w:w="794" w:type="dxa"/>
          </w:tcPr>
          <w:p w14:paraId="50B1FB2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(3 741)</w:t>
            </w:r>
          </w:p>
        </w:tc>
        <w:tc>
          <w:tcPr>
            <w:tcW w:w="794" w:type="dxa"/>
          </w:tcPr>
          <w:p w14:paraId="56FE26A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(4 337)</w:t>
            </w:r>
          </w:p>
        </w:tc>
      </w:tr>
      <w:tr w:rsidR="009C6724" w14:paraId="5A1B66F3"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565F5A44" w14:textId="77777777" w:rsidR="00AB205D" w:rsidRDefault="00471A3B">
            <w:r>
              <w:rPr>
                <w:sz w:val="16"/>
              </w:rPr>
              <w:t>Less: Net acquisition of non</w:t>
            </w:r>
            <w:r>
              <w:rPr>
                <w:sz w:val="16"/>
              </w:rPr>
              <w:noBreakHyphen/>
              <w:t>financial assets from transactions</w:t>
            </w:r>
          </w:p>
        </w:tc>
        <w:tc>
          <w:tcPr>
            <w:tcW w:w="794" w:type="dxa"/>
            <w:tcBorders>
              <w:bottom w:val="single" w:sz="6" w:space="0" w:color="auto"/>
            </w:tcBorders>
          </w:tcPr>
          <w:p w14:paraId="2316C1F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(47)</w:t>
            </w:r>
          </w:p>
        </w:tc>
        <w:tc>
          <w:tcPr>
            <w:tcW w:w="794" w:type="dxa"/>
            <w:tcBorders>
              <w:bottom w:val="single" w:sz="6" w:space="0" w:color="auto"/>
            </w:tcBorders>
          </w:tcPr>
          <w:p w14:paraId="3B1AE8D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(46)</w:t>
            </w:r>
          </w:p>
        </w:tc>
        <w:tc>
          <w:tcPr>
            <w:tcW w:w="794" w:type="dxa"/>
            <w:tcBorders>
              <w:bottom w:val="single" w:sz="6" w:space="0" w:color="auto"/>
            </w:tcBorders>
          </w:tcPr>
          <w:p w14:paraId="1263FD2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(67)</w:t>
            </w:r>
          </w:p>
        </w:tc>
        <w:tc>
          <w:tcPr>
            <w:tcW w:w="794" w:type="dxa"/>
            <w:tcBorders>
              <w:bottom w:val="single" w:sz="6" w:space="0" w:color="auto"/>
            </w:tcBorders>
          </w:tcPr>
          <w:p w14:paraId="20F310E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(59)</w:t>
            </w:r>
          </w:p>
        </w:tc>
        <w:tc>
          <w:tcPr>
            <w:tcW w:w="794" w:type="dxa"/>
            <w:tcBorders>
              <w:bottom w:val="single" w:sz="6" w:space="0" w:color="auto"/>
            </w:tcBorders>
          </w:tcPr>
          <w:p w14:paraId="27DCBBB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(52)</w:t>
            </w:r>
          </w:p>
        </w:tc>
      </w:tr>
      <w:tr w:rsidR="009C6724" w14:paraId="1E4F2479"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68496CF0" w14:textId="77777777" w:rsidR="00AB205D" w:rsidRDefault="00471A3B">
            <w:r>
              <w:rPr>
                <w:b/>
                <w:sz w:val="16"/>
              </w:rPr>
              <w:t>Net lending/(borrowing)</w:t>
            </w:r>
          </w:p>
        </w:tc>
        <w:tc>
          <w:tcPr>
            <w:tcW w:w="794" w:type="dxa"/>
            <w:tcBorders>
              <w:top w:val="single" w:sz="6" w:space="0" w:color="auto"/>
              <w:bottom w:val="single" w:sz="12" w:space="0" w:color="auto"/>
            </w:tcBorders>
          </w:tcPr>
          <w:p w14:paraId="63E52C4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(3 104)</w:t>
            </w:r>
          </w:p>
        </w:tc>
        <w:tc>
          <w:tcPr>
            <w:tcW w:w="794" w:type="dxa"/>
            <w:tcBorders>
              <w:top w:val="single" w:sz="6" w:space="0" w:color="auto"/>
              <w:bottom w:val="single" w:sz="12" w:space="0" w:color="auto"/>
            </w:tcBorders>
          </w:tcPr>
          <w:p w14:paraId="69E0414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(2 972)</w:t>
            </w:r>
          </w:p>
        </w:tc>
        <w:tc>
          <w:tcPr>
            <w:tcW w:w="794" w:type="dxa"/>
            <w:tcBorders>
              <w:top w:val="single" w:sz="6" w:space="0" w:color="auto"/>
              <w:bottom w:val="single" w:sz="12" w:space="0" w:color="auto"/>
            </w:tcBorders>
          </w:tcPr>
          <w:p w14:paraId="5B356EC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(3 321)</w:t>
            </w:r>
          </w:p>
        </w:tc>
        <w:tc>
          <w:tcPr>
            <w:tcW w:w="794" w:type="dxa"/>
            <w:tcBorders>
              <w:top w:val="single" w:sz="6" w:space="0" w:color="auto"/>
              <w:bottom w:val="single" w:sz="12" w:space="0" w:color="auto"/>
            </w:tcBorders>
          </w:tcPr>
          <w:p w14:paraId="2BE7994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(3 682)</w:t>
            </w:r>
          </w:p>
        </w:tc>
        <w:tc>
          <w:tcPr>
            <w:tcW w:w="794" w:type="dxa"/>
            <w:tcBorders>
              <w:top w:val="single" w:sz="6" w:space="0" w:color="auto"/>
              <w:bottom w:val="single" w:sz="12" w:space="0" w:color="auto"/>
            </w:tcBorders>
          </w:tcPr>
          <w:p w14:paraId="6EF0934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(4 285)</w:t>
            </w:r>
          </w:p>
        </w:tc>
      </w:tr>
    </w:tbl>
    <w:p w14:paraId="5D36FE69" w14:textId="77777777" w:rsidR="00AB205D" w:rsidRPr="00921F69" w:rsidRDefault="00471A3B">
      <w:pPr>
        <w:pStyle w:val="Note"/>
      </w:pPr>
      <w:r w:rsidRPr="00921F69">
        <w:t>Note</w:t>
      </w:r>
      <w:r>
        <w:t>s</w:t>
      </w:r>
      <w:r w:rsidRPr="00921F69">
        <w:t>:</w:t>
      </w:r>
    </w:p>
    <w:p w14:paraId="21CAF4C9" w14:textId="6EE7CD96" w:rsidR="00AB205D" w:rsidRPr="00921F69" w:rsidRDefault="00471A3B">
      <w:pPr>
        <w:pStyle w:val="Note"/>
      </w:pPr>
      <w:r w:rsidRPr="004D1722">
        <w:t>(a)</w:t>
      </w:r>
      <w:r w:rsidRPr="004D1722">
        <w:tab/>
      </w:r>
      <w:r>
        <w:t xml:space="preserve">The </w:t>
      </w:r>
      <w:r w:rsidRPr="00882944">
        <w:rPr>
          <w:i w:val="0"/>
          <w:iCs/>
        </w:rPr>
        <w:t>2023-24 Budget</w:t>
      </w:r>
      <w:r>
        <w:t xml:space="preserve"> included a</w:t>
      </w:r>
      <w:r w:rsidRPr="0000198B">
        <w:t xml:space="preserve"> range of savings and efficiency initiatives </w:t>
      </w:r>
      <w:r>
        <w:t>that</w:t>
      </w:r>
      <w:r w:rsidRPr="0000198B">
        <w:t xml:space="preserve"> will be implemented by the </w:t>
      </w:r>
      <w:r>
        <w:t>public financial corporations (</w:t>
      </w:r>
      <w:r w:rsidRPr="0000198B">
        <w:t>PFC</w:t>
      </w:r>
      <w:r>
        <w:t>)</w:t>
      </w:r>
      <w:r w:rsidRPr="0000198B">
        <w:t xml:space="preserve"> sector. The impact of these initiatives </w:t>
      </w:r>
      <w:r w:rsidR="00882944">
        <w:t>is</w:t>
      </w:r>
      <w:r w:rsidRPr="0000198B">
        <w:t xml:space="preserve"> reflected in the estimates for the budget year and the three forward years.</w:t>
      </w:r>
    </w:p>
    <w:p w14:paraId="021D996A" w14:textId="77777777" w:rsidR="00AB205D" w:rsidRPr="00921F69" w:rsidRDefault="00471A3B">
      <w:pPr>
        <w:pStyle w:val="Note"/>
      </w:pPr>
      <w:r w:rsidRPr="00921F69">
        <w:t>(</w:t>
      </w:r>
      <w:r>
        <w:t>b</w:t>
      </w:r>
      <w:r w:rsidRPr="00921F69">
        <w:t>)</w:t>
      </w:r>
      <w:r w:rsidRPr="00921F69">
        <w:tab/>
      </w:r>
      <w:r>
        <w:t>Capital gains on the investment portfolios of the State’s insurance agencies (WorkSafe Victoria, Transport Accident Commission and Victorian Managed Insurance Authority) are classified as other economic flows. As these capital gains are available to fund claims expenses, the net result more meaningfully reflects the underlying operations and performance of the PFC sector than the net result from transactions.</w:t>
      </w:r>
    </w:p>
    <w:p w14:paraId="44933B8B" w14:textId="77777777" w:rsidR="00AB205D" w:rsidRDefault="00471A3B">
      <w:pPr>
        <w:keepLines w:val="0"/>
        <w:rPr>
          <w:rFonts w:asciiTheme="majorHAnsi" w:hAnsiTheme="majorHAnsi" w:cstheme="minorBidi"/>
          <w:i/>
          <w:sz w:val="14"/>
        </w:rPr>
      </w:pPr>
      <w:r>
        <w:br w:type="page"/>
      </w:r>
    </w:p>
    <w:p w14:paraId="5F601AA3" w14:textId="77777777" w:rsidR="00AB205D" w:rsidRPr="0063276E" w:rsidRDefault="00471A3B">
      <w:pPr>
        <w:pStyle w:val="TableHeading"/>
      </w:pPr>
      <w:r w:rsidRPr="00921F69">
        <w:lastRenderedPageBreak/>
        <w:t>Table 5.12</w:t>
      </w:r>
      <w:r w:rsidRPr="00921F69">
        <w:tab/>
        <w:t>Public financial corporations sector balance sheet as at 30 June</w:t>
      </w:r>
      <w:r w:rsidRPr="00921F69">
        <w:tab/>
        <w:t>($ million)</w:t>
      </w:r>
    </w:p>
    <w:tbl>
      <w:tblPr>
        <w:tblStyle w:val="DTFTableNumeric"/>
        <w:tblW w:w="7710" w:type="dxa"/>
        <w:tblLayout w:type="fixed"/>
        <w:tblLook w:val="06A0" w:firstRow="1" w:lastRow="0" w:firstColumn="1" w:lastColumn="0" w:noHBand="1" w:noVBand="1"/>
        <w:tblDescription w:val="Type:DtfTable|Workbook:Rawdata\BudgetUpdate\Budget Update\Financial Statements\SRIMS exports\SRIMS_BU_UPF_PNFC_PFC.xlsx|Table:PFC_BS|MergedHeadingRow:1"/>
      </w:tblPr>
      <w:tblGrid>
        <w:gridCol w:w="3740"/>
        <w:gridCol w:w="794"/>
        <w:gridCol w:w="794"/>
        <w:gridCol w:w="794"/>
        <w:gridCol w:w="794"/>
        <w:gridCol w:w="794"/>
      </w:tblGrid>
      <w:tr w:rsidR="009C6724" w14:paraId="528E3DA5"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04EAD994" w14:textId="77777777" w:rsidR="00AB205D" w:rsidRDefault="00AB205D">
            <w:pPr>
              <w:keepNext/>
            </w:pPr>
          </w:p>
        </w:tc>
        <w:tc>
          <w:tcPr>
            <w:tcW w:w="794" w:type="dxa"/>
          </w:tcPr>
          <w:p w14:paraId="40A9A7A1"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br/>
              <w:t>budget</w:t>
            </w:r>
            <w:r>
              <w:rPr>
                <w:vertAlign w:val="superscript"/>
              </w:rPr>
              <w:t xml:space="preserve"> (a)</w:t>
            </w:r>
          </w:p>
        </w:tc>
        <w:tc>
          <w:tcPr>
            <w:tcW w:w="794" w:type="dxa"/>
          </w:tcPr>
          <w:p w14:paraId="4790B36A"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br/>
              <w:t>revised</w:t>
            </w:r>
          </w:p>
        </w:tc>
        <w:tc>
          <w:tcPr>
            <w:tcW w:w="794" w:type="dxa"/>
          </w:tcPr>
          <w:p w14:paraId="153FC0E1"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br/>
              <w:t>estimate</w:t>
            </w:r>
          </w:p>
        </w:tc>
        <w:tc>
          <w:tcPr>
            <w:tcW w:w="794" w:type="dxa"/>
          </w:tcPr>
          <w:p w14:paraId="49D72345"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br/>
              <w:t>estimate</w:t>
            </w:r>
          </w:p>
        </w:tc>
        <w:tc>
          <w:tcPr>
            <w:tcW w:w="794" w:type="dxa"/>
          </w:tcPr>
          <w:p w14:paraId="5D70FC5C"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2027</w:t>
            </w:r>
            <w:r>
              <w:br/>
              <w:t>estimate</w:t>
            </w:r>
          </w:p>
        </w:tc>
      </w:tr>
      <w:tr w:rsidR="009C6724" w14:paraId="28716C24"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5DFD62F" w14:textId="77777777" w:rsidR="00AB205D" w:rsidRDefault="00471A3B">
            <w:r>
              <w:rPr>
                <w:b/>
              </w:rPr>
              <w:t>Assets</w:t>
            </w:r>
          </w:p>
        </w:tc>
        <w:tc>
          <w:tcPr>
            <w:tcW w:w="794" w:type="dxa"/>
          </w:tcPr>
          <w:p w14:paraId="67288A7C"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1955A6D8"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5EE6040"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24EF1812"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37B3373"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22F8BF1F"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24E5EBF" w14:textId="77777777" w:rsidR="00AB205D" w:rsidRDefault="00471A3B">
            <w:r>
              <w:rPr>
                <w:b/>
              </w:rPr>
              <w:t>Financial assets</w:t>
            </w:r>
          </w:p>
        </w:tc>
        <w:tc>
          <w:tcPr>
            <w:tcW w:w="794" w:type="dxa"/>
          </w:tcPr>
          <w:p w14:paraId="33958BAC"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B1C0780"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4D586DF3"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547EE2CF"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22D00FBE"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6D64D074"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BC8CC99" w14:textId="77777777" w:rsidR="00AB205D" w:rsidRDefault="00471A3B">
            <w:r>
              <w:t>Cash and deposits</w:t>
            </w:r>
          </w:p>
        </w:tc>
        <w:tc>
          <w:tcPr>
            <w:tcW w:w="794" w:type="dxa"/>
          </w:tcPr>
          <w:p w14:paraId="215DD63C" w14:textId="77777777" w:rsidR="00AB205D" w:rsidRDefault="00471A3B">
            <w:pPr>
              <w:cnfStyle w:val="000000000000" w:firstRow="0" w:lastRow="0" w:firstColumn="0" w:lastColumn="0" w:oddVBand="0" w:evenVBand="0" w:oddHBand="0" w:evenHBand="0" w:firstRowFirstColumn="0" w:firstRowLastColumn="0" w:lastRowFirstColumn="0" w:lastRowLastColumn="0"/>
            </w:pPr>
            <w:r>
              <w:t>3 841</w:t>
            </w:r>
          </w:p>
        </w:tc>
        <w:tc>
          <w:tcPr>
            <w:tcW w:w="794" w:type="dxa"/>
          </w:tcPr>
          <w:p w14:paraId="27F08EAB" w14:textId="77777777" w:rsidR="00AB205D" w:rsidRDefault="00471A3B">
            <w:pPr>
              <w:cnfStyle w:val="000000000000" w:firstRow="0" w:lastRow="0" w:firstColumn="0" w:lastColumn="0" w:oddVBand="0" w:evenVBand="0" w:oddHBand="0" w:evenHBand="0" w:firstRowFirstColumn="0" w:firstRowLastColumn="0" w:lastRowFirstColumn="0" w:lastRowLastColumn="0"/>
            </w:pPr>
            <w:r>
              <w:t>3 589</w:t>
            </w:r>
          </w:p>
        </w:tc>
        <w:tc>
          <w:tcPr>
            <w:tcW w:w="794" w:type="dxa"/>
          </w:tcPr>
          <w:p w14:paraId="529E0BEA" w14:textId="77777777" w:rsidR="00AB205D" w:rsidRDefault="00471A3B">
            <w:pPr>
              <w:cnfStyle w:val="000000000000" w:firstRow="0" w:lastRow="0" w:firstColumn="0" w:lastColumn="0" w:oddVBand="0" w:evenVBand="0" w:oddHBand="0" w:evenHBand="0" w:firstRowFirstColumn="0" w:firstRowLastColumn="0" w:lastRowFirstColumn="0" w:lastRowLastColumn="0"/>
            </w:pPr>
            <w:r>
              <w:t>3 661</w:t>
            </w:r>
          </w:p>
        </w:tc>
        <w:tc>
          <w:tcPr>
            <w:tcW w:w="794" w:type="dxa"/>
          </w:tcPr>
          <w:p w14:paraId="143BE907" w14:textId="77777777" w:rsidR="00AB205D" w:rsidRDefault="00471A3B">
            <w:pPr>
              <w:cnfStyle w:val="000000000000" w:firstRow="0" w:lastRow="0" w:firstColumn="0" w:lastColumn="0" w:oddVBand="0" w:evenVBand="0" w:oddHBand="0" w:evenHBand="0" w:firstRowFirstColumn="0" w:firstRowLastColumn="0" w:lastRowFirstColumn="0" w:lastRowLastColumn="0"/>
            </w:pPr>
            <w:r>
              <w:t>3 717</w:t>
            </w:r>
          </w:p>
        </w:tc>
        <w:tc>
          <w:tcPr>
            <w:tcW w:w="794" w:type="dxa"/>
          </w:tcPr>
          <w:p w14:paraId="59675CED" w14:textId="77777777" w:rsidR="00AB205D" w:rsidRDefault="00471A3B">
            <w:pPr>
              <w:cnfStyle w:val="000000000000" w:firstRow="0" w:lastRow="0" w:firstColumn="0" w:lastColumn="0" w:oddVBand="0" w:evenVBand="0" w:oddHBand="0" w:evenHBand="0" w:firstRowFirstColumn="0" w:firstRowLastColumn="0" w:lastRowFirstColumn="0" w:lastRowLastColumn="0"/>
            </w:pPr>
            <w:r>
              <w:t>3 935</w:t>
            </w:r>
          </w:p>
        </w:tc>
      </w:tr>
      <w:tr w:rsidR="009C6724" w14:paraId="203FD563"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F9DE29B" w14:textId="77777777" w:rsidR="00AB205D" w:rsidRDefault="00471A3B">
            <w:r>
              <w:t>Advances paid</w:t>
            </w:r>
          </w:p>
        </w:tc>
        <w:tc>
          <w:tcPr>
            <w:tcW w:w="794" w:type="dxa"/>
          </w:tcPr>
          <w:p w14:paraId="770B46DF" w14:textId="77777777" w:rsidR="00AB205D" w:rsidRDefault="00471A3B">
            <w:pPr>
              <w:cnfStyle w:val="000000000000" w:firstRow="0" w:lastRow="0" w:firstColumn="0" w:lastColumn="0" w:oddVBand="0" w:evenVBand="0" w:oddHBand="0" w:evenHBand="0" w:firstRowFirstColumn="0" w:firstRowLastColumn="0" w:lastRowFirstColumn="0" w:lastRowLastColumn="0"/>
            </w:pPr>
            <w:r>
              <w:t>42</w:t>
            </w:r>
          </w:p>
        </w:tc>
        <w:tc>
          <w:tcPr>
            <w:tcW w:w="794" w:type="dxa"/>
          </w:tcPr>
          <w:p w14:paraId="06AACECE" w14:textId="77777777" w:rsidR="00AB205D" w:rsidRDefault="00471A3B">
            <w:pPr>
              <w:cnfStyle w:val="000000000000" w:firstRow="0" w:lastRow="0" w:firstColumn="0" w:lastColumn="0" w:oddVBand="0" w:evenVBand="0" w:oddHBand="0" w:evenHBand="0" w:firstRowFirstColumn="0" w:firstRowLastColumn="0" w:lastRowFirstColumn="0" w:lastRowLastColumn="0"/>
            </w:pPr>
            <w:r>
              <w:t>27</w:t>
            </w:r>
          </w:p>
        </w:tc>
        <w:tc>
          <w:tcPr>
            <w:tcW w:w="794" w:type="dxa"/>
          </w:tcPr>
          <w:p w14:paraId="61CC56A0" w14:textId="77777777" w:rsidR="00AB205D" w:rsidRDefault="00471A3B">
            <w:pPr>
              <w:cnfStyle w:val="000000000000" w:firstRow="0" w:lastRow="0" w:firstColumn="0" w:lastColumn="0" w:oddVBand="0" w:evenVBand="0" w:oddHBand="0" w:evenHBand="0" w:firstRowFirstColumn="0" w:firstRowLastColumn="0" w:lastRowFirstColumn="0" w:lastRowLastColumn="0"/>
            </w:pPr>
            <w:r>
              <w:t>19</w:t>
            </w:r>
          </w:p>
        </w:tc>
        <w:tc>
          <w:tcPr>
            <w:tcW w:w="794" w:type="dxa"/>
          </w:tcPr>
          <w:p w14:paraId="77243541" w14:textId="77777777" w:rsidR="00AB205D" w:rsidRDefault="00471A3B">
            <w:pPr>
              <w:cnfStyle w:val="000000000000" w:firstRow="0" w:lastRow="0" w:firstColumn="0" w:lastColumn="0" w:oddVBand="0" w:evenVBand="0" w:oddHBand="0" w:evenHBand="0" w:firstRowFirstColumn="0" w:firstRowLastColumn="0" w:lastRowFirstColumn="0" w:lastRowLastColumn="0"/>
            </w:pPr>
            <w:r>
              <w:t>14</w:t>
            </w:r>
          </w:p>
        </w:tc>
        <w:tc>
          <w:tcPr>
            <w:tcW w:w="794" w:type="dxa"/>
          </w:tcPr>
          <w:p w14:paraId="431BE57D" w14:textId="77777777" w:rsidR="00AB205D" w:rsidRDefault="00471A3B">
            <w:pPr>
              <w:cnfStyle w:val="000000000000" w:firstRow="0" w:lastRow="0" w:firstColumn="0" w:lastColumn="0" w:oddVBand="0" w:evenVBand="0" w:oddHBand="0" w:evenHBand="0" w:firstRowFirstColumn="0" w:firstRowLastColumn="0" w:lastRowFirstColumn="0" w:lastRowLastColumn="0"/>
            </w:pPr>
            <w:r>
              <w:t>10</w:t>
            </w:r>
          </w:p>
        </w:tc>
      </w:tr>
      <w:tr w:rsidR="009C6724" w14:paraId="47B7A31F"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BE9FCCC" w14:textId="77777777" w:rsidR="00AB205D" w:rsidRDefault="00471A3B">
            <w:r>
              <w:t>Receivables</w:t>
            </w:r>
          </w:p>
        </w:tc>
        <w:tc>
          <w:tcPr>
            <w:tcW w:w="794" w:type="dxa"/>
          </w:tcPr>
          <w:p w14:paraId="6A940309" w14:textId="77777777" w:rsidR="00AB205D" w:rsidRDefault="00471A3B">
            <w:pPr>
              <w:cnfStyle w:val="000000000000" w:firstRow="0" w:lastRow="0" w:firstColumn="0" w:lastColumn="0" w:oddVBand="0" w:evenVBand="0" w:oddHBand="0" w:evenHBand="0" w:firstRowFirstColumn="0" w:firstRowLastColumn="0" w:lastRowFirstColumn="0" w:lastRowLastColumn="0"/>
            </w:pPr>
            <w:r>
              <w:t>2 286</w:t>
            </w:r>
          </w:p>
        </w:tc>
        <w:tc>
          <w:tcPr>
            <w:tcW w:w="794" w:type="dxa"/>
          </w:tcPr>
          <w:p w14:paraId="4B4563CF" w14:textId="77777777" w:rsidR="00AB205D" w:rsidRDefault="00471A3B">
            <w:pPr>
              <w:cnfStyle w:val="000000000000" w:firstRow="0" w:lastRow="0" w:firstColumn="0" w:lastColumn="0" w:oddVBand="0" w:evenVBand="0" w:oddHBand="0" w:evenHBand="0" w:firstRowFirstColumn="0" w:firstRowLastColumn="0" w:lastRowFirstColumn="0" w:lastRowLastColumn="0"/>
            </w:pPr>
            <w:r>
              <w:t>2 240</w:t>
            </w:r>
          </w:p>
        </w:tc>
        <w:tc>
          <w:tcPr>
            <w:tcW w:w="794" w:type="dxa"/>
          </w:tcPr>
          <w:p w14:paraId="4012D97C" w14:textId="77777777" w:rsidR="00AB205D" w:rsidRDefault="00471A3B">
            <w:pPr>
              <w:cnfStyle w:val="000000000000" w:firstRow="0" w:lastRow="0" w:firstColumn="0" w:lastColumn="0" w:oddVBand="0" w:evenVBand="0" w:oddHBand="0" w:evenHBand="0" w:firstRowFirstColumn="0" w:firstRowLastColumn="0" w:lastRowFirstColumn="0" w:lastRowLastColumn="0"/>
            </w:pPr>
            <w:r>
              <w:t>2 194</w:t>
            </w:r>
          </w:p>
        </w:tc>
        <w:tc>
          <w:tcPr>
            <w:tcW w:w="794" w:type="dxa"/>
          </w:tcPr>
          <w:p w14:paraId="2E2E495B" w14:textId="77777777" w:rsidR="00AB205D" w:rsidRDefault="00471A3B">
            <w:pPr>
              <w:cnfStyle w:val="000000000000" w:firstRow="0" w:lastRow="0" w:firstColumn="0" w:lastColumn="0" w:oddVBand="0" w:evenVBand="0" w:oddHBand="0" w:evenHBand="0" w:firstRowFirstColumn="0" w:firstRowLastColumn="0" w:lastRowFirstColumn="0" w:lastRowLastColumn="0"/>
            </w:pPr>
            <w:r>
              <w:t>2 205</w:t>
            </w:r>
          </w:p>
        </w:tc>
        <w:tc>
          <w:tcPr>
            <w:tcW w:w="794" w:type="dxa"/>
          </w:tcPr>
          <w:p w14:paraId="40C103B2" w14:textId="77777777" w:rsidR="00AB205D" w:rsidRDefault="00471A3B">
            <w:pPr>
              <w:cnfStyle w:val="000000000000" w:firstRow="0" w:lastRow="0" w:firstColumn="0" w:lastColumn="0" w:oddVBand="0" w:evenVBand="0" w:oddHBand="0" w:evenHBand="0" w:firstRowFirstColumn="0" w:firstRowLastColumn="0" w:lastRowFirstColumn="0" w:lastRowLastColumn="0"/>
            </w:pPr>
            <w:r>
              <w:t>2 218</w:t>
            </w:r>
          </w:p>
        </w:tc>
      </w:tr>
      <w:tr w:rsidR="009C6724" w14:paraId="4CB29138"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6AF9C5D5" w14:textId="77777777" w:rsidR="00AB205D" w:rsidRDefault="00471A3B">
            <w:r>
              <w:t>Investments, loans and placements</w:t>
            </w:r>
          </w:p>
        </w:tc>
        <w:tc>
          <w:tcPr>
            <w:tcW w:w="794" w:type="dxa"/>
          </w:tcPr>
          <w:p w14:paraId="0B2779F6" w14:textId="77777777" w:rsidR="00AB205D" w:rsidRDefault="00471A3B">
            <w:pPr>
              <w:cnfStyle w:val="000000000000" w:firstRow="0" w:lastRow="0" w:firstColumn="0" w:lastColumn="0" w:oddVBand="0" w:evenVBand="0" w:oddHBand="0" w:evenHBand="0" w:firstRowFirstColumn="0" w:firstRowLastColumn="0" w:lastRowFirstColumn="0" w:lastRowLastColumn="0"/>
            </w:pPr>
            <w:r>
              <w:t>64 151</w:t>
            </w:r>
          </w:p>
        </w:tc>
        <w:tc>
          <w:tcPr>
            <w:tcW w:w="794" w:type="dxa"/>
          </w:tcPr>
          <w:p w14:paraId="047E9655" w14:textId="77777777" w:rsidR="00AB205D" w:rsidRDefault="00471A3B">
            <w:pPr>
              <w:cnfStyle w:val="000000000000" w:firstRow="0" w:lastRow="0" w:firstColumn="0" w:lastColumn="0" w:oddVBand="0" w:evenVBand="0" w:oddHBand="0" w:evenHBand="0" w:firstRowFirstColumn="0" w:firstRowLastColumn="0" w:lastRowFirstColumn="0" w:lastRowLastColumn="0"/>
            </w:pPr>
            <w:r>
              <w:t>58 763</w:t>
            </w:r>
          </w:p>
        </w:tc>
        <w:tc>
          <w:tcPr>
            <w:tcW w:w="794" w:type="dxa"/>
          </w:tcPr>
          <w:p w14:paraId="0759E4B1" w14:textId="77777777" w:rsidR="00AB205D" w:rsidRDefault="00471A3B">
            <w:pPr>
              <w:cnfStyle w:val="000000000000" w:firstRow="0" w:lastRow="0" w:firstColumn="0" w:lastColumn="0" w:oddVBand="0" w:evenVBand="0" w:oddHBand="0" w:evenHBand="0" w:firstRowFirstColumn="0" w:firstRowLastColumn="0" w:lastRowFirstColumn="0" w:lastRowLastColumn="0"/>
            </w:pPr>
            <w:r>
              <w:t>61 585</w:t>
            </w:r>
          </w:p>
        </w:tc>
        <w:tc>
          <w:tcPr>
            <w:tcW w:w="794" w:type="dxa"/>
          </w:tcPr>
          <w:p w14:paraId="1EA71B6A" w14:textId="77777777" w:rsidR="00AB205D" w:rsidRDefault="00471A3B">
            <w:pPr>
              <w:cnfStyle w:val="000000000000" w:firstRow="0" w:lastRow="0" w:firstColumn="0" w:lastColumn="0" w:oddVBand="0" w:evenVBand="0" w:oddHBand="0" w:evenHBand="0" w:firstRowFirstColumn="0" w:firstRowLastColumn="0" w:lastRowFirstColumn="0" w:lastRowLastColumn="0"/>
            </w:pPr>
            <w:r>
              <w:t>64 412</w:t>
            </w:r>
          </w:p>
        </w:tc>
        <w:tc>
          <w:tcPr>
            <w:tcW w:w="794" w:type="dxa"/>
          </w:tcPr>
          <w:p w14:paraId="0BD3856E" w14:textId="77777777" w:rsidR="00AB205D" w:rsidRDefault="00471A3B">
            <w:pPr>
              <w:cnfStyle w:val="000000000000" w:firstRow="0" w:lastRow="0" w:firstColumn="0" w:lastColumn="0" w:oddVBand="0" w:evenVBand="0" w:oddHBand="0" w:evenHBand="0" w:firstRowFirstColumn="0" w:firstRowLastColumn="0" w:lastRowFirstColumn="0" w:lastRowLastColumn="0"/>
            </w:pPr>
            <w:r>
              <w:t>67 905</w:t>
            </w:r>
          </w:p>
        </w:tc>
      </w:tr>
      <w:tr w:rsidR="009C6724" w14:paraId="168F6CE4"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7979FD63" w14:textId="77777777" w:rsidR="00AB205D" w:rsidRDefault="00471A3B">
            <w:r>
              <w:t>Loans receivable from non</w:t>
            </w:r>
            <w:r>
              <w:noBreakHyphen/>
              <w:t>financial public sector</w:t>
            </w:r>
            <w:r>
              <w:rPr>
                <w:vertAlign w:val="superscript"/>
              </w:rPr>
              <w:t xml:space="preserve"> (b)</w:t>
            </w:r>
          </w:p>
        </w:tc>
        <w:tc>
          <w:tcPr>
            <w:tcW w:w="794" w:type="dxa"/>
          </w:tcPr>
          <w:p w14:paraId="57FABC52" w14:textId="77777777" w:rsidR="00AB205D" w:rsidRDefault="00471A3B">
            <w:pPr>
              <w:cnfStyle w:val="000000000000" w:firstRow="0" w:lastRow="0" w:firstColumn="0" w:lastColumn="0" w:oddVBand="0" w:evenVBand="0" w:oddHBand="0" w:evenHBand="0" w:firstRowFirstColumn="0" w:firstRowLastColumn="0" w:lastRowFirstColumn="0" w:lastRowLastColumn="0"/>
            </w:pPr>
            <w:r>
              <w:t>156 736</w:t>
            </w:r>
          </w:p>
        </w:tc>
        <w:tc>
          <w:tcPr>
            <w:tcW w:w="794" w:type="dxa"/>
          </w:tcPr>
          <w:p w14:paraId="49176B48" w14:textId="77777777" w:rsidR="00AB205D" w:rsidRDefault="00471A3B">
            <w:pPr>
              <w:cnfStyle w:val="000000000000" w:firstRow="0" w:lastRow="0" w:firstColumn="0" w:lastColumn="0" w:oddVBand="0" w:evenVBand="0" w:oddHBand="0" w:evenHBand="0" w:firstRowFirstColumn="0" w:firstRowLastColumn="0" w:lastRowFirstColumn="0" w:lastRowLastColumn="0"/>
            </w:pPr>
            <w:r>
              <w:t>159 183</w:t>
            </w:r>
          </w:p>
        </w:tc>
        <w:tc>
          <w:tcPr>
            <w:tcW w:w="794" w:type="dxa"/>
          </w:tcPr>
          <w:p w14:paraId="227B8CAA" w14:textId="77777777" w:rsidR="00AB205D" w:rsidRDefault="00471A3B">
            <w:pPr>
              <w:cnfStyle w:val="000000000000" w:firstRow="0" w:lastRow="0" w:firstColumn="0" w:lastColumn="0" w:oddVBand="0" w:evenVBand="0" w:oddHBand="0" w:evenHBand="0" w:firstRowFirstColumn="0" w:firstRowLastColumn="0" w:lastRowFirstColumn="0" w:lastRowLastColumn="0"/>
            </w:pPr>
            <w:r>
              <w:t>180 790</w:t>
            </w:r>
          </w:p>
        </w:tc>
        <w:tc>
          <w:tcPr>
            <w:tcW w:w="794" w:type="dxa"/>
          </w:tcPr>
          <w:p w14:paraId="78D0119F" w14:textId="77777777" w:rsidR="00AB205D" w:rsidRDefault="00471A3B">
            <w:pPr>
              <w:cnfStyle w:val="000000000000" w:firstRow="0" w:lastRow="0" w:firstColumn="0" w:lastColumn="0" w:oddVBand="0" w:evenVBand="0" w:oddHBand="0" w:evenHBand="0" w:firstRowFirstColumn="0" w:firstRowLastColumn="0" w:lastRowFirstColumn="0" w:lastRowLastColumn="0"/>
            </w:pPr>
            <w:r>
              <w:t>199 431</w:t>
            </w:r>
          </w:p>
        </w:tc>
        <w:tc>
          <w:tcPr>
            <w:tcW w:w="794" w:type="dxa"/>
          </w:tcPr>
          <w:p w14:paraId="614105FC" w14:textId="77777777" w:rsidR="00AB205D" w:rsidRDefault="00471A3B">
            <w:pPr>
              <w:cnfStyle w:val="000000000000" w:firstRow="0" w:lastRow="0" w:firstColumn="0" w:lastColumn="0" w:oddVBand="0" w:evenVBand="0" w:oddHBand="0" w:evenHBand="0" w:firstRowFirstColumn="0" w:firstRowLastColumn="0" w:lastRowFirstColumn="0" w:lastRowLastColumn="0"/>
            </w:pPr>
            <w:r>
              <w:t>216 409</w:t>
            </w:r>
          </w:p>
        </w:tc>
      </w:tr>
      <w:tr w:rsidR="009C6724" w14:paraId="260B5D12"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1751203A" w14:textId="77777777" w:rsidR="00AB205D" w:rsidRDefault="00471A3B">
            <w:r>
              <w:t>Investments accounted for using equity method</w:t>
            </w:r>
          </w:p>
        </w:tc>
        <w:tc>
          <w:tcPr>
            <w:tcW w:w="794" w:type="dxa"/>
          </w:tcPr>
          <w:p w14:paraId="1E4E09CB" w14:textId="77777777" w:rsidR="00AB205D" w:rsidRDefault="00471A3B">
            <w:pPr>
              <w:cnfStyle w:val="000000000000" w:firstRow="0" w:lastRow="0" w:firstColumn="0" w:lastColumn="0" w:oddVBand="0" w:evenVBand="0" w:oddHBand="0" w:evenHBand="0" w:firstRowFirstColumn="0" w:firstRowLastColumn="0" w:lastRowFirstColumn="0" w:lastRowLastColumn="0"/>
            </w:pPr>
            <w:r>
              <w:t>13</w:t>
            </w:r>
          </w:p>
        </w:tc>
        <w:tc>
          <w:tcPr>
            <w:tcW w:w="794" w:type="dxa"/>
          </w:tcPr>
          <w:p w14:paraId="32DA777B" w14:textId="77777777" w:rsidR="00AB205D" w:rsidRDefault="00471A3B">
            <w:pPr>
              <w:cnfStyle w:val="000000000000" w:firstRow="0" w:lastRow="0" w:firstColumn="0" w:lastColumn="0" w:oddVBand="0" w:evenVBand="0" w:oddHBand="0" w:evenHBand="0" w:firstRowFirstColumn="0" w:firstRowLastColumn="0" w:lastRowFirstColumn="0" w:lastRowLastColumn="0"/>
            </w:pPr>
            <w:r>
              <w:t>13</w:t>
            </w:r>
          </w:p>
        </w:tc>
        <w:tc>
          <w:tcPr>
            <w:tcW w:w="794" w:type="dxa"/>
          </w:tcPr>
          <w:p w14:paraId="02266F25" w14:textId="77777777" w:rsidR="00AB205D" w:rsidRDefault="00471A3B">
            <w:pPr>
              <w:cnfStyle w:val="000000000000" w:firstRow="0" w:lastRow="0" w:firstColumn="0" w:lastColumn="0" w:oddVBand="0" w:evenVBand="0" w:oddHBand="0" w:evenHBand="0" w:firstRowFirstColumn="0" w:firstRowLastColumn="0" w:lastRowFirstColumn="0" w:lastRowLastColumn="0"/>
            </w:pPr>
            <w:r>
              <w:t>13</w:t>
            </w:r>
          </w:p>
        </w:tc>
        <w:tc>
          <w:tcPr>
            <w:tcW w:w="794" w:type="dxa"/>
          </w:tcPr>
          <w:p w14:paraId="1782A088" w14:textId="77777777" w:rsidR="00AB205D" w:rsidRDefault="00471A3B">
            <w:pPr>
              <w:cnfStyle w:val="000000000000" w:firstRow="0" w:lastRow="0" w:firstColumn="0" w:lastColumn="0" w:oddVBand="0" w:evenVBand="0" w:oddHBand="0" w:evenHBand="0" w:firstRowFirstColumn="0" w:firstRowLastColumn="0" w:lastRowFirstColumn="0" w:lastRowLastColumn="0"/>
            </w:pPr>
            <w:r>
              <w:t>13</w:t>
            </w:r>
          </w:p>
        </w:tc>
        <w:tc>
          <w:tcPr>
            <w:tcW w:w="794" w:type="dxa"/>
          </w:tcPr>
          <w:p w14:paraId="09553CD5" w14:textId="77777777" w:rsidR="00AB205D" w:rsidRDefault="00471A3B">
            <w:pPr>
              <w:cnfStyle w:val="000000000000" w:firstRow="0" w:lastRow="0" w:firstColumn="0" w:lastColumn="0" w:oddVBand="0" w:evenVBand="0" w:oddHBand="0" w:evenHBand="0" w:firstRowFirstColumn="0" w:firstRowLastColumn="0" w:lastRowFirstColumn="0" w:lastRowLastColumn="0"/>
            </w:pPr>
            <w:r>
              <w:t>13</w:t>
            </w:r>
          </w:p>
        </w:tc>
      </w:tr>
      <w:tr w:rsidR="009C6724" w14:paraId="7A5BA668"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1CFE3D07" w14:textId="77777777" w:rsidR="00AB205D" w:rsidRDefault="00471A3B">
            <w:r>
              <w:rPr>
                <w:b/>
              </w:rPr>
              <w:t>Total financial assets</w:t>
            </w:r>
          </w:p>
        </w:tc>
        <w:tc>
          <w:tcPr>
            <w:tcW w:w="794" w:type="dxa"/>
            <w:tcBorders>
              <w:top w:val="single" w:sz="6" w:space="0" w:color="auto"/>
              <w:bottom w:val="single" w:sz="6" w:space="0" w:color="auto"/>
            </w:tcBorders>
          </w:tcPr>
          <w:p w14:paraId="607805F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227 069</w:t>
            </w:r>
          </w:p>
        </w:tc>
        <w:tc>
          <w:tcPr>
            <w:tcW w:w="794" w:type="dxa"/>
            <w:tcBorders>
              <w:top w:val="single" w:sz="6" w:space="0" w:color="auto"/>
              <w:bottom w:val="single" w:sz="6" w:space="0" w:color="auto"/>
            </w:tcBorders>
          </w:tcPr>
          <w:p w14:paraId="7788C49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223 815</w:t>
            </w:r>
          </w:p>
        </w:tc>
        <w:tc>
          <w:tcPr>
            <w:tcW w:w="794" w:type="dxa"/>
            <w:tcBorders>
              <w:top w:val="single" w:sz="6" w:space="0" w:color="auto"/>
              <w:bottom w:val="single" w:sz="6" w:space="0" w:color="auto"/>
            </w:tcBorders>
          </w:tcPr>
          <w:p w14:paraId="54E9DC9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248 262</w:t>
            </w:r>
          </w:p>
        </w:tc>
        <w:tc>
          <w:tcPr>
            <w:tcW w:w="794" w:type="dxa"/>
            <w:tcBorders>
              <w:top w:val="single" w:sz="6" w:space="0" w:color="auto"/>
              <w:bottom w:val="single" w:sz="6" w:space="0" w:color="auto"/>
            </w:tcBorders>
          </w:tcPr>
          <w:p w14:paraId="2AC09F0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269 793</w:t>
            </w:r>
          </w:p>
        </w:tc>
        <w:tc>
          <w:tcPr>
            <w:tcW w:w="794" w:type="dxa"/>
            <w:tcBorders>
              <w:top w:val="single" w:sz="6" w:space="0" w:color="auto"/>
              <w:bottom w:val="single" w:sz="6" w:space="0" w:color="auto"/>
            </w:tcBorders>
          </w:tcPr>
          <w:p w14:paraId="3AA22B1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290 490</w:t>
            </w:r>
          </w:p>
        </w:tc>
      </w:tr>
      <w:tr w:rsidR="009C6724" w14:paraId="31D8CF1A"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290BE58F" w14:textId="77777777" w:rsidR="00AB205D" w:rsidRDefault="00471A3B">
            <w:r>
              <w:rPr>
                <w:b/>
              </w:rPr>
              <w:t>Non</w:t>
            </w:r>
            <w:r>
              <w:rPr>
                <w:b/>
              </w:rPr>
              <w:noBreakHyphen/>
              <w:t>financial assets</w:t>
            </w:r>
          </w:p>
        </w:tc>
        <w:tc>
          <w:tcPr>
            <w:tcW w:w="794" w:type="dxa"/>
            <w:tcBorders>
              <w:top w:val="single" w:sz="6" w:space="0" w:color="auto"/>
            </w:tcBorders>
          </w:tcPr>
          <w:p w14:paraId="48726981"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6846496F"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6B7C23C7"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14757E2F"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A769255"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135EC436"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658DD49C" w14:textId="77777777" w:rsidR="00AB205D" w:rsidRDefault="00471A3B">
            <w:r>
              <w:t>Land, buildings, infrastructure, plant and equipment</w:t>
            </w:r>
          </w:p>
        </w:tc>
        <w:tc>
          <w:tcPr>
            <w:tcW w:w="794" w:type="dxa"/>
          </w:tcPr>
          <w:p w14:paraId="0D225F68" w14:textId="77777777" w:rsidR="00AB205D" w:rsidRDefault="00471A3B">
            <w:pPr>
              <w:cnfStyle w:val="000000000000" w:firstRow="0" w:lastRow="0" w:firstColumn="0" w:lastColumn="0" w:oddVBand="0" w:evenVBand="0" w:oddHBand="0" w:evenHBand="0" w:firstRowFirstColumn="0" w:firstRowLastColumn="0" w:lastRowFirstColumn="0" w:lastRowLastColumn="0"/>
            </w:pPr>
            <w:r>
              <w:t>300</w:t>
            </w:r>
          </w:p>
        </w:tc>
        <w:tc>
          <w:tcPr>
            <w:tcW w:w="794" w:type="dxa"/>
          </w:tcPr>
          <w:p w14:paraId="7AB2E07C" w14:textId="77777777" w:rsidR="00AB205D" w:rsidRDefault="00471A3B">
            <w:pPr>
              <w:cnfStyle w:val="000000000000" w:firstRow="0" w:lastRow="0" w:firstColumn="0" w:lastColumn="0" w:oddVBand="0" w:evenVBand="0" w:oddHBand="0" w:evenHBand="0" w:firstRowFirstColumn="0" w:firstRowLastColumn="0" w:lastRowFirstColumn="0" w:lastRowLastColumn="0"/>
            </w:pPr>
            <w:r>
              <w:t>316</w:t>
            </w:r>
          </w:p>
        </w:tc>
        <w:tc>
          <w:tcPr>
            <w:tcW w:w="794" w:type="dxa"/>
          </w:tcPr>
          <w:p w14:paraId="3B5AEEBB" w14:textId="77777777" w:rsidR="00AB205D" w:rsidRDefault="00471A3B">
            <w:pPr>
              <w:cnfStyle w:val="000000000000" w:firstRow="0" w:lastRow="0" w:firstColumn="0" w:lastColumn="0" w:oddVBand="0" w:evenVBand="0" w:oddHBand="0" w:evenHBand="0" w:firstRowFirstColumn="0" w:firstRowLastColumn="0" w:lastRowFirstColumn="0" w:lastRowLastColumn="0"/>
            </w:pPr>
            <w:r>
              <w:t>281</w:t>
            </w:r>
          </w:p>
        </w:tc>
        <w:tc>
          <w:tcPr>
            <w:tcW w:w="794" w:type="dxa"/>
          </w:tcPr>
          <w:p w14:paraId="2A85552D" w14:textId="77777777" w:rsidR="00AB205D" w:rsidRDefault="00471A3B">
            <w:pPr>
              <w:cnfStyle w:val="000000000000" w:firstRow="0" w:lastRow="0" w:firstColumn="0" w:lastColumn="0" w:oddVBand="0" w:evenVBand="0" w:oddHBand="0" w:evenHBand="0" w:firstRowFirstColumn="0" w:firstRowLastColumn="0" w:lastRowFirstColumn="0" w:lastRowLastColumn="0"/>
            </w:pPr>
            <w:r>
              <w:t>240</w:t>
            </w:r>
          </w:p>
        </w:tc>
        <w:tc>
          <w:tcPr>
            <w:tcW w:w="794" w:type="dxa"/>
          </w:tcPr>
          <w:p w14:paraId="58215FA3" w14:textId="77777777" w:rsidR="00AB205D" w:rsidRDefault="00471A3B">
            <w:pPr>
              <w:cnfStyle w:val="000000000000" w:firstRow="0" w:lastRow="0" w:firstColumn="0" w:lastColumn="0" w:oddVBand="0" w:evenVBand="0" w:oddHBand="0" w:evenHBand="0" w:firstRowFirstColumn="0" w:firstRowLastColumn="0" w:lastRowFirstColumn="0" w:lastRowLastColumn="0"/>
            </w:pPr>
            <w:r>
              <w:t>199</w:t>
            </w:r>
          </w:p>
        </w:tc>
      </w:tr>
      <w:tr w:rsidR="009C6724" w14:paraId="0C296CDA"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359A16D9" w14:textId="77777777" w:rsidR="00AB205D" w:rsidRDefault="00471A3B">
            <w:r>
              <w:t>Other non</w:t>
            </w:r>
            <w:r>
              <w:noBreakHyphen/>
              <w:t>financial assets</w:t>
            </w:r>
          </w:p>
        </w:tc>
        <w:tc>
          <w:tcPr>
            <w:tcW w:w="794" w:type="dxa"/>
            <w:tcBorders>
              <w:bottom w:val="single" w:sz="6" w:space="0" w:color="auto"/>
            </w:tcBorders>
          </w:tcPr>
          <w:p w14:paraId="736B4464" w14:textId="77777777" w:rsidR="00AB205D" w:rsidRDefault="00471A3B">
            <w:pPr>
              <w:cnfStyle w:val="000000000000" w:firstRow="0" w:lastRow="0" w:firstColumn="0" w:lastColumn="0" w:oddVBand="0" w:evenVBand="0" w:oddHBand="0" w:evenHBand="0" w:firstRowFirstColumn="0" w:firstRowLastColumn="0" w:lastRowFirstColumn="0" w:lastRowLastColumn="0"/>
            </w:pPr>
            <w:r>
              <w:t>3 534</w:t>
            </w:r>
          </w:p>
        </w:tc>
        <w:tc>
          <w:tcPr>
            <w:tcW w:w="794" w:type="dxa"/>
            <w:tcBorders>
              <w:bottom w:val="single" w:sz="6" w:space="0" w:color="auto"/>
            </w:tcBorders>
          </w:tcPr>
          <w:p w14:paraId="752BAE0E" w14:textId="77777777" w:rsidR="00AB205D" w:rsidRDefault="00471A3B">
            <w:pPr>
              <w:cnfStyle w:val="000000000000" w:firstRow="0" w:lastRow="0" w:firstColumn="0" w:lastColumn="0" w:oddVBand="0" w:evenVBand="0" w:oddHBand="0" w:evenHBand="0" w:firstRowFirstColumn="0" w:firstRowLastColumn="0" w:lastRowFirstColumn="0" w:lastRowLastColumn="0"/>
            </w:pPr>
            <w:r>
              <w:t>3 462</w:t>
            </w:r>
          </w:p>
        </w:tc>
        <w:tc>
          <w:tcPr>
            <w:tcW w:w="794" w:type="dxa"/>
            <w:tcBorders>
              <w:bottom w:val="single" w:sz="6" w:space="0" w:color="auto"/>
            </w:tcBorders>
          </w:tcPr>
          <w:p w14:paraId="27C1477F" w14:textId="77777777" w:rsidR="00AB205D" w:rsidRDefault="00471A3B">
            <w:pPr>
              <w:cnfStyle w:val="000000000000" w:firstRow="0" w:lastRow="0" w:firstColumn="0" w:lastColumn="0" w:oddVBand="0" w:evenVBand="0" w:oddHBand="0" w:evenHBand="0" w:firstRowFirstColumn="0" w:firstRowLastColumn="0" w:lastRowFirstColumn="0" w:lastRowLastColumn="0"/>
            </w:pPr>
            <w:r>
              <w:t>3 933</w:t>
            </w:r>
          </w:p>
        </w:tc>
        <w:tc>
          <w:tcPr>
            <w:tcW w:w="794" w:type="dxa"/>
            <w:tcBorders>
              <w:bottom w:val="single" w:sz="6" w:space="0" w:color="auto"/>
            </w:tcBorders>
          </w:tcPr>
          <w:p w14:paraId="3CE0A914" w14:textId="77777777" w:rsidR="00AB205D" w:rsidRDefault="00471A3B">
            <w:pPr>
              <w:cnfStyle w:val="000000000000" w:firstRow="0" w:lastRow="0" w:firstColumn="0" w:lastColumn="0" w:oddVBand="0" w:evenVBand="0" w:oddHBand="0" w:evenHBand="0" w:firstRowFirstColumn="0" w:firstRowLastColumn="0" w:lastRowFirstColumn="0" w:lastRowLastColumn="0"/>
            </w:pPr>
            <w:r>
              <w:t>4 439</w:t>
            </w:r>
          </w:p>
        </w:tc>
        <w:tc>
          <w:tcPr>
            <w:tcW w:w="794" w:type="dxa"/>
            <w:tcBorders>
              <w:bottom w:val="single" w:sz="6" w:space="0" w:color="auto"/>
            </w:tcBorders>
          </w:tcPr>
          <w:p w14:paraId="11C34B38" w14:textId="77777777" w:rsidR="00AB205D" w:rsidRDefault="00471A3B">
            <w:pPr>
              <w:cnfStyle w:val="000000000000" w:firstRow="0" w:lastRow="0" w:firstColumn="0" w:lastColumn="0" w:oddVBand="0" w:evenVBand="0" w:oddHBand="0" w:evenHBand="0" w:firstRowFirstColumn="0" w:firstRowLastColumn="0" w:lastRowFirstColumn="0" w:lastRowLastColumn="0"/>
            </w:pPr>
            <w:r>
              <w:t>4 818</w:t>
            </w:r>
          </w:p>
        </w:tc>
      </w:tr>
      <w:tr w:rsidR="009C6724" w14:paraId="60B85281"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2C41A1F1" w14:textId="77777777" w:rsidR="00AB205D" w:rsidRDefault="00471A3B">
            <w:r>
              <w:rPr>
                <w:b/>
              </w:rPr>
              <w:t>Total non</w:t>
            </w:r>
            <w:r>
              <w:rPr>
                <w:b/>
              </w:rPr>
              <w:noBreakHyphen/>
              <w:t>financial assets</w:t>
            </w:r>
          </w:p>
        </w:tc>
        <w:tc>
          <w:tcPr>
            <w:tcW w:w="794" w:type="dxa"/>
            <w:tcBorders>
              <w:top w:val="single" w:sz="6" w:space="0" w:color="auto"/>
              <w:bottom w:val="single" w:sz="6" w:space="0" w:color="auto"/>
            </w:tcBorders>
          </w:tcPr>
          <w:p w14:paraId="6CEE5D9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3 833</w:t>
            </w:r>
          </w:p>
        </w:tc>
        <w:tc>
          <w:tcPr>
            <w:tcW w:w="794" w:type="dxa"/>
            <w:tcBorders>
              <w:top w:val="single" w:sz="6" w:space="0" w:color="auto"/>
              <w:bottom w:val="single" w:sz="6" w:space="0" w:color="auto"/>
            </w:tcBorders>
          </w:tcPr>
          <w:p w14:paraId="0F8A195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3 778</w:t>
            </w:r>
          </w:p>
        </w:tc>
        <w:tc>
          <w:tcPr>
            <w:tcW w:w="794" w:type="dxa"/>
            <w:tcBorders>
              <w:top w:val="single" w:sz="6" w:space="0" w:color="auto"/>
              <w:bottom w:val="single" w:sz="6" w:space="0" w:color="auto"/>
            </w:tcBorders>
          </w:tcPr>
          <w:p w14:paraId="3FFA04C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4 214</w:t>
            </w:r>
          </w:p>
        </w:tc>
        <w:tc>
          <w:tcPr>
            <w:tcW w:w="794" w:type="dxa"/>
            <w:tcBorders>
              <w:top w:val="single" w:sz="6" w:space="0" w:color="auto"/>
              <w:bottom w:val="single" w:sz="6" w:space="0" w:color="auto"/>
            </w:tcBorders>
          </w:tcPr>
          <w:p w14:paraId="759623A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4 679</w:t>
            </w:r>
          </w:p>
        </w:tc>
        <w:tc>
          <w:tcPr>
            <w:tcW w:w="794" w:type="dxa"/>
            <w:tcBorders>
              <w:top w:val="single" w:sz="6" w:space="0" w:color="auto"/>
              <w:bottom w:val="single" w:sz="6" w:space="0" w:color="auto"/>
            </w:tcBorders>
          </w:tcPr>
          <w:p w14:paraId="1BE2A3F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5 017</w:t>
            </w:r>
          </w:p>
        </w:tc>
      </w:tr>
      <w:tr w:rsidR="009C6724" w14:paraId="2F790CF4"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1A4205AB" w14:textId="77777777" w:rsidR="00AB205D" w:rsidRDefault="00471A3B">
            <w:r>
              <w:rPr>
                <w:b/>
              </w:rPr>
              <w:t>Total assets</w:t>
            </w:r>
          </w:p>
        </w:tc>
        <w:tc>
          <w:tcPr>
            <w:tcW w:w="794" w:type="dxa"/>
            <w:tcBorders>
              <w:top w:val="single" w:sz="6" w:space="0" w:color="auto"/>
            </w:tcBorders>
          </w:tcPr>
          <w:p w14:paraId="71E02CB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230 903</w:t>
            </w:r>
          </w:p>
        </w:tc>
        <w:tc>
          <w:tcPr>
            <w:tcW w:w="794" w:type="dxa"/>
            <w:tcBorders>
              <w:top w:val="single" w:sz="6" w:space="0" w:color="auto"/>
            </w:tcBorders>
          </w:tcPr>
          <w:p w14:paraId="401F454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227 593</w:t>
            </w:r>
          </w:p>
        </w:tc>
        <w:tc>
          <w:tcPr>
            <w:tcW w:w="794" w:type="dxa"/>
            <w:tcBorders>
              <w:top w:val="single" w:sz="6" w:space="0" w:color="auto"/>
            </w:tcBorders>
          </w:tcPr>
          <w:p w14:paraId="0AB1EA5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252 476</w:t>
            </w:r>
          </w:p>
        </w:tc>
        <w:tc>
          <w:tcPr>
            <w:tcW w:w="794" w:type="dxa"/>
            <w:tcBorders>
              <w:top w:val="single" w:sz="6" w:space="0" w:color="auto"/>
            </w:tcBorders>
          </w:tcPr>
          <w:p w14:paraId="6678103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274 472</w:t>
            </w:r>
          </w:p>
        </w:tc>
        <w:tc>
          <w:tcPr>
            <w:tcW w:w="794" w:type="dxa"/>
            <w:tcBorders>
              <w:top w:val="single" w:sz="6" w:space="0" w:color="auto"/>
            </w:tcBorders>
          </w:tcPr>
          <w:p w14:paraId="27136E3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295 507</w:t>
            </w:r>
          </w:p>
        </w:tc>
      </w:tr>
      <w:tr w:rsidR="009C6724" w14:paraId="358C20CD"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51F2AA9B" w14:textId="77777777" w:rsidR="00AB205D" w:rsidRDefault="00471A3B">
            <w:r>
              <w:rPr>
                <w:b/>
              </w:rPr>
              <w:t>Liabilities</w:t>
            </w:r>
          </w:p>
        </w:tc>
        <w:tc>
          <w:tcPr>
            <w:tcW w:w="794" w:type="dxa"/>
          </w:tcPr>
          <w:p w14:paraId="6587DE76"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286E5320"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2B77A893"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288AE0DA"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72E0CFAD"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5E1126A3"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5BD3232D" w14:textId="77777777" w:rsidR="00AB205D" w:rsidRDefault="00471A3B">
            <w:r>
              <w:t>Deposits held and advances received</w:t>
            </w:r>
          </w:p>
        </w:tc>
        <w:tc>
          <w:tcPr>
            <w:tcW w:w="794" w:type="dxa"/>
          </w:tcPr>
          <w:p w14:paraId="4DF952DC" w14:textId="77777777" w:rsidR="00AB205D" w:rsidRDefault="00471A3B">
            <w:pPr>
              <w:cnfStyle w:val="000000000000" w:firstRow="0" w:lastRow="0" w:firstColumn="0" w:lastColumn="0" w:oddVBand="0" w:evenVBand="0" w:oddHBand="0" w:evenHBand="0" w:firstRowFirstColumn="0" w:firstRowLastColumn="0" w:lastRowFirstColumn="0" w:lastRowLastColumn="0"/>
            </w:pPr>
            <w:r>
              <w:t>212</w:t>
            </w:r>
          </w:p>
        </w:tc>
        <w:tc>
          <w:tcPr>
            <w:tcW w:w="794" w:type="dxa"/>
          </w:tcPr>
          <w:p w14:paraId="70EC8FC5" w14:textId="77777777" w:rsidR="00AB205D" w:rsidRDefault="00471A3B">
            <w:pPr>
              <w:cnfStyle w:val="000000000000" w:firstRow="0" w:lastRow="0" w:firstColumn="0" w:lastColumn="0" w:oddVBand="0" w:evenVBand="0" w:oddHBand="0" w:evenHBand="0" w:firstRowFirstColumn="0" w:firstRowLastColumn="0" w:lastRowFirstColumn="0" w:lastRowLastColumn="0"/>
            </w:pPr>
            <w:r>
              <w:t>209</w:t>
            </w:r>
          </w:p>
        </w:tc>
        <w:tc>
          <w:tcPr>
            <w:tcW w:w="794" w:type="dxa"/>
          </w:tcPr>
          <w:p w14:paraId="3E546E34" w14:textId="77777777" w:rsidR="00AB205D" w:rsidRDefault="00471A3B">
            <w:pPr>
              <w:cnfStyle w:val="000000000000" w:firstRow="0" w:lastRow="0" w:firstColumn="0" w:lastColumn="0" w:oddVBand="0" w:evenVBand="0" w:oddHBand="0" w:evenHBand="0" w:firstRowFirstColumn="0" w:firstRowLastColumn="0" w:lastRowFirstColumn="0" w:lastRowLastColumn="0"/>
            </w:pPr>
            <w:r>
              <w:t>208</w:t>
            </w:r>
          </w:p>
        </w:tc>
        <w:tc>
          <w:tcPr>
            <w:tcW w:w="794" w:type="dxa"/>
          </w:tcPr>
          <w:p w14:paraId="4814A19F" w14:textId="77777777" w:rsidR="00AB205D" w:rsidRDefault="00471A3B">
            <w:pPr>
              <w:cnfStyle w:val="000000000000" w:firstRow="0" w:lastRow="0" w:firstColumn="0" w:lastColumn="0" w:oddVBand="0" w:evenVBand="0" w:oddHBand="0" w:evenHBand="0" w:firstRowFirstColumn="0" w:firstRowLastColumn="0" w:lastRowFirstColumn="0" w:lastRowLastColumn="0"/>
            </w:pPr>
            <w:r>
              <w:t>196</w:t>
            </w:r>
          </w:p>
        </w:tc>
        <w:tc>
          <w:tcPr>
            <w:tcW w:w="794" w:type="dxa"/>
          </w:tcPr>
          <w:p w14:paraId="5A893DB5" w14:textId="77777777" w:rsidR="00AB205D" w:rsidRDefault="00471A3B">
            <w:pPr>
              <w:cnfStyle w:val="000000000000" w:firstRow="0" w:lastRow="0" w:firstColumn="0" w:lastColumn="0" w:oddVBand="0" w:evenVBand="0" w:oddHBand="0" w:evenHBand="0" w:firstRowFirstColumn="0" w:firstRowLastColumn="0" w:lastRowFirstColumn="0" w:lastRowLastColumn="0"/>
            </w:pPr>
            <w:r>
              <w:t>186</w:t>
            </w:r>
          </w:p>
        </w:tc>
      </w:tr>
      <w:tr w:rsidR="009C6724" w14:paraId="545365B9"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53042BE8" w14:textId="77777777" w:rsidR="00AB205D" w:rsidRDefault="00471A3B">
            <w:r>
              <w:t>Payables</w:t>
            </w:r>
          </w:p>
        </w:tc>
        <w:tc>
          <w:tcPr>
            <w:tcW w:w="794" w:type="dxa"/>
          </w:tcPr>
          <w:p w14:paraId="62154450" w14:textId="77777777" w:rsidR="00AB205D" w:rsidRDefault="00471A3B">
            <w:pPr>
              <w:cnfStyle w:val="000000000000" w:firstRow="0" w:lastRow="0" w:firstColumn="0" w:lastColumn="0" w:oddVBand="0" w:evenVBand="0" w:oddHBand="0" w:evenHBand="0" w:firstRowFirstColumn="0" w:firstRowLastColumn="0" w:lastRowFirstColumn="0" w:lastRowLastColumn="0"/>
            </w:pPr>
            <w:r>
              <w:t>2 430</w:t>
            </w:r>
          </w:p>
        </w:tc>
        <w:tc>
          <w:tcPr>
            <w:tcW w:w="794" w:type="dxa"/>
          </w:tcPr>
          <w:p w14:paraId="64EA9384" w14:textId="77777777" w:rsidR="00AB205D" w:rsidRDefault="00471A3B">
            <w:pPr>
              <w:cnfStyle w:val="000000000000" w:firstRow="0" w:lastRow="0" w:firstColumn="0" w:lastColumn="0" w:oddVBand="0" w:evenVBand="0" w:oddHBand="0" w:evenHBand="0" w:firstRowFirstColumn="0" w:firstRowLastColumn="0" w:lastRowFirstColumn="0" w:lastRowLastColumn="0"/>
            </w:pPr>
            <w:r>
              <w:t>2 572</w:t>
            </w:r>
          </w:p>
        </w:tc>
        <w:tc>
          <w:tcPr>
            <w:tcW w:w="794" w:type="dxa"/>
          </w:tcPr>
          <w:p w14:paraId="162A22B8" w14:textId="77777777" w:rsidR="00AB205D" w:rsidRDefault="00471A3B">
            <w:pPr>
              <w:cnfStyle w:val="000000000000" w:firstRow="0" w:lastRow="0" w:firstColumn="0" w:lastColumn="0" w:oddVBand="0" w:evenVBand="0" w:oddHBand="0" w:evenHBand="0" w:firstRowFirstColumn="0" w:firstRowLastColumn="0" w:lastRowFirstColumn="0" w:lastRowLastColumn="0"/>
            </w:pPr>
            <w:r>
              <w:t>2 356</w:t>
            </w:r>
          </w:p>
        </w:tc>
        <w:tc>
          <w:tcPr>
            <w:tcW w:w="794" w:type="dxa"/>
          </w:tcPr>
          <w:p w14:paraId="6982B8AB" w14:textId="77777777" w:rsidR="00AB205D" w:rsidRDefault="00471A3B">
            <w:pPr>
              <w:cnfStyle w:val="000000000000" w:firstRow="0" w:lastRow="0" w:firstColumn="0" w:lastColumn="0" w:oddVBand="0" w:evenVBand="0" w:oddHBand="0" w:evenHBand="0" w:firstRowFirstColumn="0" w:firstRowLastColumn="0" w:lastRowFirstColumn="0" w:lastRowLastColumn="0"/>
            </w:pPr>
            <w:r>
              <w:t>2 365</w:t>
            </w:r>
          </w:p>
        </w:tc>
        <w:tc>
          <w:tcPr>
            <w:tcW w:w="794" w:type="dxa"/>
          </w:tcPr>
          <w:p w14:paraId="56F3716E" w14:textId="77777777" w:rsidR="00AB205D" w:rsidRDefault="00471A3B">
            <w:pPr>
              <w:cnfStyle w:val="000000000000" w:firstRow="0" w:lastRow="0" w:firstColumn="0" w:lastColumn="0" w:oddVBand="0" w:evenVBand="0" w:oddHBand="0" w:evenHBand="0" w:firstRowFirstColumn="0" w:firstRowLastColumn="0" w:lastRowFirstColumn="0" w:lastRowLastColumn="0"/>
            </w:pPr>
            <w:r>
              <w:t>2 356</w:t>
            </w:r>
          </w:p>
        </w:tc>
      </w:tr>
      <w:tr w:rsidR="009C6724" w14:paraId="2B2AC318"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1E723F1A" w14:textId="77777777" w:rsidR="00AB205D" w:rsidRDefault="00471A3B">
            <w:r>
              <w:t>Borrowings</w:t>
            </w:r>
            <w:r>
              <w:rPr>
                <w:vertAlign w:val="superscript"/>
              </w:rPr>
              <w:t xml:space="preserve"> (c)</w:t>
            </w:r>
          </w:p>
        </w:tc>
        <w:tc>
          <w:tcPr>
            <w:tcW w:w="794" w:type="dxa"/>
          </w:tcPr>
          <w:p w14:paraId="1FEB9A92" w14:textId="77777777" w:rsidR="00AB205D" w:rsidRDefault="00471A3B">
            <w:pPr>
              <w:cnfStyle w:val="000000000000" w:firstRow="0" w:lastRow="0" w:firstColumn="0" w:lastColumn="0" w:oddVBand="0" w:evenVBand="0" w:oddHBand="0" w:evenHBand="0" w:firstRowFirstColumn="0" w:firstRowLastColumn="0" w:lastRowFirstColumn="0" w:lastRowLastColumn="0"/>
            </w:pPr>
            <w:r>
              <w:t>166 298</w:t>
            </w:r>
          </w:p>
        </w:tc>
        <w:tc>
          <w:tcPr>
            <w:tcW w:w="794" w:type="dxa"/>
          </w:tcPr>
          <w:p w14:paraId="2C958983" w14:textId="77777777" w:rsidR="00AB205D" w:rsidRDefault="00471A3B">
            <w:pPr>
              <w:cnfStyle w:val="000000000000" w:firstRow="0" w:lastRow="0" w:firstColumn="0" w:lastColumn="0" w:oddVBand="0" w:evenVBand="0" w:oddHBand="0" w:evenHBand="0" w:firstRowFirstColumn="0" w:firstRowLastColumn="0" w:lastRowFirstColumn="0" w:lastRowLastColumn="0"/>
            </w:pPr>
            <w:r>
              <w:t>161 339</w:t>
            </w:r>
          </w:p>
        </w:tc>
        <w:tc>
          <w:tcPr>
            <w:tcW w:w="794" w:type="dxa"/>
          </w:tcPr>
          <w:p w14:paraId="7FC94273" w14:textId="77777777" w:rsidR="00AB205D" w:rsidRDefault="00471A3B">
            <w:pPr>
              <w:cnfStyle w:val="000000000000" w:firstRow="0" w:lastRow="0" w:firstColumn="0" w:lastColumn="0" w:oddVBand="0" w:evenVBand="0" w:oddHBand="0" w:evenHBand="0" w:firstRowFirstColumn="0" w:firstRowLastColumn="0" w:lastRowFirstColumn="0" w:lastRowLastColumn="0"/>
            </w:pPr>
            <w:r>
              <w:t>183 421</w:t>
            </w:r>
          </w:p>
        </w:tc>
        <w:tc>
          <w:tcPr>
            <w:tcW w:w="794" w:type="dxa"/>
          </w:tcPr>
          <w:p w14:paraId="67072A24" w14:textId="77777777" w:rsidR="00AB205D" w:rsidRDefault="00471A3B">
            <w:pPr>
              <w:cnfStyle w:val="000000000000" w:firstRow="0" w:lastRow="0" w:firstColumn="0" w:lastColumn="0" w:oddVBand="0" w:evenVBand="0" w:oddHBand="0" w:evenHBand="0" w:firstRowFirstColumn="0" w:firstRowLastColumn="0" w:lastRowFirstColumn="0" w:lastRowLastColumn="0"/>
            </w:pPr>
            <w:r>
              <w:t>202 453</w:t>
            </w:r>
          </w:p>
        </w:tc>
        <w:tc>
          <w:tcPr>
            <w:tcW w:w="794" w:type="dxa"/>
          </w:tcPr>
          <w:p w14:paraId="18E8845E" w14:textId="77777777" w:rsidR="00AB205D" w:rsidRDefault="00471A3B">
            <w:pPr>
              <w:cnfStyle w:val="000000000000" w:firstRow="0" w:lastRow="0" w:firstColumn="0" w:lastColumn="0" w:oddVBand="0" w:evenVBand="0" w:oddHBand="0" w:evenHBand="0" w:firstRowFirstColumn="0" w:firstRowLastColumn="0" w:lastRowFirstColumn="0" w:lastRowLastColumn="0"/>
            </w:pPr>
            <w:r>
              <w:t>219 796</w:t>
            </w:r>
          </w:p>
        </w:tc>
      </w:tr>
      <w:tr w:rsidR="009C6724" w14:paraId="6C714AC9"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28B4B5C" w14:textId="77777777" w:rsidR="00AB205D" w:rsidRDefault="00471A3B">
            <w:r>
              <w:t>Employee benefits</w:t>
            </w:r>
          </w:p>
        </w:tc>
        <w:tc>
          <w:tcPr>
            <w:tcW w:w="794" w:type="dxa"/>
          </w:tcPr>
          <w:p w14:paraId="54D6C184" w14:textId="77777777" w:rsidR="00AB205D" w:rsidRDefault="00471A3B">
            <w:pPr>
              <w:cnfStyle w:val="000000000000" w:firstRow="0" w:lastRow="0" w:firstColumn="0" w:lastColumn="0" w:oddVBand="0" w:evenVBand="0" w:oddHBand="0" w:evenHBand="0" w:firstRowFirstColumn="0" w:firstRowLastColumn="0" w:lastRowFirstColumn="0" w:lastRowLastColumn="0"/>
            </w:pPr>
            <w:r>
              <w:t>128</w:t>
            </w:r>
          </w:p>
        </w:tc>
        <w:tc>
          <w:tcPr>
            <w:tcW w:w="794" w:type="dxa"/>
          </w:tcPr>
          <w:p w14:paraId="4DCACE87" w14:textId="77777777" w:rsidR="00AB205D" w:rsidRDefault="00471A3B">
            <w:pPr>
              <w:cnfStyle w:val="000000000000" w:firstRow="0" w:lastRow="0" w:firstColumn="0" w:lastColumn="0" w:oddVBand="0" w:evenVBand="0" w:oddHBand="0" w:evenHBand="0" w:firstRowFirstColumn="0" w:firstRowLastColumn="0" w:lastRowFirstColumn="0" w:lastRowLastColumn="0"/>
            </w:pPr>
            <w:r>
              <w:t>131</w:t>
            </w:r>
          </w:p>
        </w:tc>
        <w:tc>
          <w:tcPr>
            <w:tcW w:w="794" w:type="dxa"/>
          </w:tcPr>
          <w:p w14:paraId="7861E842" w14:textId="77777777" w:rsidR="00AB205D" w:rsidRDefault="00471A3B">
            <w:pPr>
              <w:cnfStyle w:val="000000000000" w:firstRow="0" w:lastRow="0" w:firstColumn="0" w:lastColumn="0" w:oddVBand="0" w:evenVBand="0" w:oddHBand="0" w:evenHBand="0" w:firstRowFirstColumn="0" w:firstRowLastColumn="0" w:lastRowFirstColumn="0" w:lastRowLastColumn="0"/>
            </w:pPr>
            <w:r>
              <w:t>135</w:t>
            </w:r>
          </w:p>
        </w:tc>
        <w:tc>
          <w:tcPr>
            <w:tcW w:w="794" w:type="dxa"/>
          </w:tcPr>
          <w:p w14:paraId="5F18164C" w14:textId="77777777" w:rsidR="00AB205D" w:rsidRDefault="00471A3B">
            <w:pPr>
              <w:cnfStyle w:val="000000000000" w:firstRow="0" w:lastRow="0" w:firstColumn="0" w:lastColumn="0" w:oddVBand="0" w:evenVBand="0" w:oddHBand="0" w:evenHBand="0" w:firstRowFirstColumn="0" w:firstRowLastColumn="0" w:lastRowFirstColumn="0" w:lastRowLastColumn="0"/>
            </w:pPr>
            <w:r>
              <w:t>138</w:t>
            </w:r>
          </w:p>
        </w:tc>
        <w:tc>
          <w:tcPr>
            <w:tcW w:w="794" w:type="dxa"/>
          </w:tcPr>
          <w:p w14:paraId="3A1C5839" w14:textId="77777777" w:rsidR="00AB205D" w:rsidRDefault="00471A3B">
            <w:pPr>
              <w:cnfStyle w:val="000000000000" w:firstRow="0" w:lastRow="0" w:firstColumn="0" w:lastColumn="0" w:oddVBand="0" w:evenVBand="0" w:oddHBand="0" w:evenHBand="0" w:firstRowFirstColumn="0" w:firstRowLastColumn="0" w:lastRowFirstColumn="0" w:lastRowLastColumn="0"/>
            </w:pPr>
            <w:r>
              <w:t>141</w:t>
            </w:r>
          </w:p>
        </w:tc>
      </w:tr>
      <w:tr w:rsidR="009C6724" w14:paraId="37AF2519"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514EF72E" w14:textId="77777777" w:rsidR="00AB205D" w:rsidRDefault="00471A3B">
            <w:r>
              <w:t>Other provisions</w:t>
            </w:r>
          </w:p>
        </w:tc>
        <w:tc>
          <w:tcPr>
            <w:tcW w:w="794" w:type="dxa"/>
            <w:tcBorders>
              <w:bottom w:val="single" w:sz="6" w:space="0" w:color="auto"/>
            </w:tcBorders>
          </w:tcPr>
          <w:p w14:paraId="5D6D8AC8" w14:textId="77777777" w:rsidR="00AB205D" w:rsidRDefault="00471A3B">
            <w:pPr>
              <w:cnfStyle w:val="000000000000" w:firstRow="0" w:lastRow="0" w:firstColumn="0" w:lastColumn="0" w:oddVBand="0" w:evenVBand="0" w:oddHBand="0" w:evenHBand="0" w:firstRowFirstColumn="0" w:firstRowLastColumn="0" w:lastRowFirstColumn="0" w:lastRowLastColumn="0"/>
            </w:pPr>
            <w:r>
              <w:t>50 217</w:t>
            </w:r>
          </w:p>
        </w:tc>
        <w:tc>
          <w:tcPr>
            <w:tcW w:w="794" w:type="dxa"/>
            <w:tcBorders>
              <w:bottom w:val="single" w:sz="6" w:space="0" w:color="auto"/>
            </w:tcBorders>
          </w:tcPr>
          <w:p w14:paraId="4E720A26" w14:textId="77777777" w:rsidR="00AB205D" w:rsidRDefault="00471A3B">
            <w:pPr>
              <w:cnfStyle w:val="000000000000" w:firstRow="0" w:lastRow="0" w:firstColumn="0" w:lastColumn="0" w:oddVBand="0" w:evenVBand="0" w:oddHBand="0" w:evenHBand="0" w:firstRowFirstColumn="0" w:firstRowLastColumn="0" w:lastRowFirstColumn="0" w:lastRowLastColumn="0"/>
            </w:pPr>
            <w:r>
              <w:t>49 561</w:t>
            </w:r>
          </w:p>
        </w:tc>
        <w:tc>
          <w:tcPr>
            <w:tcW w:w="794" w:type="dxa"/>
            <w:tcBorders>
              <w:bottom w:val="single" w:sz="6" w:space="0" w:color="auto"/>
            </w:tcBorders>
          </w:tcPr>
          <w:p w14:paraId="07FC3870" w14:textId="77777777" w:rsidR="00AB205D" w:rsidRDefault="00471A3B">
            <w:pPr>
              <w:cnfStyle w:val="000000000000" w:firstRow="0" w:lastRow="0" w:firstColumn="0" w:lastColumn="0" w:oddVBand="0" w:evenVBand="0" w:oddHBand="0" w:evenHBand="0" w:firstRowFirstColumn="0" w:firstRowLastColumn="0" w:lastRowFirstColumn="0" w:lastRowLastColumn="0"/>
            </w:pPr>
            <w:r>
              <w:t>53 931</w:t>
            </w:r>
          </w:p>
        </w:tc>
        <w:tc>
          <w:tcPr>
            <w:tcW w:w="794" w:type="dxa"/>
            <w:tcBorders>
              <w:bottom w:val="single" w:sz="6" w:space="0" w:color="auto"/>
            </w:tcBorders>
          </w:tcPr>
          <w:p w14:paraId="720DD1FD" w14:textId="77777777" w:rsidR="00AB205D" w:rsidRDefault="00471A3B">
            <w:pPr>
              <w:cnfStyle w:val="000000000000" w:firstRow="0" w:lastRow="0" w:firstColumn="0" w:lastColumn="0" w:oddVBand="0" w:evenVBand="0" w:oddHBand="0" w:evenHBand="0" w:firstRowFirstColumn="0" w:firstRowLastColumn="0" w:lastRowFirstColumn="0" w:lastRowLastColumn="0"/>
            </w:pPr>
            <w:r>
              <w:t>58 613</w:t>
            </w:r>
          </w:p>
        </w:tc>
        <w:tc>
          <w:tcPr>
            <w:tcW w:w="794" w:type="dxa"/>
            <w:tcBorders>
              <w:bottom w:val="single" w:sz="6" w:space="0" w:color="auto"/>
            </w:tcBorders>
          </w:tcPr>
          <w:p w14:paraId="173DC4AF" w14:textId="77777777" w:rsidR="00AB205D" w:rsidRDefault="00471A3B">
            <w:pPr>
              <w:cnfStyle w:val="000000000000" w:firstRow="0" w:lastRow="0" w:firstColumn="0" w:lastColumn="0" w:oddVBand="0" w:evenVBand="0" w:oddHBand="0" w:evenHBand="0" w:firstRowFirstColumn="0" w:firstRowLastColumn="0" w:lastRowFirstColumn="0" w:lastRowLastColumn="0"/>
            </w:pPr>
            <w:r>
              <w:t>63 547</w:t>
            </w:r>
          </w:p>
        </w:tc>
      </w:tr>
      <w:tr w:rsidR="009C6724" w14:paraId="674F6051"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552EFA69" w14:textId="77777777" w:rsidR="00AB205D" w:rsidRDefault="00471A3B">
            <w:r>
              <w:rPr>
                <w:b/>
              </w:rPr>
              <w:t>Total liabilities</w:t>
            </w:r>
          </w:p>
        </w:tc>
        <w:tc>
          <w:tcPr>
            <w:tcW w:w="794" w:type="dxa"/>
            <w:tcBorders>
              <w:top w:val="single" w:sz="6" w:space="0" w:color="auto"/>
              <w:bottom w:val="single" w:sz="6" w:space="0" w:color="auto"/>
            </w:tcBorders>
          </w:tcPr>
          <w:p w14:paraId="06496F2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219 285</w:t>
            </w:r>
          </w:p>
        </w:tc>
        <w:tc>
          <w:tcPr>
            <w:tcW w:w="794" w:type="dxa"/>
            <w:tcBorders>
              <w:top w:val="single" w:sz="6" w:space="0" w:color="auto"/>
              <w:bottom w:val="single" w:sz="6" w:space="0" w:color="auto"/>
            </w:tcBorders>
          </w:tcPr>
          <w:p w14:paraId="4A3AF3C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213 813</w:t>
            </w:r>
          </w:p>
        </w:tc>
        <w:tc>
          <w:tcPr>
            <w:tcW w:w="794" w:type="dxa"/>
            <w:tcBorders>
              <w:top w:val="single" w:sz="6" w:space="0" w:color="auto"/>
              <w:bottom w:val="single" w:sz="6" w:space="0" w:color="auto"/>
            </w:tcBorders>
          </w:tcPr>
          <w:p w14:paraId="52A7F33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240 052</w:t>
            </w:r>
          </w:p>
        </w:tc>
        <w:tc>
          <w:tcPr>
            <w:tcW w:w="794" w:type="dxa"/>
            <w:tcBorders>
              <w:top w:val="single" w:sz="6" w:space="0" w:color="auto"/>
              <w:bottom w:val="single" w:sz="6" w:space="0" w:color="auto"/>
            </w:tcBorders>
          </w:tcPr>
          <w:p w14:paraId="102B36F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263 765</w:t>
            </w:r>
          </w:p>
        </w:tc>
        <w:tc>
          <w:tcPr>
            <w:tcW w:w="794" w:type="dxa"/>
            <w:tcBorders>
              <w:top w:val="single" w:sz="6" w:space="0" w:color="auto"/>
              <w:bottom w:val="single" w:sz="6" w:space="0" w:color="auto"/>
            </w:tcBorders>
          </w:tcPr>
          <w:p w14:paraId="64E95AD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286 025</w:t>
            </w:r>
          </w:p>
        </w:tc>
      </w:tr>
      <w:tr w:rsidR="009C6724" w14:paraId="49A8A8C6"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6B2EFEAE" w14:textId="77777777" w:rsidR="00AB205D" w:rsidRDefault="00471A3B">
            <w:r>
              <w:rPr>
                <w:b/>
              </w:rPr>
              <w:t>Net assets</w:t>
            </w:r>
            <w:r>
              <w:rPr>
                <w:b/>
                <w:vertAlign w:val="superscript"/>
              </w:rPr>
              <w:t xml:space="preserve"> (d)</w:t>
            </w:r>
          </w:p>
        </w:tc>
        <w:tc>
          <w:tcPr>
            <w:tcW w:w="794" w:type="dxa"/>
            <w:tcBorders>
              <w:top w:val="single" w:sz="6" w:space="0" w:color="auto"/>
              <w:bottom w:val="single" w:sz="12" w:space="0" w:color="auto"/>
            </w:tcBorders>
          </w:tcPr>
          <w:p w14:paraId="04ED51B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11 617</w:t>
            </w:r>
          </w:p>
        </w:tc>
        <w:tc>
          <w:tcPr>
            <w:tcW w:w="794" w:type="dxa"/>
            <w:tcBorders>
              <w:top w:val="single" w:sz="6" w:space="0" w:color="auto"/>
              <w:bottom w:val="single" w:sz="12" w:space="0" w:color="auto"/>
            </w:tcBorders>
          </w:tcPr>
          <w:p w14:paraId="1F63F68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13 780</w:t>
            </w:r>
          </w:p>
        </w:tc>
        <w:tc>
          <w:tcPr>
            <w:tcW w:w="794" w:type="dxa"/>
            <w:tcBorders>
              <w:top w:val="single" w:sz="6" w:space="0" w:color="auto"/>
              <w:bottom w:val="single" w:sz="12" w:space="0" w:color="auto"/>
            </w:tcBorders>
          </w:tcPr>
          <w:p w14:paraId="58F4685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12 425</w:t>
            </w:r>
          </w:p>
        </w:tc>
        <w:tc>
          <w:tcPr>
            <w:tcW w:w="794" w:type="dxa"/>
            <w:tcBorders>
              <w:top w:val="single" w:sz="6" w:space="0" w:color="auto"/>
              <w:bottom w:val="single" w:sz="12" w:space="0" w:color="auto"/>
            </w:tcBorders>
          </w:tcPr>
          <w:p w14:paraId="335485C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10 707</w:t>
            </w:r>
          </w:p>
        </w:tc>
        <w:tc>
          <w:tcPr>
            <w:tcW w:w="794" w:type="dxa"/>
            <w:tcBorders>
              <w:top w:val="single" w:sz="6" w:space="0" w:color="auto"/>
              <w:bottom w:val="single" w:sz="12" w:space="0" w:color="auto"/>
            </w:tcBorders>
          </w:tcPr>
          <w:p w14:paraId="4C9D4D3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9 482</w:t>
            </w:r>
          </w:p>
        </w:tc>
      </w:tr>
      <w:tr w:rsidR="009C6724" w14:paraId="6D183CAF"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665F93B0" w14:textId="77777777" w:rsidR="00AB205D" w:rsidRDefault="00471A3B">
            <w:r>
              <w:t>Accumulated surplus/(deficit)</w:t>
            </w:r>
          </w:p>
        </w:tc>
        <w:tc>
          <w:tcPr>
            <w:tcW w:w="794" w:type="dxa"/>
            <w:tcBorders>
              <w:top w:val="single" w:sz="6" w:space="0" w:color="auto"/>
            </w:tcBorders>
          </w:tcPr>
          <w:p w14:paraId="7BB1A605" w14:textId="77777777" w:rsidR="00AB205D" w:rsidRDefault="00471A3B">
            <w:pPr>
              <w:cnfStyle w:val="000000000000" w:firstRow="0" w:lastRow="0" w:firstColumn="0" w:lastColumn="0" w:oddVBand="0" w:evenVBand="0" w:oddHBand="0" w:evenHBand="0" w:firstRowFirstColumn="0" w:firstRowLastColumn="0" w:lastRowFirstColumn="0" w:lastRowLastColumn="0"/>
            </w:pPr>
            <w:r>
              <w:t>11 110</w:t>
            </w:r>
          </w:p>
        </w:tc>
        <w:tc>
          <w:tcPr>
            <w:tcW w:w="794" w:type="dxa"/>
            <w:tcBorders>
              <w:top w:val="single" w:sz="6" w:space="0" w:color="auto"/>
            </w:tcBorders>
          </w:tcPr>
          <w:p w14:paraId="693AFAE9" w14:textId="77777777" w:rsidR="00AB205D" w:rsidRDefault="00471A3B">
            <w:pPr>
              <w:cnfStyle w:val="000000000000" w:firstRow="0" w:lastRow="0" w:firstColumn="0" w:lastColumn="0" w:oddVBand="0" w:evenVBand="0" w:oddHBand="0" w:evenHBand="0" w:firstRowFirstColumn="0" w:firstRowLastColumn="0" w:lastRowFirstColumn="0" w:lastRowLastColumn="0"/>
            </w:pPr>
            <w:r>
              <w:t>13 275</w:t>
            </w:r>
          </w:p>
        </w:tc>
        <w:tc>
          <w:tcPr>
            <w:tcW w:w="794" w:type="dxa"/>
            <w:tcBorders>
              <w:top w:val="single" w:sz="6" w:space="0" w:color="auto"/>
            </w:tcBorders>
          </w:tcPr>
          <w:p w14:paraId="16B8A878" w14:textId="77777777" w:rsidR="00AB205D" w:rsidRDefault="00471A3B">
            <w:pPr>
              <w:cnfStyle w:val="000000000000" w:firstRow="0" w:lastRow="0" w:firstColumn="0" w:lastColumn="0" w:oddVBand="0" w:evenVBand="0" w:oddHBand="0" w:evenHBand="0" w:firstRowFirstColumn="0" w:firstRowLastColumn="0" w:lastRowFirstColumn="0" w:lastRowLastColumn="0"/>
            </w:pPr>
            <w:r>
              <w:t>11 771</w:t>
            </w:r>
          </w:p>
        </w:tc>
        <w:tc>
          <w:tcPr>
            <w:tcW w:w="794" w:type="dxa"/>
            <w:tcBorders>
              <w:top w:val="single" w:sz="6" w:space="0" w:color="auto"/>
            </w:tcBorders>
          </w:tcPr>
          <w:p w14:paraId="4523C5AE" w14:textId="77777777" w:rsidR="00AB205D" w:rsidRDefault="00471A3B">
            <w:pPr>
              <w:cnfStyle w:val="000000000000" w:firstRow="0" w:lastRow="0" w:firstColumn="0" w:lastColumn="0" w:oddVBand="0" w:evenVBand="0" w:oddHBand="0" w:evenHBand="0" w:firstRowFirstColumn="0" w:firstRowLastColumn="0" w:lastRowFirstColumn="0" w:lastRowLastColumn="0"/>
            </w:pPr>
            <w:r>
              <w:t>9 950</w:t>
            </w:r>
          </w:p>
        </w:tc>
        <w:tc>
          <w:tcPr>
            <w:tcW w:w="794" w:type="dxa"/>
            <w:tcBorders>
              <w:top w:val="single" w:sz="6" w:space="0" w:color="auto"/>
            </w:tcBorders>
          </w:tcPr>
          <w:p w14:paraId="086385FF" w14:textId="77777777" w:rsidR="00AB205D" w:rsidRDefault="00471A3B">
            <w:pPr>
              <w:cnfStyle w:val="000000000000" w:firstRow="0" w:lastRow="0" w:firstColumn="0" w:lastColumn="0" w:oddVBand="0" w:evenVBand="0" w:oddHBand="0" w:evenHBand="0" w:firstRowFirstColumn="0" w:firstRowLastColumn="0" w:lastRowFirstColumn="0" w:lastRowLastColumn="0"/>
            </w:pPr>
            <w:r>
              <w:t>8 472</w:t>
            </w:r>
          </w:p>
        </w:tc>
      </w:tr>
      <w:tr w:rsidR="009C6724" w14:paraId="6B5A6C13"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55DCF67D" w14:textId="77777777" w:rsidR="00AB205D" w:rsidRDefault="00471A3B">
            <w:r>
              <w:t>Reserves</w:t>
            </w:r>
          </w:p>
        </w:tc>
        <w:tc>
          <w:tcPr>
            <w:tcW w:w="794" w:type="dxa"/>
            <w:tcBorders>
              <w:bottom w:val="single" w:sz="6" w:space="0" w:color="auto"/>
            </w:tcBorders>
          </w:tcPr>
          <w:p w14:paraId="18E90F6D" w14:textId="77777777" w:rsidR="00AB205D" w:rsidRDefault="00471A3B">
            <w:pPr>
              <w:cnfStyle w:val="000000000000" w:firstRow="0" w:lastRow="0" w:firstColumn="0" w:lastColumn="0" w:oddVBand="0" w:evenVBand="0" w:oddHBand="0" w:evenHBand="0" w:firstRowFirstColumn="0" w:firstRowLastColumn="0" w:lastRowFirstColumn="0" w:lastRowLastColumn="0"/>
            </w:pPr>
            <w:r>
              <w:t>507</w:t>
            </w:r>
          </w:p>
        </w:tc>
        <w:tc>
          <w:tcPr>
            <w:tcW w:w="794" w:type="dxa"/>
            <w:tcBorders>
              <w:bottom w:val="single" w:sz="6" w:space="0" w:color="auto"/>
            </w:tcBorders>
          </w:tcPr>
          <w:p w14:paraId="40017F4C" w14:textId="77777777" w:rsidR="00AB205D" w:rsidRDefault="00471A3B">
            <w:pPr>
              <w:cnfStyle w:val="000000000000" w:firstRow="0" w:lastRow="0" w:firstColumn="0" w:lastColumn="0" w:oddVBand="0" w:evenVBand="0" w:oddHBand="0" w:evenHBand="0" w:firstRowFirstColumn="0" w:firstRowLastColumn="0" w:lastRowFirstColumn="0" w:lastRowLastColumn="0"/>
            </w:pPr>
            <w:r>
              <w:t>505</w:t>
            </w:r>
          </w:p>
        </w:tc>
        <w:tc>
          <w:tcPr>
            <w:tcW w:w="794" w:type="dxa"/>
            <w:tcBorders>
              <w:bottom w:val="single" w:sz="6" w:space="0" w:color="auto"/>
            </w:tcBorders>
          </w:tcPr>
          <w:p w14:paraId="147D5104" w14:textId="77777777" w:rsidR="00AB205D" w:rsidRDefault="00471A3B">
            <w:pPr>
              <w:cnfStyle w:val="000000000000" w:firstRow="0" w:lastRow="0" w:firstColumn="0" w:lastColumn="0" w:oddVBand="0" w:evenVBand="0" w:oddHBand="0" w:evenHBand="0" w:firstRowFirstColumn="0" w:firstRowLastColumn="0" w:lastRowFirstColumn="0" w:lastRowLastColumn="0"/>
            </w:pPr>
            <w:r>
              <w:t>654</w:t>
            </w:r>
          </w:p>
        </w:tc>
        <w:tc>
          <w:tcPr>
            <w:tcW w:w="794" w:type="dxa"/>
            <w:tcBorders>
              <w:bottom w:val="single" w:sz="6" w:space="0" w:color="auto"/>
            </w:tcBorders>
          </w:tcPr>
          <w:p w14:paraId="2699C818" w14:textId="77777777" w:rsidR="00AB205D" w:rsidRDefault="00471A3B">
            <w:pPr>
              <w:cnfStyle w:val="000000000000" w:firstRow="0" w:lastRow="0" w:firstColumn="0" w:lastColumn="0" w:oddVBand="0" w:evenVBand="0" w:oddHBand="0" w:evenHBand="0" w:firstRowFirstColumn="0" w:firstRowLastColumn="0" w:lastRowFirstColumn="0" w:lastRowLastColumn="0"/>
            </w:pPr>
            <w:r>
              <w:t>757</w:t>
            </w:r>
          </w:p>
        </w:tc>
        <w:tc>
          <w:tcPr>
            <w:tcW w:w="794" w:type="dxa"/>
            <w:tcBorders>
              <w:bottom w:val="single" w:sz="6" w:space="0" w:color="auto"/>
            </w:tcBorders>
          </w:tcPr>
          <w:p w14:paraId="749DF8B0" w14:textId="77777777" w:rsidR="00AB205D" w:rsidRDefault="00471A3B">
            <w:pPr>
              <w:cnfStyle w:val="000000000000" w:firstRow="0" w:lastRow="0" w:firstColumn="0" w:lastColumn="0" w:oddVBand="0" w:evenVBand="0" w:oddHBand="0" w:evenHBand="0" w:firstRowFirstColumn="0" w:firstRowLastColumn="0" w:lastRowFirstColumn="0" w:lastRowLastColumn="0"/>
            </w:pPr>
            <w:r>
              <w:t>1 010</w:t>
            </w:r>
          </w:p>
        </w:tc>
      </w:tr>
      <w:tr w:rsidR="009C6724" w14:paraId="732326F4"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06F103BA" w14:textId="77777777" w:rsidR="00AB205D" w:rsidRDefault="00471A3B">
            <w:r>
              <w:rPr>
                <w:b/>
              </w:rPr>
              <w:t>Net worth</w:t>
            </w:r>
            <w:r>
              <w:rPr>
                <w:b/>
                <w:vertAlign w:val="superscript"/>
              </w:rPr>
              <w:t xml:space="preserve"> (d)</w:t>
            </w:r>
          </w:p>
        </w:tc>
        <w:tc>
          <w:tcPr>
            <w:tcW w:w="794" w:type="dxa"/>
            <w:tcBorders>
              <w:top w:val="single" w:sz="6" w:space="0" w:color="auto"/>
              <w:bottom w:val="single" w:sz="12" w:space="0" w:color="auto"/>
            </w:tcBorders>
          </w:tcPr>
          <w:p w14:paraId="67289C8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11 617</w:t>
            </w:r>
          </w:p>
        </w:tc>
        <w:tc>
          <w:tcPr>
            <w:tcW w:w="794" w:type="dxa"/>
            <w:tcBorders>
              <w:top w:val="single" w:sz="6" w:space="0" w:color="auto"/>
              <w:bottom w:val="single" w:sz="12" w:space="0" w:color="auto"/>
            </w:tcBorders>
          </w:tcPr>
          <w:p w14:paraId="1C0AF75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13 780</w:t>
            </w:r>
          </w:p>
        </w:tc>
        <w:tc>
          <w:tcPr>
            <w:tcW w:w="794" w:type="dxa"/>
            <w:tcBorders>
              <w:top w:val="single" w:sz="6" w:space="0" w:color="auto"/>
              <w:bottom w:val="single" w:sz="12" w:space="0" w:color="auto"/>
            </w:tcBorders>
          </w:tcPr>
          <w:p w14:paraId="6BBE77F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12 425</w:t>
            </w:r>
          </w:p>
        </w:tc>
        <w:tc>
          <w:tcPr>
            <w:tcW w:w="794" w:type="dxa"/>
            <w:tcBorders>
              <w:top w:val="single" w:sz="6" w:space="0" w:color="auto"/>
              <w:bottom w:val="single" w:sz="12" w:space="0" w:color="auto"/>
            </w:tcBorders>
          </w:tcPr>
          <w:p w14:paraId="050D895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10 707</w:t>
            </w:r>
          </w:p>
        </w:tc>
        <w:tc>
          <w:tcPr>
            <w:tcW w:w="794" w:type="dxa"/>
            <w:tcBorders>
              <w:top w:val="single" w:sz="6" w:space="0" w:color="auto"/>
              <w:bottom w:val="single" w:sz="12" w:space="0" w:color="auto"/>
            </w:tcBorders>
          </w:tcPr>
          <w:p w14:paraId="735A881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9 482</w:t>
            </w:r>
          </w:p>
        </w:tc>
      </w:tr>
      <w:tr w:rsidR="009C6724" w14:paraId="65E6286F" w14:textId="77777777" w:rsidTr="009C6724">
        <w:trPr>
          <w:trHeight w:hRule="exact" w:val="113"/>
        </w:trPr>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269A47C4" w14:textId="77777777" w:rsidR="00AB205D" w:rsidRDefault="00AB205D"/>
        </w:tc>
        <w:tc>
          <w:tcPr>
            <w:tcW w:w="794" w:type="dxa"/>
            <w:tcBorders>
              <w:top w:val="single" w:sz="6" w:space="0" w:color="auto"/>
            </w:tcBorders>
          </w:tcPr>
          <w:p w14:paraId="07BFFE0D"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6B81F603"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3C7C141"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514DD7AB"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2579B1B"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5E169E8E"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9AA0B0E" w14:textId="77777777" w:rsidR="00AB205D" w:rsidRDefault="00471A3B">
            <w:r>
              <w:rPr>
                <w:b/>
              </w:rPr>
              <w:t>FISCAL AGGREGATES</w:t>
            </w:r>
          </w:p>
        </w:tc>
        <w:tc>
          <w:tcPr>
            <w:tcW w:w="794" w:type="dxa"/>
          </w:tcPr>
          <w:p w14:paraId="1B770509"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4008E1CB"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2FCAF314"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17DC00F0"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6E1CB347"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3947D472"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4CD9FDB" w14:textId="77777777" w:rsidR="00AB205D" w:rsidRDefault="00471A3B">
            <w:r>
              <w:t>Net financial worth</w:t>
            </w:r>
          </w:p>
        </w:tc>
        <w:tc>
          <w:tcPr>
            <w:tcW w:w="794" w:type="dxa"/>
          </w:tcPr>
          <w:p w14:paraId="7F7A481B" w14:textId="77777777" w:rsidR="00AB205D" w:rsidRDefault="00471A3B">
            <w:pPr>
              <w:cnfStyle w:val="000000000000" w:firstRow="0" w:lastRow="0" w:firstColumn="0" w:lastColumn="0" w:oddVBand="0" w:evenVBand="0" w:oddHBand="0" w:evenHBand="0" w:firstRowFirstColumn="0" w:firstRowLastColumn="0" w:lastRowFirstColumn="0" w:lastRowLastColumn="0"/>
            </w:pPr>
            <w:r>
              <w:t>7 784</w:t>
            </w:r>
          </w:p>
        </w:tc>
        <w:tc>
          <w:tcPr>
            <w:tcW w:w="794" w:type="dxa"/>
          </w:tcPr>
          <w:p w14:paraId="112D32D1" w14:textId="77777777" w:rsidR="00AB205D" w:rsidRDefault="00471A3B">
            <w:pPr>
              <w:cnfStyle w:val="000000000000" w:firstRow="0" w:lastRow="0" w:firstColumn="0" w:lastColumn="0" w:oddVBand="0" w:evenVBand="0" w:oddHBand="0" w:evenHBand="0" w:firstRowFirstColumn="0" w:firstRowLastColumn="0" w:lastRowFirstColumn="0" w:lastRowLastColumn="0"/>
            </w:pPr>
            <w:r>
              <w:t>10 002</w:t>
            </w:r>
          </w:p>
        </w:tc>
        <w:tc>
          <w:tcPr>
            <w:tcW w:w="794" w:type="dxa"/>
          </w:tcPr>
          <w:p w14:paraId="0E032AE9" w14:textId="77777777" w:rsidR="00AB205D" w:rsidRDefault="00471A3B">
            <w:pPr>
              <w:cnfStyle w:val="000000000000" w:firstRow="0" w:lastRow="0" w:firstColumn="0" w:lastColumn="0" w:oddVBand="0" w:evenVBand="0" w:oddHBand="0" w:evenHBand="0" w:firstRowFirstColumn="0" w:firstRowLastColumn="0" w:lastRowFirstColumn="0" w:lastRowLastColumn="0"/>
            </w:pPr>
            <w:r>
              <w:t>8 211</w:t>
            </w:r>
          </w:p>
        </w:tc>
        <w:tc>
          <w:tcPr>
            <w:tcW w:w="794" w:type="dxa"/>
          </w:tcPr>
          <w:p w14:paraId="2A91DBDA" w14:textId="77777777" w:rsidR="00AB205D" w:rsidRDefault="00471A3B">
            <w:pPr>
              <w:cnfStyle w:val="000000000000" w:firstRow="0" w:lastRow="0" w:firstColumn="0" w:lastColumn="0" w:oddVBand="0" w:evenVBand="0" w:oddHBand="0" w:evenHBand="0" w:firstRowFirstColumn="0" w:firstRowLastColumn="0" w:lastRowFirstColumn="0" w:lastRowLastColumn="0"/>
            </w:pPr>
            <w:r>
              <w:t>6 028</w:t>
            </w:r>
          </w:p>
        </w:tc>
        <w:tc>
          <w:tcPr>
            <w:tcW w:w="794" w:type="dxa"/>
          </w:tcPr>
          <w:p w14:paraId="38ABFE4E" w14:textId="77777777" w:rsidR="00AB205D" w:rsidRDefault="00471A3B">
            <w:pPr>
              <w:cnfStyle w:val="000000000000" w:firstRow="0" w:lastRow="0" w:firstColumn="0" w:lastColumn="0" w:oddVBand="0" w:evenVBand="0" w:oddHBand="0" w:evenHBand="0" w:firstRowFirstColumn="0" w:firstRowLastColumn="0" w:lastRowFirstColumn="0" w:lastRowLastColumn="0"/>
            </w:pPr>
            <w:r>
              <w:t>4 465</w:t>
            </w:r>
          </w:p>
        </w:tc>
      </w:tr>
      <w:tr w:rsidR="009C6724" w14:paraId="380FA4B7"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13ADF8A7" w14:textId="77777777" w:rsidR="00AB205D" w:rsidRDefault="00471A3B">
            <w:r>
              <w:t>Net financial liabilities</w:t>
            </w:r>
          </w:p>
        </w:tc>
        <w:tc>
          <w:tcPr>
            <w:tcW w:w="794" w:type="dxa"/>
          </w:tcPr>
          <w:p w14:paraId="1428CCFA" w14:textId="77777777" w:rsidR="00AB205D" w:rsidRDefault="00471A3B">
            <w:pPr>
              <w:cnfStyle w:val="000000000000" w:firstRow="0" w:lastRow="0" w:firstColumn="0" w:lastColumn="0" w:oddVBand="0" w:evenVBand="0" w:oddHBand="0" w:evenHBand="0" w:firstRowFirstColumn="0" w:firstRowLastColumn="0" w:lastRowFirstColumn="0" w:lastRowLastColumn="0"/>
            </w:pPr>
            <w:r>
              <w:t>(7 784)</w:t>
            </w:r>
          </w:p>
        </w:tc>
        <w:tc>
          <w:tcPr>
            <w:tcW w:w="794" w:type="dxa"/>
          </w:tcPr>
          <w:p w14:paraId="7C4C5009" w14:textId="77777777" w:rsidR="00AB205D" w:rsidRDefault="00471A3B">
            <w:pPr>
              <w:cnfStyle w:val="000000000000" w:firstRow="0" w:lastRow="0" w:firstColumn="0" w:lastColumn="0" w:oddVBand="0" w:evenVBand="0" w:oddHBand="0" w:evenHBand="0" w:firstRowFirstColumn="0" w:firstRowLastColumn="0" w:lastRowFirstColumn="0" w:lastRowLastColumn="0"/>
            </w:pPr>
            <w:r>
              <w:t>(10 002)</w:t>
            </w:r>
          </w:p>
        </w:tc>
        <w:tc>
          <w:tcPr>
            <w:tcW w:w="794" w:type="dxa"/>
          </w:tcPr>
          <w:p w14:paraId="16A75279" w14:textId="77777777" w:rsidR="00AB205D" w:rsidRDefault="00471A3B">
            <w:pPr>
              <w:cnfStyle w:val="000000000000" w:firstRow="0" w:lastRow="0" w:firstColumn="0" w:lastColumn="0" w:oddVBand="0" w:evenVBand="0" w:oddHBand="0" w:evenHBand="0" w:firstRowFirstColumn="0" w:firstRowLastColumn="0" w:lastRowFirstColumn="0" w:lastRowLastColumn="0"/>
            </w:pPr>
            <w:r>
              <w:t>(8 211)</w:t>
            </w:r>
          </w:p>
        </w:tc>
        <w:tc>
          <w:tcPr>
            <w:tcW w:w="794" w:type="dxa"/>
          </w:tcPr>
          <w:p w14:paraId="2C13A055" w14:textId="77777777" w:rsidR="00AB205D" w:rsidRDefault="00471A3B">
            <w:pPr>
              <w:cnfStyle w:val="000000000000" w:firstRow="0" w:lastRow="0" w:firstColumn="0" w:lastColumn="0" w:oddVBand="0" w:evenVBand="0" w:oddHBand="0" w:evenHBand="0" w:firstRowFirstColumn="0" w:firstRowLastColumn="0" w:lastRowFirstColumn="0" w:lastRowLastColumn="0"/>
            </w:pPr>
            <w:r>
              <w:t>(6 028)</w:t>
            </w:r>
          </w:p>
        </w:tc>
        <w:tc>
          <w:tcPr>
            <w:tcW w:w="794" w:type="dxa"/>
          </w:tcPr>
          <w:p w14:paraId="07FAB573" w14:textId="77777777" w:rsidR="00AB205D" w:rsidRDefault="00471A3B">
            <w:pPr>
              <w:cnfStyle w:val="000000000000" w:firstRow="0" w:lastRow="0" w:firstColumn="0" w:lastColumn="0" w:oddVBand="0" w:evenVBand="0" w:oddHBand="0" w:evenHBand="0" w:firstRowFirstColumn="0" w:firstRowLastColumn="0" w:lastRowFirstColumn="0" w:lastRowLastColumn="0"/>
            </w:pPr>
            <w:r>
              <w:t>(4 465)</w:t>
            </w:r>
          </w:p>
        </w:tc>
      </w:tr>
      <w:tr w:rsidR="009C6724" w14:paraId="2CAFAB95"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12" w:space="0" w:color="auto"/>
            </w:tcBorders>
          </w:tcPr>
          <w:p w14:paraId="4B2ED333" w14:textId="77777777" w:rsidR="00AB205D" w:rsidRDefault="00471A3B">
            <w:r>
              <w:t>Net debt</w:t>
            </w:r>
          </w:p>
        </w:tc>
        <w:tc>
          <w:tcPr>
            <w:tcW w:w="794" w:type="dxa"/>
            <w:tcBorders>
              <w:bottom w:val="single" w:sz="12" w:space="0" w:color="auto"/>
            </w:tcBorders>
          </w:tcPr>
          <w:p w14:paraId="5E6939BF" w14:textId="77777777" w:rsidR="00AB205D" w:rsidRDefault="00471A3B">
            <w:pPr>
              <w:cnfStyle w:val="000000000000" w:firstRow="0" w:lastRow="0" w:firstColumn="0" w:lastColumn="0" w:oddVBand="0" w:evenVBand="0" w:oddHBand="0" w:evenHBand="0" w:firstRowFirstColumn="0" w:firstRowLastColumn="0" w:lastRowFirstColumn="0" w:lastRowLastColumn="0"/>
            </w:pPr>
            <w:r>
              <w:t>(58 260)</w:t>
            </w:r>
          </w:p>
        </w:tc>
        <w:tc>
          <w:tcPr>
            <w:tcW w:w="794" w:type="dxa"/>
            <w:tcBorders>
              <w:bottom w:val="single" w:sz="12" w:space="0" w:color="auto"/>
            </w:tcBorders>
          </w:tcPr>
          <w:p w14:paraId="05D935A6" w14:textId="77777777" w:rsidR="00AB205D" w:rsidRDefault="00471A3B">
            <w:pPr>
              <w:cnfStyle w:val="000000000000" w:firstRow="0" w:lastRow="0" w:firstColumn="0" w:lastColumn="0" w:oddVBand="0" w:evenVBand="0" w:oddHBand="0" w:evenHBand="0" w:firstRowFirstColumn="0" w:firstRowLastColumn="0" w:lastRowFirstColumn="0" w:lastRowLastColumn="0"/>
            </w:pPr>
            <w:r>
              <w:t>(60 014)</w:t>
            </w:r>
          </w:p>
        </w:tc>
        <w:tc>
          <w:tcPr>
            <w:tcW w:w="794" w:type="dxa"/>
            <w:tcBorders>
              <w:bottom w:val="single" w:sz="12" w:space="0" w:color="auto"/>
            </w:tcBorders>
          </w:tcPr>
          <w:p w14:paraId="78EBCBF0" w14:textId="77777777" w:rsidR="00AB205D" w:rsidRDefault="00471A3B">
            <w:pPr>
              <w:cnfStyle w:val="000000000000" w:firstRow="0" w:lastRow="0" w:firstColumn="0" w:lastColumn="0" w:oddVBand="0" w:evenVBand="0" w:oddHBand="0" w:evenHBand="0" w:firstRowFirstColumn="0" w:firstRowLastColumn="0" w:lastRowFirstColumn="0" w:lastRowLastColumn="0"/>
            </w:pPr>
            <w:r>
              <w:t>(62 426)</w:t>
            </w:r>
          </w:p>
        </w:tc>
        <w:tc>
          <w:tcPr>
            <w:tcW w:w="794" w:type="dxa"/>
            <w:tcBorders>
              <w:bottom w:val="single" w:sz="12" w:space="0" w:color="auto"/>
            </w:tcBorders>
          </w:tcPr>
          <w:p w14:paraId="08FB9D98" w14:textId="77777777" w:rsidR="00AB205D" w:rsidRDefault="00471A3B">
            <w:pPr>
              <w:cnfStyle w:val="000000000000" w:firstRow="0" w:lastRow="0" w:firstColumn="0" w:lastColumn="0" w:oddVBand="0" w:evenVBand="0" w:oddHBand="0" w:evenHBand="0" w:firstRowFirstColumn="0" w:firstRowLastColumn="0" w:lastRowFirstColumn="0" w:lastRowLastColumn="0"/>
            </w:pPr>
            <w:r>
              <w:t>(64 925)</w:t>
            </w:r>
          </w:p>
        </w:tc>
        <w:tc>
          <w:tcPr>
            <w:tcW w:w="794" w:type="dxa"/>
            <w:tcBorders>
              <w:bottom w:val="single" w:sz="12" w:space="0" w:color="auto"/>
            </w:tcBorders>
          </w:tcPr>
          <w:p w14:paraId="37D976CF" w14:textId="77777777" w:rsidR="00AB205D" w:rsidRDefault="00471A3B">
            <w:pPr>
              <w:cnfStyle w:val="000000000000" w:firstRow="0" w:lastRow="0" w:firstColumn="0" w:lastColumn="0" w:oddVBand="0" w:evenVBand="0" w:oddHBand="0" w:evenHBand="0" w:firstRowFirstColumn="0" w:firstRowLastColumn="0" w:lastRowFirstColumn="0" w:lastRowLastColumn="0"/>
            </w:pPr>
            <w:r>
              <w:t>(68 278)</w:t>
            </w:r>
          </w:p>
        </w:tc>
      </w:tr>
    </w:tbl>
    <w:p w14:paraId="6A56386F" w14:textId="77777777" w:rsidR="00AB205D" w:rsidRPr="00921F69" w:rsidRDefault="00471A3B">
      <w:pPr>
        <w:pStyle w:val="Note"/>
      </w:pPr>
      <w:r w:rsidRPr="00921F69">
        <w:t>Notes:</w:t>
      </w:r>
    </w:p>
    <w:p w14:paraId="08BFFB34" w14:textId="77777777" w:rsidR="00AB205D" w:rsidRPr="00921F69" w:rsidRDefault="00471A3B">
      <w:pPr>
        <w:pStyle w:val="Note"/>
      </w:pPr>
      <w:r w:rsidRPr="00921F69">
        <w:t>(a)</w:t>
      </w:r>
      <w:r w:rsidRPr="00921F69">
        <w:tab/>
        <w:t>Balances represent actual opening balances at 1 July 20</w:t>
      </w:r>
      <w:r>
        <w:t>23</w:t>
      </w:r>
      <w:r w:rsidRPr="00921F69">
        <w:t xml:space="preserve"> plus 20</w:t>
      </w:r>
      <w:r>
        <w:t>23</w:t>
      </w:r>
      <w:r w:rsidRPr="00921F69">
        <w:t>-2</w:t>
      </w:r>
      <w:r>
        <w:t>4</w:t>
      </w:r>
      <w:r w:rsidRPr="00921F69">
        <w:t xml:space="preserve"> budgeted movements.</w:t>
      </w:r>
    </w:p>
    <w:p w14:paraId="4814BD8D" w14:textId="77777777" w:rsidR="00AB205D" w:rsidRPr="00921F69" w:rsidRDefault="00471A3B">
      <w:pPr>
        <w:pStyle w:val="Note"/>
      </w:pPr>
      <w:r w:rsidRPr="00921F69">
        <w:t>(b)</w:t>
      </w:r>
      <w:r w:rsidRPr="00921F69">
        <w:tab/>
        <w:t>Loans receivable from the non-financial public sector are at amortised cost.</w:t>
      </w:r>
    </w:p>
    <w:p w14:paraId="5EB8A4E2" w14:textId="77777777" w:rsidR="00AB205D" w:rsidRPr="00921F69" w:rsidRDefault="00471A3B">
      <w:pPr>
        <w:pStyle w:val="Note"/>
      </w:pPr>
      <w:r w:rsidRPr="00921F69">
        <w:t>(c)</w:t>
      </w:r>
      <w:r w:rsidRPr="00921F69">
        <w:tab/>
        <w:t>Borrowings with the private sector are at market value.</w:t>
      </w:r>
    </w:p>
    <w:p w14:paraId="6C9A6A0F" w14:textId="77777777" w:rsidR="00AB205D" w:rsidRPr="00921F69" w:rsidRDefault="00471A3B">
      <w:pPr>
        <w:pStyle w:val="Note"/>
      </w:pPr>
      <w:r w:rsidRPr="00921F69">
        <w:t>(d)</w:t>
      </w:r>
      <w:r w:rsidRPr="00921F69">
        <w:tab/>
      </w:r>
      <w:r w:rsidRPr="00B14C53">
        <w:t>Treasury Corporation of Victoria</w:t>
      </w:r>
      <w:r>
        <w:t>’</w:t>
      </w:r>
      <w:r w:rsidRPr="00B14C53">
        <w:t>s external loan liabilities are at mark-to-market value</w:t>
      </w:r>
      <w:r>
        <w:t>,</w:t>
      </w:r>
      <w:r w:rsidRPr="00B14C53">
        <w:t xml:space="preserve"> while the corresponding assets, that is lending to the non-financial public sector, </w:t>
      </w:r>
      <w:r>
        <w:t xml:space="preserve">are at </w:t>
      </w:r>
      <w:r w:rsidRPr="00B14C53">
        <w:t>historical value.</w:t>
      </w:r>
    </w:p>
    <w:p w14:paraId="7AE3BA3B" w14:textId="77777777" w:rsidR="00AB205D" w:rsidRPr="00921F69" w:rsidRDefault="00AB205D">
      <w:pPr>
        <w:rPr>
          <w:rFonts w:asciiTheme="majorHAnsi" w:hAnsiTheme="majorHAnsi"/>
        </w:rPr>
      </w:pPr>
    </w:p>
    <w:p w14:paraId="0D6C6226" w14:textId="77777777" w:rsidR="00AB205D" w:rsidRDefault="00471A3B">
      <w:pPr>
        <w:rPr>
          <w:rFonts w:asciiTheme="majorHAnsi" w:hAnsiTheme="majorHAnsi"/>
          <w:b/>
          <w:sz w:val="20"/>
        </w:rPr>
      </w:pPr>
      <w:r>
        <w:br w:type="page"/>
      </w:r>
    </w:p>
    <w:p w14:paraId="11FDF0E6" w14:textId="77777777" w:rsidR="00AB205D" w:rsidRPr="00F25800" w:rsidRDefault="00471A3B">
      <w:pPr>
        <w:pStyle w:val="TableHeading"/>
      </w:pPr>
      <w:r w:rsidRPr="00921F69">
        <w:lastRenderedPageBreak/>
        <w:t>Table 5.13</w:t>
      </w:r>
      <w:r w:rsidRPr="00921F69">
        <w:tab/>
        <w:t xml:space="preserve">Public financial corporations sector cash flow statement </w:t>
      </w:r>
      <w:r w:rsidRPr="00921F69">
        <w:br/>
        <w:t>for the financial year ended 30 June</w:t>
      </w:r>
      <w:r w:rsidRPr="00921F69">
        <w:tab/>
        <w:t>($ million)</w:t>
      </w:r>
    </w:p>
    <w:tbl>
      <w:tblPr>
        <w:tblStyle w:val="DTFTableNumeric"/>
        <w:tblW w:w="7797" w:type="dxa"/>
        <w:tblLayout w:type="fixed"/>
        <w:tblLook w:val="06A0" w:firstRow="1" w:lastRow="0" w:firstColumn="1" w:lastColumn="0" w:noHBand="1" w:noVBand="1"/>
        <w:tblDescription w:val="Type:DtfTable|Workbook:Rawdata\BudgetUpdate\Budget Update\Financial Statements\SRIMS exports\SRIMS_BU_UPF_PNFC_PFC.xlsx|Table:PFC_CF|MergedHeadingRow:1"/>
      </w:tblPr>
      <w:tblGrid>
        <w:gridCol w:w="4102"/>
        <w:gridCol w:w="739"/>
        <w:gridCol w:w="739"/>
        <w:gridCol w:w="739"/>
        <w:gridCol w:w="739"/>
        <w:gridCol w:w="739"/>
      </w:tblGrid>
      <w:tr w:rsidR="009C6724" w:rsidRPr="00394D1D" w14:paraId="04120EF9"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2" w:type="dxa"/>
          </w:tcPr>
          <w:p w14:paraId="560F57A8" w14:textId="77777777" w:rsidR="00AB205D" w:rsidRDefault="00AB205D">
            <w:pPr>
              <w:keepNext/>
            </w:pPr>
          </w:p>
        </w:tc>
        <w:tc>
          <w:tcPr>
            <w:tcW w:w="739" w:type="dxa"/>
          </w:tcPr>
          <w:p w14:paraId="25A2B966"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rPr>
                <w:sz w:val="16"/>
              </w:rPr>
              <w:t>2023</w:t>
            </w:r>
            <w:r>
              <w:rPr>
                <w:sz w:val="16"/>
              </w:rPr>
              <w:noBreakHyphen/>
              <w:t>24</w:t>
            </w:r>
            <w:r>
              <w:br/>
              <w:t>budget</w:t>
            </w:r>
          </w:p>
        </w:tc>
        <w:tc>
          <w:tcPr>
            <w:tcW w:w="739" w:type="dxa"/>
          </w:tcPr>
          <w:p w14:paraId="6EAF5113"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rPr>
                <w:sz w:val="16"/>
              </w:rPr>
              <w:t>2023</w:t>
            </w:r>
            <w:r>
              <w:rPr>
                <w:sz w:val="16"/>
              </w:rPr>
              <w:noBreakHyphen/>
              <w:t>24</w:t>
            </w:r>
            <w:r>
              <w:br/>
              <w:t>revised</w:t>
            </w:r>
          </w:p>
        </w:tc>
        <w:tc>
          <w:tcPr>
            <w:tcW w:w="739" w:type="dxa"/>
          </w:tcPr>
          <w:p w14:paraId="56C629A1"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rPr>
                <w:sz w:val="16"/>
              </w:rPr>
              <w:t>2024</w:t>
            </w:r>
            <w:r>
              <w:rPr>
                <w:sz w:val="16"/>
              </w:rPr>
              <w:noBreakHyphen/>
              <w:t>25</w:t>
            </w:r>
            <w:r>
              <w:br/>
              <w:t>estimate</w:t>
            </w:r>
          </w:p>
        </w:tc>
        <w:tc>
          <w:tcPr>
            <w:tcW w:w="739" w:type="dxa"/>
          </w:tcPr>
          <w:p w14:paraId="0B37FCB4"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rPr>
                <w:sz w:val="16"/>
              </w:rPr>
              <w:t>2025</w:t>
            </w:r>
            <w:r>
              <w:rPr>
                <w:sz w:val="16"/>
              </w:rPr>
              <w:noBreakHyphen/>
              <w:t>26</w:t>
            </w:r>
            <w:r>
              <w:br/>
              <w:t>estimate</w:t>
            </w:r>
          </w:p>
        </w:tc>
        <w:tc>
          <w:tcPr>
            <w:tcW w:w="739" w:type="dxa"/>
          </w:tcPr>
          <w:p w14:paraId="7DE6387D"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rPr>
                <w:sz w:val="16"/>
              </w:rPr>
              <w:t>2026</w:t>
            </w:r>
            <w:r>
              <w:rPr>
                <w:sz w:val="16"/>
              </w:rPr>
              <w:noBreakHyphen/>
              <w:t>27</w:t>
            </w:r>
            <w:r>
              <w:br/>
              <w:t>estimate</w:t>
            </w:r>
          </w:p>
        </w:tc>
      </w:tr>
      <w:tr w:rsidR="009C6724" w:rsidRPr="00394D1D" w14:paraId="04421B36" w14:textId="77777777" w:rsidTr="009C6724">
        <w:tc>
          <w:tcPr>
            <w:cnfStyle w:val="001000000000" w:firstRow="0" w:lastRow="0" w:firstColumn="1" w:lastColumn="0" w:oddVBand="0" w:evenVBand="0" w:oddHBand="0" w:evenHBand="0" w:firstRowFirstColumn="0" w:firstRowLastColumn="0" w:lastRowFirstColumn="0" w:lastRowLastColumn="0"/>
            <w:tcW w:w="4102" w:type="dxa"/>
          </w:tcPr>
          <w:p w14:paraId="43D507CD" w14:textId="77777777" w:rsidR="00AB205D" w:rsidRDefault="00471A3B">
            <w:r>
              <w:rPr>
                <w:b/>
                <w:sz w:val="16"/>
              </w:rPr>
              <w:t>Cash flows from operating activities</w:t>
            </w:r>
          </w:p>
        </w:tc>
        <w:tc>
          <w:tcPr>
            <w:tcW w:w="739" w:type="dxa"/>
          </w:tcPr>
          <w:p w14:paraId="5E9916CB"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39" w:type="dxa"/>
          </w:tcPr>
          <w:p w14:paraId="320C42FD"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39" w:type="dxa"/>
          </w:tcPr>
          <w:p w14:paraId="1B72A434"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39" w:type="dxa"/>
          </w:tcPr>
          <w:p w14:paraId="18120C86"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39" w:type="dxa"/>
          </w:tcPr>
          <w:p w14:paraId="07773BE9"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rsidRPr="00394D1D" w14:paraId="420BA6DD" w14:textId="77777777" w:rsidTr="009C6724">
        <w:tc>
          <w:tcPr>
            <w:cnfStyle w:val="001000000000" w:firstRow="0" w:lastRow="0" w:firstColumn="1" w:lastColumn="0" w:oddVBand="0" w:evenVBand="0" w:oddHBand="0" w:evenHBand="0" w:firstRowFirstColumn="0" w:firstRowLastColumn="0" w:lastRowFirstColumn="0" w:lastRowLastColumn="0"/>
            <w:tcW w:w="4102" w:type="dxa"/>
          </w:tcPr>
          <w:p w14:paraId="771A979E" w14:textId="77777777" w:rsidR="00AB205D" w:rsidRDefault="00471A3B">
            <w:r>
              <w:rPr>
                <w:b/>
                <w:sz w:val="16"/>
              </w:rPr>
              <w:t>Receipts</w:t>
            </w:r>
          </w:p>
        </w:tc>
        <w:tc>
          <w:tcPr>
            <w:tcW w:w="739" w:type="dxa"/>
          </w:tcPr>
          <w:p w14:paraId="523780A8"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39" w:type="dxa"/>
          </w:tcPr>
          <w:p w14:paraId="364F9B67"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39" w:type="dxa"/>
          </w:tcPr>
          <w:p w14:paraId="27098740"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39" w:type="dxa"/>
          </w:tcPr>
          <w:p w14:paraId="33966B02"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39" w:type="dxa"/>
          </w:tcPr>
          <w:p w14:paraId="2C93ED84"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rsidRPr="00394D1D" w14:paraId="4DC17783" w14:textId="77777777" w:rsidTr="009C6724">
        <w:tc>
          <w:tcPr>
            <w:cnfStyle w:val="001000000000" w:firstRow="0" w:lastRow="0" w:firstColumn="1" w:lastColumn="0" w:oddVBand="0" w:evenVBand="0" w:oddHBand="0" w:evenHBand="0" w:firstRowFirstColumn="0" w:firstRowLastColumn="0" w:lastRowFirstColumn="0" w:lastRowLastColumn="0"/>
            <w:tcW w:w="4102" w:type="dxa"/>
          </w:tcPr>
          <w:p w14:paraId="540D31D1" w14:textId="77777777" w:rsidR="00AB205D" w:rsidRDefault="00471A3B">
            <w:r>
              <w:rPr>
                <w:sz w:val="16"/>
              </w:rPr>
              <w:t>Grants</w:t>
            </w:r>
          </w:p>
        </w:tc>
        <w:tc>
          <w:tcPr>
            <w:tcW w:w="739" w:type="dxa"/>
          </w:tcPr>
          <w:p w14:paraId="193D0E5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24</w:t>
            </w:r>
          </w:p>
        </w:tc>
        <w:tc>
          <w:tcPr>
            <w:tcW w:w="739" w:type="dxa"/>
          </w:tcPr>
          <w:p w14:paraId="565C23A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16</w:t>
            </w:r>
          </w:p>
        </w:tc>
        <w:tc>
          <w:tcPr>
            <w:tcW w:w="739" w:type="dxa"/>
          </w:tcPr>
          <w:p w14:paraId="27CFB34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27</w:t>
            </w:r>
          </w:p>
        </w:tc>
        <w:tc>
          <w:tcPr>
            <w:tcW w:w="739" w:type="dxa"/>
          </w:tcPr>
          <w:p w14:paraId="661D71D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29</w:t>
            </w:r>
          </w:p>
        </w:tc>
        <w:tc>
          <w:tcPr>
            <w:tcW w:w="739" w:type="dxa"/>
          </w:tcPr>
          <w:p w14:paraId="12A48CF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31</w:t>
            </w:r>
          </w:p>
        </w:tc>
      </w:tr>
      <w:tr w:rsidR="009C6724" w:rsidRPr="00394D1D" w14:paraId="2A8EDC65" w14:textId="77777777" w:rsidTr="009C6724">
        <w:tc>
          <w:tcPr>
            <w:cnfStyle w:val="001000000000" w:firstRow="0" w:lastRow="0" w:firstColumn="1" w:lastColumn="0" w:oddVBand="0" w:evenVBand="0" w:oddHBand="0" w:evenHBand="0" w:firstRowFirstColumn="0" w:firstRowLastColumn="0" w:lastRowFirstColumn="0" w:lastRowLastColumn="0"/>
            <w:tcW w:w="4102" w:type="dxa"/>
          </w:tcPr>
          <w:p w14:paraId="1212BFDF" w14:textId="77777777" w:rsidR="00AB205D" w:rsidRDefault="00471A3B">
            <w:r>
              <w:rPr>
                <w:sz w:val="16"/>
              </w:rPr>
              <w:t>Sales of goods and services</w:t>
            </w:r>
            <w:r>
              <w:rPr>
                <w:sz w:val="16"/>
                <w:vertAlign w:val="superscript"/>
              </w:rPr>
              <w:t xml:space="preserve"> (a)</w:t>
            </w:r>
          </w:p>
        </w:tc>
        <w:tc>
          <w:tcPr>
            <w:tcW w:w="739" w:type="dxa"/>
          </w:tcPr>
          <w:p w14:paraId="74579B5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8 548</w:t>
            </w:r>
          </w:p>
        </w:tc>
        <w:tc>
          <w:tcPr>
            <w:tcW w:w="739" w:type="dxa"/>
          </w:tcPr>
          <w:p w14:paraId="5FEF1D7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8 730</w:t>
            </w:r>
          </w:p>
        </w:tc>
        <w:tc>
          <w:tcPr>
            <w:tcW w:w="739" w:type="dxa"/>
          </w:tcPr>
          <w:p w14:paraId="734A355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9 025</w:t>
            </w:r>
          </w:p>
        </w:tc>
        <w:tc>
          <w:tcPr>
            <w:tcW w:w="739" w:type="dxa"/>
          </w:tcPr>
          <w:p w14:paraId="00EE60D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9 449</w:t>
            </w:r>
          </w:p>
        </w:tc>
        <w:tc>
          <w:tcPr>
            <w:tcW w:w="739" w:type="dxa"/>
          </w:tcPr>
          <w:p w14:paraId="5406F91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9 886</w:t>
            </w:r>
          </w:p>
        </w:tc>
      </w:tr>
      <w:tr w:rsidR="009C6724" w:rsidRPr="00394D1D" w14:paraId="7EE57F39" w14:textId="77777777" w:rsidTr="009C6724">
        <w:tc>
          <w:tcPr>
            <w:cnfStyle w:val="001000000000" w:firstRow="0" w:lastRow="0" w:firstColumn="1" w:lastColumn="0" w:oddVBand="0" w:evenVBand="0" w:oddHBand="0" w:evenHBand="0" w:firstRowFirstColumn="0" w:firstRowLastColumn="0" w:lastRowFirstColumn="0" w:lastRowLastColumn="0"/>
            <w:tcW w:w="4102" w:type="dxa"/>
          </w:tcPr>
          <w:p w14:paraId="45A9E95B" w14:textId="77777777" w:rsidR="00AB205D" w:rsidRDefault="00471A3B">
            <w:r>
              <w:rPr>
                <w:sz w:val="16"/>
              </w:rPr>
              <w:t>Interest received</w:t>
            </w:r>
          </w:p>
        </w:tc>
        <w:tc>
          <w:tcPr>
            <w:tcW w:w="739" w:type="dxa"/>
          </w:tcPr>
          <w:p w14:paraId="226A19A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4 782</w:t>
            </w:r>
          </w:p>
        </w:tc>
        <w:tc>
          <w:tcPr>
            <w:tcW w:w="739" w:type="dxa"/>
          </w:tcPr>
          <w:p w14:paraId="5B67147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5 238</w:t>
            </w:r>
          </w:p>
        </w:tc>
        <w:tc>
          <w:tcPr>
            <w:tcW w:w="739" w:type="dxa"/>
          </w:tcPr>
          <w:p w14:paraId="1C88787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6 358</w:t>
            </w:r>
          </w:p>
        </w:tc>
        <w:tc>
          <w:tcPr>
            <w:tcW w:w="739" w:type="dxa"/>
          </w:tcPr>
          <w:p w14:paraId="3A831EC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7 608</w:t>
            </w:r>
          </w:p>
        </w:tc>
        <w:tc>
          <w:tcPr>
            <w:tcW w:w="739" w:type="dxa"/>
          </w:tcPr>
          <w:p w14:paraId="5340FAE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8 915</w:t>
            </w:r>
          </w:p>
        </w:tc>
      </w:tr>
      <w:tr w:rsidR="009C6724" w:rsidRPr="00394D1D" w14:paraId="0B132890" w14:textId="77777777" w:rsidTr="009C6724">
        <w:tc>
          <w:tcPr>
            <w:cnfStyle w:val="001000000000" w:firstRow="0" w:lastRow="0" w:firstColumn="1" w:lastColumn="0" w:oddVBand="0" w:evenVBand="0" w:oddHBand="0" w:evenHBand="0" w:firstRowFirstColumn="0" w:firstRowLastColumn="0" w:lastRowFirstColumn="0" w:lastRowLastColumn="0"/>
            <w:tcW w:w="4102" w:type="dxa"/>
          </w:tcPr>
          <w:p w14:paraId="454EA6B7" w14:textId="77777777" w:rsidR="00AB205D" w:rsidRDefault="00471A3B">
            <w:r>
              <w:rPr>
                <w:sz w:val="16"/>
              </w:rPr>
              <w:t>Dividend receipts</w:t>
            </w:r>
          </w:p>
        </w:tc>
        <w:tc>
          <w:tcPr>
            <w:tcW w:w="739" w:type="dxa"/>
          </w:tcPr>
          <w:p w14:paraId="755EA1C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1 879</w:t>
            </w:r>
          </w:p>
        </w:tc>
        <w:tc>
          <w:tcPr>
            <w:tcW w:w="739" w:type="dxa"/>
          </w:tcPr>
          <w:p w14:paraId="4A72482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2 045</w:t>
            </w:r>
          </w:p>
        </w:tc>
        <w:tc>
          <w:tcPr>
            <w:tcW w:w="739" w:type="dxa"/>
          </w:tcPr>
          <w:p w14:paraId="1D47FFB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2 109</w:t>
            </w:r>
          </w:p>
        </w:tc>
        <w:tc>
          <w:tcPr>
            <w:tcW w:w="739" w:type="dxa"/>
          </w:tcPr>
          <w:p w14:paraId="6E2A557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2 239</w:t>
            </w:r>
          </w:p>
        </w:tc>
        <w:tc>
          <w:tcPr>
            <w:tcW w:w="739" w:type="dxa"/>
          </w:tcPr>
          <w:p w14:paraId="691CA5D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2 773</w:t>
            </w:r>
          </w:p>
        </w:tc>
      </w:tr>
      <w:tr w:rsidR="009C6724" w:rsidRPr="00394D1D" w14:paraId="12C60807" w14:textId="77777777" w:rsidTr="009C6724">
        <w:tc>
          <w:tcPr>
            <w:cnfStyle w:val="001000000000" w:firstRow="0" w:lastRow="0" w:firstColumn="1" w:lastColumn="0" w:oddVBand="0" w:evenVBand="0" w:oddHBand="0" w:evenHBand="0" w:firstRowFirstColumn="0" w:firstRowLastColumn="0" w:lastRowFirstColumn="0" w:lastRowLastColumn="0"/>
            <w:tcW w:w="4102" w:type="dxa"/>
            <w:tcBorders>
              <w:bottom w:val="single" w:sz="6" w:space="0" w:color="auto"/>
            </w:tcBorders>
          </w:tcPr>
          <w:p w14:paraId="7907CEA9" w14:textId="77777777" w:rsidR="00AB205D" w:rsidRDefault="00471A3B">
            <w:r>
              <w:rPr>
                <w:sz w:val="16"/>
              </w:rPr>
              <w:t>Other receipts</w:t>
            </w:r>
          </w:p>
        </w:tc>
        <w:tc>
          <w:tcPr>
            <w:tcW w:w="739" w:type="dxa"/>
            <w:tcBorders>
              <w:bottom w:val="single" w:sz="6" w:space="0" w:color="auto"/>
            </w:tcBorders>
          </w:tcPr>
          <w:p w14:paraId="3B902BF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123</w:t>
            </w:r>
          </w:p>
        </w:tc>
        <w:tc>
          <w:tcPr>
            <w:tcW w:w="739" w:type="dxa"/>
            <w:tcBorders>
              <w:bottom w:val="single" w:sz="6" w:space="0" w:color="auto"/>
            </w:tcBorders>
          </w:tcPr>
          <w:p w14:paraId="24F4A03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156</w:t>
            </w:r>
          </w:p>
        </w:tc>
        <w:tc>
          <w:tcPr>
            <w:tcW w:w="739" w:type="dxa"/>
            <w:tcBorders>
              <w:bottom w:val="single" w:sz="6" w:space="0" w:color="auto"/>
            </w:tcBorders>
          </w:tcPr>
          <w:p w14:paraId="57B2476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116</w:t>
            </w:r>
          </w:p>
        </w:tc>
        <w:tc>
          <w:tcPr>
            <w:tcW w:w="739" w:type="dxa"/>
            <w:tcBorders>
              <w:bottom w:val="single" w:sz="6" w:space="0" w:color="auto"/>
            </w:tcBorders>
          </w:tcPr>
          <w:p w14:paraId="6D6903F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58</w:t>
            </w:r>
          </w:p>
        </w:tc>
        <w:tc>
          <w:tcPr>
            <w:tcW w:w="739" w:type="dxa"/>
            <w:tcBorders>
              <w:bottom w:val="single" w:sz="6" w:space="0" w:color="auto"/>
            </w:tcBorders>
          </w:tcPr>
          <w:p w14:paraId="70CA0F9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57</w:t>
            </w:r>
          </w:p>
        </w:tc>
      </w:tr>
      <w:tr w:rsidR="009C6724" w:rsidRPr="00394D1D" w14:paraId="4E3F9CE1" w14:textId="77777777" w:rsidTr="009C6724">
        <w:tc>
          <w:tcPr>
            <w:cnfStyle w:val="001000000000" w:firstRow="0" w:lastRow="0" w:firstColumn="1" w:lastColumn="0" w:oddVBand="0" w:evenVBand="0" w:oddHBand="0" w:evenHBand="0" w:firstRowFirstColumn="0" w:firstRowLastColumn="0" w:lastRowFirstColumn="0" w:lastRowLastColumn="0"/>
            <w:tcW w:w="4102" w:type="dxa"/>
            <w:tcBorders>
              <w:top w:val="single" w:sz="6" w:space="0" w:color="auto"/>
            </w:tcBorders>
          </w:tcPr>
          <w:p w14:paraId="522EB01C" w14:textId="77777777" w:rsidR="00AB205D" w:rsidRDefault="00471A3B">
            <w:r>
              <w:rPr>
                <w:b/>
                <w:sz w:val="16"/>
              </w:rPr>
              <w:t>Total receipts</w:t>
            </w:r>
          </w:p>
        </w:tc>
        <w:tc>
          <w:tcPr>
            <w:tcW w:w="739" w:type="dxa"/>
            <w:tcBorders>
              <w:top w:val="single" w:sz="6" w:space="0" w:color="auto"/>
            </w:tcBorders>
          </w:tcPr>
          <w:p w14:paraId="64270B8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15 356</w:t>
            </w:r>
          </w:p>
        </w:tc>
        <w:tc>
          <w:tcPr>
            <w:tcW w:w="739" w:type="dxa"/>
            <w:tcBorders>
              <w:top w:val="single" w:sz="6" w:space="0" w:color="auto"/>
            </w:tcBorders>
          </w:tcPr>
          <w:p w14:paraId="48F1D5F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16 185</w:t>
            </w:r>
          </w:p>
        </w:tc>
        <w:tc>
          <w:tcPr>
            <w:tcW w:w="739" w:type="dxa"/>
            <w:tcBorders>
              <w:top w:val="single" w:sz="6" w:space="0" w:color="auto"/>
            </w:tcBorders>
          </w:tcPr>
          <w:p w14:paraId="00AB419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17 635</w:t>
            </w:r>
          </w:p>
        </w:tc>
        <w:tc>
          <w:tcPr>
            <w:tcW w:w="739" w:type="dxa"/>
            <w:tcBorders>
              <w:top w:val="single" w:sz="6" w:space="0" w:color="auto"/>
            </w:tcBorders>
          </w:tcPr>
          <w:p w14:paraId="450059A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19 383</w:t>
            </w:r>
          </w:p>
        </w:tc>
        <w:tc>
          <w:tcPr>
            <w:tcW w:w="739" w:type="dxa"/>
            <w:tcBorders>
              <w:top w:val="single" w:sz="6" w:space="0" w:color="auto"/>
            </w:tcBorders>
          </w:tcPr>
          <w:p w14:paraId="397B678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21 661</w:t>
            </w:r>
          </w:p>
        </w:tc>
      </w:tr>
      <w:tr w:rsidR="009C6724" w:rsidRPr="00394D1D" w14:paraId="55DBA5F7" w14:textId="77777777" w:rsidTr="009C6724">
        <w:tc>
          <w:tcPr>
            <w:cnfStyle w:val="001000000000" w:firstRow="0" w:lastRow="0" w:firstColumn="1" w:lastColumn="0" w:oddVBand="0" w:evenVBand="0" w:oddHBand="0" w:evenHBand="0" w:firstRowFirstColumn="0" w:firstRowLastColumn="0" w:lastRowFirstColumn="0" w:lastRowLastColumn="0"/>
            <w:tcW w:w="4102" w:type="dxa"/>
          </w:tcPr>
          <w:p w14:paraId="797240B9" w14:textId="77777777" w:rsidR="00AB205D" w:rsidRDefault="00471A3B">
            <w:r>
              <w:rPr>
                <w:b/>
                <w:sz w:val="16"/>
              </w:rPr>
              <w:t>Payments</w:t>
            </w:r>
          </w:p>
        </w:tc>
        <w:tc>
          <w:tcPr>
            <w:tcW w:w="739" w:type="dxa"/>
          </w:tcPr>
          <w:p w14:paraId="2F29E302"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39" w:type="dxa"/>
          </w:tcPr>
          <w:p w14:paraId="74F6897B"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39" w:type="dxa"/>
          </w:tcPr>
          <w:p w14:paraId="31053802"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39" w:type="dxa"/>
          </w:tcPr>
          <w:p w14:paraId="3042762D"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39" w:type="dxa"/>
          </w:tcPr>
          <w:p w14:paraId="00BC60D6"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rsidRPr="00394D1D" w14:paraId="74ABC0EA" w14:textId="77777777" w:rsidTr="009C6724">
        <w:tc>
          <w:tcPr>
            <w:cnfStyle w:val="001000000000" w:firstRow="0" w:lastRow="0" w:firstColumn="1" w:lastColumn="0" w:oddVBand="0" w:evenVBand="0" w:oddHBand="0" w:evenHBand="0" w:firstRowFirstColumn="0" w:firstRowLastColumn="0" w:lastRowFirstColumn="0" w:lastRowLastColumn="0"/>
            <w:tcW w:w="4102" w:type="dxa"/>
          </w:tcPr>
          <w:p w14:paraId="667AE5B9" w14:textId="77777777" w:rsidR="00AB205D" w:rsidRDefault="00471A3B">
            <w:r>
              <w:rPr>
                <w:sz w:val="16"/>
              </w:rPr>
              <w:t>Payments for employees</w:t>
            </w:r>
          </w:p>
        </w:tc>
        <w:tc>
          <w:tcPr>
            <w:tcW w:w="739" w:type="dxa"/>
          </w:tcPr>
          <w:p w14:paraId="13CBCC3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(542)</w:t>
            </w:r>
          </w:p>
        </w:tc>
        <w:tc>
          <w:tcPr>
            <w:tcW w:w="739" w:type="dxa"/>
          </w:tcPr>
          <w:p w14:paraId="0C6623F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(544)</w:t>
            </w:r>
          </w:p>
        </w:tc>
        <w:tc>
          <w:tcPr>
            <w:tcW w:w="739" w:type="dxa"/>
          </w:tcPr>
          <w:p w14:paraId="457D6C6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(557)</w:t>
            </w:r>
          </w:p>
        </w:tc>
        <w:tc>
          <w:tcPr>
            <w:tcW w:w="739" w:type="dxa"/>
          </w:tcPr>
          <w:p w14:paraId="77B395E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(565)</w:t>
            </w:r>
          </w:p>
        </w:tc>
        <w:tc>
          <w:tcPr>
            <w:tcW w:w="739" w:type="dxa"/>
          </w:tcPr>
          <w:p w14:paraId="3F8BE3B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(579)</w:t>
            </w:r>
          </w:p>
        </w:tc>
      </w:tr>
      <w:tr w:rsidR="009C6724" w:rsidRPr="00394D1D" w14:paraId="60D0CC9F" w14:textId="77777777" w:rsidTr="009C6724">
        <w:tc>
          <w:tcPr>
            <w:cnfStyle w:val="001000000000" w:firstRow="0" w:lastRow="0" w:firstColumn="1" w:lastColumn="0" w:oddVBand="0" w:evenVBand="0" w:oddHBand="0" w:evenHBand="0" w:firstRowFirstColumn="0" w:firstRowLastColumn="0" w:lastRowFirstColumn="0" w:lastRowLastColumn="0"/>
            <w:tcW w:w="4102" w:type="dxa"/>
          </w:tcPr>
          <w:p w14:paraId="7C14BE40" w14:textId="77777777" w:rsidR="00AB205D" w:rsidRDefault="00471A3B">
            <w:r>
              <w:rPr>
                <w:sz w:val="16"/>
              </w:rPr>
              <w:t>Superannuation</w:t>
            </w:r>
          </w:p>
        </w:tc>
        <w:tc>
          <w:tcPr>
            <w:tcW w:w="739" w:type="dxa"/>
          </w:tcPr>
          <w:p w14:paraId="42D3972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(52)</w:t>
            </w:r>
          </w:p>
        </w:tc>
        <w:tc>
          <w:tcPr>
            <w:tcW w:w="739" w:type="dxa"/>
          </w:tcPr>
          <w:p w14:paraId="4A5AC7C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(55)</w:t>
            </w:r>
          </w:p>
        </w:tc>
        <w:tc>
          <w:tcPr>
            <w:tcW w:w="739" w:type="dxa"/>
          </w:tcPr>
          <w:p w14:paraId="17ADF20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(56)</w:t>
            </w:r>
          </w:p>
        </w:tc>
        <w:tc>
          <w:tcPr>
            <w:tcW w:w="739" w:type="dxa"/>
          </w:tcPr>
          <w:p w14:paraId="072A07B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(58)</w:t>
            </w:r>
          </w:p>
        </w:tc>
        <w:tc>
          <w:tcPr>
            <w:tcW w:w="739" w:type="dxa"/>
          </w:tcPr>
          <w:p w14:paraId="72772B9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(60)</w:t>
            </w:r>
          </w:p>
        </w:tc>
      </w:tr>
      <w:tr w:rsidR="009C6724" w:rsidRPr="00394D1D" w14:paraId="0740E368" w14:textId="77777777" w:rsidTr="009C6724">
        <w:tc>
          <w:tcPr>
            <w:cnfStyle w:val="001000000000" w:firstRow="0" w:lastRow="0" w:firstColumn="1" w:lastColumn="0" w:oddVBand="0" w:evenVBand="0" w:oddHBand="0" w:evenHBand="0" w:firstRowFirstColumn="0" w:firstRowLastColumn="0" w:lastRowFirstColumn="0" w:lastRowLastColumn="0"/>
            <w:tcW w:w="4102" w:type="dxa"/>
          </w:tcPr>
          <w:p w14:paraId="4546DE95" w14:textId="77777777" w:rsidR="00AB205D" w:rsidRDefault="00471A3B">
            <w:r>
              <w:rPr>
                <w:sz w:val="16"/>
              </w:rPr>
              <w:t>Interest paid</w:t>
            </w:r>
          </w:p>
        </w:tc>
        <w:tc>
          <w:tcPr>
            <w:tcW w:w="739" w:type="dxa"/>
          </w:tcPr>
          <w:p w14:paraId="4AD5C66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(4 828)</w:t>
            </w:r>
          </w:p>
        </w:tc>
        <w:tc>
          <w:tcPr>
            <w:tcW w:w="739" w:type="dxa"/>
          </w:tcPr>
          <w:p w14:paraId="06295A2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(4 911)</w:t>
            </w:r>
          </w:p>
        </w:tc>
        <w:tc>
          <w:tcPr>
            <w:tcW w:w="739" w:type="dxa"/>
          </w:tcPr>
          <w:p w14:paraId="7B75346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(6 079)</w:t>
            </w:r>
          </w:p>
        </w:tc>
        <w:tc>
          <w:tcPr>
            <w:tcW w:w="739" w:type="dxa"/>
          </w:tcPr>
          <w:p w14:paraId="5A676AB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(7 308)</w:t>
            </w:r>
          </w:p>
        </w:tc>
        <w:tc>
          <w:tcPr>
            <w:tcW w:w="739" w:type="dxa"/>
          </w:tcPr>
          <w:p w14:paraId="4C76DE7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(8 590)</w:t>
            </w:r>
          </w:p>
        </w:tc>
      </w:tr>
      <w:tr w:rsidR="009C6724" w:rsidRPr="00394D1D" w14:paraId="1735D578" w14:textId="77777777" w:rsidTr="009C6724">
        <w:tc>
          <w:tcPr>
            <w:cnfStyle w:val="001000000000" w:firstRow="0" w:lastRow="0" w:firstColumn="1" w:lastColumn="0" w:oddVBand="0" w:evenVBand="0" w:oddHBand="0" w:evenHBand="0" w:firstRowFirstColumn="0" w:firstRowLastColumn="0" w:lastRowFirstColumn="0" w:lastRowLastColumn="0"/>
            <w:tcW w:w="4102" w:type="dxa"/>
          </w:tcPr>
          <w:p w14:paraId="5F60C966" w14:textId="77777777" w:rsidR="00AB205D" w:rsidRDefault="00471A3B">
            <w:r>
              <w:rPr>
                <w:sz w:val="16"/>
              </w:rPr>
              <w:t>Grants and subsidies</w:t>
            </w:r>
          </w:p>
        </w:tc>
        <w:tc>
          <w:tcPr>
            <w:tcW w:w="739" w:type="dxa"/>
          </w:tcPr>
          <w:p w14:paraId="1F1B25D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(1 150)</w:t>
            </w:r>
          </w:p>
        </w:tc>
        <w:tc>
          <w:tcPr>
            <w:tcW w:w="739" w:type="dxa"/>
          </w:tcPr>
          <w:p w14:paraId="6F88B15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(172)</w:t>
            </w:r>
          </w:p>
        </w:tc>
        <w:tc>
          <w:tcPr>
            <w:tcW w:w="739" w:type="dxa"/>
          </w:tcPr>
          <w:p w14:paraId="6A08C5A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(279)</w:t>
            </w:r>
          </w:p>
        </w:tc>
        <w:tc>
          <w:tcPr>
            <w:tcW w:w="739" w:type="dxa"/>
          </w:tcPr>
          <w:p w14:paraId="6D9275B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(274)</w:t>
            </w:r>
          </w:p>
        </w:tc>
        <w:tc>
          <w:tcPr>
            <w:tcW w:w="739" w:type="dxa"/>
          </w:tcPr>
          <w:p w14:paraId="26BC0C6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(922)</w:t>
            </w:r>
          </w:p>
        </w:tc>
      </w:tr>
      <w:tr w:rsidR="009C6724" w:rsidRPr="00394D1D" w14:paraId="1FDB8D9F" w14:textId="77777777" w:rsidTr="009C6724">
        <w:tc>
          <w:tcPr>
            <w:cnfStyle w:val="001000000000" w:firstRow="0" w:lastRow="0" w:firstColumn="1" w:lastColumn="0" w:oddVBand="0" w:evenVBand="0" w:oddHBand="0" w:evenHBand="0" w:firstRowFirstColumn="0" w:firstRowLastColumn="0" w:lastRowFirstColumn="0" w:lastRowLastColumn="0"/>
            <w:tcW w:w="4102" w:type="dxa"/>
          </w:tcPr>
          <w:p w14:paraId="074B1997" w14:textId="77777777" w:rsidR="00AB205D" w:rsidRDefault="00471A3B">
            <w:r>
              <w:rPr>
                <w:sz w:val="16"/>
              </w:rPr>
              <w:t>Goods and services</w:t>
            </w:r>
            <w:r>
              <w:rPr>
                <w:sz w:val="16"/>
                <w:vertAlign w:val="superscript"/>
              </w:rPr>
              <w:t xml:space="preserve"> (a)</w:t>
            </w:r>
          </w:p>
        </w:tc>
        <w:tc>
          <w:tcPr>
            <w:tcW w:w="739" w:type="dxa"/>
          </w:tcPr>
          <w:p w14:paraId="672163C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(7 639)</w:t>
            </w:r>
          </w:p>
        </w:tc>
        <w:tc>
          <w:tcPr>
            <w:tcW w:w="739" w:type="dxa"/>
          </w:tcPr>
          <w:p w14:paraId="06FDFD2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(7 937)</w:t>
            </w:r>
          </w:p>
        </w:tc>
        <w:tc>
          <w:tcPr>
            <w:tcW w:w="739" w:type="dxa"/>
          </w:tcPr>
          <w:p w14:paraId="58E465B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(8 134)</w:t>
            </w:r>
          </w:p>
        </w:tc>
        <w:tc>
          <w:tcPr>
            <w:tcW w:w="739" w:type="dxa"/>
          </w:tcPr>
          <w:p w14:paraId="4D1E834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(8 679)</w:t>
            </w:r>
          </w:p>
        </w:tc>
        <w:tc>
          <w:tcPr>
            <w:tcW w:w="739" w:type="dxa"/>
          </w:tcPr>
          <w:p w14:paraId="269E3EC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(9 269)</w:t>
            </w:r>
          </w:p>
        </w:tc>
      </w:tr>
      <w:tr w:rsidR="009C6724" w:rsidRPr="00394D1D" w14:paraId="202A6B2D" w14:textId="77777777" w:rsidTr="009C6724">
        <w:tc>
          <w:tcPr>
            <w:cnfStyle w:val="001000000000" w:firstRow="0" w:lastRow="0" w:firstColumn="1" w:lastColumn="0" w:oddVBand="0" w:evenVBand="0" w:oddHBand="0" w:evenHBand="0" w:firstRowFirstColumn="0" w:firstRowLastColumn="0" w:lastRowFirstColumn="0" w:lastRowLastColumn="0"/>
            <w:tcW w:w="4102" w:type="dxa"/>
            <w:tcBorders>
              <w:bottom w:val="single" w:sz="6" w:space="0" w:color="auto"/>
            </w:tcBorders>
          </w:tcPr>
          <w:p w14:paraId="44D4D61E" w14:textId="77777777" w:rsidR="00AB205D" w:rsidRDefault="00471A3B">
            <w:r>
              <w:rPr>
                <w:sz w:val="16"/>
              </w:rPr>
              <w:t>Other payments</w:t>
            </w:r>
          </w:p>
        </w:tc>
        <w:tc>
          <w:tcPr>
            <w:tcW w:w="739" w:type="dxa"/>
            <w:tcBorders>
              <w:bottom w:val="single" w:sz="6" w:space="0" w:color="auto"/>
            </w:tcBorders>
          </w:tcPr>
          <w:p w14:paraId="3427101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(289)</w:t>
            </w:r>
          </w:p>
        </w:tc>
        <w:tc>
          <w:tcPr>
            <w:tcW w:w="739" w:type="dxa"/>
            <w:tcBorders>
              <w:bottom w:val="single" w:sz="6" w:space="0" w:color="auto"/>
            </w:tcBorders>
          </w:tcPr>
          <w:p w14:paraId="59A04DD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(400)</w:t>
            </w:r>
          </w:p>
        </w:tc>
        <w:tc>
          <w:tcPr>
            <w:tcW w:w="739" w:type="dxa"/>
            <w:tcBorders>
              <w:bottom w:val="single" w:sz="6" w:space="0" w:color="auto"/>
            </w:tcBorders>
          </w:tcPr>
          <w:p w14:paraId="75D71FF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(239)</w:t>
            </w:r>
          </w:p>
        </w:tc>
        <w:tc>
          <w:tcPr>
            <w:tcW w:w="739" w:type="dxa"/>
            <w:tcBorders>
              <w:bottom w:val="single" w:sz="6" w:space="0" w:color="auto"/>
            </w:tcBorders>
          </w:tcPr>
          <w:p w14:paraId="58F3733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(10)</w:t>
            </w:r>
          </w:p>
        </w:tc>
        <w:tc>
          <w:tcPr>
            <w:tcW w:w="739" w:type="dxa"/>
            <w:tcBorders>
              <w:bottom w:val="single" w:sz="6" w:space="0" w:color="auto"/>
            </w:tcBorders>
          </w:tcPr>
          <w:p w14:paraId="0E990A3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(11)</w:t>
            </w:r>
          </w:p>
        </w:tc>
      </w:tr>
      <w:tr w:rsidR="009C6724" w:rsidRPr="00394D1D" w14:paraId="6EA4169E" w14:textId="77777777" w:rsidTr="009C6724">
        <w:tc>
          <w:tcPr>
            <w:cnfStyle w:val="001000000000" w:firstRow="0" w:lastRow="0" w:firstColumn="1" w:lastColumn="0" w:oddVBand="0" w:evenVBand="0" w:oddHBand="0" w:evenHBand="0" w:firstRowFirstColumn="0" w:firstRowLastColumn="0" w:lastRowFirstColumn="0" w:lastRowLastColumn="0"/>
            <w:tcW w:w="4102" w:type="dxa"/>
            <w:tcBorders>
              <w:top w:val="single" w:sz="6" w:space="0" w:color="auto"/>
              <w:bottom w:val="single" w:sz="6" w:space="0" w:color="auto"/>
            </w:tcBorders>
          </w:tcPr>
          <w:p w14:paraId="165E6CD9" w14:textId="77777777" w:rsidR="00AB205D" w:rsidRDefault="00471A3B">
            <w:r>
              <w:rPr>
                <w:b/>
                <w:sz w:val="16"/>
              </w:rPr>
              <w:t>Total payments</w:t>
            </w:r>
          </w:p>
        </w:tc>
        <w:tc>
          <w:tcPr>
            <w:tcW w:w="739" w:type="dxa"/>
            <w:tcBorders>
              <w:top w:val="single" w:sz="6" w:space="0" w:color="auto"/>
              <w:bottom w:val="single" w:sz="6" w:space="0" w:color="auto"/>
            </w:tcBorders>
          </w:tcPr>
          <w:p w14:paraId="3F828FF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(14 500)</w:t>
            </w:r>
          </w:p>
        </w:tc>
        <w:tc>
          <w:tcPr>
            <w:tcW w:w="739" w:type="dxa"/>
            <w:tcBorders>
              <w:top w:val="single" w:sz="6" w:space="0" w:color="auto"/>
              <w:bottom w:val="single" w:sz="6" w:space="0" w:color="auto"/>
            </w:tcBorders>
          </w:tcPr>
          <w:p w14:paraId="0ED97CA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(14 018)</w:t>
            </w:r>
          </w:p>
        </w:tc>
        <w:tc>
          <w:tcPr>
            <w:tcW w:w="739" w:type="dxa"/>
            <w:tcBorders>
              <w:top w:val="single" w:sz="6" w:space="0" w:color="auto"/>
              <w:bottom w:val="single" w:sz="6" w:space="0" w:color="auto"/>
            </w:tcBorders>
          </w:tcPr>
          <w:p w14:paraId="488FD38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(15 345)</w:t>
            </w:r>
          </w:p>
        </w:tc>
        <w:tc>
          <w:tcPr>
            <w:tcW w:w="739" w:type="dxa"/>
            <w:tcBorders>
              <w:top w:val="single" w:sz="6" w:space="0" w:color="auto"/>
              <w:bottom w:val="single" w:sz="6" w:space="0" w:color="auto"/>
            </w:tcBorders>
          </w:tcPr>
          <w:p w14:paraId="50B3D3F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(16 895)</w:t>
            </w:r>
          </w:p>
        </w:tc>
        <w:tc>
          <w:tcPr>
            <w:tcW w:w="739" w:type="dxa"/>
            <w:tcBorders>
              <w:top w:val="single" w:sz="6" w:space="0" w:color="auto"/>
              <w:bottom w:val="single" w:sz="6" w:space="0" w:color="auto"/>
            </w:tcBorders>
          </w:tcPr>
          <w:p w14:paraId="1DD77B5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(19 430)</w:t>
            </w:r>
          </w:p>
        </w:tc>
      </w:tr>
      <w:tr w:rsidR="009C6724" w:rsidRPr="00394D1D" w14:paraId="2B5C70ED" w14:textId="77777777" w:rsidTr="009C6724">
        <w:tc>
          <w:tcPr>
            <w:cnfStyle w:val="001000000000" w:firstRow="0" w:lastRow="0" w:firstColumn="1" w:lastColumn="0" w:oddVBand="0" w:evenVBand="0" w:oddHBand="0" w:evenHBand="0" w:firstRowFirstColumn="0" w:firstRowLastColumn="0" w:lastRowFirstColumn="0" w:lastRowLastColumn="0"/>
            <w:tcW w:w="4102" w:type="dxa"/>
            <w:tcBorders>
              <w:top w:val="single" w:sz="6" w:space="0" w:color="auto"/>
            </w:tcBorders>
          </w:tcPr>
          <w:p w14:paraId="28048CF5" w14:textId="77777777" w:rsidR="00AB205D" w:rsidRDefault="00471A3B">
            <w:r>
              <w:rPr>
                <w:b/>
                <w:sz w:val="16"/>
              </w:rPr>
              <w:t>Net cash flows from operating activities</w:t>
            </w:r>
          </w:p>
        </w:tc>
        <w:tc>
          <w:tcPr>
            <w:tcW w:w="739" w:type="dxa"/>
            <w:tcBorders>
              <w:top w:val="single" w:sz="6" w:space="0" w:color="auto"/>
            </w:tcBorders>
          </w:tcPr>
          <w:p w14:paraId="51A059A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857</w:t>
            </w:r>
          </w:p>
        </w:tc>
        <w:tc>
          <w:tcPr>
            <w:tcW w:w="739" w:type="dxa"/>
            <w:tcBorders>
              <w:top w:val="single" w:sz="6" w:space="0" w:color="auto"/>
            </w:tcBorders>
          </w:tcPr>
          <w:p w14:paraId="0F9C8D4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2 167</w:t>
            </w:r>
          </w:p>
        </w:tc>
        <w:tc>
          <w:tcPr>
            <w:tcW w:w="739" w:type="dxa"/>
            <w:tcBorders>
              <w:top w:val="single" w:sz="6" w:space="0" w:color="auto"/>
            </w:tcBorders>
          </w:tcPr>
          <w:p w14:paraId="03E3967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2 290</w:t>
            </w:r>
          </w:p>
        </w:tc>
        <w:tc>
          <w:tcPr>
            <w:tcW w:w="739" w:type="dxa"/>
            <w:tcBorders>
              <w:top w:val="single" w:sz="6" w:space="0" w:color="auto"/>
            </w:tcBorders>
          </w:tcPr>
          <w:p w14:paraId="4D0FE7E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2 488</w:t>
            </w:r>
          </w:p>
        </w:tc>
        <w:tc>
          <w:tcPr>
            <w:tcW w:w="739" w:type="dxa"/>
            <w:tcBorders>
              <w:top w:val="single" w:sz="6" w:space="0" w:color="auto"/>
            </w:tcBorders>
          </w:tcPr>
          <w:p w14:paraId="7640B49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2 230</w:t>
            </w:r>
          </w:p>
        </w:tc>
      </w:tr>
      <w:tr w:rsidR="009C6724" w:rsidRPr="00394D1D" w14:paraId="142D4868" w14:textId="77777777" w:rsidTr="009C6724">
        <w:tc>
          <w:tcPr>
            <w:cnfStyle w:val="001000000000" w:firstRow="0" w:lastRow="0" w:firstColumn="1" w:lastColumn="0" w:oddVBand="0" w:evenVBand="0" w:oddHBand="0" w:evenHBand="0" w:firstRowFirstColumn="0" w:firstRowLastColumn="0" w:lastRowFirstColumn="0" w:lastRowLastColumn="0"/>
            <w:tcW w:w="4102" w:type="dxa"/>
          </w:tcPr>
          <w:p w14:paraId="146501F3" w14:textId="77777777" w:rsidR="00AB205D" w:rsidRDefault="00471A3B">
            <w:r>
              <w:rPr>
                <w:b/>
                <w:sz w:val="16"/>
              </w:rPr>
              <w:t>Cash flows from investing activities</w:t>
            </w:r>
          </w:p>
        </w:tc>
        <w:tc>
          <w:tcPr>
            <w:tcW w:w="739" w:type="dxa"/>
          </w:tcPr>
          <w:p w14:paraId="0208968E"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39" w:type="dxa"/>
          </w:tcPr>
          <w:p w14:paraId="1E847FCF"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39" w:type="dxa"/>
          </w:tcPr>
          <w:p w14:paraId="5C27E0D9"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39" w:type="dxa"/>
          </w:tcPr>
          <w:p w14:paraId="00E9BB9A"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39" w:type="dxa"/>
          </w:tcPr>
          <w:p w14:paraId="21CEC376"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rsidRPr="00394D1D" w14:paraId="769976CF" w14:textId="77777777" w:rsidTr="009C6724">
        <w:tc>
          <w:tcPr>
            <w:cnfStyle w:val="001000000000" w:firstRow="0" w:lastRow="0" w:firstColumn="1" w:lastColumn="0" w:oddVBand="0" w:evenVBand="0" w:oddHBand="0" w:evenHBand="0" w:firstRowFirstColumn="0" w:firstRowLastColumn="0" w:lastRowFirstColumn="0" w:lastRowLastColumn="0"/>
            <w:tcW w:w="4102" w:type="dxa"/>
          </w:tcPr>
          <w:p w14:paraId="283F8826" w14:textId="77777777" w:rsidR="00AB205D" w:rsidRDefault="00471A3B">
            <w:r>
              <w:rPr>
                <w:b/>
                <w:sz w:val="16"/>
              </w:rPr>
              <w:t>Cash flows from investments in non</w:t>
            </w:r>
            <w:r>
              <w:rPr>
                <w:b/>
                <w:sz w:val="16"/>
              </w:rPr>
              <w:noBreakHyphen/>
              <w:t>financial assets</w:t>
            </w:r>
          </w:p>
        </w:tc>
        <w:tc>
          <w:tcPr>
            <w:tcW w:w="739" w:type="dxa"/>
          </w:tcPr>
          <w:p w14:paraId="2856EB24"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39" w:type="dxa"/>
          </w:tcPr>
          <w:p w14:paraId="2987914B"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39" w:type="dxa"/>
          </w:tcPr>
          <w:p w14:paraId="50DDB7D5"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39" w:type="dxa"/>
          </w:tcPr>
          <w:p w14:paraId="64E256CF"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39" w:type="dxa"/>
          </w:tcPr>
          <w:p w14:paraId="5A291F0F"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rsidRPr="00394D1D" w14:paraId="3C9F9B92" w14:textId="77777777" w:rsidTr="009C6724">
        <w:tc>
          <w:tcPr>
            <w:cnfStyle w:val="001000000000" w:firstRow="0" w:lastRow="0" w:firstColumn="1" w:lastColumn="0" w:oddVBand="0" w:evenVBand="0" w:oddHBand="0" w:evenHBand="0" w:firstRowFirstColumn="0" w:firstRowLastColumn="0" w:lastRowFirstColumn="0" w:lastRowLastColumn="0"/>
            <w:tcW w:w="4102" w:type="dxa"/>
          </w:tcPr>
          <w:p w14:paraId="786FE6C5" w14:textId="77777777" w:rsidR="00AB205D" w:rsidRDefault="00471A3B">
            <w:r>
              <w:rPr>
                <w:sz w:val="16"/>
              </w:rPr>
              <w:t>Purchases of non</w:t>
            </w:r>
            <w:r>
              <w:rPr>
                <w:sz w:val="16"/>
              </w:rPr>
              <w:noBreakHyphen/>
              <w:t>financial assets</w:t>
            </w:r>
          </w:p>
        </w:tc>
        <w:tc>
          <w:tcPr>
            <w:tcW w:w="739" w:type="dxa"/>
          </w:tcPr>
          <w:p w14:paraId="77F5124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(39)</w:t>
            </w:r>
          </w:p>
        </w:tc>
        <w:tc>
          <w:tcPr>
            <w:tcW w:w="739" w:type="dxa"/>
          </w:tcPr>
          <w:p w14:paraId="0FCAC0E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(39)</w:t>
            </w:r>
          </w:p>
        </w:tc>
        <w:tc>
          <w:tcPr>
            <w:tcW w:w="739" w:type="dxa"/>
          </w:tcPr>
          <w:p w14:paraId="70571DA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(15)</w:t>
            </w:r>
          </w:p>
        </w:tc>
        <w:tc>
          <w:tcPr>
            <w:tcW w:w="739" w:type="dxa"/>
          </w:tcPr>
          <w:p w14:paraId="591A8C2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(14)</w:t>
            </w:r>
          </w:p>
        </w:tc>
        <w:tc>
          <w:tcPr>
            <w:tcW w:w="739" w:type="dxa"/>
          </w:tcPr>
          <w:p w14:paraId="6A7F9C6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(14)</w:t>
            </w:r>
          </w:p>
        </w:tc>
      </w:tr>
      <w:tr w:rsidR="009C6724" w:rsidRPr="00394D1D" w14:paraId="6A75FCBC" w14:textId="77777777" w:rsidTr="009C6724">
        <w:tc>
          <w:tcPr>
            <w:cnfStyle w:val="001000000000" w:firstRow="0" w:lastRow="0" w:firstColumn="1" w:lastColumn="0" w:oddVBand="0" w:evenVBand="0" w:oddHBand="0" w:evenHBand="0" w:firstRowFirstColumn="0" w:firstRowLastColumn="0" w:lastRowFirstColumn="0" w:lastRowLastColumn="0"/>
            <w:tcW w:w="4102" w:type="dxa"/>
            <w:tcBorders>
              <w:bottom w:val="single" w:sz="6" w:space="0" w:color="auto"/>
            </w:tcBorders>
          </w:tcPr>
          <w:p w14:paraId="521FF173" w14:textId="77777777" w:rsidR="00AB205D" w:rsidRDefault="00471A3B">
            <w:r>
              <w:rPr>
                <w:sz w:val="16"/>
              </w:rPr>
              <w:t>Sales of non</w:t>
            </w:r>
            <w:r>
              <w:rPr>
                <w:sz w:val="16"/>
              </w:rPr>
              <w:noBreakHyphen/>
              <w:t>financial assets</w:t>
            </w:r>
          </w:p>
        </w:tc>
        <w:tc>
          <w:tcPr>
            <w:tcW w:w="739" w:type="dxa"/>
            <w:tcBorders>
              <w:bottom w:val="single" w:sz="6" w:space="0" w:color="auto"/>
            </w:tcBorders>
          </w:tcPr>
          <w:p w14:paraId="2E7EB89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w:t>
            </w:r>
          </w:p>
        </w:tc>
        <w:tc>
          <w:tcPr>
            <w:tcW w:w="739" w:type="dxa"/>
            <w:tcBorders>
              <w:bottom w:val="single" w:sz="6" w:space="0" w:color="auto"/>
            </w:tcBorders>
          </w:tcPr>
          <w:p w14:paraId="4E7B932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w:t>
            </w:r>
          </w:p>
        </w:tc>
        <w:tc>
          <w:tcPr>
            <w:tcW w:w="739" w:type="dxa"/>
            <w:tcBorders>
              <w:bottom w:val="single" w:sz="6" w:space="0" w:color="auto"/>
            </w:tcBorders>
          </w:tcPr>
          <w:p w14:paraId="75CA12E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w:t>
            </w:r>
          </w:p>
        </w:tc>
        <w:tc>
          <w:tcPr>
            <w:tcW w:w="739" w:type="dxa"/>
            <w:tcBorders>
              <w:bottom w:val="single" w:sz="6" w:space="0" w:color="auto"/>
            </w:tcBorders>
          </w:tcPr>
          <w:p w14:paraId="6443A41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w:t>
            </w:r>
          </w:p>
        </w:tc>
        <w:tc>
          <w:tcPr>
            <w:tcW w:w="739" w:type="dxa"/>
            <w:tcBorders>
              <w:bottom w:val="single" w:sz="6" w:space="0" w:color="auto"/>
            </w:tcBorders>
          </w:tcPr>
          <w:p w14:paraId="11FB22E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w:t>
            </w:r>
          </w:p>
        </w:tc>
      </w:tr>
      <w:tr w:rsidR="009C6724" w:rsidRPr="00394D1D" w14:paraId="1C54DC17" w14:textId="77777777" w:rsidTr="009C6724">
        <w:tc>
          <w:tcPr>
            <w:cnfStyle w:val="001000000000" w:firstRow="0" w:lastRow="0" w:firstColumn="1" w:lastColumn="0" w:oddVBand="0" w:evenVBand="0" w:oddHBand="0" w:evenHBand="0" w:firstRowFirstColumn="0" w:firstRowLastColumn="0" w:lastRowFirstColumn="0" w:lastRowLastColumn="0"/>
            <w:tcW w:w="4102" w:type="dxa"/>
            <w:tcBorders>
              <w:top w:val="single" w:sz="6" w:space="0" w:color="auto"/>
            </w:tcBorders>
          </w:tcPr>
          <w:p w14:paraId="4B6DA0D2" w14:textId="77777777" w:rsidR="00AB205D" w:rsidRDefault="00471A3B">
            <w:r>
              <w:rPr>
                <w:b/>
                <w:sz w:val="16"/>
              </w:rPr>
              <w:t>Net cash flows from investments in non</w:t>
            </w:r>
            <w:r>
              <w:rPr>
                <w:b/>
                <w:sz w:val="16"/>
              </w:rPr>
              <w:noBreakHyphen/>
              <w:t>financial assets</w:t>
            </w:r>
          </w:p>
        </w:tc>
        <w:tc>
          <w:tcPr>
            <w:tcW w:w="739" w:type="dxa"/>
            <w:tcBorders>
              <w:top w:val="single" w:sz="6" w:space="0" w:color="auto"/>
            </w:tcBorders>
          </w:tcPr>
          <w:p w14:paraId="47BF810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(38)</w:t>
            </w:r>
          </w:p>
        </w:tc>
        <w:tc>
          <w:tcPr>
            <w:tcW w:w="739" w:type="dxa"/>
            <w:tcBorders>
              <w:top w:val="single" w:sz="6" w:space="0" w:color="auto"/>
            </w:tcBorders>
          </w:tcPr>
          <w:p w14:paraId="18C633E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(38)</w:t>
            </w:r>
          </w:p>
        </w:tc>
        <w:tc>
          <w:tcPr>
            <w:tcW w:w="739" w:type="dxa"/>
            <w:tcBorders>
              <w:top w:val="single" w:sz="6" w:space="0" w:color="auto"/>
            </w:tcBorders>
          </w:tcPr>
          <w:p w14:paraId="06C2D60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(14)</w:t>
            </w:r>
          </w:p>
        </w:tc>
        <w:tc>
          <w:tcPr>
            <w:tcW w:w="739" w:type="dxa"/>
            <w:tcBorders>
              <w:top w:val="single" w:sz="6" w:space="0" w:color="auto"/>
            </w:tcBorders>
          </w:tcPr>
          <w:p w14:paraId="7B99969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(13)</w:t>
            </w:r>
          </w:p>
        </w:tc>
        <w:tc>
          <w:tcPr>
            <w:tcW w:w="739" w:type="dxa"/>
            <w:tcBorders>
              <w:top w:val="single" w:sz="6" w:space="0" w:color="auto"/>
            </w:tcBorders>
          </w:tcPr>
          <w:p w14:paraId="4E332D1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(13)</w:t>
            </w:r>
          </w:p>
        </w:tc>
      </w:tr>
      <w:tr w:rsidR="009C6724" w:rsidRPr="00394D1D" w14:paraId="44390244" w14:textId="77777777" w:rsidTr="009C6724">
        <w:tc>
          <w:tcPr>
            <w:cnfStyle w:val="001000000000" w:firstRow="0" w:lastRow="0" w:firstColumn="1" w:lastColumn="0" w:oddVBand="0" w:evenVBand="0" w:oddHBand="0" w:evenHBand="0" w:firstRowFirstColumn="0" w:firstRowLastColumn="0" w:lastRowFirstColumn="0" w:lastRowLastColumn="0"/>
            <w:tcW w:w="4102" w:type="dxa"/>
            <w:tcBorders>
              <w:bottom w:val="single" w:sz="6" w:space="0" w:color="auto"/>
            </w:tcBorders>
          </w:tcPr>
          <w:p w14:paraId="7E8C1BF1" w14:textId="77777777" w:rsidR="00AB205D" w:rsidRDefault="00471A3B">
            <w:r>
              <w:rPr>
                <w:sz w:val="16"/>
              </w:rPr>
              <w:t>Net cash flows from investments in financial assets for policy purposes</w:t>
            </w:r>
          </w:p>
        </w:tc>
        <w:tc>
          <w:tcPr>
            <w:tcW w:w="739" w:type="dxa"/>
            <w:tcBorders>
              <w:bottom w:val="single" w:sz="6" w:space="0" w:color="auto"/>
            </w:tcBorders>
          </w:tcPr>
          <w:p w14:paraId="6018F89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13</w:t>
            </w:r>
          </w:p>
        </w:tc>
        <w:tc>
          <w:tcPr>
            <w:tcW w:w="739" w:type="dxa"/>
            <w:tcBorders>
              <w:bottom w:val="single" w:sz="6" w:space="0" w:color="auto"/>
            </w:tcBorders>
          </w:tcPr>
          <w:p w14:paraId="3905A56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30</w:t>
            </w:r>
          </w:p>
        </w:tc>
        <w:tc>
          <w:tcPr>
            <w:tcW w:w="739" w:type="dxa"/>
            <w:tcBorders>
              <w:bottom w:val="single" w:sz="6" w:space="0" w:color="auto"/>
            </w:tcBorders>
          </w:tcPr>
          <w:p w14:paraId="28A8280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8</w:t>
            </w:r>
          </w:p>
        </w:tc>
        <w:tc>
          <w:tcPr>
            <w:tcW w:w="739" w:type="dxa"/>
            <w:tcBorders>
              <w:bottom w:val="single" w:sz="6" w:space="0" w:color="auto"/>
            </w:tcBorders>
          </w:tcPr>
          <w:p w14:paraId="56138D4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4</w:t>
            </w:r>
          </w:p>
        </w:tc>
        <w:tc>
          <w:tcPr>
            <w:tcW w:w="739" w:type="dxa"/>
            <w:tcBorders>
              <w:bottom w:val="single" w:sz="6" w:space="0" w:color="auto"/>
            </w:tcBorders>
          </w:tcPr>
          <w:p w14:paraId="47207BC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4</w:t>
            </w:r>
          </w:p>
        </w:tc>
      </w:tr>
      <w:tr w:rsidR="009C6724" w:rsidRPr="00394D1D" w14:paraId="6A250664" w14:textId="77777777" w:rsidTr="009C6724">
        <w:tc>
          <w:tcPr>
            <w:cnfStyle w:val="001000000000" w:firstRow="0" w:lastRow="0" w:firstColumn="1" w:lastColumn="0" w:oddVBand="0" w:evenVBand="0" w:oddHBand="0" w:evenHBand="0" w:firstRowFirstColumn="0" w:firstRowLastColumn="0" w:lastRowFirstColumn="0" w:lastRowLastColumn="0"/>
            <w:tcW w:w="4102" w:type="dxa"/>
            <w:tcBorders>
              <w:top w:val="single" w:sz="6" w:space="0" w:color="auto"/>
            </w:tcBorders>
          </w:tcPr>
          <w:p w14:paraId="5A18D267" w14:textId="77777777" w:rsidR="00AB205D" w:rsidRDefault="00471A3B">
            <w:r>
              <w:rPr>
                <w:b/>
                <w:sz w:val="16"/>
              </w:rPr>
              <w:t>Subtotal</w:t>
            </w:r>
          </w:p>
        </w:tc>
        <w:tc>
          <w:tcPr>
            <w:tcW w:w="739" w:type="dxa"/>
            <w:tcBorders>
              <w:top w:val="single" w:sz="6" w:space="0" w:color="auto"/>
            </w:tcBorders>
          </w:tcPr>
          <w:p w14:paraId="054CA23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(24)</w:t>
            </w:r>
          </w:p>
        </w:tc>
        <w:tc>
          <w:tcPr>
            <w:tcW w:w="739" w:type="dxa"/>
            <w:tcBorders>
              <w:top w:val="single" w:sz="6" w:space="0" w:color="auto"/>
            </w:tcBorders>
          </w:tcPr>
          <w:p w14:paraId="67F902C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(8)</w:t>
            </w:r>
          </w:p>
        </w:tc>
        <w:tc>
          <w:tcPr>
            <w:tcW w:w="739" w:type="dxa"/>
            <w:tcBorders>
              <w:top w:val="single" w:sz="6" w:space="0" w:color="auto"/>
            </w:tcBorders>
          </w:tcPr>
          <w:p w14:paraId="56EC9FD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(6)</w:t>
            </w:r>
          </w:p>
        </w:tc>
        <w:tc>
          <w:tcPr>
            <w:tcW w:w="739" w:type="dxa"/>
            <w:tcBorders>
              <w:top w:val="single" w:sz="6" w:space="0" w:color="auto"/>
            </w:tcBorders>
          </w:tcPr>
          <w:p w14:paraId="4EBC547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(9)</w:t>
            </w:r>
          </w:p>
        </w:tc>
        <w:tc>
          <w:tcPr>
            <w:tcW w:w="739" w:type="dxa"/>
            <w:tcBorders>
              <w:top w:val="single" w:sz="6" w:space="0" w:color="auto"/>
            </w:tcBorders>
          </w:tcPr>
          <w:p w14:paraId="2A00576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(9)</w:t>
            </w:r>
          </w:p>
        </w:tc>
      </w:tr>
      <w:tr w:rsidR="009C6724" w:rsidRPr="00394D1D" w14:paraId="432D2B83" w14:textId="77777777" w:rsidTr="009C6724">
        <w:tc>
          <w:tcPr>
            <w:cnfStyle w:val="001000000000" w:firstRow="0" w:lastRow="0" w:firstColumn="1" w:lastColumn="0" w:oddVBand="0" w:evenVBand="0" w:oddHBand="0" w:evenHBand="0" w:firstRowFirstColumn="0" w:firstRowLastColumn="0" w:lastRowFirstColumn="0" w:lastRowLastColumn="0"/>
            <w:tcW w:w="4102" w:type="dxa"/>
            <w:tcBorders>
              <w:bottom w:val="single" w:sz="6" w:space="0" w:color="auto"/>
            </w:tcBorders>
          </w:tcPr>
          <w:p w14:paraId="29732896" w14:textId="77777777" w:rsidR="00AB205D" w:rsidRDefault="00471A3B">
            <w:r>
              <w:rPr>
                <w:sz w:val="16"/>
              </w:rPr>
              <w:t>Net cash flows from investment in financial assets for liquidity management purposes</w:t>
            </w:r>
          </w:p>
        </w:tc>
        <w:tc>
          <w:tcPr>
            <w:tcW w:w="739" w:type="dxa"/>
            <w:tcBorders>
              <w:bottom w:val="single" w:sz="6" w:space="0" w:color="auto"/>
            </w:tcBorders>
          </w:tcPr>
          <w:p w14:paraId="41E8B87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(34 719)</w:t>
            </w:r>
          </w:p>
        </w:tc>
        <w:tc>
          <w:tcPr>
            <w:tcW w:w="739" w:type="dxa"/>
            <w:tcBorders>
              <w:bottom w:val="single" w:sz="6" w:space="0" w:color="auto"/>
            </w:tcBorders>
          </w:tcPr>
          <w:p w14:paraId="17F8988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(32 150)</w:t>
            </w:r>
          </w:p>
        </w:tc>
        <w:tc>
          <w:tcPr>
            <w:tcW w:w="739" w:type="dxa"/>
            <w:tcBorders>
              <w:bottom w:val="single" w:sz="6" w:space="0" w:color="auto"/>
            </w:tcBorders>
          </w:tcPr>
          <w:p w14:paraId="36FF2AF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(23 724)</w:t>
            </w:r>
          </w:p>
        </w:tc>
        <w:tc>
          <w:tcPr>
            <w:tcW w:w="739" w:type="dxa"/>
            <w:tcBorders>
              <w:bottom w:val="single" w:sz="6" w:space="0" w:color="auto"/>
            </w:tcBorders>
          </w:tcPr>
          <w:p w14:paraId="7620E02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(20 640)</w:t>
            </w:r>
          </w:p>
        </w:tc>
        <w:tc>
          <w:tcPr>
            <w:tcW w:w="739" w:type="dxa"/>
            <w:tcBorders>
              <w:bottom w:val="single" w:sz="6" w:space="0" w:color="auto"/>
            </w:tcBorders>
          </w:tcPr>
          <w:p w14:paraId="6643695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(19 164)</w:t>
            </w:r>
          </w:p>
        </w:tc>
      </w:tr>
      <w:tr w:rsidR="009C6724" w:rsidRPr="00394D1D" w14:paraId="75E52CC4" w14:textId="77777777" w:rsidTr="009C6724">
        <w:tc>
          <w:tcPr>
            <w:cnfStyle w:val="001000000000" w:firstRow="0" w:lastRow="0" w:firstColumn="1" w:lastColumn="0" w:oddVBand="0" w:evenVBand="0" w:oddHBand="0" w:evenHBand="0" w:firstRowFirstColumn="0" w:firstRowLastColumn="0" w:lastRowFirstColumn="0" w:lastRowLastColumn="0"/>
            <w:tcW w:w="4102" w:type="dxa"/>
            <w:tcBorders>
              <w:top w:val="single" w:sz="6" w:space="0" w:color="auto"/>
            </w:tcBorders>
          </w:tcPr>
          <w:p w14:paraId="36EB1290" w14:textId="77777777" w:rsidR="00AB205D" w:rsidRDefault="00471A3B">
            <w:r>
              <w:rPr>
                <w:b/>
                <w:sz w:val="16"/>
              </w:rPr>
              <w:t>Net cash flows from investing activities</w:t>
            </w:r>
          </w:p>
        </w:tc>
        <w:tc>
          <w:tcPr>
            <w:tcW w:w="739" w:type="dxa"/>
            <w:tcBorders>
              <w:top w:val="single" w:sz="6" w:space="0" w:color="auto"/>
            </w:tcBorders>
          </w:tcPr>
          <w:p w14:paraId="7333ED3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(34 744)</w:t>
            </w:r>
          </w:p>
        </w:tc>
        <w:tc>
          <w:tcPr>
            <w:tcW w:w="739" w:type="dxa"/>
            <w:tcBorders>
              <w:top w:val="single" w:sz="6" w:space="0" w:color="auto"/>
            </w:tcBorders>
          </w:tcPr>
          <w:p w14:paraId="2A2014B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(32 158)</w:t>
            </w:r>
          </w:p>
        </w:tc>
        <w:tc>
          <w:tcPr>
            <w:tcW w:w="739" w:type="dxa"/>
            <w:tcBorders>
              <w:top w:val="single" w:sz="6" w:space="0" w:color="auto"/>
            </w:tcBorders>
          </w:tcPr>
          <w:p w14:paraId="2BC7CA7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(23 730)</w:t>
            </w:r>
          </w:p>
        </w:tc>
        <w:tc>
          <w:tcPr>
            <w:tcW w:w="739" w:type="dxa"/>
            <w:tcBorders>
              <w:top w:val="single" w:sz="6" w:space="0" w:color="auto"/>
            </w:tcBorders>
          </w:tcPr>
          <w:p w14:paraId="2AAECEC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(20 649)</w:t>
            </w:r>
          </w:p>
        </w:tc>
        <w:tc>
          <w:tcPr>
            <w:tcW w:w="739" w:type="dxa"/>
            <w:tcBorders>
              <w:top w:val="single" w:sz="6" w:space="0" w:color="auto"/>
            </w:tcBorders>
          </w:tcPr>
          <w:p w14:paraId="0F3EC3A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(19 173)</w:t>
            </w:r>
          </w:p>
        </w:tc>
      </w:tr>
      <w:tr w:rsidR="009C6724" w:rsidRPr="00394D1D" w14:paraId="5B2F9400" w14:textId="77777777" w:rsidTr="009C6724">
        <w:tc>
          <w:tcPr>
            <w:cnfStyle w:val="001000000000" w:firstRow="0" w:lastRow="0" w:firstColumn="1" w:lastColumn="0" w:oddVBand="0" w:evenVBand="0" w:oddHBand="0" w:evenHBand="0" w:firstRowFirstColumn="0" w:firstRowLastColumn="0" w:lastRowFirstColumn="0" w:lastRowLastColumn="0"/>
            <w:tcW w:w="4102" w:type="dxa"/>
          </w:tcPr>
          <w:p w14:paraId="73F35D80" w14:textId="77777777" w:rsidR="00AB205D" w:rsidRDefault="00471A3B">
            <w:r>
              <w:rPr>
                <w:b/>
                <w:sz w:val="16"/>
              </w:rPr>
              <w:t>Cash flows from financing activities</w:t>
            </w:r>
          </w:p>
        </w:tc>
        <w:tc>
          <w:tcPr>
            <w:tcW w:w="739" w:type="dxa"/>
          </w:tcPr>
          <w:p w14:paraId="5A56F2E8"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39" w:type="dxa"/>
          </w:tcPr>
          <w:p w14:paraId="54B18E6A"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39" w:type="dxa"/>
          </w:tcPr>
          <w:p w14:paraId="3AB15412"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39" w:type="dxa"/>
          </w:tcPr>
          <w:p w14:paraId="3FF30F08"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39" w:type="dxa"/>
          </w:tcPr>
          <w:p w14:paraId="6A946D3C"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rsidRPr="00394D1D" w14:paraId="49FD8B7B" w14:textId="77777777" w:rsidTr="009C6724">
        <w:tc>
          <w:tcPr>
            <w:cnfStyle w:val="001000000000" w:firstRow="0" w:lastRow="0" w:firstColumn="1" w:lastColumn="0" w:oddVBand="0" w:evenVBand="0" w:oddHBand="0" w:evenHBand="0" w:firstRowFirstColumn="0" w:firstRowLastColumn="0" w:lastRowFirstColumn="0" w:lastRowLastColumn="0"/>
            <w:tcW w:w="4102" w:type="dxa"/>
          </w:tcPr>
          <w:p w14:paraId="4B4DB1D8" w14:textId="77777777" w:rsidR="00AB205D" w:rsidRDefault="00471A3B">
            <w:r>
              <w:rPr>
                <w:sz w:val="16"/>
              </w:rPr>
              <w:t>Advances received (net)</w:t>
            </w:r>
          </w:p>
        </w:tc>
        <w:tc>
          <w:tcPr>
            <w:tcW w:w="739" w:type="dxa"/>
          </w:tcPr>
          <w:p w14:paraId="7EAC903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(29)</w:t>
            </w:r>
          </w:p>
        </w:tc>
        <w:tc>
          <w:tcPr>
            <w:tcW w:w="739" w:type="dxa"/>
          </w:tcPr>
          <w:p w14:paraId="3D26A67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(61)</w:t>
            </w:r>
          </w:p>
        </w:tc>
        <w:tc>
          <w:tcPr>
            <w:tcW w:w="739" w:type="dxa"/>
          </w:tcPr>
          <w:p w14:paraId="0ECDEEF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(16)</w:t>
            </w:r>
          </w:p>
        </w:tc>
        <w:tc>
          <w:tcPr>
            <w:tcW w:w="739" w:type="dxa"/>
          </w:tcPr>
          <w:p w14:paraId="0D544BC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(9)</w:t>
            </w:r>
          </w:p>
        </w:tc>
        <w:tc>
          <w:tcPr>
            <w:tcW w:w="739" w:type="dxa"/>
          </w:tcPr>
          <w:p w14:paraId="75EAC11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(8)</w:t>
            </w:r>
          </w:p>
        </w:tc>
      </w:tr>
      <w:tr w:rsidR="009C6724" w:rsidRPr="00394D1D" w14:paraId="6F157D0B" w14:textId="77777777" w:rsidTr="009C6724">
        <w:tc>
          <w:tcPr>
            <w:cnfStyle w:val="001000000000" w:firstRow="0" w:lastRow="0" w:firstColumn="1" w:lastColumn="0" w:oddVBand="0" w:evenVBand="0" w:oddHBand="0" w:evenHBand="0" w:firstRowFirstColumn="0" w:firstRowLastColumn="0" w:lastRowFirstColumn="0" w:lastRowLastColumn="0"/>
            <w:tcW w:w="4102" w:type="dxa"/>
          </w:tcPr>
          <w:p w14:paraId="1EDCD383" w14:textId="77777777" w:rsidR="00AB205D" w:rsidRDefault="00471A3B">
            <w:r>
              <w:rPr>
                <w:sz w:val="16"/>
              </w:rPr>
              <w:t>Net borrowings</w:t>
            </w:r>
          </w:p>
        </w:tc>
        <w:tc>
          <w:tcPr>
            <w:tcW w:w="739" w:type="dxa"/>
          </w:tcPr>
          <w:p w14:paraId="18AB1CA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34 088</w:t>
            </w:r>
          </w:p>
        </w:tc>
        <w:tc>
          <w:tcPr>
            <w:tcW w:w="739" w:type="dxa"/>
          </w:tcPr>
          <w:p w14:paraId="7777519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30 580</w:t>
            </w:r>
          </w:p>
        </w:tc>
        <w:tc>
          <w:tcPr>
            <w:tcW w:w="739" w:type="dxa"/>
          </w:tcPr>
          <w:p w14:paraId="3781F1A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21 749</w:t>
            </w:r>
          </w:p>
        </w:tc>
        <w:tc>
          <w:tcPr>
            <w:tcW w:w="739" w:type="dxa"/>
          </w:tcPr>
          <w:p w14:paraId="0F20B82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18 696</w:t>
            </w:r>
          </w:p>
        </w:tc>
        <w:tc>
          <w:tcPr>
            <w:tcW w:w="739" w:type="dxa"/>
          </w:tcPr>
          <w:p w14:paraId="7544E51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17 006</w:t>
            </w:r>
          </w:p>
        </w:tc>
      </w:tr>
      <w:tr w:rsidR="009C6724" w:rsidRPr="00394D1D" w14:paraId="60B189B8" w14:textId="77777777" w:rsidTr="009C6724">
        <w:tc>
          <w:tcPr>
            <w:cnfStyle w:val="001000000000" w:firstRow="0" w:lastRow="0" w:firstColumn="1" w:lastColumn="0" w:oddVBand="0" w:evenVBand="0" w:oddHBand="0" w:evenHBand="0" w:firstRowFirstColumn="0" w:firstRowLastColumn="0" w:lastRowFirstColumn="0" w:lastRowLastColumn="0"/>
            <w:tcW w:w="4102" w:type="dxa"/>
          </w:tcPr>
          <w:p w14:paraId="266AF92C" w14:textId="77777777" w:rsidR="00AB205D" w:rsidRDefault="00471A3B">
            <w:r>
              <w:rPr>
                <w:sz w:val="16"/>
              </w:rPr>
              <w:t>Deposits received (net)</w:t>
            </w:r>
          </w:p>
        </w:tc>
        <w:tc>
          <w:tcPr>
            <w:tcW w:w="739" w:type="dxa"/>
          </w:tcPr>
          <w:p w14:paraId="70E5CF4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29</w:t>
            </w:r>
          </w:p>
        </w:tc>
        <w:tc>
          <w:tcPr>
            <w:tcW w:w="739" w:type="dxa"/>
          </w:tcPr>
          <w:p w14:paraId="3B4E66E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57</w:t>
            </w:r>
          </w:p>
        </w:tc>
        <w:tc>
          <w:tcPr>
            <w:tcW w:w="739" w:type="dxa"/>
          </w:tcPr>
          <w:p w14:paraId="49CFADE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14</w:t>
            </w:r>
          </w:p>
        </w:tc>
        <w:tc>
          <w:tcPr>
            <w:tcW w:w="739" w:type="dxa"/>
          </w:tcPr>
          <w:p w14:paraId="3F4E360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(3)</w:t>
            </w:r>
          </w:p>
        </w:tc>
        <w:tc>
          <w:tcPr>
            <w:tcW w:w="739" w:type="dxa"/>
          </w:tcPr>
          <w:p w14:paraId="367C7C1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(3)</w:t>
            </w:r>
          </w:p>
        </w:tc>
      </w:tr>
      <w:tr w:rsidR="009C6724" w:rsidRPr="00394D1D" w14:paraId="6D2D55AD" w14:textId="77777777" w:rsidTr="009C6724">
        <w:tc>
          <w:tcPr>
            <w:cnfStyle w:val="001000000000" w:firstRow="0" w:lastRow="0" w:firstColumn="1" w:lastColumn="0" w:oddVBand="0" w:evenVBand="0" w:oddHBand="0" w:evenHBand="0" w:firstRowFirstColumn="0" w:firstRowLastColumn="0" w:lastRowFirstColumn="0" w:lastRowLastColumn="0"/>
            <w:tcW w:w="4102" w:type="dxa"/>
            <w:tcBorders>
              <w:bottom w:val="single" w:sz="6" w:space="0" w:color="auto"/>
            </w:tcBorders>
          </w:tcPr>
          <w:p w14:paraId="15FD525B" w14:textId="77777777" w:rsidR="00AB205D" w:rsidRDefault="00471A3B">
            <w:r>
              <w:rPr>
                <w:sz w:val="16"/>
              </w:rPr>
              <w:t>Other financing (net)</w:t>
            </w:r>
          </w:p>
        </w:tc>
        <w:tc>
          <w:tcPr>
            <w:tcW w:w="739" w:type="dxa"/>
            <w:tcBorders>
              <w:bottom w:val="single" w:sz="6" w:space="0" w:color="auto"/>
            </w:tcBorders>
          </w:tcPr>
          <w:p w14:paraId="324D1FD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(460)</w:t>
            </w:r>
          </w:p>
        </w:tc>
        <w:tc>
          <w:tcPr>
            <w:tcW w:w="739" w:type="dxa"/>
            <w:tcBorders>
              <w:bottom w:val="single" w:sz="6" w:space="0" w:color="auto"/>
            </w:tcBorders>
          </w:tcPr>
          <w:p w14:paraId="53CC1A9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(1 098)</w:t>
            </w:r>
          </w:p>
        </w:tc>
        <w:tc>
          <w:tcPr>
            <w:tcW w:w="739" w:type="dxa"/>
            <w:tcBorders>
              <w:bottom w:val="single" w:sz="6" w:space="0" w:color="auto"/>
            </w:tcBorders>
          </w:tcPr>
          <w:p w14:paraId="5825846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(235)</w:t>
            </w:r>
          </w:p>
        </w:tc>
        <w:tc>
          <w:tcPr>
            <w:tcW w:w="739" w:type="dxa"/>
            <w:tcBorders>
              <w:bottom w:val="single" w:sz="6" w:space="0" w:color="auto"/>
            </w:tcBorders>
          </w:tcPr>
          <w:p w14:paraId="3256147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(468)</w:t>
            </w:r>
          </w:p>
        </w:tc>
        <w:tc>
          <w:tcPr>
            <w:tcW w:w="739" w:type="dxa"/>
            <w:tcBorders>
              <w:bottom w:val="single" w:sz="6" w:space="0" w:color="auto"/>
            </w:tcBorders>
          </w:tcPr>
          <w:p w14:paraId="2B5B6B3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166</w:t>
            </w:r>
          </w:p>
        </w:tc>
      </w:tr>
      <w:tr w:rsidR="009C6724" w:rsidRPr="00394D1D" w14:paraId="73F13AA6" w14:textId="77777777" w:rsidTr="009C6724">
        <w:tc>
          <w:tcPr>
            <w:cnfStyle w:val="001000000000" w:firstRow="0" w:lastRow="0" w:firstColumn="1" w:lastColumn="0" w:oddVBand="0" w:evenVBand="0" w:oddHBand="0" w:evenHBand="0" w:firstRowFirstColumn="0" w:firstRowLastColumn="0" w:lastRowFirstColumn="0" w:lastRowLastColumn="0"/>
            <w:tcW w:w="4102" w:type="dxa"/>
            <w:tcBorders>
              <w:top w:val="single" w:sz="6" w:space="0" w:color="auto"/>
              <w:bottom w:val="single" w:sz="6" w:space="0" w:color="auto"/>
            </w:tcBorders>
          </w:tcPr>
          <w:p w14:paraId="7F3CC43B" w14:textId="77777777" w:rsidR="00AB205D" w:rsidRDefault="00471A3B">
            <w:r>
              <w:rPr>
                <w:b/>
                <w:sz w:val="16"/>
              </w:rPr>
              <w:t>Net cash flows from financing activities</w:t>
            </w:r>
          </w:p>
        </w:tc>
        <w:tc>
          <w:tcPr>
            <w:tcW w:w="739" w:type="dxa"/>
            <w:tcBorders>
              <w:top w:val="single" w:sz="6" w:space="0" w:color="auto"/>
              <w:bottom w:val="single" w:sz="6" w:space="0" w:color="auto"/>
            </w:tcBorders>
          </w:tcPr>
          <w:p w14:paraId="59410B5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33 628</w:t>
            </w:r>
          </w:p>
        </w:tc>
        <w:tc>
          <w:tcPr>
            <w:tcW w:w="739" w:type="dxa"/>
            <w:tcBorders>
              <w:top w:val="single" w:sz="6" w:space="0" w:color="auto"/>
              <w:bottom w:val="single" w:sz="6" w:space="0" w:color="auto"/>
            </w:tcBorders>
          </w:tcPr>
          <w:p w14:paraId="2F5CBE7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29 479</w:t>
            </w:r>
          </w:p>
        </w:tc>
        <w:tc>
          <w:tcPr>
            <w:tcW w:w="739" w:type="dxa"/>
            <w:tcBorders>
              <w:top w:val="single" w:sz="6" w:space="0" w:color="auto"/>
              <w:bottom w:val="single" w:sz="6" w:space="0" w:color="auto"/>
            </w:tcBorders>
          </w:tcPr>
          <w:p w14:paraId="14043F2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21 512</w:t>
            </w:r>
          </w:p>
        </w:tc>
        <w:tc>
          <w:tcPr>
            <w:tcW w:w="739" w:type="dxa"/>
            <w:tcBorders>
              <w:top w:val="single" w:sz="6" w:space="0" w:color="auto"/>
              <w:bottom w:val="single" w:sz="6" w:space="0" w:color="auto"/>
            </w:tcBorders>
          </w:tcPr>
          <w:p w14:paraId="01F7F6D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18 217</w:t>
            </w:r>
          </w:p>
        </w:tc>
        <w:tc>
          <w:tcPr>
            <w:tcW w:w="739" w:type="dxa"/>
            <w:tcBorders>
              <w:top w:val="single" w:sz="6" w:space="0" w:color="auto"/>
              <w:bottom w:val="single" w:sz="6" w:space="0" w:color="auto"/>
            </w:tcBorders>
          </w:tcPr>
          <w:p w14:paraId="20C6568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17 161</w:t>
            </w:r>
          </w:p>
        </w:tc>
      </w:tr>
      <w:tr w:rsidR="009C6724" w:rsidRPr="00394D1D" w14:paraId="10AB1DDE" w14:textId="77777777" w:rsidTr="009C6724">
        <w:tc>
          <w:tcPr>
            <w:cnfStyle w:val="001000000000" w:firstRow="0" w:lastRow="0" w:firstColumn="1" w:lastColumn="0" w:oddVBand="0" w:evenVBand="0" w:oddHBand="0" w:evenHBand="0" w:firstRowFirstColumn="0" w:firstRowLastColumn="0" w:lastRowFirstColumn="0" w:lastRowLastColumn="0"/>
            <w:tcW w:w="4102" w:type="dxa"/>
            <w:tcBorders>
              <w:top w:val="single" w:sz="6" w:space="0" w:color="auto"/>
            </w:tcBorders>
          </w:tcPr>
          <w:p w14:paraId="0863F475" w14:textId="77777777" w:rsidR="00AB205D" w:rsidRDefault="00471A3B">
            <w:r>
              <w:rPr>
                <w:b/>
                <w:sz w:val="16"/>
              </w:rPr>
              <w:t>Net increase/(decrease) in cash and cash equivalents</w:t>
            </w:r>
          </w:p>
        </w:tc>
        <w:tc>
          <w:tcPr>
            <w:tcW w:w="739" w:type="dxa"/>
            <w:tcBorders>
              <w:top w:val="single" w:sz="6" w:space="0" w:color="auto"/>
            </w:tcBorders>
          </w:tcPr>
          <w:p w14:paraId="7DA5F39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(259)</w:t>
            </w:r>
          </w:p>
        </w:tc>
        <w:tc>
          <w:tcPr>
            <w:tcW w:w="739" w:type="dxa"/>
            <w:tcBorders>
              <w:top w:val="single" w:sz="6" w:space="0" w:color="auto"/>
            </w:tcBorders>
          </w:tcPr>
          <w:p w14:paraId="627F8FF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(512)</w:t>
            </w:r>
          </w:p>
        </w:tc>
        <w:tc>
          <w:tcPr>
            <w:tcW w:w="739" w:type="dxa"/>
            <w:tcBorders>
              <w:top w:val="single" w:sz="6" w:space="0" w:color="auto"/>
            </w:tcBorders>
          </w:tcPr>
          <w:p w14:paraId="52C3174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72</w:t>
            </w:r>
          </w:p>
        </w:tc>
        <w:tc>
          <w:tcPr>
            <w:tcW w:w="739" w:type="dxa"/>
            <w:tcBorders>
              <w:top w:val="single" w:sz="6" w:space="0" w:color="auto"/>
            </w:tcBorders>
          </w:tcPr>
          <w:p w14:paraId="2161C8A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56</w:t>
            </w:r>
          </w:p>
        </w:tc>
        <w:tc>
          <w:tcPr>
            <w:tcW w:w="739" w:type="dxa"/>
            <w:tcBorders>
              <w:top w:val="single" w:sz="6" w:space="0" w:color="auto"/>
            </w:tcBorders>
          </w:tcPr>
          <w:p w14:paraId="3F5A924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219</w:t>
            </w:r>
          </w:p>
        </w:tc>
      </w:tr>
      <w:tr w:rsidR="009C6724" w:rsidRPr="00394D1D" w14:paraId="7C8DA284" w14:textId="77777777" w:rsidTr="009C6724">
        <w:tc>
          <w:tcPr>
            <w:cnfStyle w:val="001000000000" w:firstRow="0" w:lastRow="0" w:firstColumn="1" w:lastColumn="0" w:oddVBand="0" w:evenVBand="0" w:oddHBand="0" w:evenHBand="0" w:firstRowFirstColumn="0" w:firstRowLastColumn="0" w:lastRowFirstColumn="0" w:lastRowLastColumn="0"/>
            <w:tcW w:w="4102" w:type="dxa"/>
            <w:tcBorders>
              <w:bottom w:val="single" w:sz="6" w:space="0" w:color="auto"/>
            </w:tcBorders>
          </w:tcPr>
          <w:p w14:paraId="0FA5803A" w14:textId="77777777" w:rsidR="00AB205D" w:rsidRDefault="00471A3B">
            <w:r>
              <w:rPr>
                <w:sz w:val="16"/>
              </w:rPr>
              <w:t>Cash and cash equivalents at beginning of reporting period</w:t>
            </w:r>
            <w:r>
              <w:rPr>
                <w:sz w:val="16"/>
                <w:vertAlign w:val="superscript"/>
              </w:rPr>
              <w:t xml:space="preserve"> (b)</w:t>
            </w:r>
          </w:p>
        </w:tc>
        <w:tc>
          <w:tcPr>
            <w:tcW w:w="739" w:type="dxa"/>
            <w:tcBorders>
              <w:bottom w:val="single" w:sz="6" w:space="0" w:color="auto"/>
            </w:tcBorders>
          </w:tcPr>
          <w:p w14:paraId="5B34FBD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4 100</w:t>
            </w:r>
          </w:p>
        </w:tc>
        <w:tc>
          <w:tcPr>
            <w:tcW w:w="739" w:type="dxa"/>
            <w:tcBorders>
              <w:bottom w:val="single" w:sz="6" w:space="0" w:color="auto"/>
            </w:tcBorders>
          </w:tcPr>
          <w:p w14:paraId="1AAE985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4 100</w:t>
            </w:r>
          </w:p>
        </w:tc>
        <w:tc>
          <w:tcPr>
            <w:tcW w:w="739" w:type="dxa"/>
            <w:tcBorders>
              <w:bottom w:val="single" w:sz="6" w:space="0" w:color="auto"/>
            </w:tcBorders>
          </w:tcPr>
          <w:p w14:paraId="3715FEC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3 589</w:t>
            </w:r>
          </w:p>
        </w:tc>
        <w:tc>
          <w:tcPr>
            <w:tcW w:w="739" w:type="dxa"/>
            <w:tcBorders>
              <w:bottom w:val="single" w:sz="6" w:space="0" w:color="auto"/>
            </w:tcBorders>
          </w:tcPr>
          <w:p w14:paraId="61DC816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3 661</w:t>
            </w:r>
          </w:p>
        </w:tc>
        <w:tc>
          <w:tcPr>
            <w:tcW w:w="739" w:type="dxa"/>
            <w:tcBorders>
              <w:bottom w:val="single" w:sz="6" w:space="0" w:color="auto"/>
            </w:tcBorders>
          </w:tcPr>
          <w:p w14:paraId="635CDCC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3 717</w:t>
            </w:r>
          </w:p>
        </w:tc>
      </w:tr>
      <w:tr w:rsidR="009C6724" w:rsidRPr="00394D1D" w14:paraId="61235627" w14:textId="77777777" w:rsidTr="009C6724">
        <w:tc>
          <w:tcPr>
            <w:cnfStyle w:val="001000000000" w:firstRow="0" w:lastRow="0" w:firstColumn="1" w:lastColumn="0" w:oddVBand="0" w:evenVBand="0" w:oddHBand="0" w:evenHBand="0" w:firstRowFirstColumn="0" w:firstRowLastColumn="0" w:lastRowFirstColumn="0" w:lastRowLastColumn="0"/>
            <w:tcW w:w="4102" w:type="dxa"/>
            <w:tcBorders>
              <w:top w:val="single" w:sz="6" w:space="0" w:color="auto"/>
              <w:bottom w:val="single" w:sz="6" w:space="0" w:color="auto"/>
            </w:tcBorders>
          </w:tcPr>
          <w:p w14:paraId="60A089F4" w14:textId="77777777" w:rsidR="00AB205D" w:rsidRDefault="00471A3B">
            <w:r>
              <w:rPr>
                <w:b/>
                <w:sz w:val="16"/>
              </w:rPr>
              <w:t>Cash and cash equivalents at end of reporting period</w:t>
            </w:r>
            <w:r>
              <w:rPr>
                <w:b/>
                <w:sz w:val="16"/>
                <w:vertAlign w:val="superscript"/>
              </w:rPr>
              <w:t xml:space="preserve"> (b)</w:t>
            </w:r>
          </w:p>
        </w:tc>
        <w:tc>
          <w:tcPr>
            <w:tcW w:w="739" w:type="dxa"/>
            <w:tcBorders>
              <w:top w:val="single" w:sz="6" w:space="0" w:color="auto"/>
              <w:bottom w:val="single" w:sz="6" w:space="0" w:color="auto"/>
            </w:tcBorders>
          </w:tcPr>
          <w:p w14:paraId="09D933F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3 841</w:t>
            </w:r>
          </w:p>
        </w:tc>
        <w:tc>
          <w:tcPr>
            <w:tcW w:w="739" w:type="dxa"/>
            <w:tcBorders>
              <w:top w:val="single" w:sz="6" w:space="0" w:color="auto"/>
              <w:bottom w:val="single" w:sz="6" w:space="0" w:color="auto"/>
            </w:tcBorders>
          </w:tcPr>
          <w:p w14:paraId="6CABCB9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3 589</w:t>
            </w:r>
          </w:p>
        </w:tc>
        <w:tc>
          <w:tcPr>
            <w:tcW w:w="739" w:type="dxa"/>
            <w:tcBorders>
              <w:top w:val="single" w:sz="6" w:space="0" w:color="auto"/>
              <w:bottom w:val="single" w:sz="6" w:space="0" w:color="auto"/>
            </w:tcBorders>
          </w:tcPr>
          <w:p w14:paraId="15AE74E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3 661</w:t>
            </w:r>
          </w:p>
        </w:tc>
        <w:tc>
          <w:tcPr>
            <w:tcW w:w="739" w:type="dxa"/>
            <w:tcBorders>
              <w:top w:val="single" w:sz="6" w:space="0" w:color="auto"/>
              <w:bottom w:val="single" w:sz="6" w:space="0" w:color="auto"/>
            </w:tcBorders>
          </w:tcPr>
          <w:p w14:paraId="60C70D3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3 717</w:t>
            </w:r>
          </w:p>
        </w:tc>
        <w:tc>
          <w:tcPr>
            <w:tcW w:w="739" w:type="dxa"/>
            <w:tcBorders>
              <w:top w:val="single" w:sz="6" w:space="0" w:color="auto"/>
              <w:bottom w:val="single" w:sz="6" w:space="0" w:color="auto"/>
            </w:tcBorders>
          </w:tcPr>
          <w:p w14:paraId="4F53E92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3 935</w:t>
            </w:r>
          </w:p>
        </w:tc>
      </w:tr>
      <w:tr w:rsidR="009C6724" w:rsidRPr="00394D1D" w14:paraId="3DDD622C" w14:textId="77777777" w:rsidTr="009C6724">
        <w:trPr>
          <w:trHeight w:hRule="exact" w:val="113"/>
        </w:trPr>
        <w:tc>
          <w:tcPr>
            <w:cnfStyle w:val="001000000000" w:firstRow="0" w:lastRow="0" w:firstColumn="1" w:lastColumn="0" w:oddVBand="0" w:evenVBand="0" w:oddHBand="0" w:evenHBand="0" w:firstRowFirstColumn="0" w:firstRowLastColumn="0" w:lastRowFirstColumn="0" w:lastRowLastColumn="0"/>
            <w:tcW w:w="4102" w:type="dxa"/>
            <w:tcBorders>
              <w:top w:val="single" w:sz="6" w:space="0" w:color="auto"/>
            </w:tcBorders>
          </w:tcPr>
          <w:p w14:paraId="23ACF4BB" w14:textId="77777777" w:rsidR="00AB205D" w:rsidRDefault="00AB205D"/>
        </w:tc>
        <w:tc>
          <w:tcPr>
            <w:tcW w:w="739" w:type="dxa"/>
            <w:tcBorders>
              <w:top w:val="single" w:sz="6" w:space="0" w:color="auto"/>
            </w:tcBorders>
          </w:tcPr>
          <w:p w14:paraId="3D356640"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39" w:type="dxa"/>
            <w:tcBorders>
              <w:top w:val="single" w:sz="6" w:space="0" w:color="auto"/>
            </w:tcBorders>
          </w:tcPr>
          <w:p w14:paraId="44A0878E"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39" w:type="dxa"/>
            <w:tcBorders>
              <w:top w:val="single" w:sz="6" w:space="0" w:color="auto"/>
            </w:tcBorders>
          </w:tcPr>
          <w:p w14:paraId="5D7D3869"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39" w:type="dxa"/>
            <w:tcBorders>
              <w:top w:val="single" w:sz="6" w:space="0" w:color="auto"/>
            </w:tcBorders>
          </w:tcPr>
          <w:p w14:paraId="27EA0E94"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39" w:type="dxa"/>
            <w:tcBorders>
              <w:top w:val="single" w:sz="6" w:space="0" w:color="auto"/>
            </w:tcBorders>
          </w:tcPr>
          <w:p w14:paraId="593E15F6"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rsidRPr="00394D1D" w14:paraId="62839A77" w14:textId="77777777" w:rsidTr="009C6724">
        <w:tc>
          <w:tcPr>
            <w:cnfStyle w:val="001000000000" w:firstRow="0" w:lastRow="0" w:firstColumn="1" w:lastColumn="0" w:oddVBand="0" w:evenVBand="0" w:oddHBand="0" w:evenHBand="0" w:firstRowFirstColumn="0" w:firstRowLastColumn="0" w:lastRowFirstColumn="0" w:lastRowLastColumn="0"/>
            <w:tcW w:w="4102" w:type="dxa"/>
          </w:tcPr>
          <w:p w14:paraId="710C09B9" w14:textId="77777777" w:rsidR="00AB205D" w:rsidRDefault="00471A3B">
            <w:r>
              <w:rPr>
                <w:b/>
                <w:sz w:val="16"/>
              </w:rPr>
              <w:t>FISCAL AGGREGATES</w:t>
            </w:r>
          </w:p>
        </w:tc>
        <w:tc>
          <w:tcPr>
            <w:tcW w:w="739" w:type="dxa"/>
          </w:tcPr>
          <w:p w14:paraId="75DDF2F1"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39" w:type="dxa"/>
          </w:tcPr>
          <w:p w14:paraId="5EBE07C0"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39" w:type="dxa"/>
          </w:tcPr>
          <w:p w14:paraId="3B3C48DC"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39" w:type="dxa"/>
          </w:tcPr>
          <w:p w14:paraId="12C40048"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39" w:type="dxa"/>
          </w:tcPr>
          <w:p w14:paraId="044B9444"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rsidRPr="00394D1D" w14:paraId="6CFC8D31" w14:textId="77777777" w:rsidTr="009C6724">
        <w:tc>
          <w:tcPr>
            <w:cnfStyle w:val="001000000000" w:firstRow="0" w:lastRow="0" w:firstColumn="1" w:lastColumn="0" w:oddVBand="0" w:evenVBand="0" w:oddHBand="0" w:evenHBand="0" w:firstRowFirstColumn="0" w:firstRowLastColumn="0" w:lastRowFirstColumn="0" w:lastRowLastColumn="0"/>
            <w:tcW w:w="4102" w:type="dxa"/>
          </w:tcPr>
          <w:p w14:paraId="6DC9B60C" w14:textId="77777777" w:rsidR="00AB205D" w:rsidRDefault="00471A3B">
            <w:r>
              <w:rPr>
                <w:sz w:val="16"/>
              </w:rPr>
              <w:t>Net cash flows from operating activities</w:t>
            </w:r>
          </w:p>
        </w:tc>
        <w:tc>
          <w:tcPr>
            <w:tcW w:w="739" w:type="dxa"/>
          </w:tcPr>
          <w:p w14:paraId="6E59DCF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857</w:t>
            </w:r>
          </w:p>
        </w:tc>
        <w:tc>
          <w:tcPr>
            <w:tcW w:w="739" w:type="dxa"/>
          </w:tcPr>
          <w:p w14:paraId="08801F8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2 167</w:t>
            </w:r>
          </w:p>
        </w:tc>
        <w:tc>
          <w:tcPr>
            <w:tcW w:w="739" w:type="dxa"/>
          </w:tcPr>
          <w:p w14:paraId="3646E98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2 290</w:t>
            </w:r>
          </w:p>
        </w:tc>
        <w:tc>
          <w:tcPr>
            <w:tcW w:w="739" w:type="dxa"/>
          </w:tcPr>
          <w:p w14:paraId="597A4F5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2 488</w:t>
            </w:r>
          </w:p>
        </w:tc>
        <w:tc>
          <w:tcPr>
            <w:tcW w:w="739" w:type="dxa"/>
          </w:tcPr>
          <w:p w14:paraId="444382C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2 230</w:t>
            </w:r>
          </w:p>
        </w:tc>
      </w:tr>
      <w:tr w:rsidR="009C6724" w:rsidRPr="00394D1D" w14:paraId="176B0361" w14:textId="77777777" w:rsidTr="009C6724">
        <w:tc>
          <w:tcPr>
            <w:cnfStyle w:val="001000000000" w:firstRow="0" w:lastRow="0" w:firstColumn="1" w:lastColumn="0" w:oddVBand="0" w:evenVBand="0" w:oddHBand="0" w:evenHBand="0" w:firstRowFirstColumn="0" w:firstRowLastColumn="0" w:lastRowFirstColumn="0" w:lastRowLastColumn="0"/>
            <w:tcW w:w="4102" w:type="dxa"/>
          </w:tcPr>
          <w:p w14:paraId="2FC17189" w14:textId="77777777" w:rsidR="00AB205D" w:rsidRDefault="00471A3B">
            <w:r>
              <w:rPr>
                <w:sz w:val="16"/>
              </w:rPr>
              <w:t>Dividends paid</w:t>
            </w:r>
          </w:p>
        </w:tc>
        <w:tc>
          <w:tcPr>
            <w:tcW w:w="739" w:type="dxa"/>
          </w:tcPr>
          <w:p w14:paraId="2B2D5B6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(610)</w:t>
            </w:r>
          </w:p>
        </w:tc>
        <w:tc>
          <w:tcPr>
            <w:tcW w:w="739" w:type="dxa"/>
          </w:tcPr>
          <w:p w14:paraId="0619497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(1 247)</w:t>
            </w:r>
          </w:p>
        </w:tc>
        <w:tc>
          <w:tcPr>
            <w:tcW w:w="739" w:type="dxa"/>
          </w:tcPr>
          <w:p w14:paraId="1323AD5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(384)</w:t>
            </w:r>
          </w:p>
        </w:tc>
        <w:tc>
          <w:tcPr>
            <w:tcW w:w="739" w:type="dxa"/>
          </w:tcPr>
          <w:p w14:paraId="5ABE10B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(84)</w:t>
            </w:r>
          </w:p>
        </w:tc>
        <w:tc>
          <w:tcPr>
            <w:tcW w:w="739" w:type="dxa"/>
          </w:tcPr>
          <w:p w14:paraId="4895019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(86)</w:t>
            </w:r>
          </w:p>
        </w:tc>
      </w:tr>
      <w:tr w:rsidR="009C6724" w:rsidRPr="00394D1D" w14:paraId="09F69B2E" w14:textId="77777777" w:rsidTr="009C6724">
        <w:tc>
          <w:tcPr>
            <w:cnfStyle w:val="001000000000" w:firstRow="0" w:lastRow="0" w:firstColumn="1" w:lastColumn="0" w:oddVBand="0" w:evenVBand="0" w:oddHBand="0" w:evenHBand="0" w:firstRowFirstColumn="0" w:firstRowLastColumn="0" w:lastRowFirstColumn="0" w:lastRowLastColumn="0"/>
            <w:tcW w:w="4102" w:type="dxa"/>
            <w:tcBorders>
              <w:bottom w:val="single" w:sz="6" w:space="0" w:color="auto"/>
            </w:tcBorders>
          </w:tcPr>
          <w:p w14:paraId="7F6D6DEF" w14:textId="77777777" w:rsidR="00AB205D" w:rsidRDefault="00471A3B">
            <w:r>
              <w:rPr>
                <w:sz w:val="16"/>
              </w:rPr>
              <w:t>Net cash flows from investments in non</w:t>
            </w:r>
            <w:r>
              <w:rPr>
                <w:sz w:val="16"/>
              </w:rPr>
              <w:noBreakHyphen/>
              <w:t>financial assets</w:t>
            </w:r>
          </w:p>
        </w:tc>
        <w:tc>
          <w:tcPr>
            <w:tcW w:w="739" w:type="dxa"/>
            <w:tcBorders>
              <w:bottom w:val="single" w:sz="6" w:space="0" w:color="auto"/>
            </w:tcBorders>
          </w:tcPr>
          <w:p w14:paraId="241F77E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(38)</w:t>
            </w:r>
          </w:p>
        </w:tc>
        <w:tc>
          <w:tcPr>
            <w:tcW w:w="739" w:type="dxa"/>
            <w:tcBorders>
              <w:bottom w:val="single" w:sz="6" w:space="0" w:color="auto"/>
            </w:tcBorders>
          </w:tcPr>
          <w:p w14:paraId="6647284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(38)</w:t>
            </w:r>
          </w:p>
        </w:tc>
        <w:tc>
          <w:tcPr>
            <w:tcW w:w="739" w:type="dxa"/>
            <w:tcBorders>
              <w:bottom w:val="single" w:sz="6" w:space="0" w:color="auto"/>
            </w:tcBorders>
          </w:tcPr>
          <w:p w14:paraId="52E17D2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(14)</w:t>
            </w:r>
          </w:p>
        </w:tc>
        <w:tc>
          <w:tcPr>
            <w:tcW w:w="739" w:type="dxa"/>
            <w:tcBorders>
              <w:bottom w:val="single" w:sz="6" w:space="0" w:color="auto"/>
            </w:tcBorders>
          </w:tcPr>
          <w:p w14:paraId="2F8ABB4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(13)</w:t>
            </w:r>
          </w:p>
        </w:tc>
        <w:tc>
          <w:tcPr>
            <w:tcW w:w="739" w:type="dxa"/>
            <w:tcBorders>
              <w:bottom w:val="single" w:sz="6" w:space="0" w:color="auto"/>
            </w:tcBorders>
          </w:tcPr>
          <w:p w14:paraId="783E52A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sz w:val="16"/>
              </w:rPr>
              <w:t>(13)</w:t>
            </w:r>
          </w:p>
        </w:tc>
      </w:tr>
      <w:tr w:rsidR="009C6724" w:rsidRPr="00394D1D" w14:paraId="5177AD3B" w14:textId="77777777" w:rsidTr="009C6724">
        <w:tc>
          <w:tcPr>
            <w:cnfStyle w:val="001000000000" w:firstRow="0" w:lastRow="0" w:firstColumn="1" w:lastColumn="0" w:oddVBand="0" w:evenVBand="0" w:oddHBand="0" w:evenHBand="0" w:firstRowFirstColumn="0" w:firstRowLastColumn="0" w:lastRowFirstColumn="0" w:lastRowLastColumn="0"/>
            <w:tcW w:w="4102" w:type="dxa"/>
            <w:tcBorders>
              <w:top w:val="single" w:sz="6" w:space="0" w:color="auto"/>
              <w:bottom w:val="single" w:sz="12" w:space="0" w:color="auto"/>
            </w:tcBorders>
          </w:tcPr>
          <w:p w14:paraId="54ABEF94" w14:textId="77777777" w:rsidR="00AB205D" w:rsidRDefault="00471A3B">
            <w:r>
              <w:rPr>
                <w:b/>
                <w:sz w:val="16"/>
              </w:rPr>
              <w:t>Cash surplus/(deficit)</w:t>
            </w:r>
          </w:p>
        </w:tc>
        <w:tc>
          <w:tcPr>
            <w:tcW w:w="739" w:type="dxa"/>
            <w:tcBorders>
              <w:top w:val="single" w:sz="6" w:space="0" w:color="auto"/>
              <w:bottom w:val="single" w:sz="12" w:space="0" w:color="auto"/>
            </w:tcBorders>
          </w:tcPr>
          <w:p w14:paraId="6312DF9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209</w:t>
            </w:r>
          </w:p>
        </w:tc>
        <w:tc>
          <w:tcPr>
            <w:tcW w:w="739" w:type="dxa"/>
            <w:tcBorders>
              <w:top w:val="single" w:sz="6" w:space="0" w:color="auto"/>
              <w:bottom w:val="single" w:sz="12" w:space="0" w:color="auto"/>
            </w:tcBorders>
          </w:tcPr>
          <w:p w14:paraId="6619D55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881</w:t>
            </w:r>
          </w:p>
        </w:tc>
        <w:tc>
          <w:tcPr>
            <w:tcW w:w="739" w:type="dxa"/>
            <w:tcBorders>
              <w:top w:val="single" w:sz="6" w:space="0" w:color="auto"/>
              <w:bottom w:val="single" w:sz="12" w:space="0" w:color="auto"/>
            </w:tcBorders>
          </w:tcPr>
          <w:p w14:paraId="0819564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1 892</w:t>
            </w:r>
          </w:p>
        </w:tc>
        <w:tc>
          <w:tcPr>
            <w:tcW w:w="739" w:type="dxa"/>
            <w:tcBorders>
              <w:top w:val="single" w:sz="6" w:space="0" w:color="auto"/>
              <w:bottom w:val="single" w:sz="12" w:space="0" w:color="auto"/>
            </w:tcBorders>
          </w:tcPr>
          <w:p w14:paraId="4F0E963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2 390</w:t>
            </w:r>
          </w:p>
        </w:tc>
        <w:tc>
          <w:tcPr>
            <w:tcW w:w="739" w:type="dxa"/>
            <w:tcBorders>
              <w:top w:val="single" w:sz="6" w:space="0" w:color="auto"/>
              <w:bottom w:val="single" w:sz="12" w:space="0" w:color="auto"/>
            </w:tcBorders>
          </w:tcPr>
          <w:p w14:paraId="7DA581F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sz w:val="16"/>
              </w:rPr>
              <w:t>2 132</w:t>
            </w:r>
          </w:p>
        </w:tc>
      </w:tr>
    </w:tbl>
    <w:p w14:paraId="773D9BCE" w14:textId="77777777" w:rsidR="00AB205D" w:rsidRPr="00921F69" w:rsidRDefault="00471A3B">
      <w:pPr>
        <w:pStyle w:val="Note"/>
      </w:pPr>
      <w:r w:rsidRPr="00921F69">
        <w:t>Notes:</w:t>
      </w:r>
    </w:p>
    <w:p w14:paraId="118F12D8" w14:textId="77777777" w:rsidR="00AB205D" w:rsidRPr="007C2D5E" w:rsidRDefault="00471A3B">
      <w:pPr>
        <w:pStyle w:val="Note"/>
        <w:rPr>
          <w:szCs w:val="14"/>
        </w:rPr>
      </w:pPr>
      <w:r w:rsidRPr="007C2D5E">
        <w:rPr>
          <w:szCs w:val="14"/>
        </w:rPr>
        <w:t>(a)</w:t>
      </w:r>
      <w:r w:rsidRPr="007C2D5E">
        <w:rPr>
          <w:szCs w:val="14"/>
        </w:rPr>
        <w:tab/>
        <w:t>Sales of goods and services and payments for goods and services are inclusive of goods and services tax.</w:t>
      </w:r>
    </w:p>
    <w:p w14:paraId="38D29640" w14:textId="77777777" w:rsidR="00AB205D" w:rsidRPr="00921F69" w:rsidRDefault="00471A3B">
      <w:pPr>
        <w:pStyle w:val="Note"/>
      </w:pPr>
      <w:r w:rsidRPr="007C2D5E">
        <w:rPr>
          <w:szCs w:val="14"/>
        </w:rPr>
        <w:t>(b)</w:t>
      </w:r>
      <w:r w:rsidRPr="007C2D5E">
        <w:rPr>
          <w:szCs w:val="14"/>
        </w:rPr>
        <w:tab/>
      </w:r>
      <w:r w:rsidRPr="00044395">
        <w:rPr>
          <w:i w:val="0"/>
          <w:szCs w:val="14"/>
        </w:rPr>
        <w:t>2023-24 Budget</w:t>
      </w:r>
      <w:r w:rsidRPr="007C2D5E">
        <w:rPr>
          <w:szCs w:val="14"/>
        </w:rPr>
        <w:t xml:space="preserve"> figures have been restated to represent actual opening balances at 1 July 2023</w:t>
      </w:r>
      <w:r w:rsidRPr="00921F69">
        <w:t>.</w:t>
      </w:r>
    </w:p>
    <w:p w14:paraId="01DAEE6B" w14:textId="77777777" w:rsidR="00AB205D" w:rsidRDefault="00471A3B">
      <w:pPr>
        <w:pStyle w:val="TableHeading"/>
      </w:pPr>
      <w:r w:rsidRPr="00921F69">
        <w:lastRenderedPageBreak/>
        <w:t>Table 5.14</w:t>
      </w:r>
      <w:r w:rsidRPr="00921F69">
        <w:tab/>
        <w:t xml:space="preserve">Public financial corporations sector statement of changes in equity </w:t>
      </w:r>
      <w:r w:rsidRPr="00921F69">
        <w:br/>
        <w:t>for the financial year ended 30 June</w:t>
      </w:r>
      <w:r>
        <w:t xml:space="preserve"> </w:t>
      </w:r>
      <w:r w:rsidRPr="006A25E1">
        <w:rPr>
          <w:vertAlign w:val="superscript"/>
        </w:rPr>
        <w:t>(a)</w:t>
      </w:r>
      <w:r w:rsidRPr="00921F69">
        <w:tab/>
        <w:t>($ million)</w:t>
      </w:r>
    </w:p>
    <w:tbl>
      <w:tblPr>
        <w:tblStyle w:val="DTFTableNumeric"/>
        <w:tblW w:w="7711" w:type="dxa"/>
        <w:tblLayout w:type="fixed"/>
        <w:tblLook w:val="06A0" w:firstRow="1" w:lastRow="0" w:firstColumn="1" w:lastColumn="0" w:noHBand="1" w:noVBand="1"/>
        <w:tblDescription w:val="Type:DtfTable|Workbook:Rawdata\BudgetUpdate\Budget Update\Financial Statements\SRIMS exports\SRIMS_BU_UPF_PNFC_PFC.xlsx|Table:PFC_SOCIE"/>
      </w:tblPr>
      <w:tblGrid>
        <w:gridCol w:w="2977"/>
        <w:gridCol w:w="145"/>
        <w:gridCol w:w="1064"/>
        <w:gridCol w:w="1059"/>
        <w:gridCol w:w="1057"/>
        <w:gridCol w:w="733"/>
        <w:gridCol w:w="676"/>
      </w:tblGrid>
      <w:tr w:rsidR="009C6724" w:rsidRPr="00882944" w14:paraId="08C97F29" w14:textId="77777777" w:rsidTr="002C257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tcPr>
          <w:p w14:paraId="46F93831" w14:textId="77777777" w:rsidR="00AB205D" w:rsidRPr="00882944" w:rsidRDefault="00AB205D">
            <w:pPr>
              <w:keepNext/>
              <w:spacing w:after="0"/>
              <w:rPr>
                <w:szCs w:val="17"/>
              </w:rPr>
            </w:pPr>
          </w:p>
        </w:tc>
        <w:tc>
          <w:tcPr>
            <w:tcW w:w="1209" w:type="dxa"/>
            <w:gridSpan w:val="2"/>
          </w:tcPr>
          <w:p w14:paraId="61ED87EB" w14:textId="77777777" w:rsidR="00AB205D" w:rsidRPr="00882944" w:rsidRDefault="00471A3B">
            <w:pPr>
              <w:keepNext/>
              <w:spacing w:after="0"/>
              <w:cnfStyle w:val="100000000000" w:firstRow="1" w:lastRow="0" w:firstColumn="0" w:lastColumn="0" w:oddVBand="0" w:evenVBand="0" w:oddHBand="0" w:evenHBand="0" w:firstRowFirstColumn="0" w:firstRowLastColumn="0" w:lastRowFirstColumn="0" w:lastRowLastColumn="0"/>
              <w:rPr>
                <w:szCs w:val="17"/>
              </w:rPr>
            </w:pPr>
            <w:r w:rsidRPr="00882944">
              <w:rPr>
                <w:szCs w:val="17"/>
              </w:rPr>
              <w:t>Accumulated surplus/(deficit)</w:t>
            </w:r>
          </w:p>
        </w:tc>
        <w:tc>
          <w:tcPr>
            <w:tcW w:w="1059" w:type="dxa"/>
          </w:tcPr>
          <w:p w14:paraId="7084243A" w14:textId="77777777" w:rsidR="00AB205D" w:rsidRPr="00882944" w:rsidRDefault="00471A3B">
            <w:pPr>
              <w:keepNext/>
              <w:spacing w:after="0"/>
              <w:cnfStyle w:val="100000000000" w:firstRow="1" w:lastRow="0" w:firstColumn="0" w:lastColumn="0" w:oddVBand="0" w:evenVBand="0" w:oddHBand="0" w:evenHBand="0" w:firstRowFirstColumn="0" w:firstRowLastColumn="0" w:lastRowFirstColumn="0" w:lastRowLastColumn="0"/>
              <w:rPr>
                <w:szCs w:val="17"/>
              </w:rPr>
            </w:pPr>
            <w:r w:rsidRPr="00882944">
              <w:rPr>
                <w:szCs w:val="17"/>
              </w:rPr>
              <w:t>Contributions by owners</w:t>
            </w:r>
          </w:p>
        </w:tc>
        <w:tc>
          <w:tcPr>
            <w:tcW w:w="1057" w:type="dxa"/>
          </w:tcPr>
          <w:p w14:paraId="186EA774" w14:textId="77777777" w:rsidR="00AB205D" w:rsidRPr="00882944" w:rsidRDefault="00471A3B">
            <w:pPr>
              <w:keepNext/>
              <w:spacing w:after="0"/>
              <w:cnfStyle w:val="100000000000" w:firstRow="1" w:lastRow="0" w:firstColumn="0" w:lastColumn="0" w:oddVBand="0" w:evenVBand="0" w:oddHBand="0" w:evenHBand="0" w:firstRowFirstColumn="0" w:firstRowLastColumn="0" w:lastRowFirstColumn="0" w:lastRowLastColumn="0"/>
              <w:rPr>
                <w:szCs w:val="17"/>
              </w:rPr>
            </w:pPr>
            <w:r w:rsidRPr="00882944">
              <w:rPr>
                <w:szCs w:val="17"/>
              </w:rPr>
              <w:t>Non</w:t>
            </w:r>
            <w:r w:rsidRPr="00882944">
              <w:rPr>
                <w:szCs w:val="17"/>
              </w:rPr>
              <w:noBreakHyphen/>
              <w:t>financial assets revaluation surplus</w:t>
            </w:r>
          </w:p>
        </w:tc>
        <w:tc>
          <w:tcPr>
            <w:tcW w:w="733" w:type="dxa"/>
          </w:tcPr>
          <w:p w14:paraId="681AD3A5" w14:textId="77777777" w:rsidR="00AB205D" w:rsidRPr="00882944" w:rsidRDefault="00471A3B">
            <w:pPr>
              <w:keepNext/>
              <w:spacing w:after="0"/>
              <w:cnfStyle w:val="100000000000" w:firstRow="1" w:lastRow="0" w:firstColumn="0" w:lastColumn="0" w:oddVBand="0" w:evenVBand="0" w:oddHBand="0" w:evenHBand="0" w:firstRowFirstColumn="0" w:firstRowLastColumn="0" w:lastRowFirstColumn="0" w:lastRowLastColumn="0"/>
              <w:rPr>
                <w:szCs w:val="17"/>
              </w:rPr>
            </w:pPr>
            <w:r w:rsidRPr="00882944">
              <w:rPr>
                <w:szCs w:val="17"/>
              </w:rPr>
              <w:t>Other reserves</w:t>
            </w:r>
          </w:p>
        </w:tc>
        <w:tc>
          <w:tcPr>
            <w:tcW w:w="676" w:type="dxa"/>
          </w:tcPr>
          <w:p w14:paraId="68365E38" w14:textId="77777777" w:rsidR="00AB205D" w:rsidRPr="00882944" w:rsidRDefault="00471A3B">
            <w:pPr>
              <w:keepNext/>
              <w:spacing w:after="0"/>
              <w:cnfStyle w:val="100000000000" w:firstRow="1" w:lastRow="0" w:firstColumn="0" w:lastColumn="0" w:oddVBand="0" w:evenVBand="0" w:oddHBand="0" w:evenHBand="0" w:firstRowFirstColumn="0" w:firstRowLastColumn="0" w:lastRowFirstColumn="0" w:lastRowLastColumn="0"/>
              <w:rPr>
                <w:szCs w:val="17"/>
              </w:rPr>
            </w:pPr>
            <w:r w:rsidRPr="00882944">
              <w:rPr>
                <w:szCs w:val="17"/>
              </w:rPr>
              <w:t>Total</w:t>
            </w:r>
          </w:p>
        </w:tc>
      </w:tr>
      <w:tr w:rsidR="009C6724" w:rsidRPr="00882944" w14:paraId="64EB1294" w14:textId="77777777" w:rsidTr="002C257B">
        <w:tc>
          <w:tcPr>
            <w:cnfStyle w:val="001000000000" w:firstRow="0" w:lastRow="0" w:firstColumn="1" w:lastColumn="0" w:oddVBand="0" w:evenVBand="0" w:oddHBand="0" w:evenHBand="0" w:firstRowFirstColumn="0" w:firstRowLastColumn="0" w:lastRowFirstColumn="0" w:lastRowLastColumn="0"/>
            <w:tcW w:w="3122" w:type="dxa"/>
            <w:gridSpan w:val="2"/>
          </w:tcPr>
          <w:p w14:paraId="35200231" w14:textId="77777777" w:rsidR="00AB205D" w:rsidRPr="00882944" w:rsidRDefault="00471A3B">
            <w:pPr>
              <w:spacing w:after="0"/>
              <w:rPr>
                <w:szCs w:val="17"/>
              </w:rPr>
            </w:pPr>
            <w:r w:rsidRPr="00882944">
              <w:rPr>
                <w:b/>
                <w:szCs w:val="17"/>
              </w:rPr>
              <w:t>2023</w:t>
            </w:r>
            <w:r w:rsidRPr="00882944">
              <w:rPr>
                <w:b/>
                <w:szCs w:val="17"/>
              </w:rPr>
              <w:noBreakHyphen/>
              <w:t>24 budget</w:t>
            </w:r>
            <w:r w:rsidRPr="00882944">
              <w:rPr>
                <w:b/>
                <w:szCs w:val="17"/>
                <w:vertAlign w:val="superscript"/>
              </w:rPr>
              <w:t xml:space="preserve"> (b)</w:t>
            </w:r>
          </w:p>
        </w:tc>
        <w:tc>
          <w:tcPr>
            <w:tcW w:w="1064" w:type="dxa"/>
          </w:tcPr>
          <w:p w14:paraId="2800D16B"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1059" w:type="dxa"/>
          </w:tcPr>
          <w:p w14:paraId="426EB184"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1057" w:type="dxa"/>
          </w:tcPr>
          <w:p w14:paraId="2B9CDEE9"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33" w:type="dxa"/>
          </w:tcPr>
          <w:p w14:paraId="3C204ED6"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676" w:type="dxa"/>
          </w:tcPr>
          <w:p w14:paraId="3E7D3871"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r>
      <w:tr w:rsidR="009C6724" w:rsidRPr="00882944" w14:paraId="25AE37CC" w14:textId="77777777" w:rsidTr="002C257B">
        <w:tc>
          <w:tcPr>
            <w:cnfStyle w:val="001000000000" w:firstRow="0" w:lastRow="0" w:firstColumn="1" w:lastColumn="0" w:oddVBand="0" w:evenVBand="0" w:oddHBand="0" w:evenHBand="0" w:firstRowFirstColumn="0" w:firstRowLastColumn="0" w:lastRowFirstColumn="0" w:lastRowLastColumn="0"/>
            <w:tcW w:w="3122" w:type="dxa"/>
            <w:gridSpan w:val="2"/>
          </w:tcPr>
          <w:p w14:paraId="29349534" w14:textId="77777777" w:rsidR="00AB205D" w:rsidRPr="00882944" w:rsidRDefault="00471A3B">
            <w:pPr>
              <w:spacing w:after="0"/>
              <w:rPr>
                <w:szCs w:val="17"/>
              </w:rPr>
            </w:pPr>
            <w:r w:rsidRPr="00882944">
              <w:rPr>
                <w:szCs w:val="17"/>
              </w:rPr>
              <w:t>Balance at 1 July 2023</w:t>
            </w:r>
          </w:p>
        </w:tc>
        <w:tc>
          <w:tcPr>
            <w:tcW w:w="1064" w:type="dxa"/>
          </w:tcPr>
          <w:p w14:paraId="614CB2C5"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13 065</w:t>
            </w:r>
          </w:p>
        </w:tc>
        <w:tc>
          <w:tcPr>
            <w:tcW w:w="1059" w:type="dxa"/>
          </w:tcPr>
          <w:p w14:paraId="56732953"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290</w:t>
            </w:r>
          </w:p>
        </w:tc>
        <w:tc>
          <w:tcPr>
            <w:tcW w:w="1057" w:type="dxa"/>
          </w:tcPr>
          <w:p w14:paraId="1B05355D"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10</w:t>
            </w:r>
          </w:p>
        </w:tc>
        <w:tc>
          <w:tcPr>
            <w:tcW w:w="733" w:type="dxa"/>
          </w:tcPr>
          <w:p w14:paraId="31DCECF4"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57</w:t>
            </w:r>
          </w:p>
        </w:tc>
        <w:tc>
          <w:tcPr>
            <w:tcW w:w="676" w:type="dxa"/>
          </w:tcPr>
          <w:p w14:paraId="037B2104"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13 421</w:t>
            </w:r>
          </w:p>
        </w:tc>
      </w:tr>
      <w:tr w:rsidR="009C6724" w:rsidRPr="00882944" w14:paraId="5A3B389D" w14:textId="77777777" w:rsidTr="002C257B">
        <w:tc>
          <w:tcPr>
            <w:cnfStyle w:val="001000000000" w:firstRow="0" w:lastRow="0" w:firstColumn="1" w:lastColumn="0" w:oddVBand="0" w:evenVBand="0" w:oddHBand="0" w:evenHBand="0" w:firstRowFirstColumn="0" w:firstRowLastColumn="0" w:lastRowFirstColumn="0" w:lastRowLastColumn="0"/>
            <w:tcW w:w="3122" w:type="dxa"/>
            <w:gridSpan w:val="2"/>
          </w:tcPr>
          <w:p w14:paraId="279F606E" w14:textId="77777777" w:rsidR="00AB205D" w:rsidRPr="00882944" w:rsidRDefault="00471A3B">
            <w:pPr>
              <w:spacing w:after="0"/>
              <w:rPr>
                <w:szCs w:val="17"/>
              </w:rPr>
            </w:pPr>
            <w:r w:rsidRPr="00882944">
              <w:rPr>
                <w:szCs w:val="17"/>
              </w:rPr>
              <w:t>Net result for the year</w:t>
            </w:r>
          </w:p>
        </w:tc>
        <w:tc>
          <w:tcPr>
            <w:tcW w:w="1064" w:type="dxa"/>
          </w:tcPr>
          <w:p w14:paraId="28433534"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(1 344)</w:t>
            </w:r>
          </w:p>
        </w:tc>
        <w:tc>
          <w:tcPr>
            <w:tcW w:w="1059" w:type="dxa"/>
          </w:tcPr>
          <w:p w14:paraId="355CCC2E"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1057" w:type="dxa"/>
          </w:tcPr>
          <w:p w14:paraId="4411D4B5"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733" w:type="dxa"/>
          </w:tcPr>
          <w:p w14:paraId="7B19EEFB"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676" w:type="dxa"/>
          </w:tcPr>
          <w:p w14:paraId="2CF1FB1C"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(1 344)</w:t>
            </w:r>
          </w:p>
        </w:tc>
      </w:tr>
      <w:tr w:rsidR="009C6724" w:rsidRPr="00882944" w14:paraId="229213DB" w14:textId="77777777" w:rsidTr="002C257B">
        <w:tc>
          <w:tcPr>
            <w:cnfStyle w:val="001000000000" w:firstRow="0" w:lastRow="0" w:firstColumn="1" w:lastColumn="0" w:oddVBand="0" w:evenVBand="0" w:oddHBand="0" w:evenHBand="0" w:firstRowFirstColumn="0" w:firstRowLastColumn="0" w:lastRowFirstColumn="0" w:lastRowLastColumn="0"/>
            <w:tcW w:w="3122" w:type="dxa"/>
            <w:gridSpan w:val="2"/>
          </w:tcPr>
          <w:p w14:paraId="2CF7B7E7" w14:textId="77777777" w:rsidR="00AB205D" w:rsidRPr="00882944" w:rsidRDefault="00471A3B">
            <w:pPr>
              <w:spacing w:after="0"/>
              <w:rPr>
                <w:szCs w:val="17"/>
              </w:rPr>
            </w:pPr>
            <w:r w:rsidRPr="00882944">
              <w:rPr>
                <w:szCs w:val="17"/>
              </w:rPr>
              <w:t>Other comprehensive income for the year</w:t>
            </w:r>
          </w:p>
        </w:tc>
        <w:tc>
          <w:tcPr>
            <w:tcW w:w="1064" w:type="dxa"/>
          </w:tcPr>
          <w:p w14:paraId="3656DCBB"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w:t>
            </w:r>
          </w:p>
        </w:tc>
        <w:tc>
          <w:tcPr>
            <w:tcW w:w="1059" w:type="dxa"/>
          </w:tcPr>
          <w:p w14:paraId="3D5EB42C"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1057" w:type="dxa"/>
          </w:tcPr>
          <w:p w14:paraId="7532C556"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733" w:type="dxa"/>
          </w:tcPr>
          <w:p w14:paraId="37C96DC7"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w:t>
            </w:r>
          </w:p>
        </w:tc>
        <w:tc>
          <w:tcPr>
            <w:tcW w:w="676" w:type="dxa"/>
          </w:tcPr>
          <w:p w14:paraId="458536BF"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r>
      <w:tr w:rsidR="009C6724" w:rsidRPr="00882944" w14:paraId="56E5495A" w14:textId="77777777" w:rsidTr="002C257B">
        <w:tc>
          <w:tcPr>
            <w:cnfStyle w:val="001000000000" w:firstRow="0" w:lastRow="0" w:firstColumn="1" w:lastColumn="0" w:oddVBand="0" w:evenVBand="0" w:oddHBand="0" w:evenHBand="0" w:firstRowFirstColumn="0" w:firstRowLastColumn="0" w:lastRowFirstColumn="0" w:lastRowLastColumn="0"/>
            <w:tcW w:w="3122" w:type="dxa"/>
            <w:gridSpan w:val="2"/>
          </w:tcPr>
          <w:p w14:paraId="59108390" w14:textId="77777777" w:rsidR="00AB205D" w:rsidRPr="00882944" w:rsidRDefault="00471A3B">
            <w:pPr>
              <w:spacing w:after="0"/>
              <w:rPr>
                <w:szCs w:val="17"/>
              </w:rPr>
            </w:pPr>
            <w:r w:rsidRPr="00882944">
              <w:rPr>
                <w:szCs w:val="17"/>
              </w:rPr>
              <w:t>Dividends paid</w:t>
            </w:r>
          </w:p>
        </w:tc>
        <w:tc>
          <w:tcPr>
            <w:tcW w:w="1064" w:type="dxa"/>
          </w:tcPr>
          <w:p w14:paraId="6993FE55"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(610)</w:t>
            </w:r>
          </w:p>
        </w:tc>
        <w:tc>
          <w:tcPr>
            <w:tcW w:w="1059" w:type="dxa"/>
          </w:tcPr>
          <w:p w14:paraId="6D90E69B"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1057" w:type="dxa"/>
          </w:tcPr>
          <w:p w14:paraId="6AEBBF71"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733" w:type="dxa"/>
          </w:tcPr>
          <w:p w14:paraId="711C4B0F"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676" w:type="dxa"/>
          </w:tcPr>
          <w:p w14:paraId="657865C6"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(610)</w:t>
            </w:r>
          </w:p>
        </w:tc>
      </w:tr>
      <w:tr w:rsidR="009C6724" w:rsidRPr="00882944" w14:paraId="5D53FB7F" w14:textId="77777777" w:rsidTr="002C257B">
        <w:tc>
          <w:tcPr>
            <w:cnfStyle w:val="001000000000" w:firstRow="0" w:lastRow="0" w:firstColumn="1" w:lastColumn="0" w:oddVBand="0" w:evenVBand="0" w:oddHBand="0" w:evenHBand="0" w:firstRowFirstColumn="0" w:firstRowLastColumn="0" w:lastRowFirstColumn="0" w:lastRowLastColumn="0"/>
            <w:tcW w:w="3122" w:type="dxa"/>
            <w:gridSpan w:val="2"/>
            <w:tcBorders>
              <w:bottom w:val="single" w:sz="6" w:space="0" w:color="auto"/>
            </w:tcBorders>
          </w:tcPr>
          <w:p w14:paraId="353BD52B" w14:textId="77777777" w:rsidR="00AB205D" w:rsidRPr="00882944" w:rsidRDefault="00471A3B">
            <w:pPr>
              <w:spacing w:after="0"/>
              <w:rPr>
                <w:szCs w:val="17"/>
              </w:rPr>
            </w:pPr>
            <w:r w:rsidRPr="00882944">
              <w:rPr>
                <w:szCs w:val="17"/>
              </w:rPr>
              <w:t>Transactions with owners in their capacity as owners</w:t>
            </w:r>
          </w:p>
        </w:tc>
        <w:tc>
          <w:tcPr>
            <w:tcW w:w="1064" w:type="dxa"/>
            <w:tcBorders>
              <w:bottom w:val="single" w:sz="6" w:space="0" w:color="auto"/>
            </w:tcBorders>
          </w:tcPr>
          <w:p w14:paraId="536D936F"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1059" w:type="dxa"/>
            <w:tcBorders>
              <w:bottom w:val="single" w:sz="6" w:space="0" w:color="auto"/>
            </w:tcBorders>
          </w:tcPr>
          <w:p w14:paraId="2DBDE7BC"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149</w:t>
            </w:r>
          </w:p>
        </w:tc>
        <w:tc>
          <w:tcPr>
            <w:tcW w:w="1057" w:type="dxa"/>
            <w:tcBorders>
              <w:bottom w:val="single" w:sz="6" w:space="0" w:color="auto"/>
            </w:tcBorders>
          </w:tcPr>
          <w:p w14:paraId="696FEC0A"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733" w:type="dxa"/>
            <w:tcBorders>
              <w:bottom w:val="single" w:sz="6" w:space="0" w:color="auto"/>
            </w:tcBorders>
          </w:tcPr>
          <w:p w14:paraId="05BF262F"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676" w:type="dxa"/>
            <w:tcBorders>
              <w:bottom w:val="single" w:sz="6" w:space="0" w:color="auto"/>
            </w:tcBorders>
          </w:tcPr>
          <w:p w14:paraId="112897CB"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149</w:t>
            </w:r>
          </w:p>
        </w:tc>
      </w:tr>
      <w:tr w:rsidR="009C6724" w:rsidRPr="00882944" w14:paraId="32D77583" w14:textId="77777777" w:rsidTr="002C257B">
        <w:tc>
          <w:tcPr>
            <w:cnfStyle w:val="001000000000" w:firstRow="0" w:lastRow="0" w:firstColumn="1" w:lastColumn="0" w:oddVBand="0" w:evenVBand="0" w:oddHBand="0" w:evenHBand="0" w:firstRowFirstColumn="0" w:firstRowLastColumn="0" w:lastRowFirstColumn="0" w:lastRowLastColumn="0"/>
            <w:tcW w:w="3122" w:type="dxa"/>
            <w:gridSpan w:val="2"/>
            <w:tcBorders>
              <w:top w:val="single" w:sz="6" w:space="0" w:color="auto"/>
              <w:bottom w:val="single" w:sz="6" w:space="0" w:color="auto"/>
            </w:tcBorders>
          </w:tcPr>
          <w:p w14:paraId="79E40C2D" w14:textId="77777777" w:rsidR="00AB205D" w:rsidRPr="00882944" w:rsidRDefault="00471A3B">
            <w:pPr>
              <w:spacing w:after="0"/>
              <w:rPr>
                <w:szCs w:val="17"/>
              </w:rPr>
            </w:pPr>
            <w:r w:rsidRPr="00882944">
              <w:rPr>
                <w:b/>
                <w:szCs w:val="17"/>
              </w:rPr>
              <w:t>Total equity as at 30 June 2024</w:t>
            </w:r>
          </w:p>
        </w:tc>
        <w:tc>
          <w:tcPr>
            <w:tcW w:w="1064" w:type="dxa"/>
            <w:tcBorders>
              <w:top w:val="single" w:sz="6" w:space="0" w:color="auto"/>
              <w:bottom w:val="single" w:sz="6" w:space="0" w:color="auto"/>
            </w:tcBorders>
          </w:tcPr>
          <w:p w14:paraId="3CB420C5"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11 110</w:t>
            </w:r>
          </w:p>
        </w:tc>
        <w:tc>
          <w:tcPr>
            <w:tcW w:w="1059" w:type="dxa"/>
            <w:tcBorders>
              <w:top w:val="single" w:sz="6" w:space="0" w:color="auto"/>
              <w:bottom w:val="single" w:sz="6" w:space="0" w:color="auto"/>
            </w:tcBorders>
          </w:tcPr>
          <w:p w14:paraId="6559FA4F"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439</w:t>
            </w:r>
          </w:p>
        </w:tc>
        <w:tc>
          <w:tcPr>
            <w:tcW w:w="1057" w:type="dxa"/>
            <w:tcBorders>
              <w:top w:val="single" w:sz="6" w:space="0" w:color="auto"/>
              <w:bottom w:val="single" w:sz="6" w:space="0" w:color="auto"/>
            </w:tcBorders>
          </w:tcPr>
          <w:p w14:paraId="47E4933F"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10</w:t>
            </w:r>
          </w:p>
        </w:tc>
        <w:tc>
          <w:tcPr>
            <w:tcW w:w="733" w:type="dxa"/>
            <w:tcBorders>
              <w:top w:val="single" w:sz="6" w:space="0" w:color="auto"/>
              <w:bottom w:val="single" w:sz="6" w:space="0" w:color="auto"/>
            </w:tcBorders>
          </w:tcPr>
          <w:p w14:paraId="26F1BCF8"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58</w:t>
            </w:r>
          </w:p>
        </w:tc>
        <w:tc>
          <w:tcPr>
            <w:tcW w:w="676" w:type="dxa"/>
            <w:tcBorders>
              <w:top w:val="single" w:sz="6" w:space="0" w:color="auto"/>
              <w:bottom w:val="single" w:sz="6" w:space="0" w:color="auto"/>
            </w:tcBorders>
          </w:tcPr>
          <w:p w14:paraId="22EB2AD8"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11 617</w:t>
            </w:r>
          </w:p>
        </w:tc>
      </w:tr>
      <w:tr w:rsidR="009C6724" w:rsidRPr="00882944" w14:paraId="0EF05BD0" w14:textId="77777777" w:rsidTr="002C257B">
        <w:tc>
          <w:tcPr>
            <w:cnfStyle w:val="001000000000" w:firstRow="0" w:lastRow="0" w:firstColumn="1" w:lastColumn="0" w:oddVBand="0" w:evenVBand="0" w:oddHBand="0" w:evenHBand="0" w:firstRowFirstColumn="0" w:firstRowLastColumn="0" w:lastRowFirstColumn="0" w:lastRowLastColumn="0"/>
            <w:tcW w:w="3122" w:type="dxa"/>
            <w:gridSpan w:val="2"/>
            <w:tcBorders>
              <w:top w:val="single" w:sz="6" w:space="0" w:color="auto"/>
            </w:tcBorders>
          </w:tcPr>
          <w:p w14:paraId="0EC402A7" w14:textId="77777777" w:rsidR="00AB205D" w:rsidRPr="00882944" w:rsidRDefault="00471A3B">
            <w:pPr>
              <w:spacing w:after="0"/>
              <w:rPr>
                <w:szCs w:val="17"/>
              </w:rPr>
            </w:pPr>
            <w:r w:rsidRPr="00882944">
              <w:rPr>
                <w:b/>
                <w:szCs w:val="17"/>
              </w:rPr>
              <w:t>2023</w:t>
            </w:r>
            <w:r w:rsidRPr="00882944">
              <w:rPr>
                <w:b/>
                <w:szCs w:val="17"/>
              </w:rPr>
              <w:noBreakHyphen/>
              <w:t>24 revised</w:t>
            </w:r>
          </w:p>
        </w:tc>
        <w:tc>
          <w:tcPr>
            <w:tcW w:w="1064" w:type="dxa"/>
            <w:tcBorders>
              <w:top w:val="single" w:sz="6" w:space="0" w:color="auto"/>
            </w:tcBorders>
          </w:tcPr>
          <w:p w14:paraId="10A66EE7"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1059" w:type="dxa"/>
            <w:tcBorders>
              <w:top w:val="single" w:sz="6" w:space="0" w:color="auto"/>
            </w:tcBorders>
          </w:tcPr>
          <w:p w14:paraId="5BF94A2A"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1057" w:type="dxa"/>
            <w:tcBorders>
              <w:top w:val="single" w:sz="6" w:space="0" w:color="auto"/>
            </w:tcBorders>
          </w:tcPr>
          <w:p w14:paraId="059F1A95"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33" w:type="dxa"/>
            <w:tcBorders>
              <w:top w:val="single" w:sz="6" w:space="0" w:color="auto"/>
            </w:tcBorders>
          </w:tcPr>
          <w:p w14:paraId="43CB7A21"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676" w:type="dxa"/>
            <w:tcBorders>
              <w:top w:val="single" w:sz="6" w:space="0" w:color="auto"/>
            </w:tcBorders>
          </w:tcPr>
          <w:p w14:paraId="70192013"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r>
      <w:tr w:rsidR="009C6724" w:rsidRPr="00882944" w14:paraId="049854B1" w14:textId="77777777" w:rsidTr="002C257B">
        <w:tc>
          <w:tcPr>
            <w:cnfStyle w:val="001000000000" w:firstRow="0" w:lastRow="0" w:firstColumn="1" w:lastColumn="0" w:oddVBand="0" w:evenVBand="0" w:oddHBand="0" w:evenHBand="0" w:firstRowFirstColumn="0" w:firstRowLastColumn="0" w:lastRowFirstColumn="0" w:lastRowLastColumn="0"/>
            <w:tcW w:w="3122" w:type="dxa"/>
            <w:gridSpan w:val="2"/>
          </w:tcPr>
          <w:p w14:paraId="35FEE50C" w14:textId="77777777" w:rsidR="00AB205D" w:rsidRPr="00882944" w:rsidRDefault="00471A3B">
            <w:pPr>
              <w:spacing w:after="0"/>
              <w:rPr>
                <w:szCs w:val="17"/>
              </w:rPr>
            </w:pPr>
            <w:r w:rsidRPr="00882944">
              <w:rPr>
                <w:szCs w:val="17"/>
              </w:rPr>
              <w:t>Balance at 1 July 2023</w:t>
            </w:r>
          </w:p>
        </w:tc>
        <w:tc>
          <w:tcPr>
            <w:tcW w:w="1064" w:type="dxa"/>
          </w:tcPr>
          <w:p w14:paraId="0EA5D6D4"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13 065</w:t>
            </w:r>
          </w:p>
        </w:tc>
        <w:tc>
          <w:tcPr>
            <w:tcW w:w="1059" w:type="dxa"/>
          </w:tcPr>
          <w:p w14:paraId="0B2F31D9"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290</w:t>
            </w:r>
          </w:p>
        </w:tc>
        <w:tc>
          <w:tcPr>
            <w:tcW w:w="1057" w:type="dxa"/>
          </w:tcPr>
          <w:p w14:paraId="2C981977"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10</w:t>
            </w:r>
          </w:p>
        </w:tc>
        <w:tc>
          <w:tcPr>
            <w:tcW w:w="733" w:type="dxa"/>
          </w:tcPr>
          <w:p w14:paraId="6215B695"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57</w:t>
            </w:r>
          </w:p>
        </w:tc>
        <w:tc>
          <w:tcPr>
            <w:tcW w:w="676" w:type="dxa"/>
          </w:tcPr>
          <w:p w14:paraId="760A4F7D"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13 421</w:t>
            </w:r>
          </w:p>
        </w:tc>
      </w:tr>
      <w:tr w:rsidR="009C6724" w:rsidRPr="00882944" w14:paraId="3FF8BC0C" w14:textId="77777777" w:rsidTr="002C257B">
        <w:tc>
          <w:tcPr>
            <w:cnfStyle w:val="001000000000" w:firstRow="0" w:lastRow="0" w:firstColumn="1" w:lastColumn="0" w:oddVBand="0" w:evenVBand="0" w:oddHBand="0" w:evenHBand="0" w:firstRowFirstColumn="0" w:firstRowLastColumn="0" w:lastRowFirstColumn="0" w:lastRowLastColumn="0"/>
            <w:tcW w:w="3122" w:type="dxa"/>
            <w:gridSpan w:val="2"/>
          </w:tcPr>
          <w:p w14:paraId="62F5BB87" w14:textId="77777777" w:rsidR="00AB205D" w:rsidRPr="00882944" w:rsidRDefault="00471A3B">
            <w:pPr>
              <w:spacing w:after="0"/>
              <w:rPr>
                <w:szCs w:val="17"/>
              </w:rPr>
            </w:pPr>
            <w:r w:rsidRPr="00882944">
              <w:rPr>
                <w:szCs w:val="17"/>
              </w:rPr>
              <w:t>Net result for the year</w:t>
            </w:r>
          </w:p>
        </w:tc>
        <w:tc>
          <w:tcPr>
            <w:tcW w:w="1064" w:type="dxa"/>
          </w:tcPr>
          <w:p w14:paraId="082810D9"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1 457</w:t>
            </w:r>
          </w:p>
        </w:tc>
        <w:tc>
          <w:tcPr>
            <w:tcW w:w="1059" w:type="dxa"/>
          </w:tcPr>
          <w:p w14:paraId="041B1067"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1057" w:type="dxa"/>
          </w:tcPr>
          <w:p w14:paraId="1D510268"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733" w:type="dxa"/>
          </w:tcPr>
          <w:p w14:paraId="47D61218"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676" w:type="dxa"/>
          </w:tcPr>
          <w:p w14:paraId="7A80F30A"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1 457</w:t>
            </w:r>
          </w:p>
        </w:tc>
      </w:tr>
      <w:tr w:rsidR="009C6724" w:rsidRPr="00882944" w14:paraId="51F80230" w14:textId="77777777" w:rsidTr="002C257B">
        <w:tc>
          <w:tcPr>
            <w:cnfStyle w:val="001000000000" w:firstRow="0" w:lastRow="0" w:firstColumn="1" w:lastColumn="0" w:oddVBand="0" w:evenVBand="0" w:oddHBand="0" w:evenHBand="0" w:firstRowFirstColumn="0" w:firstRowLastColumn="0" w:lastRowFirstColumn="0" w:lastRowLastColumn="0"/>
            <w:tcW w:w="3122" w:type="dxa"/>
            <w:gridSpan w:val="2"/>
          </w:tcPr>
          <w:p w14:paraId="4452E41D" w14:textId="77777777" w:rsidR="00AB205D" w:rsidRPr="00882944" w:rsidRDefault="00471A3B">
            <w:pPr>
              <w:spacing w:after="0"/>
              <w:rPr>
                <w:szCs w:val="17"/>
              </w:rPr>
            </w:pPr>
            <w:r w:rsidRPr="00882944">
              <w:rPr>
                <w:szCs w:val="17"/>
              </w:rPr>
              <w:t>Other comprehensive income for the year</w:t>
            </w:r>
          </w:p>
        </w:tc>
        <w:tc>
          <w:tcPr>
            <w:tcW w:w="1064" w:type="dxa"/>
          </w:tcPr>
          <w:p w14:paraId="3B05F883"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w:t>
            </w:r>
          </w:p>
        </w:tc>
        <w:tc>
          <w:tcPr>
            <w:tcW w:w="1059" w:type="dxa"/>
          </w:tcPr>
          <w:p w14:paraId="6F1B9A78"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1057" w:type="dxa"/>
          </w:tcPr>
          <w:p w14:paraId="1101E87B"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733" w:type="dxa"/>
          </w:tcPr>
          <w:p w14:paraId="114065F7"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w:t>
            </w:r>
          </w:p>
        </w:tc>
        <w:tc>
          <w:tcPr>
            <w:tcW w:w="676" w:type="dxa"/>
          </w:tcPr>
          <w:p w14:paraId="6E947FCE"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r>
      <w:tr w:rsidR="009C6724" w:rsidRPr="00882944" w14:paraId="4C1D883A" w14:textId="77777777" w:rsidTr="002C257B">
        <w:tc>
          <w:tcPr>
            <w:cnfStyle w:val="001000000000" w:firstRow="0" w:lastRow="0" w:firstColumn="1" w:lastColumn="0" w:oddVBand="0" w:evenVBand="0" w:oddHBand="0" w:evenHBand="0" w:firstRowFirstColumn="0" w:firstRowLastColumn="0" w:lastRowFirstColumn="0" w:lastRowLastColumn="0"/>
            <w:tcW w:w="3122" w:type="dxa"/>
            <w:gridSpan w:val="2"/>
          </w:tcPr>
          <w:p w14:paraId="3278CB1F" w14:textId="77777777" w:rsidR="00AB205D" w:rsidRPr="00882944" w:rsidRDefault="00471A3B">
            <w:pPr>
              <w:spacing w:after="0"/>
              <w:rPr>
                <w:szCs w:val="17"/>
              </w:rPr>
            </w:pPr>
            <w:r w:rsidRPr="00882944">
              <w:rPr>
                <w:szCs w:val="17"/>
              </w:rPr>
              <w:t>Dividends paid</w:t>
            </w:r>
          </w:p>
        </w:tc>
        <w:tc>
          <w:tcPr>
            <w:tcW w:w="1064" w:type="dxa"/>
          </w:tcPr>
          <w:p w14:paraId="5F153C60"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(1 247)</w:t>
            </w:r>
          </w:p>
        </w:tc>
        <w:tc>
          <w:tcPr>
            <w:tcW w:w="1059" w:type="dxa"/>
          </w:tcPr>
          <w:p w14:paraId="4CBA2017"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1057" w:type="dxa"/>
          </w:tcPr>
          <w:p w14:paraId="1B6DFDCE"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733" w:type="dxa"/>
          </w:tcPr>
          <w:p w14:paraId="65AE8D71"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676" w:type="dxa"/>
          </w:tcPr>
          <w:p w14:paraId="74751E6F"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(1 247)</w:t>
            </w:r>
          </w:p>
        </w:tc>
      </w:tr>
      <w:tr w:rsidR="009C6724" w:rsidRPr="00882944" w14:paraId="66D41617" w14:textId="77777777" w:rsidTr="002C257B">
        <w:tc>
          <w:tcPr>
            <w:cnfStyle w:val="001000000000" w:firstRow="0" w:lastRow="0" w:firstColumn="1" w:lastColumn="0" w:oddVBand="0" w:evenVBand="0" w:oddHBand="0" w:evenHBand="0" w:firstRowFirstColumn="0" w:firstRowLastColumn="0" w:lastRowFirstColumn="0" w:lastRowLastColumn="0"/>
            <w:tcW w:w="3122" w:type="dxa"/>
            <w:gridSpan w:val="2"/>
          </w:tcPr>
          <w:p w14:paraId="23FFF54F" w14:textId="77777777" w:rsidR="00AB205D" w:rsidRPr="00882944" w:rsidRDefault="00471A3B">
            <w:pPr>
              <w:spacing w:after="0"/>
              <w:rPr>
                <w:szCs w:val="17"/>
              </w:rPr>
            </w:pPr>
            <w:r w:rsidRPr="00882944">
              <w:rPr>
                <w:szCs w:val="17"/>
              </w:rPr>
              <w:t>Transfer to/(from) accumulated surplus</w:t>
            </w:r>
          </w:p>
        </w:tc>
        <w:tc>
          <w:tcPr>
            <w:tcW w:w="1064" w:type="dxa"/>
          </w:tcPr>
          <w:p w14:paraId="2D72A22E"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1059" w:type="dxa"/>
          </w:tcPr>
          <w:p w14:paraId="21C48752"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1057" w:type="dxa"/>
          </w:tcPr>
          <w:p w14:paraId="0B8808A5"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733" w:type="dxa"/>
          </w:tcPr>
          <w:p w14:paraId="7CC049BA"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676" w:type="dxa"/>
          </w:tcPr>
          <w:p w14:paraId="77D94FB7"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r>
      <w:tr w:rsidR="009C6724" w:rsidRPr="00882944" w14:paraId="1E1DC080" w14:textId="77777777" w:rsidTr="002C257B">
        <w:tc>
          <w:tcPr>
            <w:cnfStyle w:val="001000000000" w:firstRow="0" w:lastRow="0" w:firstColumn="1" w:lastColumn="0" w:oddVBand="0" w:evenVBand="0" w:oddHBand="0" w:evenHBand="0" w:firstRowFirstColumn="0" w:firstRowLastColumn="0" w:lastRowFirstColumn="0" w:lastRowLastColumn="0"/>
            <w:tcW w:w="3122" w:type="dxa"/>
            <w:gridSpan w:val="2"/>
            <w:tcBorders>
              <w:bottom w:val="single" w:sz="6" w:space="0" w:color="auto"/>
            </w:tcBorders>
          </w:tcPr>
          <w:p w14:paraId="71605EDF" w14:textId="77777777" w:rsidR="00AB205D" w:rsidRPr="00882944" w:rsidRDefault="00471A3B">
            <w:pPr>
              <w:spacing w:after="0"/>
              <w:rPr>
                <w:szCs w:val="17"/>
              </w:rPr>
            </w:pPr>
            <w:r w:rsidRPr="00882944">
              <w:rPr>
                <w:szCs w:val="17"/>
              </w:rPr>
              <w:t>Transactions with owners in their capacity as owners</w:t>
            </w:r>
          </w:p>
        </w:tc>
        <w:tc>
          <w:tcPr>
            <w:tcW w:w="1064" w:type="dxa"/>
            <w:tcBorders>
              <w:bottom w:val="single" w:sz="6" w:space="0" w:color="auto"/>
            </w:tcBorders>
          </w:tcPr>
          <w:p w14:paraId="19248E25"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1059" w:type="dxa"/>
            <w:tcBorders>
              <w:bottom w:val="single" w:sz="6" w:space="0" w:color="auto"/>
            </w:tcBorders>
          </w:tcPr>
          <w:p w14:paraId="2A6DE21B"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149</w:t>
            </w:r>
          </w:p>
        </w:tc>
        <w:tc>
          <w:tcPr>
            <w:tcW w:w="1057" w:type="dxa"/>
            <w:tcBorders>
              <w:bottom w:val="single" w:sz="6" w:space="0" w:color="auto"/>
            </w:tcBorders>
          </w:tcPr>
          <w:p w14:paraId="5487F648"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733" w:type="dxa"/>
            <w:tcBorders>
              <w:bottom w:val="single" w:sz="6" w:space="0" w:color="auto"/>
            </w:tcBorders>
          </w:tcPr>
          <w:p w14:paraId="7F000524"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676" w:type="dxa"/>
            <w:tcBorders>
              <w:bottom w:val="single" w:sz="6" w:space="0" w:color="auto"/>
            </w:tcBorders>
          </w:tcPr>
          <w:p w14:paraId="3ED21FE1"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149</w:t>
            </w:r>
          </w:p>
        </w:tc>
      </w:tr>
      <w:tr w:rsidR="009C6724" w:rsidRPr="00882944" w14:paraId="77341985" w14:textId="77777777" w:rsidTr="002C257B">
        <w:tc>
          <w:tcPr>
            <w:cnfStyle w:val="001000000000" w:firstRow="0" w:lastRow="0" w:firstColumn="1" w:lastColumn="0" w:oddVBand="0" w:evenVBand="0" w:oddHBand="0" w:evenHBand="0" w:firstRowFirstColumn="0" w:firstRowLastColumn="0" w:lastRowFirstColumn="0" w:lastRowLastColumn="0"/>
            <w:tcW w:w="3122" w:type="dxa"/>
            <w:gridSpan w:val="2"/>
            <w:tcBorders>
              <w:top w:val="single" w:sz="6" w:space="0" w:color="auto"/>
              <w:bottom w:val="single" w:sz="6" w:space="0" w:color="auto"/>
            </w:tcBorders>
          </w:tcPr>
          <w:p w14:paraId="766EA618" w14:textId="77777777" w:rsidR="00AB205D" w:rsidRPr="00882944" w:rsidRDefault="00471A3B">
            <w:pPr>
              <w:spacing w:after="0"/>
              <w:rPr>
                <w:szCs w:val="17"/>
              </w:rPr>
            </w:pPr>
            <w:r w:rsidRPr="00882944">
              <w:rPr>
                <w:b/>
                <w:szCs w:val="17"/>
              </w:rPr>
              <w:t>Total equity as at 30 June 2024</w:t>
            </w:r>
          </w:p>
        </w:tc>
        <w:tc>
          <w:tcPr>
            <w:tcW w:w="1064" w:type="dxa"/>
            <w:tcBorders>
              <w:top w:val="single" w:sz="6" w:space="0" w:color="auto"/>
              <w:bottom w:val="single" w:sz="6" w:space="0" w:color="auto"/>
            </w:tcBorders>
          </w:tcPr>
          <w:p w14:paraId="0DE6DE62"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13 275</w:t>
            </w:r>
          </w:p>
        </w:tc>
        <w:tc>
          <w:tcPr>
            <w:tcW w:w="1059" w:type="dxa"/>
            <w:tcBorders>
              <w:top w:val="single" w:sz="6" w:space="0" w:color="auto"/>
              <w:bottom w:val="single" w:sz="6" w:space="0" w:color="auto"/>
            </w:tcBorders>
          </w:tcPr>
          <w:p w14:paraId="6CEE0C39"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439</w:t>
            </w:r>
          </w:p>
        </w:tc>
        <w:tc>
          <w:tcPr>
            <w:tcW w:w="1057" w:type="dxa"/>
            <w:tcBorders>
              <w:top w:val="single" w:sz="6" w:space="0" w:color="auto"/>
              <w:bottom w:val="single" w:sz="6" w:space="0" w:color="auto"/>
            </w:tcBorders>
          </w:tcPr>
          <w:p w14:paraId="0357D083"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10</w:t>
            </w:r>
          </w:p>
        </w:tc>
        <w:tc>
          <w:tcPr>
            <w:tcW w:w="733" w:type="dxa"/>
            <w:tcBorders>
              <w:top w:val="single" w:sz="6" w:space="0" w:color="auto"/>
              <w:bottom w:val="single" w:sz="6" w:space="0" w:color="auto"/>
            </w:tcBorders>
          </w:tcPr>
          <w:p w14:paraId="5AE6D0FC"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56</w:t>
            </w:r>
          </w:p>
        </w:tc>
        <w:tc>
          <w:tcPr>
            <w:tcW w:w="676" w:type="dxa"/>
            <w:tcBorders>
              <w:top w:val="single" w:sz="6" w:space="0" w:color="auto"/>
              <w:bottom w:val="single" w:sz="6" w:space="0" w:color="auto"/>
            </w:tcBorders>
          </w:tcPr>
          <w:p w14:paraId="63EC3181"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13 780</w:t>
            </w:r>
          </w:p>
        </w:tc>
      </w:tr>
      <w:tr w:rsidR="009C6724" w:rsidRPr="00882944" w14:paraId="0C3F3692" w14:textId="77777777" w:rsidTr="002C257B">
        <w:tc>
          <w:tcPr>
            <w:cnfStyle w:val="001000000000" w:firstRow="0" w:lastRow="0" w:firstColumn="1" w:lastColumn="0" w:oddVBand="0" w:evenVBand="0" w:oddHBand="0" w:evenHBand="0" w:firstRowFirstColumn="0" w:firstRowLastColumn="0" w:lastRowFirstColumn="0" w:lastRowLastColumn="0"/>
            <w:tcW w:w="3122" w:type="dxa"/>
            <w:gridSpan w:val="2"/>
            <w:tcBorders>
              <w:top w:val="single" w:sz="6" w:space="0" w:color="auto"/>
            </w:tcBorders>
          </w:tcPr>
          <w:p w14:paraId="24C40698" w14:textId="77777777" w:rsidR="00AB205D" w:rsidRPr="00882944" w:rsidRDefault="00471A3B">
            <w:pPr>
              <w:spacing w:after="0"/>
              <w:rPr>
                <w:szCs w:val="17"/>
              </w:rPr>
            </w:pPr>
            <w:r w:rsidRPr="00882944">
              <w:rPr>
                <w:b/>
                <w:szCs w:val="17"/>
              </w:rPr>
              <w:t>2024</w:t>
            </w:r>
            <w:r w:rsidRPr="00882944">
              <w:rPr>
                <w:b/>
                <w:szCs w:val="17"/>
              </w:rPr>
              <w:noBreakHyphen/>
              <w:t>25 estimate</w:t>
            </w:r>
          </w:p>
        </w:tc>
        <w:tc>
          <w:tcPr>
            <w:tcW w:w="1064" w:type="dxa"/>
            <w:tcBorders>
              <w:top w:val="single" w:sz="6" w:space="0" w:color="auto"/>
            </w:tcBorders>
          </w:tcPr>
          <w:p w14:paraId="0F3DB1B0"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1059" w:type="dxa"/>
            <w:tcBorders>
              <w:top w:val="single" w:sz="6" w:space="0" w:color="auto"/>
            </w:tcBorders>
          </w:tcPr>
          <w:p w14:paraId="4CD676D1"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1057" w:type="dxa"/>
            <w:tcBorders>
              <w:top w:val="single" w:sz="6" w:space="0" w:color="auto"/>
            </w:tcBorders>
          </w:tcPr>
          <w:p w14:paraId="5A990D83"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33" w:type="dxa"/>
            <w:tcBorders>
              <w:top w:val="single" w:sz="6" w:space="0" w:color="auto"/>
            </w:tcBorders>
          </w:tcPr>
          <w:p w14:paraId="3CA82F69"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676" w:type="dxa"/>
            <w:tcBorders>
              <w:top w:val="single" w:sz="6" w:space="0" w:color="auto"/>
            </w:tcBorders>
          </w:tcPr>
          <w:p w14:paraId="1B2F9A4D"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r>
      <w:tr w:rsidR="009C6724" w:rsidRPr="00882944" w14:paraId="5A179A7B" w14:textId="77777777" w:rsidTr="002C257B">
        <w:tc>
          <w:tcPr>
            <w:cnfStyle w:val="001000000000" w:firstRow="0" w:lastRow="0" w:firstColumn="1" w:lastColumn="0" w:oddVBand="0" w:evenVBand="0" w:oddHBand="0" w:evenHBand="0" w:firstRowFirstColumn="0" w:firstRowLastColumn="0" w:lastRowFirstColumn="0" w:lastRowLastColumn="0"/>
            <w:tcW w:w="3122" w:type="dxa"/>
            <w:gridSpan w:val="2"/>
          </w:tcPr>
          <w:p w14:paraId="701D3429" w14:textId="77777777" w:rsidR="00AB205D" w:rsidRPr="00882944" w:rsidRDefault="00471A3B">
            <w:pPr>
              <w:spacing w:after="0"/>
              <w:rPr>
                <w:szCs w:val="17"/>
              </w:rPr>
            </w:pPr>
            <w:r w:rsidRPr="00882944">
              <w:rPr>
                <w:szCs w:val="17"/>
              </w:rPr>
              <w:t>Balance at 1 July 2024</w:t>
            </w:r>
          </w:p>
        </w:tc>
        <w:tc>
          <w:tcPr>
            <w:tcW w:w="1064" w:type="dxa"/>
          </w:tcPr>
          <w:p w14:paraId="2B6700C8"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13 275</w:t>
            </w:r>
          </w:p>
        </w:tc>
        <w:tc>
          <w:tcPr>
            <w:tcW w:w="1059" w:type="dxa"/>
          </w:tcPr>
          <w:p w14:paraId="2995C41C"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439</w:t>
            </w:r>
          </w:p>
        </w:tc>
        <w:tc>
          <w:tcPr>
            <w:tcW w:w="1057" w:type="dxa"/>
          </w:tcPr>
          <w:p w14:paraId="71913CA3"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10</w:t>
            </w:r>
          </w:p>
        </w:tc>
        <w:tc>
          <w:tcPr>
            <w:tcW w:w="733" w:type="dxa"/>
          </w:tcPr>
          <w:p w14:paraId="6BD02A94"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56</w:t>
            </w:r>
          </w:p>
        </w:tc>
        <w:tc>
          <w:tcPr>
            <w:tcW w:w="676" w:type="dxa"/>
          </w:tcPr>
          <w:p w14:paraId="2BFE693A"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13 780</w:t>
            </w:r>
          </w:p>
        </w:tc>
      </w:tr>
      <w:tr w:rsidR="009C6724" w:rsidRPr="00882944" w14:paraId="77275282" w14:textId="77777777" w:rsidTr="002C257B">
        <w:tc>
          <w:tcPr>
            <w:cnfStyle w:val="001000000000" w:firstRow="0" w:lastRow="0" w:firstColumn="1" w:lastColumn="0" w:oddVBand="0" w:evenVBand="0" w:oddHBand="0" w:evenHBand="0" w:firstRowFirstColumn="0" w:firstRowLastColumn="0" w:lastRowFirstColumn="0" w:lastRowLastColumn="0"/>
            <w:tcW w:w="3122" w:type="dxa"/>
            <w:gridSpan w:val="2"/>
          </w:tcPr>
          <w:p w14:paraId="568E344D" w14:textId="77777777" w:rsidR="00AB205D" w:rsidRPr="00882944" w:rsidRDefault="00471A3B">
            <w:pPr>
              <w:spacing w:after="0"/>
              <w:rPr>
                <w:szCs w:val="17"/>
              </w:rPr>
            </w:pPr>
            <w:r w:rsidRPr="00882944">
              <w:rPr>
                <w:szCs w:val="17"/>
              </w:rPr>
              <w:t>Net result for the year</w:t>
            </w:r>
          </w:p>
        </w:tc>
        <w:tc>
          <w:tcPr>
            <w:tcW w:w="1064" w:type="dxa"/>
          </w:tcPr>
          <w:p w14:paraId="28796316"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(1 120)</w:t>
            </w:r>
          </w:p>
        </w:tc>
        <w:tc>
          <w:tcPr>
            <w:tcW w:w="1059" w:type="dxa"/>
          </w:tcPr>
          <w:p w14:paraId="53DB1929"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1057" w:type="dxa"/>
          </w:tcPr>
          <w:p w14:paraId="17610F64"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733" w:type="dxa"/>
          </w:tcPr>
          <w:p w14:paraId="01982C79"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676" w:type="dxa"/>
          </w:tcPr>
          <w:p w14:paraId="45EED9D3"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(1 120)</w:t>
            </w:r>
          </w:p>
        </w:tc>
      </w:tr>
      <w:tr w:rsidR="009C6724" w:rsidRPr="00882944" w14:paraId="73610A08" w14:textId="77777777" w:rsidTr="002C257B">
        <w:tc>
          <w:tcPr>
            <w:cnfStyle w:val="001000000000" w:firstRow="0" w:lastRow="0" w:firstColumn="1" w:lastColumn="0" w:oddVBand="0" w:evenVBand="0" w:oddHBand="0" w:evenHBand="0" w:firstRowFirstColumn="0" w:firstRowLastColumn="0" w:lastRowFirstColumn="0" w:lastRowLastColumn="0"/>
            <w:tcW w:w="3122" w:type="dxa"/>
            <w:gridSpan w:val="2"/>
          </w:tcPr>
          <w:p w14:paraId="3A954F3F" w14:textId="77777777" w:rsidR="00AB205D" w:rsidRPr="00882944" w:rsidRDefault="00471A3B">
            <w:pPr>
              <w:spacing w:after="0"/>
              <w:rPr>
                <w:szCs w:val="17"/>
              </w:rPr>
            </w:pPr>
            <w:r w:rsidRPr="00882944">
              <w:rPr>
                <w:szCs w:val="17"/>
              </w:rPr>
              <w:t>Other comprehensive income for the year</w:t>
            </w:r>
          </w:p>
        </w:tc>
        <w:tc>
          <w:tcPr>
            <w:tcW w:w="1064" w:type="dxa"/>
          </w:tcPr>
          <w:p w14:paraId="0D0DEDD8"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w:t>
            </w:r>
          </w:p>
        </w:tc>
        <w:tc>
          <w:tcPr>
            <w:tcW w:w="1059" w:type="dxa"/>
          </w:tcPr>
          <w:p w14:paraId="6A6A35A8"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1057" w:type="dxa"/>
          </w:tcPr>
          <w:p w14:paraId="07996519"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733" w:type="dxa"/>
          </w:tcPr>
          <w:p w14:paraId="22C81540"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w:t>
            </w:r>
          </w:p>
        </w:tc>
        <w:tc>
          <w:tcPr>
            <w:tcW w:w="676" w:type="dxa"/>
          </w:tcPr>
          <w:p w14:paraId="70E3EF52"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r>
      <w:tr w:rsidR="009C6724" w:rsidRPr="00882944" w14:paraId="0C8CA549" w14:textId="77777777" w:rsidTr="002C257B">
        <w:tc>
          <w:tcPr>
            <w:cnfStyle w:val="001000000000" w:firstRow="0" w:lastRow="0" w:firstColumn="1" w:lastColumn="0" w:oddVBand="0" w:evenVBand="0" w:oddHBand="0" w:evenHBand="0" w:firstRowFirstColumn="0" w:firstRowLastColumn="0" w:lastRowFirstColumn="0" w:lastRowLastColumn="0"/>
            <w:tcW w:w="3122" w:type="dxa"/>
            <w:gridSpan w:val="2"/>
          </w:tcPr>
          <w:p w14:paraId="6CCACED0" w14:textId="77777777" w:rsidR="00AB205D" w:rsidRPr="00882944" w:rsidRDefault="00471A3B">
            <w:pPr>
              <w:spacing w:after="0"/>
              <w:rPr>
                <w:szCs w:val="17"/>
              </w:rPr>
            </w:pPr>
            <w:r w:rsidRPr="00882944">
              <w:rPr>
                <w:szCs w:val="17"/>
              </w:rPr>
              <w:t>Dividends paid</w:t>
            </w:r>
          </w:p>
        </w:tc>
        <w:tc>
          <w:tcPr>
            <w:tcW w:w="1064" w:type="dxa"/>
          </w:tcPr>
          <w:p w14:paraId="3B6CEFC8"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(384)</w:t>
            </w:r>
          </w:p>
        </w:tc>
        <w:tc>
          <w:tcPr>
            <w:tcW w:w="1059" w:type="dxa"/>
          </w:tcPr>
          <w:p w14:paraId="5D37ACFD"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1057" w:type="dxa"/>
          </w:tcPr>
          <w:p w14:paraId="3BF43DE0"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733" w:type="dxa"/>
          </w:tcPr>
          <w:p w14:paraId="23F69DA8"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676" w:type="dxa"/>
          </w:tcPr>
          <w:p w14:paraId="470B035B"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(384)</w:t>
            </w:r>
          </w:p>
        </w:tc>
      </w:tr>
      <w:tr w:rsidR="009C6724" w:rsidRPr="00882944" w14:paraId="1256BF2D" w14:textId="77777777" w:rsidTr="002C257B">
        <w:tc>
          <w:tcPr>
            <w:cnfStyle w:val="001000000000" w:firstRow="0" w:lastRow="0" w:firstColumn="1" w:lastColumn="0" w:oddVBand="0" w:evenVBand="0" w:oddHBand="0" w:evenHBand="0" w:firstRowFirstColumn="0" w:firstRowLastColumn="0" w:lastRowFirstColumn="0" w:lastRowLastColumn="0"/>
            <w:tcW w:w="3122" w:type="dxa"/>
            <w:gridSpan w:val="2"/>
            <w:tcBorders>
              <w:bottom w:val="single" w:sz="6" w:space="0" w:color="auto"/>
            </w:tcBorders>
          </w:tcPr>
          <w:p w14:paraId="0AAD923A" w14:textId="77777777" w:rsidR="00AB205D" w:rsidRPr="00882944" w:rsidRDefault="00471A3B">
            <w:pPr>
              <w:spacing w:after="0"/>
              <w:rPr>
                <w:szCs w:val="17"/>
              </w:rPr>
            </w:pPr>
            <w:r w:rsidRPr="00882944">
              <w:rPr>
                <w:szCs w:val="17"/>
              </w:rPr>
              <w:t>Transactions with owners in their capacity as owners</w:t>
            </w:r>
          </w:p>
        </w:tc>
        <w:tc>
          <w:tcPr>
            <w:tcW w:w="1064" w:type="dxa"/>
            <w:tcBorders>
              <w:bottom w:val="single" w:sz="6" w:space="0" w:color="auto"/>
            </w:tcBorders>
          </w:tcPr>
          <w:p w14:paraId="3FCF7118"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1059" w:type="dxa"/>
            <w:tcBorders>
              <w:bottom w:val="single" w:sz="6" w:space="0" w:color="auto"/>
            </w:tcBorders>
          </w:tcPr>
          <w:p w14:paraId="14327E23"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149</w:t>
            </w:r>
          </w:p>
        </w:tc>
        <w:tc>
          <w:tcPr>
            <w:tcW w:w="1057" w:type="dxa"/>
            <w:tcBorders>
              <w:bottom w:val="single" w:sz="6" w:space="0" w:color="auto"/>
            </w:tcBorders>
          </w:tcPr>
          <w:p w14:paraId="701DC513"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733" w:type="dxa"/>
            <w:tcBorders>
              <w:bottom w:val="single" w:sz="6" w:space="0" w:color="auto"/>
            </w:tcBorders>
          </w:tcPr>
          <w:p w14:paraId="411E6B3B"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676" w:type="dxa"/>
            <w:tcBorders>
              <w:bottom w:val="single" w:sz="6" w:space="0" w:color="auto"/>
            </w:tcBorders>
          </w:tcPr>
          <w:p w14:paraId="47047DB1"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149</w:t>
            </w:r>
          </w:p>
        </w:tc>
      </w:tr>
      <w:tr w:rsidR="009C6724" w:rsidRPr="00882944" w14:paraId="79FBF295" w14:textId="77777777" w:rsidTr="002C257B">
        <w:tc>
          <w:tcPr>
            <w:cnfStyle w:val="001000000000" w:firstRow="0" w:lastRow="0" w:firstColumn="1" w:lastColumn="0" w:oddVBand="0" w:evenVBand="0" w:oddHBand="0" w:evenHBand="0" w:firstRowFirstColumn="0" w:firstRowLastColumn="0" w:lastRowFirstColumn="0" w:lastRowLastColumn="0"/>
            <w:tcW w:w="3122" w:type="dxa"/>
            <w:gridSpan w:val="2"/>
            <w:tcBorders>
              <w:top w:val="single" w:sz="6" w:space="0" w:color="auto"/>
              <w:bottom w:val="single" w:sz="6" w:space="0" w:color="auto"/>
            </w:tcBorders>
          </w:tcPr>
          <w:p w14:paraId="24F0ECF4" w14:textId="77777777" w:rsidR="00AB205D" w:rsidRPr="00882944" w:rsidRDefault="00471A3B">
            <w:pPr>
              <w:spacing w:after="0"/>
              <w:rPr>
                <w:szCs w:val="17"/>
              </w:rPr>
            </w:pPr>
            <w:r w:rsidRPr="00882944">
              <w:rPr>
                <w:b/>
                <w:szCs w:val="17"/>
              </w:rPr>
              <w:t>Total equity as at 30 June 2025</w:t>
            </w:r>
          </w:p>
        </w:tc>
        <w:tc>
          <w:tcPr>
            <w:tcW w:w="1064" w:type="dxa"/>
            <w:tcBorders>
              <w:top w:val="single" w:sz="6" w:space="0" w:color="auto"/>
              <w:bottom w:val="single" w:sz="6" w:space="0" w:color="auto"/>
            </w:tcBorders>
          </w:tcPr>
          <w:p w14:paraId="49BF0AAE"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11 771</w:t>
            </w:r>
          </w:p>
        </w:tc>
        <w:tc>
          <w:tcPr>
            <w:tcW w:w="1059" w:type="dxa"/>
            <w:tcBorders>
              <w:top w:val="single" w:sz="6" w:space="0" w:color="auto"/>
              <w:bottom w:val="single" w:sz="6" w:space="0" w:color="auto"/>
            </w:tcBorders>
          </w:tcPr>
          <w:p w14:paraId="41099E56"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588</w:t>
            </w:r>
          </w:p>
        </w:tc>
        <w:tc>
          <w:tcPr>
            <w:tcW w:w="1057" w:type="dxa"/>
            <w:tcBorders>
              <w:top w:val="single" w:sz="6" w:space="0" w:color="auto"/>
              <w:bottom w:val="single" w:sz="6" w:space="0" w:color="auto"/>
            </w:tcBorders>
          </w:tcPr>
          <w:p w14:paraId="290C1D04"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10</w:t>
            </w:r>
          </w:p>
        </w:tc>
        <w:tc>
          <w:tcPr>
            <w:tcW w:w="733" w:type="dxa"/>
            <w:tcBorders>
              <w:top w:val="single" w:sz="6" w:space="0" w:color="auto"/>
              <w:bottom w:val="single" w:sz="6" w:space="0" w:color="auto"/>
            </w:tcBorders>
          </w:tcPr>
          <w:p w14:paraId="50C1D8C7"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57</w:t>
            </w:r>
          </w:p>
        </w:tc>
        <w:tc>
          <w:tcPr>
            <w:tcW w:w="676" w:type="dxa"/>
            <w:tcBorders>
              <w:top w:val="single" w:sz="6" w:space="0" w:color="auto"/>
              <w:bottom w:val="single" w:sz="6" w:space="0" w:color="auto"/>
            </w:tcBorders>
          </w:tcPr>
          <w:p w14:paraId="37A61838"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12 425</w:t>
            </w:r>
          </w:p>
        </w:tc>
      </w:tr>
      <w:tr w:rsidR="009C6724" w:rsidRPr="00882944" w14:paraId="38EFF9C4" w14:textId="77777777" w:rsidTr="002C257B">
        <w:tc>
          <w:tcPr>
            <w:cnfStyle w:val="001000000000" w:firstRow="0" w:lastRow="0" w:firstColumn="1" w:lastColumn="0" w:oddVBand="0" w:evenVBand="0" w:oddHBand="0" w:evenHBand="0" w:firstRowFirstColumn="0" w:firstRowLastColumn="0" w:lastRowFirstColumn="0" w:lastRowLastColumn="0"/>
            <w:tcW w:w="3122" w:type="dxa"/>
            <w:gridSpan w:val="2"/>
            <w:tcBorders>
              <w:top w:val="single" w:sz="6" w:space="0" w:color="auto"/>
            </w:tcBorders>
          </w:tcPr>
          <w:p w14:paraId="519640F4" w14:textId="77777777" w:rsidR="00AB205D" w:rsidRPr="00882944" w:rsidRDefault="00471A3B">
            <w:pPr>
              <w:spacing w:after="0"/>
              <w:rPr>
                <w:szCs w:val="17"/>
              </w:rPr>
            </w:pPr>
            <w:r w:rsidRPr="00882944">
              <w:rPr>
                <w:b/>
                <w:szCs w:val="17"/>
              </w:rPr>
              <w:t>2025</w:t>
            </w:r>
            <w:r w:rsidRPr="00882944">
              <w:rPr>
                <w:b/>
                <w:szCs w:val="17"/>
              </w:rPr>
              <w:noBreakHyphen/>
              <w:t>26 estimate</w:t>
            </w:r>
          </w:p>
        </w:tc>
        <w:tc>
          <w:tcPr>
            <w:tcW w:w="1064" w:type="dxa"/>
            <w:tcBorders>
              <w:top w:val="single" w:sz="6" w:space="0" w:color="auto"/>
            </w:tcBorders>
          </w:tcPr>
          <w:p w14:paraId="0C46B02D"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1059" w:type="dxa"/>
            <w:tcBorders>
              <w:top w:val="single" w:sz="6" w:space="0" w:color="auto"/>
            </w:tcBorders>
          </w:tcPr>
          <w:p w14:paraId="0EE17888"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1057" w:type="dxa"/>
            <w:tcBorders>
              <w:top w:val="single" w:sz="6" w:space="0" w:color="auto"/>
            </w:tcBorders>
          </w:tcPr>
          <w:p w14:paraId="7AD9A623"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33" w:type="dxa"/>
            <w:tcBorders>
              <w:top w:val="single" w:sz="6" w:space="0" w:color="auto"/>
            </w:tcBorders>
          </w:tcPr>
          <w:p w14:paraId="0AC7776B"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676" w:type="dxa"/>
            <w:tcBorders>
              <w:top w:val="single" w:sz="6" w:space="0" w:color="auto"/>
            </w:tcBorders>
          </w:tcPr>
          <w:p w14:paraId="213CEA29"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r>
      <w:tr w:rsidR="009C6724" w:rsidRPr="00882944" w14:paraId="4B286EFB" w14:textId="77777777" w:rsidTr="002C257B">
        <w:tc>
          <w:tcPr>
            <w:cnfStyle w:val="001000000000" w:firstRow="0" w:lastRow="0" w:firstColumn="1" w:lastColumn="0" w:oddVBand="0" w:evenVBand="0" w:oddHBand="0" w:evenHBand="0" w:firstRowFirstColumn="0" w:firstRowLastColumn="0" w:lastRowFirstColumn="0" w:lastRowLastColumn="0"/>
            <w:tcW w:w="3122" w:type="dxa"/>
            <w:gridSpan w:val="2"/>
          </w:tcPr>
          <w:p w14:paraId="694DA9FE" w14:textId="77777777" w:rsidR="00AB205D" w:rsidRPr="00882944" w:rsidRDefault="00471A3B">
            <w:pPr>
              <w:spacing w:after="0"/>
              <w:rPr>
                <w:szCs w:val="17"/>
              </w:rPr>
            </w:pPr>
            <w:r w:rsidRPr="00882944">
              <w:rPr>
                <w:szCs w:val="17"/>
              </w:rPr>
              <w:t>Balance at 1 July 2025</w:t>
            </w:r>
          </w:p>
        </w:tc>
        <w:tc>
          <w:tcPr>
            <w:tcW w:w="1064" w:type="dxa"/>
          </w:tcPr>
          <w:p w14:paraId="637F74A6"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11 771</w:t>
            </w:r>
          </w:p>
        </w:tc>
        <w:tc>
          <w:tcPr>
            <w:tcW w:w="1059" w:type="dxa"/>
          </w:tcPr>
          <w:p w14:paraId="2BAAFC6B"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588</w:t>
            </w:r>
          </w:p>
        </w:tc>
        <w:tc>
          <w:tcPr>
            <w:tcW w:w="1057" w:type="dxa"/>
          </w:tcPr>
          <w:p w14:paraId="59A24EDD"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10</w:t>
            </w:r>
          </w:p>
        </w:tc>
        <w:tc>
          <w:tcPr>
            <w:tcW w:w="733" w:type="dxa"/>
          </w:tcPr>
          <w:p w14:paraId="42B864C1"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57</w:t>
            </w:r>
          </w:p>
        </w:tc>
        <w:tc>
          <w:tcPr>
            <w:tcW w:w="676" w:type="dxa"/>
          </w:tcPr>
          <w:p w14:paraId="36FE0C3E"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12 425</w:t>
            </w:r>
          </w:p>
        </w:tc>
      </w:tr>
      <w:tr w:rsidR="009C6724" w:rsidRPr="00882944" w14:paraId="112AB1F4" w14:textId="77777777" w:rsidTr="002C257B">
        <w:tc>
          <w:tcPr>
            <w:cnfStyle w:val="001000000000" w:firstRow="0" w:lastRow="0" w:firstColumn="1" w:lastColumn="0" w:oddVBand="0" w:evenVBand="0" w:oddHBand="0" w:evenHBand="0" w:firstRowFirstColumn="0" w:firstRowLastColumn="0" w:lastRowFirstColumn="0" w:lastRowLastColumn="0"/>
            <w:tcW w:w="3122" w:type="dxa"/>
            <w:gridSpan w:val="2"/>
          </w:tcPr>
          <w:p w14:paraId="69365F75" w14:textId="77777777" w:rsidR="00AB205D" w:rsidRPr="00882944" w:rsidRDefault="00471A3B">
            <w:pPr>
              <w:spacing w:after="0"/>
              <w:rPr>
                <w:szCs w:val="17"/>
              </w:rPr>
            </w:pPr>
            <w:r w:rsidRPr="00882944">
              <w:rPr>
                <w:szCs w:val="17"/>
              </w:rPr>
              <w:t>Net result for the year</w:t>
            </w:r>
          </w:p>
        </w:tc>
        <w:tc>
          <w:tcPr>
            <w:tcW w:w="1064" w:type="dxa"/>
          </w:tcPr>
          <w:p w14:paraId="65F90842"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(1 250)</w:t>
            </w:r>
          </w:p>
        </w:tc>
        <w:tc>
          <w:tcPr>
            <w:tcW w:w="1059" w:type="dxa"/>
          </w:tcPr>
          <w:p w14:paraId="1DBEB661"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1057" w:type="dxa"/>
          </w:tcPr>
          <w:p w14:paraId="38675804"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733" w:type="dxa"/>
          </w:tcPr>
          <w:p w14:paraId="6FA874CE"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676" w:type="dxa"/>
          </w:tcPr>
          <w:p w14:paraId="2C95FD7F"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(1 250)</w:t>
            </w:r>
          </w:p>
        </w:tc>
      </w:tr>
      <w:tr w:rsidR="009C6724" w:rsidRPr="00882944" w14:paraId="0FA2749A" w14:textId="77777777" w:rsidTr="002C257B">
        <w:tc>
          <w:tcPr>
            <w:cnfStyle w:val="001000000000" w:firstRow="0" w:lastRow="0" w:firstColumn="1" w:lastColumn="0" w:oddVBand="0" w:evenVBand="0" w:oddHBand="0" w:evenHBand="0" w:firstRowFirstColumn="0" w:firstRowLastColumn="0" w:lastRowFirstColumn="0" w:lastRowLastColumn="0"/>
            <w:tcW w:w="3122" w:type="dxa"/>
            <w:gridSpan w:val="2"/>
          </w:tcPr>
          <w:p w14:paraId="2DF995B0" w14:textId="77777777" w:rsidR="00AB205D" w:rsidRPr="00882944" w:rsidRDefault="00471A3B">
            <w:pPr>
              <w:spacing w:after="0"/>
              <w:rPr>
                <w:szCs w:val="17"/>
              </w:rPr>
            </w:pPr>
            <w:r w:rsidRPr="00882944">
              <w:rPr>
                <w:szCs w:val="17"/>
              </w:rPr>
              <w:t>Other comprehensive income for the year</w:t>
            </w:r>
          </w:p>
        </w:tc>
        <w:tc>
          <w:tcPr>
            <w:tcW w:w="1064" w:type="dxa"/>
          </w:tcPr>
          <w:p w14:paraId="5AF055AE"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(2)</w:t>
            </w:r>
          </w:p>
        </w:tc>
        <w:tc>
          <w:tcPr>
            <w:tcW w:w="1059" w:type="dxa"/>
          </w:tcPr>
          <w:p w14:paraId="5113DEC2"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1057" w:type="dxa"/>
          </w:tcPr>
          <w:p w14:paraId="02559D8F"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733" w:type="dxa"/>
          </w:tcPr>
          <w:p w14:paraId="298A2BB3"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2</w:t>
            </w:r>
          </w:p>
        </w:tc>
        <w:tc>
          <w:tcPr>
            <w:tcW w:w="676" w:type="dxa"/>
          </w:tcPr>
          <w:p w14:paraId="34BB4713"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r>
      <w:tr w:rsidR="009C6724" w:rsidRPr="00882944" w14:paraId="4E99CE60" w14:textId="77777777" w:rsidTr="002C257B">
        <w:tc>
          <w:tcPr>
            <w:cnfStyle w:val="001000000000" w:firstRow="0" w:lastRow="0" w:firstColumn="1" w:lastColumn="0" w:oddVBand="0" w:evenVBand="0" w:oddHBand="0" w:evenHBand="0" w:firstRowFirstColumn="0" w:firstRowLastColumn="0" w:lastRowFirstColumn="0" w:lastRowLastColumn="0"/>
            <w:tcW w:w="3122" w:type="dxa"/>
            <w:gridSpan w:val="2"/>
          </w:tcPr>
          <w:p w14:paraId="66600379" w14:textId="77777777" w:rsidR="00AB205D" w:rsidRPr="00882944" w:rsidRDefault="00471A3B">
            <w:pPr>
              <w:spacing w:after="0"/>
              <w:rPr>
                <w:szCs w:val="17"/>
              </w:rPr>
            </w:pPr>
            <w:r w:rsidRPr="00882944">
              <w:rPr>
                <w:szCs w:val="17"/>
              </w:rPr>
              <w:t>Dividends paid</w:t>
            </w:r>
          </w:p>
        </w:tc>
        <w:tc>
          <w:tcPr>
            <w:tcW w:w="1064" w:type="dxa"/>
          </w:tcPr>
          <w:p w14:paraId="0C721665"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(84)</w:t>
            </w:r>
          </w:p>
        </w:tc>
        <w:tc>
          <w:tcPr>
            <w:tcW w:w="1059" w:type="dxa"/>
          </w:tcPr>
          <w:p w14:paraId="0FD1E794"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1057" w:type="dxa"/>
          </w:tcPr>
          <w:p w14:paraId="02ADC5CD"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733" w:type="dxa"/>
          </w:tcPr>
          <w:p w14:paraId="5F8A0351"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676" w:type="dxa"/>
          </w:tcPr>
          <w:p w14:paraId="4CAE1CF5"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(84)</w:t>
            </w:r>
          </w:p>
        </w:tc>
      </w:tr>
      <w:tr w:rsidR="009C6724" w:rsidRPr="00882944" w14:paraId="681A4A71" w14:textId="77777777" w:rsidTr="002C257B">
        <w:tc>
          <w:tcPr>
            <w:cnfStyle w:val="001000000000" w:firstRow="0" w:lastRow="0" w:firstColumn="1" w:lastColumn="0" w:oddVBand="0" w:evenVBand="0" w:oddHBand="0" w:evenHBand="0" w:firstRowFirstColumn="0" w:firstRowLastColumn="0" w:lastRowFirstColumn="0" w:lastRowLastColumn="0"/>
            <w:tcW w:w="3122" w:type="dxa"/>
            <w:gridSpan w:val="2"/>
          </w:tcPr>
          <w:p w14:paraId="7D8F1DE0" w14:textId="77777777" w:rsidR="00AB205D" w:rsidRPr="00882944" w:rsidRDefault="00471A3B">
            <w:pPr>
              <w:spacing w:after="0"/>
              <w:rPr>
                <w:szCs w:val="17"/>
              </w:rPr>
            </w:pPr>
            <w:r w:rsidRPr="00882944">
              <w:rPr>
                <w:szCs w:val="17"/>
              </w:rPr>
              <w:t>Transfer to/(from) accumulated surplus</w:t>
            </w:r>
          </w:p>
        </w:tc>
        <w:tc>
          <w:tcPr>
            <w:tcW w:w="1064" w:type="dxa"/>
          </w:tcPr>
          <w:p w14:paraId="767A14E1"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(485)</w:t>
            </w:r>
          </w:p>
        </w:tc>
        <w:tc>
          <w:tcPr>
            <w:tcW w:w="1059" w:type="dxa"/>
          </w:tcPr>
          <w:p w14:paraId="447FFB57"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485</w:t>
            </w:r>
          </w:p>
        </w:tc>
        <w:tc>
          <w:tcPr>
            <w:tcW w:w="1057" w:type="dxa"/>
          </w:tcPr>
          <w:p w14:paraId="7CDA1F54"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733" w:type="dxa"/>
          </w:tcPr>
          <w:p w14:paraId="56F0DAD7"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676" w:type="dxa"/>
          </w:tcPr>
          <w:p w14:paraId="710857B9"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r>
      <w:tr w:rsidR="009C6724" w:rsidRPr="00882944" w14:paraId="00AA2A8F" w14:textId="77777777" w:rsidTr="002C257B">
        <w:tc>
          <w:tcPr>
            <w:cnfStyle w:val="001000000000" w:firstRow="0" w:lastRow="0" w:firstColumn="1" w:lastColumn="0" w:oddVBand="0" w:evenVBand="0" w:oddHBand="0" w:evenHBand="0" w:firstRowFirstColumn="0" w:firstRowLastColumn="0" w:lastRowFirstColumn="0" w:lastRowLastColumn="0"/>
            <w:tcW w:w="3122" w:type="dxa"/>
            <w:gridSpan w:val="2"/>
            <w:tcBorders>
              <w:bottom w:val="single" w:sz="6" w:space="0" w:color="auto"/>
            </w:tcBorders>
          </w:tcPr>
          <w:p w14:paraId="53A6C32A" w14:textId="77777777" w:rsidR="00AB205D" w:rsidRPr="00882944" w:rsidRDefault="00471A3B">
            <w:pPr>
              <w:spacing w:after="0"/>
              <w:rPr>
                <w:szCs w:val="17"/>
              </w:rPr>
            </w:pPr>
            <w:r w:rsidRPr="00882944">
              <w:rPr>
                <w:szCs w:val="17"/>
              </w:rPr>
              <w:t>Transactions with owners in their capacity as owners</w:t>
            </w:r>
          </w:p>
        </w:tc>
        <w:tc>
          <w:tcPr>
            <w:tcW w:w="1064" w:type="dxa"/>
            <w:tcBorders>
              <w:bottom w:val="single" w:sz="6" w:space="0" w:color="auto"/>
            </w:tcBorders>
          </w:tcPr>
          <w:p w14:paraId="3F9A1499"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1059" w:type="dxa"/>
            <w:tcBorders>
              <w:bottom w:val="single" w:sz="6" w:space="0" w:color="auto"/>
            </w:tcBorders>
          </w:tcPr>
          <w:p w14:paraId="15151278"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(384)</w:t>
            </w:r>
          </w:p>
        </w:tc>
        <w:tc>
          <w:tcPr>
            <w:tcW w:w="1057" w:type="dxa"/>
            <w:tcBorders>
              <w:bottom w:val="single" w:sz="6" w:space="0" w:color="auto"/>
            </w:tcBorders>
          </w:tcPr>
          <w:p w14:paraId="647233BF"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733" w:type="dxa"/>
            <w:tcBorders>
              <w:bottom w:val="single" w:sz="6" w:space="0" w:color="auto"/>
            </w:tcBorders>
          </w:tcPr>
          <w:p w14:paraId="0C382266"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676" w:type="dxa"/>
            <w:tcBorders>
              <w:bottom w:val="single" w:sz="6" w:space="0" w:color="auto"/>
            </w:tcBorders>
          </w:tcPr>
          <w:p w14:paraId="608C47C5"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(384)</w:t>
            </w:r>
          </w:p>
        </w:tc>
      </w:tr>
      <w:tr w:rsidR="009C6724" w:rsidRPr="00882944" w14:paraId="568DACDC" w14:textId="77777777" w:rsidTr="002C257B">
        <w:tc>
          <w:tcPr>
            <w:cnfStyle w:val="001000000000" w:firstRow="0" w:lastRow="0" w:firstColumn="1" w:lastColumn="0" w:oddVBand="0" w:evenVBand="0" w:oddHBand="0" w:evenHBand="0" w:firstRowFirstColumn="0" w:firstRowLastColumn="0" w:lastRowFirstColumn="0" w:lastRowLastColumn="0"/>
            <w:tcW w:w="3122" w:type="dxa"/>
            <w:gridSpan w:val="2"/>
            <w:tcBorders>
              <w:top w:val="single" w:sz="6" w:space="0" w:color="auto"/>
              <w:bottom w:val="single" w:sz="6" w:space="0" w:color="auto"/>
            </w:tcBorders>
          </w:tcPr>
          <w:p w14:paraId="1B2F6932" w14:textId="77777777" w:rsidR="00AB205D" w:rsidRPr="00882944" w:rsidRDefault="00471A3B">
            <w:pPr>
              <w:spacing w:after="0"/>
              <w:rPr>
                <w:szCs w:val="17"/>
              </w:rPr>
            </w:pPr>
            <w:r w:rsidRPr="00882944">
              <w:rPr>
                <w:b/>
                <w:szCs w:val="17"/>
              </w:rPr>
              <w:t>Total equity as at 30 June 2026</w:t>
            </w:r>
          </w:p>
        </w:tc>
        <w:tc>
          <w:tcPr>
            <w:tcW w:w="1064" w:type="dxa"/>
            <w:tcBorders>
              <w:top w:val="single" w:sz="6" w:space="0" w:color="auto"/>
              <w:bottom w:val="single" w:sz="6" w:space="0" w:color="auto"/>
            </w:tcBorders>
          </w:tcPr>
          <w:p w14:paraId="04E37451"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9 950</w:t>
            </w:r>
          </w:p>
        </w:tc>
        <w:tc>
          <w:tcPr>
            <w:tcW w:w="1059" w:type="dxa"/>
            <w:tcBorders>
              <w:top w:val="single" w:sz="6" w:space="0" w:color="auto"/>
              <w:bottom w:val="single" w:sz="6" w:space="0" w:color="auto"/>
            </w:tcBorders>
          </w:tcPr>
          <w:p w14:paraId="24F1FB8A"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689</w:t>
            </w:r>
          </w:p>
        </w:tc>
        <w:tc>
          <w:tcPr>
            <w:tcW w:w="1057" w:type="dxa"/>
            <w:tcBorders>
              <w:top w:val="single" w:sz="6" w:space="0" w:color="auto"/>
              <w:bottom w:val="single" w:sz="6" w:space="0" w:color="auto"/>
            </w:tcBorders>
          </w:tcPr>
          <w:p w14:paraId="724BB07D"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10</w:t>
            </w:r>
          </w:p>
        </w:tc>
        <w:tc>
          <w:tcPr>
            <w:tcW w:w="733" w:type="dxa"/>
            <w:tcBorders>
              <w:top w:val="single" w:sz="6" w:space="0" w:color="auto"/>
              <w:bottom w:val="single" w:sz="6" w:space="0" w:color="auto"/>
            </w:tcBorders>
          </w:tcPr>
          <w:p w14:paraId="5CBE9B50"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58</w:t>
            </w:r>
          </w:p>
        </w:tc>
        <w:tc>
          <w:tcPr>
            <w:tcW w:w="676" w:type="dxa"/>
            <w:tcBorders>
              <w:top w:val="single" w:sz="6" w:space="0" w:color="auto"/>
              <w:bottom w:val="single" w:sz="6" w:space="0" w:color="auto"/>
            </w:tcBorders>
          </w:tcPr>
          <w:p w14:paraId="175943E0"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10 707</w:t>
            </w:r>
          </w:p>
        </w:tc>
      </w:tr>
      <w:tr w:rsidR="009C6724" w:rsidRPr="00882944" w14:paraId="0C8F71C8" w14:textId="77777777" w:rsidTr="002C257B">
        <w:tc>
          <w:tcPr>
            <w:cnfStyle w:val="001000000000" w:firstRow="0" w:lastRow="0" w:firstColumn="1" w:lastColumn="0" w:oddVBand="0" w:evenVBand="0" w:oddHBand="0" w:evenHBand="0" w:firstRowFirstColumn="0" w:firstRowLastColumn="0" w:lastRowFirstColumn="0" w:lastRowLastColumn="0"/>
            <w:tcW w:w="3122" w:type="dxa"/>
            <w:gridSpan w:val="2"/>
            <w:tcBorders>
              <w:top w:val="single" w:sz="6" w:space="0" w:color="auto"/>
            </w:tcBorders>
          </w:tcPr>
          <w:p w14:paraId="142D4E83" w14:textId="77777777" w:rsidR="00AB205D" w:rsidRPr="00882944" w:rsidRDefault="00471A3B">
            <w:pPr>
              <w:spacing w:after="0"/>
              <w:rPr>
                <w:szCs w:val="17"/>
              </w:rPr>
            </w:pPr>
            <w:r w:rsidRPr="00882944">
              <w:rPr>
                <w:b/>
                <w:szCs w:val="17"/>
              </w:rPr>
              <w:t>2026</w:t>
            </w:r>
            <w:r w:rsidRPr="00882944">
              <w:rPr>
                <w:b/>
                <w:szCs w:val="17"/>
              </w:rPr>
              <w:noBreakHyphen/>
              <w:t>27 estimate</w:t>
            </w:r>
          </w:p>
        </w:tc>
        <w:tc>
          <w:tcPr>
            <w:tcW w:w="1064" w:type="dxa"/>
            <w:tcBorders>
              <w:top w:val="single" w:sz="6" w:space="0" w:color="auto"/>
            </w:tcBorders>
          </w:tcPr>
          <w:p w14:paraId="2929C238"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1059" w:type="dxa"/>
            <w:tcBorders>
              <w:top w:val="single" w:sz="6" w:space="0" w:color="auto"/>
            </w:tcBorders>
          </w:tcPr>
          <w:p w14:paraId="420CB4E3"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1057" w:type="dxa"/>
            <w:tcBorders>
              <w:top w:val="single" w:sz="6" w:space="0" w:color="auto"/>
            </w:tcBorders>
          </w:tcPr>
          <w:p w14:paraId="7C843A6F"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33" w:type="dxa"/>
            <w:tcBorders>
              <w:top w:val="single" w:sz="6" w:space="0" w:color="auto"/>
            </w:tcBorders>
          </w:tcPr>
          <w:p w14:paraId="77C2A995"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676" w:type="dxa"/>
            <w:tcBorders>
              <w:top w:val="single" w:sz="6" w:space="0" w:color="auto"/>
            </w:tcBorders>
          </w:tcPr>
          <w:p w14:paraId="01F0C3AD"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r>
      <w:tr w:rsidR="009C6724" w:rsidRPr="00882944" w14:paraId="5A673DB9" w14:textId="77777777" w:rsidTr="002C257B">
        <w:tc>
          <w:tcPr>
            <w:cnfStyle w:val="001000000000" w:firstRow="0" w:lastRow="0" w:firstColumn="1" w:lastColumn="0" w:oddVBand="0" w:evenVBand="0" w:oddHBand="0" w:evenHBand="0" w:firstRowFirstColumn="0" w:firstRowLastColumn="0" w:lastRowFirstColumn="0" w:lastRowLastColumn="0"/>
            <w:tcW w:w="3122" w:type="dxa"/>
            <w:gridSpan w:val="2"/>
          </w:tcPr>
          <w:p w14:paraId="760CC665" w14:textId="77777777" w:rsidR="00AB205D" w:rsidRPr="00882944" w:rsidRDefault="00471A3B">
            <w:pPr>
              <w:spacing w:after="0"/>
              <w:rPr>
                <w:szCs w:val="17"/>
              </w:rPr>
            </w:pPr>
            <w:r w:rsidRPr="00882944">
              <w:rPr>
                <w:szCs w:val="17"/>
              </w:rPr>
              <w:t>Balance at 1 July 2026</w:t>
            </w:r>
          </w:p>
        </w:tc>
        <w:tc>
          <w:tcPr>
            <w:tcW w:w="1064" w:type="dxa"/>
          </w:tcPr>
          <w:p w14:paraId="6323FF20"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9 950</w:t>
            </w:r>
          </w:p>
        </w:tc>
        <w:tc>
          <w:tcPr>
            <w:tcW w:w="1059" w:type="dxa"/>
          </w:tcPr>
          <w:p w14:paraId="76FF55A6"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689</w:t>
            </w:r>
          </w:p>
        </w:tc>
        <w:tc>
          <w:tcPr>
            <w:tcW w:w="1057" w:type="dxa"/>
          </w:tcPr>
          <w:p w14:paraId="3C85B824"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10</w:t>
            </w:r>
          </w:p>
        </w:tc>
        <w:tc>
          <w:tcPr>
            <w:tcW w:w="733" w:type="dxa"/>
          </w:tcPr>
          <w:p w14:paraId="70F61A36"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58</w:t>
            </w:r>
          </w:p>
        </w:tc>
        <w:tc>
          <w:tcPr>
            <w:tcW w:w="676" w:type="dxa"/>
          </w:tcPr>
          <w:p w14:paraId="2C58815B"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10 707</w:t>
            </w:r>
          </w:p>
        </w:tc>
      </w:tr>
      <w:tr w:rsidR="009C6724" w:rsidRPr="00882944" w14:paraId="33228C30" w14:textId="77777777" w:rsidTr="002C257B">
        <w:tc>
          <w:tcPr>
            <w:cnfStyle w:val="001000000000" w:firstRow="0" w:lastRow="0" w:firstColumn="1" w:lastColumn="0" w:oddVBand="0" w:evenVBand="0" w:oddHBand="0" w:evenHBand="0" w:firstRowFirstColumn="0" w:firstRowLastColumn="0" w:lastRowFirstColumn="0" w:lastRowLastColumn="0"/>
            <w:tcW w:w="3122" w:type="dxa"/>
            <w:gridSpan w:val="2"/>
          </w:tcPr>
          <w:p w14:paraId="45B7CEDA" w14:textId="77777777" w:rsidR="00AB205D" w:rsidRPr="00882944" w:rsidRDefault="00471A3B">
            <w:pPr>
              <w:spacing w:after="0"/>
              <w:rPr>
                <w:szCs w:val="17"/>
              </w:rPr>
            </w:pPr>
            <w:r w:rsidRPr="00882944">
              <w:rPr>
                <w:szCs w:val="17"/>
              </w:rPr>
              <w:t>Net result for the year</w:t>
            </w:r>
          </w:p>
        </w:tc>
        <w:tc>
          <w:tcPr>
            <w:tcW w:w="1064" w:type="dxa"/>
          </w:tcPr>
          <w:p w14:paraId="37876992"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(1 390)</w:t>
            </w:r>
          </w:p>
        </w:tc>
        <w:tc>
          <w:tcPr>
            <w:tcW w:w="1059" w:type="dxa"/>
          </w:tcPr>
          <w:p w14:paraId="60E9E0DA"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1057" w:type="dxa"/>
          </w:tcPr>
          <w:p w14:paraId="0763EABC"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733" w:type="dxa"/>
          </w:tcPr>
          <w:p w14:paraId="1F30D21D"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676" w:type="dxa"/>
          </w:tcPr>
          <w:p w14:paraId="2EF975A2"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(1 390)</w:t>
            </w:r>
          </w:p>
        </w:tc>
      </w:tr>
      <w:tr w:rsidR="009C6724" w:rsidRPr="00882944" w14:paraId="469A32FF" w14:textId="77777777" w:rsidTr="002C257B">
        <w:tc>
          <w:tcPr>
            <w:cnfStyle w:val="001000000000" w:firstRow="0" w:lastRow="0" w:firstColumn="1" w:lastColumn="0" w:oddVBand="0" w:evenVBand="0" w:oddHBand="0" w:evenHBand="0" w:firstRowFirstColumn="0" w:firstRowLastColumn="0" w:lastRowFirstColumn="0" w:lastRowLastColumn="0"/>
            <w:tcW w:w="3122" w:type="dxa"/>
            <w:gridSpan w:val="2"/>
          </w:tcPr>
          <w:p w14:paraId="4F68DA17" w14:textId="77777777" w:rsidR="00AB205D" w:rsidRPr="00882944" w:rsidRDefault="00471A3B">
            <w:pPr>
              <w:spacing w:after="0"/>
              <w:rPr>
                <w:szCs w:val="17"/>
              </w:rPr>
            </w:pPr>
            <w:r w:rsidRPr="00882944">
              <w:rPr>
                <w:szCs w:val="17"/>
              </w:rPr>
              <w:t>Other comprehensive income for the year</w:t>
            </w:r>
          </w:p>
        </w:tc>
        <w:tc>
          <w:tcPr>
            <w:tcW w:w="1064" w:type="dxa"/>
          </w:tcPr>
          <w:p w14:paraId="0483773B"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(2)</w:t>
            </w:r>
          </w:p>
        </w:tc>
        <w:tc>
          <w:tcPr>
            <w:tcW w:w="1059" w:type="dxa"/>
          </w:tcPr>
          <w:p w14:paraId="4281C1DD"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1057" w:type="dxa"/>
          </w:tcPr>
          <w:p w14:paraId="06F7144E"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733" w:type="dxa"/>
          </w:tcPr>
          <w:p w14:paraId="4FD29FB8"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2</w:t>
            </w:r>
          </w:p>
        </w:tc>
        <w:tc>
          <w:tcPr>
            <w:tcW w:w="676" w:type="dxa"/>
          </w:tcPr>
          <w:p w14:paraId="5E463633"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r>
      <w:tr w:rsidR="009C6724" w:rsidRPr="00882944" w14:paraId="7CD381F7" w14:textId="77777777" w:rsidTr="002C257B">
        <w:tc>
          <w:tcPr>
            <w:cnfStyle w:val="001000000000" w:firstRow="0" w:lastRow="0" w:firstColumn="1" w:lastColumn="0" w:oddVBand="0" w:evenVBand="0" w:oddHBand="0" w:evenHBand="0" w:firstRowFirstColumn="0" w:firstRowLastColumn="0" w:lastRowFirstColumn="0" w:lastRowLastColumn="0"/>
            <w:tcW w:w="3122" w:type="dxa"/>
            <w:gridSpan w:val="2"/>
          </w:tcPr>
          <w:p w14:paraId="24A32CC4" w14:textId="77777777" w:rsidR="00AB205D" w:rsidRPr="00882944" w:rsidRDefault="00471A3B">
            <w:pPr>
              <w:spacing w:after="0"/>
              <w:rPr>
                <w:szCs w:val="17"/>
              </w:rPr>
            </w:pPr>
            <w:r w:rsidRPr="00882944">
              <w:rPr>
                <w:szCs w:val="17"/>
              </w:rPr>
              <w:t>Dividends paid</w:t>
            </w:r>
          </w:p>
        </w:tc>
        <w:tc>
          <w:tcPr>
            <w:tcW w:w="1064" w:type="dxa"/>
          </w:tcPr>
          <w:p w14:paraId="22F923A9"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(86)</w:t>
            </w:r>
          </w:p>
        </w:tc>
        <w:tc>
          <w:tcPr>
            <w:tcW w:w="1059" w:type="dxa"/>
          </w:tcPr>
          <w:p w14:paraId="4AD9D6AC"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1057" w:type="dxa"/>
          </w:tcPr>
          <w:p w14:paraId="220D5AE1"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733" w:type="dxa"/>
          </w:tcPr>
          <w:p w14:paraId="75642DC5"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676" w:type="dxa"/>
          </w:tcPr>
          <w:p w14:paraId="1F3CDC13"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(86)</w:t>
            </w:r>
          </w:p>
        </w:tc>
      </w:tr>
      <w:tr w:rsidR="009C6724" w:rsidRPr="00882944" w14:paraId="2B91F856" w14:textId="77777777" w:rsidTr="002C257B">
        <w:tc>
          <w:tcPr>
            <w:cnfStyle w:val="001000000000" w:firstRow="0" w:lastRow="0" w:firstColumn="1" w:lastColumn="0" w:oddVBand="0" w:evenVBand="0" w:oddHBand="0" w:evenHBand="0" w:firstRowFirstColumn="0" w:firstRowLastColumn="0" w:lastRowFirstColumn="0" w:lastRowLastColumn="0"/>
            <w:tcW w:w="3122" w:type="dxa"/>
            <w:gridSpan w:val="2"/>
            <w:tcBorders>
              <w:bottom w:val="single" w:sz="6" w:space="0" w:color="auto"/>
            </w:tcBorders>
          </w:tcPr>
          <w:p w14:paraId="592DE25B" w14:textId="77777777" w:rsidR="00AB205D" w:rsidRPr="00882944" w:rsidRDefault="00471A3B">
            <w:pPr>
              <w:spacing w:after="0"/>
              <w:rPr>
                <w:szCs w:val="17"/>
              </w:rPr>
            </w:pPr>
            <w:r w:rsidRPr="00882944">
              <w:rPr>
                <w:szCs w:val="17"/>
              </w:rPr>
              <w:t>Transactions with owners in their capacity as owners</w:t>
            </w:r>
          </w:p>
        </w:tc>
        <w:tc>
          <w:tcPr>
            <w:tcW w:w="1064" w:type="dxa"/>
            <w:tcBorders>
              <w:bottom w:val="single" w:sz="6" w:space="0" w:color="auto"/>
            </w:tcBorders>
          </w:tcPr>
          <w:p w14:paraId="5051A030"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1059" w:type="dxa"/>
            <w:tcBorders>
              <w:bottom w:val="single" w:sz="6" w:space="0" w:color="auto"/>
            </w:tcBorders>
          </w:tcPr>
          <w:p w14:paraId="667B3730"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251</w:t>
            </w:r>
          </w:p>
        </w:tc>
        <w:tc>
          <w:tcPr>
            <w:tcW w:w="1057" w:type="dxa"/>
            <w:tcBorders>
              <w:bottom w:val="single" w:sz="6" w:space="0" w:color="auto"/>
            </w:tcBorders>
          </w:tcPr>
          <w:p w14:paraId="20011FE7"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733" w:type="dxa"/>
            <w:tcBorders>
              <w:bottom w:val="single" w:sz="6" w:space="0" w:color="auto"/>
            </w:tcBorders>
          </w:tcPr>
          <w:p w14:paraId="6631B73C"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w:t>
            </w:r>
          </w:p>
        </w:tc>
        <w:tc>
          <w:tcPr>
            <w:tcW w:w="676" w:type="dxa"/>
            <w:tcBorders>
              <w:bottom w:val="single" w:sz="6" w:space="0" w:color="auto"/>
            </w:tcBorders>
          </w:tcPr>
          <w:p w14:paraId="1C4F5C3B"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251</w:t>
            </w:r>
          </w:p>
        </w:tc>
      </w:tr>
      <w:tr w:rsidR="009C6724" w:rsidRPr="00882944" w14:paraId="4FC52B0F" w14:textId="77777777" w:rsidTr="002C257B">
        <w:tc>
          <w:tcPr>
            <w:cnfStyle w:val="001000000000" w:firstRow="0" w:lastRow="0" w:firstColumn="1" w:lastColumn="0" w:oddVBand="0" w:evenVBand="0" w:oddHBand="0" w:evenHBand="0" w:firstRowFirstColumn="0" w:firstRowLastColumn="0" w:lastRowFirstColumn="0" w:lastRowLastColumn="0"/>
            <w:tcW w:w="3122" w:type="dxa"/>
            <w:gridSpan w:val="2"/>
            <w:tcBorders>
              <w:top w:val="single" w:sz="6" w:space="0" w:color="auto"/>
              <w:bottom w:val="single" w:sz="12" w:space="0" w:color="auto"/>
            </w:tcBorders>
          </w:tcPr>
          <w:p w14:paraId="19F0B7DD" w14:textId="77777777" w:rsidR="00AB205D" w:rsidRPr="00882944" w:rsidRDefault="00471A3B">
            <w:pPr>
              <w:spacing w:after="0"/>
              <w:rPr>
                <w:szCs w:val="17"/>
              </w:rPr>
            </w:pPr>
            <w:r w:rsidRPr="00882944">
              <w:rPr>
                <w:b/>
                <w:szCs w:val="17"/>
              </w:rPr>
              <w:t>Total equity as at 30 June 2027</w:t>
            </w:r>
          </w:p>
        </w:tc>
        <w:tc>
          <w:tcPr>
            <w:tcW w:w="1064" w:type="dxa"/>
            <w:tcBorders>
              <w:top w:val="single" w:sz="6" w:space="0" w:color="auto"/>
              <w:bottom w:val="single" w:sz="12" w:space="0" w:color="auto"/>
            </w:tcBorders>
          </w:tcPr>
          <w:p w14:paraId="42CA4ABD"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8 472</w:t>
            </w:r>
          </w:p>
        </w:tc>
        <w:tc>
          <w:tcPr>
            <w:tcW w:w="1059" w:type="dxa"/>
            <w:tcBorders>
              <w:top w:val="single" w:sz="6" w:space="0" w:color="auto"/>
              <w:bottom w:val="single" w:sz="12" w:space="0" w:color="auto"/>
            </w:tcBorders>
          </w:tcPr>
          <w:p w14:paraId="65A20A00"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941</w:t>
            </w:r>
          </w:p>
        </w:tc>
        <w:tc>
          <w:tcPr>
            <w:tcW w:w="1057" w:type="dxa"/>
            <w:tcBorders>
              <w:top w:val="single" w:sz="6" w:space="0" w:color="auto"/>
              <w:bottom w:val="single" w:sz="12" w:space="0" w:color="auto"/>
            </w:tcBorders>
          </w:tcPr>
          <w:p w14:paraId="14669DEF"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10</w:t>
            </w:r>
          </w:p>
        </w:tc>
        <w:tc>
          <w:tcPr>
            <w:tcW w:w="733" w:type="dxa"/>
            <w:tcBorders>
              <w:top w:val="single" w:sz="6" w:space="0" w:color="auto"/>
              <w:bottom w:val="single" w:sz="12" w:space="0" w:color="auto"/>
            </w:tcBorders>
          </w:tcPr>
          <w:p w14:paraId="3FC59DEF"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60</w:t>
            </w:r>
          </w:p>
        </w:tc>
        <w:tc>
          <w:tcPr>
            <w:tcW w:w="676" w:type="dxa"/>
            <w:tcBorders>
              <w:top w:val="single" w:sz="6" w:space="0" w:color="auto"/>
              <w:bottom w:val="single" w:sz="12" w:space="0" w:color="auto"/>
            </w:tcBorders>
          </w:tcPr>
          <w:p w14:paraId="1B48B7F0"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9 482</w:t>
            </w:r>
          </w:p>
        </w:tc>
      </w:tr>
    </w:tbl>
    <w:p w14:paraId="5A11B31E" w14:textId="77777777" w:rsidR="00AB205D" w:rsidRPr="00FF7CCB" w:rsidRDefault="00471A3B">
      <w:pPr>
        <w:pStyle w:val="Note"/>
      </w:pPr>
      <w:r w:rsidRPr="00FF7CCB">
        <w:t>Notes:</w:t>
      </w:r>
    </w:p>
    <w:p w14:paraId="7411697A" w14:textId="200367D5" w:rsidR="00AB205D" w:rsidRPr="00FF7CCB" w:rsidRDefault="00471A3B">
      <w:pPr>
        <w:pStyle w:val="Note"/>
      </w:pPr>
      <w:r w:rsidRPr="00FF7CCB">
        <w:t>(a)</w:t>
      </w:r>
      <w:r w:rsidRPr="00FF7CCB">
        <w:tab/>
        <w:t xml:space="preserve">The </w:t>
      </w:r>
      <w:r w:rsidRPr="00FF7CCB">
        <w:rPr>
          <w:i w:val="0"/>
        </w:rPr>
        <w:t>2023-24 Budget</w:t>
      </w:r>
      <w:r w:rsidRPr="00FF7CCB">
        <w:t xml:space="preserve"> included a range of savings and efficiency initiatives that will be implemented by the PFC sector. The impact of these initiatives </w:t>
      </w:r>
      <w:r w:rsidR="00882944">
        <w:t>is</w:t>
      </w:r>
      <w:r w:rsidRPr="00FF7CCB">
        <w:t xml:space="preserve"> reflected in the estimates for the budget year and the three forward years.</w:t>
      </w:r>
    </w:p>
    <w:p w14:paraId="5B085685" w14:textId="77777777" w:rsidR="00AB205D" w:rsidRPr="00FF7CCB" w:rsidRDefault="00471A3B">
      <w:pPr>
        <w:pStyle w:val="Note"/>
      </w:pPr>
      <w:r w:rsidRPr="00FF7CCB">
        <w:t>(b)</w:t>
      </w:r>
      <w:r w:rsidRPr="00FF7CCB">
        <w:tab/>
        <w:t>Balances represent actual opening balances at 1 July 2023 plus 2023-24 budgeted movements.</w:t>
      </w:r>
    </w:p>
    <w:p w14:paraId="69EC070D" w14:textId="77777777" w:rsidR="00AB205D" w:rsidRPr="006F5510" w:rsidRDefault="00471A3B">
      <w:pPr>
        <w:pStyle w:val="TableHeading"/>
      </w:pPr>
      <w:r w:rsidRPr="00921F69">
        <w:lastRenderedPageBreak/>
        <w:t>Table 5.15</w:t>
      </w:r>
      <w:r w:rsidRPr="00921F69">
        <w:tab/>
        <w:t xml:space="preserve">Net acquisition of non-financial assets – </w:t>
      </w:r>
      <w:r w:rsidRPr="00921F69">
        <w:br/>
        <w:t>Public financial corporations sector</w:t>
      </w:r>
      <w:r w:rsidRPr="00921F69">
        <w:tab/>
        <w:t>($ million)</w:t>
      </w:r>
    </w:p>
    <w:tbl>
      <w:tblPr>
        <w:tblStyle w:val="DTFTableNumeric"/>
        <w:tblW w:w="7710" w:type="dxa"/>
        <w:tblLayout w:type="fixed"/>
        <w:tblLook w:val="06A0" w:firstRow="1" w:lastRow="0" w:firstColumn="1" w:lastColumn="0" w:noHBand="1" w:noVBand="1"/>
        <w:tblDescription w:val="Type:DtfTable|Workbook:Rawdata\BudgetUpdate\Budget Update\Financial Statements\SRIMS exports\SRIMS_BU_UPF_PNFC_PFC.xlsx|Table:PFC_NFA|MergedHeadingRow:1"/>
      </w:tblPr>
      <w:tblGrid>
        <w:gridCol w:w="3740"/>
        <w:gridCol w:w="794"/>
        <w:gridCol w:w="794"/>
        <w:gridCol w:w="794"/>
        <w:gridCol w:w="794"/>
        <w:gridCol w:w="794"/>
      </w:tblGrid>
      <w:tr w:rsidR="009C6724" w14:paraId="60F4E194"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1ED77CA7" w14:textId="77777777" w:rsidR="00AB205D" w:rsidRDefault="00AB205D">
            <w:pPr>
              <w:keepNext/>
            </w:pPr>
          </w:p>
        </w:tc>
        <w:tc>
          <w:tcPr>
            <w:tcW w:w="794" w:type="dxa"/>
          </w:tcPr>
          <w:p w14:paraId="4BD5E0F8"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budget</w:t>
            </w:r>
          </w:p>
        </w:tc>
        <w:tc>
          <w:tcPr>
            <w:tcW w:w="794" w:type="dxa"/>
          </w:tcPr>
          <w:p w14:paraId="67245CD0"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revised</w:t>
            </w:r>
          </w:p>
        </w:tc>
        <w:tc>
          <w:tcPr>
            <w:tcW w:w="794" w:type="dxa"/>
          </w:tcPr>
          <w:p w14:paraId="790985C7"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r>
              <w:br/>
              <w:t>estimate</w:t>
            </w:r>
          </w:p>
        </w:tc>
        <w:tc>
          <w:tcPr>
            <w:tcW w:w="794" w:type="dxa"/>
          </w:tcPr>
          <w:p w14:paraId="7D5E2AE9"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20A12428"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r>
      <w:tr w:rsidR="009C6724" w14:paraId="7EEE0729"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D7EDCCF" w14:textId="77777777" w:rsidR="00AB205D" w:rsidRDefault="00471A3B">
            <w:r>
              <w:t>Purchases of non</w:t>
            </w:r>
            <w:r>
              <w:noBreakHyphen/>
              <w:t>financial assets less sale of non</w:t>
            </w:r>
            <w:r>
              <w:noBreakHyphen/>
              <w:t>financial assets (including change in inventories)</w:t>
            </w:r>
          </w:p>
        </w:tc>
        <w:tc>
          <w:tcPr>
            <w:tcW w:w="794" w:type="dxa"/>
          </w:tcPr>
          <w:p w14:paraId="76E9B635" w14:textId="77777777" w:rsidR="00AB205D" w:rsidRDefault="00471A3B">
            <w:pPr>
              <w:cnfStyle w:val="000000000000" w:firstRow="0" w:lastRow="0" w:firstColumn="0" w:lastColumn="0" w:oddVBand="0" w:evenVBand="0" w:oddHBand="0" w:evenHBand="0" w:firstRowFirstColumn="0" w:firstRowLastColumn="0" w:lastRowFirstColumn="0" w:lastRowLastColumn="0"/>
            </w:pPr>
            <w:r>
              <w:t>38</w:t>
            </w:r>
          </w:p>
        </w:tc>
        <w:tc>
          <w:tcPr>
            <w:tcW w:w="794" w:type="dxa"/>
          </w:tcPr>
          <w:p w14:paraId="7EFFF441" w14:textId="77777777" w:rsidR="00AB205D" w:rsidRDefault="00471A3B">
            <w:pPr>
              <w:cnfStyle w:val="000000000000" w:firstRow="0" w:lastRow="0" w:firstColumn="0" w:lastColumn="0" w:oddVBand="0" w:evenVBand="0" w:oddHBand="0" w:evenHBand="0" w:firstRowFirstColumn="0" w:firstRowLastColumn="0" w:lastRowFirstColumn="0" w:lastRowLastColumn="0"/>
            </w:pPr>
            <w:r>
              <w:t>38</w:t>
            </w:r>
          </w:p>
        </w:tc>
        <w:tc>
          <w:tcPr>
            <w:tcW w:w="794" w:type="dxa"/>
          </w:tcPr>
          <w:p w14:paraId="3C4A5C1F" w14:textId="77777777" w:rsidR="00AB205D" w:rsidRDefault="00471A3B">
            <w:pPr>
              <w:cnfStyle w:val="000000000000" w:firstRow="0" w:lastRow="0" w:firstColumn="0" w:lastColumn="0" w:oddVBand="0" w:evenVBand="0" w:oddHBand="0" w:evenHBand="0" w:firstRowFirstColumn="0" w:firstRowLastColumn="0" w:lastRowFirstColumn="0" w:lastRowLastColumn="0"/>
            </w:pPr>
            <w:r>
              <w:t>14</w:t>
            </w:r>
          </w:p>
        </w:tc>
        <w:tc>
          <w:tcPr>
            <w:tcW w:w="794" w:type="dxa"/>
          </w:tcPr>
          <w:p w14:paraId="0BBCEA81" w14:textId="77777777" w:rsidR="00AB205D" w:rsidRDefault="00471A3B">
            <w:pPr>
              <w:cnfStyle w:val="000000000000" w:firstRow="0" w:lastRow="0" w:firstColumn="0" w:lastColumn="0" w:oddVBand="0" w:evenVBand="0" w:oddHBand="0" w:evenHBand="0" w:firstRowFirstColumn="0" w:firstRowLastColumn="0" w:lastRowFirstColumn="0" w:lastRowLastColumn="0"/>
            </w:pPr>
            <w:r>
              <w:t>13</w:t>
            </w:r>
          </w:p>
        </w:tc>
        <w:tc>
          <w:tcPr>
            <w:tcW w:w="794" w:type="dxa"/>
          </w:tcPr>
          <w:p w14:paraId="697D1726" w14:textId="77777777" w:rsidR="00AB205D" w:rsidRDefault="00471A3B">
            <w:pPr>
              <w:cnfStyle w:val="000000000000" w:firstRow="0" w:lastRow="0" w:firstColumn="0" w:lastColumn="0" w:oddVBand="0" w:evenVBand="0" w:oddHBand="0" w:evenHBand="0" w:firstRowFirstColumn="0" w:firstRowLastColumn="0" w:lastRowFirstColumn="0" w:lastRowLastColumn="0"/>
            </w:pPr>
            <w:r>
              <w:t>13</w:t>
            </w:r>
          </w:p>
        </w:tc>
      </w:tr>
      <w:tr w:rsidR="009C6724" w14:paraId="2DB42CA5"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0C95A17D" w14:textId="77777777" w:rsidR="00AB205D" w:rsidRDefault="00471A3B">
            <w:r>
              <w:t>Less: Depreciation and amortisation</w:t>
            </w:r>
          </w:p>
        </w:tc>
        <w:tc>
          <w:tcPr>
            <w:tcW w:w="794" w:type="dxa"/>
          </w:tcPr>
          <w:p w14:paraId="6360F9F8" w14:textId="77777777" w:rsidR="00AB205D" w:rsidRDefault="00471A3B">
            <w:pPr>
              <w:cnfStyle w:val="000000000000" w:firstRow="0" w:lastRow="0" w:firstColumn="0" w:lastColumn="0" w:oddVBand="0" w:evenVBand="0" w:oddHBand="0" w:evenHBand="0" w:firstRowFirstColumn="0" w:firstRowLastColumn="0" w:lastRowFirstColumn="0" w:lastRowLastColumn="0"/>
            </w:pPr>
            <w:r>
              <w:t>(85)</w:t>
            </w:r>
          </w:p>
        </w:tc>
        <w:tc>
          <w:tcPr>
            <w:tcW w:w="794" w:type="dxa"/>
          </w:tcPr>
          <w:p w14:paraId="1A629CD3" w14:textId="77777777" w:rsidR="00AB205D" w:rsidRDefault="00471A3B">
            <w:pPr>
              <w:cnfStyle w:val="000000000000" w:firstRow="0" w:lastRow="0" w:firstColumn="0" w:lastColumn="0" w:oddVBand="0" w:evenVBand="0" w:oddHBand="0" w:evenHBand="0" w:firstRowFirstColumn="0" w:firstRowLastColumn="0" w:lastRowFirstColumn="0" w:lastRowLastColumn="0"/>
            </w:pPr>
            <w:r>
              <w:t>(84)</w:t>
            </w:r>
          </w:p>
        </w:tc>
        <w:tc>
          <w:tcPr>
            <w:tcW w:w="794" w:type="dxa"/>
          </w:tcPr>
          <w:p w14:paraId="54271C8C" w14:textId="77777777" w:rsidR="00AB205D" w:rsidRDefault="00471A3B">
            <w:pPr>
              <w:cnfStyle w:val="000000000000" w:firstRow="0" w:lastRow="0" w:firstColumn="0" w:lastColumn="0" w:oddVBand="0" w:evenVBand="0" w:oddHBand="0" w:evenHBand="0" w:firstRowFirstColumn="0" w:firstRowLastColumn="0" w:lastRowFirstColumn="0" w:lastRowLastColumn="0"/>
            </w:pPr>
            <w:r>
              <w:t>(82)</w:t>
            </w:r>
          </w:p>
        </w:tc>
        <w:tc>
          <w:tcPr>
            <w:tcW w:w="794" w:type="dxa"/>
          </w:tcPr>
          <w:p w14:paraId="7B7F1527" w14:textId="77777777" w:rsidR="00AB205D" w:rsidRDefault="00471A3B">
            <w:pPr>
              <w:cnfStyle w:val="000000000000" w:firstRow="0" w:lastRow="0" w:firstColumn="0" w:lastColumn="0" w:oddVBand="0" w:evenVBand="0" w:oddHBand="0" w:evenHBand="0" w:firstRowFirstColumn="0" w:firstRowLastColumn="0" w:lastRowFirstColumn="0" w:lastRowLastColumn="0"/>
            </w:pPr>
            <w:r>
              <w:t>(72)</w:t>
            </w:r>
          </w:p>
        </w:tc>
        <w:tc>
          <w:tcPr>
            <w:tcW w:w="794" w:type="dxa"/>
          </w:tcPr>
          <w:p w14:paraId="555B6164" w14:textId="77777777" w:rsidR="00AB205D" w:rsidRDefault="00471A3B">
            <w:pPr>
              <w:cnfStyle w:val="000000000000" w:firstRow="0" w:lastRow="0" w:firstColumn="0" w:lastColumn="0" w:oddVBand="0" w:evenVBand="0" w:oddHBand="0" w:evenHBand="0" w:firstRowFirstColumn="0" w:firstRowLastColumn="0" w:lastRowFirstColumn="0" w:lastRowLastColumn="0"/>
            </w:pPr>
            <w:r>
              <w:t>(65)</w:t>
            </w:r>
          </w:p>
        </w:tc>
      </w:tr>
      <w:tr w:rsidR="009C6724" w14:paraId="5B92864E"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74217E52" w14:textId="77777777" w:rsidR="00AB205D" w:rsidRDefault="00471A3B">
            <w:r>
              <w:rPr>
                <w:b/>
              </w:rPr>
              <w:t>Total net acquisition of non</w:t>
            </w:r>
            <w:r>
              <w:rPr>
                <w:b/>
              </w:rPr>
              <w:noBreakHyphen/>
              <w:t>financial assets from transactions</w:t>
            </w:r>
          </w:p>
        </w:tc>
        <w:tc>
          <w:tcPr>
            <w:tcW w:w="794" w:type="dxa"/>
            <w:tcBorders>
              <w:top w:val="single" w:sz="6" w:space="0" w:color="auto"/>
              <w:bottom w:val="single" w:sz="12" w:space="0" w:color="auto"/>
            </w:tcBorders>
          </w:tcPr>
          <w:p w14:paraId="43F7FB7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(47)</w:t>
            </w:r>
          </w:p>
        </w:tc>
        <w:tc>
          <w:tcPr>
            <w:tcW w:w="794" w:type="dxa"/>
            <w:tcBorders>
              <w:top w:val="single" w:sz="6" w:space="0" w:color="auto"/>
              <w:bottom w:val="single" w:sz="12" w:space="0" w:color="auto"/>
            </w:tcBorders>
          </w:tcPr>
          <w:p w14:paraId="1B76B87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(46)</w:t>
            </w:r>
          </w:p>
        </w:tc>
        <w:tc>
          <w:tcPr>
            <w:tcW w:w="794" w:type="dxa"/>
            <w:tcBorders>
              <w:top w:val="single" w:sz="6" w:space="0" w:color="auto"/>
              <w:bottom w:val="single" w:sz="12" w:space="0" w:color="auto"/>
            </w:tcBorders>
          </w:tcPr>
          <w:p w14:paraId="348F2B2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(67)</w:t>
            </w:r>
          </w:p>
        </w:tc>
        <w:tc>
          <w:tcPr>
            <w:tcW w:w="794" w:type="dxa"/>
            <w:tcBorders>
              <w:top w:val="single" w:sz="6" w:space="0" w:color="auto"/>
              <w:bottom w:val="single" w:sz="12" w:space="0" w:color="auto"/>
            </w:tcBorders>
          </w:tcPr>
          <w:p w14:paraId="73768DE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(59)</w:t>
            </w:r>
          </w:p>
        </w:tc>
        <w:tc>
          <w:tcPr>
            <w:tcW w:w="794" w:type="dxa"/>
            <w:tcBorders>
              <w:top w:val="single" w:sz="6" w:space="0" w:color="auto"/>
              <w:bottom w:val="single" w:sz="12" w:space="0" w:color="auto"/>
            </w:tcBorders>
          </w:tcPr>
          <w:p w14:paraId="262E5C2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(52)</w:t>
            </w:r>
          </w:p>
        </w:tc>
      </w:tr>
    </w:tbl>
    <w:p w14:paraId="1F375061" w14:textId="77777777" w:rsidR="00AB205D" w:rsidRDefault="00AB205D"/>
    <w:p w14:paraId="28135E40" w14:textId="77777777" w:rsidR="00AB205D" w:rsidRDefault="00471A3B">
      <w:pPr>
        <w:pStyle w:val="TableHeading"/>
        <w:pageBreakBefore/>
      </w:pPr>
      <w:r w:rsidRPr="00921F69">
        <w:lastRenderedPageBreak/>
        <w:t>Table 5.16</w:t>
      </w:r>
      <w:r w:rsidRPr="00921F69">
        <w:tab/>
        <w:t xml:space="preserve">State of Victoria comprehensive operating statement </w:t>
      </w:r>
      <w:r w:rsidRPr="00921F69">
        <w:br/>
        <w:t>for the financial year ended 30 June</w:t>
      </w:r>
      <w:r w:rsidRPr="00921F69">
        <w:tab/>
        <w:t>($ million)</w:t>
      </w:r>
    </w:p>
    <w:tbl>
      <w:tblPr>
        <w:tblStyle w:val="DTFTableNumeric"/>
        <w:tblW w:w="7710" w:type="dxa"/>
        <w:tblLayout w:type="fixed"/>
        <w:tblLook w:val="06A0" w:firstRow="1" w:lastRow="0" w:firstColumn="1" w:lastColumn="0" w:noHBand="1" w:noVBand="1"/>
        <w:tblDescription w:val="Type:DtfTable|Workbook:Rawdata\BudgetUpdate\Budget Update\Financial Statements\SRIMS exports\SRIMS_BU_UPF_NFPS_WoS.xlsx|Table:WoS_OS|MergedHeadingRow:1"/>
      </w:tblPr>
      <w:tblGrid>
        <w:gridCol w:w="3740"/>
        <w:gridCol w:w="794"/>
        <w:gridCol w:w="794"/>
        <w:gridCol w:w="794"/>
        <w:gridCol w:w="794"/>
        <w:gridCol w:w="794"/>
      </w:tblGrid>
      <w:tr w:rsidR="009C6724" w:rsidRPr="00882944" w14:paraId="5F06017F"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0A137BE5" w14:textId="77777777" w:rsidR="00AB205D" w:rsidRPr="00882944" w:rsidRDefault="00AB205D">
            <w:pPr>
              <w:keepNext/>
              <w:spacing w:after="0"/>
              <w:rPr>
                <w:szCs w:val="17"/>
              </w:rPr>
            </w:pPr>
          </w:p>
        </w:tc>
        <w:tc>
          <w:tcPr>
            <w:tcW w:w="794" w:type="dxa"/>
          </w:tcPr>
          <w:p w14:paraId="2884ADF9" w14:textId="77777777" w:rsidR="00AB205D" w:rsidRPr="00882944" w:rsidRDefault="00471A3B">
            <w:pPr>
              <w:keepNext/>
              <w:spacing w:after="0"/>
              <w:cnfStyle w:val="100000000000" w:firstRow="1" w:lastRow="0" w:firstColumn="0" w:lastColumn="0" w:oddVBand="0" w:evenVBand="0" w:oddHBand="0" w:evenHBand="0" w:firstRowFirstColumn="0" w:firstRowLastColumn="0" w:lastRowFirstColumn="0" w:lastRowLastColumn="0"/>
              <w:rPr>
                <w:szCs w:val="17"/>
              </w:rPr>
            </w:pPr>
            <w:r w:rsidRPr="00882944">
              <w:rPr>
                <w:szCs w:val="17"/>
              </w:rPr>
              <w:t>2023</w:t>
            </w:r>
            <w:r w:rsidRPr="00882944">
              <w:rPr>
                <w:szCs w:val="17"/>
              </w:rPr>
              <w:noBreakHyphen/>
              <w:t>24</w:t>
            </w:r>
            <w:r w:rsidRPr="00882944">
              <w:rPr>
                <w:szCs w:val="17"/>
              </w:rPr>
              <w:br/>
              <w:t>budget</w:t>
            </w:r>
          </w:p>
        </w:tc>
        <w:tc>
          <w:tcPr>
            <w:tcW w:w="794" w:type="dxa"/>
          </w:tcPr>
          <w:p w14:paraId="051302A0" w14:textId="77777777" w:rsidR="00AB205D" w:rsidRPr="00882944" w:rsidRDefault="00471A3B">
            <w:pPr>
              <w:keepNext/>
              <w:spacing w:after="0"/>
              <w:cnfStyle w:val="100000000000" w:firstRow="1" w:lastRow="0" w:firstColumn="0" w:lastColumn="0" w:oddVBand="0" w:evenVBand="0" w:oddHBand="0" w:evenHBand="0" w:firstRowFirstColumn="0" w:firstRowLastColumn="0" w:lastRowFirstColumn="0" w:lastRowLastColumn="0"/>
              <w:rPr>
                <w:szCs w:val="17"/>
              </w:rPr>
            </w:pPr>
            <w:r w:rsidRPr="00882944">
              <w:rPr>
                <w:szCs w:val="17"/>
              </w:rPr>
              <w:t>2023</w:t>
            </w:r>
            <w:r w:rsidRPr="00882944">
              <w:rPr>
                <w:szCs w:val="17"/>
              </w:rPr>
              <w:noBreakHyphen/>
              <w:t>24</w:t>
            </w:r>
            <w:r w:rsidRPr="00882944">
              <w:rPr>
                <w:szCs w:val="17"/>
              </w:rPr>
              <w:br/>
              <w:t>revised</w:t>
            </w:r>
          </w:p>
        </w:tc>
        <w:tc>
          <w:tcPr>
            <w:tcW w:w="794" w:type="dxa"/>
          </w:tcPr>
          <w:p w14:paraId="45586D72" w14:textId="77777777" w:rsidR="00AB205D" w:rsidRPr="00882944" w:rsidRDefault="00471A3B">
            <w:pPr>
              <w:keepNext/>
              <w:spacing w:after="0"/>
              <w:cnfStyle w:val="100000000000" w:firstRow="1" w:lastRow="0" w:firstColumn="0" w:lastColumn="0" w:oddVBand="0" w:evenVBand="0" w:oddHBand="0" w:evenHBand="0" w:firstRowFirstColumn="0" w:firstRowLastColumn="0" w:lastRowFirstColumn="0" w:lastRowLastColumn="0"/>
              <w:rPr>
                <w:szCs w:val="17"/>
              </w:rPr>
            </w:pPr>
            <w:r w:rsidRPr="00882944">
              <w:rPr>
                <w:szCs w:val="17"/>
              </w:rPr>
              <w:t>2024</w:t>
            </w:r>
            <w:r w:rsidRPr="00882944">
              <w:rPr>
                <w:szCs w:val="17"/>
              </w:rPr>
              <w:noBreakHyphen/>
              <w:t>25</w:t>
            </w:r>
            <w:r w:rsidRPr="00882944">
              <w:rPr>
                <w:szCs w:val="17"/>
              </w:rPr>
              <w:br/>
              <w:t>estimate</w:t>
            </w:r>
          </w:p>
        </w:tc>
        <w:tc>
          <w:tcPr>
            <w:tcW w:w="794" w:type="dxa"/>
          </w:tcPr>
          <w:p w14:paraId="6C6B8687" w14:textId="77777777" w:rsidR="00AB205D" w:rsidRPr="00882944" w:rsidRDefault="00471A3B">
            <w:pPr>
              <w:keepNext/>
              <w:spacing w:after="0"/>
              <w:cnfStyle w:val="100000000000" w:firstRow="1" w:lastRow="0" w:firstColumn="0" w:lastColumn="0" w:oddVBand="0" w:evenVBand="0" w:oddHBand="0" w:evenHBand="0" w:firstRowFirstColumn="0" w:firstRowLastColumn="0" w:lastRowFirstColumn="0" w:lastRowLastColumn="0"/>
              <w:rPr>
                <w:szCs w:val="17"/>
              </w:rPr>
            </w:pPr>
            <w:r w:rsidRPr="00882944">
              <w:rPr>
                <w:szCs w:val="17"/>
              </w:rPr>
              <w:t>2025</w:t>
            </w:r>
            <w:r w:rsidRPr="00882944">
              <w:rPr>
                <w:szCs w:val="17"/>
              </w:rPr>
              <w:noBreakHyphen/>
              <w:t>26</w:t>
            </w:r>
            <w:r w:rsidRPr="00882944">
              <w:rPr>
                <w:szCs w:val="17"/>
              </w:rPr>
              <w:br/>
              <w:t>estimate</w:t>
            </w:r>
          </w:p>
        </w:tc>
        <w:tc>
          <w:tcPr>
            <w:tcW w:w="794" w:type="dxa"/>
          </w:tcPr>
          <w:p w14:paraId="7414DA42" w14:textId="77777777" w:rsidR="00AB205D" w:rsidRPr="00882944" w:rsidRDefault="00471A3B">
            <w:pPr>
              <w:keepNext/>
              <w:spacing w:after="0"/>
              <w:cnfStyle w:val="100000000000" w:firstRow="1" w:lastRow="0" w:firstColumn="0" w:lastColumn="0" w:oddVBand="0" w:evenVBand="0" w:oddHBand="0" w:evenHBand="0" w:firstRowFirstColumn="0" w:firstRowLastColumn="0" w:lastRowFirstColumn="0" w:lastRowLastColumn="0"/>
              <w:rPr>
                <w:szCs w:val="17"/>
              </w:rPr>
            </w:pPr>
            <w:r w:rsidRPr="00882944">
              <w:rPr>
                <w:szCs w:val="17"/>
              </w:rPr>
              <w:t>2026</w:t>
            </w:r>
            <w:r w:rsidRPr="00882944">
              <w:rPr>
                <w:szCs w:val="17"/>
              </w:rPr>
              <w:noBreakHyphen/>
              <w:t>27</w:t>
            </w:r>
            <w:r w:rsidRPr="00882944">
              <w:rPr>
                <w:szCs w:val="17"/>
              </w:rPr>
              <w:br/>
              <w:t>estimate</w:t>
            </w:r>
          </w:p>
        </w:tc>
      </w:tr>
      <w:tr w:rsidR="009C6724" w:rsidRPr="00882944" w14:paraId="0CC2D2C3"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04745828" w14:textId="77777777" w:rsidR="00AB205D" w:rsidRPr="00882944" w:rsidRDefault="00471A3B">
            <w:pPr>
              <w:spacing w:after="0"/>
              <w:rPr>
                <w:szCs w:val="17"/>
              </w:rPr>
            </w:pPr>
            <w:r w:rsidRPr="00882944">
              <w:rPr>
                <w:b/>
                <w:szCs w:val="17"/>
              </w:rPr>
              <w:t>Revenue and income from transactions</w:t>
            </w:r>
          </w:p>
        </w:tc>
        <w:tc>
          <w:tcPr>
            <w:tcW w:w="794" w:type="dxa"/>
          </w:tcPr>
          <w:p w14:paraId="7E66A309"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94" w:type="dxa"/>
          </w:tcPr>
          <w:p w14:paraId="42898C6D"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94" w:type="dxa"/>
          </w:tcPr>
          <w:p w14:paraId="31DD0AB0"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94" w:type="dxa"/>
          </w:tcPr>
          <w:p w14:paraId="07EFDAA8"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94" w:type="dxa"/>
          </w:tcPr>
          <w:p w14:paraId="17A414E8"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r>
      <w:tr w:rsidR="009C6724" w:rsidRPr="00882944" w14:paraId="74A6D1B6"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91C4B72" w14:textId="77777777" w:rsidR="00AB205D" w:rsidRPr="00882944" w:rsidRDefault="00471A3B">
            <w:pPr>
              <w:spacing w:after="0"/>
              <w:rPr>
                <w:szCs w:val="17"/>
              </w:rPr>
            </w:pPr>
            <w:r w:rsidRPr="00882944">
              <w:rPr>
                <w:szCs w:val="17"/>
              </w:rPr>
              <w:t>Taxation</w:t>
            </w:r>
          </w:p>
        </w:tc>
        <w:tc>
          <w:tcPr>
            <w:tcW w:w="794" w:type="dxa"/>
          </w:tcPr>
          <w:p w14:paraId="3D872EA1"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34 383</w:t>
            </w:r>
          </w:p>
        </w:tc>
        <w:tc>
          <w:tcPr>
            <w:tcW w:w="794" w:type="dxa"/>
          </w:tcPr>
          <w:p w14:paraId="0614A4A4"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35 258</w:t>
            </w:r>
          </w:p>
        </w:tc>
        <w:tc>
          <w:tcPr>
            <w:tcW w:w="794" w:type="dxa"/>
          </w:tcPr>
          <w:p w14:paraId="60FCEC5C"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37 499</w:t>
            </w:r>
          </w:p>
        </w:tc>
        <w:tc>
          <w:tcPr>
            <w:tcW w:w="794" w:type="dxa"/>
          </w:tcPr>
          <w:p w14:paraId="62047BE2"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39 280</w:t>
            </w:r>
          </w:p>
        </w:tc>
        <w:tc>
          <w:tcPr>
            <w:tcW w:w="794" w:type="dxa"/>
          </w:tcPr>
          <w:p w14:paraId="61116D9C"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41 188</w:t>
            </w:r>
          </w:p>
        </w:tc>
      </w:tr>
      <w:tr w:rsidR="009C6724" w:rsidRPr="00882944" w14:paraId="2AB943D0"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EC81D5E" w14:textId="77777777" w:rsidR="00AB205D" w:rsidRPr="00882944" w:rsidRDefault="00471A3B">
            <w:pPr>
              <w:spacing w:after="0"/>
              <w:rPr>
                <w:szCs w:val="17"/>
              </w:rPr>
            </w:pPr>
            <w:r w:rsidRPr="00882944">
              <w:rPr>
                <w:szCs w:val="17"/>
              </w:rPr>
              <w:t>Interest income</w:t>
            </w:r>
          </w:p>
        </w:tc>
        <w:tc>
          <w:tcPr>
            <w:tcW w:w="794" w:type="dxa"/>
          </w:tcPr>
          <w:p w14:paraId="1E1B6881"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1 753</w:t>
            </w:r>
          </w:p>
        </w:tc>
        <w:tc>
          <w:tcPr>
            <w:tcW w:w="794" w:type="dxa"/>
          </w:tcPr>
          <w:p w14:paraId="1C84F009"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2 198</w:t>
            </w:r>
          </w:p>
        </w:tc>
        <w:tc>
          <w:tcPr>
            <w:tcW w:w="794" w:type="dxa"/>
          </w:tcPr>
          <w:p w14:paraId="32F95493"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1 483</w:t>
            </w:r>
          </w:p>
        </w:tc>
        <w:tc>
          <w:tcPr>
            <w:tcW w:w="794" w:type="dxa"/>
          </w:tcPr>
          <w:p w14:paraId="222E53EF"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1 471</w:t>
            </w:r>
          </w:p>
        </w:tc>
        <w:tc>
          <w:tcPr>
            <w:tcW w:w="794" w:type="dxa"/>
          </w:tcPr>
          <w:p w14:paraId="6656CB11"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1 521</w:t>
            </w:r>
          </w:p>
        </w:tc>
      </w:tr>
      <w:tr w:rsidR="009C6724" w:rsidRPr="00882944" w14:paraId="25B71222"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06B46F9" w14:textId="77777777" w:rsidR="00AB205D" w:rsidRPr="00882944" w:rsidRDefault="00471A3B">
            <w:pPr>
              <w:spacing w:after="0"/>
              <w:rPr>
                <w:szCs w:val="17"/>
              </w:rPr>
            </w:pPr>
            <w:r w:rsidRPr="00882944">
              <w:rPr>
                <w:szCs w:val="17"/>
              </w:rPr>
              <w:t>Dividend income</w:t>
            </w:r>
          </w:p>
        </w:tc>
        <w:tc>
          <w:tcPr>
            <w:tcW w:w="794" w:type="dxa"/>
          </w:tcPr>
          <w:p w14:paraId="4E8E9214"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2 147</w:t>
            </w:r>
          </w:p>
        </w:tc>
        <w:tc>
          <w:tcPr>
            <w:tcW w:w="794" w:type="dxa"/>
          </w:tcPr>
          <w:p w14:paraId="4E86D804"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2 354</w:t>
            </w:r>
          </w:p>
        </w:tc>
        <w:tc>
          <w:tcPr>
            <w:tcW w:w="794" w:type="dxa"/>
          </w:tcPr>
          <w:p w14:paraId="2619E79F"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2 669</w:t>
            </w:r>
          </w:p>
        </w:tc>
        <w:tc>
          <w:tcPr>
            <w:tcW w:w="794" w:type="dxa"/>
          </w:tcPr>
          <w:p w14:paraId="4AD79441"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2 909</w:t>
            </w:r>
          </w:p>
        </w:tc>
        <w:tc>
          <w:tcPr>
            <w:tcW w:w="794" w:type="dxa"/>
          </w:tcPr>
          <w:p w14:paraId="4B5F651E"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3 508</w:t>
            </w:r>
          </w:p>
        </w:tc>
      </w:tr>
      <w:tr w:rsidR="009C6724" w:rsidRPr="00882944" w14:paraId="6EF1CBAA"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7B3F5AD8" w14:textId="77777777" w:rsidR="00AB205D" w:rsidRPr="00882944" w:rsidRDefault="00471A3B">
            <w:pPr>
              <w:spacing w:after="0"/>
              <w:rPr>
                <w:szCs w:val="17"/>
              </w:rPr>
            </w:pPr>
            <w:r w:rsidRPr="00882944">
              <w:rPr>
                <w:szCs w:val="17"/>
              </w:rPr>
              <w:t>Sales of goods and services</w:t>
            </w:r>
          </w:p>
        </w:tc>
        <w:tc>
          <w:tcPr>
            <w:tcW w:w="794" w:type="dxa"/>
          </w:tcPr>
          <w:p w14:paraId="488D0F06"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19 198</w:t>
            </w:r>
          </w:p>
        </w:tc>
        <w:tc>
          <w:tcPr>
            <w:tcW w:w="794" w:type="dxa"/>
          </w:tcPr>
          <w:p w14:paraId="66862B13"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19 632</w:t>
            </w:r>
          </w:p>
        </w:tc>
        <w:tc>
          <w:tcPr>
            <w:tcW w:w="794" w:type="dxa"/>
          </w:tcPr>
          <w:p w14:paraId="442F6632"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20 609</w:t>
            </w:r>
          </w:p>
        </w:tc>
        <w:tc>
          <w:tcPr>
            <w:tcW w:w="794" w:type="dxa"/>
          </w:tcPr>
          <w:p w14:paraId="69707463"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21 020</w:t>
            </w:r>
          </w:p>
        </w:tc>
        <w:tc>
          <w:tcPr>
            <w:tcW w:w="794" w:type="dxa"/>
          </w:tcPr>
          <w:p w14:paraId="1A2DED35"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22 327</w:t>
            </w:r>
          </w:p>
        </w:tc>
      </w:tr>
      <w:tr w:rsidR="009C6724" w:rsidRPr="00882944" w14:paraId="67351671"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D1F288D" w14:textId="77777777" w:rsidR="00AB205D" w:rsidRPr="00882944" w:rsidRDefault="00471A3B">
            <w:pPr>
              <w:spacing w:after="0"/>
              <w:rPr>
                <w:szCs w:val="17"/>
              </w:rPr>
            </w:pPr>
            <w:r w:rsidRPr="00882944">
              <w:rPr>
                <w:szCs w:val="17"/>
              </w:rPr>
              <w:t>Grants</w:t>
            </w:r>
          </w:p>
        </w:tc>
        <w:tc>
          <w:tcPr>
            <w:tcW w:w="794" w:type="dxa"/>
          </w:tcPr>
          <w:p w14:paraId="3F63835D"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40 663</w:t>
            </w:r>
          </w:p>
        </w:tc>
        <w:tc>
          <w:tcPr>
            <w:tcW w:w="794" w:type="dxa"/>
          </w:tcPr>
          <w:p w14:paraId="67B34DF7"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40 436</w:t>
            </w:r>
          </w:p>
        </w:tc>
        <w:tc>
          <w:tcPr>
            <w:tcW w:w="794" w:type="dxa"/>
          </w:tcPr>
          <w:p w14:paraId="64C2EBFF"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43 108</w:t>
            </w:r>
          </w:p>
        </w:tc>
        <w:tc>
          <w:tcPr>
            <w:tcW w:w="794" w:type="dxa"/>
          </w:tcPr>
          <w:p w14:paraId="24E48BBA"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46 025</w:t>
            </w:r>
          </w:p>
        </w:tc>
        <w:tc>
          <w:tcPr>
            <w:tcW w:w="794" w:type="dxa"/>
          </w:tcPr>
          <w:p w14:paraId="6ED11C3C"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47 205</w:t>
            </w:r>
          </w:p>
        </w:tc>
      </w:tr>
      <w:tr w:rsidR="009C6724" w:rsidRPr="00882944" w14:paraId="376A4DBD"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7AAAD593" w14:textId="77777777" w:rsidR="00AB205D" w:rsidRPr="00882944" w:rsidRDefault="00471A3B">
            <w:pPr>
              <w:spacing w:after="0"/>
              <w:rPr>
                <w:szCs w:val="17"/>
              </w:rPr>
            </w:pPr>
            <w:r w:rsidRPr="00882944">
              <w:rPr>
                <w:szCs w:val="17"/>
              </w:rPr>
              <w:t>Other revenue and income</w:t>
            </w:r>
          </w:p>
        </w:tc>
        <w:tc>
          <w:tcPr>
            <w:tcW w:w="794" w:type="dxa"/>
            <w:tcBorders>
              <w:bottom w:val="single" w:sz="6" w:space="0" w:color="auto"/>
            </w:tcBorders>
          </w:tcPr>
          <w:p w14:paraId="06D05128"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4 299</w:t>
            </w:r>
          </w:p>
        </w:tc>
        <w:tc>
          <w:tcPr>
            <w:tcW w:w="794" w:type="dxa"/>
            <w:tcBorders>
              <w:bottom w:val="single" w:sz="6" w:space="0" w:color="auto"/>
            </w:tcBorders>
          </w:tcPr>
          <w:p w14:paraId="00C61C9D"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4 377</w:t>
            </w:r>
          </w:p>
        </w:tc>
        <w:tc>
          <w:tcPr>
            <w:tcW w:w="794" w:type="dxa"/>
            <w:tcBorders>
              <w:bottom w:val="single" w:sz="6" w:space="0" w:color="auto"/>
            </w:tcBorders>
          </w:tcPr>
          <w:p w14:paraId="4B446589"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4 016</w:t>
            </w:r>
          </w:p>
        </w:tc>
        <w:tc>
          <w:tcPr>
            <w:tcW w:w="794" w:type="dxa"/>
            <w:tcBorders>
              <w:bottom w:val="single" w:sz="6" w:space="0" w:color="auto"/>
            </w:tcBorders>
          </w:tcPr>
          <w:p w14:paraId="19F822F2"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4 171</w:t>
            </w:r>
          </w:p>
        </w:tc>
        <w:tc>
          <w:tcPr>
            <w:tcW w:w="794" w:type="dxa"/>
            <w:tcBorders>
              <w:bottom w:val="single" w:sz="6" w:space="0" w:color="auto"/>
            </w:tcBorders>
          </w:tcPr>
          <w:p w14:paraId="5F616B9D"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4 737</w:t>
            </w:r>
          </w:p>
        </w:tc>
      </w:tr>
      <w:tr w:rsidR="009C6724" w:rsidRPr="00882944" w14:paraId="6A68E7E0"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04350E20" w14:textId="77777777" w:rsidR="00AB205D" w:rsidRPr="00882944" w:rsidRDefault="00471A3B">
            <w:pPr>
              <w:spacing w:after="0"/>
              <w:rPr>
                <w:szCs w:val="17"/>
              </w:rPr>
            </w:pPr>
            <w:r w:rsidRPr="00882944">
              <w:rPr>
                <w:b/>
                <w:szCs w:val="17"/>
              </w:rPr>
              <w:t>Total revenue and income from transactions</w:t>
            </w:r>
          </w:p>
        </w:tc>
        <w:tc>
          <w:tcPr>
            <w:tcW w:w="794" w:type="dxa"/>
            <w:tcBorders>
              <w:top w:val="single" w:sz="6" w:space="0" w:color="auto"/>
            </w:tcBorders>
          </w:tcPr>
          <w:p w14:paraId="026B9987"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102 443</w:t>
            </w:r>
          </w:p>
        </w:tc>
        <w:tc>
          <w:tcPr>
            <w:tcW w:w="794" w:type="dxa"/>
            <w:tcBorders>
              <w:top w:val="single" w:sz="6" w:space="0" w:color="auto"/>
            </w:tcBorders>
          </w:tcPr>
          <w:p w14:paraId="74ED707C"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104 254</w:t>
            </w:r>
          </w:p>
        </w:tc>
        <w:tc>
          <w:tcPr>
            <w:tcW w:w="794" w:type="dxa"/>
            <w:tcBorders>
              <w:top w:val="single" w:sz="6" w:space="0" w:color="auto"/>
            </w:tcBorders>
          </w:tcPr>
          <w:p w14:paraId="540137D7"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109 384</w:t>
            </w:r>
          </w:p>
        </w:tc>
        <w:tc>
          <w:tcPr>
            <w:tcW w:w="794" w:type="dxa"/>
            <w:tcBorders>
              <w:top w:val="single" w:sz="6" w:space="0" w:color="auto"/>
            </w:tcBorders>
          </w:tcPr>
          <w:p w14:paraId="4DC80826"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114 876</w:t>
            </w:r>
          </w:p>
        </w:tc>
        <w:tc>
          <w:tcPr>
            <w:tcW w:w="794" w:type="dxa"/>
            <w:tcBorders>
              <w:top w:val="single" w:sz="6" w:space="0" w:color="auto"/>
            </w:tcBorders>
          </w:tcPr>
          <w:p w14:paraId="0DED79DE"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120 486</w:t>
            </w:r>
          </w:p>
        </w:tc>
      </w:tr>
      <w:tr w:rsidR="009C6724" w:rsidRPr="00882944" w14:paraId="0DB5A24F"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55947F59" w14:textId="77777777" w:rsidR="00AB205D" w:rsidRPr="00882944" w:rsidRDefault="00471A3B">
            <w:pPr>
              <w:spacing w:after="0"/>
              <w:rPr>
                <w:szCs w:val="17"/>
              </w:rPr>
            </w:pPr>
            <w:r w:rsidRPr="00882944">
              <w:rPr>
                <w:b/>
                <w:szCs w:val="17"/>
              </w:rPr>
              <w:t>Expenses from transactions</w:t>
            </w:r>
          </w:p>
        </w:tc>
        <w:tc>
          <w:tcPr>
            <w:tcW w:w="794" w:type="dxa"/>
          </w:tcPr>
          <w:p w14:paraId="3CE666A7"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94" w:type="dxa"/>
          </w:tcPr>
          <w:p w14:paraId="6DFCEF07"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94" w:type="dxa"/>
          </w:tcPr>
          <w:p w14:paraId="1B6AE1FF"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94" w:type="dxa"/>
          </w:tcPr>
          <w:p w14:paraId="6E6CB040"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94" w:type="dxa"/>
          </w:tcPr>
          <w:p w14:paraId="5AB2856E"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r>
      <w:tr w:rsidR="009C6724" w:rsidRPr="00882944" w14:paraId="2C2397D6"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0C205FE8" w14:textId="77777777" w:rsidR="00AB205D" w:rsidRPr="00882944" w:rsidRDefault="00471A3B">
            <w:pPr>
              <w:spacing w:after="0"/>
              <w:rPr>
                <w:szCs w:val="17"/>
              </w:rPr>
            </w:pPr>
            <w:r w:rsidRPr="00882944">
              <w:rPr>
                <w:szCs w:val="17"/>
              </w:rPr>
              <w:t>Employee expenses</w:t>
            </w:r>
          </w:p>
        </w:tc>
        <w:tc>
          <w:tcPr>
            <w:tcW w:w="794" w:type="dxa"/>
          </w:tcPr>
          <w:p w14:paraId="510C0B64"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36 623</w:t>
            </w:r>
          </w:p>
        </w:tc>
        <w:tc>
          <w:tcPr>
            <w:tcW w:w="794" w:type="dxa"/>
          </w:tcPr>
          <w:p w14:paraId="561DD970"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36 362</w:t>
            </w:r>
          </w:p>
        </w:tc>
        <w:tc>
          <w:tcPr>
            <w:tcW w:w="794" w:type="dxa"/>
          </w:tcPr>
          <w:p w14:paraId="522B7CEC"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37 448</w:t>
            </w:r>
          </w:p>
        </w:tc>
        <w:tc>
          <w:tcPr>
            <w:tcW w:w="794" w:type="dxa"/>
          </w:tcPr>
          <w:p w14:paraId="69643E67"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38 477</w:t>
            </w:r>
          </w:p>
        </w:tc>
        <w:tc>
          <w:tcPr>
            <w:tcW w:w="794" w:type="dxa"/>
          </w:tcPr>
          <w:p w14:paraId="45BAD8FF"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40 143</w:t>
            </w:r>
          </w:p>
        </w:tc>
      </w:tr>
      <w:tr w:rsidR="009C6724" w:rsidRPr="00882944" w14:paraId="5FC73BC6"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6C84C77A" w14:textId="77777777" w:rsidR="00AB205D" w:rsidRPr="00882944" w:rsidRDefault="00471A3B">
            <w:pPr>
              <w:spacing w:after="0"/>
              <w:rPr>
                <w:szCs w:val="17"/>
              </w:rPr>
            </w:pPr>
            <w:r w:rsidRPr="00882944">
              <w:rPr>
                <w:szCs w:val="17"/>
              </w:rPr>
              <w:t>Net superannuation interest expense</w:t>
            </w:r>
          </w:p>
        </w:tc>
        <w:tc>
          <w:tcPr>
            <w:tcW w:w="794" w:type="dxa"/>
          </w:tcPr>
          <w:p w14:paraId="3CE59240"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722</w:t>
            </w:r>
          </w:p>
        </w:tc>
        <w:tc>
          <w:tcPr>
            <w:tcW w:w="794" w:type="dxa"/>
          </w:tcPr>
          <w:p w14:paraId="4E286FB3"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778</w:t>
            </w:r>
          </w:p>
        </w:tc>
        <w:tc>
          <w:tcPr>
            <w:tcW w:w="794" w:type="dxa"/>
          </w:tcPr>
          <w:p w14:paraId="005206B0"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794</w:t>
            </w:r>
          </w:p>
        </w:tc>
        <w:tc>
          <w:tcPr>
            <w:tcW w:w="794" w:type="dxa"/>
          </w:tcPr>
          <w:p w14:paraId="65D74D8D"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800</w:t>
            </w:r>
          </w:p>
        </w:tc>
        <w:tc>
          <w:tcPr>
            <w:tcW w:w="794" w:type="dxa"/>
          </w:tcPr>
          <w:p w14:paraId="0FC6FC3C"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811</w:t>
            </w:r>
          </w:p>
        </w:tc>
      </w:tr>
      <w:tr w:rsidR="009C6724" w:rsidRPr="00882944" w14:paraId="3398230E"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794CFAAF" w14:textId="77777777" w:rsidR="00AB205D" w:rsidRPr="00882944" w:rsidRDefault="00471A3B">
            <w:pPr>
              <w:spacing w:after="0"/>
              <w:rPr>
                <w:szCs w:val="17"/>
              </w:rPr>
            </w:pPr>
            <w:r w:rsidRPr="00882944">
              <w:rPr>
                <w:szCs w:val="17"/>
              </w:rPr>
              <w:t>Other superannuation</w:t>
            </w:r>
          </w:p>
        </w:tc>
        <w:tc>
          <w:tcPr>
            <w:tcW w:w="794" w:type="dxa"/>
          </w:tcPr>
          <w:p w14:paraId="193A1106"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3 987</w:t>
            </w:r>
          </w:p>
        </w:tc>
        <w:tc>
          <w:tcPr>
            <w:tcW w:w="794" w:type="dxa"/>
          </w:tcPr>
          <w:p w14:paraId="63ABD9FC"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3 868</w:t>
            </w:r>
          </w:p>
        </w:tc>
        <w:tc>
          <w:tcPr>
            <w:tcW w:w="794" w:type="dxa"/>
          </w:tcPr>
          <w:p w14:paraId="52D68B56"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3 861</w:t>
            </w:r>
          </w:p>
        </w:tc>
        <w:tc>
          <w:tcPr>
            <w:tcW w:w="794" w:type="dxa"/>
          </w:tcPr>
          <w:p w14:paraId="0BAC4693"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3 911</w:t>
            </w:r>
          </w:p>
        </w:tc>
        <w:tc>
          <w:tcPr>
            <w:tcW w:w="794" w:type="dxa"/>
          </w:tcPr>
          <w:p w14:paraId="6B1C3131"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3 985</w:t>
            </w:r>
          </w:p>
        </w:tc>
      </w:tr>
      <w:tr w:rsidR="009C6724" w:rsidRPr="00882944" w14:paraId="0DD3B5A5"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6E85AC78" w14:textId="77777777" w:rsidR="00AB205D" w:rsidRPr="00882944" w:rsidRDefault="00471A3B">
            <w:pPr>
              <w:spacing w:after="0"/>
              <w:rPr>
                <w:szCs w:val="17"/>
              </w:rPr>
            </w:pPr>
            <w:r w:rsidRPr="00882944">
              <w:rPr>
                <w:szCs w:val="17"/>
              </w:rPr>
              <w:t>Depreciation</w:t>
            </w:r>
          </w:p>
        </w:tc>
        <w:tc>
          <w:tcPr>
            <w:tcW w:w="794" w:type="dxa"/>
          </w:tcPr>
          <w:p w14:paraId="19367660"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7 950</w:t>
            </w:r>
          </w:p>
        </w:tc>
        <w:tc>
          <w:tcPr>
            <w:tcW w:w="794" w:type="dxa"/>
          </w:tcPr>
          <w:p w14:paraId="5968013D"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8 124</w:t>
            </w:r>
          </w:p>
        </w:tc>
        <w:tc>
          <w:tcPr>
            <w:tcW w:w="794" w:type="dxa"/>
          </w:tcPr>
          <w:p w14:paraId="06045C21"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8 616</w:t>
            </w:r>
          </w:p>
        </w:tc>
        <w:tc>
          <w:tcPr>
            <w:tcW w:w="794" w:type="dxa"/>
          </w:tcPr>
          <w:p w14:paraId="704EFEBB"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8 996</w:t>
            </w:r>
          </w:p>
        </w:tc>
        <w:tc>
          <w:tcPr>
            <w:tcW w:w="794" w:type="dxa"/>
          </w:tcPr>
          <w:p w14:paraId="218F343C"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9 536</w:t>
            </w:r>
          </w:p>
        </w:tc>
      </w:tr>
      <w:tr w:rsidR="009C6724" w:rsidRPr="00882944" w14:paraId="4ACFD501"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0DEC383C" w14:textId="77777777" w:rsidR="00AB205D" w:rsidRPr="00882944" w:rsidRDefault="00471A3B">
            <w:pPr>
              <w:spacing w:after="0"/>
              <w:rPr>
                <w:szCs w:val="17"/>
              </w:rPr>
            </w:pPr>
            <w:r w:rsidRPr="00882944">
              <w:rPr>
                <w:szCs w:val="17"/>
              </w:rPr>
              <w:t>Interest expense</w:t>
            </w:r>
          </w:p>
        </w:tc>
        <w:tc>
          <w:tcPr>
            <w:tcW w:w="794" w:type="dxa"/>
          </w:tcPr>
          <w:p w14:paraId="3A361F9A"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6 287</w:t>
            </w:r>
          </w:p>
        </w:tc>
        <w:tc>
          <w:tcPr>
            <w:tcW w:w="794" w:type="dxa"/>
          </w:tcPr>
          <w:p w14:paraId="49672D90"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6 665</w:t>
            </w:r>
          </w:p>
        </w:tc>
        <w:tc>
          <w:tcPr>
            <w:tcW w:w="794" w:type="dxa"/>
          </w:tcPr>
          <w:p w14:paraId="164BC641"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7 704</w:t>
            </w:r>
          </w:p>
        </w:tc>
        <w:tc>
          <w:tcPr>
            <w:tcW w:w="794" w:type="dxa"/>
          </w:tcPr>
          <w:p w14:paraId="74017664"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8 988</w:t>
            </w:r>
          </w:p>
        </w:tc>
        <w:tc>
          <w:tcPr>
            <w:tcW w:w="794" w:type="dxa"/>
          </w:tcPr>
          <w:p w14:paraId="7727BECE"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10 171</w:t>
            </w:r>
          </w:p>
        </w:tc>
      </w:tr>
      <w:tr w:rsidR="009C6724" w:rsidRPr="00882944" w14:paraId="02F2900B"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22B5E0F" w14:textId="77777777" w:rsidR="00AB205D" w:rsidRPr="00882944" w:rsidRDefault="00471A3B">
            <w:pPr>
              <w:spacing w:after="0"/>
              <w:rPr>
                <w:szCs w:val="17"/>
              </w:rPr>
            </w:pPr>
            <w:r w:rsidRPr="00882944">
              <w:rPr>
                <w:szCs w:val="17"/>
              </w:rPr>
              <w:t>Grant expense</w:t>
            </w:r>
          </w:p>
        </w:tc>
        <w:tc>
          <w:tcPr>
            <w:tcW w:w="794" w:type="dxa"/>
          </w:tcPr>
          <w:p w14:paraId="74C41EFE"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15 237</w:t>
            </w:r>
          </w:p>
        </w:tc>
        <w:tc>
          <w:tcPr>
            <w:tcW w:w="794" w:type="dxa"/>
          </w:tcPr>
          <w:p w14:paraId="22E5E34C"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15 358</w:t>
            </w:r>
          </w:p>
        </w:tc>
        <w:tc>
          <w:tcPr>
            <w:tcW w:w="794" w:type="dxa"/>
          </w:tcPr>
          <w:p w14:paraId="684D992C"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15 609</w:t>
            </w:r>
          </w:p>
        </w:tc>
        <w:tc>
          <w:tcPr>
            <w:tcW w:w="794" w:type="dxa"/>
          </w:tcPr>
          <w:p w14:paraId="03FA2087"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15 403</w:t>
            </w:r>
          </w:p>
        </w:tc>
        <w:tc>
          <w:tcPr>
            <w:tcW w:w="794" w:type="dxa"/>
          </w:tcPr>
          <w:p w14:paraId="2DBE91F8"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15 464</w:t>
            </w:r>
          </w:p>
        </w:tc>
      </w:tr>
      <w:tr w:rsidR="009C6724" w:rsidRPr="00882944" w14:paraId="75F32F0C"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E8CAB46" w14:textId="77777777" w:rsidR="00AB205D" w:rsidRPr="00882944" w:rsidRDefault="00471A3B">
            <w:pPr>
              <w:spacing w:after="0"/>
              <w:rPr>
                <w:szCs w:val="17"/>
              </w:rPr>
            </w:pPr>
            <w:r w:rsidRPr="00882944">
              <w:rPr>
                <w:szCs w:val="17"/>
              </w:rPr>
              <w:t>Other operating expenses</w:t>
            </w:r>
          </w:p>
        </w:tc>
        <w:tc>
          <w:tcPr>
            <w:tcW w:w="794" w:type="dxa"/>
          </w:tcPr>
          <w:p w14:paraId="65935587"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40 872</w:t>
            </w:r>
          </w:p>
        </w:tc>
        <w:tc>
          <w:tcPr>
            <w:tcW w:w="794" w:type="dxa"/>
          </w:tcPr>
          <w:p w14:paraId="6044F641"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42 616</w:t>
            </w:r>
          </w:p>
        </w:tc>
        <w:tc>
          <w:tcPr>
            <w:tcW w:w="794" w:type="dxa"/>
          </w:tcPr>
          <w:p w14:paraId="50A81020"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41 605</w:t>
            </w:r>
          </w:p>
        </w:tc>
        <w:tc>
          <w:tcPr>
            <w:tcW w:w="794" w:type="dxa"/>
          </w:tcPr>
          <w:p w14:paraId="5A7F86C5"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42 521</w:t>
            </w:r>
          </w:p>
        </w:tc>
        <w:tc>
          <w:tcPr>
            <w:tcW w:w="794" w:type="dxa"/>
          </w:tcPr>
          <w:p w14:paraId="69622A07"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45 260</w:t>
            </w:r>
          </w:p>
        </w:tc>
      </w:tr>
      <w:tr w:rsidR="009C6724" w:rsidRPr="00882944" w14:paraId="54321C82"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0D60DDC4" w14:textId="77777777" w:rsidR="00AB205D" w:rsidRPr="00882944" w:rsidRDefault="00471A3B">
            <w:pPr>
              <w:spacing w:after="0"/>
              <w:rPr>
                <w:szCs w:val="17"/>
              </w:rPr>
            </w:pPr>
            <w:r w:rsidRPr="00882944">
              <w:rPr>
                <w:b/>
                <w:szCs w:val="17"/>
              </w:rPr>
              <w:t>Total expenses from transactions</w:t>
            </w:r>
          </w:p>
        </w:tc>
        <w:tc>
          <w:tcPr>
            <w:tcW w:w="794" w:type="dxa"/>
            <w:tcBorders>
              <w:top w:val="single" w:sz="6" w:space="0" w:color="auto"/>
              <w:bottom w:val="single" w:sz="6" w:space="0" w:color="auto"/>
            </w:tcBorders>
          </w:tcPr>
          <w:p w14:paraId="58286C29"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111 678</w:t>
            </w:r>
          </w:p>
        </w:tc>
        <w:tc>
          <w:tcPr>
            <w:tcW w:w="794" w:type="dxa"/>
            <w:tcBorders>
              <w:top w:val="single" w:sz="6" w:space="0" w:color="auto"/>
              <w:bottom w:val="single" w:sz="6" w:space="0" w:color="auto"/>
            </w:tcBorders>
          </w:tcPr>
          <w:p w14:paraId="21CA576F"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113 772</w:t>
            </w:r>
          </w:p>
        </w:tc>
        <w:tc>
          <w:tcPr>
            <w:tcW w:w="794" w:type="dxa"/>
            <w:tcBorders>
              <w:top w:val="single" w:sz="6" w:space="0" w:color="auto"/>
              <w:bottom w:val="single" w:sz="6" w:space="0" w:color="auto"/>
            </w:tcBorders>
          </w:tcPr>
          <w:p w14:paraId="6A88FE6F"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115 638</w:t>
            </w:r>
          </w:p>
        </w:tc>
        <w:tc>
          <w:tcPr>
            <w:tcW w:w="794" w:type="dxa"/>
            <w:tcBorders>
              <w:top w:val="single" w:sz="6" w:space="0" w:color="auto"/>
              <w:bottom w:val="single" w:sz="6" w:space="0" w:color="auto"/>
            </w:tcBorders>
          </w:tcPr>
          <w:p w14:paraId="2495E29C"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119 096</w:t>
            </w:r>
          </w:p>
        </w:tc>
        <w:tc>
          <w:tcPr>
            <w:tcW w:w="794" w:type="dxa"/>
            <w:tcBorders>
              <w:top w:val="single" w:sz="6" w:space="0" w:color="auto"/>
              <w:bottom w:val="single" w:sz="6" w:space="0" w:color="auto"/>
            </w:tcBorders>
          </w:tcPr>
          <w:p w14:paraId="25233EEF"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125 370</w:t>
            </w:r>
          </w:p>
        </w:tc>
      </w:tr>
      <w:tr w:rsidR="009C6724" w:rsidRPr="00882944" w14:paraId="6E9CCCE8"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217C7E38" w14:textId="16E0CCE6" w:rsidR="00AB205D" w:rsidRPr="00882944" w:rsidRDefault="00471A3B">
            <w:pPr>
              <w:spacing w:after="0"/>
              <w:rPr>
                <w:szCs w:val="17"/>
              </w:rPr>
            </w:pPr>
            <w:r w:rsidRPr="00882944">
              <w:rPr>
                <w:b/>
                <w:szCs w:val="17"/>
              </w:rPr>
              <w:t xml:space="preserve">Net result from transactions – </w:t>
            </w:r>
            <w:r w:rsidR="00882944">
              <w:rPr>
                <w:b/>
                <w:szCs w:val="17"/>
              </w:rPr>
              <w:br/>
            </w:r>
            <w:r w:rsidR="00882944" w:rsidRPr="00882944">
              <w:rPr>
                <w:b/>
                <w:szCs w:val="17"/>
              </w:rPr>
              <w:t xml:space="preserve">Net </w:t>
            </w:r>
            <w:r w:rsidRPr="00882944">
              <w:rPr>
                <w:b/>
                <w:szCs w:val="17"/>
              </w:rPr>
              <w:t>operating balance</w:t>
            </w:r>
          </w:p>
        </w:tc>
        <w:tc>
          <w:tcPr>
            <w:tcW w:w="794" w:type="dxa"/>
            <w:tcBorders>
              <w:top w:val="single" w:sz="6" w:space="0" w:color="auto"/>
              <w:bottom w:val="single" w:sz="12" w:space="0" w:color="auto"/>
            </w:tcBorders>
          </w:tcPr>
          <w:p w14:paraId="4002FFC3"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(9 234)</w:t>
            </w:r>
          </w:p>
        </w:tc>
        <w:tc>
          <w:tcPr>
            <w:tcW w:w="794" w:type="dxa"/>
            <w:tcBorders>
              <w:top w:val="single" w:sz="6" w:space="0" w:color="auto"/>
              <w:bottom w:val="single" w:sz="12" w:space="0" w:color="auto"/>
            </w:tcBorders>
          </w:tcPr>
          <w:p w14:paraId="4E1AB860"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(9 518)</w:t>
            </w:r>
          </w:p>
        </w:tc>
        <w:tc>
          <w:tcPr>
            <w:tcW w:w="794" w:type="dxa"/>
            <w:tcBorders>
              <w:top w:val="single" w:sz="6" w:space="0" w:color="auto"/>
              <w:bottom w:val="single" w:sz="12" w:space="0" w:color="auto"/>
            </w:tcBorders>
          </w:tcPr>
          <w:p w14:paraId="72202139"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(6 254)</w:t>
            </w:r>
          </w:p>
        </w:tc>
        <w:tc>
          <w:tcPr>
            <w:tcW w:w="794" w:type="dxa"/>
            <w:tcBorders>
              <w:top w:val="single" w:sz="6" w:space="0" w:color="auto"/>
              <w:bottom w:val="single" w:sz="12" w:space="0" w:color="auto"/>
            </w:tcBorders>
          </w:tcPr>
          <w:p w14:paraId="55A78C8E"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(4 221)</w:t>
            </w:r>
          </w:p>
        </w:tc>
        <w:tc>
          <w:tcPr>
            <w:tcW w:w="794" w:type="dxa"/>
            <w:tcBorders>
              <w:top w:val="single" w:sz="6" w:space="0" w:color="auto"/>
              <w:bottom w:val="single" w:sz="12" w:space="0" w:color="auto"/>
            </w:tcBorders>
          </w:tcPr>
          <w:p w14:paraId="17C7FF60"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(4 883)</w:t>
            </w:r>
          </w:p>
        </w:tc>
      </w:tr>
      <w:tr w:rsidR="009C6724" w:rsidRPr="00882944" w14:paraId="305FB7A0"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106DC19E" w14:textId="77777777" w:rsidR="00AB205D" w:rsidRPr="00882944" w:rsidRDefault="00471A3B">
            <w:pPr>
              <w:spacing w:after="0"/>
              <w:rPr>
                <w:szCs w:val="17"/>
              </w:rPr>
            </w:pPr>
            <w:r w:rsidRPr="00882944">
              <w:rPr>
                <w:b/>
                <w:szCs w:val="17"/>
              </w:rPr>
              <w:t>Other economic flows included in net result</w:t>
            </w:r>
          </w:p>
        </w:tc>
        <w:tc>
          <w:tcPr>
            <w:tcW w:w="794" w:type="dxa"/>
            <w:tcBorders>
              <w:top w:val="single" w:sz="6" w:space="0" w:color="auto"/>
            </w:tcBorders>
          </w:tcPr>
          <w:p w14:paraId="5DA97C13"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94" w:type="dxa"/>
            <w:tcBorders>
              <w:top w:val="single" w:sz="6" w:space="0" w:color="auto"/>
            </w:tcBorders>
          </w:tcPr>
          <w:p w14:paraId="4A09CF26"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94" w:type="dxa"/>
            <w:tcBorders>
              <w:top w:val="single" w:sz="6" w:space="0" w:color="auto"/>
            </w:tcBorders>
          </w:tcPr>
          <w:p w14:paraId="755CD45F"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94" w:type="dxa"/>
            <w:tcBorders>
              <w:top w:val="single" w:sz="6" w:space="0" w:color="auto"/>
            </w:tcBorders>
          </w:tcPr>
          <w:p w14:paraId="054C2C1D"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94" w:type="dxa"/>
            <w:tcBorders>
              <w:top w:val="single" w:sz="6" w:space="0" w:color="auto"/>
            </w:tcBorders>
          </w:tcPr>
          <w:p w14:paraId="564501B7"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r>
      <w:tr w:rsidR="009C6724" w:rsidRPr="00882944" w14:paraId="7253C312"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63144F69" w14:textId="77777777" w:rsidR="00AB205D" w:rsidRPr="00882944" w:rsidRDefault="00471A3B">
            <w:pPr>
              <w:spacing w:after="0"/>
              <w:rPr>
                <w:szCs w:val="17"/>
              </w:rPr>
            </w:pPr>
            <w:r w:rsidRPr="00882944">
              <w:rPr>
                <w:szCs w:val="17"/>
              </w:rPr>
              <w:t>Net gain/(loss) on disposal of non</w:t>
            </w:r>
            <w:r w:rsidRPr="00882944">
              <w:rPr>
                <w:szCs w:val="17"/>
              </w:rPr>
              <w:noBreakHyphen/>
              <w:t>financial assets</w:t>
            </w:r>
          </w:p>
        </w:tc>
        <w:tc>
          <w:tcPr>
            <w:tcW w:w="794" w:type="dxa"/>
          </w:tcPr>
          <w:p w14:paraId="1D376AA1"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62</w:t>
            </w:r>
          </w:p>
        </w:tc>
        <w:tc>
          <w:tcPr>
            <w:tcW w:w="794" w:type="dxa"/>
          </w:tcPr>
          <w:p w14:paraId="72026326"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56</w:t>
            </w:r>
          </w:p>
        </w:tc>
        <w:tc>
          <w:tcPr>
            <w:tcW w:w="794" w:type="dxa"/>
          </w:tcPr>
          <w:p w14:paraId="60A29FA4"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56</w:t>
            </w:r>
          </w:p>
        </w:tc>
        <w:tc>
          <w:tcPr>
            <w:tcW w:w="794" w:type="dxa"/>
          </w:tcPr>
          <w:p w14:paraId="59D333B6"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299</w:t>
            </w:r>
          </w:p>
        </w:tc>
        <w:tc>
          <w:tcPr>
            <w:tcW w:w="794" w:type="dxa"/>
          </w:tcPr>
          <w:p w14:paraId="1673C4DB"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45</w:t>
            </w:r>
          </w:p>
        </w:tc>
      </w:tr>
      <w:tr w:rsidR="009C6724" w:rsidRPr="00882944" w14:paraId="509CA5D7"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126F8E9D" w14:textId="77777777" w:rsidR="00AB205D" w:rsidRPr="00882944" w:rsidRDefault="00471A3B">
            <w:pPr>
              <w:spacing w:after="0"/>
              <w:rPr>
                <w:szCs w:val="17"/>
              </w:rPr>
            </w:pPr>
            <w:r w:rsidRPr="00882944">
              <w:rPr>
                <w:szCs w:val="17"/>
              </w:rPr>
              <w:t>Net gain/(loss) on financial assets or liabilities at fair value</w:t>
            </w:r>
          </w:p>
        </w:tc>
        <w:tc>
          <w:tcPr>
            <w:tcW w:w="794" w:type="dxa"/>
          </w:tcPr>
          <w:p w14:paraId="5CBEE74A"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342</w:t>
            </w:r>
          </w:p>
        </w:tc>
        <w:tc>
          <w:tcPr>
            <w:tcW w:w="794" w:type="dxa"/>
          </w:tcPr>
          <w:p w14:paraId="22BBDBF3"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1 680</w:t>
            </w:r>
          </w:p>
        </w:tc>
        <w:tc>
          <w:tcPr>
            <w:tcW w:w="794" w:type="dxa"/>
          </w:tcPr>
          <w:p w14:paraId="1BF1B97E"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476</w:t>
            </w:r>
          </w:p>
        </w:tc>
        <w:tc>
          <w:tcPr>
            <w:tcW w:w="794" w:type="dxa"/>
          </w:tcPr>
          <w:p w14:paraId="2365E3CD"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674</w:t>
            </w:r>
          </w:p>
        </w:tc>
        <w:tc>
          <w:tcPr>
            <w:tcW w:w="794" w:type="dxa"/>
          </w:tcPr>
          <w:p w14:paraId="16E0FED3"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1 168</w:t>
            </w:r>
          </w:p>
        </w:tc>
      </w:tr>
      <w:tr w:rsidR="009C6724" w:rsidRPr="00882944" w14:paraId="4B6F740A"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49303FF" w14:textId="77777777" w:rsidR="00AB205D" w:rsidRPr="00882944" w:rsidRDefault="00471A3B">
            <w:pPr>
              <w:spacing w:after="0"/>
              <w:rPr>
                <w:szCs w:val="17"/>
              </w:rPr>
            </w:pPr>
            <w:r w:rsidRPr="00882944">
              <w:rPr>
                <w:szCs w:val="17"/>
              </w:rPr>
              <w:t>Share of net profit/(loss) from associates/joint venture entities</w:t>
            </w:r>
          </w:p>
        </w:tc>
        <w:tc>
          <w:tcPr>
            <w:tcW w:w="794" w:type="dxa"/>
          </w:tcPr>
          <w:p w14:paraId="370D0DC7"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30</w:t>
            </w:r>
          </w:p>
        </w:tc>
        <w:tc>
          <w:tcPr>
            <w:tcW w:w="794" w:type="dxa"/>
          </w:tcPr>
          <w:p w14:paraId="0AD6515B"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30</w:t>
            </w:r>
          </w:p>
        </w:tc>
        <w:tc>
          <w:tcPr>
            <w:tcW w:w="794" w:type="dxa"/>
          </w:tcPr>
          <w:p w14:paraId="5AFBBD2A"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32</w:t>
            </w:r>
          </w:p>
        </w:tc>
        <w:tc>
          <w:tcPr>
            <w:tcW w:w="794" w:type="dxa"/>
          </w:tcPr>
          <w:p w14:paraId="0694DB70"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36</w:t>
            </w:r>
          </w:p>
        </w:tc>
        <w:tc>
          <w:tcPr>
            <w:tcW w:w="794" w:type="dxa"/>
          </w:tcPr>
          <w:p w14:paraId="17B30FBD"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4</w:t>
            </w:r>
          </w:p>
        </w:tc>
      </w:tr>
      <w:tr w:rsidR="009C6724" w:rsidRPr="00882944" w14:paraId="2E84C7B8"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0DC38E2F" w14:textId="77777777" w:rsidR="00AB205D" w:rsidRPr="00882944" w:rsidRDefault="00471A3B">
            <w:pPr>
              <w:spacing w:after="0"/>
              <w:rPr>
                <w:szCs w:val="17"/>
              </w:rPr>
            </w:pPr>
            <w:r w:rsidRPr="00882944">
              <w:rPr>
                <w:szCs w:val="17"/>
              </w:rPr>
              <w:t>Other gains/(losses) from other economic flows</w:t>
            </w:r>
          </w:p>
        </w:tc>
        <w:tc>
          <w:tcPr>
            <w:tcW w:w="794" w:type="dxa"/>
            <w:tcBorders>
              <w:bottom w:val="single" w:sz="6" w:space="0" w:color="auto"/>
            </w:tcBorders>
          </w:tcPr>
          <w:p w14:paraId="22325FCB"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737</w:t>
            </w:r>
          </w:p>
        </w:tc>
        <w:tc>
          <w:tcPr>
            <w:tcW w:w="794" w:type="dxa"/>
            <w:tcBorders>
              <w:bottom w:val="single" w:sz="6" w:space="0" w:color="auto"/>
            </w:tcBorders>
          </w:tcPr>
          <w:p w14:paraId="0191A380"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1 912</w:t>
            </w:r>
          </w:p>
        </w:tc>
        <w:tc>
          <w:tcPr>
            <w:tcW w:w="794" w:type="dxa"/>
            <w:tcBorders>
              <w:bottom w:val="single" w:sz="6" w:space="0" w:color="auto"/>
            </w:tcBorders>
          </w:tcPr>
          <w:p w14:paraId="4B3A142E"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831</w:t>
            </w:r>
          </w:p>
        </w:tc>
        <w:tc>
          <w:tcPr>
            <w:tcW w:w="794" w:type="dxa"/>
            <w:tcBorders>
              <w:bottom w:val="single" w:sz="6" w:space="0" w:color="auto"/>
            </w:tcBorders>
          </w:tcPr>
          <w:p w14:paraId="0E2508C6"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947</w:t>
            </w:r>
          </w:p>
        </w:tc>
        <w:tc>
          <w:tcPr>
            <w:tcW w:w="794" w:type="dxa"/>
            <w:tcBorders>
              <w:bottom w:val="single" w:sz="6" w:space="0" w:color="auto"/>
            </w:tcBorders>
          </w:tcPr>
          <w:p w14:paraId="3DCE4DA0"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1 001</w:t>
            </w:r>
          </w:p>
        </w:tc>
      </w:tr>
      <w:tr w:rsidR="009C6724" w:rsidRPr="00882944" w14:paraId="30EA4E33"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36EEBA75" w14:textId="77777777" w:rsidR="00AB205D" w:rsidRPr="00882944" w:rsidRDefault="00471A3B">
            <w:pPr>
              <w:spacing w:after="0"/>
              <w:rPr>
                <w:szCs w:val="17"/>
              </w:rPr>
            </w:pPr>
            <w:r w:rsidRPr="00882944">
              <w:rPr>
                <w:b/>
                <w:szCs w:val="17"/>
              </w:rPr>
              <w:t>Total other economic flows included in net result</w:t>
            </w:r>
          </w:p>
        </w:tc>
        <w:tc>
          <w:tcPr>
            <w:tcW w:w="794" w:type="dxa"/>
            <w:tcBorders>
              <w:top w:val="single" w:sz="6" w:space="0" w:color="auto"/>
              <w:bottom w:val="single" w:sz="6" w:space="0" w:color="auto"/>
            </w:tcBorders>
          </w:tcPr>
          <w:p w14:paraId="7F73E175"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1 171</w:t>
            </w:r>
          </w:p>
        </w:tc>
        <w:tc>
          <w:tcPr>
            <w:tcW w:w="794" w:type="dxa"/>
            <w:tcBorders>
              <w:top w:val="single" w:sz="6" w:space="0" w:color="auto"/>
              <w:bottom w:val="single" w:sz="6" w:space="0" w:color="auto"/>
            </w:tcBorders>
          </w:tcPr>
          <w:p w14:paraId="1B9D463C"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3 678</w:t>
            </w:r>
          </w:p>
        </w:tc>
        <w:tc>
          <w:tcPr>
            <w:tcW w:w="794" w:type="dxa"/>
            <w:tcBorders>
              <w:top w:val="single" w:sz="6" w:space="0" w:color="auto"/>
              <w:bottom w:val="single" w:sz="6" w:space="0" w:color="auto"/>
            </w:tcBorders>
          </w:tcPr>
          <w:p w14:paraId="7B9C21AB"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1 396</w:t>
            </w:r>
          </w:p>
        </w:tc>
        <w:tc>
          <w:tcPr>
            <w:tcW w:w="794" w:type="dxa"/>
            <w:tcBorders>
              <w:top w:val="single" w:sz="6" w:space="0" w:color="auto"/>
              <w:bottom w:val="single" w:sz="6" w:space="0" w:color="auto"/>
            </w:tcBorders>
          </w:tcPr>
          <w:p w14:paraId="2FC48DF7"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1 956</w:t>
            </w:r>
          </w:p>
        </w:tc>
        <w:tc>
          <w:tcPr>
            <w:tcW w:w="794" w:type="dxa"/>
            <w:tcBorders>
              <w:top w:val="single" w:sz="6" w:space="0" w:color="auto"/>
              <w:bottom w:val="single" w:sz="6" w:space="0" w:color="auto"/>
            </w:tcBorders>
          </w:tcPr>
          <w:p w14:paraId="2287057D"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2 218</w:t>
            </w:r>
          </w:p>
        </w:tc>
      </w:tr>
      <w:tr w:rsidR="009C6724" w:rsidRPr="00882944" w14:paraId="74135C35"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27C6C070" w14:textId="77777777" w:rsidR="00AB205D" w:rsidRPr="00882944" w:rsidRDefault="00471A3B">
            <w:pPr>
              <w:spacing w:after="0"/>
              <w:rPr>
                <w:szCs w:val="17"/>
              </w:rPr>
            </w:pPr>
            <w:r w:rsidRPr="00882944">
              <w:rPr>
                <w:b/>
                <w:szCs w:val="17"/>
              </w:rPr>
              <w:t>Net result</w:t>
            </w:r>
          </w:p>
        </w:tc>
        <w:tc>
          <w:tcPr>
            <w:tcW w:w="794" w:type="dxa"/>
            <w:tcBorders>
              <w:top w:val="single" w:sz="6" w:space="0" w:color="auto"/>
              <w:bottom w:val="single" w:sz="12" w:space="0" w:color="auto"/>
            </w:tcBorders>
          </w:tcPr>
          <w:p w14:paraId="0ED14E39"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(8 064)</w:t>
            </w:r>
          </w:p>
        </w:tc>
        <w:tc>
          <w:tcPr>
            <w:tcW w:w="794" w:type="dxa"/>
            <w:tcBorders>
              <w:top w:val="single" w:sz="6" w:space="0" w:color="auto"/>
              <w:bottom w:val="single" w:sz="12" w:space="0" w:color="auto"/>
            </w:tcBorders>
          </w:tcPr>
          <w:p w14:paraId="0EB2A9C4"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(5 840)</w:t>
            </w:r>
          </w:p>
        </w:tc>
        <w:tc>
          <w:tcPr>
            <w:tcW w:w="794" w:type="dxa"/>
            <w:tcBorders>
              <w:top w:val="single" w:sz="6" w:space="0" w:color="auto"/>
              <w:bottom w:val="single" w:sz="12" w:space="0" w:color="auto"/>
            </w:tcBorders>
          </w:tcPr>
          <w:p w14:paraId="77277B7F"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(4 858)</w:t>
            </w:r>
          </w:p>
        </w:tc>
        <w:tc>
          <w:tcPr>
            <w:tcW w:w="794" w:type="dxa"/>
            <w:tcBorders>
              <w:top w:val="single" w:sz="6" w:space="0" w:color="auto"/>
              <w:bottom w:val="single" w:sz="12" w:space="0" w:color="auto"/>
            </w:tcBorders>
          </w:tcPr>
          <w:p w14:paraId="40B9B94A"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(2 265)</w:t>
            </w:r>
          </w:p>
        </w:tc>
        <w:tc>
          <w:tcPr>
            <w:tcW w:w="794" w:type="dxa"/>
            <w:tcBorders>
              <w:top w:val="single" w:sz="6" w:space="0" w:color="auto"/>
              <w:bottom w:val="single" w:sz="12" w:space="0" w:color="auto"/>
            </w:tcBorders>
          </w:tcPr>
          <w:p w14:paraId="300612FE"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(2 666)</w:t>
            </w:r>
          </w:p>
        </w:tc>
      </w:tr>
      <w:tr w:rsidR="009C6724" w:rsidRPr="00882944" w14:paraId="53BB6F38"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25C55777" w14:textId="5E2508DF" w:rsidR="00AB205D" w:rsidRPr="00882944" w:rsidRDefault="00471A3B">
            <w:pPr>
              <w:spacing w:after="0"/>
              <w:rPr>
                <w:szCs w:val="17"/>
              </w:rPr>
            </w:pPr>
            <w:r w:rsidRPr="00882944">
              <w:rPr>
                <w:b/>
                <w:szCs w:val="17"/>
              </w:rPr>
              <w:t xml:space="preserve">Other economic flows – </w:t>
            </w:r>
            <w:r w:rsidR="00882944">
              <w:rPr>
                <w:b/>
                <w:szCs w:val="17"/>
              </w:rPr>
              <w:br/>
            </w:r>
            <w:r w:rsidR="00882944" w:rsidRPr="00882944">
              <w:rPr>
                <w:b/>
                <w:szCs w:val="17"/>
              </w:rPr>
              <w:t xml:space="preserve">Other </w:t>
            </w:r>
            <w:r w:rsidRPr="00882944">
              <w:rPr>
                <w:b/>
                <w:szCs w:val="17"/>
              </w:rPr>
              <w:t>comprehensive income</w:t>
            </w:r>
          </w:p>
        </w:tc>
        <w:tc>
          <w:tcPr>
            <w:tcW w:w="794" w:type="dxa"/>
            <w:tcBorders>
              <w:top w:val="single" w:sz="6" w:space="0" w:color="auto"/>
            </w:tcBorders>
          </w:tcPr>
          <w:p w14:paraId="1EB92D99"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94" w:type="dxa"/>
            <w:tcBorders>
              <w:top w:val="single" w:sz="6" w:space="0" w:color="auto"/>
            </w:tcBorders>
          </w:tcPr>
          <w:p w14:paraId="4117175B"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94" w:type="dxa"/>
            <w:tcBorders>
              <w:top w:val="single" w:sz="6" w:space="0" w:color="auto"/>
            </w:tcBorders>
          </w:tcPr>
          <w:p w14:paraId="2DE7D08E"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94" w:type="dxa"/>
            <w:tcBorders>
              <w:top w:val="single" w:sz="6" w:space="0" w:color="auto"/>
            </w:tcBorders>
          </w:tcPr>
          <w:p w14:paraId="3138B0E7"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94" w:type="dxa"/>
            <w:tcBorders>
              <w:top w:val="single" w:sz="6" w:space="0" w:color="auto"/>
            </w:tcBorders>
          </w:tcPr>
          <w:p w14:paraId="66E7552C"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r>
      <w:tr w:rsidR="009C6724" w:rsidRPr="00882944" w14:paraId="5B921792"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58A6A94F" w14:textId="77777777" w:rsidR="00AB205D" w:rsidRPr="00882944" w:rsidRDefault="00471A3B">
            <w:pPr>
              <w:spacing w:after="0"/>
              <w:rPr>
                <w:szCs w:val="17"/>
              </w:rPr>
            </w:pPr>
            <w:r w:rsidRPr="00882944">
              <w:rPr>
                <w:b/>
                <w:szCs w:val="17"/>
              </w:rPr>
              <w:t>Items that will not be reclassified to net result</w:t>
            </w:r>
          </w:p>
        </w:tc>
        <w:tc>
          <w:tcPr>
            <w:tcW w:w="794" w:type="dxa"/>
          </w:tcPr>
          <w:p w14:paraId="0CBA201B"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94" w:type="dxa"/>
          </w:tcPr>
          <w:p w14:paraId="5B6E6E91"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94" w:type="dxa"/>
          </w:tcPr>
          <w:p w14:paraId="3694AACF"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94" w:type="dxa"/>
          </w:tcPr>
          <w:p w14:paraId="0069A3E4"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94" w:type="dxa"/>
          </w:tcPr>
          <w:p w14:paraId="6FC10963"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r>
      <w:tr w:rsidR="009C6724" w:rsidRPr="00882944" w14:paraId="2385FE4F"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0E9F26F7" w14:textId="77777777" w:rsidR="00AB205D" w:rsidRPr="00882944" w:rsidRDefault="00471A3B">
            <w:pPr>
              <w:spacing w:after="0"/>
              <w:rPr>
                <w:szCs w:val="17"/>
              </w:rPr>
            </w:pPr>
            <w:r w:rsidRPr="00882944">
              <w:rPr>
                <w:szCs w:val="17"/>
              </w:rPr>
              <w:t>Changes in non</w:t>
            </w:r>
            <w:r w:rsidRPr="00882944">
              <w:rPr>
                <w:szCs w:val="17"/>
              </w:rPr>
              <w:noBreakHyphen/>
              <w:t>financial assets revaluation surplus</w:t>
            </w:r>
          </w:p>
        </w:tc>
        <w:tc>
          <w:tcPr>
            <w:tcW w:w="794" w:type="dxa"/>
          </w:tcPr>
          <w:p w14:paraId="0AA68CED"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1 041</w:t>
            </w:r>
          </w:p>
        </w:tc>
        <w:tc>
          <w:tcPr>
            <w:tcW w:w="794" w:type="dxa"/>
          </w:tcPr>
          <w:p w14:paraId="3279269B"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549</w:t>
            </w:r>
          </w:p>
        </w:tc>
        <w:tc>
          <w:tcPr>
            <w:tcW w:w="794" w:type="dxa"/>
          </w:tcPr>
          <w:p w14:paraId="6CCADF39"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15 035</w:t>
            </w:r>
          </w:p>
        </w:tc>
        <w:tc>
          <w:tcPr>
            <w:tcW w:w="794" w:type="dxa"/>
          </w:tcPr>
          <w:p w14:paraId="3DE28285"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4 024</w:t>
            </w:r>
          </w:p>
        </w:tc>
        <w:tc>
          <w:tcPr>
            <w:tcW w:w="794" w:type="dxa"/>
          </w:tcPr>
          <w:p w14:paraId="35B6090D"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9 706</w:t>
            </w:r>
          </w:p>
        </w:tc>
      </w:tr>
      <w:tr w:rsidR="009C6724" w:rsidRPr="00882944" w14:paraId="23EAC530"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6679D438" w14:textId="77777777" w:rsidR="00AB205D" w:rsidRPr="00882944" w:rsidRDefault="00471A3B">
            <w:pPr>
              <w:spacing w:after="0"/>
              <w:rPr>
                <w:szCs w:val="17"/>
              </w:rPr>
            </w:pPr>
            <w:r w:rsidRPr="00882944">
              <w:rPr>
                <w:szCs w:val="17"/>
              </w:rPr>
              <w:t>Remeasurement of superannuation defined benefit plans</w:t>
            </w:r>
          </w:p>
        </w:tc>
        <w:tc>
          <w:tcPr>
            <w:tcW w:w="794" w:type="dxa"/>
          </w:tcPr>
          <w:p w14:paraId="6ACF5909"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852</w:t>
            </w:r>
          </w:p>
        </w:tc>
        <w:tc>
          <w:tcPr>
            <w:tcW w:w="794" w:type="dxa"/>
          </w:tcPr>
          <w:p w14:paraId="2F978F4E"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2 541</w:t>
            </w:r>
          </w:p>
        </w:tc>
        <w:tc>
          <w:tcPr>
            <w:tcW w:w="794" w:type="dxa"/>
          </w:tcPr>
          <w:p w14:paraId="64615F80"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567</w:t>
            </w:r>
          </w:p>
        </w:tc>
        <w:tc>
          <w:tcPr>
            <w:tcW w:w="794" w:type="dxa"/>
          </w:tcPr>
          <w:p w14:paraId="0699AC3D"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549</w:t>
            </w:r>
          </w:p>
        </w:tc>
        <w:tc>
          <w:tcPr>
            <w:tcW w:w="794" w:type="dxa"/>
          </w:tcPr>
          <w:p w14:paraId="50714181"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528</w:t>
            </w:r>
          </w:p>
        </w:tc>
      </w:tr>
      <w:tr w:rsidR="009C6724" w:rsidRPr="00882944" w14:paraId="655799E2"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009B7551" w14:textId="77777777" w:rsidR="00AB205D" w:rsidRPr="00882944" w:rsidRDefault="00471A3B">
            <w:pPr>
              <w:spacing w:after="0"/>
              <w:rPr>
                <w:szCs w:val="17"/>
              </w:rPr>
            </w:pPr>
            <w:r w:rsidRPr="00882944">
              <w:rPr>
                <w:szCs w:val="17"/>
              </w:rPr>
              <w:t>Other movements in equity</w:t>
            </w:r>
          </w:p>
        </w:tc>
        <w:tc>
          <w:tcPr>
            <w:tcW w:w="794" w:type="dxa"/>
          </w:tcPr>
          <w:p w14:paraId="66F064B6"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8</w:t>
            </w:r>
          </w:p>
        </w:tc>
        <w:tc>
          <w:tcPr>
            <w:tcW w:w="794" w:type="dxa"/>
          </w:tcPr>
          <w:p w14:paraId="2F54947A"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123</w:t>
            </w:r>
          </w:p>
        </w:tc>
        <w:tc>
          <w:tcPr>
            <w:tcW w:w="794" w:type="dxa"/>
          </w:tcPr>
          <w:p w14:paraId="5AD0E303"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3</w:t>
            </w:r>
          </w:p>
        </w:tc>
        <w:tc>
          <w:tcPr>
            <w:tcW w:w="794" w:type="dxa"/>
          </w:tcPr>
          <w:p w14:paraId="1AA1CA00"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(7)</w:t>
            </w:r>
          </w:p>
        </w:tc>
        <w:tc>
          <w:tcPr>
            <w:tcW w:w="794" w:type="dxa"/>
          </w:tcPr>
          <w:p w14:paraId="4BCF28A8"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(2)</w:t>
            </w:r>
          </w:p>
        </w:tc>
      </w:tr>
      <w:tr w:rsidR="009C6724" w:rsidRPr="00882944" w14:paraId="6FB60264"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6CB75FAC" w14:textId="77777777" w:rsidR="00AB205D" w:rsidRPr="00882944" w:rsidRDefault="00471A3B">
            <w:pPr>
              <w:spacing w:after="0"/>
              <w:rPr>
                <w:szCs w:val="17"/>
              </w:rPr>
            </w:pPr>
            <w:r w:rsidRPr="00882944">
              <w:rPr>
                <w:b/>
                <w:szCs w:val="17"/>
              </w:rPr>
              <w:t>Items that may be reclassified subsequently to net result</w:t>
            </w:r>
          </w:p>
        </w:tc>
        <w:tc>
          <w:tcPr>
            <w:tcW w:w="794" w:type="dxa"/>
          </w:tcPr>
          <w:p w14:paraId="51DE2AE4"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94" w:type="dxa"/>
          </w:tcPr>
          <w:p w14:paraId="53204BC3"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94" w:type="dxa"/>
          </w:tcPr>
          <w:p w14:paraId="19075700"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94" w:type="dxa"/>
          </w:tcPr>
          <w:p w14:paraId="49A168B3"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94" w:type="dxa"/>
          </w:tcPr>
          <w:p w14:paraId="503A82BA"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r>
      <w:tr w:rsidR="009C6724" w:rsidRPr="00882944" w14:paraId="64862A73"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486BAF4" w14:textId="77777777" w:rsidR="00AB205D" w:rsidRPr="00882944" w:rsidRDefault="00471A3B">
            <w:pPr>
              <w:spacing w:after="0"/>
              <w:rPr>
                <w:szCs w:val="17"/>
              </w:rPr>
            </w:pPr>
            <w:r w:rsidRPr="00882944">
              <w:rPr>
                <w:szCs w:val="17"/>
              </w:rPr>
              <w:t>Net gain/(loss) on financial assets at fair value</w:t>
            </w:r>
          </w:p>
        </w:tc>
        <w:tc>
          <w:tcPr>
            <w:tcW w:w="794" w:type="dxa"/>
          </w:tcPr>
          <w:p w14:paraId="2FBEE999"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(2)</w:t>
            </w:r>
          </w:p>
        </w:tc>
        <w:tc>
          <w:tcPr>
            <w:tcW w:w="794" w:type="dxa"/>
          </w:tcPr>
          <w:p w14:paraId="4A146CF2"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17</w:t>
            </w:r>
          </w:p>
        </w:tc>
        <w:tc>
          <w:tcPr>
            <w:tcW w:w="794" w:type="dxa"/>
          </w:tcPr>
          <w:p w14:paraId="0CA45C01"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13</w:t>
            </w:r>
          </w:p>
        </w:tc>
        <w:tc>
          <w:tcPr>
            <w:tcW w:w="794" w:type="dxa"/>
          </w:tcPr>
          <w:p w14:paraId="186A4EE8"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18</w:t>
            </w:r>
          </w:p>
        </w:tc>
        <w:tc>
          <w:tcPr>
            <w:tcW w:w="794" w:type="dxa"/>
          </w:tcPr>
          <w:p w14:paraId="4161EB21"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18</w:t>
            </w:r>
          </w:p>
        </w:tc>
      </w:tr>
      <w:tr w:rsidR="009C6724" w:rsidRPr="00882944" w14:paraId="66DABC2E"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0A177956" w14:textId="4DD24653" w:rsidR="00AB205D" w:rsidRPr="00882944" w:rsidRDefault="00471A3B">
            <w:pPr>
              <w:spacing w:after="0"/>
              <w:rPr>
                <w:szCs w:val="17"/>
              </w:rPr>
            </w:pPr>
            <w:r w:rsidRPr="00882944">
              <w:rPr>
                <w:b/>
                <w:szCs w:val="17"/>
              </w:rPr>
              <w:t xml:space="preserve">Total other economic flows – </w:t>
            </w:r>
            <w:r w:rsidR="00882944">
              <w:rPr>
                <w:b/>
                <w:szCs w:val="17"/>
              </w:rPr>
              <w:br/>
            </w:r>
            <w:r w:rsidR="00882944" w:rsidRPr="00882944">
              <w:rPr>
                <w:b/>
                <w:szCs w:val="17"/>
              </w:rPr>
              <w:t xml:space="preserve">Other </w:t>
            </w:r>
            <w:r w:rsidRPr="00882944">
              <w:rPr>
                <w:b/>
                <w:szCs w:val="17"/>
              </w:rPr>
              <w:t>comprehensive income</w:t>
            </w:r>
          </w:p>
        </w:tc>
        <w:tc>
          <w:tcPr>
            <w:tcW w:w="794" w:type="dxa"/>
            <w:tcBorders>
              <w:top w:val="single" w:sz="6" w:space="0" w:color="auto"/>
              <w:bottom w:val="single" w:sz="6" w:space="0" w:color="auto"/>
            </w:tcBorders>
          </w:tcPr>
          <w:p w14:paraId="41969FE0"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1 899</w:t>
            </w:r>
          </w:p>
        </w:tc>
        <w:tc>
          <w:tcPr>
            <w:tcW w:w="794" w:type="dxa"/>
            <w:tcBorders>
              <w:top w:val="single" w:sz="6" w:space="0" w:color="auto"/>
              <w:bottom w:val="single" w:sz="6" w:space="0" w:color="auto"/>
            </w:tcBorders>
          </w:tcPr>
          <w:p w14:paraId="4A8020BA"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3 231</w:t>
            </w:r>
          </w:p>
        </w:tc>
        <w:tc>
          <w:tcPr>
            <w:tcW w:w="794" w:type="dxa"/>
            <w:tcBorders>
              <w:top w:val="single" w:sz="6" w:space="0" w:color="auto"/>
              <w:bottom w:val="single" w:sz="6" w:space="0" w:color="auto"/>
            </w:tcBorders>
          </w:tcPr>
          <w:p w14:paraId="30745CEF"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15 618</w:t>
            </w:r>
          </w:p>
        </w:tc>
        <w:tc>
          <w:tcPr>
            <w:tcW w:w="794" w:type="dxa"/>
            <w:tcBorders>
              <w:top w:val="single" w:sz="6" w:space="0" w:color="auto"/>
              <w:bottom w:val="single" w:sz="6" w:space="0" w:color="auto"/>
            </w:tcBorders>
          </w:tcPr>
          <w:p w14:paraId="7B1DFCBC"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4 583</w:t>
            </w:r>
          </w:p>
        </w:tc>
        <w:tc>
          <w:tcPr>
            <w:tcW w:w="794" w:type="dxa"/>
            <w:tcBorders>
              <w:top w:val="single" w:sz="6" w:space="0" w:color="auto"/>
              <w:bottom w:val="single" w:sz="6" w:space="0" w:color="auto"/>
            </w:tcBorders>
          </w:tcPr>
          <w:p w14:paraId="4875B62D"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10 250</w:t>
            </w:r>
          </w:p>
        </w:tc>
      </w:tr>
      <w:tr w:rsidR="009C6724" w:rsidRPr="00882944" w14:paraId="0BA0D090"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707216C3" w14:textId="31567DCE" w:rsidR="00AB205D" w:rsidRPr="00882944" w:rsidRDefault="00471A3B">
            <w:pPr>
              <w:spacing w:after="0"/>
              <w:rPr>
                <w:szCs w:val="17"/>
              </w:rPr>
            </w:pPr>
            <w:r w:rsidRPr="00882944">
              <w:rPr>
                <w:b/>
                <w:szCs w:val="17"/>
              </w:rPr>
              <w:t xml:space="preserve">Comprehensive result – </w:t>
            </w:r>
            <w:r w:rsidR="00882944">
              <w:rPr>
                <w:b/>
                <w:szCs w:val="17"/>
              </w:rPr>
              <w:br/>
            </w:r>
            <w:r w:rsidR="00882944" w:rsidRPr="00882944">
              <w:rPr>
                <w:b/>
                <w:szCs w:val="17"/>
              </w:rPr>
              <w:t xml:space="preserve">Total </w:t>
            </w:r>
            <w:r w:rsidRPr="00882944">
              <w:rPr>
                <w:b/>
                <w:szCs w:val="17"/>
              </w:rPr>
              <w:t>change in net worth</w:t>
            </w:r>
          </w:p>
        </w:tc>
        <w:tc>
          <w:tcPr>
            <w:tcW w:w="794" w:type="dxa"/>
            <w:tcBorders>
              <w:top w:val="single" w:sz="6" w:space="0" w:color="auto"/>
              <w:bottom w:val="single" w:sz="12" w:space="0" w:color="auto"/>
            </w:tcBorders>
          </w:tcPr>
          <w:p w14:paraId="63E01FD0"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(6 165)</w:t>
            </w:r>
          </w:p>
        </w:tc>
        <w:tc>
          <w:tcPr>
            <w:tcW w:w="794" w:type="dxa"/>
            <w:tcBorders>
              <w:top w:val="single" w:sz="6" w:space="0" w:color="auto"/>
              <w:bottom w:val="single" w:sz="12" w:space="0" w:color="auto"/>
            </w:tcBorders>
          </w:tcPr>
          <w:p w14:paraId="28315AD6"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(2 609)</w:t>
            </w:r>
          </w:p>
        </w:tc>
        <w:tc>
          <w:tcPr>
            <w:tcW w:w="794" w:type="dxa"/>
            <w:tcBorders>
              <w:top w:val="single" w:sz="6" w:space="0" w:color="auto"/>
              <w:bottom w:val="single" w:sz="12" w:space="0" w:color="auto"/>
            </w:tcBorders>
          </w:tcPr>
          <w:p w14:paraId="08768948"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10 760</w:t>
            </w:r>
          </w:p>
        </w:tc>
        <w:tc>
          <w:tcPr>
            <w:tcW w:w="794" w:type="dxa"/>
            <w:tcBorders>
              <w:top w:val="single" w:sz="6" w:space="0" w:color="auto"/>
              <w:bottom w:val="single" w:sz="12" w:space="0" w:color="auto"/>
            </w:tcBorders>
          </w:tcPr>
          <w:p w14:paraId="467D31D9"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2 318</w:t>
            </w:r>
          </w:p>
        </w:tc>
        <w:tc>
          <w:tcPr>
            <w:tcW w:w="794" w:type="dxa"/>
            <w:tcBorders>
              <w:top w:val="single" w:sz="6" w:space="0" w:color="auto"/>
              <w:bottom w:val="single" w:sz="12" w:space="0" w:color="auto"/>
            </w:tcBorders>
          </w:tcPr>
          <w:p w14:paraId="4BEE2F7E"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7 584</w:t>
            </w:r>
          </w:p>
        </w:tc>
      </w:tr>
      <w:tr w:rsidR="009C6724" w:rsidRPr="00882944" w14:paraId="00FB234A" w14:textId="77777777" w:rsidTr="009C6724">
        <w:trPr>
          <w:trHeight w:hRule="exact" w:val="113"/>
        </w:trPr>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336DEB58" w14:textId="77777777" w:rsidR="00AB205D" w:rsidRPr="00882944" w:rsidRDefault="00AB205D">
            <w:pPr>
              <w:spacing w:after="0"/>
              <w:rPr>
                <w:szCs w:val="17"/>
              </w:rPr>
            </w:pPr>
          </w:p>
        </w:tc>
        <w:tc>
          <w:tcPr>
            <w:tcW w:w="794" w:type="dxa"/>
            <w:tcBorders>
              <w:top w:val="single" w:sz="6" w:space="0" w:color="auto"/>
            </w:tcBorders>
          </w:tcPr>
          <w:p w14:paraId="1AEA704E"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94" w:type="dxa"/>
            <w:tcBorders>
              <w:top w:val="single" w:sz="6" w:space="0" w:color="auto"/>
            </w:tcBorders>
          </w:tcPr>
          <w:p w14:paraId="2EE311F1"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94" w:type="dxa"/>
            <w:tcBorders>
              <w:top w:val="single" w:sz="6" w:space="0" w:color="auto"/>
            </w:tcBorders>
          </w:tcPr>
          <w:p w14:paraId="58340777"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94" w:type="dxa"/>
            <w:tcBorders>
              <w:top w:val="single" w:sz="6" w:space="0" w:color="auto"/>
            </w:tcBorders>
          </w:tcPr>
          <w:p w14:paraId="5F0F53EB"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94" w:type="dxa"/>
            <w:tcBorders>
              <w:top w:val="single" w:sz="6" w:space="0" w:color="auto"/>
            </w:tcBorders>
          </w:tcPr>
          <w:p w14:paraId="6A134997"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r>
      <w:tr w:rsidR="009C6724" w:rsidRPr="00882944" w14:paraId="7AA5A6EF"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D8583E8" w14:textId="77777777" w:rsidR="00AB205D" w:rsidRPr="00882944" w:rsidRDefault="00471A3B">
            <w:pPr>
              <w:spacing w:after="0"/>
              <w:rPr>
                <w:szCs w:val="17"/>
              </w:rPr>
            </w:pPr>
            <w:r w:rsidRPr="00882944">
              <w:rPr>
                <w:b/>
                <w:szCs w:val="17"/>
              </w:rPr>
              <w:t>KEY FISCAL AGGREGATES</w:t>
            </w:r>
          </w:p>
        </w:tc>
        <w:tc>
          <w:tcPr>
            <w:tcW w:w="794" w:type="dxa"/>
          </w:tcPr>
          <w:p w14:paraId="462233B3"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94" w:type="dxa"/>
          </w:tcPr>
          <w:p w14:paraId="292625DB"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94" w:type="dxa"/>
          </w:tcPr>
          <w:p w14:paraId="37871581"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94" w:type="dxa"/>
          </w:tcPr>
          <w:p w14:paraId="5450D2A0"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c>
          <w:tcPr>
            <w:tcW w:w="794" w:type="dxa"/>
          </w:tcPr>
          <w:p w14:paraId="3BAD1905" w14:textId="77777777" w:rsidR="00AB205D" w:rsidRPr="00882944" w:rsidRDefault="00AB205D">
            <w:pPr>
              <w:spacing w:after="0"/>
              <w:cnfStyle w:val="000000000000" w:firstRow="0" w:lastRow="0" w:firstColumn="0" w:lastColumn="0" w:oddVBand="0" w:evenVBand="0" w:oddHBand="0" w:evenHBand="0" w:firstRowFirstColumn="0" w:firstRowLastColumn="0" w:lastRowFirstColumn="0" w:lastRowLastColumn="0"/>
              <w:rPr>
                <w:szCs w:val="17"/>
              </w:rPr>
            </w:pPr>
          </w:p>
        </w:tc>
      </w:tr>
      <w:tr w:rsidR="009C6724" w:rsidRPr="00882944" w14:paraId="5B850903"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0022206" w14:textId="77777777" w:rsidR="00AB205D" w:rsidRPr="00882944" w:rsidRDefault="00471A3B">
            <w:pPr>
              <w:spacing w:after="0"/>
              <w:rPr>
                <w:szCs w:val="17"/>
              </w:rPr>
            </w:pPr>
            <w:r w:rsidRPr="00882944">
              <w:rPr>
                <w:b/>
                <w:szCs w:val="17"/>
              </w:rPr>
              <w:t>Net operating balance</w:t>
            </w:r>
          </w:p>
        </w:tc>
        <w:tc>
          <w:tcPr>
            <w:tcW w:w="794" w:type="dxa"/>
          </w:tcPr>
          <w:p w14:paraId="2CE01C1E"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(9 234)</w:t>
            </w:r>
          </w:p>
        </w:tc>
        <w:tc>
          <w:tcPr>
            <w:tcW w:w="794" w:type="dxa"/>
          </w:tcPr>
          <w:p w14:paraId="2CA37FDE"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(9 518)</w:t>
            </w:r>
          </w:p>
        </w:tc>
        <w:tc>
          <w:tcPr>
            <w:tcW w:w="794" w:type="dxa"/>
          </w:tcPr>
          <w:p w14:paraId="176D40BE"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(6 254)</w:t>
            </w:r>
          </w:p>
        </w:tc>
        <w:tc>
          <w:tcPr>
            <w:tcW w:w="794" w:type="dxa"/>
          </w:tcPr>
          <w:p w14:paraId="55596B60"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(4 221)</w:t>
            </w:r>
          </w:p>
        </w:tc>
        <w:tc>
          <w:tcPr>
            <w:tcW w:w="794" w:type="dxa"/>
          </w:tcPr>
          <w:p w14:paraId="62791E1C"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(4 883)</w:t>
            </w:r>
          </w:p>
        </w:tc>
      </w:tr>
      <w:tr w:rsidR="009C6724" w:rsidRPr="00882944" w14:paraId="62D3540B"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19B7A710" w14:textId="77777777" w:rsidR="00AB205D" w:rsidRPr="00882944" w:rsidRDefault="00471A3B">
            <w:pPr>
              <w:spacing w:after="0"/>
              <w:rPr>
                <w:szCs w:val="17"/>
              </w:rPr>
            </w:pPr>
            <w:r w:rsidRPr="00882944">
              <w:rPr>
                <w:szCs w:val="17"/>
              </w:rPr>
              <w:t>Less: Net acquisition of non</w:t>
            </w:r>
            <w:r w:rsidRPr="00882944">
              <w:rPr>
                <w:szCs w:val="17"/>
              </w:rPr>
              <w:noBreakHyphen/>
              <w:t>financial assets from transactions</w:t>
            </w:r>
          </w:p>
        </w:tc>
        <w:tc>
          <w:tcPr>
            <w:tcW w:w="794" w:type="dxa"/>
            <w:tcBorders>
              <w:bottom w:val="single" w:sz="6" w:space="0" w:color="auto"/>
            </w:tcBorders>
          </w:tcPr>
          <w:p w14:paraId="3590C4AA"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17 957</w:t>
            </w:r>
          </w:p>
        </w:tc>
        <w:tc>
          <w:tcPr>
            <w:tcW w:w="794" w:type="dxa"/>
            <w:tcBorders>
              <w:bottom w:val="single" w:sz="6" w:space="0" w:color="auto"/>
            </w:tcBorders>
          </w:tcPr>
          <w:p w14:paraId="0DD57BE9"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20 435</w:t>
            </w:r>
          </w:p>
        </w:tc>
        <w:tc>
          <w:tcPr>
            <w:tcW w:w="794" w:type="dxa"/>
            <w:tcBorders>
              <w:bottom w:val="single" w:sz="6" w:space="0" w:color="auto"/>
            </w:tcBorders>
          </w:tcPr>
          <w:p w14:paraId="51FF5E6E"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17 110</w:t>
            </w:r>
          </w:p>
        </w:tc>
        <w:tc>
          <w:tcPr>
            <w:tcW w:w="794" w:type="dxa"/>
            <w:tcBorders>
              <w:bottom w:val="single" w:sz="6" w:space="0" w:color="auto"/>
            </w:tcBorders>
          </w:tcPr>
          <w:p w14:paraId="4CD6720F"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15 622</w:t>
            </w:r>
          </w:p>
        </w:tc>
        <w:tc>
          <w:tcPr>
            <w:tcW w:w="794" w:type="dxa"/>
            <w:tcBorders>
              <w:bottom w:val="single" w:sz="6" w:space="0" w:color="auto"/>
            </w:tcBorders>
          </w:tcPr>
          <w:p w14:paraId="59E289F5"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szCs w:val="17"/>
              </w:rPr>
              <w:t>12 968</w:t>
            </w:r>
          </w:p>
        </w:tc>
      </w:tr>
      <w:tr w:rsidR="009C6724" w:rsidRPr="00882944" w14:paraId="15921403"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604C143E" w14:textId="77777777" w:rsidR="00AB205D" w:rsidRPr="00882944" w:rsidRDefault="00471A3B">
            <w:pPr>
              <w:spacing w:after="0"/>
              <w:rPr>
                <w:szCs w:val="17"/>
              </w:rPr>
            </w:pPr>
            <w:r w:rsidRPr="00882944">
              <w:rPr>
                <w:b/>
                <w:szCs w:val="17"/>
              </w:rPr>
              <w:t>Net lending/(borrowing)</w:t>
            </w:r>
          </w:p>
        </w:tc>
        <w:tc>
          <w:tcPr>
            <w:tcW w:w="794" w:type="dxa"/>
            <w:tcBorders>
              <w:top w:val="single" w:sz="6" w:space="0" w:color="auto"/>
              <w:bottom w:val="single" w:sz="12" w:space="0" w:color="auto"/>
            </w:tcBorders>
          </w:tcPr>
          <w:p w14:paraId="61B17E17"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(27 191)</w:t>
            </w:r>
          </w:p>
        </w:tc>
        <w:tc>
          <w:tcPr>
            <w:tcW w:w="794" w:type="dxa"/>
            <w:tcBorders>
              <w:top w:val="single" w:sz="6" w:space="0" w:color="auto"/>
              <w:bottom w:val="single" w:sz="12" w:space="0" w:color="auto"/>
            </w:tcBorders>
          </w:tcPr>
          <w:p w14:paraId="713F23F3"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(29 953)</w:t>
            </w:r>
          </w:p>
        </w:tc>
        <w:tc>
          <w:tcPr>
            <w:tcW w:w="794" w:type="dxa"/>
            <w:tcBorders>
              <w:top w:val="single" w:sz="6" w:space="0" w:color="auto"/>
              <w:bottom w:val="single" w:sz="12" w:space="0" w:color="auto"/>
            </w:tcBorders>
          </w:tcPr>
          <w:p w14:paraId="1E531B30"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(23 364)</w:t>
            </w:r>
          </w:p>
        </w:tc>
        <w:tc>
          <w:tcPr>
            <w:tcW w:w="794" w:type="dxa"/>
            <w:tcBorders>
              <w:top w:val="single" w:sz="6" w:space="0" w:color="auto"/>
              <w:bottom w:val="single" w:sz="12" w:space="0" w:color="auto"/>
            </w:tcBorders>
          </w:tcPr>
          <w:p w14:paraId="7546C84A"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(19 842)</w:t>
            </w:r>
          </w:p>
        </w:tc>
        <w:tc>
          <w:tcPr>
            <w:tcW w:w="794" w:type="dxa"/>
            <w:tcBorders>
              <w:top w:val="single" w:sz="6" w:space="0" w:color="auto"/>
              <w:bottom w:val="single" w:sz="12" w:space="0" w:color="auto"/>
            </w:tcBorders>
          </w:tcPr>
          <w:p w14:paraId="377EC681" w14:textId="77777777" w:rsidR="00AB205D" w:rsidRPr="00882944" w:rsidRDefault="00471A3B">
            <w:pPr>
              <w:spacing w:after="0"/>
              <w:cnfStyle w:val="000000000000" w:firstRow="0" w:lastRow="0" w:firstColumn="0" w:lastColumn="0" w:oddVBand="0" w:evenVBand="0" w:oddHBand="0" w:evenHBand="0" w:firstRowFirstColumn="0" w:firstRowLastColumn="0" w:lastRowFirstColumn="0" w:lastRowLastColumn="0"/>
              <w:rPr>
                <w:szCs w:val="17"/>
              </w:rPr>
            </w:pPr>
            <w:r w:rsidRPr="00882944">
              <w:rPr>
                <w:b/>
                <w:szCs w:val="17"/>
              </w:rPr>
              <w:t>(17 851)</w:t>
            </w:r>
          </w:p>
        </w:tc>
      </w:tr>
    </w:tbl>
    <w:p w14:paraId="20168611" w14:textId="77777777" w:rsidR="00AB205D" w:rsidRDefault="00471A3B">
      <w:pPr>
        <w:pStyle w:val="TableHeading"/>
        <w:pageBreakBefore/>
      </w:pPr>
      <w:r w:rsidRPr="00921F69">
        <w:lastRenderedPageBreak/>
        <w:t>Table 5.17</w:t>
      </w:r>
      <w:r w:rsidRPr="00921F69">
        <w:tab/>
        <w:t>State of Victoria balance sheet as at 30 June</w:t>
      </w:r>
      <w:r w:rsidRPr="00921F69">
        <w:tab/>
        <w:t>($ million)</w:t>
      </w:r>
    </w:p>
    <w:tbl>
      <w:tblPr>
        <w:tblStyle w:val="DTFTableNumeric"/>
        <w:tblW w:w="7710" w:type="dxa"/>
        <w:tblLayout w:type="fixed"/>
        <w:tblLook w:val="06A0" w:firstRow="1" w:lastRow="0" w:firstColumn="1" w:lastColumn="0" w:noHBand="1" w:noVBand="1"/>
        <w:tblDescription w:val="Type:DtfTable|Workbook:Rawdata\BudgetUpdate\Budget Update\Financial Statements\Manual reports\Balance Sheet\Link_BU_BS.xlsx|Table:Manual_WoS_BS|MergedHeadingRow:1"/>
      </w:tblPr>
      <w:tblGrid>
        <w:gridCol w:w="3740"/>
        <w:gridCol w:w="794"/>
        <w:gridCol w:w="794"/>
        <w:gridCol w:w="794"/>
        <w:gridCol w:w="794"/>
        <w:gridCol w:w="794"/>
      </w:tblGrid>
      <w:tr w:rsidR="009C6724" w14:paraId="42138D83"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1B21FEE3" w14:textId="77777777" w:rsidR="00AB205D" w:rsidRDefault="00AB205D">
            <w:pPr>
              <w:keepNext/>
            </w:pPr>
          </w:p>
        </w:tc>
        <w:tc>
          <w:tcPr>
            <w:tcW w:w="794" w:type="dxa"/>
          </w:tcPr>
          <w:p w14:paraId="023C1399"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br/>
              <w:t>budget</w:t>
            </w:r>
            <w:r>
              <w:rPr>
                <w:vertAlign w:val="superscript"/>
              </w:rPr>
              <w:t xml:space="preserve"> (a)</w:t>
            </w:r>
          </w:p>
        </w:tc>
        <w:tc>
          <w:tcPr>
            <w:tcW w:w="794" w:type="dxa"/>
          </w:tcPr>
          <w:p w14:paraId="55C892D9"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br/>
              <w:t>revised</w:t>
            </w:r>
          </w:p>
        </w:tc>
        <w:tc>
          <w:tcPr>
            <w:tcW w:w="794" w:type="dxa"/>
          </w:tcPr>
          <w:p w14:paraId="0AB66681"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br/>
              <w:t>estimate</w:t>
            </w:r>
          </w:p>
        </w:tc>
        <w:tc>
          <w:tcPr>
            <w:tcW w:w="794" w:type="dxa"/>
          </w:tcPr>
          <w:p w14:paraId="12871AEA"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br/>
              <w:t>estimate</w:t>
            </w:r>
          </w:p>
        </w:tc>
        <w:tc>
          <w:tcPr>
            <w:tcW w:w="794" w:type="dxa"/>
          </w:tcPr>
          <w:p w14:paraId="64203163"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2027</w:t>
            </w:r>
            <w:r>
              <w:br/>
              <w:t>estimate</w:t>
            </w:r>
          </w:p>
        </w:tc>
      </w:tr>
      <w:tr w:rsidR="009C6724" w14:paraId="0538DAC7"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0328BFAC" w14:textId="77777777" w:rsidR="00AB205D" w:rsidRDefault="00471A3B">
            <w:r>
              <w:rPr>
                <w:b/>
              </w:rPr>
              <w:t>Assets</w:t>
            </w:r>
          </w:p>
        </w:tc>
        <w:tc>
          <w:tcPr>
            <w:tcW w:w="794" w:type="dxa"/>
          </w:tcPr>
          <w:p w14:paraId="4D4DDE3C"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F5378D8"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04FC72C"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F988827"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69ABF73D"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50431876"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712DB465" w14:textId="77777777" w:rsidR="00AB205D" w:rsidRDefault="00471A3B">
            <w:r>
              <w:rPr>
                <w:b/>
              </w:rPr>
              <w:t>Financial assets</w:t>
            </w:r>
          </w:p>
        </w:tc>
        <w:tc>
          <w:tcPr>
            <w:tcW w:w="794" w:type="dxa"/>
          </w:tcPr>
          <w:p w14:paraId="016E7810"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600AA8C"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629B8132"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2B83351"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6F955DF9"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6456CA02"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90E5324" w14:textId="77777777" w:rsidR="00AB205D" w:rsidRDefault="00471A3B">
            <w:r>
              <w:t>Cash and deposits</w:t>
            </w:r>
          </w:p>
        </w:tc>
        <w:tc>
          <w:tcPr>
            <w:tcW w:w="794" w:type="dxa"/>
          </w:tcPr>
          <w:p w14:paraId="7598519C" w14:textId="77777777" w:rsidR="00AB205D" w:rsidRDefault="00471A3B">
            <w:pPr>
              <w:cnfStyle w:val="000000000000" w:firstRow="0" w:lastRow="0" w:firstColumn="0" w:lastColumn="0" w:oddVBand="0" w:evenVBand="0" w:oddHBand="0" w:evenHBand="0" w:firstRowFirstColumn="0" w:firstRowLastColumn="0" w:lastRowFirstColumn="0" w:lastRowLastColumn="0"/>
            </w:pPr>
            <w:r>
              <w:t>17 468</w:t>
            </w:r>
          </w:p>
        </w:tc>
        <w:tc>
          <w:tcPr>
            <w:tcW w:w="794" w:type="dxa"/>
          </w:tcPr>
          <w:p w14:paraId="6F7FBD16" w14:textId="77777777" w:rsidR="00AB205D" w:rsidRDefault="00471A3B">
            <w:pPr>
              <w:cnfStyle w:val="000000000000" w:firstRow="0" w:lastRow="0" w:firstColumn="0" w:lastColumn="0" w:oddVBand="0" w:evenVBand="0" w:oddHBand="0" w:evenHBand="0" w:firstRowFirstColumn="0" w:firstRowLastColumn="0" w:lastRowFirstColumn="0" w:lastRowLastColumn="0"/>
            </w:pPr>
            <w:r>
              <w:t>16 906</w:t>
            </w:r>
          </w:p>
        </w:tc>
        <w:tc>
          <w:tcPr>
            <w:tcW w:w="794" w:type="dxa"/>
          </w:tcPr>
          <w:p w14:paraId="1285F918" w14:textId="77777777" w:rsidR="00AB205D" w:rsidRDefault="00471A3B">
            <w:pPr>
              <w:cnfStyle w:val="000000000000" w:firstRow="0" w:lastRow="0" w:firstColumn="0" w:lastColumn="0" w:oddVBand="0" w:evenVBand="0" w:oddHBand="0" w:evenHBand="0" w:firstRowFirstColumn="0" w:firstRowLastColumn="0" w:lastRowFirstColumn="0" w:lastRowLastColumn="0"/>
            </w:pPr>
            <w:r>
              <w:t>17 528</w:t>
            </w:r>
          </w:p>
        </w:tc>
        <w:tc>
          <w:tcPr>
            <w:tcW w:w="794" w:type="dxa"/>
          </w:tcPr>
          <w:p w14:paraId="38B1CA30" w14:textId="77777777" w:rsidR="00AB205D" w:rsidRDefault="00471A3B">
            <w:pPr>
              <w:cnfStyle w:val="000000000000" w:firstRow="0" w:lastRow="0" w:firstColumn="0" w:lastColumn="0" w:oddVBand="0" w:evenVBand="0" w:oddHBand="0" w:evenHBand="0" w:firstRowFirstColumn="0" w:firstRowLastColumn="0" w:lastRowFirstColumn="0" w:lastRowLastColumn="0"/>
            </w:pPr>
            <w:r>
              <w:t>18 433</w:t>
            </w:r>
          </w:p>
        </w:tc>
        <w:tc>
          <w:tcPr>
            <w:tcW w:w="794" w:type="dxa"/>
          </w:tcPr>
          <w:p w14:paraId="17A65D52" w14:textId="77777777" w:rsidR="00AB205D" w:rsidRDefault="00471A3B">
            <w:pPr>
              <w:cnfStyle w:val="000000000000" w:firstRow="0" w:lastRow="0" w:firstColumn="0" w:lastColumn="0" w:oddVBand="0" w:evenVBand="0" w:oddHBand="0" w:evenHBand="0" w:firstRowFirstColumn="0" w:firstRowLastColumn="0" w:lastRowFirstColumn="0" w:lastRowLastColumn="0"/>
            </w:pPr>
            <w:r>
              <w:t>19 417</w:t>
            </w:r>
          </w:p>
        </w:tc>
      </w:tr>
      <w:tr w:rsidR="009C6724" w14:paraId="153A5AB7"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7090A9E8" w14:textId="77777777" w:rsidR="00AB205D" w:rsidRDefault="00471A3B">
            <w:r>
              <w:t>Advances paid</w:t>
            </w:r>
          </w:p>
        </w:tc>
        <w:tc>
          <w:tcPr>
            <w:tcW w:w="794" w:type="dxa"/>
          </w:tcPr>
          <w:p w14:paraId="78D31ACB" w14:textId="77777777" w:rsidR="00AB205D" w:rsidRDefault="00471A3B">
            <w:pPr>
              <w:cnfStyle w:val="000000000000" w:firstRow="0" w:lastRow="0" w:firstColumn="0" w:lastColumn="0" w:oddVBand="0" w:evenVBand="0" w:oddHBand="0" w:evenHBand="0" w:firstRowFirstColumn="0" w:firstRowLastColumn="0" w:lastRowFirstColumn="0" w:lastRowLastColumn="0"/>
            </w:pPr>
            <w:r>
              <w:t>633</w:t>
            </w:r>
          </w:p>
        </w:tc>
        <w:tc>
          <w:tcPr>
            <w:tcW w:w="794" w:type="dxa"/>
          </w:tcPr>
          <w:p w14:paraId="55B7E524" w14:textId="77777777" w:rsidR="00AB205D" w:rsidRDefault="00471A3B">
            <w:pPr>
              <w:cnfStyle w:val="000000000000" w:firstRow="0" w:lastRow="0" w:firstColumn="0" w:lastColumn="0" w:oddVBand="0" w:evenVBand="0" w:oddHBand="0" w:evenHBand="0" w:firstRowFirstColumn="0" w:firstRowLastColumn="0" w:lastRowFirstColumn="0" w:lastRowLastColumn="0"/>
            </w:pPr>
            <w:r>
              <w:t>423</w:t>
            </w:r>
          </w:p>
        </w:tc>
        <w:tc>
          <w:tcPr>
            <w:tcW w:w="794" w:type="dxa"/>
          </w:tcPr>
          <w:p w14:paraId="0ADE789D" w14:textId="77777777" w:rsidR="00AB205D" w:rsidRDefault="00471A3B">
            <w:pPr>
              <w:cnfStyle w:val="000000000000" w:firstRow="0" w:lastRow="0" w:firstColumn="0" w:lastColumn="0" w:oddVBand="0" w:evenVBand="0" w:oddHBand="0" w:evenHBand="0" w:firstRowFirstColumn="0" w:firstRowLastColumn="0" w:lastRowFirstColumn="0" w:lastRowLastColumn="0"/>
            </w:pPr>
            <w:r>
              <w:t>324</w:t>
            </w:r>
          </w:p>
        </w:tc>
        <w:tc>
          <w:tcPr>
            <w:tcW w:w="794" w:type="dxa"/>
          </w:tcPr>
          <w:p w14:paraId="13C5CD0B" w14:textId="77777777" w:rsidR="00AB205D" w:rsidRDefault="00471A3B">
            <w:pPr>
              <w:cnfStyle w:val="000000000000" w:firstRow="0" w:lastRow="0" w:firstColumn="0" w:lastColumn="0" w:oddVBand="0" w:evenVBand="0" w:oddHBand="0" w:evenHBand="0" w:firstRowFirstColumn="0" w:firstRowLastColumn="0" w:lastRowFirstColumn="0" w:lastRowLastColumn="0"/>
            </w:pPr>
            <w:r>
              <w:t>293</w:t>
            </w:r>
          </w:p>
        </w:tc>
        <w:tc>
          <w:tcPr>
            <w:tcW w:w="794" w:type="dxa"/>
          </w:tcPr>
          <w:p w14:paraId="2657E6B4" w14:textId="77777777" w:rsidR="00AB205D" w:rsidRDefault="00471A3B">
            <w:pPr>
              <w:cnfStyle w:val="000000000000" w:firstRow="0" w:lastRow="0" w:firstColumn="0" w:lastColumn="0" w:oddVBand="0" w:evenVBand="0" w:oddHBand="0" w:evenHBand="0" w:firstRowFirstColumn="0" w:firstRowLastColumn="0" w:lastRowFirstColumn="0" w:lastRowLastColumn="0"/>
            </w:pPr>
            <w:r>
              <w:t>303</w:t>
            </w:r>
          </w:p>
        </w:tc>
      </w:tr>
      <w:tr w:rsidR="009C6724" w14:paraId="372C268C"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7AB6D15B" w14:textId="77777777" w:rsidR="00AB205D" w:rsidRDefault="00471A3B">
            <w:r>
              <w:t>Receivables and contract assets</w:t>
            </w:r>
          </w:p>
        </w:tc>
        <w:tc>
          <w:tcPr>
            <w:tcW w:w="794" w:type="dxa"/>
          </w:tcPr>
          <w:p w14:paraId="528A76B6" w14:textId="77777777" w:rsidR="00AB205D" w:rsidRDefault="00471A3B">
            <w:pPr>
              <w:cnfStyle w:val="000000000000" w:firstRow="0" w:lastRow="0" w:firstColumn="0" w:lastColumn="0" w:oddVBand="0" w:evenVBand="0" w:oddHBand="0" w:evenHBand="0" w:firstRowFirstColumn="0" w:firstRowLastColumn="0" w:lastRowFirstColumn="0" w:lastRowLastColumn="0"/>
            </w:pPr>
            <w:r>
              <w:t>12 990</w:t>
            </w:r>
          </w:p>
        </w:tc>
        <w:tc>
          <w:tcPr>
            <w:tcW w:w="794" w:type="dxa"/>
          </w:tcPr>
          <w:p w14:paraId="24F8F843" w14:textId="77777777" w:rsidR="00AB205D" w:rsidRDefault="00471A3B">
            <w:pPr>
              <w:cnfStyle w:val="000000000000" w:firstRow="0" w:lastRow="0" w:firstColumn="0" w:lastColumn="0" w:oddVBand="0" w:evenVBand="0" w:oddHBand="0" w:evenHBand="0" w:firstRowFirstColumn="0" w:firstRowLastColumn="0" w:lastRowFirstColumn="0" w:lastRowLastColumn="0"/>
            </w:pPr>
            <w:r>
              <w:t>12 160</w:t>
            </w:r>
          </w:p>
        </w:tc>
        <w:tc>
          <w:tcPr>
            <w:tcW w:w="794" w:type="dxa"/>
          </w:tcPr>
          <w:p w14:paraId="7E58FB80" w14:textId="77777777" w:rsidR="00AB205D" w:rsidRDefault="00471A3B">
            <w:pPr>
              <w:cnfStyle w:val="000000000000" w:firstRow="0" w:lastRow="0" w:firstColumn="0" w:lastColumn="0" w:oddVBand="0" w:evenVBand="0" w:oddHBand="0" w:evenHBand="0" w:firstRowFirstColumn="0" w:firstRowLastColumn="0" w:lastRowFirstColumn="0" w:lastRowLastColumn="0"/>
            </w:pPr>
            <w:r>
              <w:t>12 825</w:t>
            </w:r>
          </w:p>
        </w:tc>
        <w:tc>
          <w:tcPr>
            <w:tcW w:w="794" w:type="dxa"/>
          </w:tcPr>
          <w:p w14:paraId="36B5638C" w14:textId="77777777" w:rsidR="00AB205D" w:rsidRDefault="00471A3B">
            <w:pPr>
              <w:cnfStyle w:val="000000000000" w:firstRow="0" w:lastRow="0" w:firstColumn="0" w:lastColumn="0" w:oddVBand="0" w:evenVBand="0" w:oddHBand="0" w:evenHBand="0" w:firstRowFirstColumn="0" w:firstRowLastColumn="0" w:lastRowFirstColumn="0" w:lastRowLastColumn="0"/>
            </w:pPr>
            <w:r>
              <w:t>13 213</w:t>
            </w:r>
          </w:p>
        </w:tc>
        <w:tc>
          <w:tcPr>
            <w:tcW w:w="794" w:type="dxa"/>
          </w:tcPr>
          <w:p w14:paraId="67B8CA0C" w14:textId="77777777" w:rsidR="00AB205D" w:rsidRDefault="00471A3B">
            <w:pPr>
              <w:cnfStyle w:val="000000000000" w:firstRow="0" w:lastRow="0" w:firstColumn="0" w:lastColumn="0" w:oddVBand="0" w:evenVBand="0" w:oddHBand="0" w:evenHBand="0" w:firstRowFirstColumn="0" w:firstRowLastColumn="0" w:lastRowFirstColumn="0" w:lastRowLastColumn="0"/>
            </w:pPr>
            <w:r>
              <w:t>13 841</w:t>
            </w:r>
          </w:p>
        </w:tc>
      </w:tr>
      <w:tr w:rsidR="009C6724" w14:paraId="7B612871"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3CF89D3" w14:textId="77777777" w:rsidR="00AB205D" w:rsidRDefault="00471A3B">
            <w:r>
              <w:t>Investments, loans and placements</w:t>
            </w:r>
          </w:p>
        </w:tc>
        <w:tc>
          <w:tcPr>
            <w:tcW w:w="794" w:type="dxa"/>
          </w:tcPr>
          <w:p w14:paraId="3BE729A3" w14:textId="77777777" w:rsidR="00AB205D" w:rsidRDefault="00471A3B">
            <w:pPr>
              <w:cnfStyle w:val="000000000000" w:firstRow="0" w:lastRow="0" w:firstColumn="0" w:lastColumn="0" w:oddVBand="0" w:evenVBand="0" w:oddHBand="0" w:evenHBand="0" w:firstRowFirstColumn="0" w:firstRowLastColumn="0" w:lastRowFirstColumn="0" w:lastRowLastColumn="0"/>
            </w:pPr>
            <w:r>
              <w:t>78 269</w:t>
            </w:r>
          </w:p>
        </w:tc>
        <w:tc>
          <w:tcPr>
            <w:tcW w:w="794" w:type="dxa"/>
          </w:tcPr>
          <w:p w14:paraId="2E351EB8" w14:textId="77777777" w:rsidR="00AB205D" w:rsidRDefault="00471A3B">
            <w:pPr>
              <w:cnfStyle w:val="000000000000" w:firstRow="0" w:lastRow="0" w:firstColumn="0" w:lastColumn="0" w:oddVBand="0" w:evenVBand="0" w:oddHBand="0" w:evenHBand="0" w:firstRowFirstColumn="0" w:firstRowLastColumn="0" w:lastRowFirstColumn="0" w:lastRowLastColumn="0"/>
            </w:pPr>
            <w:r>
              <w:t>73 116</w:t>
            </w:r>
          </w:p>
        </w:tc>
        <w:tc>
          <w:tcPr>
            <w:tcW w:w="794" w:type="dxa"/>
          </w:tcPr>
          <w:p w14:paraId="46E83DC7" w14:textId="77777777" w:rsidR="00AB205D" w:rsidRDefault="00471A3B">
            <w:pPr>
              <w:cnfStyle w:val="000000000000" w:firstRow="0" w:lastRow="0" w:firstColumn="0" w:lastColumn="0" w:oddVBand="0" w:evenVBand="0" w:oddHBand="0" w:evenHBand="0" w:firstRowFirstColumn="0" w:firstRowLastColumn="0" w:lastRowFirstColumn="0" w:lastRowLastColumn="0"/>
            </w:pPr>
            <w:r>
              <w:t>77 484</w:t>
            </w:r>
          </w:p>
        </w:tc>
        <w:tc>
          <w:tcPr>
            <w:tcW w:w="794" w:type="dxa"/>
          </w:tcPr>
          <w:p w14:paraId="5696D954" w14:textId="77777777" w:rsidR="00AB205D" w:rsidRDefault="00471A3B">
            <w:pPr>
              <w:cnfStyle w:val="000000000000" w:firstRow="0" w:lastRow="0" w:firstColumn="0" w:lastColumn="0" w:oddVBand="0" w:evenVBand="0" w:oddHBand="0" w:evenHBand="0" w:firstRowFirstColumn="0" w:firstRowLastColumn="0" w:lastRowFirstColumn="0" w:lastRowLastColumn="0"/>
            </w:pPr>
            <w:r>
              <w:t>82 151</w:t>
            </w:r>
          </w:p>
        </w:tc>
        <w:tc>
          <w:tcPr>
            <w:tcW w:w="794" w:type="dxa"/>
          </w:tcPr>
          <w:p w14:paraId="741C43C7" w14:textId="77777777" w:rsidR="00AB205D" w:rsidRDefault="00471A3B">
            <w:pPr>
              <w:cnfStyle w:val="000000000000" w:firstRow="0" w:lastRow="0" w:firstColumn="0" w:lastColumn="0" w:oddVBand="0" w:evenVBand="0" w:oddHBand="0" w:evenHBand="0" w:firstRowFirstColumn="0" w:firstRowLastColumn="0" w:lastRowFirstColumn="0" w:lastRowLastColumn="0"/>
            </w:pPr>
            <w:r>
              <w:t>87 792</w:t>
            </w:r>
          </w:p>
        </w:tc>
      </w:tr>
      <w:tr w:rsidR="009C6724" w14:paraId="33D6540A"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595980B1" w14:textId="77777777" w:rsidR="00AB205D" w:rsidRDefault="00471A3B">
            <w:r>
              <w:t>Investments accounted for using equity method</w:t>
            </w:r>
          </w:p>
        </w:tc>
        <w:tc>
          <w:tcPr>
            <w:tcW w:w="794" w:type="dxa"/>
          </w:tcPr>
          <w:p w14:paraId="59AAFA10" w14:textId="77777777" w:rsidR="00AB205D" w:rsidRDefault="00471A3B">
            <w:pPr>
              <w:cnfStyle w:val="000000000000" w:firstRow="0" w:lastRow="0" w:firstColumn="0" w:lastColumn="0" w:oddVBand="0" w:evenVBand="0" w:oddHBand="0" w:evenHBand="0" w:firstRowFirstColumn="0" w:firstRowLastColumn="0" w:lastRowFirstColumn="0" w:lastRowLastColumn="0"/>
            </w:pPr>
            <w:r>
              <w:t>1 193</w:t>
            </w:r>
          </w:p>
        </w:tc>
        <w:tc>
          <w:tcPr>
            <w:tcW w:w="794" w:type="dxa"/>
          </w:tcPr>
          <w:p w14:paraId="0F482A02" w14:textId="77777777" w:rsidR="00AB205D" w:rsidRDefault="00471A3B">
            <w:pPr>
              <w:cnfStyle w:val="000000000000" w:firstRow="0" w:lastRow="0" w:firstColumn="0" w:lastColumn="0" w:oddVBand="0" w:evenVBand="0" w:oddHBand="0" w:evenHBand="0" w:firstRowFirstColumn="0" w:firstRowLastColumn="0" w:lastRowFirstColumn="0" w:lastRowLastColumn="0"/>
            </w:pPr>
            <w:r>
              <w:t>1 193</w:t>
            </w:r>
          </w:p>
        </w:tc>
        <w:tc>
          <w:tcPr>
            <w:tcW w:w="794" w:type="dxa"/>
          </w:tcPr>
          <w:p w14:paraId="5E803B4F" w14:textId="77777777" w:rsidR="00AB205D" w:rsidRDefault="00471A3B">
            <w:pPr>
              <w:cnfStyle w:val="000000000000" w:firstRow="0" w:lastRow="0" w:firstColumn="0" w:lastColumn="0" w:oddVBand="0" w:evenVBand="0" w:oddHBand="0" w:evenHBand="0" w:firstRowFirstColumn="0" w:firstRowLastColumn="0" w:lastRowFirstColumn="0" w:lastRowLastColumn="0"/>
            </w:pPr>
            <w:r>
              <w:t>1 402</w:t>
            </w:r>
          </w:p>
        </w:tc>
        <w:tc>
          <w:tcPr>
            <w:tcW w:w="794" w:type="dxa"/>
          </w:tcPr>
          <w:p w14:paraId="78702275" w14:textId="77777777" w:rsidR="00AB205D" w:rsidRDefault="00471A3B">
            <w:pPr>
              <w:cnfStyle w:val="000000000000" w:firstRow="0" w:lastRow="0" w:firstColumn="0" w:lastColumn="0" w:oddVBand="0" w:evenVBand="0" w:oddHBand="0" w:evenHBand="0" w:firstRowFirstColumn="0" w:firstRowLastColumn="0" w:lastRowFirstColumn="0" w:lastRowLastColumn="0"/>
            </w:pPr>
            <w:r>
              <w:t>1 402</w:t>
            </w:r>
          </w:p>
        </w:tc>
        <w:tc>
          <w:tcPr>
            <w:tcW w:w="794" w:type="dxa"/>
          </w:tcPr>
          <w:p w14:paraId="00E6DDC4" w14:textId="77777777" w:rsidR="00AB205D" w:rsidRDefault="00471A3B">
            <w:pPr>
              <w:cnfStyle w:val="000000000000" w:firstRow="0" w:lastRow="0" w:firstColumn="0" w:lastColumn="0" w:oddVBand="0" w:evenVBand="0" w:oddHBand="0" w:evenHBand="0" w:firstRowFirstColumn="0" w:firstRowLastColumn="0" w:lastRowFirstColumn="0" w:lastRowLastColumn="0"/>
            </w:pPr>
            <w:r>
              <w:t>1 402</w:t>
            </w:r>
          </w:p>
        </w:tc>
      </w:tr>
      <w:tr w:rsidR="009C6724" w14:paraId="7A330858"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4062C113" w14:textId="77777777" w:rsidR="00AB205D" w:rsidRDefault="00471A3B">
            <w:r>
              <w:rPr>
                <w:b/>
              </w:rPr>
              <w:t>Total financial assets</w:t>
            </w:r>
          </w:p>
        </w:tc>
        <w:tc>
          <w:tcPr>
            <w:tcW w:w="794" w:type="dxa"/>
            <w:tcBorders>
              <w:top w:val="single" w:sz="6" w:space="0" w:color="auto"/>
              <w:bottom w:val="single" w:sz="6" w:space="0" w:color="auto"/>
            </w:tcBorders>
          </w:tcPr>
          <w:p w14:paraId="2795D92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110 553</w:t>
            </w:r>
          </w:p>
        </w:tc>
        <w:tc>
          <w:tcPr>
            <w:tcW w:w="794" w:type="dxa"/>
            <w:tcBorders>
              <w:top w:val="single" w:sz="6" w:space="0" w:color="auto"/>
              <w:bottom w:val="single" w:sz="6" w:space="0" w:color="auto"/>
            </w:tcBorders>
          </w:tcPr>
          <w:p w14:paraId="3AB83D8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103 799</w:t>
            </w:r>
          </w:p>
        </w:tc>
        <w:tc>
          <w:tcPr>
            <w:tcW w:w="794" w:type="dxa"/>
            <w:tcBorders>
              <w:top w:val="single" w:sz="6" w:space="0" w:color="auto"/>
              <w:bottom w:val="single" w:sz="6" w:space="0" w:color="auto"/>
            </w:tcBorders>
          </w:tcPr>
          <w:p w14:paraId="491C484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109 563</w:t>
            </w:r>
          </w:p>
        </w:tc>
        <w:tc>
          <w:tcPr>
            <w:tcW w:w="794" w:type="dxa"/>
            <w:tcBorders>
              <w:top w:val="single" w:sz="6" w:space="0" w:color="auto"/>
              <w:bottom w:val="single" w:sz="6" w:space="0" w:color="auto"/>
            </w:tcBorders>
          </w:tcPr>
          <w:p w14:paraId="5D0D40B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115 492</w:t>
            </w:r>
          </w:p>
        </w:tc>
        <w:tc>
          <w:tcPr>
            <w:tcW w:w="794" w:type="dxa"/>
            <w:tcBorders>
              <w:top w:val="single" w:sz="6" w:space="0" w:color="auto"/>
              <w:bottom w:val="single" w:sz="6" w:space="0" w:color="auto"/>
            </w:tcBorders>
          </w:tcPr>
          <w:p w14:paraId="607817B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122 755</w:t>
            </w:r>
          </w:p>
        </w:tc>
      </w:tr>
      <w:tr w:rsidR="009C6724" w14:paraId="3C77C34E"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12D406A4" w14:textId="77777777" w:rsidR="00AB205D" w:rsidRDefault="00471A3B">
            <w:r>
              <w:rPr>
                <w:b/>
              </w:rPr>
              <w:t>Non</w:t>
            </w:r>
            <w:r>
              <w:rPr>
                <w:b/>
              </w:rPr>
              <w:noBreakHyphen/>
              <w:t>financial assets</w:t>
            </w:r>
          </w:p>
        </w:tc>
        <w:tc>
          <w:tcPr>
            <w:tcW w:w="794" w:type="dxa"/>
            <w:tcBorders>
              <w:top w:val="single" w:sz="6" w:space="0" w:color="auto"/>
            </w:tcBorders>
          </w:tcPr>
          <w:p w14:paraId="6B0F7FFE"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4CAE18E0"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4DFD2EE7"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04FD327B"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00865501"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0A928B30"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598C6D2A" w14:textId="77777777" w:rsidR="00AB205D" w:rsidRDefault="00471A3B">
            <w:r>
              <w:t>Inventories</w:t>
            </w:r>
          </w:p>
        </w:tc>
        <w:tc>
          <w:tcPr>
            <w:tcW w:w="794" w:type="dxa"/>
          </w:tcPr>
          <w:p w14:paraId="7B44C3CA" w14:textId="77777777" w:rsidR="00AB205D" w:rsidRDefault="00471A3B">
            <w:pPr>
              <w:cnfStyle w:val="000000000000" w:firstRow="0" w:lastRow="0" w:firstColumn="0" w:lastColumn="0" w:oddVBand="0" w:evenVBand="0" w:oddHBand="0" w:evenHBand="0" w:firstRowFirstColumn="0" w:firstRowLastColumn="0" w:lastRowFirstColumn="0" w:lastRowLastColumn="0"/>
            </w:pPr>
            <w:r>
              <w:t>1 519</w:t>
            </w:r>
          </w:p>
        </w:tc>
        <w:tc>
          <w:tcPr>
            <w:tcW w:w="794" w:type="dxa"/>
          </w:tcPr>
          <w:p w14:paraId="18180CEE" w14:textId="77777777" w:rsidR="00AB205D" w:rsidRDefault="00471A3B">
            <w:pPr>
              <w:cnfStyle w:val="000000000000" w:firstRow="0" w:lastRow="0" w:firstColumn="0" w:lastColumn="0" w:oddVBand="0" w:evenVBand="0" w:oddHBand="0" w:evenHBand="0" w:firstRowFirstColumn="0" w:firstRowLastColumn="0" w:lastRowFirstColumn="0" w:lastRowLastColumn="0"/>
            </w:pPr>
            <w:r>
              <w:t>2 468</w:t>
            </w:r>
          </w:p>
        </w:tc>
        <w:tc>
          <w:tcPr>
            <w:tcW w:w="794" w:type="dxa"/>
          </w:tcPr>
          <w:p w14:paraId="6DB4B357" w14:textId="77777777" w:rsidR="00AB205D" w:rsidRDefault="00471A3B">
            <w:pPr>
              <w:cnfStyle w:val="000000000000" w:firstRow="0" w:lastRow="0" w:firstColumn="0" w:lastColumn="0" w:oddVBand="0" w:evenVBand="0" w:oddHBand="0" w:evenHBand="0" w:firstRowFirstColumn="0" w:firstRowLastColumn="0" w:lastRowFirstColumn="0" w:lastRowLastColumn="0"/>
            </w:pPr>
            <w:r>
              <w:t>2 266</w:t>
            </w:r>
          </w:p>
        </w:tc>
        <w:tc>
          <w:tcPr>
            <w:tcW w:w="794" w:type="dxa"/>
          </w:tcPr>
          <w:p w14:paraId="4851093D" w14:textId="77777777" w:rsidR="00AB205D" w:rsidRDefault="00471A3B">
            <w:pPr>
              <w:cnfStyle w:val="000000000000" w:firstRow="0" w:lastRow="0" w:firstColumn="0" w:lastColumn="0" w:oddVBand="0" w:evenVBand="0" w:oddHBand="0" w:evenHBand="0" w:firstRowFirstColumn="0" w:firstRowLastColumn="0" w:lastRowFirstColumn="0" w:lastRowLastColumn="0"/>
            </w:pPr>
            <w:r>
              <w:t>2 523</w:t>
            </w:r>
          </w:p>
        </w:tc>
        <w:tc>
          <w:tcPr>
            <w:tcW w:w="794" w:type="dxa"/>
          </w:tcPr>
          <w:p w14:paraId="67DC5415" w14:textId="77777777" w:rsidR="00AB205D" w:rsidRDefault="00471A3B">
            <w:pPr>
              <w:cnfStyle w:val="000000000000" w:firstRow="0" w:lastRow="0" w:firstColumn="0" w:lastColumn="0" w:oddVBand="0" w:evenVBand="0" w:oddHBand="0" w:evenHBand="0" w:firstRowFirstColumn="0" w:firstRowLastColumn="0" w:lastRowFirstColumn="0" w:lastRowLastColumn="0"/>
            </w:pPr>
            <w:r>
              <w:t>1 965</w:t>
            </w:r>
          </w:p>
        </w:tc>
      </w:tr>
      <w:tr w:rsidR="009C6724" w14:paraId="15D59155"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2F276F2" w14:textId="77777777" w:rsidR="00AB205D" w:rsidRDefault="00471A3B">
            <w:r>
              <w:t>Non</w:t>
            </w:r>
            <w:r>
              <w:noBreakHyphen/>
              <w:t>financial assets held for sale</w:t>
            </w:r>
          </w:p>
        </w:tc>
        <w:tc>
          <w:tcPr>
            <w:tcW w:w="794" w:type="dxa"/>
          </w:tcPr>
          <w:p w14:paraId="1AC9F8D5" w14:textId="77777777" w:rsidR="00AB205D" w:rsidRDefault="00471A3B">
            <w:pPr>
              <w:cnfStyle w:val="000000000000" w:firstRow="0" w:lastRow="0" w:firstColumn="0" w:lastColumn="0" w:oddVBand="0" w:evenVBand="0" w:oddHBand="0" w:evenHBand="0" w:firstRowFirstColumn="0" w:firstRowLastColumn="0" w:lastRowFirstColumn="0" w:lastRowLastColumn="0"/>
            </w:pPr>
            <w:r>
              <w:t>116</w:t>
            </w:r>
          </w:p>
        </w:tc>
        <w:tc>
          <w:tcPr>
            <w:tcW w:w="794" w:type="dxa"/>
          </w:tcPr>
          <w:p w14:paraId="515BD1D4" w14:textId="77777777" w:rsidR="00AB205D" w:rsidRDefault="00471A3B">
            <w:pPr>
              <w:cnfStyle w:val="000000000000" w:firstRow="0" w:lastRow="0" w:firstColumn="0" w:lastColumn="0" w:oddVBand="0" w:evenVBand="0" w:oddHBand="0" w:evenHBand="0" w:firstRowFirstColumn="0" w:firstRowLastColumn="0" w:lastRowFirstColumn="0" w:lastRowLastColumn="0"/>
            </w:pPr>
            <w:r>
              <w:t>93</w:t>
            </w:r>
          </w:p>
        </w:tc>
        <w:tc>
          <w:tcPr>
            <w:tcW w:w="794" w:type="dxa"/>
          </w:tcPr>
          <w:p w14:paraId="4A8D92AC" w14:textId="77777777" w:rsidR="00AB205D" w:rsidRDefault="00471A3B">
            <w:pPr>
              <w:cnfStyle w:val="000000000000" w:firstRow="0" w:lastRow="0" w:firstColumn="0" w:lastColumn="0" w:oddVBand="0" w:evenVBand="0" w:oddHBand="0" w:evenHBand="0" w:firstRowFirstColumn="0" w:firstRowLastColumn="0" w:lastRowFirstColumn="0" w:lastRowLastColumn="0"/>
            </w:pPr>
            <w:r>
              <w:t>60</w:t>
            </w:r>
          </w:p>
        </w:tc>
        <w:tc>
          <w:tcPr>
            <w:tcW w:w="794" w:type="dxa"/>
          </w:tcPr>
          <w:p w14:paraId="3440B676" w14:textId="77777777" w:rsidR="00AB205D" w:rsidRDefault="00471A3B">
            <w:pPr>
              <w:cnfStyle w:val="000000000000" w:firstRow="0" w:lastRow="0" w:firstColumn="0" w:lastColumn="0" w:oddVBand="0" w:evenVBand="0" w:oddHBand="0" w:evenHBand="0" w:firstRowFirstColumn="0" w:firstRowLastColumn="0" w:lastRowFirstColumn="0" w:lastRowLastColumn="0"/>
            </w:pPr>
            <w:r>
              <w:t>54</w:t>
            </w:r>
          </w:p>
        </w:tc>
        <w:tc>
          <w:tcPr>
            <w:tcW w:w="794" w:type="dxa"/>
          </w:tcPr>
          <w:p w14:paraId="31A4AEE0" w14:textId="77777777" w:rsidR="00AB205D" w:rsidRDefault="00471A3B">
            <w:pPr>
              <w:cnfStyle w:val="000000000000" w:firstRow="0" w:lastRow="0" w:firstColumn="0" w:lastColumn="0" w:oddVBand="0" w:evenVBand="0" w:oddHBand="0" w:evenHBand="0" w:firstRowFirstColumn="0" w:firstRowLastColumn="0" w:lastRowFirstColumn="0" w:lastRowLastColumn="0"/>
            </w:pPr>
            <w:r>
              <w:t>40</w:t>
            </w:r>
          </w:p>
        </w:tc>
      </w:tr>
      <w:tr w:rsidR="009C6724" w14:paraId="52BB2C38"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D352812" w14:textId="77777777" w:rsidR="00AB205D" w:rsidRDefault="00471A3B">
            <w:r>
              <w:t>Land, buildings, infrastructure, plant and equipment</w:t>
            </w:r>
          </w:p>
        </w:tc>
        <w:tc>
          <w:tcPr>
            <w:tcW w:w="794" w:type="dxa"/>
          </w:tcPr>
          <w:p w14:paraId="3B4F0B3D" w14:textId="77777777" w:rsidR="00AB205D" w:rsidRDefault="00471A3B">
            <w:pPr>
              <w:cnfStyle w:val="000000000000" w:firstRow="0" w:lastRow="0" w:firstColumn="0" w:lastColumn="0" w:oddVBand="0" w:evenVBand="0" w:oddHBand="0" w:evenHBand="0" w:firstRowFirstColumn="0" w:firstRowLastColumn="0" w:lastRowFirstColumn="0" w:lastRowLastColumn="0"/>
            </w:pPr>
            <w:r>
              <w:t>428 808</w:t>
            </w:r>
          </w:p>
        </w:tc>
        <w:tc>
          <w:tcPr>
            <w:tcW w:w="794" w:type="dxa"/>
          </w:tcPr>
          <w:p w14:paraId="626EEEB0" w14:textId="77777777" w:rsidR="00AB205D" w:rsidRDefault="00471A3B">
            <w:pPr>
              <w:cnfStyle w:val="000000000000" w:firstRow="0" w:lastRow="0" w:firstColumn="0" w:lastColumn="0" w:oddVBand="0" w:evenVBand="0" w:oddHBand="0" w:evenHBand="0" w:firstRowFirstColumn="0" w:firstRowLastColumn="0" w:lastRowFirstColumn="0" w:lastRowLastColumn="0"/>
            </w:pPr>
            <w:r>
              <w:t>429 937</w:t>
            </w:r>
          </w:p>
        </w:tc>
        <w:tc>
          <w:tcPr>
            <w:tcW w:w="794" w:type="dxa"/>
          </w:tcPr>
          <w:p w14:paraId="54C7B35F" w14:textId="77777777" w:rsidR="00AB205D" w:rsidRDefault="00471A3B">
            <w:pPr>
              <w:cnfStyle w:val="000000000000" w:firstRow="0" w:lastRow="0" w:firstColumn="0" w:lastColumn="0" w:oddVBand="0" w:evenVBand="0" w:oddHBand="0" w:evenHBand="0" w:firstRowFirstColumn="0" w:firstRowLastColumn="0" w:lastRowFirstColumn="0" w:lastRowLastColumn="0"/>
            </w:pPr>
            <w:r>
              <w:t>462 500</w:t>
            </w:r>
          </w:p>
        </w:tc>
        <w:tc>
          <w:tcPr>
            <w:tcW w:w="794" w:type="dxa"/>
          </w:tcPr>
          <w:p w14:paraId="0C3930C3" w14:textId="77777777" w:rsidR="00AB205D" w:rsidRDefault="00471A3B">
            <w:pPr>
              <w:cnfStyle w:val="000000000000" w:firstRow="0" w:lastRow="0" w:firstColumn="0" w:lastColumn="0" w:oddVBand="0" w:evenVBand="0" w:oddHBand="0" w:evenHBand="0" w:firstRowFirstColumn="0" w:firstRowLastColumn="0" w:lastRowFirstColumn="0" w:lastRowLastColumn="0"/>
            </w:pPr>
            <w:r>
              <w:t>482 513</w:t>
            </w:r>
          </w:p>
        </w:tc>
        <w:tc>
          <w:tcPr>
            <w:tcW w:w="794" w:type="dxa"/>
          </w:tcPr>
          <w:p w14:paraId="091055E0" w14:textId="77777777" w:rsidR="00AB205D" w:rsidRDefault="00471A3B">
            <w:pPr>
              <w:cnfStyle w:val="000000000000" w:firstRow="0" w:lastRow="0" w:firstColumn="0" w:lastColumn="0" w:oddVBand="0" w:evenVBand="0" w:oddHBand="0" w:evenHBand="0" w:firstRowFirstColumn="0" w:firstRowLastColumn="0" w:lastRowFirstColumn="0" w:lastRowLastColumn="0"/>
            </w:pPr>
            <w:r>
              <w:t>506 133</w:t>
            </w:r>
          </w:p>
        </w:tc>
      </w:tr>
      <w:tr w:rsidR="009C6724" w14:paraId="346EA77E"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719C42DF" w14:textId="77777777" w:rsidR="00AB205D" w:rsidRDefault="00471A3B">
            <w:r>
              <w:t>Other non</w:t>
            </w:r>
            <w:r>
              <w:noBreakHyphen/>
              <w:t>financial assets</w:t>
            </w:r>
          </w:p>
        </w:tc>
        <w:tc>
          <w:tcPr>
            <w:tcW w:w="794" w:type="dxa"/>
            <w:tcBorders>
              <w:bottom w:val="single" w:sz="6" w:space="0" w:color="auto"/>
            </w:tcBorders>
          </w:tcPr>
          <w:p w14:paraId="12BE5FBF" w14:textId="77777777" w:rsidR="00AB205D" w:rsidRDefault="00471A3B">
            <w:pPr>
              <w:cnfStyle w:val="000000000000" w:firstRow="0" w:lastRow="0" w:firstColumn="0" w:lastColumn="0" w:oddVBand="0" w:evenVBand="0" w:oddHBand="0" w:evenHBand="0" w:firstRowFirstColumn="0" w:firstRowLastColumn="0" w:lastRowFirstColumn="0" w:lastRowLastColumn="0"/>
            </w:pPr>
            <w:r>
              <w:t>6 986</w:t>
            </w:r>
          </w:p>
        </w:tc>
        <w:tc>
          <w:tcPr>
            <w:tcW w:w="794" w:type="dxa"/>
            <w:tcBorders>
              <w:bottom w:val="single" w:sz="6" w:space="0" w:color="auto"/>
            </w:tcBorders>
          </w:tcPr>
          <w:p w14:paraId="2C6BEA3F" w14:textId="77777777" w:rsidR="00AB205D" w:rsidRDefault="00471A3B">
            <w:pPr>
              <w:cnfStyle w:val="000000000000" w:firstRow="0" w:lastRow="0" w:firstColumn="0" w:lastColumn="0" w:oddVBand="0" w:evenVBand="0" w:oddHBand="0" w:evenHBand="0" w:firstRowFirstColumn="0" w:firstRowLastColumn="0" w:lastRowFirstColumn="0" w:lastRowLastColumn="0"/>
            </w:pPr>
            <w:r>
              <w:t>6 974</w:t>
            </w:r>
          </w:p>
        </w:tc>
        <w:tc>
          <w:tcPr>
            <w:tcW w:w="794" w:type="dxa"/>
            <w:tcBorders>
              <w:bottom w:val="single" w:sz="6" w:space="0" w:color="auto"/>
            </w:tcBorders>
          </w:tcPr>
          <w:p w14:paraId="43062DC8" w14:textId="77777777" w:rsidR="00AB205D" w:rsidRDefault="00471A3B">
            <w:pPr>
              <w:cnfStyle w:val="000000000000" w:firstRow="0" w:lastRow="0" w:firstColumn="0" w:lastColumn="0" w:oddVBand="0" w:evenVBand="0" w:oddHBand="0" w:evenHBand="0" w:firstRowFirstColumn="0" w:firstRowLastColumn="0" w:lastRowFirstColumn="0" w:lastRowLastColumn="0"/>
            </w:pPr>
            <w:r>
              <w:t>6 716</w:t>
            </w:r>
          </w:p>
        </w:tc>
        <w:tc>
          <w:tcPr>
            <w:tcW w:w="794" w:type="dxa"/>
            <w:tcBorders>
              <w:bottom w:val="single" w:sz="6" w:space="0" w:color="auto"/>
            </w:tcBorders>
          </w:tcPr>
          <w:p w14:paraId="5F1722A7" w14:textId="77777777" w:rsidR="00AB205D" w:rsidRDefault="00471A3B">
            <w:pPr>
              <w:cnfStyle w:val="000000000000" w:firstRow="0" w:lastRow="0" w:firstColumn="0" w:lastColumn="0" w:oddVBand="0" w:evenVBand="0" w:oddHBand="0" w:evenHBand="0" w:firstRowFirstColumn="0" w:firstRowLastColumn="0" w:lastRowFirstColumn="0" w:lastRowLastColumn="0"/>
            </w:pPr>
            <w:r>
              <w:t>6 380</w:t>
            </w:r>
          </w:p>
        </w:tc>
        <w:tc>
          <w:tcPr>
            <w:tcW w:w="794" w:type="dxa"/>
            <w:tcBorders>
              <w:bottom w:val="single" w:sz="6" w:space="0" w:color="auto"/>
            </w:tcBorders>
          </w:tcPr>
          <w:p w14:paraId="15994812" w14:textId="77777777" w:rsidR="00AB205D" w:rsidRDefault="00471A3B">
            <w:pPr>
              <w:cnfStyle w:val="000000000000" w:firstRow="0" w:lastRow="0" w:firstColumn="0" w:lastColumn="0" w:oddVBand="0" w:evenVBand="0" w:oddHBand="0" w:evenHBand="0" w:firstRowFirstColumn="0" w:firstRowLastColumn="0" w:lastRowFirstColumn="0" w:lastRowLastColumn="0"/>
            </w:pPr>
            <w:r>
              <w:t>6 042</w:t>
            </w:r>
          </w:p>
        </w:tc>
      </w:tr>
      <w:tr w:rsidR="009C6724" w14:paraId="1BA6B997"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141C5528" w14:textId="77777777" w:rsidR="00AB205D" w:rsidRDefault="00471A3B">
            <w:r>
              <w:rPr>
                <w:b/>
              </w:rPr>
              <w:t>Total non</w:t>
            </w:r>
            <w:r>
              <w:rPr>
                <w:b/>
              </w:rPr>
              <w:noBreakHyphen/>
              <w:t>financial assets</w:t>
            </w:r>
          </w:p>
        </w:tc>
        <w:tc>
          <w:tcPr>
            <w:tcW w:w="794" w:type="dxa"/>
            <w:tcBorders>
              <w:top w:val="single" w:sz="6" w:space="0" w:color="auto"/>
              <w:bottom w:val="single" w:sz="6" w:space="0" w:color="auto"/>
            </w:tcBorders>
          </w:tcPr>
          <w:p w14:paraId="1DFBA4D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437 430</w:t>
            </w:r>
          </w:p>
        </w:tc>
        <w:tc>
          <w:tcPr>
            <w:tcW w:w="794" w:type="dxa"/>
            <w:tcBorders>
              <w:top w:val="single" w:sz="6" w:space="0" w:color="auto"/>
              <w:bottom w:val="single" w:sz="6" w:space="0" w:color="auto"/>
            </w:tcBorders>
          </w:tcPr>
          <w:p w14:paraId="59EFA69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439 472</w:t>
            </w:r>
          </w:p>
        </w:tc>
        <w:tc>
          <w:tcPr>
            <w:tcW w:w="794" w:type="dxa"/>
            <w:tcBorders>
              <w:top w:val="single" w:sz="6" w:space="0" w:color="auto"/>
              <w:bottom w:val="single" w:sz="6" w:space="0" w:color="auto"/>
            </w:tcBorders>
          </w:tcPr>
          <w:p w14:paraId="59D7E56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471 542</w:t>
            </w:r>
          </w:p>
        </w:tc>
        <w:tc>
          <w:tcPr>
            <w:tcW w:w="794" w:type="dxa"/>
            <w:tcBorders>
              <w:top w:val="single" w:sz="6" w:space="0" w:color="auto"/>
              <w:bottom w:val="single" w:sz="6" w:space="0" w:color="auto"/>
            </w:tcBorders>
          </w:tcPr>
          <w:p w14:paraId="4A893AE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491 470</w:t>
            </w:r>
          </w:p>
        </w:tc>
        <w:tc>
          <w:tcPr>
            <w:tcW w:w="794" w:type="dxa"/>
            <w:tcBorders>
              <w:top w:val="single" w:sz="6" w:space="0" w:color="auto"/>
              <w:bottom w:val="single" w:sz="6" w:space="0" w:color="auto"/>
            </w:tcBorders>
          </w:tcPr>
          <w:p w14:paraId="0DA55B2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514 180</w:t>
            </w:r>
          </w:p>
        </w:tc>
      </w:tr>
      <w:tr w:rsidR="009C6724" w14:paraId="601DC12E"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662AA833" w14:textId="77777777" w:rsidR="00AB205D" w:rsidRDefault="00471A3B">
            <w:r>
              <w:rPr>
                <w:b/>
              </w:rPr>
              <w:t>Total assets</w:t>
            </w:r>
          </w:p>
        </w:tc>
        <w:tc>
          <w:tcPr>
            <w:tcW w:w="794" w:type="dxa"/>
            <w:tcBorders>
              <w:top w:val="single" w:sz="6" w:space="0" w:color="auto"/>
            </w:tcBorders>
          </w:tcPr>
          <w:p w14:paraId="0D839E4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547 983</w:t>
            </w:r>
          </w:p>
        </w:tc>
        <w:tc>
          <w:tcPr>
            <w:tcW w:w="794" w:type="dxa"/>
            <w:tcBorders>
              <w:top w:val="single" w:sz="6" w:space="0" w:color="auto"/>
            </w:tcBorders>
          </w:tcPr>
          <w:p w14:paraId="0D5B8C9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543 271</w:t>
            </w:r>
          </w:p>
        </w:tc>
        <w:tc>
          <w:tcPr>
            <w:tcW w:w="794" w:type="dxa"/>
            <w:tcBorders>
              <w:top w:val="single" w:sz="6" w:space="0" w:color="auto"/>
            </w:tcBorders>
          </w:tcPr>
          <w:p w14:paraId="0C2C65C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581 106</w:t>
            </w:r>
          </w:p>
        </w:tc>
        <w:tc>
          <w:tcPr>
            <w:tcW w:w="794" w:type="dxa"/>
            <w:tcBorders>
              <w:top w:val="single" w:sz="6" w:space="0" w:color="auto"/>
            </w:tcBorders>
          </w:tcPr>
          <w:p w14:paraId="1E4A3C1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606 962</w:t>
            </w:r>
          </w:p>
        </w:tc>
        <w:tc>
          <w:tcPr>
            <w:tcW w:w="794" w:type="dxa"/>
            <w:tcBorders>
              <w:top w:val="single" w:sz="6" w:space="0" w:color="auto"/>
            </w:tcBorders>
          </w:tcPr>
          <w:p w14:paraId="20F1322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636 935</w:t>
            </w:r>
          </w:p>
        </w:tc>
      </w:tr>
      <w:tr w:rsidR="009C6724" w14:paraId="54FCDC78"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7088F8B2" w14:textId="77777777" w:rsidR="00AB205D" w:rsidRDefault="00471A3B">
            <w:r>
              <w:rPr>
                <w:b/>
              </w:rPr>
              <w:t>Liabilities</w:t>
            </w:r>
          </w:p>
        </w:tc>
        <w:tc>
          <w:tcPr>
            <w:tcW w:w="794" w:type="dxa"/>
          </w:tcPr>
          <w:p w14:paraId="51B9AF96"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5B91EF1F"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88F6C1B"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132F43F"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1AD0BD5A"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0B2260E4"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03A2C479" w14:textId="77777777" w:rsidR="00AB205D" w:rsidRDefault="00471A3B">
            <w:r>
              <w:t>Deposits held and advances received</w:t>
            </w:r>
          </w:p>
        </w:tc>
        <w:tc>
          <w:tcPr>
            <w:tcW w:w="794" w:type="dxa"/>
          </w:tcPr>
          <w:p w14:paraId="1657FBB9" w14:textId="77777777" w:rsidR="00AB205D" w:rsidRDefault="00471A3B">
            <w:pPr>
              <w:cnfStyle w:val="000000000000" w:firstRow="0" w:lastRow="0" w:firstColumn="0" w:lastColumn="0" w:oddVBand="0" w:evenVBand="0" w:oddHBand="0" w:evenHBand="0" w:firstRowFirstColumn="0" w:firstRowLastColumn="0" w:lastRowFirstColumn="0" w:lastRowLastColumn="0"/>
            </w:pPr>
            <w:r>
              <w:t>1 766</w:t>
            </w:r>
          </w:p>
        </w:tc>
        <w:tc>
          <w:tcPr>
            <w:tcW w:w="794" w:type="dxa"/>
          </w:tcPr>
          <w:p w14:paraId="4860B0AA" w14:textId="77777777" w:rsidR="00AB205D" w:rsidRDefault="00471A3B">
            <w:pPr>
              <w:cnfStyle w:val="000000000000" w:firstRow="0" w:lastRow="0" w:firstColumn="0" w:lastColumn="0" w:oddVBand="0" w:evenVBand="0" w:oddHBand="0" w:evenHBand="0" w:firstRowFirstColumn="0" w:firstRowLastColumn="0" w:lastRowFirstColumn="0" w:lastRowLastColumn="0"/>
            </w:pPr>
            <w:r>
              <w:t>1 709</w:t>
            </w:r>
          </w:p>
        </w:tc>
        <w:tc>
          <w:tcPr>
            <w:tcW w:w="794" w:type="dxa"/>
          </w:tcPr>
          <w:p w14:paraId="40663609" w14:textId="77777777" w:rsidR="00AB205D" w:rsidRDefault="00471A3B">
            <w:pPr>
              <w:cnfStyle w:val="000000000000" w:firstRow="0" w:lastRow="0" w:firstColumn="0" w:lastColumn="0" w:oddVBand="0" w:evenVBand="0" w:oddHBand="0" w:evenHBand="0" w:firstRowFirstColumn="0" w:firstRowLastColumn="0" w:lastRowFirstColumn="0" w:lastRowLastColumn="0"/>
            </w:pPr>
            <w:r>
              <w:t>1 699</w:t>
            </w:r>
          </w:p>
        </w:tc>
        <w:tc>
          <w:tcPr>
            <w:tcW w:w="794" w:type="dxa"/>
          </w:tcPr>
          <w:p w14:paraId="2C33CDAA" w14:textId="77777777" w:rsidR="00AB205D" w:rsidRDefault="00471A3B">
            <w:pPr>
              <w:cnfStyle w:val="000000000000" w:firstRow="0" w:lastRow="0" w:firstColumn="0" w:lastColumn="0" w:oddVBand="0" w:evenVBand="0" w:oddHBand="0" w:evenHBand="0" w:firstRowFirstColumn="0" w:firstRowLastColumn="0" w:lastRowFirstColumn="0" w:lastRowLastColumn="0"/>
            </w:pPr>
            <w:r>
              <w:t>1 649</w:t>
            </w:r>
          </w:p>
        </w:tc>
        <w:tc>
          <w:tcPr>
            <w:tcW w:w="794" w:type="dxa"/>
          </w:tcPr>
          <w:p w14:paraId="5A65B6CB" w14:textId="77777777" w:rsidR="00AB205D" w:rsidRDefault="00471A3B">
            <w:pPr>
              <w:cnfStyle w:val="000000000000" w:firstRow="0" w:lastRow="0" w:firstColumn="0" w:lastColumn="0" w:oddVBand="0" w:evenVBand="0" w:oddHBand="0" w:evenHBand="0" w:firstRowFirstColumn="0" w:firstRowLastColumn="0" w:lastRowFirstColumn="0" w:lastRowLastColumn="0"/>
            </w:pPr>
            <w:r>
              <w:t>1 631</w:t>
            </w:r>
          </w:p>
        </w:tc>
      </w:tr>
      <w:tr w:rsidR="009C6724" w14:paraId="234F1139"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0EBC7D2" w14:textId="77777777" w:rsidR="00AB205D" w:rsidRDefault="00471A3B">
            <w:r>
              <w:t>Payables</w:t>
            </w:r>
          </w:p>
        </w:tc>
        <w:tc>
          <w:tcPr>
            <w:tcW w:w="794" w:type="dxa"/>
          </w:tcPr>
          <w:p w14:paraId="305D9796" w14:textId="77777777" w:rsidR="00AB205D" w:rsidRDefault="00471A3B">
            <w:pPr>
              <w:cnfStyle w:val="000000000000" w:firstRow="0" w:lastRow="0" w:firstColumn="0" w:lastColumn="0" w:oddVBand="0" w:evenVBand="0" w:oddHBand="0" w:evenHBand="0" w:firstRowFirstColumn="0" w:firstRowLastColumn="0" w:lastRowFirstColumn="0" w:lastRowLastColumn="0"/>
            </w:pPr>
            <w:r>
              <w:t>40 078</w:t>
            </w:r>
          </w:p>
        </w:tc>
        <w:tc>
          <w:tcPr>
            <w:tcW w:w="794" w:type="dxa"/>
          </w:tcPr>
          <w:p w14:paraId="118D163C" w14:textId="77777777" w:rsidR="00AB205D" w:rsidRDefault="00471A3B">
            <w:pPr>
              <w:cnfStyle w:val="000000000000" w:firstRow="0" w:lastRow="0" w:firstColumn="0" w:lastColumn="0" w:oddVBand="0" w:evenVBand="0" w:oddHBand="0" w:evenHBand="0" w:firstRowFirstColumn="0" w:firstRowLastColumn="0" w:lastRowFirstColumn="0" w:lastRowLastColumn="0"/>
            </w:pPr>
            <w:r>
              <w:t>39 061</w:t>
            </w:r>
          </w:p>
        </w:tc>
        <w:tc>
          <w:tcPr>
            <w:tcW w:w="794" w:type="dxa"/>
          </w:tcPr>
          <w:p w14:paraId="6C9AACDF" w14:textId="77777777" w:rsidR="00AB205D" w:rsidRDefault="00471A3B">
            <w:pPr>
              <w:cnfStyle w:val="000000000000" w:firstRow="0" w:lastRow="0" w:firstColumn="0" w:lastColumn="0" w:oddVBand="0" w:evenVBand="0" w:oddHBand="0" w:evenHBand="0" w:firstRowFirstColumn="0" w:firstRowLastColumn="0" w:lastRowFirstColumn="0" w:lastRowLastColumn="0"/>
            </w:pPr>
            <w:r>
              <w:t>38 494</w:t>
            </w:r>
          </w:p>
        </w:tc>
        <w:tc>
          <w:tcPr>
            <w:tcW w:w="794" w:type="dxa"/>
          </w:tcPr>
          <w:p w14:paraId="04E6E63E" w14:textId="77777777" w:rsidR="00AB205D" w:rsidRDefault="00471A3B">
            <w:pPr>
              <w:cnfStyle w:val="000000000000" w:firstRow="0" w:lastRow="0" w:firstColumn="0" w:lastColumn="0" w:oddVBand="0" w:evenVBand="0" w:oddHBand="0" w:evenHBand="0" w:firstRowFirstColumn="0" w:firstRowLastColumn="0" w:lastRowFirstColumn="0" w:lastRowLastColumn="0"/>
            </w:pPr>
            <w:r>
              <w:t>37 724</w:t>
            </w:r>
          </w:p>
        </w:tc>
        <w:tc>
          <w:tcPr>
            <w:tcW w:w="794" w:type="dxa"/>
          </w:tcPr>
          <w:p w14:paraId="291B9C7C" w14:textId="77777777" w:rsidR="00AB205D" w:rsidRDefault="00471A3B">
            <w:pPr>
              <w:cnfStyle w:val="000000000000" w:firstRow="0" w:lastRow="0" w:firstColumn="0" w:lastColumn="0" w:oddVBand="0" w:evenVBand="0" w:oddHBand="0" w:evenHBand="0" w:firstRowFirstColumn="0" w:firstRowLastColumn="0" w:lastRowFirstColumn="0" w:lastRowLastColumn="0"/>
            </w:pPr>
            <w:r>
              <w:t>36 757</w:t>
            </w:r>
          </w:p>
        </w:tc>
      </w:tr>
      <w:tr w:rsidR="009C6724" w14:paraId="7EE01FB9"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B5478D2" w14:textId="77777777" w:rsidR="00AB205D" w:rsidRDefault="00471A3B">
            <w:r>
              <w:t>Contract liabilities</w:t>
            </w:r>
          </w:p>
        </w:tc>
        <w:tc>
          <w:tcPr>
            <w:tcW w:w="794" w:type="dxa"/>
          </w:tcPr>
          <w:p w14:paraId="62ABE435" w14:textId="77777777" w:rsidR="00AB205D" w:rsidRDefault="00471A3B">
            <w:pPr>
              <w:cnfStyle w:val="000000000000" w:firstRow="0" w:lastRow="0" w:firstColumn="0" w:lastColumn="0" w:oddVBand="0" w:evenVBand="0" w:oddHBand="0" w:evenHBand="0" w:firstRowFirstColumn="0" w:firstRowLastColumn="0" w:lastRowFirstColumn="0" w:lastRowLastColumn="0"/>
            </w:pPr>
            <w:r>
              <w:t>529</w:t>
            </w:r>
          </w:p>
        </w:tc>
        <w:tc>
          <w:tcPr>
            <w:tcW w:w="794" w:type="dxa"/>
          </w:tcPr>
          <w:p w14:paraId="775EAFE0" w14:textId="77777777" w:rsidR="00AB205D" w:rsidRDefault="00471A3B">
            <w:pPr>
              <w:cnfStyle w:val="000000000000" w:firstRow="0" w:lastRow="0" w:firstColumn="0" w:lastColumn="0" w:oddVBand="0" w:evenVBand="0" w:oddHBand="0" w:evenHBand="0" w:firstRowFirstColumn="0" w:firstRowLastColumn="0" w:lastRowFirstColumn="0" w:lastRowLastColumn="0"/>
            </w:pPr>
            <w:r>
              <w:t>615</w:t>
            </w:r>
          </w:p>
        </w:tc>
        <w:tc>
          <w:tcPr>
            <w:tcW w:w="794" w:type="dxa"/>
          </w:tcPr>
          <w:p w14:paraId="068E106D" w14:textId="77777777" w:rsidR="00AB205D" w:rsidRDefault="00471A3B">
            <w:pPr>
              <w:cnfStyle w:val="000000000000" w:firstRow="0" w:lastRow="0" w:firstColumn="0" w:lastColumn="0" w:oddVBand="0" w:evenVBand="0" w:oddHBand="0" w:evenHBand="0" w:firstRowFirstColumn="0" w:firstRowLastColumn="0" w:lastRowFirstColumn="0" w:lastRowLastColumn="0"/>
            </w:pPr>
            <w:r>
              <w:t>606</w:t>
            </w:r>
          </w:p>
        </w:tc>
        <w:tc>
          <w:tcPr>
            <w:tcW w:w="794" w:type="dxa"/>
          </w:tcPr>
          <w:p w14:paraId="1318D661" w14:textId="77777777" w:rsidR="00AB205D" w:rsidRDefault="00471A3B">
            <w:pPr>
              <w:cnfStyle w:val="000000000000" w:firstRow="0" w:lastRow="0" w:firstColumn="0" w:lastColumn="0" w:oddVBand="0" w:evenVBand="0" w:oddHBand="0" w:evenHBand="0" w:firstRowFirstColumn="0" w:firstRowLastColumn="0" w:lastRowFirstColumn="0" w:lastRowLastColumn="0"/>
            </w:pPr>
            <w:r>
              <w:t>610</w:t>
            </w:r>
          </w:p>
        </w:tc>
        <w:tc>
          <w:tcPr>
            <w:tcW w:w="794" w:type="dxa"/>
          </w:tcPr>
          <w:p w14:paraId="3AE5043B" w14:textId="77777777" w:rsidR="00AB205D" w:rsidRDefault="00471A3B">
            <w:pPr>
              <w:cnfStyle w:val="000000000000" w:firstRow="0" w:lastRow="0" w:firstColumn="0" w:lastColumn="0" w:oddVBand="0" w:evenVBand="0" w:oddHBand="0" w:evenHBand="0" w:firstRowFirstColumn="0" w:firstRowLastColumn="0" w:lastRowFirstColumn="0" w:lastRowLastColumn="0"/>
            </w:pPr>
            <w:r>
              <w:t>611</w:t>
            </w:r>
          </w:p>
        </w:tc>
      </w:tr>
      <w:tr w:rsidR="009C6724" w14:paraId="777984FC"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772E09AB" w14:textId="77777777" w:rsidR="00AB205D" w:rsidRDefault="00471A3B">
            <w:r>
              <w:t>Borrowings</w:t>
            </w:r>
          </w:p>
        </w:tc>
        <w:tc>
          <w:tcPr>
            <w:tcW w:w="794" w:type="dxa"/>
          </w:tcPr>
          <w:p w14:paraId="3C35E2ED" w14:textId="77777777" w:rsidR="00AB205D" w:rsidRDefault="00471A3B">
            <w:pPr>
              <w:cnfStyle w:val="000000000000" w:firstRow="0" w:lastRow="0" w:firstColumn="0" w:lastColumn="0" w:oddVBand="0" w:evenVBand="0" w:oddHBand="0" w:evenHBand="0" w:firstRowFirstColumn="0" w:firstRowLastColumn="0" w:lastRowFirstColumn="0" w:lastRowLastColumn="0"/>
            </w:pPr>
            <w:r>
              <w:t>193 872</w:t>
            </w:r>
          </w:p>
        </w:tc>
        <w:tc>
          <w:tcPr>
            <w:tcW w:w="794" w:type="dxa"/>
          </w:tcPr>
          <w:p w14:paraId="7A4F7709" w14:textId="77777777" w:rsidR="00AB205D" w:rsidRDefault="00471A3B">
            <w:pPr>
              <w:cnfStyle w:val="000000000000" w:firstRow="0" w:lastRow="0" w:firstColumn="0" w:lastColumn="0" w:oddVBand="0" w:evenVBand="0" w:oddHBand="0" w:evenHBand="0" w:firstRowFirstColumn="0" w:firstRowLastColumn="0" w:lastRowFirstColumn="0" w:lastRowLastColumn="0"/>
            </w:pPr>
            <w:r>
              <w:t>189 229</w:t>
            </w:r>
          </w:p>
        </w:tc>
        <w:tc>
          <w:tcPr>
            <w:tcW w:w="794" w:type="dxa"/>
          </w:tcPr>
          <w:p w14:paraId="55968569" w14:textId="77777777" w:rsidR="00AB205D" w:rsidRDefault="00471A3B">
            <w:pPr>
              <w:cnfStyle w:val="000000000000" w:firstRow="0" w:lastRow="0" w:firstColumn="0" w:lastColumn="0" w:oddVBand="0" w:evenVBand="0" w:oddHBand="0" w:evenHBand="0" w:firstRowFirstColumn="0" w:firstRowLastColumn="0" w:lastRowFirstColumn="0" w:lastRowLastColumn="0"/>
            </w:pPr>
            <w:r>
              <w:t>212 332</w:t>
            </w:r>
          </w:p>
        </w:tc>
        <w:tc>
          <w:tcPr>
            <w:tcW w:w="794" w:type="dxa"/>
          </w:tcPr>
          <w:p w14:paraId="0A88F1C7" w14:textId="77777777" w:rsidR="00AB205D" w:rsidRDefault="00471A3B">
            <w:pPr>
              <w:cnfStyle w:val="000000000000" w:firstRow="0" w:lastRow="0" w:firstColumn="0" w:lastColumn="0" w:oddVBand="0" w:evenVBand="0" w:oddHBand="0" w:evenHBand="0" w:firstRowFirstColumn="0" w:firstRowLastColumn="0" w:lastRowFirstColumn="0" w:lastRowLastColumn="0"/>
            </w:pPr>
            <w:r>
              <w:t>231 184</w:t>
            </w:r>
          </w:p>
        </w:tc>
        <w:tc>
          <w:tcPr>
            <w:tcW w:w="794" w:type="dxa"/>
          </w:tcPr>
          <w:p w14:paraId="42B01099" w14:textId="77777777" w:rsidR="00AB205D" w:rsidRDefault="00471A3B">
            <w:pPr>
              <w:cnfStyle w:val="000000000000" w:firstRow="0" w:lastRow="0" w:firstColumn="0" w:lastColumn="0" w:oddVBand="0" w:evenVBand="0" w:oddHBand="0" w:evenHBand="0" w:firstRowFirstColumn="0" w:firstRowLastColumn="0" w:lastRowFirstColumn="0" w:lastRowLastColumn="0"/>
            </w:pPr>
            <w:r>
              <w:t>248 986</w:t>
            </w:r>
          </w:p>
        </w:tc>
      </w:tr>
      <w:tr w:rsidR="009C6724" w14:paraId="0D93C22F"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0BEFBBB9" w14:textId="77777777" w:rsidR="00AB205D" w:rsidRDefault="00471A3B">
            <w:r>
              <w:t>Employee benefits</w:t>
            </w:r>
          </w:p>
        </w:tc>
        <w:tc>
          <w:tcPr>
            <w:tcW w:w="794" w:type="dxa"/>
          </w:tcPr>
          <w:p w14:paraId="07016B92" w14:textId="77777777" w:rsidR="00AB205D" w:rsidRDefault="00471A3B">
            <w:pPr>
              <w:cnfStyle w:val="000000000000" w:firstRow="0" w:lastRow="0" w:firstColumn="0" w:lastColumn="0" w:oddVBand="0" w:evenVBand="0" w:oddHBand="0" w:evenHBand="0" w:firstRowFirstColumn="0" w:firstRowLastColumn="0" w:lastRowFirstColumn="0" w:lastRowLastColumn="0"/>
            </w:pPr>
            <w:r>
              <w:t>11 297</w:t>
            </w:r>
          </w:p>
        </w:tc>
        <w:tc>
          <w:tcPr>
            <w:tcW w:w="794" w:type="dxa"/>
          </w:tcPr>
          <w:p w14:paraId="5C887ED4" w14:textId="77777777" w:rsidR="00AB205D" w:rsidRDefault="00471A3B">
            <w:pPr>
              <w:cnfStyle w:val="000000000000" w:firstRow="0" w:lastRow="0" w:firstColumn="0" w:lastColumn="0" w:oddVBand="0" w:evenVBand="0" w:oddHBand="0" w:evenHBand="0" w:firstRowFirstColumn="0" w:firstRowLastColumn="0" w:lastRowFirstColumn="0" w:lastRowLastColumn="0"/>
            </w:pPr>
            <w:r>
              <w:t>11 290</w:t>
            </w:r>
          </w:p>
        </w:tc>
        <w:tc>
          <w:tcPr>
            <w:tcW w:w="794" w:type="dxa"/>
          </w:tcPr>
          <w:p w14:paraId="7B766D18" w14:textId="77777777" w:rsidR="00AB205D" w:rsidRDefault="00471A3B">
            <w:pPr>
              <w:cnfStyle w:val="000000000000" w:firstRow="0" w:lastRow="0" w:firstColumn="0" w:lastColumn="0" w:oddVBand="0" w:evenVBand="0" w:oddHBand="0" w:evenHBand="0" w:firstRowFirstColumn="0" w:firstRowLastColumn="0" w:lastRowFirstColumn="0" w:lastRowLastColumn="0"/>
            </w:pPr>
            <w:r>
              <w:t>11 645</w:t>
            </w:r>
          </w:p>
        </w:tc>
        <w:tc>
          <w:tcPr>
            <w:tcW w:w="794" w:type="dxa"/>
          </w:tcPr>
          <w:p w14:paraId="09442902" w14:textId="77777777" w:rsidR="00AB205D" w:rsidRDefault="00471A3B">
            <w:pPr>
              <w:cnfStyle w:val="000000000000" w:firstRow="0" w:lastRow="0" w:firstColumn="0" w:lastColumn="0" w:oddVBand="0" w:evenVBand="0" w:oddHBand="0" w:evenHBand="0" w:firstRowFirstColumn="0" w:firstRowLastColumn="0" w:lastRowFirstColumn="0" w:lastRowLastColumn="0"/>
            </w:pPr>
            <w:r>
              <w:t>12 011</w:t>
            </w:r>
          </w:p>
        </w:tc>
        <w:tc>
          <w:tcPr>
            <w:tcW w:w="794" w:type="dxa"/>
          </w:tcPr>
          <w:p w14:paraId="16E5EBCC" w14:textId="77777777" w:rsidR="00AB205D" w:rsidRDefault="00471A3B">
            <w:pPr>
              <w:cnfStyle w:val="000000000000" w:firstRow="0" w:lastRow="0" w:firstColumn="0" w:lastColumn="0" w:oddVBand="0" w:evenVBand="0" w:oddHBand="0" w:evenHBand="0" w:firstRowFirstColumn="0" w:firstRowLastColumn="0" w:lastRowFirstColumn="0" w:lastRowLastColumn="0"/>
            </w:pPr>
            <w:r>
              <w:t>12 380</w:t>
            </w:r>
          </w:p>
        </w:tc>
      </w:tr>
      <w:tr w:rsidR="009C6724" w14:paraId="2906C857"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788D4D14" w14:textId="77777777" w:rsidR="00AB205D" w:rsidRDefault="00471A3B">
            <w:r>
              <w:t>Superannuation</w:t>
            </w:r>
          </w:p>
        </w:tc>
        <w:tc>
          <w:tcPr>
            <w:tcW w:w="794" w:type="dxa"/>
          </w:tcPr>
          <w:p w14:paraId="5FD2E775" w14:textId="77777777" w:rsidR="00AB205D" w:rsidRDefault="00471A3B">
            <w:pPr>
              <w:cnfStyle w:val="000000000000" w:firstRow="0" w:lastRow="0" w:firstColumn="0" w:lastColumn="0" w:oddVBand="0" w:evenVBand="0" w:oddHBand="0" w:evenHBand="0" w:firstRowFirstColumn="0" w:firstRowLastColumn="0" w:lastRowFirstColumn="0" w:lastRowLastColumn="0"/>
            </w:pPr>
            <w:r>
              <w:t>19 009</w:t>
            </w:r>
          </w:p>
        </w:tc>
        <w:tc>
          <w:tcPr>
            <w:tcW w:w="794" w:type="dxa"/>
          </w:tcPr>
          <w:p w14:paraId="390662A0" w14:textId="77777777" w:rsidR="00AB205D" w:rsidRDefault="00471A3B">
            <w:pPr>
              <w:cnfStyle w:val="000000000000" w:firstRow="0" w:lastRow="0" w:firstColumn="0" w:lastColumn="0" w:oddVBand="0" w:evenVBand="0" w:oddHBand="0" w:evenHBand="0" w:firstRowFirstColumn="0" w:firstRowLastColumn="0" w:lastRowFirstColumn="0" w:lastRowLastColumn="0"/>
            </w:pPr>
            <w:r>
              <w:t>17 199</w:t>
            </w:r>
          </w:p>
        </w:tc>
        <w:tc>
          <w:tcPr>
            <w:tcW w:w="794" w:type="dxa"/>
          </w:tcPr>
          <w:p w14:paraId="450255E9" w14:textId="77777777" w:rsidR="00AB205D" w:rsidRDefault="00471A3B">
            <w:pPr>
              <w:cnfStyle w:val="000000000000" w:firstRow="0" w:lastRow="0" w:firstColumn="0" w:lastColumn="0" w:oddVBand="0" w:evenVBand="0" w:oddHBand="0" w:evenHBand="0" w:firstRowFirstColumn="0" w:firstRowLastColumn="0" w:lastRowFirstColumn="0" w:lastRowLastColumn="0"/>
            </w:pPr>
            <w:r>
              <w:t>17 284</w:t>
            </w:r>
          </w:p>
        </w:tc>
        <w:tc>
          <w:tcPr>
            <w:tcW w:w="794" w:type="dxa"/>
          </w:tcPr>
          <w:p w14:paraId="05A6B7EB" w14:textId="77777777" w:rsidR="00AB205D" w:rsidRDefault="00471A3B">
            <w:pPr>
              <w:cnfStyle w:val="000000000000" w:firstRow="0" w:lastRow="0" w:firstColumn="0" w:lastColumn="0" w:oddVBand="0" w:evenVBand="0" w:oddHBand="0" w:evenHBand="0" w:firstRowFirstColumn="0" w:firstRowLastColumn="0" w:lastRowFirstColumn="0" w:lastRowLastColumn="0"/>
            </w:pPr>
            <w:r>
              <w:t>17 585</w:t>
            </w:r>
          </w:p>
        </w:tc>
        <w:tc>
          <w:tcPr>
            <w:tcW w:w="794" w:type="dxa"/>
          </w:tcPr>
          <w:p w14:paraId="67EA77E7" w14:textId="77777777" w:rsidR="00AB205D" w:rsidRDefault="00471A3B">
            <w:pPr>
              <w:cnfStyle w:val="000000000000" w:firstRow="0" w:lastRow="0" w:firstColumn="0" w:lastColumn="0" w:oddVBand="0" w:evenVBand="0" w:oddHBand="0" w:evenHBand="0" w:firstRowFirstColumn="0" w:firstRowLastColumn="0" w:lastRowFirstColumn="0" w:lastRowLastColumn="0"/>
            </w:pPr>
            <w:r>
              <w:t>17 668</w:t>
            </w:r>
          </w:p>
        </w:tc>
      </w:tr>
      <w:tr w:rsidR="009C6724" w14:paraId="30BBB779"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044068E8" w14:textId="77777777" w:rsidR="00AB205D" w:rsidRDefault="00471A3B">
            <w:r>
              <w:t>Other provisions</w:t>
            </w:r>
          </w:p>
        </w:tc>
        <w:tc>
          <w:tcPr>
            <w:tcW w:w="794" w:type="dxa"/>
            <w:tcBorders>
              <w:bottom w:val="single" w:sz="6" w:space="0" w:color="auto"/>
            </w:tcBorders>
          </w:tcPr>
          <w:p w14:paraId="360541B5" w14:textId="77777777" w:rsidR="00AB205D" w:rsidRDefault="00471A3B">
            <w:pPr>
              <w:cnfStyle w:val="000000000000" w:firstRow="0" w:lastRow="0" w:firstColumn="0" w:lastColumn="0" w:oddVBand="0" w:evenVBand="0" w:oddHBand="0" w:evenHBand="0" w:firstRowFirstColumn="0" w:firstRowLastColumn="0" w:lastRowFirstColumn="0" w:lastRowLastColumn="0"/>
            </w:pPr>
            <w:r>
              <w:t>53 401</w:t>
            </w:r>
          </w:p>
        </w:tc>
        <w:tc>
          <w:tcPr>
            <w:tcW w:w="794" w:type="dxa"/>
            <w:tcBorders>
              <w:bottom w:val="single" w:sz="6" w:space="0" w:color="auto"/>
            </w:tcBorders>
          </w:tcPr>
          <w:p w14:paraId="02B683CA" w14:textId="77777777" w:rsidR="00AB205D" w:rsidRDefault="00471A3B">
            <w:pPr>
              <w:cnfStyle w:val="000000000000" w:firstRow="0" w:lastRow="0" w:firstColumn="0" w:lastColumn="0" w:oddVBand="0" w:evenVBand="0" w:oddHBand="0" w:evenHBand="0" w:firstRowFirstColumn="0" w:firstRowLastColumn="0" w:lastRowFirstColumn="0" w:lastRowLastColumn="0"/>
            </w:pPr>
            <w:r>
              <w:t>52 581</w:t>
            </w:r>
          </w:p>
        </w:tc>
        <w:tc>
          <w:tcPr>
            <w:tcW w:w="794" w:type="dxa"/>
            <w:tcBorders>
              <w:bottom w:val="single" w:sz="6" w:space="0" w:color="auto"/>
            </w:tcBorders>
          </w:tcPr>
          <w:p w14:paraId="2EEA975A" w14:textId="77777777" w:rsidR="00AB205D" w:rsidRDefault="00471A3B">
            <w:pPr>
              <w:cnfStyle w:val="000000000000" w:firstRow="0" w:lastRow="0" w:firstColumn="0" w:lastColumn="0" w:oddVBand="0" w:evenVBand="0" w:oddHBand="0" w:evenHBand="0" w:firstRowFirstColumn="0" w:firstRowLastColumn="0" w:lastRowFirstColumn="0" w:lastRowLastColumn="0"/>
            </w:pPr>
            <w:r>
              <w:t>56 698</w:t>
            </w:r>
          </w:p>
        </w:tc>
        <w:tc>
          <w:tcPr>
            <w:tcW w:w="794" w:type="dxa"/>
            <w:tcBorders>
              <w:bottom w:val="single" w:sz="6" w:space="0" w:color="auto"/>
            </w:tcBorders>
          </w:tcPr>
          <w:p w14:paraId="78BD2FA9" w14:textId="77777777" w:rsidR="00AB205D" w:rsidRDefault="00471A3B">
            <w:pPr>
              <w:cnfStyle w:val="000000000000" w:firstRow="0" w:lastRow="0" w:firstColumn="0" w:lastColumn="0" w:oddVBand="0" w:evenVBand="0" w:oddHBand="0" w:evenHBand="0" w:firstRowFirstColumn="0" w:firstRowLastColumn="0" w:lastRowFirstColumn="0" w:lastRowLastColumn="0"/>
            </w:pPr>
            <w:r>
              <w:t>61 532</w:t>
            </w:r>
          </w:p>
        </w:tc>
        <w:tc>
          <w:tcPr>
            <w:tcW w:w="794" w:type="dxa"/>
            <w:tcBorders>
              <w:bottom w:val="single" w:sz="6" w:space="0" w:color="auto"/>
            </w:tcBorders>
          </w:tcPr>
          <w:p w14:paraId="0CDA60AE" w14:textId="77777777" w:rsidR="00AB205D" w:rsidRDefault="00471A3B">
            <w:pPr>
              <w:cnfStyle w:val="000000000000" w:firstRow="0" w:lastRow="0" w:firstColumn="0" w:lastColumn="0" w:oddVBand="0" w:evenVBand="0" w:oddHBand="0" w:evenHBand="0" w:firstRowFirstColumn="0" w:firstRowLastColumn="0" w:lastRowFirstColumn="0" w:lastRowLastColumn="0"/>
            </w:pPr>
            <w:r>
              <w:t>66 651</w:t>
            </w:r>
          </w:p>
        </w:tc>
      </w:tr>
      <w:tr w:rsidR="009C6724" w14:paraId="777C789E"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2C7A62A4" w14:textId="77777777" w:rsidR="00AB205D" w:rsidRDefault="00471A3B">
            <w:r>
              <w:rPr>
                <w:b/>
              </w:rPr>
              <w:t>Total liabilities</w:t>
            </w:r>
          </w:p>
        </w:tc>
        <w:tc>
          <w:tcPr>
            <w:tcW w:w="794" w:type="dxa"/>
            <w:tcBorders>
              <w:top w:val="single" w:sz="6" w:space="0" w:color="auto"/>
              <w:bottom w:val="single" w:sz="6" w:space="0" w:color="auto"/>
            </w:tcBorders>
          </w:tcPr>
          <w:p w14:paraId="6E27049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319 952</w:t>
            </w:r>
          </w:p>
        </w:tc>
        <w:tc>
          <w:tcPr>
            <w:tcW w:w="794" w:type="dxa"/>
            <w:tcBorders>
              <w:top w:val="single" w:sz="6" w:space="0" w:color="auto"/>
              <w:bottom w:val="single" w:sz="6" w:space="0" w:color="auto"/>
            </w:tcBorders>
          </w:tcPr>
          <w:p w14:paraId="69E72A7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311 684</w:t>
            </w:r>
          </w:p>
        </w:tc>
        <w:tc>
          <w:tcPr>
            <w:tcW w:w="794" w:type="dxa"/>
            <w:tcBorders>
              <w:top w:val="single" w:sz="6" w:space="0" w:color="auto"/>
              <w:bottom w:val="single" w:sz="6" w:space="0" w:color="auto"/>
            </w:tcBorders>
          </w:tcPr>
          <w:p w14:paraId="6454A70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338 758</w:t>
            </w:r>
          </w:p>
        </w:tc>
        <w:tc>
          <w:tcPr>
            <w:tcW w:w="794" w:type="dxa"/>
            <w:tcBorders>
              <w:top w:val="single" w:sz="6" w:space="0" w:color="auto"/>
              <w:bottom w:val="single" w:sz="6" w:space="0" w:color="auto"/>
            </w:tcBorders>
          </w:tcPr>
          <w:p w14:paraId="1E9910F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362 296</w:t>
            </w:r>
          </w:p>
        </w:tc>
        <w:tc>
          <w:tcPr>
            <w:tcW w:w="794" w:type="dxa"/>
            <w:tcBorders>
              <w:top w:val="single" w:sz="6" w:space="0" w:color="auto"/>
              <w:bottom w:val="single" w:sz="6" w:space="0" w:color="auto"/>
            </w:tcBorders>
          </w:tcPr>
          <w:p w14:paraId="712D720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384 685</w:t>
            </w:r>
          </w:p>
        </w:tc>
      </w:tr>
      <w:tr w:rsidR="009C6724" w14:paraId="29DCB94D"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7D2C2BD2" w14:textId="77777777" w:rsidR="00AB205D" w:rsidRDefault="00471A3B">
            <w:r>
              <w:rPr>
                <w:b/>
              </w:rPr>
              <w:t>Net assets</w:t>
            </w:r>
          </w:p>
        </w:tc>
        <w:tc>
          <w:tcPr>
            <w:tcW w:w="794" w:type="dxa"/>
            <w:tcBorders>
              <w:top w:val="single" w:sz="6" w:space="0" w:color="auto"/>
              <w:bottom w:val="single" w:sz="12" w:space="0" w:color="auto"/>
            </w:tcBorders>
          </w:tcPr>
          <w:p w14:paraId="229A232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228 032</w:t>
            </w:r>
          </w:p>
        </w:tc>
        <w:tc>
          <w:tcPr>
            <w:tcW w:w="794" w:type="dxa"/>
            <w:tcBorders>
              <w:top w:val="single" w:sz="6" w:space="0" w:color="auto"/>
              <w:bottom w:val="single" w:sz="12" w:space="0" w:color="auto"/>
            </w:tcBorders>
          </w:tcPr>
          <w:p w14:paraId="0E447A5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231 587</w:t>
            </w:r>
          </w:p>
        </w:tc>
        <w:tc>
          <w:tcPr>
            <w:tcW w:w="794" w:type="dxa"/>
            <w:tcBorders>
              <w:top w:val="single" w:sz="6" w:space="0" w:color="auto"/>
              <w:bottom w:val="single" w:sz="12" w:space="0" w:color="auto"/>
            </w:tcBorders>
          </w:tcPr>
          <w:p w14:paraId="74166B9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242 347</w:t>
            </w:r>
          </w:p>
        </w:tc>
        <w:tc>
          <w:tcPr>
            <w:tcW w:w="794" w:type="dxa"/>
            <w:tcBorders>
              <w:top w:val="single" w:sz="6" w:space="0" w:color="auto"/>
              <w:bottom w:val="single" w:sz="12" w:space="0" w:color="auto"/>
            </w:tcBorders>
          </w:tcPr>
          <w:p w14:paraId="1B2B6A9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244 665</w:t>
            </w:r>
          </w:p>
        </w:tc>
        <w:tc>
          <w:tcPr>
            <w:tcW w:w="794" w:type="dxa"/>
            <w:tcBorders>
              <w:top w:val="single" w:sz="6" w:space="0" w:color="auto"/>
              <w:bottom w:val="single" w:sz="12" w:space="0" w:color="auto"/>
            </w:tcBorders>
          </w:tcPr>
          <w:p w14:paraId="6BA4BC6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252 249</w:t>
            </w:r>
          </w:p>
        </w:tc>
      </w:tr>
      <w:tr w:rsidR="009C6724" w14:paraId="168E91B5"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13BD7872" w14:textId="77777777" w:rsidR="00AB205D" w:rsidRDefault="00471A3B">
            <w:r>
              <w:t>Accumulated surplus/(deficit)</w:t>
            </w:r>
          </w:p>
        </w:tc>
        <w:tc>
          <w:tcPr>
            <w:tcW w:w="794" w:type="dxa"/>
            <w:tcBorders>
              <w:top w:val="single" w:sz="6" w:space="0" w:color="auto"/>
            </w:tcBorders>
          </w:tcPr>
          <w:p w14:paraId="66C26D1A" w14:textId="77777777" w:rsidR="00AB205D" w:rsidRDefault="00471A3B">
            <w:pPr>
              <w:cnfStyle w:val="000000000000" w:firstRow="0" w:lastRow="0" w:firstColumn="0" w:lastColumn="0" w:oddVBand="0" w:evenVBand="0" w:oddHBand="0" w:evenHBand="0" w:firstRowFirstColumn="0" w:firstRowLastColumn="0" w:lastRowFirstColumn="0" w:lastRowLastColumn="0"/>
            </w:pPr>
            <w:r>
              <w:t>72 881</w:t>
            </w:r>
          </w:p>
        </w:tc>
        <w:tc>
          <w:tcPr>
            <w:tcW w:w="794" w:type="dxa"/>
            <w:tcBorders>
              <w:top w:val="single" w:sz="6" w:space="0" w:color="auto"/>
            </w:tcBorders>
          </w:tcPr>
          <w:p w14:paraId="4BE0676B" w14:textId="77777777" w:rsidR="00AB205D" w:rsidRDefault="00471A3B">
            <w:pPr>
              <w:cnfStyle w:val="000000000000" w:firstRow="0" w:lastRow="0" w:firstColumn="0" w:lastColumn="0" w:oddVBand="0" w:evenVBand="0" w:oddHBand="0" w:evenHBand="0" w:firstRowFirstColumn="0" w:firstRowLastColumn="0" w:lastRowFirstColumn="0" w:lastRowLastColumn="0"/>
            </w:pPr>
            <w:r>
              <w:t>76 897</w:t>
            </w:r>
          </w:p>
        </w:tc>
        <w:tc>
          <w:tcPr>
            <w:tcW w:w="794" w:type="dxa"/>
            <w:tcBorders>
              <w:top w:val="single" w:sz="6" w:space="0" w:color="auto"/>
            </w:tcBorders>
          </w:tcPr>
          <w:p w14:paraId="7AEC6010" w14:textId="77777777" w:rsidR="00AB205D" w:rsidRDefault="00471A3B">
            <w:pPr>
              <w:cnfStyle w:val="000000000000" w:firstRow="0" w:lastRow="0" w:firstColumn="0" w:lastColumn="0" w:oddVBand="0" w:evenVBand="0" w:oddHBand="0" w:evenHBand="0" w:firstRowFirstColumn="0" w:firstRowLastColumn="0" w:lastRowFirstColumn="0" w:lastRowLastColumn="0"/>
            </w:pPr>
            <w:r>
              <w:t>72 596</w:t>
            </w:r>
          </w:p>
        </w:tc>
        <w:tc>
          <w:tcPr>
            <w:tcW w:w="794" w:type="dxa"/>
            <w:tcBorders>
              <w:top w:val="single" w:sz="6" w:space="0" w:color="auto"/>
            </w:tcBorders>
          </w:tcPr>
          <w:p w14:paraId="592E511A" w14:textId="77777777" w:rsidR="00AB205D" w:rsidRDefault="00471A3B">
            <w:pPr>
              <w:cnfStyle w:val="000000000000" w:firstRow="0" w:lastRow="0" w:firstColumn="0" w:lastColumn="0" w:oddVBand="0" w:evenVBand="0" w:oddHBand="0" w:evenHBand="0" w:firstRowFirstColumn="0" w:firstRowLastColumn="0" w:lastRowFirstColumn="0" w:lastRowLastColumn="0"/>
            </w:pPr>
            <w:r>
              <w:t>71 206</w:t>
            </w:r>
          </w:p>
        </w:tc>
        <w:tc>
          <w:tcPr>
            <w:tcW w:w="794" w:type="dxa"/>
            <w:tcBorders>
              <w:top w:val="single" w:sz="6" w:space="0" w:color="auto"/>
            </w:tcBorders>
          </w:tcPr>
          <w:p w14:paraId="60EA460F" w14:textId="77777777" w:rsidR="00AB205D" w:rsidRDefault="00471A3B">
            <w:pPr>
              <w:cnfStyle w:val="000000000000" w:firstRow="0" w:lastRow="0" w:firstColumn="0" w:lastColumn="0" w:oddVBand="0" w:evenVBand="0" w:oddHBand="0" w:evenHBand="0" w:firstRowFirstColumn="0" w:firstRowLastColumn="0" w:lastRowFirstColumn="0" w:lastRowLastColumn="0"/>
            </w:pPr>
            <w:r>
              <w:t>69 064</w:t>
            </w:r>
          </w:p>
        </w:tc>
      </w:tr>
      <w:tr w:rsidR="009C6724" w14:paraId="6FE6E0BB"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76788193" w14:textId="77777777" w:rsidR="00AB205D" w:rsidRDefault="00471A3B">
            <w:r>
              <w:t>Reserves</w:t>
            </w:r>
          </w:p>
        </w:tc>
        <w:tc>
          <w:tcPr>
            <w:tcW w:w="794" w:type="dxa"/>
            <w:tcBorders>
              <w:bottom w:val="single" w:sz="6" w:space="0" w:color="auto"/>
            </w:tcBorders>
          </w:tcPr>
          <w:p w14:paraId="080FE6C8" w14:textId="77777777" w:rsidR="00AB205D" w:rsidRDefault="00471A3B">
            <w:pPr>
              <w:cnfStyle w:val="000000000000" w:firstRow="0" w:lastRow="0" w:firstColumn="0" w:lastColumn="0" w:oddVBand="0" w:evenVBand="0" w:oddHBand="0" w:evenHBand="0" w:firstRowFirstColumn="0" w:firstRowLastColumn="0" w:lastRowFirstColumn="0" w:lastRowLastColumn="0"/>
            </w:pPr>
            <w:r>
              <w:t>155 151</w:t>
            </w:r>
          </w:p>
        </w:tc>
        <w:tc>
          <w:tcPr>
            <w:tcW w:w="794" w:type="dxa"/>
            <w:tcBorders>
              <w:bottom w:val="single" w:sz="6" w:space="0" w:color="auto"/>
            </w:tcBorders>
          </w:tcPr>
          <w:p w14:paraId="65153C3A" w14:textId="77777777" w:rsidR="00AB205D" w:rsidRDefault="00471A3B">
            <w:pPr>
              <w:cnfStyle w:val="000000000000" w:firstRow="0" w:lastRow="0" w:firstColumn="0" w:lastColumn="0" w:oddVBand="0" w:evenVBand="0" w:oddHBand="0" w:evenHBand="0" w:firstRowFirstColumn="0" w:firstRowLastColumn="0" w:lastRowFirstColumn="0" w:lastRowLastColumn="0"/>
            </w:pPr>
            <w:r>
              <w:t>154 690</w:t>
            </w:r>
          </w:p>
        </w:tc>
        <w:tc>
          <w:tcPr>
            <w:tcW w:w="794" w:type="dxa"/>
            <w:tcBorders>
              <w:bottom w:val="single" w:sz="6" w:space="0" w:color="auto"/>
            </w:tcBorders>
          </w:tcPr>
          <w:p w14:paraId="7AB47866" w14:textId="77777777" w:rsidR="00AB205D" w:rsidRDefault="00471A3B">
            <w:pPr>
              <w:cnfStyle w:val="000000000000" w:firstRow="0" w:lastRow="0" w:firstColumn="0" w:lastColumn="0" w:oddVBand="0" w:evenVBand="0" w:oddHBand="0" w:evenHBand="0" w:firstRowFirstColumn="0" w:firstRowLastColumn="0" w:lastRowFirstColumn="0" w:lastRowLastColumn="0"/>
            </w:pPr>
            <w:r>
              <w:t>169 751</w:t>
            </w:r>
          </w:p>
        </w:tc>
        <w:tc>
          <w:tcPr>
            <w:tcW w:w="794" w:type="dxa"/>
            <w:tcBorders>
              <w:bottom w:val="single" w:sz="6" w:space="0" w:color="auto"/>
            </w:tcBorders>
          </w:tcPr>
          <w:p w14:paraId="787BE081" w14:textId="77777777" w:rsidR="00AB205D" w:rsidRDefault="00471A3B">
            <w:pPr>
              <w:cnfStyle w:val="000000000000" w:firstRow="0" w:lastRow="0" w:firstColumn="0" w:lastColumn="0" w:oddVBand="0" w:evenVBand="0" w:oddHBand="0" w:evenHBand="0" w:firstRowFirstColumn="0" w:firstRowLastColumn="0" w:lastRowFirstColumn="0" w:lastRowLastColumn="0"/>
            </w:pPr>
            <w:r>
              <w:t>173 460</w:t>
            </w:r>
          </w:p>
        </w:tc>
        <w:tc>
          <w:tcPr>
            <w:tcW w:w="794" w:type="dxa"/>
            <w:tcBorders>
              <w:bottom w:val="single" w:sz="6" w:space="0" w:color="auto"/>
            </w:tcBorders>
          </w:tcPr>
          <w:p w14:paraId="4360B404" w14:textId="77777777" w:rsidR="00AB205D" w:rsidRDefault="00471A3B">
            <w:pPr>
              <w:cnfStyle w:val="000000000000" w:firstRow="0" w:lastRow="0" w:firstColumn="0" w:lastColumn="0" w:oddVBand="0" w:evenVBand="0" w:oddHBand="0" w:evenHBand="0" w:firstRowFirstColumn="0" w:firstRowLastColumn="0" w:lastRowFirstColumn="0" w:lastRowLastColumn="0"/>
            </w:pPr>
            <w:r>
              <w:t>183 186</w:t>
            </w:r>
          </w:p>
        </w:tc>
      </w:tr>
      <w:tr w:rsidR="009C6724" w14:paraId="53662250"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074859A0" w14:textId="77777777" w:rsidR="00AB205D" w:rsidRDefault="00471A3B">
            <w:r>
              <w:rPr>
                <w:b/>
              </w:rPr>
              <w:t>Net worth</w:t>
            </w:r>
          </w:p>
        </w:tc>
        <w:tc>
          <w:tcPr>
            <w:tcW w:w="794" w:type="dxa"/>
            <w:tcBorders>
              <w:top w:val="single" w:sz="6" w:space="0" w:color="auto"/>
              <w:bottom w:val="single" w:sz="12" w:space="0" w:color="auto"/>
            </w:tcBorders>
          </w:tcPr>
          <w:p w14:paraId="7DA313F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228 032</w:t>
            </w:r>
          </w:p>
        </w:tc>
        <w:tc>
          <w:tcPr>
            <w:tcW w:w="794" w:type="dxa"/>
            <w:tcBorders>
              <w:top w:val="single" w:sz="6" w:space="0" w:color="auto"/>
              <w:bottom w:val="single" w:sz="12" w:space="0" w:color="auto"/>
            </w:tcBorders>
          </w:tcPr>
          <w:p w14:paraId="7442819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231 587</w:t>
            </w:r>
          </w:p>
        </w:tc>
        <w:tc>
          <w:tcPr>
            <w:tcW w:w="794" w:type="dxa"/>
            <w:tcBorders>
              <w:top w:val="single" w:sz="6" w:space="0" w:color="auto"/>
              <w:bottom w:val="single" w:sz="12" w:space="0" w:color="auto"/>
            </w:tcBorders>
          </w:tcPr>
          <w:p w14:paraId="3673409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242 347</w:t>
            </w:r>
          </w:p>
        </w:tc>
        <w:tc>
          <w:tcPr>
            <w:tcW w:w="794" w:type="dxa"/>
            <w:tcBorders>
              <w:top w:val="single" w:sz="6" w:space="0" w:color="auto"/>
              <w:bottom w:val="single" w:sz="12" w:space="0" w:color="auto"/>
            </w:tcBorders>
          </w:tcPr>
          <w:p w14:paraId="7E81077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244 665</w:t>
            </w:r>
          </w:p>
        </w:tc>
        <w:tc>
          <w:tcPr>
            <w:tcW w:w="794" w:type="dxa"/>
            <w:tcBorders>
              <w:top w:val="single" w:sz="6" w:space="0" w:color="auto"/>
              <w:bottom w:val="single" w:sz="12" w:space="0" w:color="auto"/>
            </w:tcBorders>
          </w:tcPr>
          <w:p w14:paraId="370845A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252 249</w:t>
            </w:r>
          </w:p>
        </w:tc>
      </w:tr>
      <w:tr w:rsidR="009C6724" w14:paraId="2FD6F641" w14:textId="77777777" w:rsidTr="009C6724">
        <w:trPr>
          <w:trHeight w:hRule="exact" w:val="113"/>
        </w:trPr>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103F4BCE" w14:textId="77777777" w:rsidR="00AB205D" w:rsidRDefault="00AB205D"/>
        </w:tc>
        <w:tc>
          <w:tcPr>
            <w:tcW w:w="794" w:type="dxa"/>
            <w:tcBorders>
              <w:top w:val="single" w:sz="6" w:space="0" w:color="auto"/>
            </w:tcBorders>
          </w:tcPr>
          <w:p w14:paraId="674BD129"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62A3FBFE"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480720E8"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548631C2"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B2FB246"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3577475F"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64B1F8BF" w14:textId="77777777" w:rsidR="00AB205D" w:rsidRDefault="00471A3B">
            <w:r>
              <w:rPr>
                <w:b/>
              </w:rPr>
              <w:t>FISCAL AGGREGATES</w:t>
            </w:r>
          </w:p>
        </w:tc>
        <w:tc>
          <w:tcPr>
            <w:tcW w:w="794" w:type="dxa"/>
          </w:tcPr>
          <w:p w14:paraId="1AA0AF20"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216B1C25"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25236FCA"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5B8462A3"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0C8E148"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6BA31C95"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BF9D48A" w14:textId="77777777" w:rsidR="00AB205D" w:rsidRDefault="00471A3B">
            <w:r>
              <w:t>Net financial worth</w:t>
            </w:r>
          </w:p>
        </w:tc>
        <w:tc>
          <w:tcPr>
            <w:tcW w:w="794" w:type="dxa"/>
          </w:tcPr>
          <w:p w14:paraId="7A5B8CF1" w14:textId="77777777" w:rsidR="00AB205D" w:rsidRDefault="00471A3B">
            <w:pPr>
              <w:cnfStyle w:val="000000000000" w:firstRow="0" w:lastRow="0" w:firstColumn="0" w:lastColumn="0" w:oddVBand="0" w:evenVBand="0" w:oddHBand="0" w:evenHBand="0" w:firstRowFirstColumn="0" w:firstRowLastColumn="0" w:lastRowFirstColumn="0" w:lastRowLastColumn="0"/>
            </w:pPr>
            <w:r>
              <w:t>(209 398)</w:t>
            </w:r>
          </w:p>
        </w:tc>
        <w:tc>
          <w:tcPr>
            <w:tcW w:w="794" w:type="dxa"/>
          </w:tcPr>
          <w:p w14:paraId="253AFF73" w14:textId="77777777" w:rsidR="00AB205D" w:rsidRDefault="00471A3B">
            <w:pPr>
              <w:cnfStyle w:val="000000000000" w:firstRow="0" w:lastRow="0" w:firstColumn="0" w:lastColumn="0" w:oddVBand="0" w:evenVBand="0" w:oddHBand="0" w:evenHBand="0" w:firstRowFirstColumn="0" w:firstRowLastColumn="0" w:lastRowFirstColumn="0" w:lastRowLastColumn="0"/>
            </w:pPr>
            <w:r>
              <w:t>(207 885)</w:t>
            </w:r>
          </w:p>
        </w:tc>
        <w:tc>
          <w:tcPr>
            <w:tcW w:w="794" w:type="dxa"/>
          </w:tcPr>
          <w:p w14:paraId="6366A908" w14:textId="77777777" w:rsidR="00AB205D" w:rsidRDefault="00471A3B">
            <w:pPr>
              <w:cnfStyle w:val="000000000000" w:firstRow="0" w:lastRow="0" w:firstColumn="0" w:lastColumn="0" w:oddVBand="0" w:evenVBand="0" w:oddHBand="0" w:evenHBand="0" w:firstRowFirstColumn="0" w:firstRowLastColumn="0" w:lastRowFirstColumn="0" w:lastRowLastColumn="0"/>
            </w:pPr>
            <w:r>
              <w:t>(229 195)</w:t>
            </w:r>
          </w:p>
        </w:tc>
        <w:tc>
          <w:tcPr>
            <w:tcW w:w="794" w:type="dxa"/>
          </w:tcPr>
          <w:p w14:paraId="746F71F8" w14:textId="77777777" w:rsidR="00AB205D" w:rsidRDefault="00471A3B">
            <w:pPr>
              <w:cnfStyle w:val="000000000000" w:firstRow="0" w:lastRow="0" w:firstColumn="0" w:lastColumn="0" w:oddVBand="0" w:evenVBand="0" w:oddHBand="0" w:evenHBand="0" w:firstRowFirstColumn="0" w:firstRowLastColumn="0" w:lastRowFirstColumn="0" w:lastRowLastColumn="0"/>
            </w:pPr>
            <w:r>
              <w:t>(246 804)</w:t>
            </w:r>
          </w:p>
        </w:tc>
        <w:tc>
          <w:tcPr>
            <w:tcW w:w="794" w:type="dxa"/>
          </w:tcPr>
          <w:p w14:paraId="72741DAB" w14:textId="77777777" w:rsidR="00AB205D" w:rsidRDefault="00471A3B">
            <w:pPr>
              <w:cnfStyle w:val="000000000000" w:firstRow="0" w:lastRow="0" w:firstColumn="0" w:lastColumn="0" w:oddVBand="0" w:evenVBand="0" w:oddHBand="0" w:evenHBand="0" w:firstRowFirstColumn="0" w:firstRowLastColumn="0" w:lastRowFirstColumn="0" w:lastRowLastColumn="0"/>
            </w:pPr>
            <w:r>
              <w:t>(261 930)</w:t>
            </w:r>
          </w:p>
        </w:tc>
      </w:tr>
      <w:tr w:rsidR="009C6724" w14:paraId="6E4633B7"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6B8C7CE2" w14:textId="77777777" w:rsidR="00AB205D" w:rsidRDefault="00471A3B">
            <w:r>
              <w:t>Net financial liabilities</w:t>
            </w:r>
          </w:p>
        </w:tc>
        <w:tc>
          <w:tcPr>
            <w:tcW w:w="794" w:type="dxa"/>
          </w:tcPr>
          <w:p w14:paraId="079FD494" w14:textId="77777777" w:rsidR="00AB205D" w:rsidRDefault="00471A3B">
            <w:pPr>
              <w:cnfStyle w:val="000000000000" w:firstRow="0" w:lastRow="0" w:firstColumn="0" w:lastColumn="0" w:oddVBand="0" w:evenVBand="0" w:oddHBand="0" w:evenHBand="0" w:firstRowFirstColumn="0" w:firstRowLastColumn="0" w:lastRowFirstColumn="0" w:lastRowLastColumn="0"/>
            </w:pPr>
            <w:r>
              <w:t>209 398</w:t>
            </w:r>
          </w:p>
        </w:tc>
        <w:tc>
          <w:tcPr>
            <w:tcW w:w="794" w:type="dxa"/>
          </w:tcPr>
          <w:p w14:paraId="19AAE997" w14:textId="77777777" w:rsidR="00AB205D" w:rsidRDefault="00471A3B">
            <w:pPr>
              <w:cnfStyle w:val="000000000000" w:firstRow="0" w:lastRow="0" w:firstColumn="0" w:lastColumn="0" w:oddVBand="0" w:evenVBand="0" w:oddHBand="0" w:evenHBand="0" w:firstRowFirstColumn="0" w:firstRowLastColumn="0" w:lastRowFirstColumn="0" w:lastRowLastColumn="0"/>
            </w:pPr>
            <w:r>
              <w:t>207 885</w:t>
            </w:r>
          </w:p>
        </w:tc>
        <w:tc>
          <w:tcPr>
            <w:tcW w:w="794" w:type="dxa"/>
          </w:tcPr>
          <w:p w14:paraId="4CD005B2" w14:textId="77777777" w:rsidR="00AB205D" w:rsidRDefault="00471A3B">
            <w:pPr>
              <w:cnfStyle w:val="000000000000" w:firstRow="0" w:lastRow="0" w:firstColumn="0" w:lastColumn="0" w:oddVBand="0" w:evenVBand="0" w:oddHBand="0" w:evenHBand="0" w:firstRowFirstColumn="0" w:firstRowLastColumn="0" w:lastRowFirstColumn="0" w:lastRowLastColumn="0"/>
            </w:pPr>
            <w:r>
              <w:t>229 195</w:t>
            </w:r>
          </w:p>
        </w:tc>
        <w:tc>
          <w:tcPr>
            <w:tcW w:w="794" w:type="dxa"/>
          </w:tcPr>
          <w:p w14:paraId="63774E36" w14:textId="77777777" w:rsidR="00AB205D" w:rsidRDefault="00471A3B">
            <w:pPr>
              <w:cnfStyle w:val="000000000000" w:firstRow="0" w:lastRow="0" w:firstColumn="0" w:lastColumn="0" w:oddVBand="0" w:evenVBand="0" w:oddHBand="0" w:evenHBand="0" w:firstRowFirstColumn="0" w:firstRowLastColumn="0" w:lastRowFirstColumn="0" w:lastRowLastColumn="0"/>
            </w:pPr>
            <w:r>
              <w:t>246 804</w:t>
            </w:r>
          </w:p>
        </w:tc>
        <w:tc>
          <w:tcPr>
            <w:tcW w:w="794" w:type="dxa"/>
          </w:tcPr>
          <w:p w14:paraId="73005192" w14:textId="77777777" w:rsidR="00AB205D" w:rsidRDefault="00471A3B">
            <w:pPr>
              <w:cnfStyle w:val="000000000000" w:firstRow="0" w:lastRow="0" w:firstColumn="0" w:lastColumn="0" w:oddVBand="0" w:evenVBand="0" w:oddHBand="0" w:evenHBand="0" w:firstRowFirstColumn="0" w:firstRowLastColumn="0" w:lastRowFirstColumn="0" w:lastRowLastColumn="0"/>
            </w:pPr>
            <w:r>
              <w:t>261 930</w:t>
            </w:r>
          </w:p>
        </w:tc>
      </w:tr>
      <w:tr w:rsidR="009C6724" w14:paraId="1CAD5E98"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12" w:space="0" w:color="auto"/>
            </w:tcBorders>
          </w:tcPr>
          <w:p w14:paraId="163AE00E" w14:textId="77777777" w:rsidR="00AB205D" w:rsidRDefault="00471A3B">
            <w:r>
              <w:t>Net debt</w:t>
            </w:r>
          </w:p>
        </w:tc>
        <w:tc>
          <w:tcPr>
            <w:tcW w:w="794" w:type="dxa"/>
            <w:tcBorders>
              <w:bottom w:val="single" w:sz="12" w:space="0" w:color="auto"/>
            </w:tcBorders>
          </w:tcPr>
          <w:p w14:paraId="6BB23434" w14:textId="77777777" w:rsidR="00AB205D" w:rsidRDefault="00471A3B">
            <w:pPr>
              <w:cnfStyle w:val="000000000000" w:firstRow="0" w:lastRow="0" w:firstColumn="0" w:lastColumn="0" w:oddVBand="0" w:evenVBand="0" w:oddHBand="0" w:evenHBand="0" w:firstRowFirstColumn="0" w:firstRowLastColumn="0" w:lastRowFirstColumn="0" w:lastRowLastColumn="0"/>
            </w:pPr>
            <w:r>
              <w:t>99 268</w:t>
            </w:r>
          </w:p>
        </w:tc>
        <w:tc>
          <w:tcPr>
            <w:tcW w:w="794" w:type="dxa"/>
            <w:tcBorders>
              <w:bottom w:val="single" w:sz="12" w:space="0" w:color="auto"/>
            </w:tcBorders>
          </w:tcPr>
          <w:p w14:paraId="2E8994CB" w14:textId="77777777" w:rsidR="00AB205D" w:rsidRDefault="00471A3B">
            <w:pPr>
              <w:cnfStyle w:val="000000000000" w:firstRow="0" w:lastRow="0" w:firstColumn="0" w:lastColumn="0" w:oddVBand="0" w:evenVBand="0" w:oddHBand="0" w:evenHBand="0" w:firstRowFirstColumn="0" w:firstRowLastColumn="0" w:lastRowFirstColumn="0" w:lastRowLastColumn="0"/>
            </w:pPr>
            <w:r>
              <w:t>100 493</w:t>
            </w:r>
          </w:p>
        </w:tc>
        <w:tc>
          <w:tcPr>
            <w:tcW w:w="794" w:type="dxa"/>
            <w:tcBorders>
              <w:bottom w:val="single" w:sz="12" w:space="0" w:color="auto"/>
            </w:tcBorders>
          </w:tcPr>
          <w:p w14:paraId="6F1E0AC8" w14:textId="77777777" w:rsidR="00AB205D" w:rsidRDefault="00471A3B">
            <w:pPr>
              <w:cnfStyle w:val="000000000000" w:firstRow="0" w:lastRow="0" w:firstColumn="0" w:lastColumn="0" w:oddVBand="0" w:evenVBand="0" w:oddHBand="0" w:evenHBand="0" w:firstRowFirstColumn="0" w:firstRowLastColumn="0" w:lastRowFirstColumn="0" w:lastRowLastColumn="0"/>
            </w:pPr>
            <w:r>
              <w:t>118 695</w:t>
            </w:r>
          </w:p>
        </w:tc>
        <w:tc>
          <w:tcPr>
            <w:tcW w:w="794" w:type="dxa"/>
            <w:tcBorders>
              <w:bottom w:val="single" w:sz="12" w:space="0" w:color="auto"/>
            </w:tcBorders>
          </w:tcPr>
          <w:p w14:paraId="6E908F18" w14:textId="77777777" w:rsidR="00AB205D" w:rsidRDefault="00471A3B">
            <w:pPr>
              <w:cnfStyle w:val="000000000000" w:firstRow="0" w:lastRow="0" w:firstColumn="0" w:lastColumn="0" w:oddVBand="0" w:evenVBand="0" w:oddHBand="0" w:evenHBand="0" w:firstRowFirstColumn="0" w:firstRowLastColumn="0" w:lastRowFirstColumn="0" w:lastRowLastColumn="0"/>
            </w:pPr>
            <w:r>
              <w:t>131 956</w:t>
            </w:r>
          </w:p>
        </w:tc>
        <w:tc>
          <w:tcPr>
            <w:tcW w:w="794" w:type="dxa"/>
            <w:tcBorders>
              <w:bottom w:val="single" w:sz="12" w:space="0" w:color="auto"/>
            </w:tcBorders>
          </w:tcPr>
          <w:p w14:paraId="3ACE700C" w14:textId="77777777" w:rsidR="00AB205D" w:rsidRDefault="00471A3B">
            <w:pPr>
              <w:cnfStyle w:val="000000000000" w:firstRow="0" w:lastRow="0" w:firstColumn="0" w:lastColumn="0" w:oddVBand="0" w:evenVBand="0" w:oddHBand="0" w:evenHBand="0" w:firstRowFirstColumn="0" w:firstRowLastColumn="0" w:lastRowFirstColumn="0" w:lastRowLastColumn="0"/>
            </w:pPr>
            <w:r>
              <w:t>143 106</w:t>
            </w:r>
          </w:p>
        </w:tc>
      </w:tr>
    </w:tbl>
    <w:p w14:paraId="4212A5B7" w14:textId="77777777" w:rsidR="00AB205D" w:rsidRPr="00921F69" w:rsidRDefault="00471A3B">
      <w:pPr>
        <w:pStyle w:val="Note"/>
        <w:ind w:left="0" w:firstLine="0"/>
      </w:pPr>
      <w:r w:rsidRPr="00921F69">
        <w:t>Note:</w:t>
      </w:r>
    </w:p>
    <w:p w14:paraId="606C35AB" w14:textId="77777777" w:rsidR="00AB205D" w:rsidRPr="00921F69" w:rsidRDefault="00471A3B">
      <w:pPr>
        <w:pStyle w:val="Note"/>
      </w:pPr>
      <w:r w:rsidRPr="00921F69">
        <w:t>(a)</w:t>
      </w:r>
      <w:r w:rsidRPr="00921F69">
        <w:tab/>
        <w:t>Balances represent actual opening balances at 1 July 20</w:t>
      </w:r>
      <w:r>
        <w:t>23</w:t>
      </w:r>
      <w:r w:rsidRPr="00921F69">
        <w:t xml:space="preserve"> plus 20</w:t>
      </w:r>
      <w:r>
        <w:t>23</w:t>
      </w:r>
      <w:r w:rsidRPr="00921F69">
        <w:t>-2</w:t>
      </w:r>
      <w:r>
        <w:t>4</w:t>
      </w:r>
      <w:r w:rsidRPr="00921F69">
        <w:t xml:space="preserve"> budgeted movements.</w:t>
      </w:r>
    </w:p>
    <w:p w14:paraId="3253D94F" w14:textId="77777777" w:rsidR="00AB205D" w:rsidRPr="00921F69" w:rsidRDefault="00AB205D">
      <w:pPr>
        <w:rPr>
          <w:rFonts w:asciiTheme="majorHAnsi" w:hAnsiTheme="majorHAnsi"/>
        </w:rPr>
      </w:pPr>
    </w:p>
    <w:p w14:paraId="55C46CA9" w14:textId="77777777" w:rsidR="00AB205D" w:rsidRDefault="00471A3B">
      <w:pPr>
        <w:rPr>
          <w:rFonts w:asciiTheme="majorHAnsi" w:hAnsiTheme="majorHAnsi"/>
          <w:b/>
          <w:sz w:val="20"/>
        </w:rPr>
      </w:pPr>
      <w:r>
        <w:br w:type="page"/>
      </w:r>
    </w:p>
    <w:p w14:paraId="6B897BBD" w14:textId="77777777" w:rsidR="00AB205D" w:rsidRDefault="00471A3B">
      <w:pPr>
        <w:pStyle w:val="TableHeading"/>
      </w:pPr>
      <w:r w:rsidRPr="00921F69">
        <w:lastRenderedPageBreak/>
        <w:t>Table 5.18</w:t>
      </w:r>
      <w:r w:rsidRPr="00921F69">
        <w:tab/>
        <w:t xml:space="preserve">State of Victoria cash flow statement for the financial year </w:t>
      </w:r>
      <w:r w:rsidRPr="00921F69">
        <w:br/>
        <w:t>ended 30 June</w:t>
      </w:r>
      <w:r w:rsidRPr="00921F69">
        <w:tab/>
        <w:t>($ million)</w:t>
      </w:r>
    </w:p>
    <w:tbl>
      <w:tblPr>
        <w:tblStyle w:val="DTFTableNumeric"/>
        <w:tblW w:w="7710" w:type="dxa"/>
        <w:tblLayout w:type="fixed"/>
        <w:tblLook w:val="06A0" w:firstRow="1" w:lastRow="0" w:firstColumn="1" w:lastColumn="0" w:noHBand="1" w:noVBand="1"/>
        <w:tblDescription w:val="Type:DtfTable|Workbook:Rawdata\BudgetUpdate\Budget Update\Financial Statements\SRIMS exports\SRIMS_BU_UPF_NFPS_WoS.xlsx|Table:WoS_CF"/>
      </w:tblPr>
      <w:tblGrid>
        <w:gridCol w:w="3740"/>
        <w:gridCol w:w="794"/>
        <w:gridCol w:w="794"/>
        <w:gridCol w:w="794"/>
        <w:gridCol w:w="794"/>
        <w:gridCol w:w="794"/>
      </w:tblGrid>
      <w:tr w:rsidR="009C6724" w14:paraId="023B2E10"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145CF487" w14:textId="77777777" w:rsidR="00AB205D" w:rsidRDefault="00AB205D">
            <w:pPr>
              <w:keepNext/>
            </w:pPr>
          </w:p>
        </w:tc>
        <w:tc>
          <w:tcPr>
            <w:tcW w:w="794" w:type="dxa"/>
          </w:tcPr>
          <w:p w14:paraId="4D1DA40D"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052B6BBB"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6DD092B6"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75994FA4"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p>
        </w:tc>
        <w:tc>
          <w:tcPr>
            <w:tcW w:w="794" w:type="dxa"/>
          </w:tcPr>
          <w:p w14:paraId="15914CC7"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p>
        </w:tc>
      </w:tr>
      <w:tr w:rsidR="009C6724" w14:paraId="43EF1B84"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3362BF08" w14:textId="77777777" w:rsidR="00AB205D" w:rsidRDefault="00AB205D">
            <w:pPr>
              <w:keepNext/>
            </w:pPr>
          </w:p>
        </w:tc>
        <w:tc>
          <w:tcPr>
            <w:tcW w:w="794" w:type="dxa"/>
          </w:tcPr>
          <w:p w14:paraId="6E47579E"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budget</w:t>
            </w:r>
          </w:p>
        </w:tc>
        <w:tc>
          <w:tcPr>
            <w:tcW w:w="794" w:type="dxa"/>
          </w:tcPr>
          <w:p w14:paraId="41F944B4"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revised</w:t>
            </w:r>
          </w:p>
        </w:tc>
        <w:tc>
          <w:tcPr>
            <w:tcW w:w="794" w:type="dxa"/>
          </w:tcPr>
          <w:p w14:paraId="12CD946C"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73C39D57"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327815F5"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estimate</w:t>
            </w:r>
          </w:p>
        </w:tc>
      </w:tr>
      <w:tr w:rsidR="009C6724" w14:paraId="60B1A10A"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6FF63AE" w14:textId="77777777" w:rsidR="00AB205D" w:rsidRDefault="00471A3B">
            <w:r>
              <w:rPr>
                <w:b/>
              </w:rPr>
              <w:t>Cash flows from operating activities</w:t>
            </w:r>
          </w:p>
        </w:tc>
        <w:tc>
          <w:tcPr>
            <w:tcW w:w="794" w:type="dxa"/>
          </w:tcPr>
          <w:p w14:paraId="4E9FE40D"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66FC9864"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36F3416"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5C2DD7DA"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65BEB84F"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51A8D895"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197BDD85" w14:textId="77777777" w:rsidR="00AB205D" w:rsidRDefault="00471A3B">
            <w:r>
              <w:rPr>
                <w:b/>
              </w:rPr>
              <w:t>Receipts</w:t>
            </w:r>
          </w:p>
        </w:tc>
        <w:tc>
          <w:tcPr>
            <w:tcW w:w="794" w:type="dxa"/>
          </w:tcPr>
          <w:p w14:paraId="3FEDE579"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2489289A"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CE76706"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14682B2C"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7B4CF03A"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7B49A738"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55899B2D" w14:textId="77777777" w:rsidR="00AB205D" w:rsidRDefault="00471A3B">
            <w:r>
              <w:t>Taxes received</w:t>
            </w:r>
          </w:p>
        </w:tc>
        <w:tc>
          <w:tcPr>
            <w:tcW w:w="794" w:type="dxa"/>
          </w:tcPr>
          <w:p w14:paraId="1B12FF64" w14:textId="77777777" w:rsidR="00AB205D" w:rsidRDefault="00471A3B">
            <w:pPr>
              <w:cnfStyle w:val="000000000000" w:firstRow="0" w:lastRow="0" w:firstColumn="0" w:lastColumn="0" w:oddVBand="0" w:evenVBand="0" w:oddHBand="0" w:evenHBand="0" w:firstRowFirstColumn="0" w:firstRowLastColumn="0" w:lastRowFirstColumn="0" w:lastRowLastColumn="0"/>
            </w:pPr>
            <w:r>
              <w:t>33 627</w:t>
            </w:r>
          </w:p>
        </w:tc>
        <w:tc>
          <w:tcPr>
            <w:tcW w:w="794" w:type="dxa"/>
          </w:tcPr>
          <w:p w14:paraId="42DC6456" w14:textId="77777777" w:rsidR="00AB205D" w:rsidRDefault="00471A3B">
            <w:pPr>
              <w:cnfStyle w:val="000000000000" w:firstRow="0" w:lastRow="0" w:firstColumn="0" w:lastColumn="0" w:oddVBand="0" w:evenVBand="0" w:oddHBand="0" w:evenHBand="0" w:firstRowFirstColumn="0" w:firstRowLastColumn="0" w:lastRowFirstColumn="0" w:lastRowLastColumn="0"/>
            </w:pPr>
            <w:r>
              <w:t>35 053</w:t>
            </w:r>
          </w:p>
        </w:tc>
        <w:tc>
          <w:tcPr>
            <w:tcW w:w="794" w:type="dxa"/>
          </w:tcPr>
          <w:p w14:paraId="1C021C3F" w14:textId="77777777" w:rsidR="00AB205D" w:rsidRDefault="00471A3B">
            <w:pPr>
              <w:cnfStyle w:val="000000000000" w:firstRow="0" w:lastRow="0" w:firstColumn="0" w:lastColumn="0" w:oddVBand="0" w:evenVBand="0" w:oddHBand="0" w:evenHBand="0" w:firstRowFirstColumn="0" w:firstRowLastColumn="0" w:lastRowFirstColumn="0" w:lastRowLastColumn="0"/>
            </w:pPr>
            <w:r>
              <w:t>37 077</w:t>
            </w:r>
          </w:p>
        </w:tc>
        <w:tc>
          <w:tcPr>
            <w:tcW w:w="794" w:type="dxa"/>
          </w:tcPr>
          <w:p w14:paraId="18027109" w14:textId="77777777" w:rsidR="00AB205D" w:rsidRDefault="00471A3B">
            <w:pPr>
              <w:cnfStyle w:val="000000000000" w:firstRow="0" w:lastRow="0" w:firstColumn="0" w:lastColumn="0" w:oddVBand="0" w:evenVBand="0" w:oddHBand="0" w:evenHBand="0" w:firstRowFirstColumn="0" w:firstRowLastColumn="0" w:lastRowFirstColumn="0" w:lastRowLastColumn="0"/>
            </w:pPr>
            <w:r>
              <w:t>38 788</w:t>
            </w:r>
          </w:p>
        </w:tc>
        <w:tc>
          <w:tcPr>
            <w:tcW w:w="794" w:type="dxa"/>
          </w:tcPr>
          <w:p w14:paraId="30B71912" w14:textId="77777777" w:rsidR="00AB205D" w:rsidRDefault="00471A3B">
            <w:pPr>
              <w:cnfStyle w:val="000000000000" w:firstRow="0" w:lastRow="0" w:firstColumn="0" w:lastColumn="0" w:oddVBand="0" w:evenVBand="0" w:oddHBand="0" w:evenHBand="0" w:firstRowFirstColumn="0" w:firstRowLastColumn="0" w:lastRowFirstColumn="0" w:lastRowLastColumn="0"/>
            </w:pPr>
            <w:r>
              <w:t>40 691</w:t>
            </w:r>
          </w:p>
        </w:tc>
      </w:tr>
      <w:tr w:rsidR="009C6724" w14:paraId="480E0971"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53A10DD2" w14:textId="77777777" w:rsidR="00AB205D" w:rsidRDefault="00471A3B">
            <w:r>
              <w:t>Grants</w:t>
            </w:r>
          </w:p>
        </w:tc>
        <w:tc>
          <w:tcPr>
            <w:tcW w:w="794" w:type="dxa"/>
          </w:tcPr>
          <w:p w14:paraId="649C2281" w14:textId="77777777" w:rsidR="00AB205D" w:rsidRDefault="00471A3B">
            <w:pPr>
              <w:cnfStyle w:val="000000000000" w:firstRow="0" w:lastRow="0" w:firstColumn="0" w:lastColumn="0" w:oddVBand="0" w:evenVBand="0" w:oddHBand="0" w:evenHBand="0" w:firstRowFirstColumn="0" w:firstRowLastColumn="0" w:lastRowFirstColumn="0" w:lastRowLastColumn="0"/>
            </w:pPr>
            <w:r>
              <w:t>40 665</w:t>
            </w:r>
          </w:p>
        </w:tc>
        <w:tc>
          <w:tcPr>
            <w:tcW w:w="794" w:type="dxa"/>
          </w:tcPr>
          <w:p w14:paraId="54E49A4F" w14:textId="77777777" w:rsidR="00AB205D" w:rsidRDefault="00471A3B">
            <w:pPr>
              <w:cnfStyle w:val="000000000000" w:firstRow="0" w:lastRow="0" w:firstColumn="0" w:lastColumn="0" w:oddVBand="0" w:evenVBand="0" w:oddHBand="0" w:evenHBand="0" w:firstRowFirstColumn="0" w:firstRowLastColumn="0" w:lastRowFirstColumn="0" w:lastRowLastColumn="0"/>
            </w:pPr>
            <w:r>
              <w:t>39 572</w:t>
            </w:r>
          </w:p>
        </w:tc>
        <w:tc>
          <w:tcPr>
            <w:tcW w:w="794" w:type="dxa"/>
          </w:tcPr>
          <w:p w14:paraId="6100B4AB" w14:textId="77777777" w:rsidR="00AB205D" w:rsidRDefault="00471A3B">
            <w:pPr>
              <w:cnfStyle w:val="000000000000" w:firstRow="0" w:lastRow="0" w:firstColumn="0" w:lastColumn="0" w:oddVBand="0" w:evenVBand="0" w:oddHBand="0" w:evenHBand="0" w:firstRowFirstColumn="0" w:firstRowLastColumn="0" w:lastRowFirstColumn="0" w:lastRowLastColumn="0"/>
            </w:pPr>
            <w:r>
              <w:t>43 107</w:t>
            </w:r>
          </w:p>
        </w:tc>
        <w:tc>
          <w:tcPr>
            <w:tcW w:w="794" w:type="dxa"/>
          </w:tcPr>
          <w:p w14:paraId="731FFA81" w14:textId="77777777" w:rsidR="00AB205D" w:rsidRDefault="00471A3B">
            <w:pPr>
              <w:cnfStyle w:val="000000000000" w:firstRow="0" w:lastRow="0" w:firstColumn="0" w:lastColumn="0" w:oddVBand="0" w:evenVBand="0" w:oddHBand="0" w:evenHBand="0" w:firstRowFirstColumn="0" w:firstRowLastColumn="0" w:lastRowFirstColumn="0" w:lastRowLastColumn="0"/>
            </w:pPr>
            <w:r>
              <w:t>46 025</w:t>
            </w:r>
          </w:p>
        </w:tc>
        <w:tc>
          <w:tcPr>
            <w:tcW w:w="794" w:type="dxa"/>
          </w:tcPr>
          <w:p w14:paraId="2CDA26C4" w14:textId="77777777" w:rsidR="00AB205D" w:rsidRDefault="00471A3B">
            <w:pPr>
              <w:cnfStyle w:val="000000000000" w:firstRow="0" w:lastRow="0" w:firstColumn="0" w:lastColumn="0" w:oddVBand="0" w:evenVBand="0" w:oddHBand="0" w:evenHBand="0" w:firstRowFirstColumn="0" w:firstRowLastColumn="0" w:lastRowFirstColumn="0" w:lastRowLastColumn="0"/>
            </w:pPr>
            <w:r>
              <w:t>47 205</w:t>
            </w:r>
          </w:p>
        </w:tc>
      </w:tr>
      <w:tr w:rsidR="009C6724" w14:paraId="2FFF2DBE"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5D8CFE87" w14:textId="77777777" w:rsidR="00AB205D" w:rsidRDefault="00471A3B">
            <w:r>
              <w:t>Sales of goods and services</w:t>
            </w:r>
            <w:r>
              <w:rPr>
                <w:vertAlign w:val="superscript"/>
              </w:rPr>
              <w:t xml:space="preserve"> (a)</w:t>
            </w:r>
          </w:p>
        </w:tc>
        <w:tc>
          <w:tcPr>
            <w:tcW w:w="794" w:type="dxa"/>
          </w:tcPr>
          <w:p w14:paraId="050D7004" w14:textId="77777777" w:rsidR="00AB205D" w:rsidRDefault="00471A3B">
            <w:pPr>
              <w:cnfStyle w:val="000000000000" w:firstRow="0" w:lastRow="0" w:firstColumn="0" w:lastColumn="0" w:oddVBand="0" w:evenVBand="0" w:oddHBand="0" w:evenHBand="0" w:firstRowFirstColumn="0" w:firstRowLastColumn="0" w:lastRowFirstColumn="0" w:lastRowLastColumn="0"/>
            </w:pPr>
            <w:r>
              <w:t>20 925</w:t>
            </w:r>
          </w:p>
        </w:tc>
        <w:tc>
          <w:tcPr>
            <w:tcW w:w="794" w:type="dxa"/>
          </w:tcPr>
          <w:p w14:paraId="6F8EFD4D" w14:textId="77777777" w:rsidR="00AB205D" w:rsidRDefault="00471A3B">
            <w:pPr>
              <w:cnfStyle w:val="000000000000" w:firstRow="0" w:lastRow="0" w:firstColumn="0" w:lastColumn="0" w:oddVBand="0" w:evenVBand="0" w:oddHBand="0" w:evenHBand="0" w:firstRowFirstColumn="0" w:firstRowLastColumn="0" w:lastRowFirstColumn="0" w:lastRowLastColumn="0"/>
            </w:pPr>
            <w:r>
              <w:t>21 292</w:t>
            </w:r>
          </w:p>
        </w:tc>
        <w:tc>
          <w:tcPr>
            <w:tcW w:w="794" w:type="dxa"/>
          </w:tcPr>
          <w:p w14:paraId="5B98677C" w14:textId="77777777" w:rsidR="00AB205D" w:rsidRDefault="00471A3B">
            <w:pPr>
              <w:cnfStyle w:val="000000000000" w:firstRow="0" w:lastRow="0" w:firstColumn="0" w:lastColumn="0" w:oddVBand="0" w:evenVBand="0" w:oddHBand="0" w:evenHBand="0" w:firstRowFirstColumn="0" w:firstRowLastColumn="0" w:lastRowFirstColumn="0" w:lastRowLastColumn="0"/>
            </w:pPr>
            <w:r>
              <w:t>22 512</w:t>
            </w:r>
          </w:p>
        </w:tc>
        <w:tc>
          <w:tcPr>
            <w:tcW w:w="794" w:type="dxa"/>
          </w:tcPr>
          <w:p w14:paraId="00C6EB46" w14:textId="77777777" w:rsidR="00AB205D" w:rsidRDefault="00471A3B">
            <w:pPr>
              <w:cnfStyle w:val="000000000000" w:firstRow="0" w:lastRow="0" w:firstColumn="0" w:lastColumn="0" w:oddVBand="0" w:evenVBand="0" w:oddHBand="0" w:evenHBand="0" w:firstRowFirstColumn="0" w:firstRowLastColumn="0" w:lastRowFirstColumn="0" w:lastRowLastColumn="0"/>
            </w:pPr>
            <w:r>
              <w:t>23 022</w:t>
            </w:r>
          </w:p>
        </w:tc>
        <w:tc>
          <w:tcPr>
            <w:tcW w:w="794" w:type="dxa"/>
          </w:tcPr>
          <w:p w14:paraId="6A3C8D21" w14:textId="77777777" w:rsidR="00AB205D" w:rsidRDefault="00471A3B">
            <w:pPr>
              <w:cnfStyle w:val="000000000000" w:firstRow="0" w:lastRow="0" w:firstColumn="0" w:lastColumn="0" w:oddVBand="0" w:evenVBand="0" w:oddHBand="0" w:evenHBand="0" w:firstRowFirstColumn="0" w:firstRowLastColumn="0" w:lastRowFirstColumn="0" w:lastRowLastColumn="0"/>
            </w:pPr>
            <w:r>
              <w:t>24 465</w:t>
            </w:r>
          </w:p>
        </w:tc>
      </w:tr>
      <w:tr w:rsidR="009C6724" w14:paraId="012EA672"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6B8A8F8A" w14:textId="77777777" w:rsidR="00AB205D" w:rsidRDefault="00471A3B">
            <w:r>
              <w:t>Interest received</w:t>
            </w:r>
          </w:p>
        </w:tc>
        <w:tc>
          <w:tcPr>
            <w:tcW w:w="794" w:type="dxa"/>
          </w:tcPr>
          <w:p w14:paraId="3DB17FD8" w14:textId="77777777" w:rsidR="00AB205D" w:rsidRDefault="00471A3B">
            <w:pPr>
              <w:cnfStyle w:val="000000000000" w:firstRow="0" w:lastRow="0" w:firstColumn="0" w:lastColumn="0" w:oddVBand="0" w:evenVBand="0" w:oddHBand="0" w:evenHBand="0" w:firstRowFirstColumn="0" w:firstRowLastColumn="0" w:lastRowFirstColumn="0" w:lastRowLastColumn="0"/>
            </w:pPr>
            <w:r>
              <w:t>1 386</w:t>
            </w:r>
          </w:p>
        </w:tc>
        <w:tc>
          <w:tcPr>
            <w:tcW w:w="794" w:type="dxa"/>
          </w:tcPr>
          <w:p w14:paraId="5D824BB9" w14:textId="77777777" w:rsidR="00AB205D" w:rsidRDefault="00471A3B">
            <w:pPr>
              <w:cnfStyle w:val="000000000000" w:firstRow="0" w:lastRow="0" w:firstColumn="0" w:lastColumn="0" w:oddVBand="0" w:evenVBand="0" w:oddHBand="0" w:evenHBand="0" w:firstRowFirstColumn="0" w:firstRowLastColumn="0" w:lastRowFirstColumn="0" w:lastRowLastColumn="0"/>
            </w:pPr>
            <w:r>
              <w:t>1 833</w:t>
            </w:r>
          </w:p>
        </w:tc>
        <w:tc>
          <w:tcPr>
            <w:tcW w:w="794" w:type="dxa"/>
          </w:tcPr>
          <w:p w14:paraId="6A9FD245" w14:textId="77777777" w:rsidR="00AB205D" w:rsidRDefault="00471A3B">
            <w:pPr>
              <w:cnfStyle w:val="000000000000" w:firstRow="0" w:lastRow="0" w:firstColumn="0" w:lastColumn="0" w:oddVBand="0" w:evenVBand="0" w:oddHBand="0" w:evenHBand="0" w:firstRowFirstColumn="0" w:firstRowLastColumn="0" w:lastRowFirstColumn="0" w:lastRowLastColumn="0"/>
            </w:pPr>
            <w:r>
              <w:t>1 092</w:t>
            </w:r>
          </w:p>
        </w:tc>
        <w:tc>
          <w:tcPr>
            <w:tcW w:w="794" w:type="dxa"/>
          </w:tcPr>
          <w:p w14:paraId="105287A5" w14:textId="77777777" w:rsidR="00AB205D" w:rsidRDefault="00471A3B">
            <w:pPr>
              <w:cnfStyle w:val="000000000000" w:firstRow="0" w:lastRow="0" w:firstColumn="0" w:lastColumn="0" w:oddVBand="0" w:evenVBand="0" w:oddHBand="0" w:evenHBand="0" w:firstRowFirstColumn="0" w:firstRowLastColumn="0" w:lastRowFirstColumn="0" w:lastRowLastColumn="0"/>
            </w:pPr>
            <w:r>
              <w:t>1 063</w:t>
            </w:r>
          </w:p>
        </w:tc>
        <w:tc>
          <w:tcPr>
            <w:tcW w:w="794" w:type="dxa"/>
          </w:tcPr>
          <w:p w14:paraId="492A91F8" w14:textId="77777777" w:rsidR="00AB205D" w:rsidRDefault="00471A3B">
            <w:pPr>
              <w:cnfStyle w:val="000000000000" w:firstRow="0" w:lastRow="0" w:firstColumn="0" w:lastColumn="0" w:oddVBand="0" w:evenVBand="0" w:oddHBand="0" w:evenHBand="0" w:firstRowFirstColumn="0" w:firstRowLastColumn="0" w:lastRowFirstColumn="0" w:lastRowLastColumn="0"/>
            </w:pPr>
            <w:r>
              <w:t>1 117</w:t>
            </w:r>
          </w:p>
        </w:tc>
      </w:tr>
      <w:tr w:rsidR="009C6724" w14:paraId="10AE46F9"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75B42499" w14:textId="77777777" w:rsidR="00AB205D" w:rsidRDefault="00471A3B">
            <w:r>
              <w:t>Dividend receipts</w:t>
            </w:r>
          </w:p>
        </w:tc>
        <w:tc>
          <w:tcPr>
            <w:tcW w:w="794" w:type="dxa"/>
          </w:tcPr>
          <w:p w14:paraId="1AED02D6" w14:textId="77777777" w:rsidR="00AB205D" w:rsidRDefault="00471A3B">
            <w:pPr>
              <w:cnfStyle w:val="000000000000" w:firstRow="0" w:lastRow="0" w:firstColumn="0" w:lastColumn="0" w:oddVBand="0" w:evenVBand="0" w:oddHBand="0" w:evenHBand="0" w:firstRowFirstColumn="0" w:firstRowLastColumn="0" w:lastRowFirstColumn="0" w:lastRowLastColumn="0"/>
            </w:pPr>
            <w:r>
              <w:t>2 147</w:t>
            </w:r>
          </w:p>
        </w:tc>
        <w:tc>
          <w:tcPr>
            <w:tcW w:w="794" w:type="dxa"/>
          </w:tcPr>
          <w:p w14:paraId="1192977F" w14:textId="77777777" w:rsidR="00AB205D" w:rsidRDefault="00471A3B">
            <w:pPr>
              <w:cnfStyle w:val="000000000000" w:firstRow="0" w:lastRow="0" w:firstColumn="0" w:lastColumn="0" w:oddVBand="0" w:evenVBand="0" w:oddHBand="0" w:evenHBand="0" w:firstRowFirstColumn="0" w:firstRowLastColumn="0" w:lastRowFirstColumn="0" w:lastRowLastColumn="0"/>
            </w:pPr>
            <w:r>
              <w:t>2 349</w:t>
            </w:r>
          </w:p>
        </w:tc>
        <w:tc>
          <w:tcPr>
            <w:tcW w:w="794" w:type="dxa"/>
          </w:tcPr>
          <w:p w14:paraId="3FCAAF1D" w14:textId="77777777" w:rsidR="00AB205D" w:rsidRDefault="00471A3B">
            <w:pPr>
              <w:cnfStyle w:val="000000000000" w:firstRow="0" w:lastRow="0" w:firstColumn="0" w:lastColumn="0" w:oddVBand="0" w:evenVBand="0" w:oddHBand="0" w:evenHBand="0" w:firstRowFirstColumn="0" w:firstRowLastColumn="0" w:lastRowFirstColumn="0" w:lastRowLastColumn="0"/>
            </w:pPr>
            <w:r>
              <w:t>2 664</w:t>
            </w:r>
          </w:p>
        </w:tc>
        <w:tc>
          <w:tcPr>
            <w:tcW w:w="794" w:type="dxa"/>
          </w:tcPr>
          <w:p w14:paraId="5DACCC6A" w14:textId="77777777" w:rsidR="00AB205D" w:rsidRDefault="00471A3B">
            <w:pPr>
              <w:cnfStyle w:val="000000000000" w:firstRow="0" w:lastRow="0" w:firstColumn="0" w:lastColumn="0" w:oddVBand="0" w:evenVBand="0" w:oddHBand="0" w:evenHBand="0" w:firstRowFirstColumn="0" w:firstRowLastColumn="0" w:lastRowFirstColumn="0" w:lastRowLastColumn="0"/>
            </w:pPr>
            <w:r>
              <w:t>2 909</w:t>
            </w:r>
          </w:p>
        </w:tc>
        <w:tc>
          <w:tcPr>
            <w:tcW w:w="794" w:type="dxa"/>
          </w:tcPr>
          <w:p w14:paraId="492AF964" w14:textId="77777777" w:rsidR="00AB205D" w:rsidRDefault="00471A3B">
            <w:pPr>
              <w:cnfStyle w:val="000000000000" w:firstRow="0" w:lastRow="0" w:firstColumn="0" w:lastColumn="0" w:oddVBand="0" w:evenVBand="0" w:oddHBand="0" w:evenHBand="0" w:firstRowFirstColumn="0" w:firstRowLastColumn="0" w:lastRowFirstColumn="0" w:lastRowLastColumn="0"/>
            </w:pPr>
            <w:r>
              <w:t>3 508</w:t>
            </w:r>
          </w:p>
        </w:tc>
      </w:tr>
      <w:tr w:rsidR="009C6724" w14:paraId="0E86890F"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08E5898A" w14:textId="77777777" w:rsidR="00AB205D" w:rsidRDefault="00471A3B">
            <w:r>
              <w:t>Other receipts</w:t>
            </w:r>
          </w:p>
        </w:tc>
        <w:tc>
          <w:tcPr>
            <w:tcW w:w="794" w:type="dxa"/>
            <w:tcBorders>
              <w:bottom w:val="single" w:sz="6" w:space="0" w:color="auto"/>
            </w:tcBorders>
          </w:tcPr>
          <w:p w14:paraId="68DA26C2" w14:textId="77777777" w:rsidR="00AB205D" w:rsidRDefault="00471A3B">
            <w:pPr>
              <w:cnfStyle w:val="000000000000" w:firstRow="0" w:lastRow="0" w:firstColumn="0" w:lastColumn="0" w:oddVBand="0" w:evenVBand="0" w:oddHBand="0" w:evenHBand="0" w:firstRowFirstColumn="0" w:firstRowLastColumn="0" w:lastRowFirstColumn="0" w:lastRowLastColumn="0"/>
            </w:pPr>
            <w:r>
              <w:t>2 456</w:t>
            </w:r>
          </w:p>
        </w:tc>
        <w:tc>
          <w:tcPr>
            <w:tcW w:w="794" w:type="dxa"/>
            <w:tcBorders>
              <w:bottom w:val="single" w:sz="6" w:space="0" w:color="auto"/>
            </w:tcBorders>
          </w:tcPr>
          <w:p w14:paraId="140DC017" w14:textId="77777777" w:rsidR="00AB205D" w:rsidRDefault="00471A3B">
            <w:pPr>
              <w:cnfStyle w:val="000000000000" w:firstRow="0" w:lastRow="0" w:firstColumn="0" w:lastColumn="0" w:oddVBand="0" w:evenVBand="0" w:oddHBand="0" w:evenHBand="0" w:firstRowFirstColumn="0" w:firstRowLastColumn="0" w:lastRowFirstColumn="0" w:lastRowLastColumn="0"/>
            </w:pPr>
            <w:r>
              <w:t>3 018</w:t>
            </w:r>
          </w:p>
        </w:tc>
        <w:tc>
          <w:tcPr>
            <w:tcW w:w="794" w:type="dxa"/>
            <w:tcBorders>
              <w:bottom w:val="single" w:sz="6" w:space="0" w:color="auto"/>
            </w:tcBorders>
          </w:tcPr>
          <w:p w14:paraId="6E8EDD23" w14:textId="77777777" w:rsidR="00AB205D" w:rsidRDefault="00471A3B">
            <w:pPr>
              <w:cnfStyle w:val="000000000000" w:firstRow="0" w:lastRow="0" w:firstColumn="0" w:lastColumn="0" w:oddVBand="0" w:evenVBand="0" w:oddHBand="0" w:evenHBand="0" w:firstRowFirstColumn="0" w:firstRowLastColumn="0" w:lastRowFirstColumn="0" w:lastRowLastColumn="0"/>
            </w:pPr>
            <w:r>
              <w:t>2 681</w:t>
            </w:r>
          </w:p>
        </w:tc>
        <w:tc>
          <w:tcPr>
            <w:tcW w:w="794" w:type="dxa"/>
            <w:tcBorders>
              <w:bottom w:val="single" w:sz="6" w:space="0" w:color="auto"/>
            </w:tcBorders>
          </w:tcPr>
          <w:p w14:paraId="79C67D0D" w14:textId="77777777" w:rsidR="00AB205D" w:rsidRDefault="00471A3B">
            <w:pPr>
              <w:cnfStyle w:val="000000000000" w:firstRow="0" w:lastRow="0" w:firstColumn="0" w:lastColumn="0" w:oddVBand="0" w:evenVBand="0" w:oddHBand="0" w:evenHBand="0" w:firstRowFirstColumn="0" w:firstRowLastColumn="0" w:lastRowFirstColumn="0" w:lastRowLastColumn="0"/>
            </w:pPr>
            <w:r>
              <w:t>2 725</w:t>
            </w:r>
          </w:p>
        </w:tc>
        <w:tc>
          <w:tcPr>
            <w:tcW w:w="794" w:type="dxa"/>
            <w:tcBorders>
              <w:bottom w:val="single" w:sz="6" w:space="0" w:color="auto"/>
            </w:tcBorders>
          </w:tcPr>
          <w:p w14:paraId="4EB846F2" w14:textId="77777777" w:rsidR="00AB205D" w:rsidRDefault="00471A3B">
            <w:pPr>
              <w:cnfStyle w:val="000000000000" w:firstRow="0" w:lastRow="0" w:firstColumn="0" w:lastColumn="0" w:oddVBand="0" w:evenVBand="0" w:oddHBand="0" w:evenHBand="0" w:firstRowFirstColumn="0" w:firstRowLastColumn="0" w:lastRowFirstColumn="0" w:lastRowLastColumn="0"/>
            </w:pPr>
            <w:r>
              <w:t>3 098</w:t>
            </w:r>
          </w:p>
        </w:tc>
      </w:tr>
      <w:tr w:rsidR="009C6724" w14:paraId="4D1F1E44"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5A44C171" w14:textId="77777777" w:rsidR="00AB205D" w:rsidRDefault="00471A3B">
            <w:r>
              <w:rPr>
                <w:b/>
              </w:rPr>
              <w:t>Total receipts</w:t>
            </w:r>
          </w:p>
        </w:tc>
        <w:tc>
          <w:tcPr>
            <w:tcW w:w="794" w:type="dxa"/>
            <w:tcBorders>
              <w:top w:val="single" w:sz="6" w:space="0" w:color="auto"/>
            </w:tcBorders>
          </w:tcPr>
          <w:p w14:paraId="1ABDE05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101 206</w:t>
            </w:r>
          </w:p>
        </w:tc>
        <w:tc>
          <w:tcPr>
            <w:tcW w:w="794" w:type="dxa"/>
            <w:tcBorders>
              <w:top w:val="single" w:sz="6" w:space="0" w:color="auto"/>
            </w:tcBorders>
          </w:tcPr>
          <w:p w14:paraId="0154771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103 117</w:t>
            </w:r>
          </w:p>
        </w:tc>
        <w:tc>
          <w:tcPr>
            <w:tcW w:w="794" w:type="dxa"/>
            <w:tcBorders>
              <w:top w:val="single" w:sz="6" w:space="0" w:color="auto"/>
            </w:tcBorders>
          </w:tcPr>
          <w:p w14:paraId="2068C4F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109 132</w:t>
            </w:r>
          </w:p>
        </w:tc>
        <w:tc>
          <w:tcPr>
            <w:tcW w:w="794" w:type="dxa"/>
            <w:tcBorders>
              <w:top w:val="single" w:sz="6" w:space="0" w:color="auto"/>
            </w:tcBorders>
          </w:tcPr>
          <w:p w14:paraId="6E59AA0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114 532</w:t>
            </w:r>
          </w:p>
        </w:tc>
        <w:tc>
          <w:tcPr>
            <w:tcW w:w="794" w:type="dxa"/>
            <w:tcBorders>
              <w:top w:val="single" w:sz="6" w:space="0" w:color="auto"/>
            </w:tcBorders>
          </w:tcPr>
          <w:p w14:paraId="00DD840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120 083</w:t>
            </w:r>
          </w:p>
        </w:tc>
      </w:tr>
      <w:tr w:rsidR="009C6724" w14:paraId="00744E77"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DD8FE1B" w14:textId="77777777" w:rsidR="00AB205D" w:rsidRDefault="00471A3B">
            <w:r>
              <w:rPr>
                <w:b/>
              </w:rPr>
              <w:t>Payments</w:t>
            </w:r>
          </w:p>
        </w:tc>
        <w:tc>
          <w:tcPr>
            <w:tcW w:w="794" w:type="dxa"/>
          </w:tcPr>
          <w:p w14:paraId="48992A39"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6F5B36F"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AF1844A"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6E6CD1FD"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5FC0BF35"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03F30712"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08F2E887" w14:textId="77777777" w:rsidR="00AB205D" w:rsidRDefault="00471A3B">
            <w:r>
              <w:t>Payments for employees</w:t>
            </w:r>
          </w:p>
        </w:tc>
        <w:tc>
          <w:tcPr>
            <w:tcW w:w="794" w:type="dxa"/>
          </w:tcPr>
          <w:p w14:paraId="69CF267C" w14:textId="77777777" w:rsidR="00AB205D" w:rsidRDefault="00471A3B">
            <w:pPr>
              <w:cnfStyle w:val="000000000000" w:firstRow="0" w:lastRow="0" w:firstColumn="0" w:lastColumn="0" w:oddVBand="0" w:evenVBand="0" w:oddHBand="0" w:evenHBand="0" w:firstRowFirstColumn="0" w:firstRowLastColumn="0" w:lastRowFirstColumn="0" w:lastRowLastColumn="0"/>
            </w:pPr>
            <w:r>
              <w:t>(36 287)</w:t>
            </w:r>
          </w:p>
        </w:tc>
        <w:tc>
          <w:tcPr>
            <w:tcW w:w="794" w:type="dxa"/>
          </w:tcPr>
          <w:p w14:paraId="4B04452A" w14:textId="77777777" w:rsidR="00AB205D" w:rsidRDefault="00471A3B">
            <w:pPr>
              <w:cnfStyle w:val="000000000000" w:firstRow="0" w:lastRow="0" w:firstColumn="0" w:lastColumn="0" w:oddVBand="0" w:evenVBand="0" w:oddHBand="0" w:evenHBand="0" w:firstRowFirstColumn="0" w:firstRowLastColumn="0" w:lastRowFirstColumn="0" w:lastRowLastColumn="0"/>
            </w:pPr>
            <w:r>
              <w:t>(36 034)</w:t>
            </w:r>
          </w:p>
        </w:tc>
        <w:tc>
          <w:tcPr>
            <w:tcW w:w="794" w:type="dxa"/>
          </w:tcPr>
          <w:p w14:paraId="7DDE43CE" w14:textId="77777777" w:rsidR="00AB205D" w:rsidRDefault="00471A3B">
            <w:pPr>
              <w:cnfStyle w:val="000000000000" w:firstRow="0" w:lastRow="0" w:firstColumn="0" w:lastColumn="0" w:oddVBand="0" w:evenVBand="0" w:oddHBand="0" w:evenHBand="0" w:firstRowFirstColumn="0" w:firstRowLastColumn="0" w:lastRowFirstColumn="0" w:lastRowLastColumn="0"/>
            </w:pPr>
            <w:r>
              <w:t>(37 107)</w:t>
            </w:r>
          </w:p>
        </w:tc>
        <w:tc>
          <w:tcPr>
            <w:tcW w:w="794" w:type="dxa"/>
          </w:tcPr>
          <w:p w14:paraId="52DC3716" w14:textId="77777777" w:rsidR="00AB205D" w:rsidRDefault="00471A3B">
            <w:pPr>
              <w:cnfStyle w:val="000000000000" w:firstRow="0" w:lastRow="0" w:firstColumn="0" w:lastColumn="0" w:oddVBand="0" w:evenVBand="0" w:oddHBand="0" w:evenHBand="0" w:firstRowFirstColumn="0" w:firstRowLastColumn="0" w:lastRowFirstColumn="0" w:lastRowLastColumn="0"/>
            </w:pPr>
            <w:r>
              <w:t>(38 125)</w:t>
            </w:r>
          </w:p>
        </w:tc>
        <w:tc>
          <w:tcPr>
            <w:tcW w:w="794" w:type="dxa"/>
          </w:tcPr>
          <w:p w14:paraId="653A2D91" w14:textId="77777777" w:rsidR="00AB205D" w:rsidRDefault="00471A3B">
            <w:pPr>
              <w:cnfStyle w:val="000000000000" w:firstRow="0" w:lastRow="0" w:firstColumn="0" w:lastColumn="0" w:oddVBand="0" w:evenVBand="0" w:oddHBand="0" w:evenHBand="0" w:firstRowFirstColumn="0" w:firstRowLastColumn="0" w:lastRowFirstColumn="0" w:lastRowLastColumn="0"/>
            </w:pPr>
            <w:r>
              <w:t>(39 789)</w:t>
            </w:r>
          </w:p>
        </w:tc>
      </w:tr>
      <w:tr w:rsidR="009C6724" w14:paraId="09570C38"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1D62E687" w14:textId="77777777" w:rsidR="00AB205D" w:rsidRDefault="00471A3B">
            <w:r>
              <w:t>Superannuation</w:t>
            </w:r>
          </w:p>
        </w:tc>
        <w:tc>
          <w:tcPr>
            <w:tcW w:w="794" w:type="dxa"/>
          </w:tcPr>
          <w:p w14:paraId="76328A3A" w14:textId="77777777" w:rsidR="00AB205D" w:rsidRDefault="00471A3B">
            <w:pPr>
              <w:cnfStyle w:val="000000000000" w:firstRow="0" w:lastRow="0" w:firstColumn="0" w:lastColumn="0" w:oddVBand="0" w:evenVBand="0" w:oddHBand="0" w:evenHBand="0" w:firstRowFirstColumn="0" w:firstRowLastColumn="0" w:lastRowFirstColumn="0" w:lastRowLastColumn="0"/>
            </w:pPr>
            <w:r>
              <w:t>(3 752)</w:t>
            </w:r>
          </w:p>
        </w:tc>
        <w:tc>
          <w:tcPr>
            <w:tcW w:w="794" w:type="dxa"/>
          </w:tcPr>
          <w:p w14:paraId="0BEDD453" w14:textId="77777777" w:rsidR="00AB205D" w:rsidRDefault="00471A3B">
            <w:pPr>
              <w:cnfStyle w:val="000000000000" w:firstRow="0" w:lastRow="0" w:firstColumn="0" w:lastColumn="0" w:oddVBand="0" w:evenVBand="0" w:oddHBand="0" w:evenHBand="0" w:firstRowFirstColumn="0" w:firstRowLastColumn="0" w:lastRowFirstColumn="0" w:lastRowLastColumn="0"/>
            </w:pPr>
            <w:r>
              <w:t>(3 810)</w:t>
            </w:r>
          </w:p>
        </w:tc>
        <w:tc>
          <w:tcPr>
            <w:tcW w:w="794" w:type="dxa"/>
          </w:tcPr>
          <w:p w14:paraId="3DF7345E" w14:textId="77777777" w:rsidR="00AB205D" w:rsidRDefault="00471A3B">
            <w:pPr>
              <w:cnfStyle w:val="000000000000" w:firstRow="0" w:lastRow="0" w:firstColumn="0" w:lastColumn="0" w:oddVBand="0" w:evenVBand="0" w:oddHBand="0" w:evenHBand="0" w:firstRowFirstColumn="0" w:firstRowLastColumn="0" w:lastRowFirstColumn="0" w:lastRowLastColumn="0"/>
            </w:pPr>
            <w:r>
              <w:t>(4 003)</w:t>
            </w:r>
          </w:p>
        </w:tc>
        <w:tc>
          <w:tcPr>
            <w:tcW w:w="794" w:type="dxa"/>
          </w:tcPr>
          <w:p w14:paraId="4FA0C72D" w14:textId="77777777" w:rsidR="00AB205D" w:rsidRDefault="00471A3B">
            <w:pPr>
              <w:cnfStyle w:val="000000000000" w:firstRow="0" w:lastRow="0" w:firstColumn="0" w:lastColumn="0" w:oddVBand="0" w:evenVBand="0" w:oddHBand="0" w:evenHBand="0" w:firstRowFirstColumn="0" w:firstRowLastColumn="0" w:lastRowFirstColumn="0" w:lastRowLastColumn="0"/>
            </w:pPr>
            <w:r>
              <w:t>(3 861)</w:t>
            </w:r>
          </w:p>
        </w:tc>
        <w:tc>
          <w:tcPr>
            <w:tcW w:w="794" w:type="dxa"/>
          </w:tcPr>
          <w:p w14:paraId="6605D8B2" w14:textId="77777777" w:rsidR="00AB205D" w:rsidRDefault="00471A3B">
            <w:pPr>
              <w:cnfStyle w:val="000000000000" w:firstRow="0" w:lastRow="0" w:firstColumn="0" w:lastColumn="0" w:oddVBand="0" w:evenVBand="0" w:oddHBand="0" w:evenHBand="0" w:firstRowFirstColumn="0" w:firstRowLastColumn="0" w:lastRowFirstColumn="0" w:lastRowLastColumn="0"/>
            </w:pPr>
            <w:r>
              <w:t>(4 185)</w:t>
            </w:r>
          </w:p>
        </w:tc>
      </w:tr>
      <w:tr w:rsidR="009C6724" w14:paraId="085179EB"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6B7C74DE" w14:textId="77777777" w:rsidR="00AB205D" w:rsidRDefault="00471A3B">
            <w:r>
              <w:t>Interest paid</w:t>
            </w:r>
          </w:p>
        </w:tc>
        <w:tc>
          <w:tcPr>
            <w:tcW w:w="794" w:type="dxa"/>
          </w:tcPr>
          <w:p w14:paraId="209C4F27" w14:textId="77777777" w:rsidR="00AB205D" w:rsidRDefault="00471A3B">
            <w:pPr>
              <w:cnfStyle w:val="000000000000" w:firstRow="0" w:lastRow="0" w:firstColumn="0" w:lastColumn="0" w:oddVBand="0" w:evenVBand="0" w:oddHBand="0" w:evenHBand="0" w:firstRowFirstColumn="0" w:firstRowLastColumn="0" w:lastRowFirstColumn="0" w:lastRowLastColumn="0"/>
            </w:pPr>
            <w:r>
              <w:t>(5 962)</w:t>
            </w:r>
          </w:p>
        </w:tc>
        <w:tc>
          <w:tcPr>
            <w:tcW w:w="794" w:type="dxa"/>
          </w:tcPr>
          <w:p w14:paraId="2795513A" w14:textId="77777777" w:rsidR="00AB205D" w:rsidRDefault="00471A3B">
            <w:pPr>
              <w:cnfStyle w:val="000000000000" w:firstRow="0" w:lastRow="0" w:firstColumn="0" w:lastColumn="0" w:oddVBand="0" w:evenVBand="0" w:oddHBand="0" w:evenHBand="0" w:firstRowFirstColumn="0" w:firstRowLastColumn="0" w:lastRowFirstColumn="0" w:lastRowLastColumn="0"/>
            </w:pPr>
            <w:r>
              <w:t>(6 056)</w:t>
            </w:r>
          </w:p>
        </w:tc>
        <w:tc>
          <w:tcPr>
            <w:tcW w:w="794" w:type="dxa"/>
          </w:tcPr>
          <w:p w14:paraId="2659F18B" w14:textId="77777777" w:rsidR="00AB205D" w:rsidRDefault="00471A3B">
            <w:pPr>
              <w:cnfStyle w:val="000000000000" w:firstRow="0" w:lastRow="0" w:firstColumn="0" w:lastColumn="0" w:oddVBand="0" w:evenVBand="0" w:oddHBand="0" w:evenHBand="0" w:firstRowFirstColumn="0" w:firstRowLastColumn="0" w:lastRowFirstColumn="0" w:lastRowLastColumn="0"/>
            </w:pPr>
            <w:r>
              <w:t>(7 173)</w:t>
            </w:r>
          </w:p>
        </w:tc>
        <w:tc>
          <w:tcPr>
            <w:tcW w:w="794" w:type="dxa"/>
          </w:tcPr>
          <w:p w14:paraId="6394224F" w14:textId="77777777" w:rsidR="00AB205D" w:rsidRDefault="00471A3B">
            <w:pPr>
              <w:cnfStyle w:val="000000000000" w:firstRow="0" w:lastRow="0" w:firstColumn="0" w:lastColumn="0" w:oddVBand="0" w:evenVBand="0" w:oddHBand="0" w:evenHBand="0" w:firstRowFirstColumn="0" w:firstRowLastColumn="0" w:lastRowFirstColumn="0" w:lastRowLastColumn="0"/>
            </w:pPr>
            <w:r>
              <w:t>(8 574)</w:t>
            </w:r>
          </w:p>
        </w:tc>
        <w:tc>
          <w:tcPr>
            <w:tcW w:w="794" w:type="dxa"/>
          </w:tcPr>
          <w:p w14:paraId="44F50F1C" w14:textId="77777777" w:rsidR="00AB205D" w:rsidRDefault="00471A3B">
            <w:pPr>
              <w:cnfStyle w:val="000000000000" w:firstRow="0" w:lastRow="0" w:firstColumn="0" w:lastColumn="0" w:oddVBand="0" w:evenVBand="0" w:oddHBand="0" w:evenHBand="0" w:firstRowFirstColumn="0" w:firstRowLastColumn="0" w:lastRowFirstColumn="0" w:lastRowLastColumn="0"/>
            </w:pPr>
            <w:r>
              <w:t>(9 846)</w:t>
            </w:r>
          </w:p>
        </w:tc>
      </w:tr>
      <w:tr w:rsidR="009C6724" w14:paraId="3B2796E2"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8BEF08E" w14:textId="77777777" w:rsidR="00AB205D" w:rsidRDefault="00471A3B">
            <w:r>
              <w:t>Grants and subsidies</w:t>
            </w:r>
          </w:p>
        </w:tc>
        <w:tc>
          <w:tcPr>
            <w:tcW w:w="794" w:type="dxa"/>
          </w:tcPr>
          <w:p w14:paraId="101F5CAB" w14:textId="77777777" w:rsidR="00AB205D" w:rsidRDefault="00471A3B">
            <w:pPr>
              <w:cnfStyle w:val="000000000000" w:firstRow="0" w:lastRow="0" w:firstColumn="0" w:lastColumn="0" w:oddVBand="0" w:evenVBand="0" w:oddHBand="0" w:evenHBand="0" w:firstRowFirstColumn="0" w:firstRowLastColumn="0" w:lastRowFirstColumn="0" w:lastRowLastColumn="0"/>
            </w:pPr>
            <w:r>
              <w:t>(15 139)</w:t>
            </w:r>
          </w:p>
        </w:tc>
        <w:tc>
          <w:tcPr>
            <w:tcW w:w="794" w:type="dxa"/>
          </w:tcPr>
          <w:p w14:paraId="1E32C0DF" w14:textId="77777777" w:rsidR="00AB205D" w:rsidRDefault="00471A3B">
            <w:pPr>
              <w:cnfStyle w:val="000000000000" w:firstRow="0" w:lastRow="0" w:firstColumn="0" w:lastColumn="0" w:oddVBand="0" w:evenVBand="0" w:oddHBand="0" w:evenHBand="0" w:firstRowFirstColumn="0" w:firstRowLastColumn="0" w:lastRowFirstColumn="0" w:lastRowLastColumn="0"/>
            </w:pPr>
            <w:r>
              <w:t>(15 115)</w:t>
            </w:r>
          </w:p>
        </w:tc>
        <w:tc>
          <w:tcPr>
            <w:tcW w:w="794" w:type="dxa"/>
          </w:tcPr>
          <w:p w14:paraId="1C1E000F" w14:textId="77777777" w:rsidR="00AB205D" w:rsidRDefault="00471A3B">
            <w:pPr>
              <w:cnfStyle w:val="000000000000" w:firstRow="0" w:lastRow="0" w:firstColumn="0" w:lastColumn="0" w:oddVBand="0" w:evenVBand="0" w:oddHBand="0" w:evenHBand="0" w:firstRowFirstColumn="0" w:firstRowLastColumn="0" w:lastRowFirstColumn="0" w:lastRowLastColumn="0"/>
            </w:pPr>
            <w:r>
              <w:t>(15 427)</w:t>
            </w:r>
          </w:p>
        </w:tc>
        <w:tc>
          <w:tcPr>
            <w:tcW w:w="794" w:type="dxa"/>
          </w:tcPr>
          <w:p w14:paraId="45F4F925" w14:textId="77777777" w:rsidR="00AB205D" w:rsidRDefault="00471A3B">
            <w:pPr>
              <w:cnfStyle w:val="000000000000" w:firstRow="0" w:lastRow="0" w:firstColumn="0" w:lastColumn="0" w:oddVBand="0" w:evenVBand="0" w:oddHBand="0" w:evenHBand="0" w:firstRowFirstColumn="0" w:firstRowLastColumn="0" w:lastRowFirstColumn="0" w:lastRowLastColumn="0"/>
            </w:pPr>
            <w:r>
              <w:t>(15 261)</w:t>
            </w:r>
          </w:p>
        </w:tc>
        <w:tc>
          <w:tcPr>
            <w:tcW w:w="794" w:type="dxa"/>
          </w:tcPr>
          <w:p w14:paraId="6206D509" w14:textId="77777777" w:rsidR="00AB205D" w:rsidRDefault="00471A3B">
            <w:pPr>
              <w:cnfStyle w:val="000000000000" w:firstRow="0" w:lastRow="0" w:firstColumn="0" w:lastColumn="0" w:oddVBand="0" w:evenVBand="0" w:oddHBand="0" w:evenHBand="0" w:firstRowFirstColumn="0" w:firstRowLastColumn="0" w:lastRowFirstColumn="0" w:lastRowLastColumn="0"/>
            </w:pPr>
            <w:r>
              <w:t>(15 392)</w:t>
            </w:r>
          </w:p>
        </w:tc>
      </w:tr>
      <w:tr w:rsidR="009C6724" w14:paraId="5EBBB48A"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78D4230E" w14:textId="77777777" w:rsidR="00AB205D" w:rsidRDefault="00471A3B">
            <w:r>
              <w:t>Goods and services</w:t>
            </w:r>
            <w:r>
              <w:rPr>
                <w:vertAlign w:val="superscript"/>
              </w:rPr>
              <w:t xml:space="preserve"> (a)</w:t>
            </w:r>
          </w:p>
        </w:tc>
        <w:tc>
          <w:tcPr>
            <w:tcW w:w="794" w:type="dxa"/>
          </w:tcPr>
          <w:p w14:paraId="7D51D0CF" w14:textId="77777777" w:rsidR="00AB205D" w:rsidRDefault="00471A3B">
            <w:pPr>
              <w:cnfStyle w:val="000000000000" w:firstRow="0" w:lastRow="0" w:firstColumn="0" w:lastColumn="0" w:oddVBand="0" w:evenVBand="0" w:oddHBand="0" w:evenHBand="0" w:firstRowFirstColumn="0" w:firstRowLastColumn="0" w:lastRowFirstColumn="0" w:lastRowLastColumn="0"/>
            </w:pPr>
            <w:r>
              <w:t>(37 251)</w:t>
            </w:r>
          </w:p>
        </w:tc>
        <w:tc>
          <w:tcPr>
            <w:tcW w:w="794" w:type="dxa"/>
          </w:tcPr>
          <w:p w14:paraId="46C497CD" w14:textId="77777777" w:rsidR="00AB205D" w:rsidRDefault="00471A3B">
            <w:pPr>
              <w:cnfStyle w:val="000000000000" w:firstRow="0" w:lastRow="0" w:firstColumn="0" w:lastColumn="0" w:oddVBand="0" w:evenVBand="0" w:oddHBand="0" w:evenHBand="0" w:firstRowFirstColumn="0" w:firstRowLastColumn="0" w:lastRowFirstColumn="0" w:lastRowLastColumn="0"/>
            </w:pPr>
            <w:r>
              <w:t>(38 589)</w:t>
            </w:r>
          </w:p>
        </w:tc>
        <w:tc>
          <w:tcPr>
            <w:tcW w:w="794" w:type="dxa"/>
          </w:tcPr>
          <w:p w14:paraId="7F005E06" w14:textId="77777777" w:rsidR="00AB205D" w:rsidRDefault="00471A3B">
            <w:pPr>
              <w:cnfStyle w:val="000000000000" w:firstRow="0" w:lastRow="0" w:firstColumn="0" w:lastColumn="0" w:oddVBand="0" w:evenVBand="0" w:oddHBand="0" w:evenHBand="0" w:firstRowFirstColumn="0" w:firstRowLastColumn="0" w:lastRowFirstColumn="0" w:lastRowLastColumn="0"/>
            </w:pPr>
            <w:r>
              <w:t>(37 406)</w:t>
            </w:r>
          </w:p>
        </w:tc>
        <w:tc>
          <w:tcPr>
            <w:tcW w:w="794" w:type="dxa"/>
          </w:tcPr>
          <w:p w14:paraId="4C24021E" w14:textId="77777777" w:rsidR="00AB205D" w:rsidRDefault="00471A3B">
            <w:pPr>
              <w:cnfStyle w:val="000000000000" w:firstRow="0" w:lastRow="0" w:firstColumn="0" w:lastColumn="0" w:oddVBand="0" w:evenVBand="0" w:oddHBand="0" w:evenHBand="0" w:firstRowFirstColumn="0" w:firstRowLastColumn="0" w:lastRowFirstColumn="0" w:lastRowLastColumn="0"/>
            </w:pPr>
            <w:r>
              <w:t>(37 310)</w:t>
            </w:r>
          </w:p>
        </w:tc>
        <w:tc>
          <w:tcPr>
            <w:tcW w:w="794" w:type="dxa"/>
          </w:tcPr>
          <w:p w14:paraId="1C720F25" w14:textId="77777777" w:rsidR="00AB205D" w:rsidRDefault="00471A3B">
            <w:pPr>
              <w:cnfStyle w:val="000000000000" w:firstRow="0" w:lastRow="0" w:firstColumn="0" w:lastColumn="0" w:oddVBand="0" w:evenVBand="0" w:oddHBand="0" w:evenHBand="0" w:firstRowFirstColumn="0" w:firstRowLastColumn="0" w:lastRowFirstColumn="0" w:lastRowLastColumn="0"/>
            </w:pPr>
            <w:r>
              <w:t>(39 972)</w:t>
            </w:r>
          </w:p>
        </w:tc>
      </w:tr>
      <w:tr w:rsidR="009C6724" w14:paraId="436EC2C6"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6209F184" w14:textId="77777777" w:rsidR="00AB205D" w:rsidRDefault="00471A3B">
            <w:r>
              <w:t>Other payments</w:t>
            </w:r>
          </w:p>
        </w:tc>
        <w:tc>
          <w:tcPr>
            <w:tcW w:w="794" w:type="dxa"/>
            <w:tcBorders>
              <w:bottom w:val="single" w:sz="6" w:space="0" w:color="auto"/>
            </w:tcBorders>
          </w:tcPr>
          <w:p w14:paraId="3283378F" w14:textId="77777777" w:rsidR="00AB205D" w:rsidRDefault="00471A3B">
            <w:pPr>
              <w:cnfStyle w:val="000000000000" w:firstRow="0" w:lastRow="0" w:firstColumn="0" w:lastColumn="0" w:oddVBand="0" w:evenVBand="0" w:oddHBand="0" w:evenHBand="0" w:firstRowFirstColumn="0" w:firstRowLastColumn="0" w:lastRowFirstColumn="0" w:lastRowLastColumn="0"/>
            </w:pPr>
            <w:r>
              <w:t>(928)</w:t>
            </w:r>
          </w:p>
        </w:tc>
        <w:tc>
          <w:tcPr>
            <w:tcW w:w="794" w:type="dxa"/>
            <w:tcBorders>
              <w:bottom w:val="single" w:sz="6" w:space="0" w:color="auto"/>
            </w:tcBorders>
          </w:tcPr>
          <w:p w14:paraId="6EF74449" w14:textId="77777777" w:rsidR="00AB205D" w:rsidRDefault="00471A3B">
            <w:pPr>
              <w:cnfStyle w:val="000000000000" w:firstRow="0" w:lastRow="0" w:firstColumn="0" w:lastColumn="0" w:oddVBand="0" w:evenVBand="0" w:oddHBand="0" w:evenHBand="0" w:firstRowFirstColumn="0" w:firstRowLastColumn="0" w:lastRowFirstColumn="0" w:lastRowLastColumn="0"/>
            </w:pPr>
            <w:r>
              <w:t>(1 589)</w:t>
            </w:r>
          </w:p>
        </w:tc>
        <w:tc>
          <w:tcPr>
            <w:tcW w:w="794" w:type="dxa"/>
            <w:tcBorders>
              <w:bottom w:val="single" w:sz="6" w:space="0" w:color="auto"/>
            </w:tcBorders>
          </w:tcPr>
          <w:p w14:paraId="1F038E78" w14:textId="77777777" w:rsidR="00AB205D" w:rsidRDefault="00471A3B">
            <w:pPr>
              <w:cnfStyle w:val="000000000000" w:firstRow="0" w:lastRow="0" w:firstColumn="0" w:lastColumn="0" w:oddVBand="0" w:evenVBand="0" w:oddHBand="0" w:evenHBand="0" w:firstRowFirstColumn="0" w:firstRowLastColumn="0" w:lastRowFirstColumn="0" w:lastRowLastColumn="0"/>
            </w:pPr>
            <w:r>
              <w:t>(1 059)</w:t>
            </w:r>
          </w:p>
        </w:tc>
        <w:tc>
          <w:tcPr>
            <w:tcW w:w="794" w:type="dxa"/>
            <w:tcBorders>
              <w:bottom w:val="single" w:sz="6" w:space="0" w:color="auto"/>
            </w:tcBorders>
          </w:tcPr>
          <w:p w14:paraId="667D6570" w14:textId="77777777" w:rsidR="00AB205D" w:rsidRDefault="00471A3B">
            <w:pPr>
              <w:cnfStyle w:val="000000000000" w:firstRow="0" w:lastRow="0" w:firstColumn="0" w:lastColumn="0" w:oddVBand="0" w:evenVBand="0" w:oddHBand="0" w:evenHBand="0" w:firstRowFirstColumn="0" w:firstRowLastColumn="0" w:lastRowFirstColumn="0" w:lastRowLastColumn="0"/>
            </w:pPr>
            <w:r>
              <w:t>(1 014)</w:t>
            </w:r>
          </w:p>
        </w:tc>
        <w:tc>
          <w:tcPr>
            <w:tcW w:w="794" w:type="dxa"/>
            <w:tcBorders>
              <w:bottom w:val="single" w:sz="6" w:space="0" w:color="auto"/>
            </w:tcBorders>
          </w:tcPr>
          <w:p w14:paraId="73A95D57" w14:textId="77777777" w:rsidR="00AB205D" w:rsidRDefault="00471A3B">
            <w:pPr>
              <w:cnfStyle w:val="000000000000" w:firstRow="0" w:lastRow="0" w:firstColumn="0" w:lastColumn="0" w:oddVBand="0" w:evenVBand="0" w:oddHBand="0" w:evenHBand="0" w:firstRowFirstColumn="0" w:firstRowLastColumn="0" w:lastRowFirstColumn="0" w:lastRowLastColumn="0"/>
            </w:pPr>
            <w:r>
              <w:t>(1 063)</w:t>
            </w:r>
          </w:p>
        </w:tc>
      </w:tr>
      <w:tr w:rsidR="009C6724" w14:paraId="5F8F8BFF"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0B32FCA0" w14:textId="77777777" w:rsidR="00AB205D" w:rsidRDefault="00471A3B">
            <w:r>
              <w:rPr>
                <w:b/>
              </w:rPr>
              <w:t>Total payments</w:t>
            </w:r>
          </w:p>
        </w:tc>
        <w:tc>
          <w:tcPr>
            <w:tcW w:w="794" w:type="dxa"/>
            <w:tcBorders>
              <w:top w:val="single" w:sz="6" w:space="0" w:color="auto"/>
              <w:bottom w:val="single" w:sz="6" w:space="0" w:color="auto"/>
            </w:tcBorders>
          </w:tcPr>
          <w:p w14:paraId="3E123FA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(99 318)</w:t>
            </w:r>
          </w:p>
        </w:tc>
        <w:tc>
          <w:tcPr>
            <w:tcW w:w="794" w:type="dxa"/>
            <w:tcBorders>
              <w:top w:val="single" w:sz="6" w:space="0" w:color="auto"/>
              <w:bottom w:val="single" w:sz="6" w:space="0" w:color="auto"/>
            </w:tcBorders>
          </w:tcPr>
          <w:p w14:paraId="5D21702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(101 193)</w:t>
            </w:r>
          </w:p>
        </w:tc>
        <w:tc>
          <w:tcPr>
            <w:tcW w:w="794" w:type="dxa"/>
            <w:tcBorders>
              <w:top w:val="single" w:sz="6" w:space="0" w:color="auto"/>
              <w:bottom w:val="single" w:sz="6" w:space="0" w:color="auto"/>
            </w:tcBorders>
          </w:tcPr>
          <w:p w14:paraId="66D7F9E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(102 175)</w:t>
            </w:r>
          </w:p>
        </w:tc>
        <w:tc>
          <w:tcPr>
            <w:tcW w:w="794" w:type="dxa"/>
            <w:tcBorders>
              <w:top w:val="single" w:sz="6" w:space="0" w:color="auto"/>
              <w:bottom w:val="single" w:sz="6" w:space="0" w:color="auto"/>
            </w:tcBorders>
          </w:tcPr>
          <w:p w14:paraId="069C0C0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(104 146)</w:t>
            </w:r>
          </w:p>
        </w:tc>
        <w:tc>
          <w:tcPr>
            <w:tcW w:w="794" w:type="dxa"/>
            <w:tcBorders>
              <w:top w:val="single" w:sz="6" w:space="0" w:color="auto"/>
              <w:bottom w:val="single" w:sz="6" w:space="0" w:color="auto"/>
            </w:tcBorders>
          </w:tcPr>
          <w:p w14:paraId="2B86705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(110 247)</w:t>
            </w:r>
          </w:p>
        </w:tc>
      </w:tr>
      <w:tr w:rsidR="009C6724" w14:paraId="5E017620"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20FA94CC" w14:textId="77777777" w:rsidR="00AB205D" w:rsidRDefault="00471A3B">
            <w:r>
              <w:rPr>
                <w:b/>
              </w:rPr>
              <w:t>Net cash flows from operating activities</w:t>
            </w:r>
          </w:p>
        </w:tc>
        <w:tc>
          <w:tcPr>
            <w:tcW w:w="794" w:type="dxa"/>
            <w:tcBorders>
              <w:top w:val="single" w:sz="6" w:space="0" w:color="auto"/>
            </w:tcBorders>
          </w:tcPr>
          <w:p w14:paraId="482B23C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1 888</w:t>
            </w:r>
          </w:p>
        </w:tc>
        <w:tc>
          <w:tcPr>
            <w:tcW w:w="794" w:type="dxa"/>
            <w:tcBorders>
              <w:top w:val="single" w:sz="6" w:space="0" w:color="auto"/>
            </w:tcBorders>
          </w:tcPr>
          <w:p w14:paraId="3A09A3E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1 924</w:t>
            </w:r>
          </w:p>
        </w:tc>
        <w:tc>
          <w:tcPr>
            <w:tcW w:w="794" w:type="dxa"/>
            <w:tcBorders>
              <w:top w:val="single" w:sz="6" w:space="0" w:color="auto"/>
            </w:tcBorders>
          </w:tcPr>
          <w:p w14:paraId="1EE1976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6 958</w:t>
            </w:r>
          </w:p>
        </w:tc>
        <w:tc>
          <w:tcPr>
            <w:tcW w:w="794" w:type="dxa"/>
            <w:tcBorders>
              <w:top w:val="single" w:sz="6" w:space="0" w:color="auto"/>
            </w:tcBorders>
          </w:tcPr>
          <w:p w14:paraId="4F79427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10 386</w:t>
            </w:r>
          </w:p>
        </w:tc>
        <w:tc>
          <w:tcPr>
            <w:tcW w:w="794" w:type="dxa"/>
            <w:tcBorders>
              <w:top w:val="single" w:sz="6" w:space="0" w:color="auto"/>
            </w:tcBorders>
          </w:tcPr>
          <w:p w14:paraId="79F8EF4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9 836</w:t>
            </w:r>
          </w:p>
        </w:tc>
      </w:tr>
      <w:tr w:rsidR="009C6724" w14:paraId="6988ED31"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791D8DF3" w14:textId="77777777" w:rsidR="00AB205D" w:rsidRDefault="00471A3B">
            <w:r>
              <w:rPr>
                <w:b/>
              </w:rPr>
              <w:t>Cash flows from investing activities</w:t>
            </w:r>
          </w:p>
        </w:tc>
        <w:tc>
          <w:tcPr>
            <w:tcW w:w="794" w:type="dxa"/>
          </w:tcPr>
          <w:p w14:paraId="7DDBABCB"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6F5A8926"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7F4C6120"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036FF3D"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48EA8F51"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44CE2D23"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50057AD" w14:textId="77777777" w:rsidR="00AB205D" w:rsidRDefault="00471A3B">
            <w:r>
              <w:rPr>
                <w:b/>
              </w:rPr>
              <w:t>Cash flows from investments in non</w:t>
            </w:r>
            <w:r>
              <w:rPr>
                <w:b/>
              </w:rPr>
              <w:noBreakHyphen/>
              <w:t>financial assets</w:t>
            </w:r>
          </w:p>
        </w:tc>
        <w:tc>
          <w:tcPr>
            <w:tcW w:w="794" w:type="dxa"/>
          </w:tcPr>
          <w:p w14:paraId="393070BF"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1262349E"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5C895415"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1B6B9CCC"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A6AF88F"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3808BEF6"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4A6717B" w14:textId="77777777" w:rsidR="00AB205D" w:rsidRDefault="00471A3B">
            <w:r>
              <w:t>Purchases of non</w:t>
            </w:r>
            <w:r>
              <w:noBreakHyphen/>
              <w:t>financial assets</w:t>
            </w:r>
          </w:p>
        </w:tc>
        <w:tc>
          <w:tcPr>
            <w:tcW w:w="794" w:type="dxa"/>
          </w:tcPr>
          <w:p w14:paraId="705C4662" w14:textId="77777777" w:rsidR="00AB205D" w:rsidRDefault="00471A3B">
            <w:pPr>
              <w:cnfStyle w:val="000000000000" w:firstRow="0" w:lastRow="0" w:firstColumn="0" w:lastColumn="0" w:oddVBand="0" w:evenVBand="0" w:oddHBand="0" w:evenHBand="0" w:firstRowFirstColumn="0" w:firstRowLastColumn="0" w:lastRowFirstColumn="0" w:lastRowLastColumn="0"/>
            </w:pPr>
            <w:r>
              <w:t>(23 737)</w:t>
            </w:r>
          </w:p>
        </w:tc>
        <w:tc>
          <w:tcPr>
            <w:tcW w:w="794" w:type="dxa"/>
          </w:tcPr>
          <w:p w14:paraId="1F05217A" w14:textId="77777777" w:rsidR="00AB205D" w:rsidRDefault="00471A3B">
            <w:pPr>
              <w:cnfStyle w:val="000000000000" w:firstRow="0" w:lastRow="0" w:firstColumn="0" w:lastColumn="0" w:oddVBand="0" w:evenVBand="0" w:oddHBand="0" w:evenHBand="0" w:firstRowFirstColumn="0" w:firstRowLastColumn="0" w:lastRowFirstColumn="0" w:lastRowLastColumn="0"/>
            </w:pPr>
            <w:r>
              <w:t>(25 757)</w:t>
            </w:r>
          </w:p>
        </w:tc>
        <w:tc>
          <w:tcPr>
            <w:tcW w:w="794" w:type="dxa"/>
          </w:tcPr>
          <w:p w14:paraId="22E2132C" w14:textId="77777777" w:rsidR="00AB205D" w:rsidRDefault="00471A3B">
            <w:pPr>
              <w:cnfStyle w:val="000000000000" w:firstRow="0" w:lastRow="0" w:firstColumn="0" w:lastColumn="0" w:oddVBand="0" w:evenVBand="0" w:oddHBand="0" w:evenHBand="0" w:firstRowFirstColumn="0" w:firstRowLastColumn="0" w:lastRowFirstColumn="0" w:lastRowLastColumn="0"/>
            </w:pPr>
            <w:r>
              <w:t>(24 111)</w:t>
            </w:r>
          </w:p>
        </w:tc>
        <w:tc>
          <w:tcPr>
            <w:tcW w:w="794" w:type="dxa"/>
          </w:tcPr>
          <w:p w14:paraId="56064E42" w14:textId="77777777" w:rsidR="00AB205D" w:rsidRDefault="00471A3B">
            <w:pPr>
              <w:cnfStyle w:val="000000000000" w:firstRow="0" w:lastRow="0" w:firstColumn="0" w:lastColumn="0" w:oddVBand="0" w:evenVBand="0" w:oddHBand="0" w:evenHBand="0" w:firstRowFirstColumn="0" w:firstRowLastColumn="0" w:lastRowFirstColumn="0" w:lastRowLastColumn="0"/>
            </w:pPr>
            <w:r>
              <w:t>(24 167)</w:t>
            </w:r>
          </w:p>
        </w:tc>
        <w:tc>
          <w:tcPr>
            <w:tcW w:w="794" w:type="dxa"/>
          </w:tcPr>
          <w:p w14:paraId="4AF51A8F" w14:textId="77777777" w:rsidR="00AB205D" w:rsidRDefault="00471A3B">
            <w:pPr>
              <w:cnfStyle w:val="000000000000" w:firstRow="0" w:lastRow="0" w:firstColumn="0" w:lastColumn="0" w:oddVBand="0" w:evenVBand="0" w:oddHBand="0" w:evenHBand="0" w:firstRowFirstColumn="0" w:firstRowLastColumn="0" w:lastRowFirstColumn="0" w:lastRowLastColumn="0"/>
            </w:pPr>
            <w:r>
              <w:t>(21 248)</w:t>
            </w:r>
          </w:p>
        </w:tc>
      </w:tr>
      <w:tr w:rsidR="009C6724" w14:paraId="1E365CAC"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4292A322" w14:textId="77777777" w:rsidR="00AB205D" w:rsidRDefault="00471A3B">
            <w:r>
              <w:t>Sales of non</w:t>
            </w:r>
            <w:r>
              <w:noBreakHyphen/>
              <w:t>financial assets</w:t>
            </w:r>
          </w:p>
        </w:tc>
        <w:tc>
          <w:tcPr>
            <w:tcW w:w="794" w:type="dxa"/>
            <w:tcBorders>
              <w:bottom w:val="single" w:sz="6" w:space="0" w:color="auto"/>
            </w:tcBorders>
          </w:tcPr>
          <w:p w14:paraId="0E8918EF" w14:textId="77777777" w:rsidR="00AB205D" w:rsidRDefault="00471A3B">
            <w:pPr>
              <w:cnfStyle w:val="000000000000" w:firstRow="0" w:lastRow="0" w:firstColumn="0" w:lastColumn="0" w:oddVBand="0" w:evenVBand="0" w:oddHBand="0" w:evenHBand="0" w:firstRowFirstColumn="0" w:firstRowLastColumn="0" w:lastRowFirstColumn="0" w:lastRowLastColumn="0"/>
            </w:pPr>
            <w:r>
              <w:t>788</w:t>
            </w:r>
          </w:p>
        </w:tc>
        <w:tc>
          <w:tcPr>
            <w:tcW w:w="794" w:type="dxa"/>
            <w:tcBorders>
              <w:bottom w:val="single" w:sz="6" w:space="0" w:color="auto"/>
            </w:tcBorders>
          </w:tcPr>
          <w:p w14:paraId="3C8E4A89" w14:textId="77777777" w:rsidR="00AB205D" w:rsidRDefault="00471A3B">
            <w:pPr>
              <w:cnfStyle w:val="000000000000" w:firstRow="0" w:lastRow="0" w:firstColumn="0" w:lastColumn="0" w:oddVBand="0" w:evenVBand="0" w:oddHBand="0" w:evenHBand="0" w:firstRowFirstColumn="0" w:firstRowLastColumn="0" w:lastRowFirstColumn="0" w:lastRowLastColumn="0"/>
            </w:pPr>
            <w:r>
              <w:t>850</w:t>
            </w:r>
          </w:p>
        </w:tc>
        <w:tc>
          <w:tcPr>
            <w:tcW w:w="794" w:type="dxa"/>
            <w:tcBorders>
              <w:bottom w:val="single" w:sz="6" w:space="0" w:color="auto"/>
            </w:tcBorders>
          </w:tcPr>
          <w:p w14:paraId="39CE4F13" w14:textId="77777777" w:rsidR="00AB205D" w:rsidRDefault="00471A3B">
            <w:pPr>
              <w:cnfStyle w:val="000000000000" w:firstRow="0" w:lastRow="0" w:firstColumn="0" w:lastColumn="0" w:oddVBand="0" w:evenVBand="0" w:oddHBand="0" w:evenHBand="0" w:firstRowFirstColumn="0" w:firstRowLastColumn="0" w:lastRowFirstColumn="0" w:lastRowLastColumn="0"/>
            </w:pPr>
            <w:r>
              <w:t>793</w:t>
            </w:r>
          </w:p>
        </w:tc>
        <w:tc>
          <w:tcPr>
            <w:tcW w:w="794" w:type="dxa"/>
            <w:tcBorders>
              <w:bottom w:val="single" w:sz="6" w:space="0" w:color="auto"/>
            </w:tcBorders>
          </w:tcPr>
          <w:p w14:paraId="3ABC558F" w14:textId="77777777" w:rsidR="00AB205D" w:rsidRDefault="00471A3B">
            <w:pPr>
              <w:cnfStyle w:val="000000000000" w:firstRow="0" w:lastRow="0" w:firstColumn="0" w:lastColumn="0" w:oddVBand="0" w:evenVBand="0" w:oddHBand="0" w:evenHBand="0" w:firstRowFirstColumn="0" w:firstRowLastColumn="0" w:lastRowFirstColumn="0" w:lastRowLastColumn="0"/>
            </w:pPr>
            <w:r>
              <w:t>1 179</w:t>
            </w:r>
          </w:p>
        </w:tc>
        <w:tc>
          <w:tcPr>
            <w:tcW w:w="794" w:type="dxa"/>
            <w:tcBorders>
              <w:bottom w:val="single" w:sz="6" w:space="0" w:color="auto"/>
            </w:tcBorders>
          </w:tcPr>
          <w:p w14:paraId="662B17A1" w14:textId="77777777" w:rsidR="00AB205D" w:rsidRDefault="00471A3B">
            <w:pPr>
              <w:cnfStyle w:val="000000000000" w:firstRow="0" w:lastRow="0" w:firstColumn="0" w:lastColumn="0" w:oddVBand="0" w:evenVBand="0" w:oddHBand="0" w:evenHBand="0" w:firstRowFirstColumn="0" w:firstRowLastColumn="0" w:lastRowFirstColumn="0" w:lastRowLastColumn="0"/>
            </w:pPr>
            <w:r>
              <w:t>650</w:t>
            </w:r>
          </w:p>
        </w:tc>
      </w:tr>
      <w:tr w:rsidR="009C6724" w14:paraId="72BA4BC2"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268DFC84" w14:textId="77777777" w:rsidR="00AB205D" w:rsidRDefault="00471A3B">
            <w:r>
              <w:rPr>
                <w:b/>
              </w:rPr>
              <w:t>Net cash flows from investments in non</w:t>
            </w:r>
            <w:r>
              <w:rPr>
                <w:b/>
              </w:rPr>
              <w:noBreakHyphen/>
              <w:t>financial assets</w:t>
            </w:r>
          </w:p>
        </w:tc>
        <w:tc>
          <w:tcPr>
            <w:tcW w:w="794" w:type="dxa"/>
            <w:tcBorders>
              <w:top w:val="single" w:sz="6" w:space="0" w:color="auto"/>
            </w:tcBorders>
          </w:tcPr>
          <w:p w14:paraId="301D191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(22 949)</w:t>
            </w:r>
          </w:p>
        </w:tc>
        <w:tc>
          <w:tcPr>
            <w:tcW w:w="794" w:type="dxa"/>
            <w:tcBorders>
              <w:top w:val="single" w:sz="6" w:space="0" w:color="auto"/>
            </w:tcBorders>
          </w:tcPr>
          <w:p w14:paraId="67593A1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(24 907)</w:t>
            </w:r>
          </w:p>
        </w:tc>
        <w:tc>
          <w:tcPr>
            <w:tcW w:w="794" w:type="dxa"/>
            <w:tcBorders>
              <w:top w:val="single" w:sz="6" w:space="0" w:color="auto"/>
            </w:tcBorders>
          </w:tcPr>
          <w:p w14:paraId="6517367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(23 318)</w:t>
            </w:r>
          </w:p>
        </w:tc>
        <w:tc>
          <w:tcPr>
            <w:tcW w:w="794" w:type="dxa"/>
            <w:tcBorders>
              <w:top w:val="single" w:sz="6" w:space="0" w:color="auto"/>
            </w:tcBorders>
          </w:tcPr>
          <w:p w14:paraId="4690409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(22 988)</w:t>
            </w:r>
          </w:p>
        </w:tc>
        <w:tc>
          <w:tcPr>
            <w:tcW w:w="794" w:type="dxa"/>
            <w:tcBorders>
              <w:top w:val="single" w:sz="6" w:space="0" w:color="auto"/>
            </w:tcBorders>
          </w:tcPr>
          <w:p w14:paraId="270B2C9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(20 598)</w:t>
            </w:r>
          </w:p>
        </w:tc>
      </w:tr>
      <w:tr w:rsidR="009C6724" w14:paraId="75CDE557"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6FF94670" w14:textId="77777777" w:rsidR="00AB205D" w:rsidRDefault="00471A3B">
            <w:r>
              <w:t>Net cash flows from investments in financial assets for policy purposes</w:t>
            </w:r>
          </w:p>
        </w:tc>
        <w:tc>
          <w:tcPr>
            <w:tcW w:w="794" w:type="dxa"/>
            <w:tcBorders>
              <w:bottom w:val="single" w:sz="6" w:space="0" w:color="auto"/>
            </w:tcBorders>
          </w:tcPr>
          <w:p w14:paraId="4910255B" w14:textId="77777777" w:rsidR="00AB205D" w:rsidRDefault="00471A3B">
            <w:pPr>
              <w:cnfStyle w:val="000000000000" w:firstRow="0" w:lastRow="0" w:firstColumn="0" w:lastColumn="0" w:oddVBand="0" w:evenVBand="0" w:oddHBand="0" w:evenHBand="0" w:firstRowFirstColumn="0" w:firstRowLastColumn="0" w:lastRowFirstColumn="0" w:lastRowLastColumn="0"/>
            </w:pPr>
            <w:r>
              <w:t>312</w:t>
            </w:r>
          </w:p>
        </w:tc>
        <w:tc>
          <w:tcPr>
            <w:tcW w:w="794" w:type="dxa"/>
            <w:tcBorders>
              <w:bottom w:val="single" w:sz="6" w:space="0" w:color="auto"/>
            </w:tcBorders>
          </w:tcPr>
          <w:p w14:paraId="0B75F8D7" w14:textId="77777777" w:rsidR="00AB205D" w:rsidRDefault="00471A3B">
            <w:pPr>
              <w:cnfStyle w:val="000000000000" w:firstRow="0" w:lastRow="0" w:firstColumn="0" w:lastColumn="0" w:oddVBand="0" w:evenVBand="0" w:oddHBand="0" w:evenHBand="0" w:firstRowFirstColumn="0" w:firstRowLastColumn="0" w:lastRowFirstColumn="0" w:lastRowLastColumn="0"/>
            </w:pPr>
            <w:r>
              <w:t>642</w:t>
            </w:r>
          </w:p>
        </w:tc>
        <w:tc>
          <w:tcPr>
            <w:tcW w:w="794" w:type="dxa"/>
            <w:tcBorders>
              <w:bottom w:val="single" w:sz="6" w:space="0" w:color="auto"/>
            </w:tcBorders>
          </w:tcPr>
          <w:p w14:paraId="47D80F58" w14:textId="77777777" w:rsidR="00AB205D" w:rsidRDefault="00471A3B">
            <w:pPr>
              <w:cnfStyle w:val="000000000000" w:firstRow="0" w:lastRow="0" w:firstColumn="0" w:lastColumn="0" w:oddVBand="0" w:evenVBand="0" w:oddHBand="0" w:evenHBand="0" w:firstRowFirstColumn="0" w:firstRowLastColumn="0" w:lastRowFirstColumn="0" w:lastRowLastColumn="0"/>
            </w:pPr>
            <w:r>
              <w:t>(71)</w:t>
            </w:r>
          </w:p>
        </w:tc>
        <w:tc>
          <w:tcPr>
            <w:tcW w:w="794" w:type="dxa"/>
            <w:tcBorders>
              <w:bottom w:val="single" w:sz="6" w:space="0" w:color="auto"/>
            </w:tcBorders>
          </w:tcPr>
          <w:p w14:paraId="46D1887F" w14:textId="77777777" w:rsidR="00AB205D" w:rsidRDefault="00471A3B">
            <w:pPr>
              <w:cnfStyle w:val="000000000000" w:firstRow="0" w:lastRow="0" w:firstColumn="0" w:lastColumn="0" w:oddVBand="0" w:evenVBand="0" w:oddHBand="0" w:evenHBand="0" w:firstRowFirstColumn="0" w:firstRowLastColumn="0" w:lastRowFirstColumn="0" w:lastRowLastColumn="0"/>
            </w:pPr>
            <w:r>
              <w:t>60</w:t>
            </w:r>
          </w:p>
        </w:tc>
        <w:tc>
          <w:tcPr>
            <w:tcW w:w="794" w:type="dxa"/>
            <w:tcBorders>
              <w:bottom w:val="single" w:sz="6" w:space="0" w:color="auto"/>
            </w:tcBorders>
          </w:tcPr>
          <w:p w14:paraId="6F6E4EB2" w14:textId="77777777" w:rsidR="00AB205D" w:rsidRDefault="00471A3B">
            <w:pPr>
              <w:cnfStyle w:val="000000000000" w:firstRow="0" w:lastRow="0" w:firstColumn="0" w:lastColumn="0" w:oddVBand="0" w:evenVBand="0" w:oddHBand="0" w:evenHBand="0" w:firstRowFirstColumn="0" w:firstRowLastColumn="0" w:lastRowFirstColumn="0" w:lastRowLastColumn="0"/>
            </w:pPr>
            <w:r>
              <w:t>(8)</w:t>
            </w:r>
          </w:p>
        </w:tc>
      </w:tr>
      <w:tr w:rsidR="009C6724" w14:paraId="57B4A258"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76E44359" w14:textId="77777777" w:rsidR="00AB205D" w:rsidRDefault="00471A3B">
            <w:r>
              <w:rPr>
                <w:b/>
              </w:rPr>
              <w:t>Subtotal</w:t>
            </w:r>
          </w:p>
        </w:tc>
        <w:tc>
          <w:tcPr>
            <w:tcW w:w="794" w:type="dxa"/>
            <w:tcBorders>
              <w:top w:val="single" w:sz="6" w:space="0" w:color="auto"/>
            </w:tcBorders>
          </w:tcPr>
          <w:p w14:paraId="2DF89A3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(22 637)</w:t>
            </w:r>
          </w:p>
        </w:tc>
        <w:tc>
          <w:tcPr>
            <w:tcW w:w="794" w:type="dxa"/>
            <w:tcBorders>
              <w:top w:val="single" w:sz="6" w:space="0" w:color="auto"/>
            </w:tcBorders>
          </w:tcPr>
          <w:p w14:paraId="354093E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(24 265)</w:t>
            </w:r>
          </w:p>
        </w:tc>
        <w:tc>
          <w:tcPr>
            <w:tcW w:w="794" w:type="dxa"/>
            <w:tcBorders>
              <w:top w:val="single" w:sz="6" w:space="0" w:color="auto"/>
            </w:tcBorders>
          </w:tcPr>
          <w:p w14:paraId="09761A8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(23 389)</w:t>
            </w:r>
          </w:p>
        </w:tc>
        <w:tc>
          <w:tcPr>
            <w:tcW w:w="794" w:type="dxa"/>
            <w:tcBorders>
              <w:top w:val="single" w:sz="6" w:space="0" w:color="auto"/>
            </w:tcBorders>
          </w:tcPr>
          <w:p w14:paraId="12E43CD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(22 928)</w:t>
            </w:r>
          </w:p>
        </w:tc>
        <w:tc>
          <w:tcPr>
            <w:tcW w:w="794" w:type="dxa"/>
            <w:tcBorders>
              <w:top w:val="single" w:sz="6" w:space="0" w:color="auto"/>
            </w:tcBorders>
          </w:tcPr>
          <w:p w14:paraId="58FF5D8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(20 605)</w:t>
            </w:r>
          </w:p>
        </w:tc>
      </w:tr>
      <w:tr w:rsidR="009C6724" w14:paraId="7AB73B52"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47C4E5AE" w14:textId="77777777" w:rsidR="00AB205D" w:rsidRDefault="00471A3B">
            <w:r>
              <w:t>Net cash flows from investment in financial assets for liquidity management purposes</w:t>
            </w:r>
          </w:p>
        </w:tc>
        <w:tc>
          <w:tcPr>
            <w:tcW w:w="794" w:type="dxa"/>
            <w:tcBorders>
              <w:bottom w:val="single" w:sz="6" w:space="0" w:color="auto"/>
            </w:tcBorders>
          </w:tcPr>
          <w:p w14:paraId="67AC2AA3" w14:textId="77777777" w:rsidR="00AB205D" w:rsidRDefault="00471A3B">
            <w:pPr>
              <w:cnfStyle w:val="000000000000" w:firstRow="0" w:lastRow="0" w:firstColumn="0" w:lastColumn="0" w:oddVBand="0" w:evenVBand="0" w:oddHBand="0" w:evenHBand="0" w:firstRowFirstColumn="0" w:firstRowLastColumn="0" w:lastRowFirstColumn="0" w:lastRowLastColumn="0"/>
            </w:pPr>
            <w:r>
              <w:t>(13 830)</w:t>
            </w:r>
          </w:p>
        </w:tc>
        <w:tc>
          <w:tcPr>
            <w:tcW w:w="794" w:type="dxa"/>
            <w:tcBorders>
              <w:bottom w:val="single" w:sz="6" w:space="0" w:color="auto"/>
            </w:tcBorders>
          </w:tcPr>
          <w:p w14:paraId="52EC94AB" w14:textId="77777777" w:rsidR="00AB205D" w:rsidRDefault="00471A3B">
            <w:pPr>
              <w:cnfStyle w:val="000000000000" w:firstRow="0" w:lastRow="0" w:firstColumn="0" w:lastColumn="0" w:oddVBand="0" w:evenVBand="0" w:oddHBand="0" w:evenHBand="0" w:firstRowFirstColumn="0" w:firstRowLastColumn="0" w:lastRowFirstColumn="0" w:lastRowLastColumn="0"/>
            </w:pPr>
            <w:r>
              <w:t>(9 090)</w:t>
            </w:r>
          </w:p>
        </w:tc>
        <w:tc>
          <w:tcPr>
            <w:tcW w:w="794" w:type="dxa"/>
            <w:tcBorders>
              <w:bottom w:val="single" w:sz="6" w:space="0" w:color="auto"/>
            </w:tcBorders>
          </w:tcPr>
          <w:p w14:paraId="59103BB6" w14:textId="77777777" w:rsidR="00AB205D" w:rsidRDefault="00471A3B">
            <w:pPr>
              <w:cnfStyle w:val="000000000000" w:firstRow="0" w:lastRow="0" w:firstColumn="0" w:lastColumn="0" w:oddVBand="0" w:evenVBand="0" w:oddHBand="0" w:evenHBand="0" w:firstRowFirstColumn="0" w:firstRowLastColumn="0" w:lastRowFirstColumn="0" w:lastRowLastColumn="0"/>
            </w:pPr>
            <w:r>
              <w:t>(3 600)</w:t>
            </w:r>
          </w:p>
        </w:tc>
        <w:tc>
          <w:tcPr>
            <w:tcW w:w="794" w:type="dxa"/>
            <w:tcBorders>
              <w:bottom w:val="single" w:sz="6" w:space="0" w:color="auto"/>
            </w:tcBorders>
          </w:tcPr>
          <w:p w14:paraId="5ECF9BEB" w14:textId="77777777" w:rsidR="00AB205D" w:rsidRDefault="00471A3B">
            <w:pPr>
              <w:cnfStyle w:val="000000000000" w:firstRow="0" w:lastRow="0" w:firstColumn="0" w:lastColumn="0" w:oddVBand="0" w:evenVBand="0" w:oddHBand="0" w:evenHBand="0" w:firstRowFirstColumn="0" w:firstRowLastColumn="0" w:lastRowFirstColumn="0" w:lastRowLastColumn="0"/>
            </w:pPr>
            <w:r>
              <w:t>(3 680)</w:t>
            </w:r>
          </w:p>
        </w:tc>
        <w:tc>
          <w:tcPr>
            <w:tcW w:w="794" w:type="dxa"/>
            <w:tcBorders>
              <w:bottom w:val="single" w:sz="6" w:space="0" w:color="auto"/>
            </w:tcBorders>
          </w:tcPr>
          <w:p w14:paraId="5D9D684D" w14:textId="77777777" w:rsidR="00AB205D" w:rsidRDefault="00471A3B">
            <w:pPr>
              <w:cnfStyle w:val="000000000000" w:firstRow="0" w:lastRow="0" w:firstColumn="0" w:lastColumn="0" w:oddVBand="0" w:evenVBand="0" w:oddHBand="0" w:evenHBand="0" w:firstRowFirstColumn="0" w:firstRowLastColumn="0" w:lastRowFirstColumn="0" w:lastRowLastColumn="0"/>
            </w:pPr>
            <w:r>
              <w:t>(4 135)</w:t>
            </w:r>
          </w:p>
        </w:tc>
      </w:tr>
      <w:tr w:rsidR="009C6724" w14:paraId="238F0B76"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626BA176" w14:textId="77777777" w:rsidR="00AB205D" w:rsidRDefault="00471A3B">
            <w:r>
              <w:rPr>
                <w:b/>
              </w:rPr>
              <w:t>Net cash flows from investing activities</w:t>
            </w:r>
          </w:p>
        </w:tc>
        <w:tc>
          <w:tcPr>
            <w:tcW w:w="794" w:type="dxa"/>
            <w:tcBorders>
              <w:top w:val="single" w:sz="6" w:space="0" w:color="auto"/>
            </w:tcBorders>
          </w:tcPr>
          <w:p w14:paraId="561E22A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(36 467)</w:t>
            </w:r>
          </w:p>
        </w:tc>
        <w:tc>
          <w:tcPr>
            <w:tcW w:w="794" w:type="dxa"/>
            <w:tcBorders>
              <w:top w:val="single" w:sz="6" w:space="0" w:color="auto"/>
            </w:tcBorders>
          </w:tcPr>
          <w:p w14:paraId="5D23508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(33 355)</w:t>
            </w:r>
          </w:p>
        </w:tc>
        <w:tc>
          <w:tcPr>
            <w:tcW w:w="794" w:type="dxa"/>
            <w:tcBorders>
              <w:top w:val="single" w:sz="6" w:space="0" w:color="auto"/>
            </w:tcBorders>
          </w:tcPr>
          <w:p w14:paraId="2ED452C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(26 989)</w:t>
            </w:r>
          </w:p>
        </w:tc>
        <w:tc>
          <w:tcPr>
            <w:tcW w:w="794" w:type="dxa"/>
            <w:tcBorders>
              <w:top w:val="single" w:sz="6" w:space="0" w:color="auto"/>
            </w:tcBorders>
          </w:tcPr>
          <w:p w14:paraId="2278AE6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(26 608)</w:t>
            </w:r>
          </w:p>
        </w:tc>
        <w:tc>
          <w:tcPr>
            <w:tcW w:w="794" w:type="dxa"/>
            <w:tcBorders>
              <w:top w:val="single" w:sz="6" w:space="0" w:color="auto"/>
            </w:tcBorders>
          </w:tcPr>
          <w:p w14:paraId="0AC786E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(24 740)</w:t>
            </w:r>
          </w:p>
        </w:tc>
      </w:tr>
      <w:tr w:rsidR="009C6724" w14:paraId="79D9EC2E"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1B7628B" w14:textId="77777777" w:rsidR="00AB205D" w:rsidRDefault="00471A3B">
            <w:r>
              <w:rPr>
                <w:b/>
              </w:rPr>
              <w:t>Cash flows from financing activities</w:t>
            </w:r>
          </w:p>
        </w:tc>
        <w:tc>
          <w:tcPr>
            <w:tcW w:w="794" w:type="dxa"/>
          </w:tcPr>
          <w:p w14:paraId="334C3C93"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EBC9139"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731BE58F"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1042A573"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67D1E20D"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34F4735C"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38468A49" w14:textId="77777777" w:rsidR="00AB205D" w:rsidRDefault="00471A3B">
            <w:r>
              <w:t>Advances received (net)</w:t>
            </w:r>
          </w:p>
        </w:tc>
        <w:tc>
          <w:tcPr>
            <w:tcW w:w="794" w:type="dxa"/>
          </w:tcPr>
          <w:p w14:paraId="0533E9D1" w14:textId="77777777" w:rsidR="00AB205D" w:rsidRDefault="00471A3B">
            <w:pPr>
              <w:cnfStyle w:val="000000000000" w:firstRow="0" w:lastRow="0" w:firstColumn="0" w:lastColumn="0" w:oddVBand="0" w:evenVBand="0" w:oddHBand="0" w:evenHBand="0" w:firstRowFirstColumn="0" w:firstRowLastColumn="0" w:lastRowFirstColumn="0" w:lastRowLastColumn="0"/>
            </w:pPr>
            <w:r>
              <w:t>(78)</w:t>
            </w:r>
          </w:p>
        </w:tc>
        <w:tc>
          <w:tcPr>
            <w:tcW w:w="794" w:type="dxa"/>
          </w:tcPr>
          <w:p w14:paraId="339D9B7E" w14:textId="77777777" w:rsidR="00AB205D" w:rsidRDefault="00471A3B">
            <w:pPr>
              <w:cnfStyle w:val="000000000000" w:firstRow="0" w:lastRow="0" w:firstColumn="0" w:lastColumn="0" w:oddVBand="0" w:evenVBand="0" w:oddHBand="0" w:evenHBand="0" w:firstRowFirstColumn="0" w:firstRowLastColumn="0" w:lastRowFirstColumn="0" w:lastRowLastColumn="0"/>
            </w:pPr>
            <w:r>
              <w:t>(14)</w:t>
            </w:r>
          </w:p>
        </w:tc>
        <w:tc>
          <w:tcPr>
            <w:tcW w:w="794" w:type="dxa"/>
          </w:tcPr>
          <w:p w14:paraId="4062FCD3"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308A1281" w14:textId="77777777" w:rsidR="00AB205D" w:rsidRDefault="00471A3B">
            <w:pPr>
              <w:cnfStyle w:val="000000000000" w:firstRow="0" w:lastRow="0" w:firstColumn="0" w:lastColumn="0" w:oddVBand="0" w:evenVBand="0" w:oddHBand="0" w:evenHBand="0" w:firstRowFirstColumn="0" w:firstRowLastColumn="0" w:lastRowFirstColumn="0" w:lastRowLastColumn="0"/>
            </w:pPr>
            <w:r>
              <w:t>(52)</w:t>
            </w:r>
          </w:p>
        </w:tc>
        <w:tc>
          <w:tcPr>
            <w:tcW w:w="794" w:type="dxa"/>
          </w:tcPr>
          <w:p w14:paraId="3BF4AF43" w14:textId="77777777" w:rsidR="00AB205D" w:rsidRDefault="00471A3B">
            <w:pPr>
              <w:cnfStyle w:val="000000000000" w:firstRow="0" w:lastRow="0" w:firstColumn="0" w:lastColumn="0" w:oddVBand="0" w:evenVBand="0" w:oddHBand="0" w:evenHBand="0" w:firstRowFirstColumn="0" w:firstRowLastColumn="0" w:lastRowFirstColumn="0" w:lastRowLastColumn="0"/>
            </w:pPr>
            <w:r>
              <w:t>(4)</w:t>
            </w:r>
          </w:p>
        </w:tc>
      </w:tr>
      <w:tr w:rsidR="009C6724" w14:paraId="23A5B31A"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0FA57FB" w14:textId="77777777" w:rsidR="00AB205D" w:rsidRDefault="00471A3B">
            <w:r>
              <w:t>Net borrowings</w:t>
            </w:r>
          </w:p>
        </w:tc>
        <w:tc>
          <w:tcPr>
            <w:tcW w:w="794" w:type="dxa"/>
          </w:tcPr>
          <w:p w14:paraId="3F0DFD91" w14:textId="77777777" w:rsidR="00AB205D" w:rsidRDefault="00471A3B">
            <w:pPr>
              <w:cnfStyle w:val="000000000000" w:firstRow="0" w:lastRow="0" w:firstColumn="0" w:lastColumn="0" w:oddVBand="0" w:evenVBand="0" w:oddHBand="0" w:evenHBand="0" w:firstRowFirstColumn="0" w:firstRowLastColumn="0" w:lastRowFirstColumn="0" w:lastRowLastColumn="0"/>
            </w:pPr>
            <w:r>
              <w:t>26 349</w:t>
            </w:r>
          </w:p>
        </w:tc>
        <w:tc>
          <w:tcPr>
            <w:tcW w:w="794" w:type="dxa"/>
          </w:tcPr>
          <w:p w14:paraId="16C58529" w14:textId="77777777" w:rsidR="00AB205D" w:rsidRDefault="00471A3B">
            <w:pPr>
              <w:cnfStyle w:val="000000000000" w:firstRow="0" w:lastRow="0" w:firstColumn="0" w:lastColumn="0" w:oddVBand="0" w:evenVBand="0" w:oddHBand="0" w:evenHBand="0" w:firstRowFirstColumn="0" w:firstRowLastColumn="0" w:lastRowFirstColumn="0" w:lastRowLastColumn="0"/>
            </w:pPr>
            <w:r>
              <w:t>22 676</w:t>
            </w:r>
          </w:p>
        </w:tc>
        <w:tc>
          <w:tcPr>
            <w:tcW w:w="794" w:type="dxa"/>
          </w:tcPr>
          <w:p w14:paraId="3292356F" w14:textId="77777777" w:rsidR="00AB205D" w:rsidRDefault="00471A3B">
            <w:pPr>
              <w:cnfStyle w:val="000000000000" w:firstRow="0" w:lastRow="0" w:firstColumn="0" w:lastColumn="0" w:oddVBand="0" w:evenVBand="0" w:oddHBand="0" w:evenHBand="0" w:firstRowFirstColumn="0" w:firstRowLastColumn="0" w:lastRowFirstColumn="0" w:lastRowLastColumn="0"/>
            </w:pPr>
            <w:r>
              <w:t>20 578</w:t>
            </w:r>
          </w:p>
        </w:tc>
        <w:tc>
          <w:tcPr>
            <w:tcW w:w="794" w:type="dxa"/>
          </w:tcPr>
          <w:p w14:paraId="2E18BE5D" w14:textId="77777777" w:rsidR="00AB205D" w:rsidRDefault="00471A3B">
            <w:pPr>
              <w:cnfStyle w:val="000000000000" w:firstRow="0" w:lastRow="0" w:firstColumn="0" w:lastColumn="0" w:oddVBand="0" w:evenVBand="0" w:oddHBand="0" w:evenHBand="0" w:firstRowFirstColumn="0" w:firstRowLastColumn="0" w:lastRowFirstColumn="0" w:lastRowLastColumn="0"/>
            </w:pPr>
            <w:r>
              <w:t>17 133</w:t>
            </w:r>
          </w:p>
        </w:tc>
        <w:tc>
          <w:tcPr>
            <w:tcW w:w="794" w:type="dxa"/>
          </w:tcPr>
          <w:p w14:paraId="064BC3DD" w14:textId="77777777" w:rsidR="00AB205D" w:rsidRDefault="00471A3B">
            <w:pPr>
              <w:cnfStyle w:val="000000000000" w:firstRow="0" w:lastRow="0" w:firstColumn="0" w:lastColumn="0" w:oddVBand="0" w:evenVBand="0" w:oddHBand="0" w:evenHBand="0" w:firstRowFirstColumn="0" w:firstRowLastColumn="0" w:lastRowFirstColumn="0" w:lastRowLastColumn="0"/>
            </w:pPr>
            <w:r>
              <w:t>15 852</w:t>
            </w:r>
          </w:p>
        </w:tc>
      </w:tr>
      <w:tr w:rsidR="009C6724" w14:paraId="66D4D3AE"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6D4C0AB" w14:textId="77777777" w:rsidR="00AB205D" w:rsidRDefault="00471A3B">
            <w:r>
              <w:t>Deposits received (net)</w:t>
            </w:r>
          </w:p>
        </w:tc>
        <w:tc>
          <w:tcPr>
            <w:tcW w:w="794" w:type="dxa"/>
          </w:tcPr>
          <w:p w14:paraId="4AF019E4" w14:textId="77777777" w:rsidR="00AB205D" w:rsidRDefault="00471A3B">
            <w:pPr>
              <w:cnfStyle w:val="000000000000" w:firstRow="0" w:lastRow="0" w:firstColumn="0" w:lastColumn="0" w:oddVBand="0" w:evenVBand="0" w:oddHBand="0" w:evenHBand="0" w:firstRowFirstColumn="0" w:firstRowLastColumn="0" w:lastRowFirstColumn="0" w:lastRowLastColumn="0"/>
            </w:pPr>
            <w:r>
              <w:t>(12)</w:t>
            </w:r>
          </w:p>
        </w:tc>
        <w:tc>
          <w:tcPr>
            <w:tcW w:w="794" w:type="dxa"/>
          </w:tcPr>
          <w:p w14:paraId="781E1B63" w14:textId="77777777" w:rsidR="00AB205D" w:rsidRDefault="00471A3B">
            <w:pPr>
              <w:cnfStyle w:val="000000000000" w:firstRow="0" w:lastRow="0" w:firstColumn="0" w:lastColumn="0" w:oddVBand="0" w:evenVBand="0" w:oddHBand="0" w:evenHBand="0" w:firstRowFirstColumn="0" w:firstRowLastColumn="0" w:lastRowFirstColumn="0" w:lastRowLastColumn="0"/>
            </w:pPr>
            <w:r>
              <w:t>(54)</w:t>
            </w:r>
          </w:p>
        </w:tc>
        <w:tc>
          <w:tcPr>
            <w:tcW w:w="794" w:type="dxa"/>
          </w:tcPr>
          <w:p w14:paraId="360DA3D2" w14:textId="77777777" w:rsidR="00AB205D" w:rsidRDefault="00471A3B">
            <w:pPr>
              <w:cnfStyle w:val="000000000000" w:firstRow="0" w:lastRow="0" w:firstColumn="0" w:lastColumn="0" w:oddVBand="0" w:evenVBand="0" w:oddHBand="0" w:evenHBand="0" w:firstRowFirstColumn="0" w:firstRowLastColumn="0" w:lastRowFirstColumn="0" w:lastRowLastColumn="0"/>
            </w:pPr>
            <w:r>
              <w:t>(11)</w:t>
            </w:r>
          </w:p>
        </w:tc>
        <w:tc>
          <w:tcPr>
            <w:tcW w:w="794" w:type="dxa"/>
          </w:tcPr>
          <w:p w14:paraId="445276B2" w14:textId="77777777" w:rsidR="00AB205D" w:rsidRDefault="00471A3B">
            <w:pPr>
              <w:cnfStyle w:val="000000000000" w:firstRow="0" w:lastRow="0" w:firstColumn="0" w:lastColumn="0" w:oddVBand="0" w:evenVBand="0" w:oddHBand="0" w:evenHBand="0" w:firstRowFirstColumn="0" w:firstRowLastColumn="0" w:lastRowFirstColumn="0" w:lastRowLastColumn="0"/>
            </w:pPr>
            <w:r>
              <w:t>2</w:t>
            </w:r>
          </w:p>
        </w:tc>
        <w:tc>
          <w:tcPr>
            <w:tcW w:w="794" w:type="dxa"/>
          </w:tcPr>
          <w:p w14:paraId="2AA0687A" w14:textId="77777777" w:rsidR="00AB205D" w:rsidRDefault="00471A3B">
            <w:pPr>
              <w:cnfStyle w:val="000000000000" w:firstRow="0" w:lastRow="0" w:firstColumn="0" w:lastColumn="0" w:oddVBand="0" w:evenVBand="0" w:oddHBand="0" w:evenHBand="0" w:firstRowFirstColumn="0" w:firstRowLastColumn="0" w:lastRowFirstColumn="0" w:lastRowLastColumn="0"/>
            </w:pPr>
            <w:r>
              <w:t>(14)</w:t>
            </w:r>
          </w:p>
        </w:tc>
      </w:tr>
      <w:tr w:rsidR="009C6724" w14:paraId="2CCB64D7"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0DC99F5E" w14:textId="77777777" w:rsidR="00AB205D" w:rsidRDefault="00471A3B">
            <w:r>
              <w:rPr>
                <w:b/>
              </w:rPr>
              <w:t>Net cash flows from financing activities</w:t>
            </w:r>
          </w:p>
        </w:tc>
        <w:tc>
          <w:tcPr>
            <w:tcW w:w="794" w:type="dxa"/>
            <w:tcBorders>
              <w:top w:val="single" w:sz="6" w:space="0" w:color="auto"/>
              <w:bottom w:val="single" w:sz="6" w:space="0" w:color="auto"/>
            </w:tcBorders>
          </w:tcPr>
          <w:p w14:paraId="0AF394D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26 258</w:t>
            </w:r>
          </w:p>
        </w:tc>
        <w:tc>
          <w:tcPr>
            <w:tcW w:w="794" w:type="dxa"/>
            <w:tcBorders>
              <w:top w:val="single" w:sz="6" w:space="0" w:color="auto"/>
              <w:bottom w:val="single" w:sz="6" w:space="0" w:color="auto"/>
            </w:tcBorders>
          </w:tcPr>
          <w:p w14:paraId="3DA2D99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22 609</w:t>
            </w:r>
          </w:p>
        </w:tc>
        <w:tc>
          <w:tcPr>
            <w:tcW w:w="794" w:type="dxa"/>
            <w:tcBorders>
              <w:top w:val="single" w:sz="6" w:space="0" w:color="auto"/>
              <w:bottom w:val="single" w:sz="6" w:space="0" w:color="auto"/>
            </w:tcBorders>
          </w:tcPr>
          <w:p w14:paraId="2B81967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20 567</w:t>
            </w:r>
          </w:p>
        </w:tc>
        <w:tc>
          <w:tcPr>
            <w:tcW w:w="794" w:type="dxa"/>
            <w:tcBorders>
              <w:top w:val="single" w:sz="6" w:space="0" w:color="auto"/>
              <w:bottom w:val="single" w:sz="6" w:space="0" w:color="auto"/>
            </w:tcBorders>
          </w:tcPr>
          <w:p w14:paraId="2576710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17 083</w:t>
            </w:r>
          </w:p>
        </w:tc>
        <w:tc>
          <w:tcPr>
            <w:tcW w:w="794" w:type="dxa"/>
            <w:tcBorders>
              <w:top w:val="single" w:sz="6" w:space="0" w:color="auto"/>
              <w:bottom w:val="single" w:sz="6" w:space="0" w:color="auto"/>
            </w:tcBorders>
          </w:tcPr>
          <w:p w14:paraId="4BDB07E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15 834</w:t>
            </w:r>
          </w:p>
        </w:tc>
      </w:tr>
      <w:tr w:rsidR="009C6724" w14:paraId="6E9879A9"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11E854DD" w14:textId="77777777" w:rsidR="00AB205D" w:rsidRDefault="00471A3B">
            <w:r>
              <w:rPr>
                <w:b/>
              </w:rPr>
              <w:t>Net increase/(decrease) in cash and cash equivalents</w:t>
            </w:r>
          </w:p>
        </w:tc>
        <w:tc>
          <w:tcPr>
            <w:tcW w:w="794" w:type="dxa"/>
            <w:tcBorders>
              <w:top w:val="single" w:sz="6" w:space="0" w:color="auto"/>
            </w:tcBorders>
          </w:tcPr>
          <w:p w14:paraId="190C641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(8 321)</w:t>
            </w:r>
          </w:p>
        </w:tc>
        <w:tc>
          <w:tcPr>
            <w:tcW w:w="794" w:type="dxa"/>
            <w:tcBorders>
              <w:top w:val="single" w:sz="6" w:space="0" w:color="auto"/>
            </w:tcBorders>
          </w:tcPr>
          <w:p w14:paraId="0B67F2D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(8 822)</w:t>
            </w:r>
          </w:p>
        </w:tc>
        <w:tc>
          <w:tcPr>
            <w:tcW w:w="794" w:type="dxa"/>
            <w:tcBorders>
              <w:top w:val="single" w:sz="6" w:space="0" w:color="auto"/>
            </w:tcBorders>
          </w:tcPr>
          <w:p w14:paraId="2DDADB1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536</w:t>
            </w:r>
          </w:p>
        </w:tc>
        <w:tc>
          <w:tcPr>
            <w:tcW w:w="794" w:type="dxa"/>
            <w:tcBorders>
              <w:top w:val="single" w:sz="6" w:space="0" w:color="auto"/>
            </w:tcBorders>
          </w:tcPr>
          <w:p w14:paraId="4014172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861</w:t>
            </w:r>
          </w:p>
        </w:tc>
        <w:tc>
          <w:tcPr>
            <w:tcW w:w="794" w:type="dxa"/>
            <w:tcBorders>
              <w:top w:val="single" w:sz="6" w:space="0" w:color="auto"/>
            </w:tcBorders>
          </w:tcPr>
          <w:p w14:paraId="5DC8776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930</w:t>
            </w:r>
          </w:p>
        </w:tc>
      </w:tr>
      <w:tr w:rsidR="009C6724" w14:paraId="437B086B"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6A8035CA" w14:textId="77777777" w:rsidR="00AB205D" w:rsidRDefault="00471A3B">
            <w:r>
              <w:t>Cash and cash equivalents at beginning of reporting period</w:t>
            </w:r>
            <w:r>
              <w:rPr>
                <w:vertAlign w:val="superscript"/>
              </w:rPr>
              <w:t xml:space="preserve"> (b)(c)</w:t>
            </w:r>
          </w:p>
        </w:tc>
        <w:tc>
          <w:tcPr>
            <w:tcW w:w="794" w:type="dxa"/>
            <w:tcBorders>
              <w:bottom w:val="single" w:sz="6" w:space="0" w:color="auto"/>
            </w:tcBorders>
          </w:tcPr>
          <w:p w14:paraId="539C67B7" w14:textId="77777777" w:rsidR="00AB205D" w:rsidRDefault="00471A3B">
            <w:pPr>
              <w:cnfStyle w:val="000000000000" w:firstRow="0" w:lastRow="0" w:firstColumn="0" w:lastColumn="0" w:oddVBand="0" w:evenVBand="0" w:oddHBand="0" w:evenHBand="0" w:firstRowFirstColumn="0" w:firstRowLastColumn="0" w:lastRowFirstColumn="0" w:lastRowLastColumn="0"/>
            </w:pPr>
            <w:r>
              <w:t>25 678</w:t>
            </w:r>
          </w:p>
        </w:tc>
        <w:tc>
          <w:tcPr>
            <w:tcW w:w="794" w:type="dxa"/>
            <w:tcBorders>
              <w:bottom w:val="single" w:sz="6" w:space="0" w:color="auto"/>
            </w:tcBorders>
          </w:tcPr>
          <w:p w14:paraId="3243AF73" w14:textId="77777777" w:rsidR="00AB205D" w:rsidRDefault="00471A3B">
            <w:pPr>
              <w:cnfStyle w:val="000000000000" w:firstRow="0" w:lastRow="0" w:firstColumn="0" w:lastColumn="0" w:oddVBand="0" w:evenVBand="0" w:oddHBand="0" w:evenHBand="0" w:firstRowFirstColumn="0" w:firstRowLastColumn="0" w:lastRowFirstColumn="0" w:lastRowLastColumn="0"/>
            </w:pPr>
            <w:r>
              <w:t>25 678</w:t>
            </w:r>
          </w:p>
        </w:tc>
        <w:tc>
          <w:tcPr>
            <w:tcW w:w="794" w:type="dxa"/>
            <w:tcBorders>
              <w:bottom w:val="single" w:sz="6" w:space="0" w:color="auto"/>
            </w:tcBorders>
          </w:tcPr>
          <w:p w14:paraId="69AE8BB1" w14:textId="77777777" w:rsidR="00AB205D" w:rsidRDefault="00471A3B">
            <w:pPr>
              <w:cnfStyle w:val="000000000000" w:firstRow="0" w:lastRow="0" w:firstColumn="0" w:lastColumn="0" w:oddVBand="0" w:evenVBand="0" w:oddHBand="0" w:evenHBand="0" w:firstRowFirstColumn="0" w:firstRowLastColumn="0" w:lastRowFirstColumn="0" w:lastRowLastColumn="0"/>
            </w:pPr>
            <w:r>
              <w:t>16 857</w:t>
            </w:r>
          </w:p>
        </w:tc>
        <w:tc>
          <w:tcPr>
            <w:tcW w:w="794" w:type="dxa"/>
            <w:tcBorders>
              <w:bottom w:val="single" w:sz="6" w:space="0" w:color="auto"/>
            </w:tcBorders>
          </w:tcPr>
          <w:p w14:paraId="6831F8FD" w14:textId="77777777" w:rsidR="00AB205D" w:rsidRDefault="00471A3B">
            <w:pPr>
              <w:cnfStyle w:val="000000000000" w:firstRow="0" w:lastRow="0" w:firstColumn="0" w:lastColumn="0" w:oddVBand="0" w:evenVBand="0" w:oddHBand="0" w:evenHBand="0" w:firstRowFirstColumn="0" w:firstRowLastColumn="0" w:lastRowFirstColumn="0" w:lastRowLastColumn="0"/>
            </w:pPr>
            <w:r>
              <w:t>17 392</w:t>
            </w:r>
          </w:p>
        </w:tc>
        <w:tc>
          <w:tcPr>
            <w:tcW w:w="794" w:type="dxa"/>
            <w:tcBorders>
              <w:bottom w:val="single" w:sz="6" w:space="0" w:color="auto"/>
            </w:tcBorders>
          </w:tcPr>
          <w:p w14:paraId="6029ED22" w14:textId="77777777" w:rsidR="00AB205D" w:rsidRDefault="00471A3B">
            <w:pPr>
              <w:cnfStyle w:val="000000000000" w:firstRow="0" w:lastRow="0" w:firstColumn="0" w:lastColumn="0" w:oddVBand="0" w:evenVBand="0" w:oddHBand="0" w:evenHBand="0" w:firstRowFirstColumn="0" w:firstRowLastColumn="0" w:lastRowFirstColumn="0" w:lastRowLastColumn="0"/>
            </w:pPr>
            <w:r>
              <w:t>18 253</w:t>
            </w:r>
          </w:p>
        </w:tc>
      </w:tr>
      <w:tr w:rsidR="009C6724" w14:paraId="73B83945"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61FECD42" w14:textId="77777777" w:rsidR="00AB205D" w:rsidRDefault="00471A3B">
            <w:r>
              <w:rPr>
                <w:b/>
              </w:rPr>
              <w:t>Cash and cash equivalents at end of reporting period</w:t>
            </w:r>
            <w:r>
              <w:rPr>
                <w:b/>
                <w:vertAlign w:val="superscript"/>
              </w:rPr>
              <w:t xml:space="preserve"> (b)(c)</w:t>
            </w:r>
          </w:p>
        </w:tc>
        <w:tc>
          <w:tcPr>
            <w:tcW w:w="794" w:type="dxa"/>
            <w:tcBorders>
              <w:top w:val="single" w:sz="6" w:space="0" w:color="auto"/>
              <w:bottom w:val="single" w:sz="6" w:space="0" w:color="auto"/>
            </w:tcBorders>
          </w:tcPr>
          <w:p w14:paraId="0715356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17 357</w:t>
            </w:r>
          </w:p>
        </w:tc>
        <w:tc>
          <w:tcPr>
            <w:tcW w:w="794" w:type="dxa"/>
            <w:tcBorders>
              <w:top w:val="single" w:sz="6" w:space="0" w:color="auto"/>
              <w:bottom w:val="single" w:sz="6" w:space="0" w:color="auto"/>
            </w:tcBorders>
          </w:tcPr>
          <w:p w14:paraId="53AE240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16 857</w:t>
            </w:r>
          </w:p>
        </w:tc>
        <w:tc>
          <w:tcPr>
            <w:tcW w:w="794" w:type="dxa"/>
            <w:tcBorders>
              <w:top w:val="single" w:sz="6" w:space="0" w:color="auto"/>
              <w:bottom w:val="single" w:sz="6" w:space="0" w:color="auto"/>
            </w:tcBorders>
          </w:tcPr>
          <w:p w14:paraId="5AAA080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17 392</w:t>
            </w:r>
          </w:p>
        </w:tc>
        <w:tc>
          <w:tcPr>
            <w:tcW w:w="794" w:type="dxa"/>
            <w:tcBorders>
              <w:top w:val="single" w:sz="6" w:space="0" w:color="auto"/>
              <w:bottom w:val="single" w:sz="6" w:space="0" w:color="auto"/>
            </w:tcBorders>
          </w:tcPr>
          <w:p w14:paraId="4803A1D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18 253</w:t>
            </w:r>
          </w:p>
        </w:tc>
        <w:tc>
          <w:tcPr>
            <w:tcW w:w="794" w:type="dxa"/>
            <w:tcBorders>
              <w:top w:val="single" w:sz="6" w:space="0" w:color="auto"/>
              <w:bottom w:val="single" w:sz="6" w:space="0" w:color="auto"/>
            </w:tcBorders>
          </w:tcPr>
          <w:p w14:paraId="4E642A5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19 183</w:t>
            </w:r>
          </w:p>
        </w:tc>
      </w:tr>
    </w:tbl>
    <w:p w14:paraId="78D94555" w14:textId="4245D832" w:rsidR="00882944" w:rsidRDefault="00882944"/>
    <w:p w14:paraId="399B7358" w14:textId="32EA8299" w:rsidR="00882944" w:rsidRDefault="00882944" w:rsidP="00882944">
      <w:pPr>
        <w:pStyle w:val="TableHeading"/>
      </w:pPr>
      <w:r w:rsidRPr="00921F69">
        <w:lastRenderedPageBreak/>
        <w:t>Table 5.18</w:t>
      </w:r>
      <w:r w:rsidRPr="00921F69">
        <w:tab/>
        <w:t xml:space="preserve">State of Victoria cash flow statement for the financial year </w:t>
      </w:r>
      <w:r w:rsidRPr="00921F69">
        <w:br/>
        <w:t>ended 30 June</w:t>
      </w:r>
      <w:r>
        <w:t xml:space="preserve"> </w:t>
      </w:r>
      <w:r w:rsidRPr="00882944">
        <w:rPr>
          <w:i/>
          <w:iCs w:val="0"/>
          <w:sz w:val="18"/>
          <w:szCs w:val="16"/>
        </w:rPr>
        <w:t>(continued)</w:t>
      </w:r>
      <w:r w:rsidRPr="00921F69">
        <w:tab/>
        <w:t>($ million)</w:t>
      </w:r>
    </w:p>
    <w:tbl>
      <w:tblPr>
        <w:tblStyle w:val="DTFTableNumeric"/>
        <w:tblW w:w="7710" w:type="dxa"/>
        <w:tblLayout w:type="fixed"/>
        <w:tblLook w:val="06A0" w:firstRow="1" w:lastRow="0" w:firstColumn="1" w:lastColumn="0" w:noHBand="1" w:noVBand="1"/>
        <w:tblDescription w:val="Type:DtfTable|Workbook:Rawdata\BudgetUpdate\Budget Update\Financial Statements\SRIMS exports\SRIMS_BU_UPF_NFPS_WoS.xlsx|Table:WoS_CF"/>
      </w:tblPr>
      <w:tblGrid>
        <w:gridCol w:w="3740"/>
        <w:gridCol w:w="794"/>
        <w:gridCol w:w="794"/>
        <w:gridCol w:w="794"/>
        <w:gridCol w:w="794"/>
        <w:gridCol w:w="794"/>
      </w:tblGrid>
      <w:tr w:rsidR="00471A3B" w14:paraId="09E2D317"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5D2146AB" w14:textId="77777777" w:rsidR="00471A3B" w:rsidRDefault="00471A3B">
            <w:pPr>
              <w:keepNext/>
            </w:pPr>
          </w:p>
        </w:tc>
        <w:tc>
          <w:tcPr>
            <w:tcW w:w="794" w:type="dxa"/>
          </w:tcPr>
          <w:p w14:paraId="60A0E616" w14:textId="77777777" w:rsidR="00471A3B"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17A7BD46" w14:textId="77777777" w:rsidR="00471A3B"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1914F3C2" w14:textId="77777777" w:rsidR="00471A3B"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53D81E56" w14:textId="77777777" w:rsidR="00471A3B"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p>
        </w:tc>
        <w:tc>
          <w:tcPr>
            <w:tcW w:w="794" w:type="dxa"/>
          </w:tcPr>
          <w:p w14:paraId="2510A050" w14:textId="77777777" w:rsidR="00471A3B"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p>
        </w:tc>
      </w:tr>
      <w:tr w:rsidR="00471A3B" w14:paraId="05937699"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5DC8CB68" w14:textId="77777777" w:rsidR="00471A3B" w:rsidRDefault="00471A3B">
            <w:pPr>
              <w:keepNext/>
            </w:pPr>
          </w:p>
        </w:tc>
        <w:tc>
          <w:tcPr>
            <w:tcW w:w="794" w:type="dxa"/>
          </w:tcPr>
          <w:p w14:paraId="7B303B81" w14:textId="77777777" w:rsidR="00471A3B" w:rsidRDefault="00471A3B">
            <w:pPr>
              <w:keepNext/>
              <w:cnfStyle w:val="100000000000" w:firstRow="1" w:lastRow="0" w:firstColumn="0" w:lastColumn="0" w:oddVBand="0" w:evenVBand="0" w:oddHBand="0" w:evenHBand="0" w:firstRowFirstColumn="0" w:firstRowLastColumn="0" w:lastRowFirstColumn="0" w:lastRowLastColumn="0"/>
            </w:pPr>
            <w:r>
              <w:t>budget</w:t>
            </w:r>
          </w:p>
        </w:tc>
        <w:tc>
          <w:tcPr>
            <w:tcW w:w="794" w:type="dxa"/>
          </w:tcPr>
          <w:p w14:paraId="0467C532" w14:textId="77777777" w:rsidR="00471A3B" w:rsidRDefault="00471A3B">
            <w:pPr>
              <w:keepNext/>
              <w:cnfStyle w:val="100000000000" w:firstRow="1" w:lastRow="0" w:firstColumn="0" w:lastColumn="0" w:oddVBand="0" w:evenVBand="0" w:oddHBand="0" w:evenHBand="0" w:firstRowFirstColumn="0" w:firstRowLastColumn="0" w:lastRowFirstColumn="0" w:lastRowLastColumn="0"/>
            </w:pPr>
            <w:r>
              <w:t>revised</w:t>
            </w:r>
          </w:p>
        </w:tc>
        <w:tc>
          <w:tcPr>
            <w:tcW w:w="794" w:type="dxa"/>
          </w:tcPr>
          <w:p w14:paraId="1C04B00F" w14:textId="77777777" w:rsidR="00471A3B" w:rsidRDefault="00471A3B">
            <w:pPr>
              <w:keepNext/>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7AE2FF52" w14:textId="77777777" w:rsidR="00471A3B" w:rsidRDefault="00471A3B">
            <w:pPr>
              <w:keepNext/>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7169DEC1" w14:textId="77777777" w:rsidR="00471A3B" w:rsidRDefault="00471A3B">
            <w:pPr>
              <w:keepNext/>
              <w:cnfStyle w:val="100000000000" w:firstRow="1" w:lastRow="0" w:firstColumn="0" w:lastColumn="0" w:oddVBand="0" w:evenVBand="0" w:oddHBand="0" w:evenHBand="0" w:firstRowFirstColumn="0" w:firstRowLastColumn="0" w:lastRowFirstColumn="0" w:lastRowLastColumn="0"/>
            </w:pPr>
            <w:r>
              <w:t>estimate</w:t>
            </w:r>
          </w:p>
        </w:tc>
      </w:tr>
      <w:tr w:rsidR="009C6724" w14:paraId="5DCB0EA9"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3621D0D" w14:textId="77777777" w:rsidR="00AB205D" w:rsidRDefault="00471A3B">
            <w:r>
              <w:rPr>
                <w:b/>
              </w:rPr>
              <w:t>FISCAL AGGREGATES</w:t>
            </w:r>
          </w:p>
        </w:tc>
        <w:tc>
          <w:tcPr>
            <w:tcW w:w="794" w:type="dxa"/>
          </w:tcPr>
          <w:p w14:paraId="26014946"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1A64DC32"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2A6034DF"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47D90629"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6BCE20BE"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3DEC4730"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51FE4A20" w14:textId="77777777" w:rsidR="00AB205D" w:rsidRDefault="00471A3B">
            <w:r>
              <w:t>Net cash flows from operating activities</w:t>
            </w:r>
          </w:p>
        </w:tc>
        <w:tc>
          <w:tcPr>
            <w:tcW w:w="794" w:type="dxa"/>
          </w:tcPr>
          <w:p w14:paraId="236E9A93" w14:textId="77777777" w:rsidR="00AB205D" w:rsidRDefault="00471A3B">
            <w:pPr>
              <w:cnfStyle w:val="000000000000" w:firstRow="0" w:lastRow="0" w:firstColumn="0" w:lastColumn="0" w:oddVBand="0" w:evenVBand="0" w:oddHBand="0" w:evenHBand="0" w:firstRowFirstColumn="0" w:firstRowLastColumn="0" w:lastRowFirstColumn="0" w:lastRowLastColumn="0"/>
            </w:pPr>
            <w:r>
              <w:t>1 888</w:t>
            </w:r>
          </w:p>
        </w:tc>
        <w:tc>
          <w:tcPr>
            <w:tcW w:w="794" w:type="dxa"/>
          </w:tcPr>
          <w:p w14:paraId="652CB0EC" w14:textId="77777777" w:rsidR="00AB205D" w:rsidRDefault="00471A3B">
            <w:pPr>
              <w:cnfStyle w:val="000000000000" w:firstRow="0" w:lastRow="0" w:firstColumn="0" w:lastColumn="0" w:oddVBand="0" w:evenVBand="0" w:oddHBand="0" w:evenHBand="0" w:firstRowFirstColumn="0" w:firstRowLastColumn="0" w:lastRowFirstColumn="0" w:lastRowLastColumn="0"/>
            </w:pPr>
            <w:r>
              <w:t>1 924</w:t>
            </w:r>
          </w:p>
        </w:tc>
        <w:tc>
          <w:tcPr>
            <w:tcW w:w="794" w:type="dxa"/>
          </w:tcPr>
          <w:p w14:paraId="7E8C3E6C" w14:textId="77777777" w:rsidR="00AB205D" w:rsidRDefault="00471A3B">
            <w:pPr>
              <w:cnfStyle w:val="000000000000" w:firstRow="0" w:lastRow="0" w:firstColumn="0" w:lastColumn="0" w:oddVBand="0" w:evenVBand="0" w:oddHBand="0" w:evenHBand="0" w:firstRowFirstColumn="0" w:firstRowLastColumn="0" w:lastRowFirstColumn="0" w:lastRowLastColumn="0"/>
            </w:pPr>
            <w:r>
              <w:t>6 958</w:t>
            </w:r>
          </w:p>
        </w:tc>
        <w:tc>
          <w:tcPr>
            <w:tcW w:w="794" w:type="dxa"/>
          </w:tcPr>
          <w:p w14:paraId="6543BCA1" w14:textId="77777777" w:rsidR="00AB205D" w:rsidRDefault="00471A3B">
            <w:pPr>
              <w:cnfStyle w:val="000000000000" w:firstRow="0" w:lastRow="0" w:firstColumn="0" w:lastColumn="0" w:oddVBand="0" w:evenVBand="0" w:oddHBand="0" w:evenHBand="0" w:firstRowFirstColumn="0" w:firstRowLastColumn="0" w:lastRowFirstColumn="0" w:lastRowLastColumn="0"/>
            </w:pPr>
            <w:r>
              <w:t>10 386</w:t>
            </w:r>
          </w:p>
        </w:tc>
        <w:tc>
          <w:tcPr>
            <w:tcW w:w="794" w:type="dxa"/>
          </w:tcPr>
          <w:p w14:paraId="72A84F04" w14:textId="77777777" w:rsidR="00AB205D" w:rsidRDefault="00471A3B">
            <w:pPr>
              <w:cnfStyle w:val="000000000000" w:firstRow="0" w:lastRow="0" w:firstColumn="0" w:lastColumn="0" w:oddVBand="0" w:evenVBand="0" w:oddHBand="0" w:evenHBand="0" w:firstRowFirstColumn="0" w:firstRowLastColumn="0" w:lastRowFirstColumn="0" w:lastRowLastColumn="0"/>
            </w:pPr>
            <w:r>
              <w:t>9 836</w:t>
            </w:r>
          </w:p>
        </w:tc>
      </w:tr>
      <w:tr w:rsidR="009C6724" w14:paraId="27F7D050"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2C73C44C" w14:textId="77777777" w:rsidR="00AB205D" w:rsidRDefault="00471A3B">
            <w:r>
              <w:t>Net cash flows from investments in non</w:t>
            </w:r>
            <w:r>
              <w:noBreakHyphen/>
              <w:t>financial assets</w:t>
            </w:r>
          </w:p>
        </w:tc>
        <w:tc>
          <w:tcPr>
            <w:tcW w:w="794" w:type="dxa"/>
            <w:tcBorders>
              <w:bottom w:val="single" w:sz="6" w:space="0" w:color="auto"/>
            </w:tcBorders>
          </w:tcPr>
          <w:p w14:paraId="703E5280" w14:textId="77777777" w:rsidR="00AB205D" w:rsidRDefault="00471A3B">
            <w:pPr>
              <w:cnfStyle w:val="000000000000" w:firstRow="0" w:lastRow="0" w:firstColumn="0" w:lastColumn="0" w:oddVBand="0" w:evenVBand="0" w:oddHBand="0" w:evenHBand="0" w:firstRowFirstColumn="0" w:firstRowLastColumn="0" w:lastRowFirstColumn="0" w:lastRowLastColumn="0"/>
            </w:pPr>
            <w:r>
              <w:t>(22 949)</w:t>
            </w:r>
          </w:p>
        </w:tc>
        <w:tc>
          <w:tcPr>
            <w:tcW w:w="794" w:type="dxa"/>
            <w:tcBorders>
              <w:bottom w:val="single" w:sz="6" w:space="0" w:color="auto"/>
            </w:tcBorders>
          </w:tcPr>
          <w:p w14:paraId="21EFEFDD" w14:textId="77777777" w:rsidR="00AB205D" w:rsidRDefault="00471A3B">
            <w:pPr>
              <w:cnfStyle w:val="000000000000" w:firstRow="0" w:lastRow="0" w:firstColumn="0" w:lastColumn="0" w:oddVBand="0" w:evenVBand="0" w:oddHBand="0" w:evenHBand="0" w:firstRowFirstColumn="0" w:firstRowLastColumn="0" w:lastRowFirstColumn="0" w:lastRowLastColumn="0"/>
            </w:pPr>
            <w:r>
              <w:t>(24 907)</w:t>
            </w:r>
          </w:p>
        </w:tc>
        <w:tc>
          <w:tcPr>
            <w:tcW w:w="794" w:type="dxa"/>
            <w:tcBorders>
              <w:bottom w:val="single" w:sz="6" w:space="0" w:color="auto"/>
            </w:tcBorders>
          </w:tcPr>
          <w:p w14:paraId="0CD1B267" w14:textId="77777777" w:rsidR="00AB205D" w:rsidRDefault="00471A3B">
            <w:pPr>
              <w:cnfStyle w:val="000000000000" w:firstRow="0" w:lastRow="0" w:firstColumn="0" w:lastColumn="0" w:oddVBand="0" w:evenVBand="0" w:oddHBand="0" w:evenHBand="0" w:firstRowFirstColumn="0" w:firstRowLastColumn="0" w:lastRowFirstColumn="0" w:lastRowLastColumn="0"/>
            </w:pPr>
            <w:r>
              <w:t>(23 318)</w:t>
            </w:r>
          </w:p>
        </w:tc>
        <w:tc>
          <w:tcPr>
            <w:tcW w:w="794" w:type="dxa"/>
            <w:tcBorders>
              <w:bottom w:val="single" w:sz="6" w:space="0" w:color="auto"/>
            </w:tcBorders>
          </w:tcPr>
          <w:p w14:paraId="63B5C6F9" w14:textId="77777777" w:rsidR="00AB205D" w:rsidRDefault="00471A3B">
            <w:pPr>
              <w:cnfStyle w:val="000000000000" w:firstRow="0" w:lastRow="0" w:firstColumn="0" w:lastColumn="0" w:oddVBand="0" w:evenVBand="0" w:oddHBand="0" w:evenHBand="0" w:firstRowFirstColumn="0" w:firstRowLastColumn="0" w:lastRowFirstColumn="0" w:lastRowLastColumn="0"/>
            </w:pPr>
            <w:r>
              <w:t>(22 988)</w:t>
            </w:r>
          </w:p>
        </w:tc>
        <w:tc>
          <w:tcPr>
            <w:tcW w:w="794" w:type="dxa"/>
            <w:tcBorders>
              <w:bottom w:val="single" w:sz="6" w:space="0" w:color="auto"/>
            </w:tcBorders>
          </w:tcPr>
          <w:p w14:paraId="4F9F2914" w14:textId="77777777" w:rsidR="00AB205D" w:rsidRDefault="00471A3B">
            <w:pPr>
              <w:cnfStyle w:val="000000000000" w:firstRow="0" w:lastRow="0" w:firstColumn="0" w:lastColumn="0" w:oddVBand="0" w:evenVBand="0" w:oddHBand="0" w:evenHBand="0" w:firstRowFirstColumn="0" w:firstRowLastColumn="0" w:lastRowFirstColumn="0" w:lastRowLastColumn="0"/>
            </w:pPr>
            <w:r>
              <w:t>(20 598)</w:t>
            </w:r>
          </w:p>
        </w:tc>
      </w:tr>
      <w:tr w:rsidR="009C6724" w14:paraId="354E3EF0"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68FF640D" w14:textId="77777777" w:rsidR="00AB205D" w:rsidRDefault="00471A3B">
            <w:r>
              <w:rPr>
                <w:b/>
              </w:rPr>
              <w:t>Cash surplus/(deficit)</w:t>
            </w:r>
          </w:p>
        </w:tc>
        <w:tc>
          <w:tcPr>
            <w:tcW w:w="794" w:type="dxa"/>
            <w:tcBorders>
              <w:top w:val="single" w:sz="6" w:space="0" w:color="auto"/>
              <w:bottom w:val="single" w:sz="12" w:space="0" w:color="auto"/>
            </w:tcBorders>
          </w:tcPr>
          <w:p w14:paraId="28AE428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(21 061)</w:t>
            </w:r>
          </w:p>
        </w:tc>
        <w:tc>
          <w:tcPr>
            <w:tcW w:w="794" w:type="dxa"/>
            <w:tcBorders>
              <w:top w:val="single" w:sz="6" w:space="0" w:color="auto"/>
              <w:bottom w:val="single" w:sz="12" w:space="0" w:color="auto"/>
            </w:tcBorders>
          </w:tcPr>
          <w:p w14:paraId="403A2B6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(22 982)</w:t>
            </w:r>
          </w:p>
        </w:tc>
        <w:tc>
          <w:tcPr>
            <w:tcW w:w="794" w:type="dxa"/>
            <w:tcBorders>
              <w:top w:val="single" w:sz="6" w:space="0" w:color="auto"/>
              <w:bottom w:val="single" w:sz="12" w:space="0" w:color="auto"/>
            </w:tcBorders>
          </w:tcPr>
          <w:p w14:paraId="129FCE6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(16 361)</w:t>
            </w:r>
          </w:p>
        </w:tc>
        <w:tc>
          <w:tcPr>
            <w:tcW w:w="794" w:type="dxa"/>
            <w:tcBorders>
              <w:top w:val="single" w:sz="6" w:space="0" w:color="auto"/>
              <w:bottom w:val="single" w:sz="12" w:space="0" w:color="auto"/>
            </w:tcBorders>
          </w:tcPr>
          <w:p w14:paraId="17BE4A4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(12 602)</w:t>
            </w:r>
          </w:p>
        </w:tc>
        <w:tc>
          <w:tcPr>
            <w:tcW w:w="794" w:type="dxa"/>
            <w:tcBorders>
              <w:top w:val="single" w:sz="6" w:space="0" w:color="auto"/>
              <w:bottom w:val="single" w:sz="12" w:space="0" w:color="auto"/>
            </w:tcBorders>
          </w:tcPr>
          <w:p w14:paraId="7A33EE6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(10 762)</w:t>
            </w:r>
          </w:p>
        </w:tc>
      </w:tr>
    </w:tbl>
    <w:p w14:paraId="15D13C5B" w14:textId="77777777" w:rsidR="00AB205D" w:rsidRPr="00921F69" w:rsidRDefault="00471A3B">
      <w:pPr>
        <w:pStyle w:val="Note"/>
        <w:ind w:left="0" w:firstLine="0"/>
      </w:pPr>
      <w:r w:rsidRPr="00921F69">
        <w:t>Notes:</w:t>
      </w:r>
    </w:p>
    <w:p w14:paraId="17052742" w14:textId="77777777" w:rsidR="00AB205D" w:rsidRPr="004E4FD2" w:rsidRDefault="00471A3B">
      <w:pPr>
        <w:pStyle w:val="Note"/>
      </w:pPr>
      <w:r w:rsidRPr="00921F69">
        <w:t>(a)</w:t>
      </w:r>
      <w:r w:rsidRPr="00921F69">
        <w:tab/>
      </w:r>
      <w:r>
        <w:t>Sales of goods and services and payments for goods and services are i</w:t>
      </w:r>
      <w:r w:rsidRPr="00E77C7E">
        <w:t>nclusive of goods and services tax.</w:t>
      </w:r>
    </w:p>
    <w:p w14:paraId="3BBFCB4B" w14:textId="77777777" w:rsidR="00AB205D" w:rsidRPr="00921F69" w:rsidRDefault="00471A3B">
      <w:pPr>
        <w:pStyle w:val="Note"/>
      </w:pPr>
      <w:r w:rsidRPr="00921F69">
        <w:t>(b)</w:t>
      </w:r>
      <w:r w:rsidRPr="00921F69">
        <w:tab/>
      </w:r>
      <w:r w:rsidRPr="006F57EC">
        <w:rPr>
          <w:i w:val="0"/>
        </w:rPr>
        <w:t>2023-24 Budget</w:t>
      </w:r>
      <w:r w:rsidRPr="00921F69">
        <w:t xml:space="preserve"> figures have been restated to represent actual opening balances at 1 July 20</w:t>
      </w:r>
      <w:r>
        <w:t>23</w:t>
      </w:r>
      <w:r w:rsidRPr="00921F69">
        <w:t>.</w:t>
      </w:r>
    </w:p>
    <w:p w14:paraId="47E6DE8D" w14:textId="77777777" w:rsidR="00AB205D" w:rsidRDefault="00471A3B">
      <w:pPr>
        <w:pStyle w:val="Note"/>
      </w:pPr>
      <w:r w:rsidRPr="009E38F8">
        <w:rPr>
          <w:iCs/>
        </w:rPr>
        <w:t>(</w:t>
      </w:r>
      <w:r>
        <w:rPr>
          <w:iCs/>
        </w:rPr>
        <w:t>c</w:t>
      </w:r>
      <w:r w:rsidRPr="009E38F8">
        <w:rPr>
          <w:iCs/>
        </w:rPr>
        <w:t>)</w:t>
      </w:r>
      <w:r w:rsidRPr="009E38F8">
        <w:rPr>
          <w:iCs/>
        </w:rPr>
        <w:tab/>
      </w:r>
      <w:r>
        <w:t>Cash and cash equivalents at the end of the reporting period does not equal cash and deposits on the balance sheet. This is due to overdrafts being included in the cash flow statement balances.</w:t>
      </w:r>
    </w:p>
    <w:p w14:paraId="7EF4AD0C" w14:textId="77777777" w:rsidR="00AB205D" w:rsidRDefault="00471A3B">
      <w:pPr>
        <w:pStyle w:val="TableHeading"/>
        <w:pageBreakBefore/>
      </w:pPr>
      <w:r w:rsidRPr="00921F69">
        <w:lastRenderedPageBreak/>
        <w:t>Table 5.19</w:t>
      </w:r>
      <w:r w:rsidRPr="00921F69">
        <w:tab/>
        <w:t xml:space="preserve">State of Victoria statement of changes in equity </w:t>
      </w:r>
      <w:r w:rsidRPr="00921F69">
        <w:br/>
        <w:t>for the financial year ended 30 June</w:t>
      </w:r>
      <w:r w:rsidRPr="00921F69">
        <w:tab/>
        <w:t>($ million)</w:t>
      </w:r>
    </w:p>
    <w:tbl>
      <w:tblPr>
        <w:tblStyle w:val="DTFTableNumeric"/>
        <w:tblW w:w="7655" w:type="dxa"/>
        <w:tblLayout w:type="fixed"/>
        <w:tblLook w:val="06A0" w:firstRow="1" w:lastRow="0" w:firstColumn="1" w:lastColumn="0" w:noHBand="1" w:noVBand="1"/>
        <w:tblDescription w:val="Type:DtfTable|Workbook:Rawdata\BudgetUpdate\Budget Update\Financial Statements\Manual reports\SOCIE\Link_BU_SOCIE.xlsx|Table:Manual_WoS_SOCIE"/>
      </w:tblPr>
      <w:tblGrid>
        <w:gridCol w:w="3192"/>
        <w:gridCol w:w="1260"/>
        <w:gridCol w:w="1609"/>
        <w:gridCol w:w="743"/>
        <w:gridCol w:w="851"/>
      </w:tblGrid>
      <w:tr w:rsidR="009C6724" w:rsidRPr="008A1493" w14:paraId="3C206A21"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92" w:type="dxa"/>
          </w:tcPr>
          <w:p w14:paraId="0B9F9FCC" w14:textId="77777777" w:rsidR="00AB205D" w:rsidRDefault="00AB205D">
            <w:pPr>
              <w:keepNext/>
              <w:spacing w:after="0"/>
            </w:pPr>
          </w:p>
        </w:tc>
        <w:tc>
          <w:tcPr>
            <w:tcW w:w="1260" w:type="dxa"/>
          </w:tcPr>
          <w:p w14:paraId="05C20119"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rsidRPr="004D0DDC">
              <w:rPr>
                <w:szCs w:val="17"/>
              </w:rPr>
              <w:t>Accumulated surplus/(deficit)</w:t>
            </w:r>
          </w:p>
        </w:tc>
        <w:tc>
          <w:tcPr>
            <w:tcW w:w="1609" w:type="dxa"/>
          </w:tcPr>
          <w:p w14:paraId="7EB0C118"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rsidRPr="004D0DDC">
              <w:rPr>
                <w:szCs w:val="17"/>
              </w:rPr>
              <w:t>Non</w:t>
            </w:r>
            <w:r w:rsidRPr="004D0DDC">
              <w:rPr>
                <w:szCs w:val="17"/>
              </w:rPr>
              <w:noBreakHyphen/>
              <w:t>financial assets revaluation surplus</w:t>
            </w:r>
          </w:p>
        </w:tc>
        <w:tc>
          <w:tcPr>
            <w:tcW w:w="743" w:type="dxa"/>
          </w:tcPr>
          <w:p w14:paraId="5DECAB94"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rsidRPr="004D0DDC">
              <w:rPr>
                <w:szCs w:val="17"/>
              </w:rPr>
              <w:t>Other reserves</w:t>
            </w:r>
          </w:p>
        </w:tc>
        <w:tc>
          <w:tcPr>
            <w:tcW w:w="851" w:type="dxa"/>
          </w:tcPr>
          <w:p w14:paraId="5B7F4254"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rsidRPr="004D0DDC">
              <w:rPr>
                <w:szCs w:val="17"/>
              </w:rPr>
              <w:t>Total</w:t>
            </w:r>
          </w:p>
        </w:tc>
      </w:tr>
      <w:tr w:rsidR="009C6724" w:rsidRPr="008A1493" w14:paraId="35701AAB" w14:textId="77777777" w:rsidTr="009C6724">
        <w:tc>
          <w:tcPr>
            <w:cnfStyle w:val="001000000000" w:firstRow="0" w:lastRow="0" w:firstColumn="1" w:lastColumn="0" w:oddVBand="0" w:evenVBand="0" w:oddHBand="0" w:evenHBand="0" w:firstRowFirstColumn="0" w:firstRowLastColumn="0" w:lastRowFirstColumn="0" w:lastRowLastColumn="0"/>
            <w:tcW w:w="3192" w:type="dxa"/>
          </w:tcPr>
          <w:p w14:paraId="4294571E" w14:textId="77777777" w:rsidR="00AB205D" w:rsidRDefault="00471A3B">
            <w:pPr>
              <w:spacing w:after="0"/>
            </w:pPr>
            <w:r w:rsidRPr="004D0DDC">
              <w:rPr>
                <w:b/>
                <w:szCs w:val="17"/>
              </w:rPr>
              <w:t>2023</w:t>
            </w:r>
            <w:r w:rsidRPr="004D0DDC">
              <w:rPr>
                <w:b/>
                <w:szCs w:val="17"/>
              </w:rPr>
              <w:noBreakHyphen/>
              <w:t>24 budget</w:t>
            </w:r>
            <w:r w:rsidRPr="004D0DDC">
              <w:rPr>
                <w:b/>
                <w:szCs w:val="17"/>
                <w:vertAlign w:val="superscript"/>
              </w:rPr>
              <w:t xml:space="preserve"> (a)</w:t>
            </w:r>
          </w:p>
        </w:tc>
        <w:tc>
          <w:tcPr>
            <w:tcW w:w="1260" w:type="dxa"/>
          </w:tcPr>
          <w:p w14:paraId="4FDEFFA7"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1609" w:type="dxa"/>
          </w:tcPr>
          <w:p w14:paraId="390276C5"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43" w:type="dxa"/>
          </w:tcPr>
          <w:p w14:paraId="2E9339E3"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851" w:type="dxa"/>
          </w:tcPr>
          <w:p w14:paraId="61207688"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r>
      <w:tr w:rsidR="009C6724" w:rsidRPr="008A1493" w14:paraId="6C93B212" w14:textId="77777777" w:rsidTr="009C6724">
        <w:tc>
          <w:tcPr>
            <w:cnfStyle w:val="001000000000" w:firstRow="0" w:lastRow="0" w:firstColumn="1" w:lastColumn="0" w:oddVBand="0" w:evenVBand="0" w:oddHBand="0" w:evenHBand="0" w:firstRowFirstColumn="0" w:firstRowLastColumn="0" w:lastRowFirstColumn="0" w:lastRowLastColumn="0"/>
            <w:tcW w:w="3192" w:type="dxa"/>
          </w:tcPr>
          <w:p w14:paraId="28BBF51A" w14:textId="77777777" w:rsidR="00AB205D" w:rsidRDefault="00471A3B">
            <w:pPr>
              <w:spacing w:after="0"/>
            </w:pPr>
            <w:r w:rsidRPr="004D0DDC">
              <w:rPr>
                <w:szCs w:val="17"/>
              </w:rPr>
              <w:t>Balance at 1 July 2023</w:t>
            </w:r>
          </w:p>
        </w:tc>
        <w:tc>
          <w:tcPr>
            <w:tcW w:w="1260" w:type="dxa"/>
          </w:tcPr>
          <w:p w14:paraId="4DB6BE43"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80 106</w:t>
            </w:r>
          </w:p>
        </w:tc>
        <w:tc>
          <w:tcPr>
            <w:tcW w:w="1609" w:type="dxa"/>
          </w:tcPr>
          <w:p w14:paraId="76ADE5AE"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151 951</w:t>
            </w:r>
          </w:p>
        </w:tc>
        <w:tc>
          <w:tcPr>
            <w:tcW w:w="743" w:type="dxa"/>
          </w:tcPr>
          <w:p w14:paraId="08514025"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2 139</w:t>
            </w:r>
          </w:p>
        </w:tc>
        <w:tc>
          <w:tcPr>
            <w:tcW w:w="851" w:type="dxa"/>
          </w:tcPr>
          <w:p w14:paraId="30168FB4"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234 196</w:t>
            </w:r>
          </w:p>
        </w:tc>
      </w:tr>
      <w:tr w:rsidR="009C6724" w:rsidRPr="008A1493" w14:paraId="0D179209" w14:textId="77777777" w:rsidTr="009C6724">
        <w:tc>
          <w:tcPr>
            <w:cnfStyle w:val="001000000000" w:firstRow="0" w:lastRow="0" w:firstColumn="1" w:lastColumn="0" w:oddVBand="0" w:evenVBand="0" w:oddHBand="0" w:evenHBand="0" w:firstRowFirstColumn="0" w:firstRowLastColumn="0" w:lastRowFirstColumn="0" w:lastRowLastColumn="0"/>
            <w:tcW w:w="3192" w:type="dxa"/>
          </w:tcPr>
          <w:p w14:paraId="792359E4" w14:textId="77777777" w:rsidR="00AB205D" w:rsidRDefault="00471A3B">
            <w:pPr>
              <w:spacing w:after="0"/>
            </w:pPr>
            <w:r w:rsidRPr="004D0DDC">
              <w:rPr>
                <w:szCs w:val="17"/>
              </w:rPr>
              <w:t>Net result for the year</w:t>
            </w:r>
          </w:p>
        </w:tc>
        <w:tc>
          <w:tcPr>
            <w:tcW w:w="1260" w:type="dxa"/>
          </w:tcPr>
          <w:p w14:paraId="5C3C7BAF"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(8 064)</w:t>
            </w:r>
          </w:p>
        </w:tc>
        <w:tc>
          <w:tcPr>
            <w:tcW w:w="1609" w:type="dxa"/>
          </w:tcPr>
          <w:p w14:paraId="1761CC28"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w:t>
            </w:r>
          </w:p>
        </w:tc>
        <w:tc>
          <w:tcPr>
            <w:tcW w:w="743" w:type="dxa"/>
          </w:tcPr>
          <w:p w14:paraId="1DE1DD5F"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w:t>
            </w:r>
          </w:p>
        </w:tc>
        <w:tc>
          <w:tcPr>
            <w:tcW w:w="851" w:type="dxa"/>
          </w:tcPr>
          <w:p w14:paraId="7CF639E2"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(8 064)</w:t>
            </w:r>
          </w:p>
        </w:tc>
      </w:tr>
      <w:tr w:rsidR="009C6724" w:rsidRPr="008A1493" w14:paraId="2EC18E0D" w14:textId="77777777" w:rsidTr="009C6724">
        <w:tc>
          <w:tcPr>
            <w:cnfStyle w:val="001000000000" w:firstRow="0" w:lastRow="0" w:firstColumn="1" w:lastColumn="0" w:oddVBand="0" w:evenVBand="0" w:oddHBand="0" w:evenHBand="0" w:firstRowFirstColumn="0" w:firstRowLastColumn="0" w:lastRowFirstColumn="0" w:lastRowLastColumn="0"/>
            <w:tcW w:w="3192" w:type="dxa"/>
          </w:tcPr>
          <w:p w14:paraId="5C4A0B5B" w14:textId="77777777" w:rsidR="00AB205D" w:rsidRDefault="00471A3B">
            <w:pPr>
              <w:spacing w:after="0"/>
            </w:pPr>
            <w:r w:rsidRPr="004D0DDC">
              <w:rPr>
                <w:szCs w:val="17"/>
              </w:rPr>
              <w:t>Other comprehensive income for the year</w:t>
            </w:r>
          </w:p>
        </w:tc>
        <w:tc>
          <w:tcPr>
            <w:tcW w:w="1260" w:type="dxa"/>
          </w:tcPr>
          <w:p w14:paraId="1FA282B8"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838</w:t>
            </w:r>
          </w:p>
        </w:tc>
        <w:tc>
          <w:tcPr>
            <w:tcW w:w="1609" w:type="dxa"/>
          </w:tcPr>
          <w:p w14:paraId="387D8C75"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1 041</w:t>
            </w:r>
          </w:p>
        </w:tc>
        <w:tc>
          <w:tcPr>
            <w:tcW w:w="743" w:type="dxa"/>
          </w:tcPr>
          <w:p w14:paraId="43824683"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20</w:t>
            </w:r>
          </w:p>
        </w:tc>
        <w:tc>
          <w:tcPr>
            <w:tcW w:w="851" w:type="dxa"/>
          </w:tcPr>
          <w:p w14:paraId="77D7D98A"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1 899</w:t>
            </w:r>
          </w:p>
        </w:tc>
      </w:tr>
      <w:tr w:rsidR="009C6724" w:rsidRPr="008A1493" w14:paraId="0C80978C" w14:textId="77777777" w:rsidTr="009C6724">
        <w:tc>
          <w:tcPr>
            <w:cnfStyle w:val="001000000000" w:firstRow="0" w:lastRow="0" w:firstColumn="1" w:lastColumn="0" w:oddVBand="0" w:evenVBand="0" w:oddHBand="0" w:evenHBand="0" w:firstRowFirstColumn="0" w:firstRowLastColumn="0" w:lastRowFirstColumn="0" w:lastRowLastColumn="0"/>
            <w:tcW w:w="3192" w:type="dxa"/>
          </w:tcPr>
          <w:p w14:paraId="52735992" w14:textId="77777777" w:rsidR="00AB205D" w:rsidRDefault="00471A3B">
            <w:pPr>
              <w:spacing w:after="0"/>
            </w:pPr>
            <w:r w:rsidRPr="004D0DDC">
              <w:rPr>
                <w:szCs w:val="17"/>
              </w:rPr>
              <w:t>Transfer to/(from) accumulated surplus</w:t>
            </w:r>
          </w:p>
        </w:tc>
        <w:tc>
          <w:tcPr>
            <w:tcW w:w="1260" w:type="dxa"/>
          </w:tcPr>
          <w:p w14:paraId="2E400F81"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w:t>
            </w:r>
          </w:p>
        </w:tc>
        <w:tc>
          <w:tcPr>
            <w:tcW w:w="1609" w:type="dxa"/>
          </w:tcPr>
          <w:p w14:paraId="6A9F9D0E"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w:t>
            </w:r>
          </w:p>
        </w:tc>
        <w:tc>
          <w:tcPr>
            <w:tcW w:w="743" w:type="dxa"/>
          </w:tcPr>
          <w:p w14:paraId="08591016"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w:t>
            </w:r>
          </w:p>
        </w:tc>
        <w:tc>
          <w:tcPr>
            <w:tcW w:w="851" w:type="dxa"/>
          </w:tcPr>
          <w:p w14:paraId="5BCAC1FB"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w:t>
            </w:r>
          </w:p>
        </w:tc>
      </w:tr>
      <w:tr w:rsidR="009C6724" w:rsidRPr="008A1493" w14:paraId="249963D6" w14:textId="77777777" w:rsidTr="009C6724">
        <w:tc>
          <w:tcPr>
            <w:cnfStyle w:val="001000000000" w:firstRow="0" w:lastRow="0" w:firstColumn="1" w:lastColumn="0" w:oddVBand="0" w:evenVBand="0" w:oddHBand="0" w:evenHBand="0" w:firstRowFirstColumn="0" w:firstRowLastColumn="0" w:lastRowFirstColumn="0" w:lastRowLastColumn="0"/>
            <w:tcW w:w="3192" w:type="dxa"/>
            <w:tcBorders>
              <w:top w:val="single" w:sz="6" w:space="0" w:color="auto"/>
              <w:bottom w:val="single" w:sz="6" w:space="0" w:color="auto"/>
            </w:tcBorders>
          </w:tcPr>
          <w:p w14:paraId="3C4295C6" w14:textId="77777777" w:rsidR="00AB205D" w:rsidRDefault="00471A3B">
            <w:pPr>
              <w:spacing w:after="0"/>
            </w:pPr>
            <w:r w:rsidRPr="004D0DDC">
              <w:rPr>
                <w:b/>
                <w:szCs w:val="17"/>
              </w:rPr>
              <w:t>Total equity as at 30 June 2024</w:t>
            </w:r>
          </w:p>
        </w:tc>
        <w:tc>
          <w:tcPr>
            <w:tcW w:w="1260" w:type="dxa"/>
            <w:tcBorders>
              <w:top w:val="single" w:sz="6" w:space="0" w:color="auto"/>
              <w:bottom w:val="single" w:sz="6" w:space="0" w:color="auto"/>
            </w:tcBorders>
          </w:tcPr>
          <w:p w14:paraId="6178A472"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b/>
                <w:szCs w:val="17"/>
              </w:rPr>
              <w:t>72 881</w:t>
            </w:r>
          </w:p>
        </w:tc>
        <w:tc>
          <w:tcPr>
            <w:tcW w:w="1609" w:type="dxa"/>
            <w:tcBorders>
              <w:top w:val="single" w:sz="6" w:space="0" w:color="auto"/>
              <w:bottom w:val="single" w:sz="6" w:space="0" w:color="auto"/>
            </w:tcBorders>
          </w:tcPr>
          <w:p w14:paraId="6C49893F"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b/>
                <w:szCs w:val="17"/>
              </w:rPr>
              <w:t>152 992</w:t>
            </w:r>
          </w:p>
        </w:tc>
        <w:tc>
          <w:tcPr>
            <w:tcW w:w="743" w:type="dxa"/>
            <w:tcBorders>
              <w:top w:val="single" w:sz="6" w:space="0" w:color="auto"/>
              <w:bottom w:val="single" w:sz="6" w:space="0" w:color="auto"/>
            </w:tcBorders>
          </w:tcPr>
          <w:p w14:paraId="5C231BF0"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b/>
                <w:szCs w:val="17"/>
              </w:rPr>
              <w:t>2 159</w:t>
            </w:r>
          </w:p>
        </w:tc>
        <w:tc>
          <w:tcPr>
            <w:tcW w:w="851" w:type="dxa"/>
            <w:tcBorders>
              <w:top w:val="single" w:sz="6" w:space="0" w:color="auto"/>
              <w:bottom w:val="single" w:sz="6" w:space="0" w:color="auto"/>
            </w:tcBorders>
          </w:tcPr>
          <w:p w14:paraId="49F3AF50"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b/>
                <w:szCs w:val="17"/>
              </w:rPr>
              <w:t>228 032</w:t>
            </w:r>
          </w:p>
        </w:tc>
      </w:tr>
      <w:tr w:rsidR="009C6724" w:rsidRPr="008A1493" w14:paraId="7A958D20" w14:textId="77777777" w:rsidTr="009C6724">
        <w:tc>
          <w:tcPr>
            <w:cnfStyle w:val="001000000000" w:firstRow="0" w:lastRow="0" w:firstColumn="1" w:lastColumn="0" w:oddVBand="0" w:evenVBand="0" w:oddHBand="0" w:evenHBand="0" w:firstRowFirstColumn="0" w:firstRowLastColumn="0" w:lastRowFirstColumn="0" w:lastRowLastColumn="0"/>
            <w:tcW w:w="3192" w:type="dxa"/>
            <w:tcBorders>
              <w:top w:val="single" w:sz="6" w:space="0" w:color="auto"/>
            </w:tcBorders>
          </w:tcPr>
          <w:p w14:paraId="2B97BF11" w14:textId="77777777" w:rsidR="00AB205D" w:rsidRDefault="00471A3B">
            <w:pPr>
              <w:spacing w:after="0"/>
            </w:pPr>
            <w:r w:rsidRPr="004D0DDC">
              <w:rPr>
                <w:b/>
                <w:szCs w:val="17"/>
              </w:rPr>
              <w:t>2023</w:t>
            </w:r>
            <w:r w:rsidRPr="004D0DDC">
              <w:rPr>
                <w:b/>
                <w:szCs w:val="17"/>
              </w:rPr>
              <w:noBreakHyphen/>
              <w:t>24 revised</w:t>
            </w:r>
          </w:p>
        </w:tc>
        <w:tc>
          <w:tcPr>
            <w:tcW w:w="1260" w:type="dxa"/>
            <w:tcBorders>
              <w:top w:val="single" w:sz="6" w:space="0" w:color="auto"/>
            </w:tcBorders>
          </w:tcPr>
          <w:p w14:paraId="7789BD19"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1609" w:type="dxa"/>
            <w:tcBorders>
              <w:top w:val="single" w:sz="6" w:space="0" w:color="auto"/>
            </w:tcBorders>
          </w:tcPr>
          <w:p w14:paraId="7A2864AF"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43" w:type="dxa"/>
            <w:tcBorders>
              <w:top w:val="single" w:sz="6" w:space="0" w:color="auto"/>
            </w:tcBorders>
          </w:tcPr>
          <w:p w14:paraId="7AAB9078"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851" w:type="dxa"/>
            <w:tcBorders>
              <w:top w:val="single" w:sz="6" w:space="0" w:color="auto"/>
            </w:tcBorders>
          </w:tcPr>
          <w:p w14:paraId="22D25863"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r>
      <w:tr w:rsidR="009C6724" w:rsidRPr="008A1493" w14:paraId="53C116E5" w14:textId="77777777" w:rsidTr="009C6724">
        <w:tc>
          <w:tcPr>
            <w:cnfStyle w:val="001000000000" w:firstRow="0" w:lastRow="0" w:firstColumn="1" w:lastColumn="0" w:oddVBand="0" w:evenVBand="0" w:oddHBand="0" w:evenHBand="0" w:firstRowFirstColumn="0" w:firstRowLastColumn="0" w:lastRowFirstColumn="0" w:lastRowLastColumn="0"/>
            <w:tcW w:w="3192" w:type="dxa"/>
          </w:tcPr>
          <w:p w14:paraId="5654098C" w14:textId="77777777" w:rsidR="00AB205D" w:rsidRDefault="00471A3B">
            <w:pPr>
              <w:spacing w:after="0"/>
            </w:pPr>
            <w:r w:rsidRPr="004D0DDC">
              <w:rPr>
                <w:szCs w:val="17"/>
              </w:rPr>
              <w:t>Balance at 1 July 2023</w:t>
            </w:r>
          </w:p>
        </w:tc>
        <w:tc>
          <w:tcPr>
            <w:tcW w:w="1260" w:type="dxa"/>
          </w:tcPr>
          <w:p w14:paraId="70FF22B0"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80 106</w:t>
            </w:r>
          </w:p>
        </w:tc>
        <w:tc>
          <w:tcPr>
            <w:tcW w:w="1609" w:type="dxa"/>
          </w:tcPr>
          <w:p w14:paraId="06E2AA2F"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151 951</w:t>
            </w:r>
          </w:p>
        </w:tc>
        <w:tc>
          <w:tcPr>
            <w:tcW w:w="743" w:type="dxa"/>
          </w:tcPr>
          <w:p w14:paraId="40A78472"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2 139</w:t>
            </w:r>
          </w:p>
        </w:tc>
        <w:tc>
          <w:tcPr>
            <w:tcW w:w="851" w:type="dxa"/>
          </w:tcPr>
          <w:p w14:paraId="7590EC2B"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234 196</w:t>
            </w:r>
          </w:p>
        </w:tc>
      </w:tr>
      <w:tr w:rsidR="009C6724" w:rsidRPr="008A1493" w14:paraId="6B23857E" w14:textId="77777777" w:rsidTr="009C6724">
        <w:tc>
          <w:tcPr>
            <w:cnfStyle w:val="001000000000" w:firstRow="0" w:lastRow="0" w:firstColumn="1" w:lastColumn="0" w:oddVBand="0" w:evenVBand="0" w:oddHBand="0" w:evenHBand="0" w:firstRowFirstColumn="0" w:firstRowLastColumn="0" w:lastRowFirstColumn="0" w:lastRowLastColumn="0"/>
            <w:tcW w:w="3192" w:type="dxa"/>
          </w:tcPr>
          <w:p w14:paraId="319830F9" w14:textId="77777777" w:rsidR="00AB205D" w:rsidRDefault="00471A3B">
            <w:pPr>
              <w:spacing w:after="0"/>
            </w:pPr>
            <w:r w:rsidRPr="004D0DDC">
              <w:rPr>
                <w:szCs w:val="17"/>
              </w:rPr>
              <w:t>Net result for the year</w:t>
            </w:r>
          </w:p>
        </w:tc>
        <w:tc>
          <w:tcPr>
            <w:tcW w:w="1260" w:type="dxa"/>
          </w:tcPr>
          <w:p w14:paraId="369B9BDF"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(5 840)</w:t>
            </w:r>
          </w:p>
        </w:tc>
        <w:tc>
          <w:tcPr>
            <w:tcW w:w="1609" w:type="dxa"/>
          </w:tcPr>
          <w:p w14:paraId="0AB78492"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w:t>
            </w:r>
          </w:p>
        </w:tc>
        <w:tc>
          <w:tcPr>
            <w:tcW w:w="743" w:type="dxa"/>
          </w:tcPr>
          <w:p w14:paraId="3D657E40"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w:t>
            </w:r>
          </w:p>
        </w:tc>
        <w:tc>
          <w:tcPr>
            <w:tcW w:w="851" w:type="dxa"/>
          </w:tcPr>
          <w:p w14:paraId="79A93357"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(5 840)</w:t>
            </w:r>
          </w:p>
        </w:tc>
      </w:tr>
      <w:tr w:rsidR="009C6724" w:rsidRPr="008A1493" w14:paraId="24E2DC82" w14:textId="77777777" w:rsidTr="009C6724">
        <w:tc>
          <w:tcPr>
            <w:cnfStyle w:val="001000000000" w:firstRow="0" w:lastRow="0" w:firstColumn="1" w:lastColumn="0" w:oddVBand="0" w:evenVBand="0" w:oddHBand="0" w:evenHBand="0" w:firstRowFirstColumn="0" w:firstRowLastColumn="0" w:lastRowFirstColumn="0" w:lastRowLastColumn="0"/>
            <w:tcW w:w="3192" w:type="dxa"/>
          </w:tcPr>
          <w:p w14:paraId="4CC51A66" w14:textId="77777777" w:rsidR="00AB205D" w:rsidRDefault="00471A3B">
            <w:pPr>
              <w:spacing w:after="0"/>
            </w:pPr>
            <w:r w:rsidRPr="004D0DDC">
              <w:rPr>
                <w:szCs w:val="17"/>
              </w:rPr>
              <w:t>Other comprehensive income for the year</w:t>
            </w:r>
          </w:p>
        </w:tc>
        <w:tc>
          <w:tcPr>
            <w:tcW w:w="1260" w:type="dxa"/>
          </w:tcPr>
          <w:p w14:paraId="40929CFC"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2 630</w:t>
            </w:r>
          </w:p>
        </w:tc>
        <w:tc>
          <w:tcPr>
            <w:tcW w:w="1609" w:type="dxa"/>
          </w:tcPr>
          <w:p w14:paraId="539D58E5"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549</w:t>
            </w:r>
          </w:p>
        </w:tc>
        <w:tc>
          <w:tcPr>
            <w:tcW w:w="743" w:type="dxa"/>
          </w:tcPr>
          <w:p w14:paraId="566831DD"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51</w:t>
            </w:r>
          </w:p>
        </w:tc>
        <w:tc>
          <w:tcPr>
            <w:tcW w:w="851" w:type="dxa"/>
          </w:tcPr>
          <w:p w14:paraId="764DE1F8"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3 231</w:t>
            </w:r>
          </w:p>
        </w:tc>
      </w:tr>
      <w:tr w:rsidR="009C6724" w:rsidRPr="008A1493" w14:paraId="691F8B55" w14:textId="77777777" w:rsidTr="009C6724">
        <w:tc>
          <w:tcPr>
            <w:cnfStyle w:val="001000000000" w:firstRow="0" w:lastRow="0" w:firstColumn="1" w:lastColumn="0" w:oddVBand="0" w:evenVBand="0" w:oddHBand="0" w:evenHBand="0" w:firstRowFirstColumn="0" w:firstRowLastColumn="0" w:lastRowFirstColumn="0" w:lastRowLastColumn="0"/>
            <w:tcW w:w="3192" w:type="dxa"/>
          </w:tcPr>
          <w:p w14:paraId="2E3232FB" w14:textId="77777777" w:rsidR="00AB205D" w:rsidRDefault="00471A3B">
            <w:pPr>
              <w:spacing w:after="0"/>
            </w:pPr>
            <w:r w:rsidRPr="004D0DDC">
              <w:rPr>
                <w:szCs w:val="17"/>
              </w:rPr>
              <w:t>Transfer to/(from) accumulated surplus</w:t>
            </w:r>
          </w:p>
        </w:tc>
        <w:tc>
          <w:tcPr>
            <w:tcW w:w="1260" w:type="dxa"/>
          </w:tcPr>
          <w:p w14:paraId="56DA9329"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w:t>
            </w:r>
          </w:p>
        </w:tc>
        <w:tc>
          <w:tcPr>
            <w:tcW w:w="1609" w:type="dxa"/>
          </w:tcPr>
          <w:p w14:paraId="1A4C6CC8"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w:t>
            </w:r>
          </w:p>
        </w:tc>
        <w:tc>
          <w:tcPr>
            <w:tcW w:w="743" w:type="dxa"/>
          </w:tcPr>
          <w:p w14:paraId="00F5E2D1"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w:t>
            </w:r>
          </w:p>
        </w:tc>
        <w:tc>
          <w:tcPr>
            <w:tcW w:w="851" w:type="dxa"/>
          </w:tcPr>
          <w:p w14:paraId="740B1B34"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w:t>
            </w:r>
          </w:p>
        </w:tc>
      </w:tr>
      <w:tr w:rsidR="009C6724" w:rsidRPr="008A1493" w14:paraId="28B9AD2A" w14:textId="77777777" w:rsidTr="009C6724">
        <w:tc>
          <w:tcPr>
            <w:cnfStyle w:val="001000000000" w:firstRow="0" w:lastRow="0" w:firstColumn="1" w:lastColumn="0" w:oddVBand="0" w:evenVBand="0" w:oddHBand="0" w:evenHBand="0" w:firstRowFirstColumn="0" w:firstRowLastColumn="0" w:lastRowFirstColumn="0" w:lastRowLastColumn="0"/>
            <w:tcW w:w="3192" w:type="dxa"/>
            <w:tcBorders>
              <w:top w:val="single" w:sz="6" w:space="0" w:color="auto"/>
              <w:bottom w:val="single" w:sz="6" w:space="0" w:color="auto"/>
            </w:tcBorders>
          </w:tcPr>
          <w:p w14:paraId="7A312167" w14:textId="77777777" w:rsidR="00AB205D" w:rsidRDefault="00471A3B">
            <w:pPr>
              <w:spacing w:after="0"/>
            </w:pPr>
            <w:r w:rsidRPr="004D0DDC">
              <w:rPr>
                <w:b/>
                <w:szCs w:val="17"/>
              </w:rPr>
              <w:t>Total equity as at 30 June 2024</w:t>
            </w:r>
          </w:p>
        </w:tc>
        <w:tc>
          <w:tcPr>
            <w:tcW w:w="1260" w:type="dxa"/>
            <w:tcBorders>
              <w:top w:val="single" w:sz="6" w:space="0" w:color="auto"/>
              <w:bottom w:val="single" w:sz="6" w:space="0" w:color="auto"/>
            </w:tcBorders>
          </w:tcPr>
          <w:p w14:paraId="49DB7157"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b/>
                <w:szCs w:val="17"/>
              </w:rPr>
              <w:t>76 897</w:t>
            </w:r>
          </w:p>
        </w:tc>
        <w:tc>
          <w:tcPr>
            <w:tcW w:w="1609" w:type="dxa"/>
            <w:tcBorders>
              <w:top w:val="single" w:sz="6" w:space="0" w:color="auto"/>
              <w:bottom w:val="single" w:sz="6" w:space="0" w:color="auto"/>
            </w:tcBorders>
          </w:tcPr>
          <w:p w14:paraId="0297F971"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b/>
                <w:szCs w:val="17"/>
              </w:rPr>
              <w:t>152 500</w:t>
            </w:r>
          </w:p>
        </w:tc>
        <w:tc>
          <w:tcPr>
            <w:tcW w:w="743" w:type="dxa"/>
            <w:tcBorders>
              <w:top w:val="single" w:sz="6" w:space="0" w:color="auto"/>
              <w:bottom w:val="single" w:sz="6" w:space="0" w:color="auto"/>
            </w:tcBorders>
          </w:tcPr>
          <w:p w14:paraId="1B490792"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b/>
                <w:szCs w:val="17"/>
              </w:rPr>
              <w:t>2 190</w:t>
            </w:r>
          </w:p>
        </w:tc>
        <w:tc>
          <w:tcPr>
            <w:tcW w:w="851" w:type="dxa"/>
            <w:tcBorders>
              <w:top w:val="single" w:sz="6" w:space="0" w:color="auto"/>
              <w:bottom w:val="single" w:sz="6" w:space="0" w:color="auto"/>
            </w:tcBorders>
          </w:tcPr>
          <w:p w14:paraId="5BB42343"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b/>
                <w:szCs w:val="17"/>
              </w:rPr>
              <w:t>231 587</w:t>
            </w:r>
          </w:p>
        </w:tc>
      </w:tr>
      <w:tr w:rsidR="009C6724" w:rsidRPr="008A1493" w14:paraId="21AF0503" w14:textId="77777777" w:rsidTr="009C6724">
        <w:tc>
          <w:tcPr>
            <w:cnfStyle w:val="001000000000" w:firstRow="0" w:lastRow="0" w:firstColumn="1" w:lastColumn="0" w:oddVBand="0" w:evenVBand="0" w:oddHBand="0" w:evenHBand="0" w:firstRowFirstColumn="0" w:firstRowLastColumn="0" w:lastRowFirstColumn="0" w:lastRowLastColumn="0"/>
            <w:tcW w:w="3192" w:type="dxa"/>
            <w:tcBorders>
              <w:top w:val="single" w:sz="6" w:space="0" w:color="auto"/>
            </w:tcBorders>
          </w:tcPr>
          <w:p w14:paraId="7634E657" w14:textId="77777777" w:rsidR="00AB205D" w:rsidRDefault="00471A3B">
            <w:pPr>
              <w:spacing w:after="0"/>
            </w:pPr>
            <w:r w:rsidRPr="004D0DDC">
              <w:rPr>
                <w:b/>
                <w:szCs w:val="17"/>
              </w:rPr>
              <w:t>2024</w:t>
            </w:r>
            <w:r w:rsidRPr="004D0DDC">
              <w:rPr>
                <w:b/>
                <w:szCs w:val="17"/>
              </w:rPr>
              <w:noBreakHyphen/>
              <w:t>25 estimate</w:t>
            </w:r>
          </w:p>
        </w:tc>
        <w:tc>
          <w:tcPr>
            <w:tcW w:w="1260" w:type="dxa"/>
            <w:tcBorders>
              <w:top w:val="single" w:sz="6" w:space="0" w:color="auto"/>
            </w:tcBorders>
          </w:tcPr>
          <w:p w14:paraId="66759FC0"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1609" w:type="dxa"/>
            <w:tcBorders>
              <w:top w:val="single" w:sz="6" w:space="0" w:color="auto"/>
            </w:tcBorders>
          </w:tcPr>
          <w:p w14:paraId="497E643D"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43" w:type="dxa"/>
            <w:tcBorders>
              <w:top w:val="single" w:sz="6" w:space="0" w:color="auto"/>
            </w:tcBorders>
          </w:tcPr>
          <w:p w14:paraId="10D849AF"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851" w:type="dxa"/>
            <w:tcBorders>
              <w:top w:val="single" w:sz="6" w:space="0" w:color="auto"/>
            </w:tcBorders>
          </w:tcPr>
          <w:p w14:paraId="548F8A07"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r>
      <w:tr w:rsidR="009C6724" w:rsidRPr="008A1493" w14:paraId="7CFEB2DD" w14:textId="77777777" w:rsidTr="009C6724">
        <w:tc>
          <w:tcPr>
            <w:cnfStyle w:val="001000000000" w:firstRow="0" w:lastRow="0" w:firstColumn="1" w:lastColumn="0" w:oddVBand="0" w:evenVBand="0" w:oddHBand="0" w:evenHBand="0" w:firstRowFirstColumn="0" w:firstRowLastColumn="0" w:lastRowFirstColumn="0" w:lastRowLastColumn="0"/>
            <w:tcW w:w="3192" w:type="dxa"/>
          </w:tcPr>
          <w:p w14:paraId="52600F18" w14:textId="77777777" w:rsidR="00AB205D" w:rsidRDefault="00471A3B">
            <w:pPr>
              <w:spacing w:after="0"/>
            </w:pPr>
            <w:r w:rsidRPr="004D0DDC">
              <w:rPr>
                <w:szCs w:val="17"/>
              </w:rPr>
              <w:t>Balance at 1 July 2024</w:t>
            </w:r>
          </w:p>
        </w:tc>
        <w:tc>
          <w:tcPr>
            <w:tcW w:w="1260" w:type="dxa"/>
          </w:tcPr>
          <w:p w14:paraId="4A2FDEBD"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76 897</w:t>
            </w:r>
          </w:p>
        </w:tc>
        <w:tc>
          <w:tcPr>
            <w:tcW w:w="1609" w:type="dxa"/>
          </w:tcPr>
          <w:p w14:paraId="2980DC64"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152 500</w:t>
            </w:r>
          </w:p>
        </w:tc>
        <w:tc>
          <w:tcPr>
            <w:tcW w:w="743" w:type="dxa"/>
          </w:tcPr>
          <w:p w14:paraId="4F93B91A"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2 190</w:t>
            </w:r>
          </w:p>
        </w:tc>
        <w:tc>
          <w:tcPr>
            <w:tcW w:w="851" w:type="dxa"/>
          </w:tcPr>
          <w:p w14:paraId="7130ECF0"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231 587</w:t>
            </w:r>
          </w:p>
        </w:tc>
      </w:tr>
      <w:tr w:rsidR="009C6724" w:rsidRPr="008A1493" w14:paraId="5E77634C" w14:textId="77777777" w:rsidTr="009C6724">
        <w:tc>
          <w:tcPr>
            <w:cnfStyle w:val="001000000000" w:firstRow="0" w:lastRow="0" w:firstColumn="1" w:lastColumn="0" w:oddVBand="0" w:evenVBand="0" w:oddHBand="0" w:evenHBand="0" w:firstRowFirstColumn="0" w:firstRowLastColumn="0" w:lastRowFirstColumn="0" w:lastRowLastColumn="0"/>
            <w:tcW w:w="3192" w:type="dxa"/>
          </w:tcPr>
          <w:p w14:paraId="5220B5E8" w14:textId="77777777" w:rsidR="00AB205D" w:rsidRDefault="00471A3B">
            <w:pPr>
              <w:spacing w:after="0"/>
            </w:pPr>
            <w:r w:rsidRPr="004D0DDC">
              <w:rPr>
                <w:szCs w:val="17"/>
              </w:rPr>
              <w:t>Net result for the year</w:t>
            </w:r>
          </w:p>
        </w:tc>
        <w:tc>
          <w:tcPr>
            <w:tcW w:w="1260" w:type="dxa"/>
          </w:tcPr>
          <w:p w14:paraId="4BEF553B"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(4 858)</w:t>
            </w:r>
          </w:p>
        </w:tc>
        <w:tc>
          <w:tcPr>
            <w:tcW w:w="1609" w:type="dxa"/>
          </w:tcPr>
          <w:p w14:paraId="37A58B01"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w:t>
            </w:r>
          </w:p>
        </w:tc>
        <w:tc>
          <w:tcPr>
            <w:tcW w:w="743" w:type="dxa"/>
          </w:tcPr>
          <w:p w14:paraId="64D285A5"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w:t>
            </w:r>
          </w:p>
        </w:tc>
        <w:tc>
          <w:tcPr>
            <w:tcW w:w="851" w:type="dxa"/>
          </w:tcPr>
          <w:p w14:paraId="7B5DF470"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(4 858)</w:t>
            </w:r>
          </w:p>
        </w:tc>
      </w:tr>
      <w:tr w:rsidR="009C6724" w:rsidRPr="008A1493" w14:paraId="6E7019B8" w14:textId="77777777" w:rsidTr="009C6724">
        <w:tc>
          <w:tcPr>
            <w:cnfStyle w:val="001000000000" w:firstRow="0" w:lastRow="0" w:firstColumn="1" w:lastColumn="0" w:oddVBand="0" w:evenVBand="0" w:oddHBand="0" w:evenHBand="0" w:firstRowFirstColumn="0" w:firstRowLastColumn="0" w:lastRowFirstColumn="0" w:lastRowLastColumn="0"/>
            <w:tcW w:w="3192" w:type="dxa"/>
          </w:tcPr>
          <w:p w14:paraId="25294921" w14:textId="77777777" w:rsidR="00AB205D" w:rsidRDefault="00471A3B">
            <w:pPr>
              <w:spacing w:after="0"/>
            </w:pPr>
            <w:r w:rsidRPr="004D0DDC">
              <w:rPr>
                <w:szCs w:val="17"/>
              </w:rPr>
              <w:t>Other comprehensive income for the year</w:t>
            </w:r>
          </w:p>
        </w:tc>
        <w:tc>
          <w:tcPr>
            <w:tcW w:w="1260" w:type="dxa"/>
          </w:tcPr>
          <w:p w14:paraId="3BE74DC1"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557</w:t>
            </w:r>
          </w:p>
        </w:tc>
        <w:tc>
          <w:tcPr>
            <w:tcW w:w="1609" w:type="dxa"/>
          </w:tcPr>
          <w:p w14:paraId="339ECBFE"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15 035</w:t>
            </w:r>
          </w:p>
        </w:tc>
        <w:tc>
          <w:tcPr>
            <w:tcW w:w="743" w:type="dxa"/>
          </w:tcPr>
          <w:p w14:paraId="6E0491CF"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27</w:t>
            </w:r>
          </w:p>
        </w:tc>
        <w:tc>
          <w:tcPr>
            <w:tcW w:w="851" w:type="dxa"/>
          </w:tcPr>
          <w:p w14:paraId="405A976D"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15 618</w:t>
            </w:r>
          </w:p>
        </w:tc>
      </w:tr>
      <w:tr w:rsidR="009C6724" w:rsidRPr="008A1493" w14:paraId="4B39F26C" w14:textId="77777777" w:rsidTr="009C6724">
        <w:tc>
          <w:tcPr>
            <w:cnfStyle w:val="001000000000" w:firstRow="0" w:lastRow="0" w:firstColumn="1" w:lastColumn="0" w:oddVBand="0" w:evenVBand="0" w:oddHBand="0" w:evenHBand="0" w:firstRowFirstColumn="0" w:firstRowLastColumn="0" w:lastRowFirstColumn="0" w:lastRowLastColumn="0"/>
            <w:tcW w:w="3192" w:type="dxa"/>
          </w:tcPr>
          <w:p w14:paraId="5D97A1FA" w14:textId="77777777" w:rsidR="00AB205D" w:rsidRDefault="00471A3B">
            <w:pPr>
              <w:spacing w:after="0"/>
            </w:pPr>
            <w:r w:rsidRPr="004D0DDC">
              <w:rPr>
                <w:szCs w:val="17"/>
              </w:rPr>
              <w:t>Transfer to/(from) accumulated surplus</w:t>
            </w:r>
          </w:p>
        </w:tc>
        <w:tc>
          <w:tcPr>
            <w:tcW w:w="1260" w:type="dxa"/>
          </w:tcPr>
          <w:p w14:paraId="1D2DD0A9"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w:t>
            </w:r>
          </w:p>
        </w:tc>
        <w:tc>
          <w:tcPr>
            <w:tcW w:w="1609" w:type="dxa"/>
          </w:tcPr>
          <w:p w14:paraId="01AA98E6"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w:t>
            </w:r>
          </w:p>
        </w:tc>
        <w:tc>
          <w:tcPr>
            <w:tcW w:w="743" w:type="dxa"/>
          </w:tcPr>
          <w:p w14:paraId="08B85732"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w:t>
            </w:r>
          </w:p>
        </w:tc>
        <w:tc>
          <w:tcPr>
            <w:tcW w:w="851" w:type="dxa"/>
          </w:tcPr>
          <w:p w14:paraId="22F5D004"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w:t>
            </w:r>
          </w:p>
        </w:tc>
      </w:tr>
      <w:tr w:rsidR="009C6724" w:rsidRPr="008A1493" w14:paraId="4A3E2C7A" w14:textId="77777777" w:rsidTr="009C6724">
        <w:tc>
          <w:tcPr>
            <w:cnfStyle w:val="001000000000" w:firstRow="0" w:lastRow="0" w:firstColumn="1" w:lastColumn="0" w:oddVBand="0" w:evenVBand="0" w:oddHBand="0" w:evenHBand="0" w:firstRowFirstColumn="0" w:firstRowLastColumn="0" w:lastRowFirstColumn="0" w:lastRowLastColumn="0"/>
            <w:tcW w:w="3192" w:type="dxa"/>
            <w:tcBorders>
              <w:top w:val="single" w:sz="6" w:space="0" w:color="auto"/>
              <w:bottom w:val="single" w:sz="6" w:space="0" w:color="auto"/>
            </w:tcBorders>
          </w:tcPr>
          <w:p w14:paraId="0916070C" w14:textId="77777777" w:rsidR="00AB205D" w:rsidRDefault="00471A3B">
            <w:pPr>
              <w:spacing w:after="0"/>
            </w:pPr>
            <w:r w:rsidRPr="004D0DDC">
              <w:rPr>
                <w:b/>
                <w:szCs w:val="17"/>
              </w:rPr>
              <w:t>Total equity as at 30 June 2025</w:t>
            </w:r>
          </w:p>
        </w:tc>
        <w:tc>
          <w:tcPr>
            <w:tcW w:w="1260" w:type="dxa"/>
            <w:tcBorders>
              <w:top w:val="single" w:sz="6" w:space="0" w:color="auto"/>
              <w:bottom w:val="single" w:sz="6" w:space="0" w:color="auto"/>
            </w:tcBorders>
          </w:tcPr>
          <w:p w14:paraId="2D18FF13"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b/>
                <w:szCs w:val="17"/>
              </w:rPr>
              <w:t>72 596</w:t>
            </w:r>
          </w:p>
        </w:tc>
        <w:tc>
          <w:tcPr>
            <w:tcW w:w="1609" w:type="dxa"/>
            <w:tcBorders>
              <w:top w:val="single" w:sz="6" w:space="0" w:color="auto"/>
              <w:bottom w:val="single" w:sz="6" w:space="0" w:color="auto"/>
            </w:tcBorders>
          </w:tcPr>
          <w:p w14:paraId="32FE39B8"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b/>
                <w:szCs w:val="17"/>
              </w:rPr>
              <w:t>167 535</w:t>
            </w:r>
          </w:p>
        </w:tc>
        <w:tc>
          <w:tcPr>
            <w:tcW w:w="743" w:type="dxa"/>
            <w:tcBorders>
              <w:top w:val="single" w:sz="6" w:space="0" w:color="auto"/>
              <w:bottom w:val="single" w:sz="6" w:space="0" w:color="auto"/>
            </w:tcBorders>
          </w:tcPr>
          <w:p w14:paraId="5DF91C10"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b/>
                <w:szCs w:val="17"/>
              </w:rPr>
              <w:t>2 217</w:t>
            </w:r>
          </w:p>
        </w:tc>
        <w:tc>
          <w:tcPr>
            <w:tcW w:w="851" w:type="dxa"/>
            <w:tcBorders>
              <w:top w:val="single" w:sz="6" w:space="0" w:color="auto"/>
              <w:bottom w:val="single" w:sz="6" w:space="0" w:color="auto"/>
            </w:tcBorders>
          </w:tcPr>
          <w:p w14:paraId="38B671F2"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b/>
                <w:szCs w:val="17"/>
              </w:rPr>
              <w:t>242 347</w:t>
            </w:r>
          </w:p>
        </w:tc>
      </w:tr>
      <w:tr w:rsidR="009C6724" w:rsidRPr="008A1493" w14:paraId="7FCA0862" w14:textId="77777777" w:rsidTr="009C6724">
        <w:tc>
          <w:tcPr>
            <w:cnfStyle w:val="001000000000" w:firstRow="0" w:lastRow="0" w:firstColumn="1" w:lastColumn="0" w:oddVBand="0" w:evenVBand="0" w:oddHBand="0" w:evenHBand="0" w:firstRowFirstColumn="0" w:firstRowLastColumn="0" w:lastRowFirstColumn="0" w:lastRowLastColumn="0"/>
            <w:tcW w:w="3192" w:type="dxa"/>
            <w:tcBorders>
              <w:top w:val="single" w:sz="6" w:space="0" w:color="auto"/>
            </w:tcBorders>
          </w:tcPr>
          <w:p w14:paraId="4E3D1CCF" w14:textId="77777777" w:rsidR="00AB205D" w:rsidRDefault="00471A3B">
            <w:pPr>
              <w:spacing w:after="0"/>
            </w:pPr>
            <w:r w:rsidRPr="004D0DDC">
              <w:rPr>
                <w:b/>
                <w:szCs w:val="17"/>
              </w:rPr>
              <w:t>2025</w:t>
            </w:r>
            <w:r w:rsidRPr="004D0DDC">
              <w:rPr>
                <w:b/>
                <w:szCs w:val="17"/>
              </w:rPr>
              <w:noBreakHyphen/>
              <w:t>26 estimate</w:t>
            </w:r>
          </w:p>
        </w:tc>
        <w:tc>
          <w:tcPr>
            <w:tcW w:w="1260" w:type="dxa"/>
            <w:tcBorders>
              <w:top w:val="single" w:sz="6" w:space="0" w:color="auto"/>
            </w:tcBorders>
          </w:tcPr>
          <w:p w14:paraId="19871EE6"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1609" w:type="dxa"/>
            <w:tcBorders>
              <w:top w:val="single" w:sz="6" w:space="0" w:color="auto"/>
            </w:tcBorders>
          </w:tcPr>
          <w:p w14:paraId="6FB90E08"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43" w:type="dxa"/>
            <w:tcBorders>
              <w:top w:val="single" w:sz="6" w:space="0" w:color="auto"/>
            </w:tcBorders>
          </w:tcPr>
          <w:p w14:paraId="295C36C1"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851" w:type="dxa"/>
            <w:tcBorders>
              <w:top w:val="single" w:sz="6" w:space="0" w:color="auto"/>
            </w:tcBorders>
          </w:tcPr>
          <w:p w14:paraId="51AD48AD"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r>
      <w:tr w:rsidR="009C6724" w:rsidRPr="008A1493" w14:paraId="695B83A6" w14:textId="77777777" w:rsidTr="009C6724">
        <w:tc>
          <w:tcPr>
            <w:cnfStyle w:val="001000000000" w:firstRow="0" w:lastRow="0" w:firstColumn="1" w:lastColumn="0" w:oddVBand="0" w:evenVBand="0" w:oddHBand="0" w:evenHBand="0" w:firstRowFirstColumn="0" w:firstRowLastColumn="0" w:lastRowFirstColumn="0" w:lastRowLastColumn="0"/>
            <w:tcW w:w="3192" w:type="dxa"/>
          </w:tcPr>
          <w:p w14:paraId="04B09B41" w14:textId="77777777" w:rsidR="00AB205D" w:rsidRDefault="00471A3B">
            <w:pPr>
              <w:spacing w:after="0"/>
            </w:pPr>
            <w:r w:rsidRPr="004D0DDC">
              <w:rPr>
                <w:szCs w:val="17"/>
              </w:rPr>
              <w:t>Balance at 1 July 2025</w:t>
            </w:r>
          </w:p>
        </w:tc>
        <w:tc>
          <w:tcPr>
            <w:tcW w:w="1260" w:type="dxa"/>
          </w:tcPr>
          <w:p w14:paraId="0640C5A3"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72 596</w:t>
            </w:r>
          </w:p>
        </w:tc>
        <w:tc>
          <w:tcPr>
            <w:tcW w:w="1609" w:type="dxa"/>
          </w:tcPr>
          <w:p w14:paraId="7DEABA74"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167 535</w:t>
            </w:r>
          </w:p>
        </w:tc>
        <w:tc>
          <w:tcPr>
            <w:tcW w:w="743" w:type="dxa"/>
          </w:tcPr>
          <w:p w14:paraId="30FFF5D8"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2 217</w:t>
            </w:r>
          </w:p>
        </w:tc>
        <w:tc>
          <w:tcPr>
            <w:tcW w:w="851" w:type="dxa"/>
          </w:tcPr>
          <w:p w14:paraId="66872321"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242 347</w:t>
            </w:r>
          </w:p>
        </w:tc>
      </w:tr>
      <w:tr w:rsidR="009C6724" w:rsidRPr="008A1493" w14:paraId="021750A7" w14:textId="77777777" w:rsidTr="009C6724">
        <w:tc>
          <w:tcPr>
            <w:cnfStyle w:val="001000000000" w:firstRow="0" w:lastRow="0" w:firstColumn="1" w:lastColumn="0" w:oddVBand="0" w:evenVBand="0" w:oddHBand="0" w:evenHBand="0" w:firstRowFirstColumn="0" w:firstRowLastColumn="0" w:lastRowFirstColumn="0" w:lastRowLastColumn="0"/>
            <w:tcW w:w="3192" w:type="dxa"/>
          </w:tcPr>
          <w:p w14:paraId="76D66F43" w14:textId="77777777" w:rsidR="00AB205D" w:rsidRDefault="00471A3B">
            <w:pPr>
              <w:spacing w:after="0"/>
            </w:pPr>
            <w:r w:rsidRPr="004D0DDC">
              <w:rPr>
                <w:szCs w:val="17"/>
              </w:rPr>
              <w:t>Net result for the year</w:t>
            </w:r>
          </w:p>
        </w:tc>
        <w:tc>
          <w:tcPr>
            <w:tcW w:w="1260" w:type="dxa"/>
          </w:tcPr>
          <w:p w14:paraId="1B775620"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(2 265)</w:t>
            </w:r>
          </w:p>
        </w:tc>
        <w:tc>
          <w:tcPr>
            <w:tcW w:w="1609" w:type="dxa"/>
          </w:tcPr>
          <w:p w14:paraId="4C2FDBF9"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w:t>
            </w:r>
          </w:p>
        </w:tc>
        <w:tc>
          <w:tcPr>
            <w:tcW w:w="743" w:type="dxa"/>
          </w:tcPr>
          <w:p w14:paraId="6316AAD5"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w:t>
            </w:r>
          </w:p>
        </w:tc>
        <w:tc>
          <w:tcPr>
            <w:tcW w:w="851" w:type="dxa"/>
          </w:tcPr>
          <w:p w14:paraId="77A4A33D"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(2 265)</w:t>
            </w:r>
          </w:p>
        </w:tc>
      </w:tr>
      <w:tr w:rsidR="009C6724" w:rsidRPr="008A1493" w14:paraId="21973C5D" w14:textId="77777777" w:rsidTr="009C6724">
        <w:tc>
          <w:tcPr>
            <w:cnfStyle w:val="001000000000" w:firstRow="0" w:lastRow="0" w:firstColumn="1" w:lastColumn="0" w:oddVBand="0" w:evenVBand="0" w:oddHBand="0" w:evenHBand="0" w:firstRowFirstColumn="0" w:firstRowLastColumn="0" w:lastRowFirstColumn="0" w:lastRowLastColumn="0"/>
            <w:tcW w:w="3192" w:type="dxa"/>
          </w:tcPr>
          <w:p w14:paraId="537DC2F3" w14:textId="77777777" w:rsidR="00AB205D" w:rsidRDefault="00471A3B">
            <w:pPr>
              <w:spacing w:after="0"/>
            </w:pPr>
            <w:r w:rsidRPr="004D0DDC">
              <w:rPr>
                <w:szCs w:val="17"/>
              </w:rPr>
              <w:t>Other comprehensive income for the year</w:t>
            </w:r>
          </w:p>
        </w:tc>
        <w:tc>
          <w:tcPr>
            <w:tcW w:w="1260" w:type="dxa"/>
          </w:tcPr>
          <w:p w14:paraId="1AACCB89"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529</w:t>
            </w:r>
          </w:p>
        </w:tc>
        <w:tc>
          <w:tcPr>
            <w:tcW w:w="1609" w:type="dxa"/>
          </w:tcPr>
          <w:p w14:paraId="7208F66C"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4 024</w:t>
            </w:r>
          </w:p>
        </w:tc>
        <w:tc>
          <w:tcPr>
            <w:tcW w:w="743" w:type="dxa"/>
          </w:tcPr>
          <w:p w14:paraId="5CE27B27"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30</w:t>
            </w:r>
          </w:p>
        </w:tc>
        <w:tc>
          <w:tcPr>
            <w:tcW w:w="851" w:type="dxa"/>
          </w:tcPr>
          <w:p w14:paraId="779B72FD"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4 583</w:t>
            </w:r>
          </w:p>
        </w:tc>
      </w:tr>
      <w:tr w:rsidR="009C6724" w:rsidRPr="008A1493" w14:paraId="5F1D63ED" w14:textId="77777777" w:rsidTr="009C6724">
        <w:tc>
          <w:tcPr>
            <w:cnfStyle w:val="001000000000" w:firstRow="0" w:lastRow="0" w:firstColumn="1" w:lastColumn="0" w:oddVBand="0" w:evenVBand="0" w:oddHBand="0" w:evenHBand="0" w:firstRowFirstColumn="0" w:firstRowLastColumn="0" w:lastRowFirstColumn="0" w:lastRowLastColumn="0"/>
            <w:tcW w:w="3192" w:type="dxa"/>
          </w:tcPr>
          <w:p w14:paraId="41F3775A" w14:textId="77777777" w:rsidR="00AB205D" w:rsidRDefault="00471A3B">
            <w:pPr>
              <w:spacing w:after="0"/>
            </w:pPr>
            <w:r w:rsidRPr="004D0DDC">
              <w:rPr>
                <w:szCs w:val="17"/>
              </w:rPr>
              <w:t>Transfer to/(from) accumulated surplus</w:t>
            </w:r>
          </w:p>
        </w:tc>
        <w:tc>
          <w:tcPr>
            <w:tcW w:w="1260" w:type="dxa"/>
          </w:tcPr>
          <w:p w14:paraId="3436A10C"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345</w:t>
            </w:r>
          </w:p>
        </w:tc>
        <w:tc>
          <w:tcPr>
            <w:tcW w:w="1609" w:type="dxa"/>
          </w:tcPr>
          <w:p w14:paraId="2ECD0BAC"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(345)</w:t>
            </w:r>
          </w:p>
        </w:tc>
        <w:tc>
          <w:tcPr>
            <w:tcW w:w="743" w:type="dxa"/>
          </w:tcPr>
          <w:p w14:paraId="0B4595D0"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w:t>
            </w:r>
          </w:p>
        </w:tc>
        <w:tc>
          <w:tcPr>
            <w:tcW w:w="851" w:type="dxa"/>
          </w:tcPr>
          <w:p w14:paraId="0790F541"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w:t>
            </w:r>
          </w:p>
        </w:tc>
      </w:tr>
      <w:tr w:rsidR="009C6724" w:rsidRPr="008A1493" w14:paraId="1E06FF4D" w14:textId="77777777" w:rsidTr="009C6724">
        <w:tc>
          <w:tcPr>
            <w:cnfStyle w:val="001000000000" w:firstRow="0" w:lastRow="0" w:firstColumn="1" w:lastColumn="0" w:oddVBand="0" w:evenVBand="0" w:oddHBand="0" w:evenHBand="0" w:firstRowFirstColumn="0" w:firstRowLastColumn="0" w:lastRowFirstColumn="0" w:lastRowLastColumn="0"/>
            <w:tcW w:w="3192" w:type="dxa"/>
            <w:tcBorders>
              <w:top w:val="single" w:sz="6" w:space="0" w:color="auto"/>
              <w:bottom w:val="single" w:sz="6" w:space="0" w:color="auto"/>
            </w:tcBorders>
          </w:tcPr>
          <w:p w14:paraId="058F6679" w14:textId="77777777" w:rsidR="00AB205D" w:rsidRDefault="00471A3B">
            <w:pPr>
              <w:spacing w:after="0"/>
            </w:pPr>
            <w:r w:rsidRPr="004D0DDC">
              <w:rPr>
                <w:b/>
                <w:szCs w:val="17"/>
              </w:rPr>
              <w:t>Total equity as at 30 June 2026</w:t>
            </w:r>
          </w:p>
        </w:tc>
        <w:tc>
          <w:tcPr>
            <w:tcW w:w="1260" w:type="dxa"/>
            <w:tcBorders>
              <w:top w:val="single" w:sz="6" w:space="0" w:color="auto"/>
              <w:bottom w:val="single" w:sz="6" w:space="0" w:color="auto"/>
            </w:tcBorders>
          </w:tcPr>
          <w:p w14:paraId="695AEE98"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b/>
                <w:szCs w:val="17"/>
              </w:rPr>
              <w:t>71 206</w:t>
            </w:r>
          </w:p>
        </w:tc>
        <w:tc>
          <w:tcPr>
            <w:tcW w:w="1609" w:type="dxa"/>
            <w:tcBorders>
              <w:top w:val="single" w:sz="6" w:space="0" w:color="auto"/>
              <w:bottom w:val="single" w:sz="6" w:space="0" w:color="auto"/>
            </w:tcBorders>
          </w:tcPr>
          <w:p w14:paraId="608037BA"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b/>
                <w:szCs w:val="17"/>
              </w:rPr>
              <w:t>171 213</w:t>
            </w:r>
          </w:p>
        </w:tc>
        <w:tc>
          <w:tcPr>
            <w:tcW w:w="743" w:type="dxa"/>
            <w:tcBorders>
              <w:top w:val="single" w:sz="6" w:space="0" w:color="auto"/>
              <w:bottom w:val="single" w:sz="6" w:space="0" w:color="auto"/>
            </w:tcBorders>
          </w:tcPr>
          <w:p w14:paraId="31E6B3BC"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b/>
                <w:szCs w:val="17"/>
              </w:rPr>
              <w:t>2 247</w:t>
            </w:r>
          </w:p>
        </w:tc>
        <w:tc>
          <w:tcPr>
            <w:tcW w:w="851" w:type="dxa"/>
            <w:tcBorders>
              <w:top w:val="single" w:sz="6" w:space="0" w:color="auto"/>
              <w:bottom w:val="single" w:sz="6" w:space="0" w:color="auto"/>
            </w:tcBorders>
          </w:tcPr>
          <w:p w14:paraId="7A8A12FA"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b/>
                <w:szCs w:val="17"/>
              </w:rPr>
              <w:t>244 665</w:t>
            </w:r>
          </w:p>
        </w:tc>
      </w:tr>
      <w:tr w:rsidR="009C6724" w:rsidRPr="008A1493" w14:paraId="0C97BE48" w14:textId="77777777" w:rsidTr="009C6724">
        <w:tc>
          <w:tcPr>
            <w:cnfStyle w:val="001000000000" w:firstRow="0" w:lastRow="0" w:firstColumn="1" w:lastColumn="0" w:oddVBand="0" w:evenVBand="0" w:oddHBand="0" w:evenHBand="0" w:firstRowFirstColumn="0" w:firstRowLastColumn="0" w:lastRowFirstColumn="0" w:lastRowLastColumn="0"/>
            <w:tcW w:w="3192" w:type="dxa"/>
            <w:tcBorders>
              <w:top w:val="single" w:sz="6" w:space="0" w:color="auto"/>
            </w:tcBorders>
          </w:tcPr>
          <w:p w14:paraId="0D7CF7D4" w14:textId="77777777" w:rsidR="00AB205D" w:rsidRDefault="00471A3B">
            <w:pPr>
              <w:spacing w:after="0"/>
            </w:pPr>
            <w:r w:rsidRPr="004D0DDC">
              <w:rPr>
                <w:b/>
                <w:szCs w:val="17"/>
              </w:rPr>
              <w:t>2026</w:t>
            </w:r>
            <w:r w:rsidRPr="004D0DDC">
              <w:rPr>
                <w:b/>
                <w:szCs w:val="17"/>
              </w:rPr>
              <w:noBreakHyphen/>
              <w:t>27 estimate</w:t>
            </w:r>
          </w:p>
        </w:tc>
        <w:tc>
          <w:tcPr>
            <w:tcW w:w="1260" w:type="dxa"/>
            <w:tcBorders>
              <w:top w:val="single" w:sz="6" w:space="0" w:color="auto"/>
            </w:tcBorders>
          </w:tcPr>
          <w:p w14:paraId="0E3C451A"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1609" w:type="dxa"/>
            <w:tcBorders>
              <w:top w:val="single" w:sz="6" w:space="0" w:color="auto"/>
            </w:tcBorders>
          </w:tcPr>
          <w:p w14:paraId="3933BC0E"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43" w:type="dxa"/>
            <w:tcBorders>
              <w:top w:val="single" w:sz="6" w:space="0" w:color="auto"/>
            </w:tcBorders>
          </w:tcPr>
          <w:p w14:paraId="10C2351D"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851" w:type="dxa"/>
            <w:tcBorders>
              <w:top w:val="single" w:sz="6" w:space="0" w:color="auto"/>
            </w:tcBorders>
          </w:tcPr>
          <w:p w14:paraId="057C4CB7"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r>
      <w:tr w:rsidR="009C6724" w:rsidRPr="008A1493" w14:paraId="792D77B3" w14:textId="77777777" w:rsidTr="009C6724">
        <w:tc>
          <w:tcPr>
            <w:cnfStyle w:val="001000000000" w:firstRow="0" w:lastRow="0" w:firstColumn="1" w:lastColumn="0" w:oddVBand="0" w:evenVBand="0" w:oddHBand="0" w:evenHBand="0" w:firstRowFirstColumn="0" w:firstRowLastColumn="0" w:lastRowFirstColumn="0" w:lastRowLastColumn="0"/>
            <w:tcW w:w="3192" w:type="dxa"/>
          </w:tcPr>
          <w:p w14:paraId="346B93AB" w14:textId="77777777" w:rsidR="00AB205D" w:rsidRDefault="00471A3B">
            <w:pPr>
              <w:spacing w:after="0"/>
            </w:pPr>
            <w:r w:rsidRPr="004D0DDC">
              <w:rPr>
                <w:szCs w:val="17"/>
              </w:rPr>
              <w:t>Balance at 1 July 2026</w:t>
            </w:r>
          </w:p>
        </w:tc>
        <w:tc>
          <w:tcPr>
            <w:tcW w:w="1260" w:type="dxa"/>
          </w:tcPr>
          <w:p w14:paraId="1E0CD3DA"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71 206</w:t>
            </w:r>
          </w:p>
        </w:tc>
        <w:tc>
          <w:tcPr>
            <w:tcW w:w="1609" w:type="dxa"/>
          </w:tcPr>
          <w:p w14:paraId="6D2805AB"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171 213</w:t>
            </w:r>
          </w:p>
        </w:tc>
        <w:tc>
          <w:tcPr>
            <w:tcW w:w="743" w:type="dxa"/>
          </w:tcPr>
          <w:p w14:paraId="336E6928"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2 247</w:t>
            </w:r>
          </w:p>
        </w:tc>
        <w:tc>
          <w:tcPr>
            <w:tcW w:w="851" w:type="dxa"/>
          </w:tcPr>
          <w:p w14:paraId="2DC4FD12"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244 665</w:t>
            </w:r>
          </w:p>
        </w:tc>
      </w:tr>
      <w:tr w:rsidR="009C6724" w:rsidRPr="008A1493" w14:paraId="262B6AE1" w14:textId="77777777" w:rsidTr="009C6724">
        <w:tc>
          <w:tcPr>
            <w:cnfStyle w:val="001000000000" w:firstRow="0" w:lastRow="0" w:firstColumn="1" w:lastColumn="0" w:oddVBand="0" w:evenVBand="0" w:oddHBand="0" w:evenHBand="0" w:firstRowFirstColumn="0" w:firstRowLastColumn="0" w:lastRowFirstColumn="0" w:lastRowLastColumn="0"/>
            <w:tcW w:w="3192" w:type="dxa"/>
          </w:tcPr>
          <w:p w14:paraId="6055F7E6" w14:textId="77777777" w:rsidR="00AB205D" w:rsidRDefault="00471A3B">
            <w:pPr>
              <w:spacing w:after="0"/>
            </w:pPr>
            <w:r w:rsidRPr="004D0DDC">
              <w:rPr>
                <w:szCs w:val="17"/>
              </w:rPr>
              <w:t>Net result for the year</w:t>
            </w:r>
          </w:p>
        </w:tc>
        <w:tc>
          <w:tcPr>
            <w:tcW w:w="1260" w:type="dxa"/>
          </w:tcPr>
          <w:p w14:paraId="5D1425B8"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(2 666)</w:t>
            </w:r>
          </w:p>
        </w:tc>
        <w:tc>
          <w:tcPr>
            <w:tcW w:w="1609" w:type="dxa"/>
          </w:tcPr>
          <w:p w14:paraId="68F7E4A6"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w:t>
            </w:r>
          </w:p>
        </w:tc>
        <w:tc>
          <w:tcPr>
            <w:tcW w:w="743" w:type="dxa"/>
          </w:tcPr>
          <w:p w14:paraId="090BA839"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w:t>
            </w:r>
          </w:p>
        </w:tc>
        <w:tc>
          <w:tcPr>
            <w:tcW w:w="851" w:type="dxa"/>
          </w:tcPr>
          <w:p w14:paraId="1F41461C"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(2 666)</w:t>
            </w:r>
          </w:p>
        </w:tc>
      </w:tr>
      <w:tr w:rsidR="009C6724" w:rsidRPr="008A1493" w14:paraId="3EF0971F" w14:textId="77777777" w:rsidTr="009C6724">
        <w:tc>
          <w:tcPr>
            <w:cnfStyle w:val="001000000000" w:firstRow="0" w:lastRow="0" w:firstColumn="1" w:lastColumn="0" w:oddVBand="0" w:evenVBand="0" w:oddHBand="0" w:evenHBand="0" w:firstRowFirstColumn="0" w:firstRowLastColumn="0" w:lastRowFirstColumn="0" w:lastRowLastColumn="0"/>
            <w:tcW w:w="3192" w:type="dxa"/>
          </w:tcPr>
          <w:p w14:paraId="6AAFF0E2" w14:textId="77777777" w:rsidR="00AB205D" w:rsidRDefault="00471A3B">
            <w:pPr>
              <w:spacing w:after="0"/>
            </w:pPr>
            <w:r w:rsidRPr="004D0DDC">
              <w:rPr>
                <w:szCs w:val="17"/>
              </w:rPr>
              <w:t>Other comprehensive income for the year</w:t>
            </w:r>
          </w:p>
        </w:tc>
        <w:tc>
          <w:tcPr>
            <w:tcW w:w="1260" w:type="dxa"/>
          </w:tcPr>
          <w:p w14:paraId="7AB90250"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524</w:t>
            </w:r>
          </w:p>
        </w:tc>
        <w:tc>
          <w:tcPr>
            <w:tcW w:w="1609" w:type="dxa"/>
          </w:tcPr>
          <w:p w14:paraId="269AACB4"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9 706</w:t>
            </w:r>
          </w:p>
        </w:tc>
        <w:tc>
          <w:tcPr>
            <w:tcW w:w="743" w:type="dxa"/>
          </w:tcPr>
          <w:p w14:paraId="16E02FC3"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19</w:t>
            </w:r>
          </w:p>
        </w:tc>
        <w:tc>
          <w:tcPr>
            <w:tcW w:w="851" w:type="dxa"/>
          </w:tcPr>
          <w:p w14:paraId="3195126C"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10 250</w:t>
            </w:r>
          </w:p>
        </w:tc>
      </w:tr>
      <w:tr w:rsidR="009C6724" w:rsidRPr="008A1493" w14:paraId="4C105D71" w14:textId="77777777" w:rsidTr="009C6724">
        <w:tc>
          <w:tcPr>
            <w:cnfStyle w:val="001000000000" w:firstRow="0" w:lastRow="0" w:firstColumn="1" w:lastColumn="0" w:oddVBand="0" w:evenVBand="0" w:oddHBand="0" w:evenHBand="0" w:firstRowFirstColumn="0" w:firstRowLastColumn="0" w:lastRowFirstColumn="0" w:lastRowLastColumn="0"/>
            <w:tcW w:w="3192" w:type="dxa"/>
          </w:tcPr>
          <w:p w14:paraId="2EE24A98" w14:textId="77777777" w:rsidR="00AB205D" w:rsidRDefault="00471A3B">
            <w:pPr>
              <w:spacing w:after="0"/>
            </w:pPr>
            <w:r w:rsidRPr="004D0DDC">
              <w:rPr>
                <w:szCs w:val="17"/>
              </w:rPr>
              <w:t>Transfer to/(from) accumulated surplus</w:t>
            </w:r>
          </w:p>
        </w:tc>
        <w:tc>
          <w:tcPr>
            <w:tcW w:w="1260" w:type="dxa"/>
          </w:tcPr>
          <w:p w14:paraId="3A5463E3"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w:t>
            </w:r>
          </w:p>
        </w:tc>
        <w:tc>
          <w:tcPr>
            <w:tcW w:w="1609" w:type="dxa"/>
          </w:tcPr>
          <w:p w14:paraId="5288DDEB"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w:t>
            </w:r>
          </w:p>
        </w:tc>
        <w:tc>
          <w:tcPr>
            <w:tcW w:w="743" w:type="dxa"/>
          </w:tcPr>
          <w:p w14:paraId="67B67422"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w:t>
            </w:r>
          </w:p>
        </w:tc>
        <w:tc>
          <w:tcPr>
            <w:tcW w:w="851" w:type="dxa"/>
          </w:tcPr>
          <w:p w14:paraId="5D922E8A"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szCs w:val="17"/>
              </w:rPr>
              <w:t>..</w:t>
            </w:r>
          </w:p>
        </w:tc>
      </w:tr>
      <w:tr w:rsidR="009C6724" w:rsidRPr="008A1493" w14:paraId="582BA66F" w14:textId="77777777" w:rsidTr="009C6724">
        <w:tc>
          <w:tcPr>
            <w:cnfStyle w:val="001000000000" w:firstRow="0" w:lastRow="0" w:firstColumn="1" w:lastColumn="0" w:oddVBand="0" w:evenVBand="0" w:oddHBand="0" w:evenHBand="0" w:firstRowFirstColumn="0" w:firstRowLastColumn="0" w:lastRowFirstColumn="0" w:lastRowLastColumn="0"/>
            <w:tcW w:w="3192" w:type="dxa"/>
            <w:tcBorders>
              <w:top w:val="single" w:sz="6" w:space="0" w:color="auto"/>
              <w:bottom w:val="single" w:sz="12" w:space="0" w:color="auto"/>
            </w:tcBorders>
          </w:tcPr>
          <w:p w14:paraId="2ADD94D0" w14:textId="77777777" w:rsidR="00AB205D" w:rsidRDefault="00471A3B">
            <w:pPr>
              <w:spacing w:after="0"/>
            </w:pPr>
            <w:r w:rsidRPr="004D0DDC">
              <w:rPr>
                <w:b/>
                <w:szCs w:val="17"/>
              </w:rPr>
              <w:t>Total equity as at 30 June 2027</w:t>
            </w:r>
          </w:p>
        </w:tc>
        <w:tc>
          <w:tcPr>
            <w:tcW w:w="1260" w:type="dxa"/>
            <w:tcBorders>
              <w:top w:val="single" w:sz="6" w:space="0" w:color="auto"/>
              <w:bottom w:val="single" w:sz="12" w:space="0" w:color="auto"/>
            </w:tcBorders>
          </w:tcPr>
          <w:p w14:paraId="11A2C476"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b/>
                <w:szCs w:val="17"/>
              </w:rPr>
              <w:t>69 064</w:t>
            </w:r>
          </w:p>
        </w:tc>
        <w:tc>
          <w:tcPr>
            <w:tcW w:w="1609" w:type="dxa"/>
            <w:tcBorders>
              <w:top w:val="single" w:sz="6" w:space="0" w:color="auto"/>
              <w:bottom w:val="single" w:sz="12" w:space="0" w:color="auto"/>
            </w:tcBorders>
          </w:tcPr>
          <w:p w14:paraId="2C578EA0"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b/>
                <w:szCs w:val="17"/>
              </w:rPr>
              <w:t>180 919</w:t>
            </w:r>
          </w:p>
        </w:tc>
        <w:tc>
          <w:tcPr>
            <w:tcW w:w="743" w:type="dxa"/>
            <w:tcBorders>
              <w:top w:val="single" w:sz="6" w:space="0" w:color="auto"/>
              <w:bottom w:val="single" w:sz="12" w:space="0" w:color="auto"/>
            </w:tcBorders>
          </w:tcPr>
          <w:p w14:paraId="36076CF6"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b/>
                <w:szCs w:val="17"/>
              </w:rPr>
              <w:t>2 266</w:t>
            </w:r>
          </w:p>
        </w:tc>
        <w:tc>
          <w:tcPr>
            <w:tcW w:w="851" w:type="dxa"/>
            <w:tcBorders>
              <w:top w:val="single" w:sz="6" w:space="0" w:color="auto"/>
              <w:bottom w:val="single" w:sz="12" w:space="0" w:color="auto"/>
            </w:tcBorders>
          </w:tcPr>
          <w:p w14:paraId="55EBF53A"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sidRPr="004D0DDC">
              <w:rPr>
                <w:b/>
                <w:szCs w:val="17"/>
              </w:rPr>
              <w:t>252 249</w:t>
            </w:r>
          </w:p>
        </w:tc>
      </w:tr>
    </w:tbl>
    <w:p w14:paraId="1D9CCD8A" w14:textId="77777777" w:rsidR="00AB205D" w:rsidRPr="00921F69" w:rsidRDefault="00471A3B">
      <w:pPr>
        <w:pStyle w:val="Note"/>
        <w:ind w:left="0" w:firstLine="0"/>
      </w:pPr>
      <w:r w:rsidRPr="00921F69">
        <w:t>Note:</w:t>
      </w:r>
    </w:p>
    <w:p w14:paraId="2385D91D" w14:textId="77777777" w:rsidR="00AB205D" w:rsidRPr="00921F69" w:rsidRDefault="00471A3B">
      <w:pPr>
        <w:pStyle w:val="Note"/>
      </w:pPr>
      <w:r w:rsidRPr="00921F69">
        <w:t>(a)</w:t>
      </w:r>
      <w:r w:rsidRPr="00921F69">
        <w:tab/>
        <w:t>Balances represent actual opening balances at 1 July 20</w:t>
      </w:r>
      <w:r>
        <w:t>23</w:t>
      </w:r>
      <w:r w:rsidRPr="00921F69">
        <w:t xml:space="preserve"> plus 20</w:t>
      </w:r>
      <w:r>
        <w:t>23</w:t>
      </w:r>
      <w:r w:rsidRPr="00921F69">
        <w:t>-2</w:t>
      </w:r>
      <w:r>
        <w:t>4</w:t>
      </w:r>
      <w:r w:rsidRPr="00921F69">
        <w:t xml:space="preserve"> budgeted movements.</w:t>
      </w:r>
    </w:p>
    <w:p w14:paraId="60E6E6EE" w14:textId="77777777" w:rsidR="00AB205D" w:rsidRDefault="00471A3B">
      <w:pPr>
        <w:pStyle w:val="TableHeading"/>
        <w:pageBreakBefore/>
      </w:pPr>
      <w:r w:rsidRPr="00921F69">
        <w:lastRenderedPageBreak/>
        <w:t>Table 5.20</w:t>
      </w:r>
      <w:r w:rsidRPr="00921F69">
        <w:tab/>
        <w:t>Net acquisition of non-financial assets – State of Victoria</w:t>
      </w:r>
      <w:r w:rsidRPr="00921F69">
        <w:tab/>
        <w:t>($ million)</w:t>
      </w:r>
    </w:p>
    <w:tbl>
      <w:tblPr>
        <w:tblStyle w:val="DTFTableNumeric"/>
        <w:tblW w:w="7710" w:type="dxa"/>
        <w:tblLayout w:type="fixed"/>
        <w:tblLook w:val="06A0" w:firstRow="1" w:lastRow="0" w:firstColumn="1" w:lastColumn="0" w:noHBand="1" w:noVBand="1"/>
        <w:tblDescription w:val="Type:DtfTable|Workbook:Rawdata\BudgetUpdate\Budget Update\Financial Statements\SRIMS exports\SRIMS_BU_UPF_NFPS_WoS.xlsx|Table:WoS_NFA|MergedHeadingRow:1"/>
      </w:tblPr>
      <w:tblGrid>
        <w:gridCol w:w="3740"/>
        <w:gridCol w:w="794"/>
        <w:gridCol w:w="794"/>
        <w:gridCol w:w="794"/>
        <w:gridCol w:w="794"/>
        <w:gridCol w:w="794"/>
      </w:tblGrid>
      <w:tr w:rsidR="009C6724" w14:paraId="32A6EC94"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1536178C" w14:textId="77777777" w:rsidR="00AB205D" w:rsidRDefault="00AB205D">
            <w:pPr>
              <w:keepNext/>
            </w:pPr>
          </w:p>
        </w:tc>
        <w:tc>
          <w:tcPr>
            <w:tcW w:w="794" w:type="dxa"/>
          </w:tcPr>
          <w:p w14:paraId="57321C97"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budget</w:t>
            </w:r>
          </w:p>
        </w:tc>
        <w:tc>
          <w:tcPr>
            <w:tcW w:w="794" w:type="dxa"/>
          </w:tcPr>
          <w:p w14:paraId="387FB8AE"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r>
              <w:br/>
              <w:t>revised</w:t>
            </w:r>
          </w:p>
        </w:tc>
        <w:tc>
          <w:tcPr>
            <w:tcW w:w="794" w:type="dxa"/>
          </w:tcPr>
          <w:p w14:paraId="16DCAD4D"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r>
              <w:br/>
              <w:t>estimate</w:t>
            </w:r>
          </w:p>
        </w:tc>
        <w:tc>
          <w:tcPr>
            <w:tcW w:w="794" w:type="dxa"/>
          </w:tcPr>
          <w:p w14:paraId="2AF11E64"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7F27BDBD"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r>
      <w:tr w:rsidR="009C6724" w14:paraId="0772FD61"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8CEB96A" w14:textId="77777777" w:rsidR="00AB205D" w:rsidRDefault="00471A3B">
            <w:r>
              <w:t>Purchases of non</w:t>
            </w:r>
            <w:r>
              <w:noBreakHyphen/>
              <w:t>financial assets (including change in inventories)</w:t>
            </w:r>
          </w:p>
        </w:tc>
        <w:tc>
          <w:tcPr>
            <w:tcW w:w="794" w:type="dxa"/>
          </w:tcPr>
          <w:p w14:paraId="3DABF492" w14:textId="77777777" w:rsidR="00AB205D" w:rsidRDefault="00471A3B">
            <w:pPr>
              <w:cnfStyle w:val="000000000000" w:firstRow="0" w:lastRow="0" w:firstColumn="0" w:lastColumn="0" w:oddVBand="0" w:evenVBand="0" w:oddHBand="0" w:evenHBand="0" w:firstRowFirstColumn="0" w:firstRowLastColumn="0" w:lastRowFirstColumn="0" w:lastRowLastColumn="0"/>
            </w:pPr>
            <w:r>
              <w:t>23 316</w:t>
            </w:r>
          </w:p>
        </w:tc>
        <w:tc>
          <w:tcPr>
            <w:tcW w:w="794" w:type="dxa"/>
          </w:tcPr>
          <w:p w14:paraId="08D24F72" w14:textId="77777777" w:rsidR="00AB205D" w:rsidRDefault="00471A3B">
            <w:pPr>
              <w:cnfStyle w:val="000000000000" w:firstRow="0" w:lastRow="0" w:firstColumn="0" w:lastColumn="0" w:oddVBand="0" w:evenVBand="0" w:oddHBand="0" w:evenHBand="0" w:firstRowFirstColumn="0" w:firstRowLastColumn="0" w:lastRowFirstColumn="0" w:lastRowLastColumn="0"/>
            </w:pPr>
            <w:r>
              <w:t>25 565</w:t>
            </w:r>
          </w:p>
        </w:tc>
        <w:tc>
          <w:tcPr>
            <w:tcW w:w="794" w:type="dxa"/>
          </w:tcPr>
          <w:p w14:paraId="073E8A0E" w14:textId="77777777" w:rsidR="00AB205D" w:rsidRDefault="00471A3B">
            <w:pPr>
              <w:cnfStyle w:val="000000000000" w:firstRow="0" w:lastRow="0" w:firstColumn="0" w:lastColumn="0" w:oddVBand="0" w:evenVBand="0" w:oddHBand="0" w:evenHBand="0" w:firstRowFirstColumn="0" w:firstRowLastColumn="0" w:lastRowFirstColumn="0" w:lastRowLastColumn="0"/>
            </w:pPr>
            <w:r>
              <w:t>24 085</w:t>
            </w:r>
          </w:p>
        </w:tc>
        <w:tc>
          <w:tcPr>
            <w:tcW w:w="794" w:type="dxa"/>
          </w:tcPr>
          <w:p w14:paraId="0542F310" w14:textId="77777777" w:rsidR="00AB205D" w:rsidRDefault="00471A3B">
            <w:pPr>
              <w:cnfStyle w:val="000000000000" w:firstRow="0" w:lastRow="0" w:firstColumn="0" w:lastColumn="0" w:oddVBand="0" w:evenVBand="0" w:oddHBand="0" w:evenHBand="0" w:firstRowFirstColumn="0" w:firstRowLastColumn="0" w:lastRowFirstColumn="0" w:lastRowLastColumn="0"/>
            </w:pPr>
            <w:r>
              <w:t>24 141</w:t>
            </w:r>
          </w:p>
        </w:tc>
        <w:tc>
          <w:tcPr>
            <w:tcW w:w="794" w:type="dxa"/>
          </w:tcPr>
          <w:p w14:paraId="74735439" w14:textId="77777777" w:rsidR="00AB205D" w:rsidRDefault="00471A3B">
            <w:pPr>
              <w:cnfStyle w:val="000000000000" w:firstRow="0" w:lastRow="0" w:firstColumn="0" w:lastColumn="0" w:oddVBand="0" w:evenVBand="0" w:oddHBand="0" w:evenHBand="0" w:firstRowFirstColumn="0" w:firstRowLastColumn="0" w:lastRowFirstColumn="0" w:lastRowLastColumn="0"/>
            </w:pPr>
            <w:r>
              <w:t>21 189</w:t>
            </w:r>
          </w:p>
        </w:tc>
      </w:tr>
      <w:tr w:rsidR="009C6724" w14:paraId="7296B0D4"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616F30A7" w14:textId="77777777" w:rsidR="00AB205D" w:rsidRDefault="00471A3B">
            <w:r>
              <w:t>Less: Sales of non</w:t>
            </w:r>
            <w:r>
              <w:noBreakHyphen/>
              <w:t>financial assets</w:t>
            </w:r>
          </w:p>
        </w:tc>
        <w:tc>
          <w:tcPr>
            <w:tcW w:w="794" w:type="dxa"/>
          </w:tcPr>
          <w:p w14:paraId="01AA5C46" w14:textId="77777777" w:rsidR="00AB205D" w:rsidRDefault="00471A3B">
            <w:pPr>
              <w:cnfStyle w:val="000000000000" w:firstRow="0" w:lastRow="0" w:firstColumn="0" w:lastColumn="0" w:oddVBand="0" w:evenVBand="0" w:oddHBand="0" w:evenHBand="0" w:firstRowFirstColumn="0" w:firstRowLastColumn="0" w:lastRowFirstColumn="0" w:lastRowLastColumn="0"/>
            </w:pPr>
            <w:r>
              <w:t>(788)</w:t>
            </w:r>
          </w:p>
        </w:tc>
        <w:tc>
          <w:tcPr>
            <w:tcW w:w="794" w:type="dxa"/>
          </w:tcPr>
          <w:p w14:paraId="7FA2A897" w14:textId="77777777" w:rsidR="00AB205D" w:rsidRDefault="00471A3B">
            <w:pPr>
              <w:cnfStyle w:val="000000000000" w:firstRow="0" w:lastRow="0" w:firstColumn="0" w:lastColumn="0" w:oddVBand="0" w:evenVBand="0" w:oddHBand="0" w:evenHBand="0" w:firstRowFirstColumn="0" w:firstRowLastColumn="0" w:lastRowFirstColumn="0" w:lastRowLastColumn="0"/>
            </w:pPr>
            <w:r>
              <w:t>(850)</w:t>
            </w:r>
          </w:p>
        </w:tc>
        <w:tc>
          <w:tcPr>
            <w:tcW w:w="794" w:type="dxa"/>
          </w:tcPr>
          <w:p w14:paraId="1E2AADC8" w14:textId="77777777" w:rsidR="00AB205D" w:rsidRDefault="00471A3B">
            <w:pPr>
              <w:cnfStyle w:val="000000000000" w:firstRow="0" w:lastRow="0" w:firstColumn="0" w:lastColumn="0" w:oddVBand="0" w:evenVBand="0" w:oddHBand="0" w:evenHBand="0" w:firstRowFirstColumn="0" w:firstRowLastColumn="0" w:lastRowFirstColumn="0" w:lastRowLastColumn="0"/>
            </w:pPr>
            <w:r>
              <w:t>(793)</w:t>
            </w:r>
          </w:p>
        </w:tc>
        <w:tc>
          <w:tcPr>
            <w:tcW w:w="794" w:type="dxa"/>
          </w:tcPr>
          <w:p w14:paraId="66599983" w14:textId="77777777" w:rsidR="00AB205D" w:rsidRDefault="00471A3B">
            <w:pPr>
              <w:cnfStyle w:val="000000000000" w:firstRow="0" w:lastRow="0" w:firstColumn="0" w:lastColumn="0" w:oddVBand="0" w:evenVBand="0" w:oddHBand="0" w:evenHBand="0" w:firstRowFirstColumn="0" w:firstRowLastColumn="0" w:lastRowFirstColumn="0" w:lastRowLastColumn="0"/>
            </w:pPr>
            <w:r>
              <w:t>(1 179)</w:t>
            </w:r>
          </w:p>
        </w:tc>
        <w:tc>
          <w:tcPr>
            <w:tcW w:w="794" w:type="dxa"/>
          </w:tcPr>
          <w:p w14:paraId="166317DA" w14:textId="77777777" w:rsidR="00AB205D" w:rsidRDefault="00471A3B">
            <w:pPr>
              <w:cnfStyle w:val="000000000000" w:firstRow="0" w:lastRow="0" w:firstColumn="0" w:lastColumn="0" w:oddVBand="0" w:evenVBand="0" w:oddHBand="0" w:evenHBand="0" w:firstRowFirstColumn="0" w:firstRowLastColumn="0" w:lastRowFirstColumn="0" w:lastRowLastColumn="0"/>
            </w:pPr>
            <w:r>
              <w:t>(650)</w:t>
            </w:r>
          </w:p>
        </w:tc>
      </w:tr>
      <w:tr w:rsidR="009C6724" w14:paraId="0C5FC798"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1A0A9C6B" w14:textId="77777777" w:rsidR="00AB205D" w:rsidRDefault="00471A3B">
            <w:r>
              <w:t>Less: Depreciation and amortisation</w:t>
            </w:r>
          </w:p>
        </w:tc>
        <w:tc>
          <w:tcPr>
            <w:tcW w:w="794" w:type="dxa"/>
          </w:tcPr>
          <w:p w14:paraId="241F81D3" w14:textId="77777777" w:rsidR="00AB205D" w:rsidRDefault="00471A3B">
            <w:pPr>
              <w:cnfStyle w:val="000000000000" w:firstRow="0" w:lastRow="0" w:firstColumn="0" w:lastColumn="0" w:oddVBand="0" w:evenVBand="0" w:oddHBand="0" w:evenHBand="0" w:firstRowFirstColumn="0" w:firstRowLastColumn="0" w:lastRowFirstColumn="0" w:lastRowLastColumn="0"/>
            </w:pPr>
            <w:r>
              <w:t>(7 950)</w:t>
            </w:r>
          </w:p>
        </w:tc>
        <w:tc>
          <w:tcPr>
            <w:tcW w:w="794" w:type="dxa"/>
          </w:tcPr>
          <w:p w14:paraId="67C44408" w14:textId="77777777" w:rsidR="00AB205D" w:rsidRDefault="00471A3B">
            <w:pPr>
              <w:cnfStyle w:val="000000000000" w:firstRow="0" w:lastRow="0" w:firstColumn="0" w:lastColumn="0" w:oddVBand="0" w:evenVBand="0" w:oddHBand="0" w:evenHBand="0" w:firstRowFirstColumn="0" w:firstRowLastColumn="0" w:lastRowFirstColumn="0" w:lastRowLastColumn="0"/>
            </w:pPr>
            <w:r>
              <w:t>(8 124)</w:t>
            </w:r>
          </w:p>
        </w:tc>
        <w:tc>
          <w:tcPr>
            <w:tcW w:w="794" w:type="dxa"/>
          </w:tcPr>
          <w:p w14:paraId="6F72D293" w14:textId="77777777" w:rsidR="00AB205D" w:rsidRDefault="00471A3B">
            <w:pPr>
              <w:cnfStyle w:val="000000000000" w:firstRow="0" w:lastRow="0" w:firstColumn="0" w:lastColumn="0" w:oddVBand="0" w:evenVBand="0" w:oddHBand="0" w:evenHBand="0" w:firstRowFirstColumn="0" w:firstRowLastColumn="0" w:lastRowFirstColumn="0" w:lastRowLastColumn="0"/>
            </w:pPr>
            <w:r>
              <w:t>(8 616)</w:t>
            </w:r>
          </w:p>
        </w:tc>
        <w:tc>
          <w:tcPr>
            <w:tcW w:w="794" w:type="dxa"/>
          </w:tcPr>
          <w:p w14:paraId="23055248" w14:textId="77777777" w:rsidR="00AB205D" w:rsidRDefault="00471A3B">
            <w:pPr>
              <w:cnfStyle w:val="000000000000" w:firstRow="0" w:lastRow="0" w:firstColumn="0" w:lastColumn="0" w:oddVBand="0" w:evenVBand="0" w:oddHBand="0" w:evenHBand="0" w:firstRowFirstColumn="0" w:firstRowLastColumn="0" w:lastRowFirstColumn="0" w:lastRowLastColumn="0"/>
            </w:pPr>
            <w:r>
              <w:t>(8 996)</w:t>
            </w:r>
          </w:p>
        </w:tc>
        <w:tc>
          <w:tcPr>
            <w:tcW w:w="794" w:type="dxa"/>
          </w:tcPr>
          <w:p w14:paraId="1E3257D2" w14:textId="77777777" w:rsidR="00AB205D" w:rsidRDefault="00471A3B">
            <w:pPr>
              <w:cnfStyle w:val="000000000000" w:firstRow="0" w:lastRow="0" w:firstColumn="0" w:lastColumn="0" w:oddVBand="0" w:evenVBand="0" w:oddHBand="0" w:evenHBand="0" w:firstRowFirstColumn="0" w:firstRowLastColumn="0" w:lastRowFirstColumn="0" w:lastRowLastColumn="0"/>
            </w:pPr>
            <w:r>
              <w:t>(9 536)</w:t>
            </w:r>
          </w:p>
        </w:tc>
      </w:tr>
      <w:tr w:rsidR="009C6724" w14:paraId="6BCE65A3"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5178BD74" w14:textId="77777777" w:rsidR="00AB205D" w:rsidRDefault="00471A3B">
            <w:r>
              <w:t>Plus: Other movements in non</w:t>
            </w:r>
            <w:r>
              <w:noBreakHyphen/>
              <w:t>financial assets</w:t>
            </w:r>
            <w:r>
              <w:rPr>
                <w:vertAlign w:val="superscript"/>
              </w:rPr>
              <w:t xml:space="preserve"> (a)(b)</w:t>
            </w:r>
          </w:p>
        </w:tc>
        <w:tc>
          <w:tcPr>
            <w:tcW w:w="794" w:type="dxa"/>
            <w:tcBorders>
              <w:bottom w:val="single" w:sz="6" w:space="0" w:color="auto"/>
            </w:tcBorders>
          </w:tcPr>
          <w:p w14:paraId="2008DD90" w14:textId="77777777" w:rsidR="00AB205D" w:rsidRDefault="00471A3B">
            <w:pPr>
              <w:cnfStyle w:val="000000000000" w:firstRow="0" w:lastRow="0" w:firstColumn="0" w:lastColumn="0" w:oddVBand="0" w:evenVBand="0" w:oddHBand="0" w:evenHBand="0" w:firstRowFirstColumn="0" w:firstRowLastColumn="0" w:lastRowFirstColumn="0" w:lastRowLastColumn="0"/>
            </w:pPr>
            <w:r>
              <w:t>3 380</w:t>
            </w:r>
          </w:p>
        </w:tc>
        <w:tc>
          <w:tcPr>
            <w:tcW w:w="794" w:type="dxa"/>
            <w:tcBorders>
              <w:bottom w:val="single" w:sz="6" w:space="0" w:color="auto"/>
            </w:tcBorders>
          </w:tcPr>
          <w:p w14:paraId="0F28AFA9" w14:textId="77777777" w:rsidR="00AB205D" w:rsidRDefault="00471A3B">
            <w:pPr>
              <w:cnfStyle w:val="000000000000" w:firstRow="0" w:lastRow="0" w:firstColumn="0" w:lastColumn="0" w:oddVBand="0" w:evenVBand="0" w:oddHBand="0" w:evenHBand="0" w:firstRowFirstColumn="0" w:firstRowLastColumn="0" w:lastRowFirstColumn="0" w:lastRowLastColumn="0"/>
            </w:pPr>
            <w:r>
              <w:t>3 844</w:t>
            </w:r>
          </w:p>
        </w:tc>
        <w:tc>
          <w:tcPr>
            <w:tcW w:w="794" w:type="dxa"/>
            <w:tcBorders>
              <w:bottom w:val="single" w:sz="6" w:space="0" w:color="auto"/>
            </w:tcBorders>
          </w:tcPr>
          <w:p w14:paraId="26E7B1C6" w14:textId="77777777" w:rsidR="00AB205D" w:rsidRDefault="00471A3B">
            <w:pPr>
              <w:cnfStyle w:val="000000000000" w:firstRow="0" w:lastRow="0" w:firstColumn="0" w:lastColumn="0" w:oddVBand="0" w:evenVBand="0" w:oddHBand="0" w:evenHBand="0" w:firstRowFirstColumn="0" w:firstRowLastColumn="0" w:lastRowFirstColumn="0" w:lastRowLastColumn="0"/>
            </w:pPr>
            <w:r>
              <w:t>2 434</w:t>
            </w:r>
          </w:p>
        </w:tc>
        <w:tc>
          <w:tcPr>
            <w:tcW w:w="794" w:type="dxa"/>
            <w:tcBorders>
              <w:bottom w:val="single" w:sz="6" w:space="0" w:color="auto"/>
            </w:tcBorders>
          </w:tcPr>
          <w:p w14:paraId="219BC86E" w14:textId="77777777" w:rsidR="00AB205D" w:rsidRDefault="00471A3B">
            <w:pPr>
              <w:cnfStyle w:val="000000000000" w:firstRow="0" w:lastRow="0" w:firstColumn="0" w:lastColumn="0" w:oddVBand="0" w:evenVBand="0" w:oddHBand="0" w:evenHBand="0" w:firstRowFirstColumn="0" w:firstRowLastColumn="0" w:lastRowFirstColumn="0" w:lastRowLastColumn="0"/>
            </w:pPr>
            <w:r>
              <w:t>1 656</w:t>
            </w:r>
          </w:p>
        </w:tc>
        <w:tc>
          <w:tcPr>
            <w:tcW w:w="794" w:type="dxa"/>
            <w:tcBorders>
              <w:bottom w:val="single" w:sz="6" w:space="0" w:color="auto"/>
            </w:tcBorders>
          </w:tcPr>
          <w:p w14:paraId="7064F315" w14:textId="77777777" w:rsidR="00AB205D" w:rsidRDefault="00471A3B">
            <w:pPr>
              <w:cnfStyle w:val="000000000000" w:firstRow="0" w:lastRow="0" w:firstColumn="0" w:lastColumn="0" w:oddVBand="0" w:evenVBand="0" w:oddHBand="0" w:evenHBand="0" w:firstRowFirstColumn="0" w:firstRowLastColumn="0" w:lastRowFirstColumn="0" w:lastRowLastColumn="0"/>
            </w:pPr>
            <w:r>
              <w:t>1 966</w:t>
            </w:r>
          </w:p>
        </w:tc>
      </w:tr>
      <w:tr w:rsidR="009C6724" w14:paraId="0A8F0053"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681E058A" w14:textId="77777777" w:rsidR="00AB205D" w:rsidRDefault="00471A3B">
            <w:r>
              <w:rPr>
                <w:b/>
              </w:rPr>
              <w:t>Total net acquisition of non</w:t>
            </w:r>
            <w:r>
              <w:rPr>
                <w:b/>
              </w:rPr>
              <w:noBreakHyphen/>
              <w:t>financial assets from transactions</w:t>
            </w:r>
          </w:p>
        </w:tc>
        <w:tc>
          <w:tcPr>
            <w:tcW w:w="794" w:type="dxa"/>
            <w:tcBorders>
              <w:top w:val="single" w:sz="6" w:space="0" w:color="auto"/>
              <w:bottom w:val="single" w:sz="12" w:space="0" w:color="auto"/>
            </w:tcBorders>
          </w:tcPr>
          <w:p w14:paraId="62C76B8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17 957</w:t>
            </w:r>
          </w:p>
        </w:tc>
        <w:tc>
          <w:tcPr>
            <w:tcW w:w="794" w:type="dxa"/>
            <w:tcBorders>
              <w:top w:val="single" w:sz="6" w:space="0" w:color="auto"/>
              <w:bottom w:val="single" w:sz="12" w:space="0" w:color="auto"/>
            </w:tcBorders>
          </w:tcPr>
          <w:p w14:paraId="1775FA0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20 435</w:t>
            </w:r>
          </w:p>
        </w:tc>
        <w:tc>
          <w:tcPr>
            <w:tcW w:w="794" w:type="dxa"/>
            <w:tcBorders>
              <w:top w:val="single" w:sz="6" w:space="0" w:color="auto"/>
              <w:bottom w:val="single" w:sz="12" w:space="0" w:color="auto"/>
            </w:tcBorders>
          </w:tcPr>
          <w:p w14:paraId="2406D24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17 110</w:t>
            </w:r>
          </w:p>
        </w:tc>
        <w:tc>
          <w:tcPr>
            <w:tcW w:w="794" w:type="dxa"/>
            <w:tcBorders>
              <w:top w:val="single" w:sz="6" w:space="0" w:color="auto"/>
              <w:bottom w:val="single" w:sz="12" w:space="0" w:color="auto"/>
            </w:tcBorders>
          </w:tcPr>
          <w:p w14:paraId="34BD32C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15 622</w:t>
            </w:r>
          </w:p>
        </w:tc>
        <w:tc>
          <w:tcPr>
            <w:tcW w:w="794" w:type="dxa"/>
            <w:tcBorders>
              <w:top w:val="single" w:sz="6" w:space="0" w:color="auto"/>
              <w:bottom w:val="single" w:sz="12" w:space="0" w:color="auto"/>
            </w:tcBorders>
          </w:tcPr>
          <w:p w14:paraId="5950C47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12 968</w:t>
            </w:r>
          </w:p>
        </w:tc>
      </w:tr>
    </w:tbl>
    <w:p w14:paraId="2B0C2EDE" w14:textId="77777777" w:rsidR="00AB205D" w:rsidRDefault="00471A3B">
      <w:pPr>
        <w:pStyle w:val="Note"/>
      </w:pPr>
      <w:r>
        <w:t>Notes:</w:t>
      </w:r>
    </w:p>
    <w:p w14:paraId="0D6ED5C4" w14:textId="77777777" w:rsidR="00AB205D" w:rsidRDefault="00471A3B">
      <w:pPr>
        <w:pStyle w:val="Note"/>
      </w:pPr>
      <w:r w:rsidRPr="00714B66">
        <w:t>(a)</w:t>
      </w:r>
      <w:r w:rsidRPr="00714B66">
        <w:tab/>
        <w:t>The other movements in non-financial assets includes recognising right</w:t>
      </w:r>
      <w:r>
        <w:t>-</w:t>
      </w:r>
      <w:r w:rsidRPr="00714B66">
        <w:t>of</w:t>
      </w:r>
      <w:r>
        <w:t>-</w:t>
      </w:r>
      <w:r w:rsidRPr="00714B66">
        <w:t>use assets under lease arrangements, and recognising service concession arrangements</w:t>
      </w:r>
      <w:r>
        <w:t xml:space="preserve"> arising </w:t>
      </w:r>
      <w:r w:rsidRPr="00714B66">
        <w:t xml:space="preserve">from </w:t>
      </w:r>
      <w:r>
        <w:t>p</w:t>
      </w:r>
      <w:r w:rsidRPr="00714B66">
        <w:t xml:space="preserve">ublic </w:t>
      </w:r>
      <w:r>
        <w:t>p</w:t>
      </w:r>
      <w:r w:rsidRPr="00714B66">
        <w:t xml:space="preserve">rivate </w:t>
      </w:r>
      <w:r>
        <w:t>p</w:t>
      </w:r>
      <w:r w:rsidRPr="00714B66">
        <w:t xml:space="preserve">artnerships. </w:t>
      </w:r>
    </w:p>
    <w:p w14:paraId="700B6EE1" w14:textId="77777777" w:rsidR="00AB205D" w:rsidRPr="005766DB" w:rsidRDefault="00471A3B">
      <w:pPr>
        <w:pStyle w:val="Note"/>
      </w:pPr>
      <w:r w:rsidRPr="00CC1A38">
        <w:t>(b)</w:t>
      </w:r>
      <w:r w:rsidRPr="00CC1A38">
        <w:tab/>
        <w:t>The public private partnerships across the budget and forward estimates relate to the High Capacity Metro Trains, the Metro</w:t>
      </w:r>
      <w:r>
        <w:t xml:space="preserve"> Tunnel</w:t>
      </w:r>
      <w:r w:rsidRPr="007C25B6">
        <w:t>, the new Melton Hospital</w:t>
      </w:r>
      <w:r>
        <w:t>, the new Footscray Hospital, the Frankston Hospital Redevelopment, the North East Link – Primary Package (Tunnels), the Homes Victoria Ground Lease Model Project 1 and 2, and the West Gate Tunnel.</w:t>
      </w:r>
    </w:p>
    <w:p w14:paraId="01A9B42A" w14:textId="77777777" w:rsidR="00AB205D" w:rsidRPr="008548B1" w:rsidRDefault="00AB205D"/>
    <w:p w14:paraId="4F68CDCE" w14:textId="77777777" w:rsidR="00341416" w:rsidRDefault="00341416" w:rsidP="00341416">
      <w:pPr>
        <w:keepLines w:val="0"/>
      </w:pPr>
    </w:p>
    <w:p w14:paraId="02AC496F" w14:textId="77777777" w:rsidR="00341416" w:rsidRDefault="00341416" w:rsidP="00341416">
      <w:pPr>
        <w:sectPr w:rsidR="00341416" w:rsidSect="00570639">
          <w:footerReference w:type="even" r:id="rId108"/>
          <w:footerReference w:type="default" r:id="rId109"/>
          <w:pgSz w:w="9979" w:h="14175" w:code="34"/>
          <w:pgMar w:top="1134" w:right="1134" w:bottom="1134" w:left="1134" w:header="624" w:footer="567" w:gutter="0"/>
          <w:cols w:space="708"/>
          <w:docGrid w:linePitch="360"/>
        </w:sectPr>
      </w:pPr>
    </w:p>
    <w:p w14:paraId="4974FC69" w14:textId="77777777" w:rsidR="00AB205D" w:rsidRDefault="00471A3B">
      <w:pPr>
        <w:pStyle w:val="ChapterHeading"/>
      </w:pPr>
      <w:bookmarkStart w:id="85" w:name="_Toc152933039"/>
      <w:r>
        <w:lastRenderedPageBreak/>
        <w:t>Chapter 6 – Contingent assets and contingent liabilities</w:t>
      </w:r>
      <w:bookmarkEnd w:id="85"/>
    </w:p>
    <w:p w14:paraId="280426A2" w14:textId="77777777" w:rsidR="00AB205D" w:rsidRDefault="00471A3B">
      <w:r>
        <w:t>This chapter contains information on contingent assets and liabilities for the general government sector and should be read in conjunction with Chapter 4.</w:t>
      </w:r>
    </w:p>
    <w:p w14:paraId="424ACA33" w14:textId="77777777" w:rsidR="00AB205D" w:rsidRPr="00A75EFF" w:rsidRDefault="00471A3B">
      <w:pPr>
        <w:pStyle w:val="Heading10"/>
      </w:pPr>
      <w:bookmarkStart w:id="86" w:name="_Toc152933040"/>
      <w:r w:rsidRPr="00A75EFF">
        <w:t>Contingent assets</w:t>
      </w:r>
      <w:bookmarkEnd w:id="86"/>
    </w:p>
    <w:p w14:paraId="4A3BECF4" w14:textId="77777777" w:rsidR="00AB205D" w:rsidRDefault="00471A3B">
      <w:r>
        <w:t>Contingent assets are possible assets that arise from past events, whose existence will be confirmed only by the occurrence or non-occurrence of one or more uncertain future events not wholly within the control of the entity.</w:t>
      </w:r>
    </w:p>
    <w:p w14:paraId="77FE3217" w14:textId="77777777" w:rsidR="00AB205D" w:rsidRDefault="00471A3B">
      <w:r>
        <w:t xml:space="preserve">These are disclosed as either quantifiable, where the potential economic benefit is known, or non-quantifiable. </w:t>
      </w:r>
    </w:p>
    <w:p w14:paraId="6DD49A4F" w14:textId="77777777" w:rsidR="00AB205D" w:rsidRDefault="00471A3B">
      <w:r>
        <w:t>Table 6.1 contains quantifiable contingent assets as a</w:t>
      </w:r>
      <w:r w:rsidRPr="00B14057">
        <w:t xml:space="preserve">t </w:t>
      </w:r>
      <w:r w:rsidRPr="002D05A8">
        <w:t>22 November 2023</w:t>
      </w:r>
      <w:r>
        <w:t xml:space="preserve"> (arising from outside of government).</w:t>
      </w:r>
    </w:p>
    <w:p w14:paraId="1030AF94" w14:textId="77777777" w:rsidR="00AB205D" w:rsidRDefault="00471A3B">
      <w:pPr>
        <w:pStyle w:val="TableHeading"/>
      </w:pPr>
      <w:r>
        <w:t>Table 6.1:</w:t>
      </w:r>
      <w:r>
        <w:tab/>
        <w:t xml:space="preserve">Quantifiable contingent assets </w:t>
      </w:r>
      <w:r>
        <w:tab/>
        <w:t>($ million)</w:t>
      </w:r>
    </w:p>
    <w:tbl>
      <w:tblPr>
        <w:tblStyle w:val="DTFTableNumeric"/>
        <w:tblW w:w="7710" w:type="dxa"/>
        <w:tblLayout w:type="fixed"/>
        <w:tblLook w:val="06A0" w:firstRow="1" w:lastRow="0" w:firstColumn="1" w:lastColumn="0" w:noHBand="1" w:noVBand="1"/>
        <w:tblDescription w:val="Type:DtfTable|Workbook:Rawdata\BudgetUpdate\Budget Update\Financial Statements\Manual reports\CACL\Link_BU_CACL.xlsx|Table:Quant_Asset|MergedHeadingRow:1"/>
      </w:tblPr>
      <w:tblGrid>
        <w:gridCol w:w="4820"/>
        <w:gridCol w:w="1134"/>
        <w:gridCol w:w="1756"/>
      </w:tblGrid>
      <w:tr w:rsidR="009C6724" w14:paraId="744D39C4"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20" w:type="dxa"/>
          </w:tcPr>
          <w:p w14:paraId="36CC8361" w14:textId="77777777" w:rsidR="00AB205D" w:rsidRDefault="00AB205D"/>
        </w:tc>
        <w:tc>
          <w:tcPr>
            <w:tcW w:w="1134" w:type="dxa"/>
          </w:tcPr>
          <w:p w14:paraId="5ED8E612" w14:textId="77777777" w:rsidR="00AB205D" w:rsidRDefault="00471A3B">
            <w:pPr>
              <w:cnfStyle w:val="100000000000" w:firstRow="1" w:lastRow="0" w:firstColumn="0" w:lastColumn="0" w:oddVBand="0" w:evenVBand="0" w:oddHBand="0" w:evenHBand="0" w:firstRowFirstColumn="0" w:firstRowLastColumn="0" w:lastRowFirstColumn="0" w:lastRowLastColumn="0"/>
            </w:pPr>
            <w:r>
              <w:t>As at</w:t>
            </w:r>
            <w:r>
              <w:br/>
              <w:t>Nov 2023</w:t>
            </w:r>
          </w:p>
        </w:tc>
        <w:tc>
          <w:tcPr>
            <w:tcW w:w="1756" w:type="dxa"/>
          </w:tcPr>
          <w:p w14:paraId="41FF2578" w14:textId="77777777" w:rsidR="00AB205D" w:rsidRDefault="00471A3B">
            <w:pPr>
              <w:cnfStyle w:val="100000000000" w:firstRow="1" w:lastRow="0" w:firstColumn="0" w:lastColumn="0" w:oddVBand="0" w:evenVBand="0" w:oddHBand="0" w:evenHBand="0" w:firstRowFirstColumn="0" w:firstRowLastColumn="0" w:lastRowFirstColumn="0" w:lastRowLastColumn="0"/>
            </w:pPr>
            <w:r>
              <w:t>Published budget</w:t>
            </w:r>
            <w:r>
              <w:br/>
              <w:t>estimate</w:t>
            </w:r>
            <w:r>
              <w:rPr>
                <w:vertAlign w:val="superscript"/>
              </w:rPr>
              <w:t xml:space="preserve"> (a)</w:t>
            </w:r>
          </w:p>
        </w:tc>
      </w:tr>
      <w:tr w:rsidR="009C6724" w14:paraId="2639B4DA" w14:textId="77777777" w:rsidTr="009C6724">
        <w:tc>
          <w:tcPr>
            <w:cnfStyle w:val="001000000000" w:firstRow="0" w:lastRow="0" w:firstColumn="1" w:lastColumn="0" w:oddVBand="0" w:evenVBand="0" w:oddHBand="0" w:evenHBand="0" w:firstRowFirstColumn="0" w:firstRowLastColumn="0" w:lastRowFirstColumn="0" w:lastRowLastColumn="0"/>
            <w:tcW w:w="4820" w:type="dxa"/>
          </w:tcPr>
          <w:p w14:paraId="51AE17DA" w14:textId="77777777" w:rsidR="00AB205D" w:rsidRDefault="00471A3B">
            <w:r>
              <w:t>Guarantees, indemnities and warranties</w:t>
            </w:r>
          </w:p>
        </w:tc>
        <w:tc>
          <w:tcPr>
            <w:tcW w:w="1134" w:type="dxa"/>
          </w:tcPr>
          <w:p w14:paraId="1ED5E595" w14:textId="77777777" w:rsidR="00AB205D" w:rsidRDefault="00471A3B">
            <w:pPr>
              <w:cnfStyle w:val="000000000000" w:firstRow="0" w:lastRow="0" w:firstColumn="0" w:lastColumn="0" w:oddVBand="0" w:evenVBand="0" w:oddHBand="0" w:evenHBand="0" w:firstRowFirstColumn="0" w:firstRowLastColumn="0" w:lastRowFirstColumn="0" w:lastRowLastColumn="0"/>
            </w:pPr>
            <w:r>
              <w:t>66</w:t>
            </w:r>
          </w:p>
        </w:tc>
        <w:tc>
          <w:tcPr>
            <w:tcW w:w="1756" w:type="dxa"/>
          </w:tcPr>
          <w:p w14:paraId="0ED54160" w14:textId="77777777" w:rsidR="00AB205D" w:rsidRDefault="00471A3B">
            <w:pPr>
              <w:cnfStyle w:val="000000000000" w:firstRow="0" w:lastRow="0" w:firstColumn="0" w:lastColumn="0" w:oddVBand="0" w:evenVBand="0" w:oddHBand="0" w:evenHBand="0" w:firstRowFirstColumn="0" w:firstRowLastColumn="0" w:lastRowFirstColumn="0" w:lastRowLastColumn="0"/>
            </w:pPr>
            <w:r>
              <w:t>75</w:t>
            </w:r>
          </w:p>
        </w:tc>
      </w:tr>
      <w:tr w:rsidR="009C6724" w14:paraId="1969C48F" w14:textId="77777777" w:rsidTr="009C6724">
        <w:tc>
          <w:tcPr>
            <w:cnfStyle w:val="001000000000" w:firstRow="0" w:lastRow="0" w:firstColumn="1" w:lastColumn="0" w:oddVBand="0" w:evenVBand="0" w:oddHBand="0" w:evenHBand="0" w:firstRowFirstColumn="0" w:firstRowLastColumn="0" w:lastRowFirstColumn="0" w:lastRowLastColumn="0"/>
            <w:tcW w:w="4820" w:type="dxa"/>
          </w:tcPr>
          <w:p w14:paraId="0EDBD2C9" w14:textId="77777777" w:rsidR="00AB205D" w:rsidRDefault="00471A3B">
            <w:r>
              <w:t>Legal proceedings and disputes</w:t>
            </w:r>
          </w:p>
        </w:tc>
        <w:tc>
          <w:tcPr>
            <w:tcW w:w="1134" w:type="dxa"/>
          </w:tcPr>
          <w:p w14:paraId="2232165A" w14:textId="3EB7A678" w:rsidR="00AB205D" w:rsidRDefault="008754FB">
            <w:pPr>
              <w:cnfStyle w:val="000000000000" w:firstRow="0" w:lastRow="0" w:firstColumn="0" w:lastColumn="0" w:oddVBand="0" w:evenVBand="0" w:oddHBand="0" w:evenHBand="0" w:firstRowFirstColumn="0" w:firstRowLastColumn="0" w:lastRowFirstColumn="0" w:lastRowLastColumn="0"/>
            </w:pPr>
            <w:r>
              <w:t>..</w:t>
            </w:r>
          </w:p>
        </w:tc>
        <w:tc>
          <w:tcPr>
            <w:tcW w:w="1756" w:type="dxa"/>
          </w:tcPr>
          <w:p w14:paraId="76905069" w14:textId="77777777" w:rsidR="00AB205D" w:rsidRDefault="00471A3B">
            <w:pPr>
              <w:cnfStyle w:val="000000000000" w:firstRow="0" w:lastRow="0" w:firstColumn="0" w:lastColumn="0" w:oddVBand="0" w:evenVBand="0" w:oddHBand="0" w:evenHBand="0" w:firstRowFirstColumn="0" w:firstRowLastColumn="0" w:lastRowFirstColumn="0" w:lastRowLastColumn="0"/>
            </w:pPr>
            <w:r>
              <w:t>2</w:t>
            </w:r>
          </w:p>
        </w:tc>
      </w:tr>
      <w:tr w:rsidR="009C6724" w14:paraId="5280C42F" w14:textId="77777777" w:rsidTr="009C6724">
        <w:tc>
          <w:tcPr>
            <w:cnfStyle w:val="001000000000" w:firstRow="0" w:lastRow="0" w:firstColumn="1" w:lastColumn="0" w:oddVBand="0" w:evenVBand="0" w:oddHBand="0" w:evenHBand="0" w:firstRowFirstColumn="0" w:firstRowLastColumn="0" w:lastRowFirstColumn="0" w:lastRowLastColumn="0"/>
            <w:tcW w:w="4820" w:type="dxa"/>
            <w:tcBorders>
              <w:bottom w:val="single" w:sz="6" w:space="0" w:color="auto"/>
            </w:tcBorders>
          </w:tcPr>
          <w:p w14:paraId="09A65188" w14:textId="77777777" w:rsidR="00AB205D" w:rsidRDefault="00471A3B">
            <w:r>
              <w:t>Other</w:t>
            </w:r>
          </w:p>
        </w:tc>
        <w:tc>
          <w:tcPr>
            <w:tcW w:w="1134" w:type="dxa"/>
            <w:tcBorders>
              <w:bottom w:val="single" w:sz="6" w:space="0" w:color="auto"/>
            </w:tcBorders>
          </w:tcPr>
          <w:p w14:paraId="4C928EFE" w14:textId="77777777" w:rsidR="00AB205D" w:rsidRDefault="00471A3B">
            <w:pPr>
              <w:cnfStyle w:val="000000000000" w:firstRow="0" w:lastRow="0" w:firstColumn="0" w:lastColumn="0" w:oddVBand="0" w:evenVBand="0" w:oddHBand="0" w:evenHBand="0" w:firstRowFirstColumn="0" w:firstRowLastColumn="0" w:lastRowFirstColumn="0" w:lastRowLastColumn="0"/>
            </w:pPr>
            <w:r>
              <w:t>165</w:t>
            </w:r>
          </w:p>
        </w:tc>
        <w:tc>
          <w:tcPr>
            <w:tcW w:w="1756" w:type="dxa"/>
            <w:tcBorders>
              <w:bottom w:val="single" w:sz="6" w:space="0" w:color="auto"/>
            </w:tcBorders>
          </w:tcPr>
          <w:p w14:paraId="2D849625" w14:textId="77777777" w:rsidR="00AB205D" w:rsidRDefault="00471A3B">
            <w:pPr>
              <w:cnfStyle w:val="000000000000" w:firstRow="0" w:lastRow="0" w:firstColumn="0" w:lastColumn="0" w:oddVBand="0" w:evenVBand="0" w:oddHBand="0" w:evenHBand="0" w:firstRowFirstColumn="0" w:firstRowLastColumn="0" w:lastRowFirstColumn="0" w:lastRowLastColumn="0"/>
            </w:pPr>
            <w:r>
              <w:t>79</w:t>
            </w:r>
          </w:p>
        </w:tc>
      </w:tr>
      <w:tr w:rsidR="009C6724" w14:paraId="6542B26B" w14:textId="77777777" w:rsidTr="009C6724">
        <w:tc>
          <w:tcPr>
            <w:cnfStyle w:val="001000000000" w:firstRow="0" w:lastRow="0" w:firstColumn="1" w:lastColumn="0" w:oddVBand="0" w:evenVBand="0" w:oddHBand="0" w:evenHBand="0" w:firstRowFirstColumn="0" w:firstRowLastColumn="0" w:lastRowFirstColumn="0" w:lastRowLastColumn="0"/>
            <w:tcW w:w="4820" w:type="dxa"/>
            <w:tcBorders>
              <w:top w:val="single" w:sz="6" w:space="0" w:color="auto"/>
              <w:bottom w:val="single" w:sz="12" w:space="0" w:color="auto"/>
            </w:tcBorders>
          </w:tcPr>
          <w:p w14:paraId="30F32880" w14:textId="77777777" w:rsidR="00AB205D" w:rsidRDefault="00471A3B">
            <w:r>
              <w:rPr>
                <w:b/>
              </w:rPr>
              <w:t>Total contingent assets</w:t>
            </w:r>
          </w:p>
        </w:tc>
        <w:tc>
          <w:tcPr>
            <w:tcW w:w="1134" w:type="dxa"/>
            <w:tcBorders>
              <w:top w:val="single" w:sz="6" w:space="0" w:color="auto"/>
              <w:bottom w:val="single" w:sz="12" w:space="0" w:color="auto"/>
            </w:tcBorders>
          </w:tcPr>
          <w:p w14:paraId="7B657FC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231</w:t>
            </w:r>
          </w:p>
        </w:tc>
        <w:tc>
          <w:tcPr>
            <w:tcW w:w="1756" w:type="dxa"/>
            <w:tcBorders>
              <w:top w:val="single" w:sz="6" w:space="0" w:color="auto"/>
              <w:bottom w:val="single" w:sz="12" w:space="0" w:color="auto"/>
            </w:tcBorders>
          </w:tcPr>
          <w:p w14:paraId="7FE3E7D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155</w:t>
            </w:r>
          </w:p>
        </w:tc>
      </w:tr>
    </w:tbl>
    <w:p w14:paraId="4AC3A86F" w14:textId="77777777" w:rsidR="00AB205D" w:rsidRDefault="00471A3B">
      <w:pPr>
        <w:pStyle w:val="Note"/>
      </w:pPr>
      <w:r>
        <w:t>Note:</w:t>
      </w:r>
    </w:p>
    <w:p w14:paraId="4F2183F0" w14:textId="77777777" w:rsidR="00AB205D" w:rsidRDefault="00471A3B">
      <w:pPr>
        <w:pStyle w:val="Note"/>
      </w:pPr>
      <w:r>
        <w:t xml:space="preserve">(a) </w:t>
      </w:r>
      <w:r>
        <w:tab/>
        <w:t xml:space="preserve">As published in the </w:t>
      </w:r>
      <w:r w:rsidRPr="002124FD">
        <w:rPr>
          <w:i w:val="0"/>
        </w:rPr>
        <w:t>202</w:t>
      </w:r>
      <w:r>
        <w:rPr>
          <w:i w:val="0"/>
        </w:rPr>
        <w:t>3</w:t>
      </w:r>
      <w:r w:rsidRPr="002124FD">
        <w:rPr>
          <w:i w:val="0"/>
        </w:rPr>
        <w:t>-2</w:t>
      </w:r>
      <w:r>
        <w:rPr>
          <w:i w:val="0"/>
        </w:rPr>
        <w:t>4</w:t>
      </w:r>
      <w:r w:rsidRPr="002124FD">
        <w:rPr>
          <w:i w:val="0"/>
        </w:rPr>
        <w:t xml:space="preserve"> Budget</w:t>
      </w:r>
      <w:r>
        <w:rPr>
          <w:iCs/>
        </w:rPr>
        <w:t>.</w:t>
      </w:r>
    </w:p>
    <w:p w14:paraId="53CF7151" w14:textId="77777777" w:rsidR="00AB205D" w:rsidRDefault="00AB205D"/>
    <w:p w14:paraId="583B162D" w14:textId="77777777" w:rsidR="00AB205D" w:rsidRDefault="00471A3B">
      <w:pPr>
        <w:pStyle w:val="Heading20"/>
      </w:pPr>
      <w:r>
        <w:t>Non-quantifiable contingent assets</w:t>
      </w:r>
    </w:p>
    <w:p w14:paraId="6DCEAFCF" w14:textId="77777777" w:rsidR="00AB205D" w:rsidRDefault="00471A3B">
      <w:pPr>
        <w:pStyle w:val="Heading30"/>
      </w:pPr>
      <w:r>
        <w:t>Peninsula Link compensable enhancement claim</w:t>
      </w:r>
    </w:p>
    <w:p w14:paraId="2D3B94E2" w14:textId="77777777" w:rsidR="00AB205D" w:rsidRDefault="00471A3B">
      <w:r>
        <w:t>The EastLink Concession Deed contains compensable enhancement provisions that enable the State to claim 50 per cent of any additional revenue derived by ConnectEast Pty Ltd (ConnectEast) as a result of certain events that particularly benefit EastLink, including changes to the adjoining road network.</w:t>
      </w:r>
    </w:p>
    <w:p w14:paraId="61CB5F2B" w14:textId="77777777" w:rsidR="00AB205D" w:rsidRDefault="00471A3B">
      <w:r>
        <w:t>On 2 January 2014, the State lodged a compensable enhancement claim as a result of opening Peninsula Link. The claim remains outstanding.</w:t>
      </w:r>
    </w:p>
    <w:p w14:paraId="520ECFE2" w14:textId="77777777" w:rsidR="00AB205D" w:rsidRDefault="00471A3B">
      <w:pPr>
        <w:pStyle w:val="Heading10"/>
      </w:pPr>
      <w:bookmarkStart w:id="87" w:name="_Toc152933041"/>
      <w:r>
        <w:lastRenderedPageBreak/>
        <w:t>Contingent liabilities</w:t>
      </w:r>
      <w:bookmarkEnd w:id="87"/>
    </w:p>
    <w:p w14:paraId="1D49F416" w14:textId="77777777" w:rsidR="00AB205D" w:rsidRDefault="00471A3B">
      <w:r>
        <w:t>Contingent liabilities are either:</w:t>
      </w:r>
    </w:p>
    <w:p w14:paraId="3925A172" w14:textId="77777777" w:rsidR="00AB205D" w:rsidRDefault="00471A3B">
      <w:pPr>
        <w:pStyle w:val="ListBullet"/>
      </w:pPr>
      <w:r>
        <w:t xml:space="preserve">possible obligations that arise from past events, whose existence will be confirmed only by the occurrence or non-occurrence of one or more uncertain future events not wholly within the control of the entity </w:t>
      </w:r>
    </w:p>
    <w:p w14:paraId="73AF67C1" w14:textId="77777777" w:rsidR="00AB205D" w:rsidRDefault="00471A3B">
      <w:pPr>
        <w:pStyle w:val="ListBullet"/>
      </w:pPr>
      <w:r>
        <w:t>present obligations that arise from past events but are not recognised because of either of the following:</w:t>
      </w:r>
    </w:p>
    <w:p w14:paraId="2B2C530C" w14:textId="77777777" w:rsidR="00AB205D" w:rsidRPr="00716A8E" w:rsidRDefault="00471A3B">
      <w:pPr>
        <w:pStyle w:val="ListBullet2"/>
      </w:pPr>
      <w:r w:rsidRPr="00716A8E">
        <w:t xml:space="preserve">it is not probable that an outflow of resources embodying economic benefits will be required to settle the obligations </w:t>
      </w:r>
    </w:p>
    <w:p w14:paraId="5E7AB79E" w14:textId="77777777" w:rsidR="00AB205D" w:rsidRPr="00716A8E" w:rsidRDefault="00471A3B">
      <w:pPr>
        <w:pStyle w:val="ListBullet2"/>
      </w:pPr>
      <w:r w:rsidRPr="00716A8E">
        <w:t>the amount of the obligations cannot be measured with sufficient reliability.</w:t>
      </w:r>
    </w:p>
    <w:p w14:paraId="24E31472" w14:textId="77777777" w:rsidR="00AB205D" w:rsidRDefault="00471A3B">
      <w:r>
        <w:t>Contingent liabilities are also disclosed as either quantifiable or non-quantifiable.</w:t>
      </w:r>
    </w:p>
    <w:p w14:paraId="36943068" w14:textId="77777777" w:rsidR="00AB205D" w:rsidRDefault="00471A3B">
      <w:r>
        <w:t>Table 6.2 contains quantifiable contingent liabilities as a</w:t>
      </w:r>
      <w:r w:rsidRPr="00DC624A">
        <w:t xml:space="preserve">t </w:t>
      </w:r>
      <w:r w:rsidRPr="002D05A8">
        <w:t>22 November 2023.</w:t>
      </w:r>
    </w:p>
    <w:p w14:paraId="6E11DB32" w14:textId="77777777" w:rsidR="00AB205D" w:rsidRDefault="00471A3B">
      <w:pPr>
        <w:pStyle w:val="TableHeading"/>
      </w:pPr>
      <w:r>
        <w:t>Table 6.2:</w:t>
      </w:r>
      <w:r>
        <w:tab/>
        <w:t>Quantifiable contingent liabilities</w:t>
      </w:r>
      <w:r>
        <w:tab/>
        <w:t>($ million)</w:t>
      </w:r>
    </w:p>
    <w:tbl>
      <w:tblPr>
        <w:tblStyle w:val="DTFTableNumeric"/>
        <w:tblW w:w="7710" w:type="dxa"/>
        <w:tblLayout w:type="fixed"/>
        <w:tblLook w:val="06A0" w:firstRow="1" w:lastRow="0" w:firstColumn="1" w:lastColumn="0" w:noHBand="1" w:noVBand="1"/>
        <w:tblDescription w:val="Type:DtfTable|Workbook:Rawdata\BudgetUpdate\Budget Update\Financial Statements\Manual reports\CACL\Link_BU_CACL.xlsx|Table:Quant_Liabilities|MergedHeadingRow:1"/>
      </w:tblPr>
      <w:tblGrid>
        <w:gridCol w:w="4820"/>
        <w:gridCol w:w="1276"/>
        <w:gridCol w:w="1614"/>
      </w:tblGrid>
      <w:tr w:rsidR="009C6724" w14:paraId="40799FC7"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20" w:type="dxa"/>
          </w:tcPr>
          <w:p w14:paraId="3E131010" w14:textId="77777777" w:rsidR="00AB205D" w:rsidRDefault="00AB205D"/>
        </w:tc>
        <w:tc>
          <w:tcPr>
            <w:tcW w:w="1276" w:type="dxa"/>
          </w:tcPr>
          <w:p w14:paraId="7C5C1C3C" w14:textId="77777777" w:rsidR="00AB205D" w:rsidRDefault="00471A3B">
            <w:pPr>
              <w:cnfStyle w:val="100000000000" w:firstRow="1" w:lastRow="0" w:firstColumn="0" w:lastColumn="0" w:oddVBand="0" w:evenVBand="0" w:oddHBand="0" w:evenHBand="0" w:firstRowFirstColumn="0" w:firstRowLastColumn="0" w:lastRowFirstColumn="0" w:lastRowLastColumn="0"/>
            </w:pPr>
            <w:r>
              <w:t>As at</w:t>
            </w:r>
            <w:r>
              <w:br/>
              <w:t>Nov 2023</w:t>
            </w:r>
          </w:p>
        </w:tc>
        <w:tc>
          <w:tcPr>
            <w:tcW w:w="1614" w:type="dxa"/>
          </w:tcPr>
          <w:p w14:paraId="74B4359C" w14:textId="77777777" w:rsidR="00AB205D" w:rsidRDefault="00471A3B">
            <w:pPr>
              <w:cnfStyle w:val="100000000000" w:firstRow="1" w:lastRow="0" w:firstColumn="0" w:lastColumn="0" w:oddVBand="0" w:evenVBand="0" w:oddHBand="0" w:evenHBand="0" w:firstRowFirstColumn="0" w:firstRowLastColumn="0" w:lastRowFirstColumn="0" w:lastRowLastColumn="0"/>
            </w:pPr>
            <w:r>
              <w:t>Published budget</w:t>
            </w:r>
            <w:r>
              <w:br/>
              <w:t>estimate</w:t>
            </w:r>
            <w:r>
              <w:rPr>
                <w:vertAlign w:val="superscript"/>
              </w:rPr>
              <w:t xml:space="preserve"> (a)</w:t>
            </w:r>
          </w:p>
        </w:tc>
      </w:tr>
      <w:tr w:rsidR="009C6724" w14:paraId="29775872" w14:textId="77777777" w:rsidTr="009C6724">
        <w:tc>
          <w:tcPr>
            <w:cnfStyle w:val="001000000000" w:firstRow="0" w:lastRow="0" w:firstColumn="1" w:lastColumn="0" w:oddVBand="0" w:evenVBand="0" w:oddHBand="0" w:evenHBand="0" w:firstRowFirstColumn="0" w:firstRowLastColumn="0" w:lastRowFirstColumn="0" w:lastRowLastColumn="0"/>
            <w:tcW w:w="4820" w:type="dxa"/>
          </w:tcPr>
          <w:p w14:paraId="14F363BF" w14:textId="77777777" w:rsidR="00AB205D" w:rsidRDefault="00471A3B">
            <w:r>
              <w:t>Guarantees, indemnities and warranties</w:t>
            </w:r>
            <w:r>
              <w:rPr>
                <w:vertAlign w:val="superscript"/>
              </w:rPr>
              <w:t xml:space="preserve"> (b)</w:t>
            </w:r>
          </w:p>
        </w:tc>
        <w:tc>
          <w:tcPr>
            <w:tcW w:w="1276" w:type="dxa"/>
          </w:tcPr>
          <w:p w14:paraId="584650AE" w14:textId="77777777" w:rsidR="00AB205D" w:rsidRDefault="00471A3B">
            <w:pPr>
              <w:cnfStyle w:val="000000000000" w:firstRow="0" w:lastRow="0" w:firstColumn="0" w:lastColumn="0" w:oddVBand="0" w:evenVBand="0" w:oddHBand="0" w:evenHBand="0" w:firstRowFirstColumn="0" w:firstRowLastColumn="0" w:lastRowFirstColumn="0" w:lastRowLastColumn="0"/>
            </w:pPr>
            <w:r>
              <w:t>1 042</w:t>
            </w:r>
          </w:p>
        </w:tc>
        <w:tc>
          <w:tcPr>
            <w:tcW w:w="1614" w:type="dxa"/>
          </w:tcPr>
          <w:p w14:paraId="1C920931" w14:textId="77777777" w:rsidR="00AB205D" w:rsidRDefault="00471A3B">
            <w:pPr>
              <w:cnfStyle w:val="000000000000" w:firstRow="0" w:lastRow="0" w:firstColumn="0" w:lastColumn="0" w:oddVBand="0" w:evenVBand="0" w:oddHBand="0" w:evenHBand="0" w:firstRowFirstColumn="0" w:firstRowLastColumn="0" w:lastRowFirstColumn="0" w:lastRowLastColumn="0"/>
            </w:pPr>
            <w:r>
              <w:t>1 042</w:t>
            </w:r>
          </w:p>
        </w:tc>
      </w:tr>
      <w:tr w:rsidR="009C6724" w14:paraId="22E51CE3" w14:textId="77777777" w:rsidTr="009C6724">
        <w:tc>
          <w:tcPr>
            <w:cnfStyle w:val="001000000000" w:firstRow="0" w:lastRow="0" w:firstColumn="1" w:lastColumn="0" w:oddVBand="0" w:evenVBand="0" w:oddHBand="0" w:evenHBand="0" w:firstRowFirstColumn="0" w:firstRowLastColumn="0" w:lastRowFirstColumn="0" w:lastRowLastColumn="0"/>
            <w:tcW w:w="4820" w:type="dxa"/>
          </w:tcPr>
          <w:p w14:paraId="6288D75E" w14:textId="77777777" w:rsidR="00AB205D" w:rsidRDefault="00471A3B">
            <w:r>
              <w:t>Legal proceedings and disputes</w:t>
            </w:r>
          </w:p>
        </w:tc>
        <w:tc>
          <w:tcPr>
            <w:tcW w:w="1276" w:type="dxa"/>
          </w:tcPr>
          <w:p w14:paraId="36BB15B4" w14:textId="77777777" w:rsidR="00AB205D" w:rsidRDefault="00471A3B">
            <w:pPr>
              <w:cnfStyle w:val="000000000000" w:firstRow="0" w:lastRow="0" w:firstColumn="0" w:lastColumn="0" w:oddVBand="0" w:evenVBand="0" w:oddHBand="0" w:evenHBand="0" w:firstRowFirstColumn="0" w:firstRowLastColumn="0" w:lastRowFirstColumn="0" w:lastRowLastColumn="0"/>
            </w:pPr>
            <w:r>
              <w:t>277</w:t>
            </w:r>
          </w:p>
        </w:tc>
        <w:tc>
          <w:tcPr>
            <w:tcW w:w="1614" w:type="dxa"/>
          </w:tcPr>
          <w:p w14:paraId="423C6B17" w14:textId="77777777" w:rsidR="00AB205D" w:rsidRDefault="00471A3B">
            <w:pPr>
              <w:cnfStyle w:val="000000000000" w:firstRow="0" w:lastRow="0" w:firstColumn="0" w:lastColumn="0" w:oddVBand="0" w:evenVBand="0" w:oddHBand="0" w:evenHBand="0" w:firstRowFirstColumn="0" w:firstRowLastColumn="0" w:lastRowFirstColumn="0" w:lastRowLastColumn="0"/>
            </w:pPr>
            <w:r>
              <w:t>324</w:t>
            </w:r>
          </w:p>
        </w:tc>
      </w:tr>
      <w:tr w:rsidR="009C6724" w14:paraId="0F0D010B" w14:textId="77777777" w:rsidTr="009C6724">
        <w:tc>
          <w:tcPr>
            <w:cnfStyle w:val="001000000000" w:firstRow="0" w:lastRow="0" w:firstColumn="1" w:lastColumn="0" w:oddVBand="0" w:evenVBand="0" w:oddHBand="0" w:evenHBand="0" w:firstRowFirstColumn="0" w:firstRowLastColumn="0" w:lastRowFirstColumn="0" w:lastRowLastColumn="0"/>
            <w:tcW w:w="4820" w:type="dxa"/>
          </w:tcPr>
          <w:p w14:paraId="4A91E789" w14:textId="77777777" w:rsidR="00AB205D" w:rsidRDefault="00471A3B">
            <w:r>
              <w:t>Other</w:t>
            </w:r>
          </w:p>
        </w:tc>
        <w:tc>
          <w:tcPr>
            <w:tcW w:w="1276" w:type="dxa"/>
          </w:tcPr>
          <w:p w14:paraId="5A6C6004" w14:textId="77777777" w:rsidR="00AB205D" w:rsidRDefault="00471A3B">
            <w:pPr>
              <w:cnfStyle w:val="000000000000" w:firstRow="0" w:lastRow="0" w:firstColumn="0" w:lastColumn="0" w:oddVBand="0" w:evenVBand="0" w:oddHBand="0" w:evenHBand="0" w:firstRowFirstColumn="0" w:firstRowLastColumn="0" w:lastRowFirstColumn="0" w:lastRowLastColumn="0"/>
            </w:pPr>
            <w:r>
              <w:t>353</w:t>
            </w:r>
          </w:p>
        </w:tc>
        <w:tc>
          <w:tcPr>
            <w:tcW w:w="1614" w:type="dxa"/>
          </w:tcPr>
          <w:p w14:paraId="0AAC4CDA" w14:textId="77777777" w:rsidR="00AB205D" w:rsidRDefault="00471A3B">
            <w:pPr>
              <w:cnfStyle w:val="000000000000" w:firstRow="0" w:lastRow="0" w:firstColumn="0" w:lastColumn="0" w:oddVBand="0" w:evenVBand="0" w:oddHBand="0" w:evenHBand="0" w:firstRowFirstColumn="0" w:firstRowLastColumn="0" w:lastRowFirstColumn="0" w:lastRowLastColumn="0"/>
            </w:pPr>
            <w:r>
              <w:t>331</w:t>
            </w:r>
          </w:p>
        </w:tc>
      </w:tr>
      <w:tr w:rsidR="009C6724" w14:paraId="21AFB6F3" w14:textId="77777777" w:rsidTr="009C6724">
        <w:tc>
          <w:tcPr>
            <w:cnfStyle w:val="001000000000" w:firstRow="0" w:lastRow="0" w:firstColumn="1" w:lastColumn="0" w:oddVBand="0" w:evenVBand="0" w:oddHBand="0" w:evenHBand="0" w:firstRowFirstColumn="0" w:firstRowLastColumn="0" w:lastRowFirstColumn="0" w:lastRowLastColumn="0"/>
            <w:tcW w:w="4820" w:type="dxa"/>
            <w:tcBorders>
              <w:bottom w:val="single" w:sz="6" w:space="0" w:color="auto"/>
            </w:tcBorders>
          </w:tcPr>
          <w:p w14:paraId="00EDBF2B" w14:textId="77777777" w:rsidR="00AB205D" w:rsidRDefault="00471A3B">
            <w:r>
              <w:t>Non</w:t>
            </w:r>
            <w:r>
              <w:noBreakHyphen/>
              <w:t xml:space="preserve">general government debt </w:t>
            </w:r>
            <w:r>
              <w:rPr>
                <w:vertAlign w:val="superscript"/>
              </w:rPr>
              <w:t>(c)</w:t>
            </w:r>
          </w:p>
        </w:tc>
        <w:tc>
          <w:tcPr>
            <w:tcW w:w="1276" w:type="dxa"/>
            <w:tcBorders>
              <w:bottom w:val="single" w:sz="6" w:space="0" w:color="auto"/>
            </w:tcBorders>
          </w:tcPr>
          <w:p w14:paraId="3BCB82A1" w14:textId="77777777" w:rsidR="00AB205D" w:rsidRDefault="00471A3B">
            <w:pPr>
              <w:cnfStyle w:val="000000000000" w:firstRow="0" w:lastRow="0" w:firstColumn="0" w:lastColumn="0" w:oddVBand="0" w:evenVBand="0" w:oddHBand="0" w:evenHBand="0" w:firstRowFirstColumn="0" w:firstRowLastColumn="0" w:lastRowFirstColumn="0" w:lastRowLastColumn="0"/>
            </w:pPr>
            <w:r>
              <w:t>15 729</w:t>
            </w:r>
          </w:p>
        </w:tc>
        <w:tc>
          <w:tcPr>
            <w:tcW w:w="1614" w:type="dxa"/>
            <w:tcBorders>
              <w:bottom w:val="single" w:sz="6" w:space="0" w:color="auto"/>
            </w:tcBorders>
          </w:tcPr>
          <w:p w14:paraId="095F2233" w14:textId="77777777" w:rsidR="00AB205D" w:rsidRDefault="00471A3B">
            <w:pPr>
              <w:cnfStyle w:val="000000000000" w:firstRow="0" w:lastRow="0" w:firstColumn="0" w:lastColumn="0" w:oddVBand="0" w:evenVBand="0" w:oddHBand="0" w:evenHBand="0" w:firstRowFirstColumn="0" w:firstRowLastColumn="0" w:lastRowFirstColumn="0" w:lastRowLastColumn="0"/>
            </w:pPr>
            <w:r>
              <w:t>15 476</w:t>
            </w:r>
          </w:p>
        </w:tc>
      </w:tr>
      <w:tr w:rsidR="009C6724" w14:paraId="5F7D6EBD" w14:textId="77777777" w:rsidTr="009C6724">
        <w:tc>
          <w:tcPr>
            <w:cnfStyle w:val="001000000000" w:firstRow="0" w:lastRow="0" w:firstColumn="1" w:lastColumn="0" w:oddVBand="0" w:evenVBand="0" w:oddHBand="0" w:evenHBand="0" w:firstRowFirstColumn="0" w:firstRowLastColumn="0" w:lastRowFirstColumn="0" w:lastRowLastColumn="0"/>
            <w:tcW w:w="4820" w:type="dxa"/>
            <w:tcBorders>
              <w:top w:val="single" w:sz="6" w:space="0" w:color="auto"/>
              <w:bottom w:val="single" w:sz="12" w:space="0" w:color="auto"/>
            </w:tcBorders>
          </w:tcPr>
          <w:p w14:paraId="6D0A597F" w14:textId="77777777" w:rsidR="00AB205D" w:rsidRDefault="00471A3B">
            <w:r>
              <w:rPr>
                <w:b/>
              </w:rPr>
              <w:t>Total contingent liabilities</w:t>
            </w:r>
          </w:p>
        </w:tc>
        <w:tc>
          <w:tcPr>
            <w:tcW w:w="1276" w:type="dxa"/>
            <w:tcBorders>
              <w:top w:val="single" w:sz="6" w:space="0" w:color="auto"/>
              <w:bottom w:val="single" w:sz="12" w:space="0" w:color="auto"/>
            </w:tcBorders>
          </w:tcPr>
          <w:p w14:paraId="41185971"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17 401</w:t>
            </w:r>
          </w:p>
        </w:tc>
        <w:tc>
          <w:tcPr>
            <w:tcW w:w="1614" w:type="dxa"/>
            <w:tcBorders>
              <w:top w:val="single" w:sz="6" w:space="0" w:color="auto"/>
              <w:bottom w:val="single" w:sz="12" w:space="0" w:color="auto"/>
            </w:tcBorders>
          </w:tcPr>
          <w:p w14:paraId="5E2C2B1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17 173</w:t>
            </w:r>
          </w:p>
        </w:tc>
      </w:tr>
    </w:tbl>
    <w:p w14:paraId="6A0E25A5" w14:textId="77777777" w:rsidR="00AB205D" w:rsidRDefault="00471A3B">
      <w:pPr>
        <w:pStyle w:val="Note"/>
      </w:pPr>
      <w:r>
        <w:t>Notes:</w:t>
      </w:r>
    </w:p>
    <w:p w14:paraId="3BC714BE" w14:textId="77777777" w:rsidR="00AB205D" w:rsidRDefault="00471A3B">
      <w:pPr>
        <w:pStyle w:val="Note"/>
      </w:pPr>
      <w:r>
        <w:t>(a)</w:t>
      </w:r>
      <w:r>
        <w:tab/>
        <w:t xml:space="preserve">As published </w:t>
      </w:r>
      <w:r w:rsidRPr="00394AC8">
        <w:t xml:space="preserve">in the </w:t>
      </w:r>
      <w:r w:rsidRPr="002124FD">
        <w:rPr>
          <w:i w:val="0"/>
        </w:rPr>
        <w:t>202</w:t>
      </w:r>
      <w:r>
        <w:rPr>
          <w:i w:val="0"/>
        </w:rPr>
        <w:t>3</w:t>
      </w:r>
      <w:r w:rsidRPr="002124FD">
        <w:rPr>
          <w:i w:val="0"/>
        </w:rPr>
        <w:t>-2</w:t>
      </w:r>
      <w:r>
        <w:rPr>
          <w:i w:val="0"/>
        </w:rPr>
        <w:t>4</w:t>
      </w:r>
      <w:r w:rsidRPr="002124FD">
        <w:rPr>
          <w:i w:val="0"/>
        </w:rPr>
        <w:t xml:space="preserve"> Budget</w:t>
      </w:r>
      <w:r>
        <w:rPr>
          <w:iCs/>
        </w:rPr>
        <w:t>.</w:t>
      </w:r>
    </w:p>
    <w:p w14:paraId="5F7382C8" w14:textId="77777777" w:rsidR="00AB205D" w:rsidRDefault="00471A3B">
      <w:pPr>
        <w:pStyle w:val="Note"/>
      </w:pPr>
      <w:r>
        <w:t>(b)</w:t>
      </w:r>
      <w:r>
        <w:tab/>
      </w:r>
      <w:r w:rsidRPr="00CF05CE">
        <w:t xml:space="preserve">Guarantees, indemnities and warranties include loans provided by the Treasury Corporation of Victoria to entities other than the State of Victoria and participating authorities, subject to the provision of a guarantee by the Treasurer. </w:t>
      </w:r>
    </w:p>
    <w:p w14:paraId="6D6D109D" w14:textId="77777777" w:rsidR="00AB205D" w:rsidRDefault="00471A3B">
      <w:pPr>
        <w:pStyle w:val="Note"/>
      </w:pPr>
      <w:r>
        <w:t xml:space="preserve">(c) </w:t>
      </w:r>
      <w:r>
        <w:tab/>
        <w:t>Mainly represents the guarantee of borrowings provided by the Treasurer for the public sector borrowings portfolio. Expected losses under any financial guarantees are recorded as financial liabilities in the balance sheet.</w:t>
      </w:r>
    </w:p>
    <w:p w14:paraId="0C234EB3" w14:textId="77777777" w:rsidR="00AB205D" w:rsidRDefault="00AB205D"/>
    <w:p w14:paraId="418EDFA6" w14:textId="77777777" w:rsidR="00AB205D" w:rsidRDefault="00471A3B" w:rsidP="00882944">
      <w:pPr>
        <w:pStyle w:val="Heading20"/>
        <w:pageBreakBefore/>
      </w:pPr>
      <w:r>
        <w:lastRenderedPageBreak/>
        <w:t>Non-quantifiable contingent liabilities</w:t>
      </w:r>
    </w:p>
    <w:p w14:paraId="2126CD1B" w14:textId="77777777" w:rsidR="00AB205D" w:rsidRDefault="00471A3B">
      <w:r>
        <w:t>A number of potential obligations are non</w:t>
      </w:r>
      <w:r>
        <w:noBreakHyphen/>
        <w:t>quantifiable at this time arising from:</w:t>
      </w:r>
    </w:p>
    <w:p w14:paraId="68974A91" w14:textId="77777777" w:rsidR="00AB205D" w:rsidRPr="0020345D" w:rsidRDefault="00471A3B">
      <w:pPr>
        <w:pStyle w:val="ListBullet"/>
      </w:pPr>
      <w:r w:rsidRPr="0020345D">
        <w:t>indemnities provided in relation to transactions, including financial arrangements and consultancy services, as well as for directors and administrators</w:t>
      </w:r>
    </w:p>
    <w:p w14:paraId="0F147AA4" w14:textId="77777777" w:rsidR="00AB205D" w:rsidRPr="0020345D" w:rsidRDefault="00471A3B">
      <w:pPr>
        <w:pStyle w:val="ListBullet"/>
      </w:pPr>
      <w:r w:rsidRPr="0020345D">
        <w:t>performance guarantees, warranties, letters of comfort and the like</w:t>
      </w:r>
    </w:p>
    <w:p w14:paraId="1FB19084" w14:textId="77777777" w:rsidR="00AB205D" w:rsidRPr="0020345D" w:rsidRDefault="00471A3B">
      <w:pPr>
        <w:pStyle w:val="ListBullet"/>
      </w:pPr>
      <w:r w:rsidRPr="0020345D">
        <w:t>deeds in respect of certain obligations</w:t>
      </w:r>
    </w:p>
    <w:p w14:paraId="7A01CE7F" w14:textId="77777777" w:rsidR="00AB205D" w:rsidRPr="0020345D" w:rsidRDefault="00471A3B">
      <w:pPr>
        <w:pStyle w:val="ListBullet"/>
      </w:pPr>
      <w:r w:rsidRPr="0020345D">
        <w:t>unclaimed monies, which may be subject to future claims by the general public against the State.</w:t>
      </w:r>
    </w:p>
    <w:p w14:paraId="325BE755" w14:textId="77777777" w:rsidR="00AB205D" w:rsidRDefault="00471A3B">
      <w:r>
        <w:t>An overview of the more significant non</w:t>
      </w:r>
      <w:r>
        <w:noBreakHyphen/>
        <w:t>quantifiable liabilities follows.</w:t>
      </w:r>
    </w:p>
    <w:p w14:paraId="7A09DCEE" w14:textId="77777777" w:rsidR="00AB205D" w:rsidRPr="00596030" w:rsidRDefault="00471A3B" w:rsidP="00882944">
      <w:pPr>
        <w:pStyle w:val="Heading30"/>
        <w:spacing w:before="180"/>
      </w:pPr>
      <w:r w:rsidRPr="00596030">
        <w:t xml:space="preserve">Biosciences Research Centre (known as AgriBio) </w:t>
      </w:r>
    </w:p>
    <w:p w14:paraId="676D8D85" w14:textId="77777777" w:rsidR="00AB205D" w:rsidRPr="00826B8A" w:rsidRDefault="00471A3B">
      <w:pPr>
        <w:rPr>
          <w:rFonts w:ascii="Garamond" w:eastAsia="Garamond" w:hAnsi="Garamond"/>
        </w:rPr>
      </w:pPr>
      <w:r w:rsidRPr="00826B8A">
        <w:rPr>
          <w:rFonts w:ascii="Garamond" w:eastAsia="Garamond" w:hAnsi="Garamond"/>
        </w:rPr>
        <w:t xml:space="preserve">The quarterly service fee payment obligations of Biosciences Research Centre Pty Ltd (BRC Co) on behalf of the joint venture participants (Department of Energy, Environment and Climate Action and La Trobe University) are backed by the State of Victoria under a State Support Deed. </w:t>
      </w:r>
    </w:p>
    <w:p w14:paraId="70DB1948" w14:textId="77777777" w:rsidR="00AB205D" w:rsidRPr="00826B8A" w:rsidRDefault="00471A3B">
      <w:pPr>
        <w:rPr>
          <w:rFonts w:ascii="Garamond" w:eastAsia="Garamond" w:hAnsi="Garamond"/>
        </w:rPr>
      </w:pPr>
      <w:r w:rsidRPr="00826B8A">
        <w:rPr>
          <w:rFonts w:ascii="Garamond" w:eastAsia="Garamond" w:hAnsi="Garamond"/>
        </w:rPr>
        <w:t>Under this Deed, the State ensures that the joint venture participants have the financial capacity to meet their payment obligations to BRC Co, thereby enabling BRC Co to meet its obligations to pay the quarterly service fee to the concessionaire under the Project Agreement. The State underwrites the risk of any default by BRC Co.</w:t>
      </w:r>
    </w:p>
    <w:p w14:paraId="2065C390" w14:textId="77777777" w:rsidR="00AB205D" w:rsidRPr="001A2FAA" w:rsidRDefault="00471A3B" w:rsidP="00882944">
      <w:pPr>
        <w:pStyle w:val="Heading30"/>
        <w:spacing w:before="180"/>
      </w:pPr>
      <w:r w:rsidRPr="001A2FAA">
        <w:t>Compulsory property acquisitions</w:t>
      </w:r>
    </w:p>
    <w:p w14:paraId="7B0C2E12" w14:textId="77777777" w:rsidR="00AB205D" w:rsidRPr="006E791A" w:rsidRDefault="00471A3B">
      <w:pPr>
        <w:rPr>
          <w:rFonts w:ascii="Garamond" w:eastAsia="Garamond" w:hAnsi="Garamond"/>
        </w:rPr>
      </w:pPr>
      <w:r w:rsidRPr="006E791A">
        <w:rPr>
          <w:rFonts w:ascii="Garamond" w:eastAsia="Garamond" w:hAnsi="Garamond"/>
        </w:rPr>
        <w:t xml:space="preserve">The State has compulsorily acquired a number of properties (residential and commercial) through the </w:t>
      </w:r>
      <w:r w:rsidRPr="006E791A">
        <w:rPr>
          <w:rFonts w:ascii="Garamond" w:eastAsia="Garamond" w:hAnsi="Garamond"/>
          <w:i/>
        </w:rPr>
        <w:t>Land Acquisition and Compensation Act 1986</w:t>
      </w:r>
      <w:r w:rsidRPr="006E791A">
        <w:rPr>
          <w:rFonts w:ascii="Garamond" w:eastAsia="Garamond" w:hAnsi="Garamond"/>
        </w:rPr>
        <w:t xml:space="preserve"> to facilitate delivery of various projects. Possible future claims for compensation arising from the compulsory acquisition of these properties cannot be quantified at this stage.</w:t>
      </w:r>
    </w:p>
    <w:p w14:paraId="1D5062AD" w14:textId="77777777" w:rsidR="00AB205D" w:rsidRPr="00596030" w:rsidRDefault="00471A3B" w:rsidP="00882944">
      <w:pPr>
        <w:pStyle w:val="Heading30"/>
        <w:spacing w:before="180"/>
      </w:pPr>
      <w:r w:rsidRPr="00596030">
        <w:t xml:space="preserve">COVID-19 class action – Victorian businesses </w:t>
      </w:r>
    </w:p>
    <w:p w14:paraId="2FE63D52" w14:textId="77777777" w:rsidR="00AB205D" w:rsidRPr="00163FAB" w:rsidRDefault="00471A3B">
      <w:pPr>
        <w:rPr>
          <w:rFonts w:ascii="Garamond" w:eastAsia="Garamond" w:hAnsi="Garamond"/>
        </w:rPr>
      </w:pPr>
      <w:r w:rsidRPr="00163FAB">
        <w:rPr>
          <w:rFonts w:ascii="Garamond" w:eastAsia="Garamond" w:hAnsi="Garamond"/>
        </w:rPr>
        <w:t>A class action has been filed in the Supreme Court of Victoria against the State of Victoria, the Ministers for Health and Jobs, and the Secretaries of the Department of Health and Human Services and the Department of Jobs, Precincts and Regions relating to economic losses suffered by Victorian businesses under Stage 3 and 4 public health restrictions. The V</w:t>
      </w:r>
      <w:r>
        <w:rPr>
          <w:rFonts w:ascii="Garamond" w:eastAsia="Garamond" w:hAnsi="Garamond"/>
        </w:rPr>
        <w:t>ictorian Managed Insurance Authority (</w:t>
      </w:r>
      <w:r w:rsidRPr="00163FAB">
        <w:rPr>
          <w:rFonts w:ascii="Garamond" w:eastAsia="Garamond" w:hAnsi="Garamond"/>
        </w:rPr>
        <w:t>VMIA</w:t>
      </w:r>
      <w:r>
        <w:rPr>
          <w:rFonts w:ascii="Garamond" w:eastAsia="Garamond" w:hAnsi="Garamond"/>
        </w:rPr>
        <w:t>)</w:t>
      </w:r>
      <w:r w:rsidRPr="00163FAB">
        <w:rPr>
          <w:rFonts w:ascii="Garamond" w:eastAsia="Garamond" w:hAnsi="Garamond"/>
        </w:rPr>
        <w:t xml:space="preserve"> has been notified of this proceeding and it is intended that VMIA’s Combined Liability Policy will respond. </w:t>
      </w:r>
    </w:p>
    <w:p w14:paraId="2ECB4EA7" w14:textId="77777777" w:rsidR="00AB205D" w:rsidRPr="00163FAB" w:rsidRDefault="00471A3B">
      <w:pPr>
        <w:rPr>
          <w:rFonts w:ascii="Garamond" w:eastAsia="Garamond" w:hAnsi="Garamond"/>
        </w:rPr>
      </w:pPr>
      <w:r w:rsidRPr="00163FAB">
        <w:rPr>
          <w:rFonts w:ascii="Garamond" w:eastAsia="Garamond" w:hAnsi="Garamond"/>
        </w:rPr>
        <w:t>At this stage it is impractical to quantify the financial effects of this contingent liability.</w:t>
      </w:r>
    </w:p>
    <w:p w14:paraId="48952AAB" w14:textId="77777777" w:rsidR="00AB205D" w:rsidRPr="00596030" w:rsidRDefault="00471A3B" w:rsidP="00882944">
      <w:pPr>
        <w:pStyle w:val="Heading30"/>
        <w:spacing w:before="180"/>
      </w:pPr>
      <w:r w:rsidRPr="00596030">
        <w:t>COVID-19 related claim notifications</w:t>
      </w:r>
    </w:p>
    <w:p w14:paraId="1D92BF56" w14:textId="77777777" w:rsidR="00AB205D" w:rsidRPr="00146E74" w:rsidRDefault="00471A3B">
      <w:pPr>
        <w:rPr>
          <w:rFonts w:ascii="Garamond" w:eastAsia="Garamond" w:hAnsi="Garamond"/>
        </w:rPr>
      </w:pPr>
      <w:r w:rsidRPr="00146E74">
        <w:rPr>
          <w:rFonts w:ascii="Garamond" w:eastAsia="Garamond" w:hAnsi="Garamond"/>
        </w:rPr>
        <w:t>The Department of Transport and Planning has received and may receive notifications under the contractual agreements by the contractors in relation to the possible impact of COVID</w:t>
      </w:r>
      <w:r w:rsidRPr="00146E74">
        <w:rPr>
          <w:rFonts w:ascii="Garamond" w:eastAsia="Garamond" w:hAnsi="Garamond"/>
        </w:rPr>
        <w:noBreakHyphen/>
        <w:t xml:space="preserve">19 on a number of projects. Current and possible future claims cannot be reliably estimated at this stage, as quantifiable claims are still under review and/or have not yet been provided for under the contract. </w:t>
      </w:r>
    </w:p>
    <w:p w14:paraId="21C2F839" w14:textId="77777777" w:rsidR="00AB205D" w:rsidRPr="00146E74" w:rsidRDefault="00471A3B">
      <w:pPr>
        <w:rPr>
          <w:rFonts w:ascii="Garamond" w:eastAsia="Garamond" w:hAnsi="Garamond"/>
        </w:rPr>
      </w:pPr>
      <w:r w:rsidRPr="00146E74">
        <w:rPr>
          <w:rFonts w:ascii="Garamond" w:eastAsia="Garamond" w:hAnsi="Garamond"/>
        </w:rPr>
        <w:t>It is not possible to estimate the financial effect of these claims at the date of this report.</w:t>
      </w:r>
    </w:p>
    <w:p w14:paraId="4FB95C1A" w14:textId="77777777" w:rsidR="00AB205D" w:rsidRPr="00316FB2" w:rsidRDefault="00471A3B">
      <w:pPr>
        <w:pStyle w:val="Heading30"/>
        <w:pageBreakBefore/>
      </w:pPr>
      <w:r w:rsidRPr="00316FB2">
        <w:lastRenderedPageBreak/>
        <w:t>Department of Education</w:t>
      </w:r>
    </w:p>
    <w:p w14:paraId="150F3088" w14:textId="77777777" w:rsidR="00AB205D" w:rsidRDefault="00471A3B">
      <w:pPr>
        <w:pStyle w:val="NormalKeepWithNext"/>
      </w:pPr>
      <w:r>
        <w:t>The Department of Education has a number of non</w:t>
      </w:r>
      <w:r>
        <w:noBreakHyphen/>
        <w:t>quantifiable contingent liabilities, arising from indemnities provided by it, as follows:</w:t>
      </w:r>
    </w:p>
    <w:p w14:paraId="02C59825" w14:textId="77777777" w:rsidR="00AB205D" w:rsidRPr="00412CDC" w:rsidRDefault="00471A3B">
      <w:pPr>
        <w:pStyle w:val="ListBullet"/>
      </w:pPr>
      <w:bookmarkStart w:id="88" w:name="_Hlk115870697"/>
      <w:r w:rsidRPr="00412CDC">
        <w:t xml:space="preserve">Volunteer school workers and volunteer student workers: the </w:t>
      </w:r>
      <w:r w:rsidRPr="00412CDC">
        <w:rPr>
          <w:i/>
          <w:iCs/>
        </w:rPr>
        <w:t>Education and Training Reform Act 2006</w:t>
      </w:r>
      <w:r w:rsidRPr="00412CDC">
        <w:t xml:space="preserve"> provides indemnity for personal injuries or death (and at the discretion of the Minister, for property damage) suffered by volunteer school workers and volunteer student workers arising out of or in the course of engaging in school work or community work respectively.</w:t>
      </w:r>
    </w:p>
    <w:bookmarkEnd w:id="88"/>
    <w:p w14:paraId="716A6289" w14:textId="77777777" w:rsidR="00AB205D" w:rsidRPr="00412CDC" w:rsidRDefault="00471A3B">
      <w:pPr>
        <w:pStyle w:val="ListBullet"/>
      </w:pPr>
      <w:r w:rsidRPr="00412CDC">
        <w:t>Teaching service and public service employees: if a Department employee is named as a defendant in a civil proceeding (for example, personal injury, discrimination or employment claim), any costs and damages will generally be paid by the Department provided the employee was not under the influence of illicit drugs or alcohol or engaging in a criminal offence and the behaviour was not outrageous and was related to their employment.</w:t>
      </w:r>
    </w:p>
    <w:p w14:paraId="19530A39" w14:textId="77777777" w:rsidR="00AB205D" w:rsidRPr="00412CDC" w:rsidRDefault="00471A3B">
      <w:pPr>
        <w:pStyle w:val="ListBullet"/>
      </w:pPr>
      <w:r w:rsidRPr="00412CDC">
        <w:t xml:space="preserve">Board members: the </w:t>
      </w:r>
      <w:r w:rsidRPr="00412CDC">
        <w:rPr>
          <w:i/>
          <w:iCs/>
        </w:rPr>
        <w:t>Education and Training Reform Act 2006</w:t>
      </w:r>
      <w:r w:rsidRPr="00412CDC">
        <w:t xml:space="preserve"> requires the State to indemnify a member of a Merit Protection Board or a Disciplinary Appeals Board for anything done or omitted to be done in good faith in the exercise of a power or the discharge of their statutory duties.</w:t>
      </w:r>
    </w:p>
    <w:p w14:paraId="21BBFF35" w14:textId="77777777" w:rsidR="00AB205D" w:rsidRPr="00412CDC" w:rsidRDefault="00471A3B">
      <w:pPr>
        <w:pStyle w:val="ListBullet"/>
      </w:pPr>
      <w:r w:rsidRPr="00412CDC">
        <w:t xml:space="preserve">School councils: the </w:t>
      </w:r>
      <w:r w:rsidRPr="00412CDC">
        <w:rPr>
          <w:i/>
          <w:iCs/>
        </w:rPr>
        <w:t>Education and Training Reform Act 2006</w:t>
      </w:r>
      <w:r w:rsidRPr="00412CDC">
        <w:t xml:space="preserve"> requires the Department to indemnify individual members of school councils for any legal liability, whether in contract, negligence or defamation, if they acted in good faith and in the exercise of their powers or functions. The Department may decide to indemnify school councils (which are separate entities to the Department) in claims of common law negligence, employment disputes and other civil claims, for the cost of settlement and/or legal representation. The Department will take into account the impact of payment upon the school’s educational program and any insurance cover for the school council, and will likely indemnify if the Department is satisfied that: </w:t>
      </w:r>
    </w:p>
    <w:p w14:paraId="443A4735" w14:textId="77777777" w:rsidR="00AB205D" w:rsidRPr="00321FE3" w:rsidRDefault="00471A3B">
      <w:pPr>
        <w:pStyle w:val="ListBullet2"/>
      </w:pPr>
      <w:r w:rsidRPr="00321FE3">
        <w:t>the school council acted in good faith and according to issued guidelines and directions</w:t>
      </w:r>
    </w:p>
    <w:p w14:paraId="0ACA8384" w14:textId="77777777" w:rsidR="00AB205D" w:rsidRDefault="00471A3B">
      <w:pPr>
        <w:pStyle w:val="ListBullet2"/>
      </w:pPr>
      <w:r w:rsidRPr="00321FE3">
        <w:t>the school council has insufficient funds to pay the claim.</w:t>
      </w:r>
    </w:p>
    <w:p w14:paraId="16240877" w14:textId="77777777" w:rsidR="00AB205D" w:rsidRPr="00596030" w:rsidRDefault="00471A3B">
      <w:pPr>
        <w:pStyle w:val="Heading30"/>
      </w:pPr>
      <w:bookmarkStart w:id="89" w:name="_Hlk115871925"/>
      <w:r w:rsidRPr="00596030">
        <w:t>Firefighters’ Presumptive Rights Compensation and Fire Services Legislation Amendment (Reform) Act 2019</w:t>
      </w:r>
    </w:p>
    <w:bookmarkEnd w:id="89"/>
    <w:p w14:paraId="7F6588D4" w14:textId="77777777" w:rsidR="00AB205D" w:rsidRPr="000E63C6" w:rsidRDefault="00471A3B">
      <w:pPr>
        <w:spacing w:before="80"/>
        <w:rPr>
          <w:rFonts w:ascii="Garamond" w:eastAsia="Garamond" w:hAnsi="Garamond"/>
        </w:rPr>
      </w:pPr>
      <w:r w:rsidRPr="000E63C6">
        <w:rPr>
          <w:rFonts w:ascii="Garamond" w:eastAsia="Garamond" w:hAnsi="Garamond"/>
        </w:rPr>
        <w:t xml:space="preserve">The </w:t>
      </w:r>
      <w:r w:rsidRPr="000E63C6">
        <w:rPr>
          <w:rFonts w:ascii="Garamond" w:eastAsia="Garamond" w:hAnsi="Garamond"/>
          <w:i/>
          <w:iCs/>
        </w:rPr>
        <w:t>Firefighters’ Presumptive Rights Compensation and Fire Services Legislation Amendment (Reform) Act 2019</w:t>
      </w:r>
      <w:r w:rsidRPr="000E63C6">
        <w:rPr>
          <w:rFonts w:ascii="Garamond" w:eastAsia="Garamond" w:hAnsi="Garamond"/>
        </w:rPr>
        <w:t xml:space="preserve"> (the Act) was assented on 2 July 2019.</w:t>
      </w:r>
    </w:p>
    <w:p w14:paraId="753F37C8" w14:textId="77777777" w:rsidR="00AB205D" w:rsidRPr="000E63C6" w:rsidRDefault="00471A3B">
      <w:pPr>
        <w:spacing w:before="80"/>
        <w:rPr>
          <w:rFonts w:ascii="Garamond" w:eastAsia="Garamond" w:hAnsi="Garamond"/>
        </w:rPr>
      </w:pPr>
      <w:r w:rsidRPr="000E63C6">
        <w:rPr>
          <w:rFonts w:ascii="Garamond" w:eastAsia="Garamond" w:hAnsi="Garamond"/>
        </w:rPr>
        <w:t>Part 2 of the Act, which came into operation on 3 July 2019, provides for the establishment and operation of the Firefighters’ Presumptive Rights Compensation scheme for both career and volunteer firefighters. At the time of the preparation of this report, it is impractical to quantify any possible contingent liabilities for the State arising from the scheme.</w:t>
      </w:r>
    </w:p>
    <w:p w14:paraId="154BDCC9" w14:textId="77777777" w:rsidR="00AB205D" w:rsidRPr="00AA08A8" w:rsidRDefault="00471A3B">
      <w:pPr>
        <w:pStyle w:val="Heading30"/>
      </w:pPr>
      <w:r w:rsidRPr="00AA08A8">
        <w:lastRenderedPageBreak/>
        <w:t>Fiskville independent investigation and closure of training college</w:t>
      </w:r>
    </w:p>
    <w:p w14:paraId="1A61B881" w14:textId="77777777" w:rsidR="00AB205D" w:rsidRPr="00635DDF" w:rsidRDefault="00471A3B">
      <w:pPr>
        <w:spacing w:before="80"/>
        <w:rPr>
          <w:rFonts w:ascii="Garamond" w:eastAsia="Garamond" w:hAnsi="Garamond"/>
        </w:rPr>
      </w:pPr>
      <w:r w:rsidRPr="00635DDF">
        <w:rPr>
          <w:rFonts w:ascii="Garamond" w:eastAsia="Garamond" w:hAnsi="Garamond"/>
        </w:rPr>
        <w:t xml:space="preserve">On 26 March 2015, the Government announced the permanent closure of Fiskville Training College (Fiskville). Fiskville and Victorian Emergency Management Training Centre training grounds owned by the </w:t>
      </w:r>
      <w:r>
        <w:rPr>
          <w:rFonts w:ascii="Garamond" w:eastAsia="Garamond" w:hAnsi="Garamond"/>
        </w:rPr>
        <w:t>Country Fire Authority (</w:t>
      </w:r>
      <w:r w:rsidRPr="00635DDF">
        <w:rPr>
          <w:rFonts w:ascii="Garamond" w:eastAsia="Garamond" w:hAnsi="Garamond"/>
        </w:rPr>
        <w:t>CFA</w:t>
      </w:r>
      <w:r>
        <w:rPr>
          <w:rFonts w:ascii="Garamond" w:eastAsia="Garamond" w:hAnsi="Garamond"/>
        </w:rPr>
        <w:t>)</w:t>
      </w:r>
      <w:r w:rsidRPr="00635DDF">
        <w:rPr>
          <w:rFonts w:ascii="Garamond" w:eastAsia="Garamond" w:hAnsi="Garamond"/>
        </w:rPr>
        <w:t xml:space="preserve"> at Penshurst, Bangholme, West Sale, Wangaratta, Huntly and Longerenong have been the subject of notices issued by the Environment Protection Authority Victoria (EPA).</w:t>
      </w:r>
    </w:p>
    <w:p w14:paraId="31EFEA28" w14:textId="77777777" w:rsidR="00AB205D" w:rsidRPr="00635DDF" w:rsidRDefault="00471A3B">
      <w:pPr>
        <w:spacing w:before="80"/>
        <w:rPr>
          <w:rFonts w:ascii="Garamond" w:eastAsia="Garamond" w:hAnsi="Garamond"/>
        </w:rPr>
      </w:pPr>
      <w:r w:rsidRPr="00635DDF">
        <w:rPr>
          <w:rFonts w:ascii="Garamond" w:eastAsia="Garamond" w:hAnsi="Garamond"/>
        </w:rPr>
        <w:t>The CFA has a number of contingent liabilities arising from the closure of Fiskville and the notices issued by the EPA. These relate to any further notices that may be issued by the EPA, any regulatory infringements that may be imposed by the EPA, compensation that may be sought</w:t>
      </w:r>
      <w:r>
        <w:rPr>
          <w:rFonts w:ascii="Garamond" w:eastAsia="Garamond" w:hAnsi="Garamond"/>
        </w:rPr>
        <w:t>,</w:t>
      </w:r>
      <w:r w:rsidRPr="00635DDF">
        <w:rPr>
          <w:rFonts w:ascii="Garamond" w:eastAsia="Garamond" w:hAnsi="Garamond"/>
        </w:rPr>
        <w:t xml:space="preserve"> and any legal claims that may be made. </w:t>
      </w:r>
    </w:p>
    <w:p w14:paraId="5BF6CA56" w14:textId="77777777" w:rsidR="00AB205D" w:rsidRPr="00AE3417" w:rsidRDefault="00471A3B">
      <w:pPr>
        <w:spacing w:before="80"/>
        <w:rPr>
          <w:rFonts w:ascii="Garamond" w:eastAsia="Garamond" w:hAnsi="Garamond"/>
        </w:rPr>
      </w:pPr>
      <w:r w:rsidRPr="00635DDF">
        <w:rPr>
          <w:rFonts w:ascii="Garamond" w:eastAsia="Garamond" w:hAnsi="Garamond"/>
        </w:rPr>
        <w:t>At this stage it is impractical to quantify the financial effects of these contingent liabilities.</w:t>
      </w:r>
    </w:p>
    <w:p w14:paraId="25BD1BDC" w14:textId="77777777" w:rsidR="00AB205D" w:rsidRPr="00AA08A8" w:rsidRDefault="00471A3B">
      <w:pPr>
        <w:pStyle w:val="Heading30"/>
      </w:pPr>
      <w:r w:rsidRPr="00AA08A8">
        <w:t>Land remediation – Environmental concerns</w:t>
      </w:r>
    </w:p>
    <w:p w14:paraId="62E29FDC" w14:textId="77777777" w:rsidR="00AB205D" w:rsidRPr="00850C51" w:rsidRDefault="00471A3B">
      <w:pPr>
        <w:rPr>
          <w:rFonts w:ascii="Garamond" w:eastAsia="Garamond" w:hAnsi="Garamond"/>
        </w:rPr>
      </w:pPr>
      <w:r w:rsidRPr="00850C51">
        <w:rPr>
          <w:rFonts w:ascii="Garamond" w:eastAsia="Garamond" w:hAnsi="Garamond"/>
        </w:rPr>
        <w:t>In addition to properties for which remediation costs have been provided in the State’s financial statements, certain other properties have been identified as potentially contaminated sites. The State does not admit any liability in respect of these sites. However, remedial expenditure may be incurred to restore the sites to an acceptable environmental standard in the event contamination is identified.</w:t>
      </w:r>
    </w:p>
    <w:p w14:paraId="2B1BAC11" w14:textId="77777777" w:rsidR="00AB205D" w:rsidRPr="00AA08A8" w:rsidRDefault="00471A3B">
      <w:pPr>
        <w:pStyle w:val="Heading30"/>
      </w:pPr>
      <w:r w:rsidRPr="00AA08A8">
        <w:t>Native Title</w:t>
      </w:r>
    </w:p>
    <w:p w14:paraId="5FA4C64A" w14:textId="77777777" w:rsidR="00AB205D" w:rsidRPr="00DB7536" w:rsidRDefault="00471A3B">
      <w:pPr>
        <w:rPr>
          <w:rFonts w:ascii="Garamond" w:eastAsia="Garamond" w:hAnsi="Garamond"/>
        </w:rPr>
      </w:pPr>
      <w:r w:rsidRPr="00DB7536">
        <w:rPr>
          <w:rFonts w:ascii="Garamond" w:eastAsia="Garamond" w:hAnsi="Garamond"/>
        </w:rPr>
        <w:t xml:space="preserve">A number of claims have been filed in the Federal Court under the Commonwealth </w:t>
      </w:r>
      <w:r w:rsidRPr="00DB7536">
        <w:rPr>
          <w:rFonts w:ascii="Garamond" w:eastAsia="Garamond" w:hAnsi="Garamond"/>
          <w:i/>
          <w:iCs/>
        </w:rPr>
        <w:t>Native</w:t>
      </w:r>
      <w:r>
        <w:rPr>
          <w:rFonts w:ascii="Garamond" w:eastAsia="Garamond" w:hAnsi="Garamond"/>
          <w:i/>
          <w:iCs/>
        </w:rPr>
        <w:t> </w:t>
      </w:r>
      <w:r w:rsidRPr="00DB7536">
        <w:rPr>
          <w:rFonts w:ascii="Garamond" w:eastAsia="Garamond" w:hAnsi="Garamond"/>
          <w:i/>
          <w:iCs/>
        </w:rPr>
        <w:t>Title Act 1993</w:t>
      </w:r>
      <w:r w:rsidRPr="00DB7536">
        <w:rPr>
          <w:rFonts w:ascii="Garamond" w:eastAsia="Garamond" w:hAnsi="Garamond"/>
        </w:rPr>
        <w:t xml:space="preserve"> that affect Victoria. It is not feasible at this time to quantify any future liability.</w:t>
      </w:r>
    </w:p>
    <w:p w14:paraId="4F57F4FA" w14:textId="77777777" w:rsidR="00AB205D" w:rsidRPr="00AA08A8" w:rsidRDefault="00471A3B">
      <w:pPr>
        <w:pStyle w:val="Heading30"/>
      </w:pPr>
      <w:r w:rsidRPr="00AA08A8">
        <w:t>October 2022 flood event</w:t>
      </w:r>
    </w:p>
    <w:p w14:paraId="7C5DEA77" w14:textId="77777777" w:rsidR="00AB205D" w:rsidRDefault="00471A3B">
      <w:pPr>
        <w:rPr>
          <w:rFonts w:ascii="Garamond" w:eastAsia="Garamond" w:hAnsi="Garamond"/>
        </w:rPr>
      </w:pPr>
      <w:r w:rsidRPr="00415D4C">
        <w:rPr>
          <w:rFonts w:ascii="Garamond" w:eastAsia="Garamond" w:hAnsi="Garamond"/>
        </w:rPr>
        <w:t xml:space="preserve">In October 2022, Victoria experienced significant rainfall which caused a major widespread flood event, resulting in loss and damage to many homes, farms, properties, community assets, roads, local government infrastructure and other infrastructure. These impacts continue to be felt in many local government areas across regional Victoria and metropolitan Melbourne. The Victorian and Commonwealth governments are working cooperatively to implement relief and recovery initiatives to be cost shared under the Disaster Recovery Funding Arrangements (DRFA). The Victorian Government has also initiated a number of separate programs not eligible under the DRFA to support communities impacted by the flood event. </w:t>
      </w:r>
    </w:p>
    <w:p w14:paraId="39F8DAA8" w14:textId="77777777" w:rsidR="00AB205D" w:rsidRDefault="00471A3B">
      <w:r>
        <w:t>The State is insured by policies with the VMIA and may be able to recover certain costs that relate to flood repairs and recovery required to State owned assets and infrastructure through these policies.</w:t>
      </w:r>
    </w:p>
    <w:p w14:paraId="1AE92996" w14:textId="77777777" w:rsidR="00AB205D" w:rsidRPr="000E5061" w:rsidRDefault="00471A3B">
      <w:r>
        <w:t>At this stage it is not possible to accurately quantify the full financial effects of these events.</w:t>
      </w:r>
    </w:p>
    <w:p w14:paraId="7DED2F10" w14:textId="77777777" w:rsidR="00AB205D" w:rsidRDefault="00471A3B">
      <w:pPr>
        <w:pStyle w:val="Heading30"/>
      </w:pPr>
      <w:r>
        <w:lastRenderedPageBreak/>
        <w:t>Per-fluoroalkyl and poly-fluoroalkyl substances (known as PFAS)</w:t>
      </w:r>
    </w:p>
    <w:p w14:paraId="0F337546" w14:textId="77777777" w:rsidR="00AB205D" w:rsidRPr="003C620F" w:rsidRDefault="00471A3B">
      <w:pPr>
        <w:autoSpaceDE w:val="0"/>
        <w:autoSpaceDN w:val="0"/>
        <w:adjustRightInd w:val="0"/>
        <w:rPr>
          <w:rFonts w:ascii="Garamond" w:eastAsia="Garamond" w:hAnsi="Garamond"/>
        </w:rPr>
      </w:pPr>
      <w:r w:rsidRPr="003C620F">
        <w:rPr>
          <w:rFonts w:ascii="Garamond" w:eastAsia="Garamond" w:hAnsi="Garamond"/>
        </w:rPr>
        <w:t>Fire Rescue Victoria and the Country Fire Authority (State Fire Services) has determined that there are per-fluoroalkyl and poly-fluoroalkyl substances contamination at specific State Fire Service properties and adjoining surroundings. The State Fire Services continue to test for exposure across all sites and locations. Due to the ongoing complexities of each site and adjoining surroundings</w:t>
      </w:r>
      <w:r>
        <w:rPr>
          <w:rFonts w:ascii="Garamond" w:eastAsia="Garamond" w:hAnsi="Garamond"/>
        </w:rPr>
        <w:t>,</w:t>
      </w:r>
      <w:r w:rsidRPr="003C620F">
        <w:rPr>
          <w:rFonts w:ascii="Garamond" w:eastAsia="Garamond" w:hAnsi="Garamond"/>
        </w:rPr>
        <w:t xml:space="preserve"> together with the multiple stages of testing required to establish the degree of penetration, the State Fire Services are unable to estimate an underlying value for this liability. This is likely to include any remediation works which may be required to meet environmental and people health and safety obligations across all of the sites while this testing continues and a complete program of works to remediate related risks.</w:t>
      </w:r>
    </w:p>
    <w:p w14:paraId="4426A6AB" w14:textId="77777777" w:rsidR="00AB205D" w:rsidRPr="00AA08A8" w:rsidRDefault="00471A3B">
      <w:pPr>
        <w:pStyle w:val="Heading30"/>
      </w:pPr>
      <w:r w:rsidRPr="00AA08A8">
        <w:t>Planning scheme compensation</w:t>
      </w:r>
    </w:p>
    <w:p w14:paraId="19D4B65B" w14:textId="77777777" w:rsidR="00AB205D" w:rsidRPr="00506A9A" w:rsidRDefault="00471A3B">
      <w:pPr>
        <w:rPr>
          <w:rFonts w:ascii="Garamond" w:eastAsia="Garamond" w:hAnsi="Garamond"/>
        </w:rPr>
      </w:pPr>
      <w:r w:rsidRPr="00506A9A">
        <w:rPr>
          <w:rFonts w:ascii="Garamond" w:eastAsia="Garamond" w:hAnsi="Garamond"/>
        </w:rPr>
        <w:t xml:space="preserve">Under section 98 of the </w:t>
      </w:r>
      <w:r w:rsidRPr="00506A9A">
        <w:rPr>
          <w:rFonts w:ascii="Garamond" w:eastAsia="Garamond" w:hAnsi="Garamond"/>
          <w:i/>
        </w:rPr>
        <w:t>Planning and Environment Act 1987</w:t>
      </w:r>
      <w:r w:rsidRPr="00506A9A">
        <w:rPr>
          <w:rFonts w:ascii="Garamond" w:eastAsia="Garamond" w:hAnsi="Garamond"/>
        </w:rPr>
        <w:t xml:space="preserve">, the owner or occupier of any land may claim compensation from the planning authority for financial loss suffered as the natural, direct and reasonable consequence of the land being reserved, or declared as reserved for a public purpose under a planning scheme. </w:t>
      </w:r>
    </w:p>
    <w:p w14:paraId="1064786F" w14:textId="77777777" w:rsidR="00AB205D" w:rsidRPr="00506A9A" w:rsidRDefault="00471A3B">
      <w:pPr>
        <w:rPr>
          <w:rFonts w:ascii="Garamond" w:eastAsia="Garamond" w:hAnsi="Garamond"/>
        </w:rPr>
      </w:pPr>
      <w:r w:rsidRPr="00506A9A">
        <w:rPr>
          <w:rFonts w:ascii="Garamond" w:eastAsia="Garamond" w:hAnsi="Garamond"/>
        </w:rPr>
        <w:t>The future liability depends on a number of factors and cannot be reliably quantified.</w:t>
      </w:r>
    </w:p>
    <w:p w14:paraId="796CF6B7" w14:textId="77777777" w:rsidR="00AB205D" w:rsidRPr="00AA08A8" w:rsidRDefault="00471A3B">
      <w:pPr>
        <w:pStyle w:val="Heading30"/>
      </w:pPr>
      <w:r w:rsidRPr="00AA08A8">
        <w:t>Public acquisition overlays for the future development of rail and road</w:t>
      </w:r>
      <w:r w:rsidRPr="00316FB2">
        <w:t xml:space="preserve"> </w:t>
      </w:r>
      <w:r w:rsidRPr="00AA08A8">
        <w:t xml:space="preserve">infrastructure </w:t>
      </w:r>
    </w:p>
    <w:p w14:paraId="6441B3C1" w14:textId="77777777" w:rsidR="00AB205D" w:rsidRDefault="00471A3B">
      <w:pPr>
        <w:pStyle w:val="NormalKeepWithNext"/>
      </w:pPr>
      <w:r>
        <w:t xml:space="preserve">Public acquisition overlays are in place to reserve certain areas of land for future development of rail and road infrastructure. Under section 98 of the </w:t>
      </w:r>
      <w:r w:rsidRPr="005B6670">
        <w:rPr>
          <w:i/>
        </w:rPr>
        <w:t>Planning and Environment Act 1987</w:t>
      </w:r>
      <w:r>
        <w:t>, the State has a legislative responsibility to compensate eligible land and property owners who face either:</w:t>
      </w:r>
    </w:p>
    <w:p w14:paraId="4799D4E5" w14:textId="77777777" w:rsidR="00AB205D" w:rsidRPr="0020345D" w:rsidRDefault="00471A3B">
      <w:pPr>
        <w:pStyle w:val="ListBullet"/>
      </w:pPr>
      <w:r w:rsidRPr="0020345D">
        <w:t xml:space="preserve">loss on sale – </w:t>
      </w:r>
      <w:r w:rsidRPr="0075626B">
        <w:t>an eligible landowner is entitled to compensation for the incremental loss on sale when a property affected by a public acquisition overlay is sold for less than its market value</w:t>
      </w:r>
    </w:p>
    <w:p w14:paraId="7389309A" w14:textId="77777777" w:rsidR="00AB205D" w:rsidRPr="0020345D" w:rsidRDefault="00471A3B">
      <w:pPr>
        <w:pStyle w:val="ListBullet"/>
      </w:pPr>
      <w:r w:rsidRPr="0020345D">
        <w:t xml:space="preserve">financial loss – </w:t>
      </w:r>
      <w:r w:rsidRPr="0075626B">
        <w:t>the entitlement to financial loss compensation is triggered when a development permit is refused because the property is required for a public purpose.</w:t>
      </w:r>
    </w:p>
    <w:p w14:paraId="711A74DC" w14:textId="77777777" w:rsidR="00AB205D" w:rsidRDefault="00471A3B">
      <w:r>
        <w:t xml:space="preserve">Compensation and purchase claims occur as a result of claims by land-owners. The future liability depends on factors, including the number of claims received and the prevailing value of land at the time the claim is made. As a result, the liability cannot be reliably quantified. </w:t>
      </w:r>
    </w:p>
    <w:p w14:paraId="1F0211F0" w14:textId="77777777" w:rsidR="00AB205D" w:rsidRPr="00AA08A8" w:rsidRDefault="00471A3B">
      <w:pPr>
        <w:pStyle w:val="Heading30"/>
        <w:pageBreakBefore/>
      </w:pPr>
      <w:r w:rsidRPr="00AA08A8">
        <w:lastRenderedPageBreak/>
        <w:t>Public transport rail partnership agreements</w:t>
      </w:r>
    </w:p>
    <w:p w14:paraId="2D76DAF6" w14:textId="77777777" w:rsidR="00AB205D" w:rsidRDefault="00471A3B">
      <w:bookmarkStart w:id="90" w:name="_Hlk115874846"/>
      <w:r>
        <w:t>The Department of Transport and Planning (DTP) is party to contractual arrangements from 30 November 2017, with franchisees to operate across the state:</w:t>
      </w:r>
    </w:p>
    <w:bookmarkEnd w:id="90"/>
    <w:p w14:paraId="43BAE0BD" w14:textId="77777777" w:rsidR="00AB205D" w:rsidRPr="00C66664" w:rsidRDefault="00471A3B" w:rsidP="00570639">
      <w:pPr>
        <w:numPr>
          <w:ilvl w:val="0"/>
          <w:numId w:val="1"/>
        </w:numPr>
        <w:spacing w:before="60" w:after="60"/>
        <w:rPr>
          <w:rFonts w:ascii="Garamond" w:eastAsia="Garamond" w:hAnsi="Garamond"/>
        </w:rPr>
      </w:pPr>
      <w:r w:rsidRPr="00C66664">
        <w:rPr>
          <w:rFonts w:ascii="Garamond" w:eastAsia="Garamond" w:hAnsi="Garamond"/>
        </w:rPr>
        <w:t>metropolitan tram services until 1 December 2024</w:t>
      </w:r>
    </w:p>
    <w:p w14:paraId="734C9689" w14:textId="77777777" w:rsidR="00AB205D" w:rsidRPr="00C66664" w:rsidRDefault="00471A3B" w:rsidP="00570639">
      <w:pPr>
        <w:numPr>
          <w:ilvl w:val="0"/>
          <w:numId w:val="1"/>
        </w:numPr>
        <w:spacing w:before="60" w:after="60"/>
        <w:rPr>
          <w:rFonts w:ascii="Garamond" w:eastAsia="Garamond" w:hAnsi="Garamond"/>
        </w:rPr>
      </w:pPr>
      <w:r w:rsidRPr="00C66664">
        <w:rPr>
          <w:rFonts w:ascii="Garamond" w:eastAsia="Garamond" w:hAnsi="Garamond"/>
        </w:rPr>
        <w:t>metropolitan train services until 7 June 2026.</w:t>
      </w:r>
    </w:p>
    <w:p w14:paraId="5C380AD7" w14:textId="77777777" w:rsidR="00AB205D" w:rsidRPr="00C66664" w:rsidRDefault="00471A3B">
      <w:pPr>
        <w:keepNext/>
        <w:rPr>
          <w:rFonts w:ascii="Garamond" w:eastAsia="Garamond" w:hAnsi="Garamond"/>
        </w:rPr>
      </w:pPr>
      <w:r w:rsidRPr="00C66664">
        <w:rPr>
          <w:rFonts w:ascii="Garamond" w:eastAsia="Garamond" w:hAnsi="Garamond"/>
        </w:rPr>
        <w:t>The major contingent liabilities arising in the event of early termination or expiry of the contracts are:</w:t>
      </w:r>
    </w:p>
    <w:p w14:paraId="6D04CAB8" w14:textId="77777777" w:rsidR="00AB205D" w:rsidRPr="00C66664" w:rsidRDefault="00471A3B" w:rsidP="00570639">
      <w:pPr>
        <w:numPr>
          <w:ilvl w:val="0"/>
          <w:numId w:val="1"/>
        </w:numPr>
        <w:spacing w:before="60" w:after="60"/>
        <w:rPr>
          <w:rFonts w:ascii="Garamond" w:eastAsia="Garamond" w:hAnsi="Garamond"/>
        </w:rPr>
      </w:pPr>
      <w:r w:rsidRPr="00C66664">
        <w:rPr>
          <w:rFonts w:ascii="Garamond" w:eastAsia="Garamond" w:hAnsi="Garamond"/>
        </w:rPr>
        <w:t>partnership assets – to maintain continuity of services, at early termination or expiry of the franchise contract, assets will revert to DTP or a successor. In the case of some assets, a reversion back to DTP would entail those assets being purchased</w:t>
      </w:r>
    </w:p>
    <w:p w14:paraId="6BE1F545" w14:textId="77777777" w:rsidR="00AB205D" w:rsidRPr="00C66664" w:rsidRDefault="00471A3B" w:rsidP="00570639">
      <w:pPr>
        <w:numPr>
          <w:ilvl w:val="0"/>
          <w:numId w:val="1"/>
        </w:numPr>
        <w:spacing w:before="60" w:after="60"/>
        <w:rPr>
          <w:rFonts w:ascii="Garamond" w:eastAsia="Garamond" w:hAnsi="Garamond"/>
        </w:rPr>
      </w:pPr>
      <w:r w:rsidRPr="00C66664">
        <w:rPr>
          <w:rFonts w:ascii="Garamond" w:eastAsia="Garamond" w:hAnsi="Garamond"/>
        </w:rPr>
        <w:t xml:space="preserve">unfunded superannuation – at the early termination or expiry of the contract, DTP will assume any unfunded superannuation amounts (apart from contributions the operator is required to pay over the contract term) to the extent that the State becomes the successor operator. </w:t>
      </w:r>
    </w:p>
    <w:p w14:paraId="568B3ECB" w14:textId="77777777" w:rsidR="00AB205D" w:rsidRPr="00596030" w:rsidRDefault="00471A3B">
      <w:pPr>
        <w:pStyle w:val="Heading30"/>
      </w:pPr>
      <w:r w:rsidRPr="00596030">
        <w:t>Royal Commission into the Management of Police Informants</w:t>
      </w:r>
    </w:p>
    <w:p w14:paraId="36F4CCC9" w14:textId="77777777" w:rsidR="00AB205D" w:rsidRPr="006C3BFD" w:rsidRDefault="00471A3B">
      <w:pPr>
        <w:rPr>
          <w:rFonts w:ascii="Garamond" w:eastAsia="Garamond" w:hAnsi="Garamond"/>
        </w:rPr>
      </w:pPr>
      <w:r w:rsidRPr="006C3BFD">
        <w:rPr>
          <w:rFonts w:ascii="Garamond" w:eastAsia="Garamond" w:hAnsi="Garamond"/>
        </w:rPr>
        <w:t xml:space="preserve">Since the conclusion of the Royal Commission into the Management of Police Informants (RCMPI), the State of Victoria (Victoria Police) has been served with a number of civil claims. These civil claims and a number of Court of Appeal criminal matters as well as ongoing disclosure work by Victoria Police will likely dictate whether further claims are received. </w:t>
      </w:r>
    </w:p>
    <w:p w14:paraId="68610918" w14:textId="77777777" w:rsidR="00AB205D" w:rsidRPr="006C3BFD" w:rsidRDefault="00471A3B">
      <w:pPr>
        <w:rPr>
          <w:rFonts w:ascii="Garamond" w:eastAsia="Garamond" w:hAnsi="Garamond"/>
        </w:rPr>
      </w:pPr>
      <w:r w:rsidRPr="006C3BFD">
        <w:rPr>
          <w:rFonts w:ascii="Garamond" w:eastAsia="Garamond" w:hAnsi="Garamond"/>
        </w:rPr>
        <w:t>Given those circumstances it is not possible to reliably quantify any contingent liabilities relating to potential matters arising from the conduct explored by the RCMPI.</w:t>
      </w:r>
    </w:p>
    <w:p w14:paraId="6DA6C1E5" w14:textId="77777777" w:rsidR="00AB205D" w:rsidRPr="001A2FAA" w:rsidRDefault="00471A3B">
      <w:pPr>
        <w:pStyle w:val="Heading30"/>
      </w:pPr>
      <w:r w:rsidRPr="001A2FAA">
        <w:t>Royal Melbourne Showgrounds redevelopment</w:t>
      </w:r>
    </w:p>
    <w:p w14:paraId="316968C6" w14:textId="77777777" w:rsidR="00AB205D" w:rsidRPr="009A5DCA" w:rsidRDefault="00471A3B">
      <w:pPr>
        <w:rPr>
          <w:rFonts w:ascii="Garamond" w:eastAsia="Garamond" w:hAnsi="Garamond"/>
        </w:rPr>
      </w:pPr>
      <w:r w:rsidRPr="009A5DCA">
        <w:rPr>
          <w:rFonts w:ascii="Garamond" w:eastAsia="Garamond" w:hAnsi="Garamond"/>
        </w:rPr>
        <w:t>The State has entered into an agreement with the Royal Agricultural Society of Victoria (RASV) pursuant to which the State agrees to support certain payment obligations of RASV that may arise under the Non-Core Development Agreement subject to the RASV complying with certain obligations as set out in that Deed.</w:t>
      </w:r>
    </w:p>
    <w:p w14:paraId="33E55410" w14:textId="77777777" w:rsidR="00AB205D" w:rsidRPr="00B156C1" w:rsidRDefault="00471A3B">
      <w:pPr>
        <w:pStyle w:val="Heading30"/>
        <w:rPr>
          <w:i/>
          <w:iCs/>
        </w:rPr>
      </w:pPr>
      <w:r w:rsidRPr="00B156C1">
        <w:t xml:space="preserve">Southern Cross Station </w:t>
      </w:r>
      <w:r>
        <w:t>t</w:t>
      </w:r>
      <w:r w:rsidRPr="00B156C1">
        <w:t xml:space="preserve">arget </w:t>
      </w:r>
      <w:r>
        <w:t>c</w:t>
      </w:r>
      <w:r w:rsidRPr="00B156C1">
        <w:t xml:space="preserve">apacity </w:t>
      </w:r>
      <w:r>
        <w:t>t</w:t>
      </w:r>
      <w:r w:rsidRPr="00B156C1">
        <w:t xml:space="preserve">hreshold </w:t>
      </w:r>
    </w:p>
    <w:p w14:paraId="7FD6C55F" w14:textId="77777777" w:rsidR="00AB205D" w:rsidRPr="006872E0" w:rsidRDefault="00471A3B">
      <w:pPr>
        <w:rPr>
          <w:rFonts w:ascii="Garamond" w:eastAsia="Garamond" w:hAnsi="Garamond"/>
        </w:rPr>
      </w:pPr>
      <w:r w:rsidRPr="006872E0">
        <w:rPr>
          <w:rFonts w:ascii="Garamond" w:eastAsia="Garamond" w:hAnsi="Garamond"/>
        </w:rPr>
        <w:t>The State has a possible liability relating to a claim from a contractor responsible for operating and maintaining Southern Cross Station. The claim relates to patronage levels at the station and the contract provides a process to assess whether modifications to the station, compensation to the contractor or changes to the service standards are required. The claim is being considered and the financial effect is yet to be determined.</w:t>
      </w:r>
    </w:p>
    <w:p w14:paraId="6D5ECC5D" w14:textId="77777777" w:rsidR="00AB205D" w:rsidRPr="001A2FAA" w:rsidRDefault="00471A3B">
      <w:pPr>
        <w:pStyle w:val="Heading30"/>
        <w:pageBreakBefore/>
        <w:rPr>
          <w:i/>
          <w:iCs/>
        </w:rPr>
      </w:pPr>
      <w:r w:rsidRPr="001A2FAA">
        <w:lastRenderedPageBreak/>
        <w:t>Victorian Managed Insurance Authority – Insurance cover</w:t>
      </w:r>
    </w:p>
    <w:p w14:paraId="68D2F98E" w14:textId="77777777" w:rsidR="00AB205D" w:rsidRPr="007A4735" w:rsidRDefault="00471A3B">
      <w:pPr>
        <w:rPr>
          <w:rFonts w:ascii="Garamond" w:eastAsia="Garamond" w:hAnsi="Garamond"/>
        </w:rPr>
      </w:pPr>
      <w:bookmarkStart w:id="91" w:name="_Hlk111715041"/>
      <w:r w:rsidRPr="007A4735">
        <w:rPr>
          <w:rFonts w:ascii="Garamond" w:eastAsia="Garamond" w:hAnsi="Garamond"/>
        </w:rPr>
        <w:t xml:space="preserve">The VMIA was established in 1996 as an insurer for state government departments, participating bodies as defined under the </w:t>
      </w:r>
      <w:r w:rsidRPr="007A4735">
        <w:rPr>
          <w:rFonts w:ascii="Garamond" w:eastAsia="Garamond" w:hAnsi="Garamond"/>
          <w:i/>
        </w:rPr>
        <w:t>Victorian Managed Insurance Authority Act 1996</w:t>
      </w:r>
      <w:r w:rsidRPr="007A4735">
        <w:rPr>
          <w:rFonts w:ascii="Garamond" w:eastAsia="Garamond" w:hAnsi="Garamond"/>
        </w:rPr>
        <w:t xml:space="preserve"> and other entities as declared by the Minister. The VMIA insures its clients for property, public and products liability, professional indemnity, medical indemnity, contract works and a range of other insurances. The VMIA also provides domestic building insurance to Victorian residential builders.</w:t>
      </w:r>
    </w:p>
    <w:p w14:paraId="00BC9A7A" w14:textId="77777777" w:rsidR="00AB205D" w:rsidRDefault="00471A3B">
      <w:r>
        <w:t xml:space="preserve">The VMIA reinsures in the private market based on the likelihood and impact of events as well as the cost and availability of such cover. The risk of losses above what the VMIA reinsures in the private market is borne by the State. </w:t>
      </w:r>
    </w:p>
    <w:bookmarkEnd w:id="91"/>
    <w:p w14:paraId="5E7EDE49" w14:textId="77777777" w:rsidR="00AB205D" w:rsidRPr="005065DC" w:rsidRDefault="00471A3B">
      <w:pPr>
        <w:rPr>
          <w:rFonts w:ascii="Garamond" w:eastAsia="Garamond" w:hAnsi="Garamond"/>
        </w:rPr>
      </w:pPr>
      <w:r w:rsidRPr="005065DC">
        <w:rPr>
          <w:rFonts w:ascii="Garamond" w:eastAsia="Garamond" w:hAnsi="Garamond"/>
        </w:rPr>
        <w:t>The State, under separate deeds of indemnity, has agreed to reimburse the VMIA:</w:t>
      </w:r>
    </w:p>
    <w:p w14:paraId="4422778E" w14:textId="77777777" w:rsidR="00AB205D" w:rsidRPr="005065DC" w:rsidRDefault="00471A3B" w:rsidP="00570639">
      <w:pPr>
        <w:numPr>
          <w:ilvl w:val="0"/>
          <w:numId w:val="1"/>
        </w:numPr>
        <w:spacing w:before="60" w:after="60"/>
        <w:rPr>
          <w:rFonts w:ascii="Garamond" w:eastAsia="Garamond" w:hAnsi="Garamond"/>
        </w:rPr>
      </w:pPr>
      <w:r w:rsidRPr="005065DC">
        <w:rPr>
          <w:rFonts w:ascii="Garamond" w:eastAsia="Garamond" w:hAnsi="Garamond"/>
        </w:rPr>
        <w:t>if the costs of public sector medical indemnity claims for a policy year exceed the initial estimate, on which the risk premium was based by more than 20 per cent</w:t>
      </w:r>
    </w:p>
    <w:p w14:paraId="79514A24" w14:textId="77777777" w:rsidR="00AB205D" w:rsidRPr="005065DC" w:rsidRDefault="00471A3B" w:rsidP="00570639">
      <w:pPr>
        <w:numPr>
          <w:ilvl w:val="0"/>
          <w:numId w:val="1"/>
        </w:numPr>
        <w:spacing w:before="60" w:after="60"/>
        <w:rPr>
          <w:rFonts w:ascii="Garamond" w:eastAsia="Garamond" w:hAnsi="Garamond"/>
        </w:rPr>
      </w:pPr>
      <w:r w:rsidRPr="005065DC">
        <w:rPr>
          <w:rFonts w:ascii="Garamond" w:eastAsia="Garamond" w:hAnsi="Garamond"/>
        </w:rPr>
        <w:t>for losses above a certain limit that the VMIA may incur due to changes in the availability of reinsurance.</w:t>
      </w:r>
    </w:p>
    <w:p w14:paraId="3E9632D3" w14:textId="77777777" w:rsidR="00AB205D" w:rsidRPr="00FB185C" w:rsidRDefault="00471A3B">
      <w:pPr>
        <w:pStyle w:val="Heading30"/>
        <w:rPr>
          <w:i/>
          <w:iCs/>
        </w:rPr>
      </w:pPr>
      <w:r w:rsidRPr="00FB185C">
        <w:t>Yallourn Power Station safety net</w:t>
      </w:r>
    </w:p>
    <w:p w14:paraId="2328AA49" w14:textId="77777777" w:rsidR="00AB205D" w:rsidRPr="00992B62" w:rsidRDefault="00471A3B">
      <w:pPr>
        <w:rPr>
          <w:rFonts w:ascii="Garamond" w:eastAsia="Garamond" w:hAnsi="Garamond"/>
        </w:rPr>
      </w:pPr>
      <w:r w:rsidRPr="00992B62">
        <w:rPr>
          <w:rFonts w:ascii="Garamond" w:eastAsia="Garamond" w:hAnsi="Garamond"/>
        </w:rPr>
        <w:t>The Government has reached an agreement with EnergyAustralia (EA) to ensure an orderly transition as EA implements the closure of the Yallourn Power Station in June</w:t>
      </w:r>
      <w:r>
        <w:rPr>
          <w:rFonts w:ascii="Garamond" w:eastAsia="Garamond" w:hAnsi="Garamond"/>
        </w:rPr>
        <w:t> </w:t>
      </w:r>
      <w:r w:rsidRPr="00992B62">
        <w:rPr>
          <w:rFonts w:ascii="Garamond" w:eastAsia="Garamond" w:hAnsi="Garamond"/>
        </w:rPr>
        <w:t xml:space="preserve">2028. </w:t>
      </w:r>
    </w:p>
    <w:p w14:paraId="6A197FFE" w14:textId="77777777" w:rsidR="00AB205D" w:rsidRPr="00992B62" w:rsidRDefault="00471A3B">
      <w:pPr>
        <w:rPr>
          <w:rFonts w:ascii="Garamond" w:eastAsia="Garamond" w:hAnsi="Garamond"/>
        </w:rPr>
      </w:pPr>
      <w:r w:rsidRPr="00992B62">
        <w:rPr>
          <w:rFonts w:ascii="Garamond" w:eastAsia="Garamond" w:hAnsi="Garamond"/>
        </w:rPr>
        <w:t xml:space="preserve">The agreement includes, should it be needed, a safety net to avoid an unplanned exit of Yallourn. </w:t>
      </w:r>
    </w:p>
    <w:p w14:paraId="6F502C6E" w14:textId="77777777" w:rsidR="00AB205D" w:rsidRPr="00992B62" w:rsidRDefault="00471A3B">
      <w:pPr>
        <w:rPr>
          <w:rFonts w:ascii="Garamond" w:eastAsia="Garamond" w:hAnsi="Garamond"/>
        </w:rPr>
      </w:pPr>
      <w:r w:rsidRPr="00992B62">
        <w:rPr>
          <w:rFonts w:ascii="Garamond" w:eastAsia="Garamond" w:hAnsi="Garamond"/>
        </w:rPr>
        <w:t>As part of this safety net, under certain scenarios, the State agrees to provide partial support to EA in the event of exceptional costs incurred in the operation of the Yallourn Power Station.</w:t>
      </w:r>
    </w:p>
    <w:p w14:paraId="71C56D25" w14:textId="77777777" w:rsidR="00AB205D" w:rsidRPr="00992B62" w:rsidRDefault="00471A3B">
      <w:pPr>
        <w:rPr>
          <w:rFonts w:ascii="Garamond" w:eastAsia="Garamond" w:hAnsi="Garamond"/>
        </w:rPr>
      </w:pPr>
      <w:r w:rsidRPr="00992B62">
        <w:rPr>
          <w:rFonts w:ascii="Garamond" w:eastAsia="Garamond" w:hAnsi="Garamond"/>
        </w:rPr>
        <w:t xml:space="preserve">This support will help to ensure Yallourn’s workers and Victoria’s energy system have sufficient time to plan for the plant’s closure. The possible liability depends on a number of future events and cannot be reliably and readily quantified. </w:t>
      </w:r>
    </w:p>
    <w:p w14:paraId="3DF927F1" w14:textId="77777777" w:rsidR="00B84BA2" w:rsidRPr="002124FD" w:rsidRDefault="00B84BA2"/>
    <w:p w14:paraId="4A07E4E4" w14:textId="77777777" w:rsidR="00341416" w:rsidRDefault="00341416" w:rsidP="00341416">
      <w:pPr>
        <w:keepLines w:val="0"/>
      </w:pPr>
    </w:p>
    <w:p w14:paraId="2BE4EC60" w14:textId="77777777" w:rsidR="00341416" w:rsidRDefault="00341416" w:rsidP="00341416">
      <w:pPr>
        <w:sectPr w:rsidR="00341416" w:rsidSect="00570639">
          <w:headerReference w:type="default" r:id="rId110"/>
          <w:footerReference w:type="even" r:id="rId111"/>
          <w:footerReference w:type="default" r:id="rId112"/>
          <w:headerReference w:type="first" r:id="rId113"/>
          <w:pgSz w:w="9979" w:h="14175" w:code="34"/>
          <w:pgMar w:top="1134" w:right="1134" w:bottom="1134" w:left="1134" w:header="624" w:footer="567" w:gutter="0"/>
          <w:cols w:space="708"/>
          <w:docGrid w:linePitch="360"/>
        </w:sectPr>
      </w:pPr>
    </w:p>
    <w:p w14:paraId="4E8DE4EC" w14:textId="77777777" w:rsidR="00AB205D" w:rsidRDefault="00471A3B">
      <w:pPr>
        <w:pStyle w:val="ChapterHeading"/>
      </w:pPr>
      <w:bookmarkStart w:id="92" w:name="_Toc9342174"/>
      <w:bookmarkStart w:id="93" w:name="_Toc71814108"/>
      <w:bookmarkStart w:id="94" w:name="_Toc152933042"/>
      <w:bookmarkStart w:id="95" w:name="_Toc512435576"/>
      <w:r w:rsidRPr="00C972C5">
        <w:lastRenderedPageBreak/>
        <w:t>A</w:t>
      </w:r>
      <w:r>
        <w:t>p</w:t>
      </w:r>
      <w:r w:rsidRPr="00C972C5">
        <w:t>pendix</w:t>
      </w:r>
      <w:r>
        <w:t xml:space="preserve"> A – </w:t>
      </w:r>
      <w:r w:rsidRPr="005568F8">
        <w:t>Specific policy initiatives affecting the budget position</w:t>
      </w:r>
      <w:bookmarkEnd w:id="92"/>
      <w:bookmarkEnd w:id="93"/>
      <w:bookmarkEnd w:id="94"/>
    </w:p>
    <w:p w14:paraId="3494074E" w14:textId="77777777" w:rsidR="00AB205D" w:rsidRDefault="00471A3B">
      <w:r>
        <w:t xml:space="preserve">Appendix A outlines specific policy initiatives that affect outputs and assets, including Treasurer’s Advances, agreed by the Government since the </w:t>
      </w:r>
      <w:r w:rsidRPr="0083184F">
        <w:rPr>
          <w:i/>
          <w:iCs/>
        </w:rPr>
        <w:t>202</w:t>
      </w:r>
      <w:r>
        <w:rPr>
          <w:i/>
          <w:iCs/>
        </w:rPr>
        <w:t>3</w:t>
      </w:r>
      <w:r>
        <w:rPr>
          <w:i/>
          <w:iCs/>
        </w:rPr>
        <w:noBreakHyphen/>
      </w:r>
      <w:r w:rsidRPr="0083184F">
        <w:rPr>
          <w:i/>
          <w:iCs/>
        </w:rPr>
        <w:t>2</w:t>
      </w:r>
      <w:r>
        <w:rPr>
          <w:i/>
          <w:iCs/>
        </w:rPr>
        <w:t>4</w:t>
      </w:r>
      <w:r w:rsidRPr="0083184F">
        <w:rPr>
          <w:i/>
          <w:iCs/>
        </w:rPr>
        <w:t xml:space="preserve"> Budget</w:t>
      </w:r>
      <w:r>
        <w:t>.</w:t>
      </w:r>
    </w:p>
    <w:p w14:paraId="2DE8FF72" w14:textId="77777777" w:rsidR="00AB205D" w:rsidRDefault="00471A3B">
      <w:r>
        <w:t>The following tables provide details of:</w:t>
      </w:r>
    </w:p>
    <w:p w14:paraId="5E9C9686" w14:textId="77777777" w:rsidR="00AB205D" w:rsidRDefault="00471A3B">
      <w:pPr>
        <w:pStyle w:val="ListBullet"/>
      </w:pPr>
      <w:r>
        <w:t>revenue initiatives</w:t>
      </w:r>
    </w:p>
    <w:p w14:paraId="384771EA" w14:textId="77777777" w:rsidR="00AB205D" w:rsidRDefault="00471A3B">
      <w:pPr>
        <w:pStyle w:val="ListBullet"/>
      </w:pPr>
      <w:r>
        <w:t>output and asset initiatives for departments.</w:t>
      </w:r>
    </w:p>
    <w:p w14:paraId="27E9F2AE" w14:textId="77777777" w:rsidR="00AB205D" w:rsidRDefault="00471A3B">
      <w:r>
        <w:t>Appendix A also includes a cross reference between initiatives and their relevant departmental outputs, which indicates the impact of policy decisions on relevant portfolios.</w:t>
      </w:r>
    </w:p>
    <w:p w14:paraId="550FBA6D" w14:textId="77777777" w:rsidR="00AB205D" w:rsidRDefault="00471A3B">
      <w:r>
        <w:t>The figures included are generally the gross costs of decisions. Funding from reprioritisation and other sources has not been deducted from the total cost of new initiatives.</w:t>
      </w:r>
    </w:p>
    <w:p w14:paraId="576FD0CC" w14:textId="77777777" w:rsidR="00AB205D" w:rsidRPr="00D45697" w:rsidRDefault="00471A3B">
      <w:pPr>
        <w:pStyle w:val="Heading10"/>
        <w:pageBreakBefore/>
      </w:pPr>
      <w:bookmarkStart w:id="96" w:name="_Toc71814122"/>
      <w:bookmarkStart w:id="97" w:name="_Toc89418966"/>
      <w:bookmarkStart w:id="98" w:name="_Toc89419190"/>
      <w:bookmarkStart w:id="99" w:name="_Toc89420148"/>
      <w:bookmarkStart w:id="100" w:name="_Toc89423388"/>
      <w:bookmarkStart w:id="101" w:name="_Toc89423597"/>
      <w:bookmarkStart w:id="102" w:name="_Toc152933043"/>
      <w:bookmarkStart w:id="103" w:name="_Toc71814109"/>
      <w:bookmarkEnd w:id="95"/>
      <w:r>
        <w:lastRenderedPageBreak/>
        <w:t xml:space="preserve">Revenue </w:t>
      </w:r>
      <w:r w:rsidRPr="00D45697">
        <w:t>initiatives</w:t>
      </w:r>
      <w:bookmarkEnd w:id="96"/>
      <w:bookmarkEnd w:id="97"/>
      <w:bookmarkEnd w:id="98"/>
      <w:bookmarkEnd w:id="99"/>
      <w:bookmarkEnd w:id="100"/>
      <w:bookmarkEnd w:id="101"/>
      <w:bookmarkEnd w:id="102"/>
    </w:p>
    <w:p w14:paraId="77A9FCD8" w14:textId="77777777" w:rsidR="00AB205D" w:rsidRDefault="00471A3B">
      <w:pPr>
        <w:pStyle w:val="TableHeading"/>
      </w:pPr>
      <w:r>
        <w:t>Table A.1:</w:t>
      </w:r>
      <w:r>
        <w:tab/>
        <w:t>Revenue initiatives</w:t>
      </w:r>
      <w:r>
        <w:tab/>
        <w:t>($ million)</w:t>
      </w:r>
      <w:bookmarkStart w:id="104" w:name="_Toc71814111"/>
      <w:bookmarkStart w:id="105" w:name="_Toc89418967"/>
      <w:bookmarkStart w:id="106" w:name="_Toc89419191"/>
      <w:bookmarkStart w:id="107" w:name="_Toc89420149"/>
      <w:bookmarkStart w:id="108" w:name="_Toc89423389"/>
      <w:bookmarkStart w:id="109" w:name="_Toc89423598"/>
      <w:bookmarkEnd w:id="103"/>
    </w:p>
    <w:tbl>
      <w:tblPr>
        <w:tblStyle w:val="DTFTableNumeric"/>
        <w:tblW w:w="7710" w:type="dxa"/>
        <w:tblLayout w:type="fixed"/>
        <w:tblLook w:val="06A0" w:firstRow="1" w:lastRow="0" w:firstColumn="1" w:lastColumn="0" w:noHBand="1" w:noVBand="1"/>
        <w:tblDescription w:val="Type:DtfTable|Workbook:https://vicgov.sharepoint.com/sites/VG002735/Budget%20Update/Appendix%20A/Appendix%20A.xlsx|Table:Revenue_Output"/>
      </w:tblPr>
      <w:tblGrid>
        <w:gridCol w:w="4534"/>
        <w:gridCol w:w="794"/>
        <w:gridCol w:w="794"/>
        <w:gridCol w:w="794"/>
        <w:gridCol w:w="794"/>
      </w:tblGrid>
      <w:tr w:rsidR="009C6724" w14:paraId="539BC391"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4" w:type="dxa"/>
          </w:tcPr>
          <w:p w14:paraId="4F55E966" w14:textId="77777777" w:rsidR="00AB205D" w:rsidRDefault="00AB205D">
            <w:pPr>
              <w:keepNext/>
            </w:pPr>
          </w:p>
        </w:tc>
        <w:tc>
          <w:tcPr>
            <w:tcW w:w="794" w:type="dxa"/>
          </w:tcPr>
          <w:p w14:paraId="2DE7BC82"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2E378186"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2270B14C"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p>
        </w:tc>
        <w:tc>
          <w:tcPr>
            <w:tcW w:w="794" w:type="dxa"/>
          </w:tcPr>
          <w:p w14:paraId="584E6C40"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p>
        </w:tc>
      </w:tr>
      <w:tr w:rsidR="009C6724" w14:paraId="4FEDCDD4"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19AA763B" w14:textId="5F8A4F85" w:rsidR="00AB205D" w:rsidRDefault="00471A3B">
            <w:r>
              <w:rPr>
                <w:b/>
              </w:rPr>
              <w:t xml:space="preserve">Revenue </w:t>
            </w:r>
            <w:r w:rsidR="00882944">
              <w:rPr>
                <w:b/>
              </w:rPr>
              <w:t>initiatives</w:t>
            </w:r>
          </w:p>
        </w:tc>
        <w:tc>
          <w:tcPr>
            <w:tcW w:w="794" w:type="dxa"/>
          </w:tcPr>
          <w:p w14:paraId="3B868622"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2D491E1"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1FED422D"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6C107F3A"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365158B5"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bottom w:val="single" w:sz="6" w:space="0" w:color="auto"/>
            </w:tcBorders>
          </w:tcPr>
          <w:p w14:paraId="70FE1E4C" w14:textId="77777777" w:rsidR="00AB205D" w:rsidRDefault="00471A3B">
            <w:r>
              <w:t>Reforms to the Vacant Residential Land Tax</w:t>
            </w:r>
          </w:p>
        </w:tc>
        <w:tc>
          <w:tcPr>
            <w:tcW w:w="794" w:type="dxa"/>
            <w:tcBorders>
              <w:bottom w:val="single" w:sz="6" w:space="0" w:color="auto"/>
            </w:tcBorders>
          </w:tcPr>
          <w:p w14:paraId="5FDD331B"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43FE896C" w14:textId="77777777" w:rsidR="00AB205D" w:rsidRDefault="00471A3B">
            <w:pPr>
              <w:cnfStyle w:val="000000000000" w:firstRow="0" w:lastRow="0" w:firstColumn="0" w:lastColumn="0" w:oddVBand="0" w:evenVBand="0" w:oddHBand="0" w:evenHBand="0" w:firstRowFirstColumn="0" w:firstRowLastColumn="0" w:lastRowFirstColumn="0" w:lastRowLastColumn="0"/>
            </w:pPr>
            <w:r>
              <w:t>6.0</w:t>
            </w:r>
          </w:p>
        </w:tc>
        <w:tc>
          <w:tcPr>
            <w:tcW w:w="794" w:type="dxa"/>
            <w:tcBorders>
              <w:bottom w:val="single" w:sz="6" w:space="0" w:color="auto"/>
            </w:tcBorders>
          </w:tcPr>
          <w:p w14:paraId="16EABC51" w14:textId="77777777" w:rsidR="00AB205D" w:rsidRDefault="00471A3B">
            <w:pPr>
              <w:cnfStyle w:val="000000000000" w:firstRow="0" w:lastRow="0" w:firstColumn="0" w:lastColumn="0" w:oddVBand="0" w:evenVBand="0" w:oddHBand="0" w:evenHBand="0" w:firstRowFirstColumn="0" w:firstRowLastColumn="0" w:lastRowFirstColumn="0" w:lastRowLastColumn="0"/>
            </w:pPr>
            <w:r>
              <w:t>36.0</w:t>
            </w:r>
          </w:p>
        </w:tc>
        <w:tc>
          <w:tcPr>
            <w:tcW w:w="794" w:type="dxa"/>
            <w:tcBorders>
              <w:bottom w:val="single" w:sz="6" w:space="0" w:color="auto"/>
            </w:tcBorders>
          </w:tcPr>
          <w:p w14:paraId="46473F39" w14:textId="77777777" w:rsidR="00AB205D" w:rsidRDefault="00471A3B">
            <w:pPr>
              <w:cnfStyle w:val="000000000000" w:firstRow="0" w:lastRow="0" w:firstColumn="0" w:lastColumn="0" w:oddVBand="0" w:evenVBand="0" w:oddHBand="0" w:evenHBand="0" w:firstRowFirstColumn="0" w:firstRowLastColumn="0" w:lastRowFirstColumn="0" w:lastRowLastColumn="0"/>
            </w:pPr>
            <w:r>
              <w:t>36.0</w:t>
            </w:r>
          </w:p>
        </w:tc>
      </w:tr>
      <w:tr w:rsidR="009C6724" w14:paraId="5930A85D"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bottom w:val="single" w:sz="12" w:space="0" w:color="auto"/>
            </w:tcBorders>
          </w:tcPr>
          <w:p w14:paraId="69C4D9EA" w14:textId="77777777" w:rsidR="00AB205D" w:rsidRDefault="00471A3B">
            <w:r>
              <w:rPr>
                <w:b/>
              </w:rPr>
              <w:t>Total revenue initiatives</w:t>
            </w:r>
          </w:p>
        </w:tc>
        <w:tc>
          <w:tcPr>
            <w:tcW w:w="794" w:type="dxa"/>
            <w:tcBorders>
              <w:top w:val="single" w:sz="6" w:space="0" w:color="auto"/>
              <w:bottom w:val="single" w:sz="12" w:space="0" w:color="auto"/>
            </w:tcBorders>
          </w:tcPr>
          <w:p w14:paraId="3FE8CEC2"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w:t>
            </w:r>
          </w:p>
        </w:tc>
        <w:tc>
          <w:tcPr>
            <w:tcW w:w="794" w:type="dxa"/>
            <w:tcBorders>
              <w:top w:val="single" w:sz="6" w:space="0" w:color="auto"/>
              <w:bottom w:val="single" w:sz="12" w:space="0" w:color="auto"/>
            </w:tcBorders>
          </w:tcPr>
          <w:p w14:paraId="6150BFC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6.0</w:t>
            </w:r>
          </w:p>
        </w:tc>
        <w:tc>
          <w:tcPr>
            <w:tcW w:w="794" w:type="dxa"/>
            <w:tcBorders>
              <w:top w:val="single" w:sz="6" w:space="0" w:color="auto"/>
              <w:bottom w:val="single" w:sz="12" w:space="0" w:color="auto"/>
            </w:tcBorders>
          </w:tcPr>
          <w:p w14:paraId="71D9B37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36.0</w:t>
            </w:r>
          </w:p>
        </w:tc>
        <w:tc>
          <w:tcPr>
            <w:tcW w:w="794" w:type="dxa"/>
            <w:tcBorders>
              <w:top w:val="single" w:sz="6" w:space="0" w:color="auto"/>
              <w:bottom w:val="single" w:sz="12" w:space="0" w:color="auto"/>
            </w:tcBorders>
          </w:tcPr>
          <w:p w14:paraId="47C7DB3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36.0</w:t>
            </w:r>
          </w:p>
        </w:tc>
      </w:tr>
    </w:tbl>
    <w:p w14:paraId="3AB7CF27" w14:textId="77777777" w:rsidR="00AB205D" w:rsidRDefault="00471A3B">
      <w:pPr>
        <w:pStyle w:val="Heading4"/>
      </w:pPr>
      <w:r>
        <w:t>Revenue initiatives</w:t>
      </w:r>
    </w:p>
    <w:p w14:paraId="3892DD11" w14:textId="77777777" w:rsidR="00AB205D" w:rsidRPr="00697E16" w:rsidRDefault="00471A3B">
      <w:pPr>
        <w:pStyle w:val="Heading5"/>
      </w:pPr>
      <w:bookmarkStart w:id="110" w:name="_Hlk152838557"/>
      <w:bookmarkStart w:id="111" w:name="_Hlk151046697"/>
      <w:r>
        <w:t>Reforms to the Vacant Residential Land Tax</w:t>
      </w:r>
    </w:p>
    <w:p w14:paraId="75379D1B" w14:textId="77777777" w:rsidR="00AB205D" w:rsidRPr="00974D69" w:rsidRDefault="00471A3B">
      <w:r>
        <w:t>From 1 January 2025, the Vacant Residential Land Tax (VRLT) will be expanded across Victoria to include outer Melbourne and regional Victoria. Currently, the VRLT applies in specified areas covering inner and middle Melbourne suburbs. The VRLT will also be extended from 1 January 2026 to apply to unimproved residential land in metropolitan Melbourne that remains undeveloped for at least five years. The reforms will provide a financial incentive for property owners to rent out empty homes or develop long</w:t>
      </w:r>
      <w:r>
        <w:noBreakHyphen/>
        <w:t>term unimproved vacant land.</w:t>
      </w:r>
      <w:r w:rsidRPr="00CB2E6B">
        <w:t xml:space="preserve"> </w:t>
      </w:r>
    </w:p>
    <w:p w14:paraId="7192FD08" w14:textId="77777777" w:rsidR="00AB205D" w:rsidRDefault="00471A3B">
      <w:r>
        <w:t xml:space="preserve">Existing exemptions from the VRLT will continue to apply. The VRLT will also not apply where any property is exempt from land tax. New exemptions will be established for land contiguous to a principal place of residence and land that is infeasible to develop. Transitional arrangements are in place for uninhabitable residential properties in outer suburban Melbourne and regional Victoria. </w:t>
      </w:r>
    </w:p>
    <w:p w14:paraId="2F020F39" w14:textId="5FDB19F5" w:rsidR="00AB205D" w:rsidRDefault="00471A3B">
      <w:r w:rsidRPr="00C42124">
        <w:t xml:space="preserve">Subsequent to the revenue estimates in Table A.1: </w:t>
      </w:r>
      <w:r>
        <w:t>Revenue Initiatives</w:t>
      </w:r>
      <w:r w:rsidR="00EF6BAD">
        <w:t xml:space="preserve"> being settled</w:t>
      </w:r>
      <w:r w:rsidRPr="00C42124">
        <w:t xml:space="preserve">, additional amendments </w:t>
      </w:r>
      <w:r w:rsidR="00EF6BAD">
        <w:t xml:space="preserve">were made </w:t>
      </w:r>
      <w:r w:rsidRPr="00C42124">
        <w:t>to the VRLT</w:t>
      </w:r>
      <w:r w:rsidR="00EF6BAD">
        <w:t>,</w:t>
      </w:r>
      <w:r w:rsidRPr="00C42124">
        <w:t xml:space="preserve"> includ</w:t>
      </w:r>
      <w:r w:rsidR="00EF6BAD">
        <w:t>ing</w:t>
      </w:r>
      <w:r w:rsidRPr="00C42124">
        <w:t>:</w:t>
      </w:r>
    </w:p>
    <w:p w14:paraId="7D0EC629" w14:textId="77777777" w:rsidR="00AB205D" w:rsidRDefault="00471A3B">
      <w:pPr>
        <w:pStyle w:val="ListBullet"/>
      </w:pPr>
      <w:r>
        <w:t>from 1 January 2025, variable VRLT rates will apply to vacant dwellings based on the number of consecutive tax years they have been liable for VRLT, up to a maximum of 3 per cent for properties liable for three consecutive tax years</w:t>
      </w:r>
    </w:p>
    <w:p w14:paraId="3AD50589" w14:textId="77777777" w:rsidR="00AB205D" w:rsidRDefault="00471A3B">
      <w:pPr>
        <w:pStyle w:val="ListBullet"/>
      </w:pPr>
      <w:r>
        <w:t>permitting the VRLT holiday home exemption period to be fulfilled by a ‘close relative’ of the owner or vested beneficiary, and</w:t>
      </w:r>
    </w:p>
    <w:p w14:paraId="19422F50" w14:textId="77777777" w:rsidR="00AB205D" w:rsidRPr="00CB2E6B" w:rsidRDefault="00471A3B">
      <w:pPr>
        <w:pStyle w:val="ListBullet"/>
      </w:pPr>
      <w:r>
        <w:t xml:space="preserve">extending the ‘new residential premises’ exemption to three years, provided the owner has made genuine and reasonable efforts to sell the land since construction completed. Where </w:t>
      </w:r>
      <w:r w:rsidRPr="008C2D8B">
        <w:t xml:space="preserve">a new residential premises qualifying for this exemption </w:t>
      </w:r>
      <w:r>
        <w:t>continues to be unoccupied and unsold after this time, the land will be assessed for VRLT at a rate of 1 per cent until it is sold.</w:t>
      </w:r>
    </w:p>
    <w:bookmarkEnd w:id="110"/>
    <w:p w14:paraId="1B1DE209" w14:textId="77777777" w:rsidR="00AB205D" w:rsidRDefault="00AB205D">
      <w:pPr>
        <w:tabs>
          <w:tab w:val="left" w:pos="720"/>
        </w:tabs>
        <w:spacing w:before="60" w:after="40"/>
        <w:rPr>
          <w:rFonts w:ascii="Garamond" w:eastAsia="Garamond" w:hAnsi="Garamond" w:cs="Garamond"/>
        </w:rPr>
      </w:pPr>
    </w:p>
    <w:p w14:paraId="6475422B" w14:textId="77777777" w:rsidR="00AB205D" w:rsidRDefault="00471A3B">
      <w:pPr>
        <w:pStyle w:val="Heading10"/>
        <w:pageBreakBefore/>
      </w:pPr>
      <w:bookmarkStart w:id="112" w:name="_Toc152933044"/>
      <w:r>
        <w:lastRenderedPageBreak/>
        <w:t>Whole of Government – Regional Package</w:t>
      </w:r>
      <w:bookmarkEnd w:id="112"/>
    </w:p>
    <w:p w14:paraId="01784FBB" w14:textId="77777777" w:rsidR="00AB205D" w:rsidRDefault="00471A3B">
      <w:pPr>
        <w:pStyle w:val="Heading20"/>
      </w:pPr>
      <w:r>
        <w:t>Output initiatives</w:t>
      </w:r>
    </w:p>
    <w:p w14:paraId="7F975FD1" w14:textId="77777777" w:rsidR="00AB205D" w:rsidRDefault="00471A3B">
      <w:pPr>
        <w:pStyle w:val="TableHeading"/>
      </w:pPr>
      <w:r>
        <w:t>Table A.2:</w:t>
      </w:r>
      <w:r>
        <w:tab/>
        <w:t>Output initiatives – Regional Package</w:t>
      </w:r>
      <w:r>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Appendix%20A/Appendix%20A.xlsx|Table:WoVG_Regional_Output"/>
      </w:tblPr>
      <w:tblGrid>
        <w:gridCol w:w="4534"/>
        <w:gridCol w:w="794"/>
        <w:gridCol w:w="794"/>
        <w:gridCol w:w="794"/>
        <w:gridCol w:w="794"/>
      </w:tblGrid>
      <w:tr w:rsidR="009C6724" w14:paraId="62AEB394"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4" w:type="dxa"/>
          </w:tcPr>
          <w:p w14:paraId="6D43DF8B" w14:textId="77777777" w:rsidR="00AB205D" w:rsidRDefault="00AB205D">
            <w:pPr>
              <w:keepNext/>
            </w:pPr>
          </w:p>
        </w:tc>
        <w:tc>
          <w:tcPr>
            <w:tcW w:w="794" w:type="dxa"/>
          </w:tcPr>
          <w:p w14:paraId="5FE3BE39"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3F056BBF"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4E034C76"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p>
        </w:tc>
        <w:tc>
          <w:tcPr>
            <w:tcW w:w="794" w:type="dxa"/>
          </w:tcPr>
          <w:p w14:paraId="6F992F0B"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p>
        </w:tc>
      </w:tr>
      <w:tr w:rsidR="009C6724" w14:paraId="11C742A5"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632C14E6" w14:textId="77777777" w:rsidR="00AB205D" w:rsidRDefault="00471A3B">
            <w:r>
              <w:t>Regional Economic Development and Participation Package</w:t>
            </w:r>
          </w:p>
        </w:tc>
        <w:tc>
          <w:tcPr>
            <w:tcW w:w="794" w:type="dxa"/>
          </w:tcPr>
          <w:p w14:paraId="2D2A971E" w14:textId="77777777" w:rsidR="00AB205D" w:rsidRDefault="00471A3B">
            <w:pPr>
              <w:cnfStyle w:val="000000000000" w:firstRow="0" w:lastRow="0" w:firstColumn="0" w:lastColumn="0" w:oddVBand="0" w:evenVBand="0" w:oddHBand="0" w:evenHBand="0" w:firstRowFirstColumn="0" w:firstRowLastColumn="0" w:lastRowFirstColumn="0" w:lastRowLastColumn="0"/>
            </w:pPr>
            <w:r>
              <w:t>77.1</w:t>
            </w:r>
          </w:p>
        </w:tc>
        <w:tc>
          <w:tcPr>
            <w:tcW w:w="794" w:type="dxa"/>
          </w:tcPr>
          <w:p w14:paraId="55F43263" w14:textId="77777777" w:rsidR="00AB205D" w:rsidRDefault="00471A3B">
            <w:pPr>
              <w:cnfStyle w:val="000000000000" w:firstRow="0" w:lastRow="0" w:firstColumn="0" w:lastColumn="0" w:oddVBand="0" w:evenVBand="0" w:oddHBand="0" w:evenHBand="0" w:firstRowFirstColumn="0" w:firstRowLastColumn="0" w:lastRowFirstColumn="0" w:lastRowLastColumn="0"/>
            </w:pPr>
            <w:r>
              <w:t>176.6</w:t>
            </w:r>
          </w:p>
        </w:tc>
        <w:tc>
          <w:tcPr>
            <w:tcW w:w="794" w:type="dxa"/>
          </w:tcPr>
          <w:p w14:paraId="143DEDAA" w14:textId="77777777" w:rsidR="00AB205D" w:rsidRDefault="00471A3B">
            <w:pPr>
              <w:cnfStyle w:val="000000000000" w:firstRow="0" w:lastRow="0" w:firstColumn="0" w:lastColumn="0" w:oddVBand="0" w:evenVBand="0" w:oddHBand="0" w:evenHBand="0" w:firstRowFirstColumn="0" w:firstRowLastColumn="0" w:lastRowFirstColumn="0" w:lastRowLastColumn="0"/>
            </w:pPr>
            <w:r>
              <w:t>160.3</w:t>
            </w:r>
          </w:p>
        </w:tc>
        <w:tc>
          <w:tcPr>
            <w:tcW w:w="794" w:type="dxa"/>
          </w:tcPr>
          <w:p w14:paraId="26D3433D" w14:textId="77777777" w:rsidR="00AB205D" w:rsidRDefault="00471A3B">
            <w:pPr>
              <w:cnfStyle w:val="000000000000" w:firstRow="0" w:lastRow="0" w:firstColumn="0" w:lastColumn="0" w:oddVBand="0" w:evenVBand="0" w:oddHBand="0" w:evenHBand="0" w:firstRowFirstColumn="0" w:firstRowLastColumn="0" w:lastRowFirstColumn="0" w:lastRowLastColumn="0"/>
            </w:pPr>
            <w:r>
              <w:t>61.0</w:t>
            </w:r>
          </w:p>
        </w:tc>
      </w:tr>
      <w:tr w:rsidR="009C6724" w14:paraId="3B7E6F67"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2454725C" w14:textId="77777777" w:rsidR="00AB205D" w:rsidRDefault="00471A3B">
            <w:r>
              <w:t>Regional Housing Fund</w:t>
            </w:r>
          </w:p>
        </w:tc>
        <w:tc>
          <w:tcPr>
            <w:tcW w:w="794" w:type="dxa"/>
          </w:tcPr>
          <w:p w14:paraId="56B3F2A9" w14:textId="77777777" w:rsidR="00AB205D" w:rsidRDefault="00471A3B">
            <w:pPr>
              <w:cnfStyle w:val="000000000000" w:firstRow="0" w:lastRow="0" w:firstColumn="0" w:lastColumn="0" w:oddVBand="0" w:evenVBand="0" w:oddHBand="0" w:evenHBand="0" w:firstRowFirstColumn="0" w:firstRowLastColumn="0" w:lastRowFirstColumn="0" w:lastRowLastColumn="0"/>
            </w:pPr>
            <w:r>
              <w:t>tbc</w:t>
            </w:r>
          </w:p>
        </w:tc>
        <w:tc>
          <w:tcPr>
            <w:tcW w:w="794" w:type="dxa"/>
          </w:tcPr>
          <w:p w14:paraId="507122EC" w14:textId="77777777" w:rsidR="00AB205D" w:rsidRDefault="00471A3B">
            <w:pPr>
              <w:cnfStyle w:val="000000000000" w:firstRow="0" w:lastRow="0" w:firstColumn="0" w:lastColumn="0" w:oddVBand="0" w:evenVBand="0" w:oddHBand="0" w:evenHBand="0" w:firstRowFirstColumn="0" w:firstRowLastColumn="0" w:lastRowFirstColumn="0" w:lastRowLastColumn="0"/>
            </w:pPr>
            <w:r>
              <w:t>tbc</w:t>
            </w:r>
          </w:p>
        </w:tc>
        <w:tc>
          <w:tcPr>
            <w:tcW w:w="794" w:type="dxa"/>
          </w:tcPr>
          <w:p w14:paraId="1F55964C" w14:textId="77777777" w:rsidR="00AB205D" w:rsidRDefault="00471A3B">
            <w:pPr>
              <w:cnfStyle w:val="000000000000" w:firstRow="0" w:lastRow="0" w:firstColumn="0" w:lastColumn="0" w:oddVBand="0" w:evenVBand="0" w:oddHBand="0" w:evenHBand="0" w:firstRowFirstColumn="0" w:firstRowLastColumn="0" w:lastRowFirstColumn="0" w:lastRowLastColumn="0"/>
            </w:pPr>
            <w:r>
              <w:t>tbc</w:t>
            </w:r>
          </w:p>
        </w:tc>
        <w:tc>
          <w:tcPr>
            <w:tcW w:w="794" w:type="dxa"/>
          </w:tcPr>
          <w:p w14:paraId="31739DEE" w14:textId="77777777" w:rsidR="00AB205D" w:rsidRDefault="00471A3B">
            <w:pPr>
              <w:cnfStyle w:val="000000000000" w:firstRow="0" w:lastRow="0" w:firstColumn="0" w:lastColumn="0" w:oddVBand="0" w:evenVBand="0" w:oddHBand="0" w:evenHBand="0" w:firstRowFirstColumn="0" w:firstRowLastColumn="0" w:lastRowFirstColumn="0" w:lastRowLastColumn="0"/>
            </w:pPr>
            <w:r>
              <w:t>tbc</w:t>
            </w:r>
          </w:p>
        </w:tc>
      </w:tr>
      <w:tr w:rsidR="009C6724" w14:paraId="443F878B"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bottom w:val="single" w:sz="6" w:space="0" w:color="auto"/>
            </w:tcBorders>
          </w:tcPr>
          <w:p w14:paraId="7C84A83E" w14:textId="77777777" w:rsidR="00AB205D" w:rsidRDefault="00471A3B">
            <w:r>
              <w:t>Regional Sport Infrastructure Package</w:t>
            </w:r>
          </w:p>
        </w:tc>
        <w:tc>
          <w:tcPr>
            <w:tcW w:w="794" w:type="dxa"/>
            <w:tcBorders>
              <w:bottom w:val="single" w:sz="6" w:space="0" w:color="auto"/>
            </w:tcBorders>
          </w:tcPr>
          <w:p w14:paraId="08374CF6" w14:textId="77777777" w:rsidR="00AB205D" w:rsidRDefault="00471A3B">
            <w:pPr>
              <w:cnfStyle w:val="000000000000" w:firstRow="0" w:lastRow="0" w:firstColumn="0" w:lastColumn="0" w:oddVBand="0" w:evenVBand="0" w:oddHBand="0" w:evenHBand="0" w:firstRowFirstColumn="0" w:firstRowLastColumn="0" w:lastRowFirstColumn="0" w:lastRowLastColumn="0"/>
            </w:pPr>
            <w:r>
              <w:t>tbc</w:t>
            </w:r>
          </w:p>
        </w:tc>
        <w:tc>
          <w:tcPr>
            <w:tcW w:w="794" w:type="dxa"/>
            <w:tcBorders>
              <w:bottom w:val="single" w:sz="6" w:space="0" w:color="auto"/>
            </w:tcBorders>
          </w:tcPr>
          <w:p w14:paraId="4C90255A" w14:textId="77777777" w:rsidR="00AB205D" w:rsidRDefault="00471A3B">
            <w:pPr>
              <w:cnfStyle w:val="000000000000" w:firstRow="0" w:lastRow="0" w:firstColumn="0" w:lastColumn="0" w:oddVBand="0" w:evenVBand="0" w:oddHBand="0" w:evenHBand="0" w:firstRowFirstColumn="0" w:firstRowLastColumn="0" w:lastRowFirstColumn="0" w:lastRowLastColumn="0"/>
            </w:pPr>
            <w:r>
              <w:t>tbc</w:t>
            </w:r>
          </w:p>
        </w:tc>
        <w:tc>
          <w:tcPr>
            <w:tcW w:w="794" w:type="dxa"/>
            <w:tcBorders>
              <w:bottom w:val="single" w:sz="6" w:space="0" w:color="auto"/>
            </w:tcBorders>
          </w:tcPr>
          <w:p w14:paraId="50F5B913" w14:textId="77777777" w:rsidR="00AB205D" w:rsidRDefault="00471A3B">
            <w:pPr>
              <w:cnfStyle w:val="000000000000" w:firstRow="0" w:lastRow="0" w:firstColumn="0" w:lastColumn="0" w:oddVBand="0" w:evenVBand="0" w:oddHBand="0" w:evenHBand="0" w:firstRowFirstColumn="0" w:firstRowLastColumn="0" w:lastRowFirstColumn="0" w:lastRowLastColumn="0"/>
            </w:pPr>
            <w:r>
              <w:t>tbc</w:t>
            </w:r>
          </w:p>
        </w:tc>
        <w:tc>
          <w:tcPr>
            <w:tcW w:w="794" w:type="dxa"/>
            <w:tcBorders>
              <w:bottom w:val="single" w:sz="6" w:space="0" w:color="auto"/>
            </w:tcBorders>
          </w:tcPr>
          <w:p w14:paraId="7DC9DD66" w14:textId="77777777" w:rsidR="00AB205D" w:rsidRDefault="00471A3B">
            <w:pPr>
              <w:cnfStyle w:val="000000000000" w:firstRow="0" w:lastRow="0" w:firstColumn="0" w:lastColumn="0" w:oddVBand="0" w:evenVBand="0" w:oddHBand="0" w:evenHBand="0" w:firstRowFirstColumn="0" w:firstRowLastColumn="0" w:lastRowFirstColumn="0" w:lastRowLastColumn="0"/>
            </w:pPr>
            <w:r>
              <w:t>tbc</w:t>
            </w:r>
          </w:p>
        </w:tc>
      </w:tr>
      <w:tr w:rsidR="009C6724" w14:paraId="50909A9A"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bottom w:val="single" w:sz="12" w:space="0" w:color="auto"/>
            </w:tcBorders>
          </w:tcPr>
          <w:p w14:paraId="543FB224" w14:textId="77777777" w:rsidR="00AB205D" w:rsidRDefault="00471A3B">
            <w:r>
              <w:rPr>
                <w:b/>
              </w:rPr>
              <w:t>Total output initiatives</w:t>
            </w:r>
          </w:p>
        </w:tc>
        <w:tc>
          <w:tcPr>
            <w:tcW w:w="794" w:type="dxa"/>
            <w:tcBorders>
              <w:top w:val="single" w:sz="6" w:space="0" w:color="auto"/>
              <w:bottom w:val="single" w:sz="12" w:space="0" w:color="auto"/>
            </w:tcBorders>
          </w:tcPr>
          <w:p w14:paraId="2AA1F65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77.1</w:t>
            </w:r>
          </w:p>
        </w:tc>
        <w:tc>
          <w:tcPr>
            <w:tcW w:w="794" w:type="dxa"/>
            <w:tcBorders>
              <w:top w:val="single" w:sz="6" w:space="0" w:color="auto"/>
              <w:bottom w:val="single" w:sz="12" w:space="0" w:color="auto"/>
            </w:tcBorders>
          </w:tcPr>
          <w:p w14:paraId="2273D9E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176.6</w:t>
            </w:r>
          </w:p>
        </w:tc>
        <w:tc>
          <w:tcPr>
            <w:tcW w:w="794" w:type="dxa"/>
            <w:tcBorders>
              <w:top w:val="single" w:sz="6" w:space="0" w:color="auto"/>
              <w:bottom w:val="single" w:sz="12" w:space="0" w:color="auto"/>
            </w:tcBorders>
          </w:tcPr>
          <w:p w14:paraId="517AF6D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160.3</w:t>
            </w:r>
          </w:p>
        </w:tc>
        <w:tc>
          <w:tcPr>
            <w:tcW w:w="794" w:type="dxa"/>
            <w:tcBorders>
              <w:top w:val="single" w:sz="6" w:space="0" w:color="auto"/>
              <w:bottom w:val="single" w:sz="12" w:space="0" w:color="auto"/>
            </w:tcBorders>
          </w:tcPr>
          <w:p w14:paraId="755B747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61.0</w:t>
            </w:r>
          </w:p>
        </w:tc>
      </w:tr>
    </w:tbl>
    <w:p w14:paraId="5687F2F7" w14:textId="77777777" w:rsidR="00AB205D" w:rsidRPr="00697E16" w:rsidRDefault="00471A3B" w:rsidP="00882944">
      <w:pPr>
        <w:pStyle w:val="Heading5"/>
        <w:spacing w:before="140"/>
      </w:pPr>
      <w:r>
        <w:t>Regional Economic Development and Participation Package</w:t>
      </w:r>
    </w:p>
    <w:p w14:paraId="3880D296" w14:textId="77777777" w:rsidR="00AB205D" w:rsidRDefault="00471A3B" w:rsidP="00882944">
      <w:pPr>
        <w:keepNext/>
        <w:spacing w:before="80" w:line="259" w:lineRule="auto"/>
        <w:rPr>
          <w:rFonts w:ascii="Calibri" w:eastAsia="Calibri" w:hAnsi="Calibri" w:cs="Calibri"/>
        </w:rPr>
      </w:pPr>
      <w:r>
        <w:t xml:space="preserve">Funding is provided for the </w:t>
      </w:r>
      <w:r w:rsidRPr="00E56FD2">
        <w:t>Regional Economic Development and Participation Package</w:t>
      </w:r>
      <w:r>
        <w:t xml:space="preserve"> as part of the $2 billion Regional Package to support lasting economic and community benefits in regional Victoria, including through:</w:t>
      </w:r>
    </w:p>
    <w:p w14:paraId="411B8AB3" w14:textId="77777777" w:rsidR="00AB205D" w:rsidRDefault="00471A3B" w:rsidP="008754FB">
      <w:pPr>
        <w:pStyle w:val="ListBullet"/>
        <w:spacing w:before="20" w:after="20"/>
      </w:pPr>
      <w:r w:rsidRPr="00C947AE">
        <w:t>Aboriginal Economic Development Fund</w:t>
      </w:r>
    </w:p>
    <w:p w14:paraId="62FC0BFD" w14:textId="40BB8F85" w:rsidR="00E6446D" w:rsidRDefault="00E6446D" w:rsidP="008754FB">
      <w:pPr>
        <w:pStyle w:val="ListBullet"/>
        <w:spacing w:before="20" w:after="20"/>
      </w:pPr>
      <w:r>
        <w:t>All Abilities Sports Fund</w:t>
      </w:r>
    </w:p>
    <w:p w14:paraId="58A4D66F" w14:textId="77777777" w:rsidR="00AB205D" w:rsidRDefault="00471A3B" w:rsidP="008754FB">
      <w:pPr>
        <w:pStyle w:val="ListBullet"/>
        <w:spacing w:before="20" w:after="20"/>
      </w:pPr>
      <w:r w:rsidRPr="0056773E">
        <w:t xml:space="preserve">Council </w:t>
      </w:r>
      <w:r>
        <w:t>S</w:t>
      </w:r>
      <w:r w:rsidRPr="0056773E">
        <w:t xml:space="preserve">upport </w:t>
      </w:r>
      <w:r>
        <w:t>P</w:t>
      </w:r>
      <w:r w:rsidRPr="0056773E">
        <w:t>ackage</w:t>
      </w:r>
    </w:p>
    <w:p w14:paraId="46C33F42" w14:textId="77777777" w:rsidR="00AB205D" w:rsidRDefault="00471A3B" w:rsidP="008754FB">
      <w:pPr>
        <w:pStyle w:val="ListBullet"/>
        <w:spacing w:before="20" w:after="20"/>
      </w:pPr>
      <w:r>
        <w:t>Growing food and fibre exports</w:t>
      </w:r>
    </w:p>
    <w:p w14:paraId="4B5EA623" w14:textId="13E76EDC" w:rsidR="00AB205D" w:rsidRPr="00D24021" w:rsidRDefault="00471A3B" w:rsidP="008754FB">
      <w:pPr>
        <w:pStyle w:val="ListBullet"/>
        <w:spacing w:before="20" w:after="20"/>
      </w:pPr>
      <w:r w:rsidRPr="00D24021">
        <w:t xml:space="preserve">Regional Community Sport </w:t>
      </w:r>
      <w:r w:rsidR="00E6446D">
        <w:t>Development</w:t>
      </w:r>
      <w:r w:rsidR="00E6446D" w:rsidRPr="00D24021">
        <w:t xml:space="preserve"> </w:t>
      </w:r>
      <w:r w:rsidRPr="00D24021">
        <w:t>Fund</w:t>
      </w:r>
    </w:p>
    <w:p w14:paraId="09185A6B" w14:textId="77777777" w:rsidR="00AB205D" w:rsidRDefault="00471A3B" w:rsidP="008754FB">
      <w:pPr>
        <w:pStyle w:val="ListBullet"/>
        <w:spacing w:before="20" w:after="20"/>
      </w:pPr>
      <w:r>
        <w:t>Regional Multicultural Festivals</w:t>
      </w:r>
    </w:p>
    <w:p w14:paraId="06517C36" w14:textId="77777777" w:rsidR="00AB205D" w:rsidRDefault="00471A3B" w:rsidP="008754FB">
      <w:pPr>
        <w:pStyle w:val="ListBullet"/>
        <w:spacing w:before="20" w:after="20"/>
      </w:pPr>
      <w:r w:rsidRPr="00DA2E21">
        <w:t xml:space="preserve">Regional Tourism and Events Fund </w:t>
      </w:r>
    </w:p>
    <w:p w14:paraId="7F16E613" w14:textId="77777777" w:rsidR="00AB205D" w:rsidRDefault="00471A3B" w:rsidP="008754FB">
      <w:pPr>
        <w:pStyle w:val="ListBullet"/>
        <w:spacing w:before="20" w:after="20"/>
      </w:pPr>
      <w:r w:rsidRPr="000211E2">
        <w:t>Regional Tourism Marketing</w:t>
      </w:r>
    </w:p>
    <w:p w14:paraId="2C856B87" w14:textId="77777777" w:rsidR="00AB205D" w:rsidRDefault="00471A3B" w:rsidP="008754FB">
      <w:pPr>
        <w:pStyle w:val="ListBullet"/>
        <w:spacing w:before="20" w:after="20"/>
      </w:pPr>
      <w:r>
        <w:t>Regional Worker Accommodation Package</w:t>
      </w:r>
    </w:p>
    <w:p w14:paraId="157AE101" w14:textId="77777777" w:rsidR="00AB205D" w:rsidRDefault="00471A3B" w:rsidP="008754FB">
      <w:pPr>
        <w:pStyle w:val="ListBullet"/>
        <w:spacing w:before="20" w:after="20"/>
      </w:pPr>
      <w:r w:rsidRPr="00894F24">
        <w:t>Tiny Towns</w:t>
      </w:r>
      <w:r>
        <w:t xml:space="preserve"> Fund.</w:t>
      </w:r>
    </w:p>
    <w:p w14:paraId="2616975E" w14:textId="77777777" w:rsidR="00AB205D" w:rsidRDefault="00471A3B" w:rsidP="00882944">
      <w:pPr>
        <w:keepNext/>
        <w:spacing w:before="80"/>
      </w:pPr>
      <w:r>
        <w:t>This initiative contributes to the Department of Jobs, Skills, Industry and Regions’:</w:t>
      </w:r>
    </w:p>
    <w:p w14:paraId="4BB9A6DF" w14:textId="77777777" w:rsidR="00AB205D" w:rsidRDefault="00471A3B" w:rsidP="008754FB">
      <w:pPr>
        <w:pStyle w:val="ListBullet"/>
        <w:spacing w:before="20" w:after="20"/>
      </w:pPr>
      <w:r>
        <w:t>Jobs output</w:t>
      </w:r>
    </w:p>
    <w:p w14:paraId="2C439BEB" w14:textId="77777777" w:rsidR="00AB205D" w:rsidRDefault="00471A3B" w:rsidP="008754FB">
      <w:pPr>
        <w:pStyle w:val="ListBullet"/>
        <w:keepNext/>
        <w:spacing w:before="20" w:after="20"/>
      </w:pPr>
      <w:r>
        <w:t>Regional Development output</w:t>
      </w:r>
    </w:p>
    <w:p w14:paraId="38C15738" w14:textId="77777777" w:rsidR="00AB205D" w:rsidRDefault="00471A3B" w:rsidP="008754FB">
      <w:pPr>
        <w:pStyle w:val="ListBullet"/>
        <w:spacing w:before="20" w:after="20"/>
      </w:pPr>
      <w:r w:rsidRPr="000D0FE3">
        <w:t>Sport and Recreation</w:t>
      </w:r>
      <w:r>
        <w:t xml:space="preserve"> output.</w:t>
      </w:r>
    </w:p>
    <w:p w14:paraId="6C3BD8CE" w14:textId="77777777" w:rsidR="00AB205D" w:rsidRDefault="00471A3B" w:rsidP="008754FB">
      <w:pPr>
        <w:pStyle w:val="ListBullet"/>
        <w:spacing w:before="20" w:after="20"/>
      </w:pPr>
      <w:r w:rsidRPr="00B821CC">
        <w:t>Tourism and Major Events</w:t>
      </w:r>
      <w:r>
        <w:t xml:space="preserve"> output</w:t>
      </w:r>
    </w:p>
    <w:p w14:paraId="4EF95264" w14:textId="77777777" w:rsidR="00AB205D" w:rsidRDefault="00471A3B" w:rsidP="008754FB">
      <w:pPr>
        <w:pStyle w:val="ListBullet"/>
        <w:spacing w:before="20" w:after="20"/>
      </w:pPr>
      <w:r w:rsidRPr="00000C83">
        <w:t>Trade and Investment</w:t>
      </w:r>
      <w:r>
        <w:t xml:space="preserve"> output.</w:t>
      </w:r>
    </w:p>
    <w:p w14:paraId="4DDAB466" w14:textId="77777777" w:rsidR="00AB205D" w:rsidRDefault="00471A3B" w:rsidP="00882944">
      <w:pPr>
        <w:spacing w:before="80"/>
      </w:pPr>
      <w:r w:rsidRPr="0095522E">
        <w:t xml:space="preserve">This initiative contributes to the Departments of Families, Fairness and Housing’s </w:t>
      </w:r>
      <w:r w:rsidRPr="00BB3A4B">
        <w:t>Multicultural Affairs Policy and Programs output</w:t>
      </w:r>
      <w:r>
        <w:t>.</w:t>
      </w:r>
    </w:p>
    <w:p w14:paraId="5A478060" w14:textId="77777777" w:rsidR="00AB205D" w:rsidRPr="001D257F" w:rsidRDefault="00471A3B" w:rsidP="00882944">
      <w:pPr>
        <w:pStyle w:val="Heading5"/>
        <w:spacing w:before="140"/>
        <w:rPr>
          <w:b w:val="0"/>
          <w:sz w:val="23"/>
          <w:szCs w:val="23"/>
          <w:highlight w:val="yellow"/>
        </w:rPr>
      </w:pPr>
      <w:r w:rsidRPr="001D257F">
        <w:t>Regional Housing Fund</w:t>
      </w:r>
    </w:p>
    <w:p w14:paraId="0414BC1E" w14:textId="77777777" w:rsidR="00AB205D" w:rsidRDefault="00471A3B" w:rsidP="00882944">
      <w:pPr>
        <w:spacing w:before="80" w:line="259" w:lineRule="auto"/>
      </w:pPr>
      <w:r>
        <w:t>Refer to the asset initiative for a description of this initiative.</w:t>
      </w:r>
    </w:p>
    <w:p w14:paraId="2A818B30" w14:textId="77777777" w:rsidR="00AB205D" w:rsidRPr="00767239" w:rsidRDefault="00471A3B" w:rsidP="00882944">
      <w:pPr>
        <w:pStyle w:val="Heading5"/>
        <w:spacing w:before="140"/>
      </w:pPr>
      <w:r>
        <w:t xml:space="preserve">Regional </w:t>
      </w:r>
      <w:r w:rsidRPr="00767239">
        <w:t>Sport Infrastructure Package</w:t>
      </w:r>
    </w:p>
    <w:p w14:paraId="46C5846F" w14:textId="77777777" w:rsidR="00AB205D" w:rsidRPr="009F04B4" w:rsidRDefault="00471A3B" w:rsidP="00882944">
      <w:pPr>
        <w:spacing w:before="80" w:line="259" w:lineRule="auto"/>
      </w:pPr>
      <w:r w:rsidRPr="00767239">
        <w:t>Funding is provided for the Regional Sport Infrastructure</w:t>
      </w:r>
      <w:r>
        <w:t xml:space="preserve"> Package as part of the $2 billion Regional Package to deliver new and upgraded sports facilities for regional communities across Bendigo, Ballarat, Geelong, Gippsland and Shepparton.</w:t>
      </w:r>
    </w:p>
    <w:p w14:paraId="2276618E" w14:textId="77777777" w:rsidR="00AB205D" w:rsidRPr="007152EE" w:rsidRDefault="00471A3B" w:rsidP="00882944">
      <w:pPr>
        <w:spacing w:before="80" w:line="259" w:lineRule="auto"/>
      </w:pPr>
      <w:r>
        <w:t>This initiative contributes to the Department of Jobs, Skills, Industry and Regions’ Sport and Recreation output.</w:t>
      </w:r>
    </w:p>
    <w:p w14:paraId="32894626" w14:textId="77777777" w:rsidR="00AB205D" w:rsidRDefault="00471A3B">
      <w:pPr>
        <w:pStyle w:val="Heading20"/>
      </w:pPr>
      <w:r>
        <w:lastRenderedPageBreak/>
        <w:t>Asset initiatives</w:t>
      </w:r>
    </w:p>
    <w:p w14:paraId="5754F72C" w14:textId="77777777" w:rsidR="00AB205D" w:rsidRDefault="00471A3B">
      <w:pPr>
        <w:pStyle w:val="TableHeading"/>
      </w:pPr>
      <w:r>
        <w:t>Table A.3:</w:t>
      </w:r>
      <w:r>
        <w:tab/>
        <w:t>Asset initiatives – Regional Package</w:t>
      </w:r>
      <w:r>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Appendix%20A/Appendix%20A.xlsx|Table:WoVG_Regional_Asset"/>
      </w:tblPr>
      <w:tblGrid>
        <w:gridCol w:w="3740"/>
        <w:gridCol w:w="794"/>
        <w:gridCol w:w="794"/>
        <w:gridCol w:w="794"/>
        <w:gridCol w:w="794"/>
        <w:gridCol w:w="794"/>
      </w:tblGrid>
      <w:tr w:rsidR="009C6724" w14:paraId="517870F1"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719B24E1" w14:textId="77777777" w:rsidR="00AB205D" w:rsidRDefault="00AB205D">
            <w:pPr>
              <w:keepNext/>
            </w:pPr>
          </w:p>
        </w:tc>
        <w:tc>
          <w:tcPr>
            <w:tcW w:w="794" w:type="dxa"/>
            <w:tcBorders>
              <w:top w:val="single" w:sz="6" w:space="0" w:color="auto"/>
              <w:bottom w:val="single" w:sz="6" w:space="0" w:color="auto"/>
            </w:tcBorders>
          </w:tcPr>
          <w:p w14:paraId="67E2BA08"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Borders>
              <w:top w:val="single" w:sz="6" w:space="0" w:color="auto"/>
              <w:bottom w:val="single" w:sz="6" w:space="0" w:color="auto"/>
            </w:tcBorders>
          </w:tcPr>
          <w:p w14:paraId="0007AD23"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Borders>
              <w:top w:val="single" w:sz="6" w:space="0" w:color="auto"/>
              <w:bottom w:val="single" w:sz="6" w:space="0" w:color="auto"/>
            </w:tcBorders>
          </w:tcPr>
          <w:p w14:paraId="4189BE3A"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p>
        </w:tc>
        <w:tc>
          <w:tcPr>
            <w:tcW w:w="794" w:type="dxa"/>
            <w:tcBorders>
              <w:top w:val="single" w:sz="6" w:space="0" w:color="auto"/>
              <w:bottom w:val="single" w:sz="6" w:space="0" w:color="auto"/>
            </w:tcBorders>
          </w:tcPr>
          <w:p w14:paraId="5C539ED9"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p>
        </w:tc>
        <w:tc>
          <w:tcPr>
            <w:tcW w:w="794" w:type="dxa"/>
            <w:tcBorders>
              <w:top w:val="single" w:sz="6" w:space="0" w:color="auto"/>
              <w:bottom w:val="single" w:sz="6" w:space="0" w:color="auto"/>
            </w:tcBorders>
          </w:tcPr>
          <w:p w14:paraId="0F01C1E7"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TEI</w:t>
            </w:r>
          </w:p>
        </w:tc>
      </w:tr>
      <w:tr w:rsidR="009C6724" w14:paraId="0A775E15"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1491A5F8" w14:textId="77777777" w:rsidR="00AB205D" w:rsidRDefault="00471A3B">
            <w:r>
              <w:t>Regional Housing Fund</w:t>
            </w:r>
          </w:p>
        </w:tc>
        <w:tc>
          <w:tcPr>
            <w:tcW w:w="794" w:type="dxa"/>
            <w:tcBorders>
              <w:top w:val="single" w:sz="6" w:space="0" w:color="auto"/>
              <w:bottom w:val="single" w:sz="6" w:space="0" w:color="auto"/>
            </w:tcBorders>
          </w:tcPr>
          <w:p w14:paraId="3298DB75" w14:textId="77777777" w:rsidR="00AB205D" w:rsidRDefault="00471A3B">
            <w:pPr>
              <w:cnfStyle w:val="000000000000" w:firstRow="0" w:lastRow="0" w:firstColumn="0" w:lastColumn="0" w:oddVBand="0" w:evenVBand="0" w:oddHBand="0" w:evenHBand="0" w:firstRowFirstColumn="0" w:firstRowLastColumn="0" w:lastRowFirstColumn="0" w:lastRowLastColumn="0"/>
            </w:pPr>
            <w:r>
              <w:t>tbc</w:t>
            </w:r>
          </w:p>
        </w:tc>
        <w:tc>
          <w:tcPr>
            <w:tcW w:w="794" w:type="dxa"/>
            <w:tcBorders>
              <w:top w:val="single" w:sz="6" w:space="0" w:color="auto"/>
              <w:bottom w:val="single" w:sz="6" w:space="0" w:color="auto"/>
            </w:tcBorders>
          </w:tcPr>
          <w:p w14:paraId="2D27F278" w14:textId="77777777" w:rsidR="00AB205D" w:rsidRDefault="00471A3B">
            <w:pPr>
              <w:cnfStyle w:val="000000000000" w:firstRow="0" w:lastRow="0" w:firstColumn="0" w:lastColumn="0" w:oddVBand="0" w:evenVBand="0" w:oddHBand="0" w:evenHBand="0" w:firstRowFirstColumn="0" w:firstRowLastColumn="0" w:lastRowFirstColumn="0" w:lastRowLastColumn="0"/>
            </w:pPr>
            <w:r>
              <w:t>tbc</w:t>
            </w:r>
          </w:p>
        </w:tc>
        <w:tc>
          <w:tcPr>
            <w:tcW w:w="794" w:type="dxa"/>
            <w:tcBorders>
              <w:top w:val="single" w:sz="6" w:space="0" w:color="auto"/>
              <w:bottom w:val="single" w:sz="6" w:space="0" w:color="auto"/>
            </w:tcBorders>
          </w:tcPr>
          <w:p w14:paraId="708DACB3" w14:textId="77777777" w:rsidR="00AB205D" w:rsidRDefault="00471A3B">
            <w:pPr>
              <w:cnfStyle w:val="000000000000" w:firstRow="0" w:lastRow="0" w:firstColumn="0" w:lastColumn="0" w:oddVBand="0" w:evenVBand="0" w:oddHBand="0" w:evenHBand="0" w:firstRowFirstColumn="0" w:firstRowLastColumn="0" w:lastRowFirstColumn="0" w:lastRowLastColumn="0"/>
            </w:pPr>
            <w:r>
              <w:t>tbc</w:t>
            </w:r>
          </w:p>
        </w:tc>
        <w:tc>
          <w:tcPr>
            <w:tcW w:w="794" w:type="dxa"/>
            <w:tcBorders>
              <w:top w:val="single" w:sz="6" w:space="0" w:color="auto"/>
              <w:bottom w:val="single" w:sz="6" w:space="0" w:color="auto"/>
            </w:tcBorders>
          </w:tcPr>
          <w:p w14:paraId="06273755" w14:textId="77777777" w:rsidR="00AB205D" w:rsidRDefault="00471A3B">
            <w:pPr>
              <w:cnfStyle w:val="000000000000" w:firstRow="0" w:lastRow="0" w:firstColumn="0" w:lastColumn="0" w:oddVBand="0" w:evenVBand="0" w:oddHBand="0" w:evenHBand="0" w:firstRowFirstColumn="0" w:firstRowLastColumn="0" w:lastRowFirstColumn="0" w:lastRowLastColumn="0"/>
            </w:pPr>
            <w:r>
              <w:t>tbc</w:t>
            </w:r>
          </w:p>
        </w:tc>
        <w:tc>
          <w:tcPr>
            <w:tcW w:w="794" w:type="dxa"/>
            <w:tcBorders>
              <w:top w:val="single" w:sz="6" w:space="0" w:color="auto"/>
              <w:bottom w:val="single" w:sz="6" w:space="0" w:color="auto"/>
            </w:tcBorders>
          </w:tcPr>
          <w:p w14:paraId="2982655D" w14:textId="77777777" w:rsidR="00AB205D" w:rsidRDefault="00471A3B">
            <w:pPr>
              <w:cnfStyle w:val="000000000000" w:firstRow="0" w:lastRow="0" w:firstColumn="0" w:lastColumn="0" w:oddVBand="0" w:evenVBand="0" w:oddHBand="0" w:evenHBand="0" w:firstRowFirstColumn="0" w:firstRowLastColumn="0" w:lastRowFirstColumn="0" w:lastRowLastColumn="0"/>
            </w:pPr>
            <w:r>
              <w:t>tbc</w:t>
            </w:r>
          </w:p>
        </w:tc>
      </w:tr>
      <w:tr w:rsidR="009C6724" w14:paraId="4E4040D4"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2060EF12" w14:textId="77777777" w:rsidR="00AB205D" w:rsidRDefault="00471A3B">
            <w:r>
              <w:rPr>
                <w:b/>
              </w:rPr>
              <w:t>Total asset initiatives</w:t>
            </w:r>
          </w:p>
        </w:tc>
        <w:tc>
          <w:tcPr>
            <w:tcW w:w="794" w:type="dxa"/>
            <w:tcBorders>
              <w:top w:val="single" w:sz="6" w:space="0" w:color="auto"/>
              <w:bottom w:val="single" w:sz="12" w:space="0" w:color="auto"/>
            </w:tcBorders>
          </w:tcPr>
          <w:p w14:paraId="41C05C2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w:t>
            </w:r>
          </w:p>
        </w:tc>
        <w:tc>
          <w:tcPr>
            <w:tcW w:w="794" w:type="dxa"/>
            <w:tcBorders>
              <w:top w:val="single" w:sz="6" w:space="0" w:color="auto"/>
              <w:bottom w:val="single" w:sz="12" w:space="0" w:color="auto"/>
            </w:tcBorders>
          </w:tcPr>
          <w:p w14:paraId="0B9C437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w:t>
            </w:r>
          </w:p>
        </w:tc>
        <w:tc>
          <w:tcPr>
            <w:tcW w:w="794" w:type="dxa"/>
            <w:tcBorders>
              <w:top w:val="single" w:sz="6" w:space="0" w:color="auto"/>
              <w:bottom w:val="single" w:sz="12" w:space="0" w:color="auto"/>
            </w:tcBorders>
          </w:tcPr>
          <w:p w14:paraId="04D543B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w:t>
            </w:r>
          </w:p>
        </w:tc>
        <w:tc>
          <w:tcPr>
            <w:tcW w:w="794" w:type="dxa"/>
            <w:tcBorders>
              <w:top w:val="single" w:sz="6" w:space="0" w:color="auto"/>
              <w:bottom w:val="single" w:sz="12" w:space="0" w:color="auto"/>
            </w:tcBorders>
          </w:tcPr>
          <w:p w14:paraId="049467C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w:t>
            </w:r>
          </w:p>
        </w:tc>
        <w:tc>
          <w:tcPr>
            <w:tcW w:w="794" w:type="dxa"/>
            <w:tcBorders>
              <w:top w:val="single" w:sz="6" w:space="0" w:color="auto"/>
              <w:bottom w:val="single" w:sz="12" w:space="0" w:color="auto"/>
            </w:tcBorders>
          </w:tcPr>
          <w:p w14:paraId="4C5E070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w:t>
            </w:r>
          </w:p>
        </w:tc>
      </w:tr>
    </w:tbl>
    <w:p w14:paraId="1203E214" w14:textId="77777777" w:rsidR="00AB205D" w:rsidRDefault="00471A3B">
      <w:pPr>
        <w:pStyle w:val="Heading5"/>
        <w:rPr>
          <w:b w:val="0"/>
        </w:rPr>
      </w:pPr>
      <w:r w:rsidRPr="00311CF1">
        <w:t>Regional Housing Fund</w:t>
      </w:r>
    </w:p>
    <w:p w14:paraId="3A04E3AC" w14:textId="77777777" w:rsidR="00AB205D" w:rsidRDefault="00471A3B">
      <w:r w:rsidRPr="001D257F">
        <w:t>Funding is provided for a new $1</w:t>
      </w:r>
      <w:r>
        <w:t> </w:t>
      </w:r>
      <w:r w:rsidRPr="001D257F">
        <w:t>billion Regional Housing Fund as part of the $2</w:t>
      </w:r>
      <w:r>
        <w:t> </w:t>
      </w:r>
      <w:r w:rsidRPr="001D257F">
        <w:t>billion Regional Package to deliver more than 1</w:t>
      </w:r>
      <w:r>
        <w:t xml:space="preserve"> </w:t>
      </w:r>
      <w:r w:rsidRPr="001D257F">
        <w:t>300 new homes across regional Victoria. The new homes will include a mix of social and affordable housing.</w:t>
      </w:r>
    </w:p>
    <w:p w14:paraId="689EFF1F" w14:textId="77777777" w:rsidR="00AB205D" w:rsidRPr="0095522E" w:rsidRDefault="00471A3B">
      <w:r w:rsidRPr="001D257F">
        <w:t xml:space="preserve">This initiative contributes to the Department of Families, Fairness and Housing’s </w:t>
      </w:r>
      <w:r>
        <w:t>Housing Assistance</w:t>
      </w:r>
      <w:r w:rsidRPr="001D257F">
        <w:t xml:space="preserve"> output.</w:t>
      </w:r>
    </w:p>
    <w:p w14:paraId="36AE2699" w14:textId="77777777" w:rsidR="00AB205D" w:rsidRPr="00F7203A" w:rsidRDefault="00AB205D"/>
    <w:p w14:paraId="520B895B" w14:textId="77777777" w:rsidR="00AB205D" w:rsidRDefault="00471A3B">
      <w:pPr>
        <w:pStyle w:val="Heading10"/>
        <w:pageBreakBefore/>
      </w:pPr>
      <w:bookmarkStart w:id="113" w:name="_Toc152933045"/>
      <w:r>
        <w:lastRenderedPageBreak/>
        <w:t>Whole of Government – Housing Statement</w:t>
      </w:r>
      <w:bookmarkEnd w:id="113"/>
    </w:p>
    <w:p w14:paraId="1FA156BB" w14:textId="77777777" w:rsidR="00AB205D" w:rsidRDefault="00471A3B" w:rsidP="008F0920">
      <w:pPr>
        <w:pStyle w:val="Heading20"/>
        <w:spacing w:before="200"/>
      </w:pPr>
      <w:r>
        <w:t>Revenue initiatives</w:t>
      </w:r>
    </w:p>
    <w:p w14:paraId="0B890247" w14:textId="77777777" w:rsidR="00AB205D" w:rsidRDefault="00471A3B">
      <w:pPr>
        <w:pStyle w:val="TableHeading"/>
      </w:pPr>
      <w:r>
        <w:t>Table A.4:</w:t>
      </w:r>
      <w:r>
        <w:tab/>
        <w:t>Revenue initiatives – Housing Statement</w:t>
      </w:r>
      <w:r>
        <w:tab/>
        <w:t>($ million)</w:t>
      </w:r>
    </w:p>
    <w:tbl>
      <w:tblPr>
        <w:tblStyle w:val="DTFTableNumeric"/>
        <w:tblW w:w="7710" w:type="dxa"/>
        <w:tblLayout w:type="fixed"/>
        <w:tblLook w:val="06E0" w:firstRow="1" w:lastRow="1" w:firstColumn="1" w:lastColumn="0" w:noHBand="1" w:noVBand="1"/>
        <w:tblDescription w:val="Type:DtfTable|Workbook:https://vicgov.sharepoint.com/sites/VG002735/Budget%20Update/Appendix%20A/Appendix%20A.xlsx|Table:WoVG_Housing_Revenue"/>
      </w:tblPr>
      <w:tblGrid>
        <w:gridCol w:w="4534"/>
        <w:gridCol w:w="794"/>
        <w:gridCol w:w="794"/>
        <w:gridCol w:w="794"/>
        <w:gridCol w:w="794"/>
      </w:tblGrid>
      <w:tr w:rsidR="009C6724" w14:paraId="018657E6"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4" w:type="dxa"/>
          </w:tcPr>
          <w:p w14:paraId="22291611" w14:textId="77777777" w:rsidR="00AB205D" w:rsidRDefault="00AB205D" w:rsidP="005730BC">
            <w:pPr>
              <w:keepNext/>
              <w:spacing w:after="0"/>
            </w:pPr>
          </w:p>
        </w:tc>
        <w:tc>
          <w:tcPr>
            <w:tcW w:w="794" w:type="dxa"/>
          </w:tcPr>
          <w:p w14:paraId="1D404D77" w14:textId="77777777" w:rsidR="00AB205D" w:rsidRDefault="00471A3B" w:rsidP="005730BC">
            <w:pPr>
              <w:keepNext/>
              <w:spacing w:after="0"/>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46E8860D" w14:textId="77777777" w:rsidR="00AB205D" w:rsidRDefault="00471A3B" w:rsidP="005730BC">
            <w:pPr>
              <w:keepNext/>
              <w:spacing w:after="0"/>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616B86EC" w14:textId="77777777" w:rsidR="00AB205D" w:rsidRDefault="00471A3B" w:rsidP="005730BC">
            <w:pPr>
              <w:keepNext/>
              <w:spacing w:after="0"/>
              <w:cnfStyle w:val="100000000000" w:firstRow="1" w:lastRow="0" w:firstColumn="0" w:lastColumn="0" w:oddVBand="0" w:evenVBand="0" w:oddHBand="0" w:evenHBand="0" w:firstRowFirstColumn="0" w:firstRowLastColumn="0" w:lastRowFirstColumn="0" w:lastRowLastColumn="0"/>
            </w:pPr>
            <w:r>
              <w:t>2025</w:t>
            </w:r>
            <w:r>
              <w:noBreakHyphen/>
              <w:t>26</w:t>
            </w:r>
          </w:p>
        </w:tc>
        <w:tc>
          <w:tcPr>
            <w:tcW w:w="794" w:type="dxa"/>
          </w:tcPr>
          <w:p w14:paraId="752402A5" w14:textId="77777777" w:rsidR="00AB205D" w:rsidRDefault="00471A3B" w:rsidP="005730BC">
            <w:pPr>
              <w:keepNext/>
              <w:spacing w:after="0"/>
              <w:cnfStyle w:val="100000000000" w:firstRow="1" w:lastRow="0" w:firstColumn="0" w:lastColumn="0" w:oddVBand="0" w:evenVBand="0" w:oddHBand="0" w:evenHBand="0" w:firstRowFirstColumn="0" w:firstRowLastColumn="0" w:lastRowFirstColumn="0" w:lastRowLastColumn="0"/>
            </w:pPr>
            <w:r>
              <w:t>2026</w:t>
            </w:r>
            <w:r>
              <w:noBreakHyphen/>
              <w:t>27</w:t>
            </w:r>
          </w:p>
        </w:tc>
      </w:tr>
      <w:tr w:rsidR="009C6724" w14:paraId="242E4783"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bottom w:val="single" w:sz="6" w:space="0" w:color="auto"/>
            </w:tcBorders>
          </w:tcPr>
          <w:p w14:paraId="19E6D206" w14:textId="77777777" w:rsidR="00AB205D" w:rsidRDefault="00471A3B" w:rsidP="005730BC">
            <w:pPr>
              <w:spacing w:after="0"/>
            </w:pPr>
            <w:r>
              <w:t>Short Stay Levy</w:t>
            </w:r>
          </w:p>
        </w:tc>
        <w:tc>
          <w:tcPr>
            <w:tcW w:w="794" w:type="dxa"/>
            <w:tcBorders>
              <w:bottom w:val="single" w:sz="6" w:space="0" w:color="auto"/>
            </w:tcBorders>
          </w:tcPr>
          <w:p w14:paraId="4713DDE3" w14:textId="3094AB11" w:rsidR="00AB205D" w:rsidRDefault="00471A3B" w:rsidP="005730BC">
            <w:pPr>
              <w:spacing w:after="0"/>
              <w:cnfStyle w:val="000000000000" w:firstRow="0" w:lastRow="0" w:firstColumn="0" w:lastColumn="0" w:oddVBand="0" w:evenVBand="0" w:oddHBand="0" w:evenHBand="0" w:firstRowFirstColumn="0" w:firstRowLastColumn="0" w:lastRowFirstColumn="0" w:lastRowLastColumn="0"/>
            </w:pPr>
            <w:r>
              <w:t xml:space="preserve">             </w:t>
            </w:r>
            <w:r w:rsidR="00CA522C">
              <w:t>..</w:t>
            </w:r>
          </w:p>
        </w:tc>
        <w:tc>
          <w:tcPr>
            <w:tcW w:w="794" w:type="dxa"/>
            <w:tcBorders>
              <w:bottom w:val="single" w:sz="6" w:space="0" w:color="auto"/>
            </w:tcBorders>
          </w:tcPr>
          <w:p w14:paraId="60342B29" w14:textId="77777777" w:rsidR="00AB205D" w:rsidRDefault="00471A3B" w:rsidP="005730BC">
            <w:pPr>
              <w:spacing w:after="0"/>
              <w:cnfStyle w:val="000000000000" w:firstRow="0" w:lastRow="0" w:firstColumn="0" w:lastColumn="0" w:oddVBand="0" w:evenVBand="0" w:oddHBand="0" w:evenHBand="0" w:firstRowFirstColumn="0" w:firstRowLastColumn="0" w:lastRowFirstColumn="0" w:lastRowLastColumn="0"/>
            </w:pPr>
            <w:r>
              <w:t>37.5</w:t>
            </w:r>
          </w:p>
        </w:tc>
        <w:tc>
          <w:tcPr>
            <w:tcW w:w="794" w:type="dxa"/>
            <w:tcBorders>
              <w:bottom w:val="single" w:sz="6" w:space="0" w:color="auto"/>
            </w:tcBorders>
          </w:tcPr>
          <w:p w14:paraId="4C68B662" w14:textId="77777777" w:rsidR="00AB205D" w:rsidRDefault="00471A3B" w:rsidP="005730BC">
            <w:pPr>
              <w:spacing w:after="0"/>
              <w:cnfStyle w:val="000000000000" w:firstRow="0" w:lastRow="0" w:firstColumn="0" w:lastColumn="0" w:oddVBand="0" w:evenVBand="0" w:oddHBand="0" w:evenHBand="0" w:firstRowFirstColumn="0" w:firstRowLastColumn="0" w:lastRowFirstColumn="0" w:lastRowLastColumn="0"/>
            </w:pPr>
            <w:r>
              <w:t>75.0</w:t>
            </w:r>
          </w:p>
        </w:tc>
        <w:tc>
          <w:tcPr>
            <w:tcW w:w="794" w:type="dxa"/>
            <w:tcBorders>
              <w:bottom w:val="single" w:sz="6" w:space="0" w:color="auto"/>
            </w:tcBorders>
          </w:tcPr>
          <w:p w14:paraId="6829BC6B" w14:textId="77777777" w:rsidR="00AB205D" w:rsidRDefault="00471A3B" w:rsidP="005730BC">
            <w:pPr>
              <w:spacing w:after="0"/>
              <w:cnfStyle w:val="000000000000" w:firstRow="0" w:lastRow="0" w:firstColumn="0" w:lastColumn="0" w:oddVBand="0" w:evenVBand="0" w:oddHBand="0" w:evenHBand="0" w:firstRowFirstColumn="0" w:firstRowLastColumn="0" w:lastRowFirstColumn="0" w:lastRowLastColumn="0"/>
            </w:pPr>
            <w:r>
              <w:t>75.0</w:t>
            </w:r>
          </w:p>
        </w:tc>
      </w:tr>
      <w:tr w:rsidR="009C6724" w14:paraId="2AB1AAE3" w14:textId="77777777" w:rsidTr="009C672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tcBorders>
          </w:tcPr>
          <w:p w14:paraId="1E7A42FC" w14:textId="77777777" w:rsidR="00AB205D" w:rsidRDefault="00471A3B" w:rsidP="005730BC">
            <w:pPr>
              <w:spacing w:after="0"/>
            </w:pPr>
            <w:r>
              <w:t>Total revenue initiatives</w:t>
            </w:r>
          </w:p>
        </w:tc>
        <w:tc>
          <w:tcPr>
            <w:tcW w:w="794" w:type="dxa"/>
            <w:tcBorders>
              <w:top w:val="single" w:sz="6" w:space="0" w:color="auto"/>
            </w:tcBorders>
          </w:tcPr>
          <w:p w14:paraId="53688195" w14:textId="77777777" w:rsidR="00AB205D" w:rsidRDefault="00471A3B" w:rsidP="005730BC">
            <w:pPr>
              <w:spacing w:after="0"/>
              <w:cnfStyle w:val="010000000000" w:firstRow="0" w:lastRow="1" w:firstColumn="0" w:lastColumn="0" w:oddVBand="0" w:evenVBand="0" w:oddHBand="0" w:evenHBand="0" w:firstRowFirstColumn="0" w:firstRowLastColumn="0" w:lastRowFirstColumn="0" w:lastRowLastColumn="0"/>
            </w:pPr>
            <w:r>
              <w:t>..</w:t>
            </w:r>
          </w:p>
        </w:tc>
        <w:tc>
          <w:tcPr>
            <w:tcW w:w="794" w:type="dxa"/>
            <w:tcBorders>
              <w:top w:val="single" w:sz="6" w:space="0" w:color="auto"/>
            </w:tcBorders>
          </w:tcPr>
          <w:p w14:paraId="6B400845" w14:textId="77777777" w:rsidR="00AB205D" w:rsidRDefault="00471A3B" w:rsidP="005730BC">
            <w:pPr>
              <w:spacing w:after="0"/>
              <w:cnfStyle w:val="010000000000" w:firstRow="0" w:lastRow="1" w:firstColumn="0" w:lastColumn="0" w:oddVBand="0" w:evenVBand="0" w:oddHBand="0" w:evenHBand="0" w:firstRowFirstColumn="0" w:firstRowLastColumn="0" w:lastRowFirstColumn="0" w:lastRowLastColumn="0"/>
            </w:pPr>
            <w:r>
              <w:t>37.5</w:t>
            </w:r>
          </w:p>
        </w:tc>
        <w:tc>
          <w:tcPr>
            <w:tcW w:w="794" w:type="dxa"/>
            <w:tcBorders>
              <w:top w:val="single" w:sz="6" w:space="0" w:color="auto"/>
            </w:tcBorders>
          </w:tcPr>
          <w:p w14:paraId="128A226D" w14:textId="77777777" w:rsidR="00AB205D" w:rsidRDefault="00471A3B" w:rsidP="005730BC">
            <w:pPr>
              <w:spacing w:after="0"/>
              <w:cnfStyle w:val="010000000000" w:firstRow="0" w:lastRow="1" w:firstColumn="0" w:lastColumn="0" w:oddVBand="0" w:evenVBand="0" w:oddHBand="0" w:evenHBand="0" w:firstRowFirstColumn="0" w:firstRowLastColumn="0" w:lastRowFirstColumn="0" w:lastRowLastColumn="0"/>
            </w:pPr>
            <w:r>
              <w:t>75.0</w:t>
            </w:r>
          </w:p>
        </w:tc>
        <w:tc>
          <w:tcPr>
            <w:tcW w:w="794" w:type="dxa"/>
            <w:tcBorders>
              <w:top w:val="single" w:sz="6" w:space="0" w:color="auto"/>
            </w:tcBorders>
          </w:tcPr>
          <w:p w14:paraId="58575DAD" w14:textId="77777777" w:rsidR="00AB205D" w:rsidRDefault="00471A3B" w:rsidP="005730BC">
            <w:pPr>
              <w:spacing w:after="0"/>
              <w:cnfStyle w:val="010000000000" w:firstRow="0" w:lastRow="1" w:firstColumn="0" w:lastColumn="0" w:oddVBand="0" w:evenVBand="0" w:oddHBand="0" w:evenHBand="0" w:firstRowFirstColumn="0" w:firstRowLastColumn="0" w:lastRowFirstColumn="0" w:lastRowLastColumn="0"/>
            </w:pPr>
            <w:r>
              <w:t>75.0</w:t>
            </w:r>
          </w:p>
        </w:tc>
      </w:tr>
    </w:tbl>
    <w:p w14:paraId="7CF595A9" w14:textId="77777777" w:rsidR="00AB205D" w:rsidRDefault="00471A3B" w:rsidP="005730BC">
      <w:pPr>
        <w:pStyle w:val="Heading5"/>
        <w:spacing w:before="140" w:after="20"/>
        <w:rPr>
          <w:rFonts w:ascii="Calibri" w:eastAsia="Calibri" w:hAnsi="Calibri" w:cs="Calibri"/>
        </w:rPr>
      </w:pPr>
      <w:r w:rsidRPr="2854F05D">
        <w:rPr>
          <w:rFonts w:ascii="Calibri" w:eastAsia="Calibri" w:hAnsi="Calibri" w:cs="Calibri"/>
        </w:rPr>
        <w:t>Short Stay Levy</w:t>
      </w:r>
      <w:r>
        <w:rPr>
          <w:rFonts w:ascii="Calibri" w:eastAsia="Calibri" w:hAnsi="Calibri" w:cs="Calibri"/>
        </w:rPr>
        <w:t xml:space="preserve"> </w:t>
      </w:r>
    </w:p>
    <w:p w14:paraId="747B745F" w14:textId="77777777" w:rsidR="00AB205D" w:rsidRDefault="00471A3B" w:rsidP="008F0920">
      <w:pPr>
        <w:tabs>
          <w:tab w:val="left" w:pos="720"/>
        </w:tabs>
        <w:spacing w:before="60" w:after="40" w:line="228" w:lineRule="auto"/>
        <w:rPr>
          <w:rFonts w:ascii="Garamond" w:eastAsia="Garamond" w:hAnsi="Garamond" w:cs="Garamond"/>
        </w:rPr>
      </w:pPr>
      <w:r w:rsidRPr="2854F05D">
        <w:rPr>
          <w:rFonts w:ascii="Garamond" w:eastAsia="Garamond" w:hAnsi="Garamond" w:cs="Garamond"/>
        </w:rPr>
        <w:t>From 1 January 2025, the Government will introduce a 7.5</w:t>
      </w:r>
      <w:r>
        <w:rPr>
          <w:rFonts w:ascii="Garamond" w:eastAsia="Garamond" w:hAnsi="Garamond" w:cs="Garamond"/>
        </w:rPr>
        <w:t> </w:t>
      </w:r>
      <w:r w:rsidRPr="2854F05D">
        <w:rPr>
          <w:rFonts w:ascii="Garamond" w:eastAsia="Garamond" w:hAnsi="Garamond" w:cs="Garamond"/>
        </w:rPr>
        <w:t>per</w:t>
      </w:r>
      <w:r>
        <w:rPr>
          <w:rFonts w:ascii="Garamond" w:eastAsia="Garamond" w:hAnsi="Garamond" w:cs="Garamond"/>
        </w:rPr>
        <w:t> </w:t>
      </w:r>
      <w:r w:rsidRPr="2854F05D">
        <w:rPr>
          <w:rFonts w:ascii="Garamond" w:eastAsia="Garamond" w:hAnsi="Garamond" w:cs="Garamond"/>
        </w:rPr>
        <w:t>cent levy on short stay accommodation in Victoria. The levy is intended to encourage the return of properties to the long</w:t>
      </w:r>
      <w:r>
        <w:rPr>
          <w:rFonts w:ascii="Garamond" w:eastAsia="Garamond" w:hAnsi="Garamond" w:cs="Garamond"/>
        </w:rPr>
        <w:noBreakHyphen/>
      </w:r>
      <w:r w:rsidRPr="2854F05D">
        <w:rPr>
          <w:rFonts w:ascii="Garamond" w:eastAsia="Garamond" w:hAnsi="Garamond" w:cs="Garamond"/>
        </w:rPr>
        <w:t>term rental market, and to raise revenue for Homes Victoria to spend on social and affordable housing, with 25</w:t>
      </w:r>
      <w:r>
        <w:rPr>
          <w:rFonts w:ascii="Garamond" w:eastAsia="Garamond" w:hAnsi="Garamond" w:cs="Garamond"/>
        </w:rPr>
        <w:t> </w:t>
      </w:r>
      <w:r w:rsidRPr="2854F05D">
        <w:rPr>
          <w:rFonts w:ascii="Garamond" w:eastAsia="Garamond" w:hAnsi="Garamond" w:cs="Garamond"/>
        </w:rPr>
        <w:t>per</w:t>
      </w:r>
      <w:r>
        <w:rPr>
          <w:rFonts w:ascii="Garamond" w:eastAsia="Garamond" w:hAnsi="Garamond" w:cs="Garamond"/>
        </w:rPr>
        <w:t> </w:t>
      </w:r>
      <w:r w:rsidRPr="2854F05D">
        <w:rPr>
          <w:rFonts w:ascii="Garamond" w:eastAsia="Garamond" w:hAnsi="Garamond" w:cs="Garamond"/>
        </w:rPr>
        <w:t>cent of funds directly invested in Regional Victoria.</w:t>
      </w:r>
    </w:p>
    <w:bookmarkEnd w:id="104"/>
    <w:bookmarkEnd w:id="105"/>
    <w:bookmarkEnd w:id="106"/>
    <w:bookmarkEnd w:id="107"/>
    <w:bookmarkEnd w:id="108"/>
    <w:bookmarkEnd w:id="109"/>
    <w:bookmarkEnd w:id="111"/>
    <w:p w14:paraId="202BD068" w14:textId="77777777" w:rsidR="00AB205D" w:rsidRDefault="00471A3B" w:rsidP="008F0920">
      <w:pPr>
        <w:pStyle w:val="Heading20"/>
        <w:spacing w:before="200"/>
      </w:pPr>
      <w:r>
        <w:t>Output initiatives</w:t>
      </w:r>
    </w:p>
    <w:p w14:paraId="4BE6F9DA" w14:textId="77777777" w:rsidR="00AB205D" w:rsidRDefault="00471A3B">
      <w:pPr>
        <w:pStyle w:val="TableHeading"/>
      </w:pPr>
      <w:r>
        <w:t>Table A.5:</w:t>
      </w:r>
      <w:r>
        <w:tab/>
        <w:t>Output initiatives – Housing Statement</w:t>
      </w:r>
      <w:r>
        <w:tab/>
        <w:t>($ million)</w:t>
      </w:r>
    </w:p>
    <w:tbl>
      <w:tblPr>
        <w:tblStyle w:val="DTFTableNumeric"/>
        <w:tblW w:w="7710" w:type="dxa"/>
        <w:tblLayout w:type="fixed"/>
        <w:tblLook w:val="06E0" w:firstRow="1" w:lastRow="1" w:firstColumn="1" w:lastColumn="0" w:noHBand="1" w:noVBand="1"/>
        <w:tblDescription w:val="Type:DtfTable|Workbook:https://vicgov.sharepoint.com/sites/VG002735/Budget%20Update/Appendix%20A/Appendix%20A.xlsx|Table:WoVG_Housing_Output"/>
      </w:tblPr>
      <w:tblGrid>
        <w:gridCol w:w="4534"/>
        <w:gridCol w:w="794"/>
        <w:gridCol w:w="794"/>
        <w:gridCol w:w="794"/>
        <w:gridCol w:w="794"/>
      </w:tblGrid>
      <w:tr w:rsidR="009C6724" w14:paraId="4176229F"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4" w:type="dxa"/>
          </w:tcPr>
          <w:p w14:paraId="770BF263" w14:textId="77777777" w:rsidR="00AB205D" w:rsidRDefault="00AB205D" w:rsidP="005730BC">
            <w:pPr>
              <w:keepNext/>
              <w:spacing w:after="0"/>
            </w:pPr>
          </w:p>
        </w:tc>
        <w:tc>
          <w:tcPr>
            <w:tcW w:w="794" w:type="dxa"/>
          </w:tcPr>
          <w:p w14:paraId="205ECA23" w14:textId="77777777" w:rsidR="00AB205D" w:rsidRDefault="00471A3B" w:rsidP="005730BC">
            <w:pPr>
              <w:keepNext/>
              <w:spacing w:after="0"/>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6F7D5217" w14:textId="77777777" w:rsidR="00AB205D" w:rsidRDefault="00471A3B" w:rsidP="005730BC">
            <w:pPr>
              <w:keepNext/>
              <w:spacing w:after="0"/>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35C33118" w14:textId="77777777" w:rsidR="00AB205D" w:rsidRDefault="00471A3B" w:rsidP="005730BC">
            <w:pPr>
              <w:keepNext/>
              <w:spacing w:after="0"/>
              <w:cnfStyle w:val="100000000000" w:firstRow="1" w:lastRow="0" w:firstColumn="0" w:lastColumn="0" w:oddVBand="0" w:evenVBand="0" w:oddHBand="0" w:evenHBand="0" w:firstRowFirstColumn="0" w:firstRowLastColumn="0" w:lastRowFirstColumn="0" w:lastRowLastColumn="0"/>
            </w:pPr>
            <w:r>
              <w:t>2025</w:t>
            </w:r>
            <w:r>
              <w:noBreakHyphen/>
              <w:t>26</w:t>
            </w:r>
          </w:p>
        </w:tc>
        <w:tc>
          <w:tcPr>
            <w:tcW w:w="794" w:type="dxa"/>
          </w:tcPr>
          <w:p w14:paraId="1C3F3F8F" w14:textId="77777777" w:rsidR="00AB205D" w:rsidRDefault="00471A3B" w:rsidP="005730BC">
            <w:pPr>
              <w:keepNext/>
              <w:spacing w:after="0"/>
              <w:cnfStyle w:val="100000000000" w:firstRow="1" w:lastRow="0" w:firstColumn="0" w:lastColumn="0" w:oddVBand="0" w:evenVBand="0" w:oddHBand="0" w:evenHBand="0" w:firstRowFirstColumn="0" w:firstRowLastColumn="0" w:lastRowFirstColumn="0" w:lastRowLastColumn="0"/>
            </w:pPr>
            <w:r>
              <w:t>2026</w:t>
            </w:r>
            <w:r>
              <w:noBreakHyphen/>
              <w:t>27</w:t>
            </w:r>
          </w:p>
        </w:tc>
      </w:tr>
      <w:tr w:rsidR="009C6724" w14:paraId="5E3D8536"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6C1B0726" w14:textId="77777777" w:rsidR="00AB205D" w:rsidRDefault="00471A3B" w:rsidP="005730BC">
            <w:pPr>
              <w:spacing w:after="0"/>
            </w:pPr>
            <w:r>
              <w:t>Additional investment in public housing system</w:t>
            </w:r>
          </w:p>
        </w:tc>
        <w:tc>
          <w:tcPr>
            <w:tcW w:w="794" w:type="dxa"/>
          </w:tcPr>
          <w:p w14:paraId="63EE3164" w14:textId="77777777" w:rsidR="00AB205D" w:rsidRDefault="00471A3B" w:rsidP="005730BC">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Pr>
          <w:p w14:paraId="43E9BB72" w14:textId="77777777" w:rsidR="00AB205D" w:rsidRDefault="00471A3B" w:rsidP="005730BC">
            <w:pPr>
              <w:spacing w:after="0"/>
              <w:cnfStyle w:val="000000000000" w:firstRow="0" w:lastRow="0" w:firstColumn="0" w:lastColumn="0" w:oddVBand="0" w:evenVBand="0" w:oddHBand="0" w:evenHBand="0" w:firstRowFirstColumn="0" w:firstRowLastColumn="0" w:lastRowFirstColumn="0" w:lastRowLastColumn="0"/>
            </w:pPr>
            <w:r>
              <w:t>37.5</w:t>
            </w:r>
          </w:p>
        </w:tc>
        <w:tc>
          <w:tcPr>
            <w:tcW w:w="794" w:type="dxa"/>
          </w:tcPr>
          <w:p w14:paraId="78C8D063" w14:textId="77777777" w:rsidR="00AB205D" w:rsidRDefault="00471A3B" w:rsidP="005730BC">
            <w:pPr>
              <w:spacing w:after="0"/>
              <w:cnfStyle w:val="000000000000" w:firstRow="0" w:lastRow="0" w:firstColumn="0" w:lastColumn="0" w:oddVBand="0" w:evenVBand="0" w:oddHBand="0" w:evenHBand="0" w:firstRowFirstColumn="0" w:firstRowLastColumn="0" w:lastRowFirstColumn="0" w:lastRowLastColumn="0"/>
            </w:pPr>
            <w:r>
              <w:t>75.0</w:t>
            </w:r>
          </w:p>
        </w:tc>
        <w:tc>
          <w:tcPr>
            <w:tcW w:w="794" w:type="dxa"/>
          </w:tcPr>
          <w:p w14:paraId="4AEF6D36" w14:textId="77777777" w:rsidR="00AB205D" w:rsidRDefault="00471A3B" w:rsidP="005730BC">
            <w:pPr>
              <w:spacing w:after="0"/>
              <w:cnfStyle w:val="000000000000" w:firstRow="0" w:lastRow="0" w:firstColumn="0" w:lastColumn="0" w:oddVBand="0" w:evenVBand="0" w:oddHBand="0" w:evenHBand="0" w:firstRowFirstColumn="0" w:firstRowLastColumn="0" w:lastRowFirstColumn="0" w:lastRowLastColumn="0"/>
            </w:pPr>
            <w:r>
              <w:t>75.0</w:t>
            </w:r>
          </w:p>
        </w:tc>
      </w:tr>
      <w:tr w:rsidR="009C6724" w14:paraId="66C322CD"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792C453A" w14:textId="77777777" w:rsidR="00AB205D" w:rsidRDefault="00471A3B" w:rsidP="005730BC">
            <w:pPr>
              <w:spacing w:after="0"/>
            </w:pPr>
            <w:r>
              <w:t>Delivering a Rental Stress Support Package</w:t>
            </w:r>
          </w:p>
        </w:tc>
        <w:tc>
          <w:tcPr>
            <w:tcW w:w="794" w:type="dxa"/>
          </w:tcPr>
          <w:p w14:paraId="3268AF64" w14:textId="77777777" w:rsidR="00AB205D" w:rsidRDefault="00471A3B" w:rsidP="005730BC">
            <w:pPr>
              <w:spacing w:after="0"/>
              <w:cnfStyle w:val="000000000000" w:firstRow="0" w:lastRow="0" w:firstColumn="0" w:lastColumn="0" w:oddVBand="0" w:evenVBand="0" w:oddHBand="0" w:evenHBand="0" w:firstRowFirstColumn="0" w:firstRowLastColumn="0" w:lastRowFirstColumn="0" w:lastRowLastColumn="0"/>
            </w:pPr>
            <w:r>
              <w:t>2.0</w:t>
            </w:r>
          </w:p>
        </w:tc>
        <w:tc>
          <w:tcPr>
            <w:tcW w:w="794" w:type="dxa"/>
          </w:tcPr>
          <w:p w14:paraId="751D69C3" w14:textId="77777777" w:rsidR="00AB205D" w:rsidRDefault="00471A3B" w:rsidP="005730BC">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Pr>
          <w:p w14:paraId="046F6743" w14:textId="77777777" w:rsidR="00AB205D" w:rsidRDefault="00471A3B" w:rsidP="005730BC">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Pr>
          <w:p w14:paraId="40D92DE9" w14:textId="77777777" w:rsidR="00AB205D" w:rsidRDefault="00471A3B" w:rsidP="005730BC">
            <w:pPr>
              <w:spacing w:after="0"/>
              <w:cnfStyle w:val="000000000000" w:firstRow="0" w:lastRow="0" w:firstColumn="0" w:lastColumn="0" w:oddVBand="0" w:evenVBand="0" w:oddHBand="0" w:evenHBand="0" w:firstRowFirstColumn="0" w:firstRowLastColumn="0" w:lastRowFirstColumn="0" w:lastRowLastColumn="0"/>
            </w:pPr>
            <w:r>
              <w:t>..</w:t>
            </w:r>
          </w:p>
        </w:tc>
      </w:tr>
      <w:tr w:rsidR="009C6724" w14:paraId="0102F453"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671B0689" w14:textId="77777777" w:rsidR="00AB205D" w:rsidRDefault="00471A3B" w:rsidP="005730BC">
            <w:pPr>
              <w:spacing w:after="0"/>
            </w:pPr>
            <w:r>
              <w:t>Planning reform initiatives to support housing</w:t>
            </w:r>
          </w:p>
        </w:tc>
        <w:tc>
          <w:tcPr>
            <w:tcW w:w="794" w:type="dxa"/>
          </w:tcPr>
          <w:p w14:paraId="12D69D79" w14:textId="77777777" w:rsidR="00AB205D" w:rsidRDefault="00471A3B" w:rsidP="005730BC">
            <w:pPr>
              <w:spacing w:after="0"/>
              <w:cnfStyle w:val="000000000000" w:firstRow="0" w:lastRow="0" w:firstColumn="0" w:lastColumn="0" w:oddVBand="0" w:evenVBand="0" w:oddHBand="0" w:evenHBand="0" w:firstRowFirstColumn="0" w:firstRowLastColumn="0" w:lastRowFirstColumn="0" w:lastRowLastColumn="0"/>
            </w:pPr>
            <w:r>
              <w:t>21.5</w:t>
            </w:r>
          </w:p>
        </w:tc>
        <w:tc>
          <w:tcPr>
            <w:tcW w:w="794" w:type="dxa"/>
          </w:tcPr>
          <w:p w14:paraId="4E63ED6B" w14:textId="77777777" w:rsidR="00AB205D" w:rsidRDefault="00471A3B" w:rsidP="005730BC">
            <w:pPr>
              <w:spacing w:after="0"/>
              <w:cnfStyle w:val="000000000000" w:firstRow="0" w:lastRow="0" w:firstColumn="0" w:lastColumn="0" w:oddVBand="0" w:evenVBand="0" w:oddHBand="0" w:evenHBand="0" w:firstRowFirstColumn="0" w:firstRowLastColumn="0" w:lastRowFirstColumn="0" w:lastRowLastColumn="0"/>
            </w:pPr>
            <w:r>
              <w:t>29.3</w:t>
            </w:r>
          </w:p>
        </w:tc>
        <w:tc>
          <w:tcPr>
            <w:tcW w:w="794" w:type="dxa"/>
          </w:tcPr>
          <w:p w14:paraId="6A980021" w14:textId="77777777" w:rsidR="00AB205D" w:rsidRDefault="00471A3B" w:rsidP="005730BC">
            <w:pPr>
              <w:spacing w:after="0"/>
              <w:cnfStyle w:val="000000000000" w:firstRow="0" w:lastRow="0" w:firstColumn="0" w:lastColumn="0" w:oddVBand="0" w:evenVBand="0" w:oddHBand="0" w:evenHBand="0" w:firstRowFirstColumn="0" w:firstRowLastColumn="0" w:lastRowFirstColumn="0" w:lastRowLastColumn="0"/>
            </w:pPr>
            <w:r>
              <w:t>22.8</w:t>
            </w:r>
          </w:p>
        </w:tc>
        <w:tc>
          <w:tcPr>
            <w:tcW w:w="794" w:type="dxa"/>
          </w:tcPr>
          <w:p w14:paraId="6449DF28" w14:textId="77777777" w:rsidR="00AB205D" w:rsidRDefault="00471A3B" w:rsidP="005730BC">
            <w:pPr>
              <w:spacing w:after="0"/>
              <w:cnfStyle w:val="000000000000" w:firstRow="0" w:lastRow="0" w:firstColumn="0" w:lastColumn="0" w:oddVBand="0" w:evenVBand="0" w:oddHBand="0" w:evenHBand="0" w:firstRowFirstColumn="0" w:firstRowLastColumn="0" w:lastRowFirstColumn="0" w:lastRowLastColumn="0"/>
            </w:pPr>
            <w:r>
              <w:t>10.2</w:t>
            </w:r>
          </w:p>
        </w:tc>
      </w:tr>
      <w:tr w:rsidR="009C6724" w14:paraId="564C86FB" w14:textId="77777777" w:rsidTr="009C6724">
        <w:tc>
          <w:tcPr>
            <w:cnfStyle w:val="001000000000" w:firstRow="0" w:lastRow="0" w:firstColumn="1" w:lastColumn="0" w:oddVBand="0" w:evenVBand="0" w:oddHBand="0" w:evenHBand="0" w:firstRowFirstColumn="0" w:firstRowLastColumn="0" w:lastRowFirstColumn="0" w:lastRowLastColumn="0"/>
            <w:tcW w:w="0" w:type="dxa"/>
            <w:tcBorders>
              <w:bottom w:val="nil"/>
            </w:tcBorders>
          </w:tcPr>
          <w:p w14:paraId="6963D21E" w14:textId="77777777" w:rsidR="00AB205D" w:rsidRDefault="00471A3B" w:rsidP="005730BC">
            <w:pPr>
              <w:spacing w:after="0"/>
            </w:pPr>
            <w:r>
              <w:t>Public Housing Revitalisation</w:t>
            </w:r>
          </w:p>
        </w:tc>
        <w:tc>
          <w:tcPr>
            <w:tcW w:w="0" w:type="dxa"/>
            <w:tcBorders>
              <w:bottom w:val="nil"/>
            </w:tcBorders>
          </w:tcPr>
          <w:p w14:paraId="3580AB0E" w14:textId="77777777" w:rsidR="00AB205D" w:rsidRDefault="00471A3B" w:rsidP="005730BC">
            <w:pPr>
              <w:spacing w:after="0"/>
              <w:cnfStyle w:val="000000000000" w:firstRow="0" w:lastRow="0" w:firstColumn="0" w:lastColumn="0" w:oddVBand="0" w:evenVBand="0" w:oddHBand="0" w:evenHBand="0" w:firstRowFirstColumn="0" w:firstRowLastColumn="0" w:lastRowFirstColumn="0" w:lastRowLastColumn="0"/>
            </w:pPr>
            <w:r>
              <w:t>3.0</w:t>
            </w:r>
          </w:p>
        </w:tc>
        <w:tc>
          <w:tcPr>
            <w:tcW w:w="0" w:type="dxa"/>
            <w:tcBorders>
              <w:bottom w:val="nil"/>
            </w:tcBorders>
          </w:tcPr>
          <w:p w14:paraId="242F1B71" w14:textId="77777777" w:rsidR="00AB205D" w:rsidRDefault="00471A3B" w:rsidP="005730BC">
            <w:pPr>
              <w:spacing w:after="0"/>
              <w:cnfStyle w:val="000000000000" w:firstRow="0" w:lastRow="0" w:firstColumn="0" w:lastColumn="0" w:oddVBand="0" w:evenVBand="0" w:oddHBand="0" w:evenHBand="0" w:firstRowFirstColumn="0" w:firstRowLastColumn="0" w:lastRowFirstColumn="0" w:lastRowLastColumn="0"/>
            </w:pPr>
            <w:r>
              <w:t>3.0</w:t>
            </w:r>
          </w:p>
        </w:tc>
        <w:tc>
          <w:tcPr>
            <w:tcW w:w="0" w:type="dxa"/>
            <w:tcBorders>
              <w:bottom w:val="nil"/>
            </w:tcBorders>
          </w:tcPr>
          <w:p w14:paraId="3E3C9258" w14:textId="77777777" w:rsidR="00AB205D" w:rsidRDefault="00471A3B" w:rsidP="005730BC">
            <w:pPr>
              <w:spacing w:after="0"/>
              <w:cnfStyle w:val="000000000000" w:firstRow="0" w:lastRow="0" w:firstColumn="0" w:lastColumn="0" w:oddVBand="0" w:evenVBand="0" w:oddHBand="0" w:evenHBand="0" w:firstRowFirstColumn="0" w:firstRowLastColumn="0" w:lastRowFirstColumn="0" w:lastRowLastColumn="0"/>
            </w:pPr>
            <w:r>
              <w:t>3.0</w:t>
            </w:r>
          </w:p>
        </w:tc>
        <w:tc>
          <w:tcPr>
            <w:tcW w:w="0" w:type="dxa"/>
            <w:tcBorders>
              <w:bottom w:val="nil"/>
            </w:tcBorders>
          </w:tcPr>
          <w:p w14:paraId="34C72112" w14:textId="77777777" w:rsidR="00AB205D" w:rsidRDefault="00471A3B" w:rsidP="005730BC">
            <w:pPr>
              <w:spacing w:after="0"/>
              <w:cnfStyle w:val="000000000000" w:firstRow="0" w:lastRow="0" w:firstColumn="0" w:lastColumn="0" w:oddVBand="0" w:evenVBand="0" w:oddHBand="0" w:evenHBand="0" w:firstRowFirstColumn="0" w:firstRowLastColumn="0" w:lastRowFirstColumn="0" w:lastRowLastColumn="0"/>
            </w:pPr>
            <w:r>
              <w:t>3.0</w:t>
            </w:r>
          </w:p>
        </w:tc>
      </w:tr>
      <w:tr w:rsidR="009C6724" w14:paraId="11B83DC8" w14:textId="77777777" w:rsidTr="009C6724">
        <w:tc>
          <w:tcPr>
            <w:cnfStyle w:val="001000000000" w:firstRow="0" w:lastRow="0" w:firstColumn="1" w:lastColumn="0" w:oddVBand="0" w:evenVBand="0" w:oddHBand="0" w:evenHBand="0" w:firstRowFirstColumn="0" w:firstRowLastColumn="0" w:lastRowFirstColumn="0" w:lastRowLastColumn="0"/>
            <w:tcW w:w="0" w:type="dxa"/>
            <w:tcBorders>
              <w:top w:val="nil"/>
              <w:bottom w:val="single" w:sz="4" w:space="0" w:color="auto"/>
            </w:tcBorders>
          </w:tcPr>
          <w:p w14:paraId="50E3240C" w14:textId="77777777" w:rsidR="00AB205D" w:rsidRDefault="00471A3B" w:rsidP="005730BC">
            <w:pPr>
              <w:spacing w:after="0"/>
            </w:pPr>
            <w:r>
              <w:t>Social Housing Accelerator Program</w:t>
            </w:r>
          </w:p>
        </w:tc>
        <w:tc>
          <w:tcPr>
            <w:tcW w:w="0" w:type="dxa"/>
            <w:tcBorders>
              <w:top w:val="nil"/>
              <w:bottom w:val="single" w:sz="4" w:space="0" w:color="auto"/>
            </w:tcBorders>
          </w:tcPr>
          <w:p w14:paraId="34EACA89" w14:textId="77777777" w:rsidR="00AB205D" w:rsidRDefault="00471A3B" w:rsidP="005730BC">
            <w:pPr>
              <w:spacing w:after="0"/>
              <w:cnfStyle w:val="000000000000" w:firstRow="0" w:lastRow="0" w:firstColumn="0" w:lastColumn="0" w:oddVBand="0" w:evenVBand="0" w:oddHBand="0" w:evenHBand="0" w:firstRowFirstColumn="0" w:firstRowLastColumn="0" w:lastRowFirstColumn="0" w:lastRowLastColumn="0"/>
            </w:pPr>
            <w:r>
              <w:t>3.6</w:t>
            </w:r>
          </w:p>
        </w:tc>
        <w:tc>
          <w:tcPr>
            <w:tcW w:w="0" w:type="dxa"/>
            <w:tcBorders>
              <w:top w:val="nil"/>
              <w:bottom w:val="single" w:sz="4" w:space="0" w:color="auto"/>
            </w:tcBorders>
          </w:tcPr>
          <w:p w14:paraId="2E68AC02" w14:textId="77777777" w:rsidR="00AB205D" w:rsidRDefault="00471A3B" w:rsidP="005730BC">
            <w:pPr>
              <w:spacing w:after="0"/>
              <w:cnfStyle w:val="000000000000" w:firstRow="0" w:lastRow="0" w:firstColumn="0" w:lastColumn="0" w:oddVBand="0" w:evenVBand="0" w:oddHBand="0" w:evenHBand="0" w:firstRowFirstColumn="0" w:firstRowLastColumn="0" w:lastRowFirstColumn="0" w:lastRowLastColumn="0"/>
            </w:pPr>
            <w:r>
              <w:t>6.5</w:t>
            </w:r>
          </w:p>
        </w:tc>
        <w:tc>
          <w:tcPr>
            <w:tcW w:w="0" w:type="dxa"/>
            <w:tcBorders>
              <w:top w:val="nil"/>
              <w:bottom w:val="single" w:sz="4" w:space="0" w:color="auto"/>
            </w:tcBorders>
          </w:tcPr>
          <w:p w14:paraId="009B9216" w14:textId="77777777" w:rsidR="00AB205D" w:rsidRDefault="00471A3B" w:rsidP="005730BC">
            <w:pPr>
              <w:spacing w:after="0"/>
              <w:cnfStyle w:val="000000000000" w:firstRow="0" w:lastRow="0" w:firstColumn="0" w:lastColumn="0" w:oddVBand="0" w:evenVBand="0" w:oddHBand="0" w:evenHBand="0" w:firstRowFirstColumn="0" w:firstRowLastColumn="0" w:lastRowFirstColumn="0" w:lastRowLastColumn="0"/>
            </w:pPr>
            <w:r>
              <w:t>12.6</w:t>
            </w:r>
          </w:p>
        </w:tc>
        <w:tc>
          <w:tcPr>
            <w:tcW w:w="0" w:type="dxa"/>
            <w:tcBorders>
              <w:top w:val="nil"/>
              <w:bottom w:val="single" w:sz="4" w:space="0" w:color="auto"/>
            </w:tcBorders>
          </w:tcPr>
          <w:p w14:paraId="6B4002CC" w14:textId="77777777" w:rsidR="00AB205D" w:rsidRDefault="00471A3B" w:rsidP="005730BC">
            <w:pPr>
              <w:spacing w:after="0"/>
              <w:cnfStyle w:val="000000000000" w:firstRow="0" w:lastRow="0" w:firstColumn="0" w:lastColumn="0" w:oddVBand="0" w:evenVBand="0" w:oddHBand="0" w:evenHBand="0" w:firstRowFirstColumn="0" w:firstRowLastColumn="0" w:lastRowFirstColumn="0" w:lastRowLastColumn="0"/>
            </w:pPr>
            <w:r>
              <w:t>8.9</w:t>
            </w:r>
          </w:p>
        </w:tc>
      </w:tr>
      <w:tr w:rsidR="009C6724" w:rsidRPr="00882944" w14:paraId="1A946098" w14:textId="77777777" w:rsidTr="009C672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426CF70" w14:textId="77777777" w:rsidR="00AB205D" w:rsidRPr="00882944" w:rsidRDefault="00471A3B" w:rsidP="005730BC">
            <w:pPr>
              <w:spacing w:after="0"/>
            </w:pPr>
            <w:r w:rsidRPr="00882944">
              <w:t>Total output initiatives</w:t>
            </w:r>
          </w:p>
        </w:tc>
        <w:tc>
          <w:tcPr>
            <w:tcW w:w="0" w:type="dxa"/>
            <w:vAlign w:val="center"/>
          </w:tcPr>
          <w:p w14:paraId="3FF0D4DA" w14:textId="77777777" w:rsidR="00AB205D" w:rsidRPr="00882944" w:rsidRDefault="00471A3B" w:rsidP="005730BC">
            <w:pPr>
              <w:spacing w:after="0"/>
              <w:cnfStyle w:val="010000000000" w:firstRow="0" w:lastRow="1" w:firstColumn="0" w:lastColumn="0" w:oddVBand="0" w:evenVBand="0" w:oddHBand="0" w:evenHBand="0" w:firstRowFirstColumn="0" w:firstRowLastColumn="0" w:lastRowFirstColumn="0" w:lastRowLastColumn="0"/>
            </w:pPr>
            <w:r w:rsidRPr="00882944">
              <w:t>30.2</w:t>
            </w:r>
          </w:p>
        </w:tc>
        <w:tc>
          <w:tcPr>
            <w:tcW w:w="0" w:type="dxa"/>
            <w:vAlign w:val="center"/>
          </w:tcPr>
          <w:p w14:paraId="15228EE2" w14:textId="77777777" w:rsidR="00AB205D" w:rsidRPr="00882944" w:rsidRDefault="00471A3B" w:rsidP="005730BC">
            <w:pPr>
              <w:spacing w:after="0"/>
              <w:cnfStyle w:val="010000000000" w:firstRow="0" w:lastRow="1" w:firstColumn="0" w:lastColumn="0" w:oddVBand="0" w:evenVBand="0" w:oddHBand="0" w:evenHBand="0" w:firstRowFirstColumn="0" w:firstRowLastColumn="0" w:lastRowFirstColumn="0" w:lastRowLastColumn="0"/>
            </w:pPr>
            <w:r w:rsidRPr="00882944">
              <w:t>76.4</w:t>
            </w:r>
          </w:p>
        </w:tc>
        <w:tc>
          <w:tcPr>
            <w:tcW w:w="0" w:type="dxa"/>
            <w:vAlign w:val="center"/>
          </w:tcPr>
          <w:p w14:paraId="69D025DA" w14:textId="77777777" w:rsidR="00AB205D" w:rsidRPr="00882944" w:rsidRDefault="00471A3B" w:rsidP="005730BC">
            <w:pPr>
              <w:spacing w:after="0"/>
              <w:cnfStyle w:val="010000000000" w:firstRow="0" w:lastRow="1" w:firstColumn="0" w:lastColumn="0" w:oddVBand="0" w:evenVBand="0" w:oddHBand="0" w:evenHBand="0" w:firstRowFirstColumn="0" w:firstRowLastColumn="0" w:lastRowFirstColumn="0" w:lastRowLastColumn="0"/>
            </w:pPr>
            <w:r w:rsidRPr="00882944">
              <w:t>113.4</w:t>
            </w:r>
          </w:p>
        </w:tc>
        <w:tc>
          <w:tcPr>
            <w:tcW w:w="0" w:type="dxa"/>
            <w:vAlign w:val="center"/>
          </w:tcPr>
          <w:p w14:paraId="71490D69" w14:textId="77777777" w:rsidR="00AB205D" w:rsidRPr="00882944" w:rsidRDefault="00471A3B" w:rsidP="005730BC">
            <w:pPr>
              <w:spacing w:after="0"/>
              <w:cnfStyle w:val="010000000000" w:firstRow="0" w:lastRow="1" w:firstColumn="0" w:lastColumn="0" w:oddVBand="0" w:evenVBand="0" w:oddHBand="0" w:evenHBand="0" w:firstRowFirstColumn="0" w:firstRowLastColumn="0" w:lastRowFirstColumn="0" w:lastRowLastColumn="0"/>
            </w:pPr>
            <w:r w:rsidRPr="00882944">
              <w:t>97.2</w:t>
            </w:r>
          </w:p>
        </w:tc>
      </w:tr>
    </w:tbl>
    <w:p w14:paraId="494A6CFA" w14:textId="77777777" w:rsidR="00AB205D" w:rsidRPr="007F3D6A" w:rsidRDefault="00471A3B" w:rsidP="008F0920">
      <w:pPr>
        <w:pStyle w:val="Heading5"/>
        <w:spacing w:before="140" w:after="20"/>
      </w:pPr>
      <w:r w:rsidRPr="00380448">
        <w:t>Additional</w:t>
      </w:r>
      <w:r w:rsidRPr="007F3D6A">
        <w:t xml:space="preserve"> </w:t>
      </w:r>
      <w:r w:rsidRPr="00AE520D">
        <w:t>investment</w:t>
      </w:r>
      <w:r w:rsidRPr="007F3D6A">
        <w:t xml:space="preserve"> in public housing system</w:t>
      </w:r>
    </w:p>
    <w:p w14:paraId="474390C8" w14:textId="20F8217F" w:rsidR="00AB205D" w:rsidRDefault="00471A3B" w:rsidP="008F0920">
      <w:pPr>
        <w:spacing w:line="228" w:lineRule="auto"/>
      </w:pPr>
      <w:r>
        <w:t>Funding sourced from the State’s short</w:t>
      </w:r>
      <w:r>
        <w:noBreakHyphen/>
        <w:t xml:space="preserve">stay accommodation levy is provided as an additional investment in the </w:t>
      </w:r>
      <w:r w:rsidRPr="00927046">
        <w:t>public housing system</w:t>
      </w:r>
      <w:r>
        <w:t xml:space="preserve">, with at least 25 per cent to be invested in Regional Victoria. </w:t>
      </w:r>
    </w:p>
    <w:p w14:paraId="061619F5" w14:textId="77777777" w:rsidR="00AB205D" w:rsidRPr="001D257F" w:rsidRDefault="00471A3B" w:rsidP="008F0920">
      <w:pPr>
        <w:spacing w:line="228" w:lineRule="auto"/>
      </w:pPr>
      <w:r w:rsidRPr="001D257F">
        <w:t xml:space="preserve">This initiative contributes to the Department of Families, Fairness and Housing’s </w:t>
      </w:r>
      <w:r>
        <w:t>Housing Assistance</w:t>
      </w:r>
      <w:r w:rsidRPr="001D257F">
        <w:t xml:space="preserve"> output.</w:t>
      </w:r>
    </w:p>
    <w:p w14:paraId="18EE828E" w14:textId="77777777" w:rsidR="00AB205D" w:rsidRPr="007F3D6A" w:rsidRDefault="00471A3B" w:rsidP="008F0920">
      <w:pPr>
        <w:pStyle w:val="Heading5"/>
        <w:spacing w:before="60" w:after="20"/>
        <w:rPr>
          <w:b w:val="0"/>
        </w:rPr>
      </w:pPr>
      <w:r>
        <w:t>Delivering a Rental Stress Support Package</w:t>
      </w:r>
    </w:p>
    <w:p w14:paraId="11133E0E" w14:textId="77777777" w:rsidR="00AB205D" w:rsidRDefault="00471A3B" w:rsidP="008F0920">
      <w:pPr>
        <w:spacing w:line="228" w:lineRule="auto"/>
      </w:pPr>
      <w:r>
        <w:t xml:space="preserve">Funding is provided for a Rental Stress Support Package to support households dealing with rental stress by providing renting‑focused community education, information, advice or advocacy services to be delivered by Consumer Affairs Victoria. </w:t>
      </w:r>
    </w:p>
    <w:p w14:paraId="2A4068F8" w14:textId="77777777" w:rsidR="00AB205D" w:rsidRDefault="00471A3B" w:rsidP="008F0920">
      <w:pPr>
        <w:spacing w:line="228" w:lineRule="auto"/>
      </w:pPr>
      <w:r>
        <w:t xml:space="preserve">This initiative contributes to the Department of Government Services’ Regulation of </w:t>
      </w:r>
      <w:r w:rsidRPr="43F087D3">
        <w:rPr>
          <w:rFonts w:ascii="Garamond" w:eastAsia="Garamond" w:hAnsi="Garamond" w:cs="Garamond"/>
        </w:rPr>
        <w:t>the Victorian Consumer Marketplace output.</w:t>
      </w:r>
    </w:p>
    <w:p w14:paraId="0407A952" w14:textId="77777777" w:rsidR="00AB205D" w:rsidRPr="007F3D6A" w:rsidRDefault="00471A3B" w:rsidP="008F0920">
      <w:pPr>
        <w:pStyle w:val="Heading5"/>
        <w:spacing w:before="60" w:after="20"/>
        <w:rPr>
          <w:b w:val="0"/>
        </w:rPr>
      </w:pPr>
      <w:r w:rsidRPr="006D24A9">
        <w:t>Planning reform initiatives to support housing</w:t>
      </w:r>
    </w:p>
    <w:p w14:paraId="34F75D3F" w14:textId="77777777" w:rsidR="00AB205D" w:rsidRDefault="00471A3B" w:rsidP="008F0920">
      <w:pPr>
        <w:spacing w:line="228" w:lineRule="auto"/>
      </w:pPr>
      <w:r>
        <w:t xml:space="preserve">Funding is provided to deliver initiatives under </w:t>
      </w:r>
      <w:r w:rsidRPr="00EF1519">
        <w:t>Victoria’s Housing Statement</w:t>
      </w:r>
      <w:r>
        <w:t xml:space="preserve">, to </w:t>
      </w:r>
      <w:r w:rsidRPr="00EF1519">
        <w:t>foster the conditions needed to stimulate investment and build high</w:t>
      </w:r>
      <w:r>
        <w:noBreakHyphen/>
      </w:r>
      <w:r w:rsidRPr="00EF1519">
        <w:t>quality homes, quickly, in the places where Victorians want to live.</w:t>
      </w:r>
      <w:r>
        <w:t xml:space="preserve"> Initiatives include an expansion of the Development Facilitation Program, </w:t>
      </w:r>
      <w:r w:rsidRPr="00C66F30">
        <w:t>deliver</w:t>
      </w:r>
      <w:r>
        <w:t xml:space="preserve">y of </w:t>
      </w:r>
      <w:r w:rsidRPr="00C66F30">
        <w:t>additional homes around activity centres</w:t>
      </w:r>
      <w:r>
        <w:t>, and clearing the backlog of housing permit applications.</w:t>
      </w:r>
    </w:p>
    <w:p w14:paraId="10C1050B" w14:textId="77777777" w:rsidR="00AB205D" w:rsidRDefault="00471A3B" w:rsidP="008F0920">
      <w:pPr>
        <w:spacing w:line="228" w:lineRule="auto"/>
      </w:pPr>
      <w:r>
        <w:t>This initiative contributes to the Department of Transport and Planning’s Planning and Heritage output.</w:t>
      </w:r>
    </w:p>
    <w:p w14:paraId="57EB3197" w14:textId="77777777" w:rsidR="00AB205D" w:rsidRPr="001D257F" w:rsidRDefault="00471A3B">
      <w:pPr>
        <w:pStyle w:val="Heading5"/>
        <w:rPr>
          <w:b w:val="0"/>
          <w:sz w:val="23"/>
          <w:szCs w:val="23"/>
          <w:highlight w:val="yellow"/>
        </w:rPr>
      </w:pPr>
      <w:r>
        <w:lastRenderedPageBreak/>
        <w:t xml:space="preserve">Public Housing Revitalisation </w:t>
      </w:r>
    </w:p>
    <w:p w14:paraId="74DA4957" w14:textId="77777777" w:rsidR="00AB205D" w:rsidRDefault="00471A3B">
      <w:pPr>
        <w:spacing w:line="259" w:lineRule="auto"/>
      </w:pPr>
      <w:r>
        <w:t>Refer to the asset initiative for a description of this initiative.</w:t>
      </w:r>
    </w:p>
    <w:p w14:paraId="753C867D" w14:textId="77777777" w:rsidR="00AB205D" w:rsidRPr="00697E16" w:rsidRDefault="00471A3B">
      <w:pPr>
        <w:pStyle w:val="Heading5"/>
      </w:pPr>
      <w:r>
        <w:t>Social Housing Accelerator Program</w:t>
      </w:r>
    </w:p>
    <w:p w14:paraId="2E005B3A" w14:textId="77777777" w:rsidR="00AB205D" w:rsidRDefault="00471A3B">
      <w:pPr>
        <w:spacing w:line="259" w:lineRule="auto"/>
      </w:pPr>
      <w:r>
        <w:t>Refer to the asset initiative for a description of this initiative.</w:t>
      </w:r>
    </w:p>
    <w:p w14:paraId="5EB8969C" w14:textId="77777777" w:rsidR="00AB205D" w:rsidRDefault="00471A3B" w:rsidP="008F0920">
      <w:pPr>
        <w:pStyle w:val="Heading20"/>
      </w:pPr>
      <w:r>
        <w:t>Asset initiatives</w:t>
      </w:r>
    </w:p>
    <w:p w14:paraId="6A76D701" w14:textId="77777777" w:rsidR="00AB205D" w:rsidRDefault="00471A3B">
      <w:pPr>
        <w:pStyle w:val="TableHeading"/>
      </w:pPr>
      <w:r>
        <w:t>Table A.6:</w:t>
      </w:r>
      <w:r>
        <w:tab/>
        <w:t xml:space="preserve">Asset initiatives – </w:t>
      </w:r>
      <w:r w:rsidRPr="00660771">
        <w:t>Housing Statement</w:t>
      </w:r>
      <w:r>
        <w:tab/>
        <w:t>($ million)</w:t>
      </w:r>
    </w:p>
    <w:tbl>
      <w:tblPr>
        <w:tblStyle w:val="DTFTableNumeric"/>
        <w:tblW w:w="7710" w:type="dxa"/>
        <w:tblLayout w:type="fixed"/>
        <w:tblLook w:val="06E0" w:firstRow="1" w:lastRow="1" w:firstColumn="1" w:lastColumn="0" w:noHBand="1" w:noVBand="1"/>
        <w:tblDescription w:val="Type:DtfTable|Workbook:https://vicgov.sharepoint.com/sites/VG002735/Budget%20Update/Appendix%20A/Appendix%20A.xlsx|Table:WoVG_Housing_Asset"/>
      </w:tblPr>
      <w:tblGrid>
        <w:gridCol w:w="3740"/>
        <w:gridCol w:w="794"/>
        <w:gridCol w:w="794"/>
        <w:gridCol w:w="794"/>
        <w:gridCol w:w="794"/>
        <w:gridCol w:w="794"/>
      </w:tblGrid>
      <w:tr w:rsidR="009C6724" w14:paraId="4B0C88BA"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6C2336A0" w14:textId="77777777" w:rsidR="00AB205D" w:rsidRDefault="00AB205D">
            <w:pPr>
              <w:keepNext/>
            </w:pPr>
          </w:p>
        </w:tc>
        <w:tc>
          <w:tcPr>
            <w:tcW w:w="794" w:type="dxa"/>
            <w:tcBorders>
              <w:top w:val="single" w:sz="6" w:space="0" w:color="auto"/>
              <w:bottom w:val="single" w:sz="6" w:space="0" w:color="auto"/>
            </w:tcBorders>
          </w:tcPr>
          <w:p w14:paraId="1DF37C3B"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Borders>
              <w:top w:val="single" w:sz="6" w:space="0" w:color="auto"/>
              <w:bottom w:val="single" w:sz="6" w:space="0" w:color="auto"/>
            </w:tcBorders>
          </w:tcPr>
          <w:p w14:paraId="20F1B0B0"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Borders>
              <w:top w:val="single" w:sz="6" w:space="0" w:color="auto"/>
              <w:bottom w:val="single" w:sz="6" w:space="0" w:color="auto"/>
            </w:tcBorders>
          </w:tcPr>
          <w:p w14:paraId="73140DD3"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p>
        </w:tc>
        <w:tc>
          <w:tcPr>
            <w:tcW w:w="794" w:type="dxa"/>
            <w:tcBorders>
              <w:top w:val="single" w:sz="6" w:space="0" w:color="auto"/>
              <w:bottom w:val="single" w:sz="6" w:space="0" w:color="auto"/>
            </w:tcBorders>
          </w:tcPr>
          <w:p w14:paraId="63635934"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p>
        </w:tc>
        <w:tc>
          <w:tcPr>
            <w:tcW w:w="794" w:type="dxa"/>
            <w:tcBorders>
              <w:top w:val="single" w:sz="6" w:space="0" w:color="auto"/>
              <w:bottom w:val="single" w:sz="6" w:space="0" w:color="auto"/>
            </w:tcBorders>
          </w:tcPr>
          <w:p w14:paraId="7561FBF9"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TEI</w:t>
            </w:r>
          </w:p>
        </w:tc>
      </w:tr>
      <w:tr w:rsidR="009C6724" w14:paraId="3D44891D" w14:textId="77777777" w:rsidTr="009C6724">
        <w:tc>
          <w:tcPr>
            <w:cnfStyle w:val="001000000000" w:firstRow="0" w:lastRow="0" w:firstColumn="1" w:lastColumn="0" w:oddVBand="0" w:evenVBand="0" w:oddHBand="0" w:evenHBand="0" w:firstRowFirstColumn="0" w:firstRowLastColumn="0" w:lastRowFirstColumn="0" w:lastRowLastColumn="0"/>
            <w:tcW w:w="0" w:type="dxa"/>
            <w:tcBorders>
              <w:top w:val="single" w:sz="6" w:space="0" w:color="auto"/>
              <w:bottom w:val="nil"/>
            </w:tcBorders>
          </w:tcPr>
          <w:p w14:paraId="3AE6186B" w14:textId="77777777" w:rsidR="00AB205D" w:rsidRDefault="00471A3B">
            <w:r>
              <w:t>Expanding the Victorian Homebuyer Fund</w:t>
            </w:r>
          </w:p>
        </w:tc>
        <w:tc>
          <w:tcPr>
            <w:tcW w:w="0" w:type="dxa"/>
            <w:tcBorders>
              <w:top w:val="single" w:sz="6" w:space="0" w:color="auto"/>
              <w:bottom w:val="nil"/>
            </w:tcBorders>
          </w:tcPr>
          <w:p w14:paraId="28439A56" w14:textId="77777777" w:rsidR="00AB205D" w:rsidRDefault="00471A3B">
            <w:pPr>
              <w:cnfStyle w:val="000000000000" w:firstRow="0" w:lastRow="0" w:firstColumn="0" w:lastColumn="0" w:oddVBand="0" w:evenVBand="0" w:oddHBand="0" w:evenHBand="0" w:firstRowFirstColumn="0" w:firstRowLastColumn="0" w:lastRowFirstColumn="0" w:lastRowLastColumn="0"/>
            </w:pPr>
            <w:r>
              <w:t>500.0</w:t>
            </w:r>
          </w:p>
        </w:tc>
        <w:tc>
          <w:tcPr>
            <w:tcW w:w="0" w:type="dxa"/>
            <w:tcBorders>
              <w:top w:val="single" w:sz="6" w:space="0" w:color="auto"/>
              <w:bottom w:val="nil"/>
            </w:tcBorders>
          </w:tcPr>
          <w:p w14:paraId="4484AA70"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0" w:type="dxa"/>
            <w:tcBorders>
              <w:top w:val="single" w:sz="6" w:space="0" w:color="auto"/>
              <w:bottom w:val="nil"/>
            </w:tcBorders>
          </w:tcPr>
          <w:p w14:paraId="308B5252"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0" w:type="dxa"/>
            <w:tcBorders>
              <w:top w:val="single" w:sz="6" w:space="0" w:color="auto"/>
              <w:bottom w:val="nil"/>
            </w:tcBorders>
          </w:tcPr>
          <w:p w14:paraId="6BE1E023"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0" w:type="dxa"/>
            <w:tcBorders>
              <w:top w:val="single" w:sz="6" w:space="0" w:color="auto"/>
              <w:bottom w:val="nil"/>
            </w:tcBorders>
          </w:tcPr>
          <w:p w14:paraId="5360A270" w14:textId="77777777" w:rsidR="00AB205D" w:rsidRDefault="00471A3B">
            <w:pPr>
              <w:cnfStyle w:val="000000000000" w:firstRow="0" w:lastRow="0" w:firstColumn="0" w:lastColumn="0" w:oddVBand="0" w:evenVBand="0" w:oddHBand="0" w:evenHBand="0" w:firstRowFirstColumn="0" w:firstRowLastColumn="0" w:lastRowFirstColumn="0" w:lastRowLastColumn="0"/>
            </w:pPr>
            <w:r>
              <w:t>500.0</w:t>
            </w:r>
          </w:p>
        </w:tc>
      </w:tr>
      <w:tr w:rsidR="009C6724" w14:paraId="27C58890" w14:textId="77777777" w:rsidTr="009C6724">
        <w:tc>
          <w:tcPr>
            <w:cnfStyle w:val="001000000000" w:firstRow="0" w:lastRow="0" w:firstColumn="1" w:lastColumn="0" w:oddVBand="0" w:evenVBand="0" w:oddHBand="0" w:evenHBand="0" w:firstRowFirstColumn="0" w:firstRowLastColumn="0" w:lastRowFirstColumn="0" w:lastRowLastColumn="0"/>
            <w:tcW w:w="0" w:type="dxa"/>
            <w:tcBorders>
              <w:bottom w:val="nil"/>
            </w:tcBorders>
          </w:tcPr>
          <w:p w14:paraId="094D02FE" w14:textId="77777777" w:rsidR="00AB205D" w:rsidRDefault="00471A3B">
            <w:r>
              <w:t>Public Housing Revitalisation</w:t>
            </w:r>
          </w:p>
        </w:tc>
        <w:tc>
          <w:tcPr>
            <w:tcW w:w="0" w:type="dxa"/>
            <w:tcBorders>
              <w:bottom w:val="nil"/>
            </w:tcBorders>
          </w:tcPr>
          <w:p w14:paraId="6A787B80" w14:textId="77777777" w:rsidR="00AB205D" w:rsidRDefault="00471A3B">
            <w:pPr>
              <w:cnfStyle w:val="000000000000" w:firstRow="0" w:lastRow="0" w:firstColumn="0" w:lastColumn="0" w:oddVBand="0" w:evenVBand="0" w:oddHBand="0" w:evenHBand="0" w:firstRowFirstColumn="0" w:firstRowLastColumn="0" w:lastRowFirstColumn="0" w:lastRowLastColumn="0"/>
            </w:pPr>
            <w:r>
              <w:t>19.2</w:t>
            </w:r>
          </w:p>
        </w:tc>
        <w:tc>
          <w:tcPr>
            <w:tcW w:w="0" w:type="dxa"/>
            <w:tcBorders>
              <w:bottom w:val="nil"/>
            </w:tcBorders>
          </w:tcPr>
          <w:p w14:paraId="2B26C44E" w14:textId="77777777" w:rsidR="00AB205D" w:rsidRDefault="00471A3B">
            <w:pPr>
              <w:cnfStyle w:val="000000000000" w:firstRow="0" w:lastRow="0" w:firstColumn="0" w:lastColumn="0" w:oddVBand="0" w:evenVBand="0" w:oddHBand="0" w:evenHBand="0" w:firstRowFirstColumn="0" w:firstRowLastColumn="0" w:lastRowFirstColumn="0" w:lastRowLastColumn="0"/>
            </w:pPr>
            <w:r>
              <w:t>58.9</w:t>
            </w:r>
          </w:p>
        </w:tc>
        <w:tc>
          <w:tcPr>
            <w:tcW w:w="0" w:type="dxa"/>
            <w:tcBorders>
              <w:bottom w:val="nil"/>
            </w:tcBorders>
          </w:tcPr>
          <w:p w14:paraId="09459FE8" w14:textId="77777777" w:rsidR="00AB205D" w:rsidRDefault="00471A3B">
            <w:pPr>
              <w:cnfStyle w:val="000000000000" w:firstRow="0" w:lastRow="0" w:firstColumn="0" w:lastColumn="0" w:oddVBand="0" w:evenVBand="0" w:oddHBand="0" w:evenHBand="0" w:firstRowFirstColumn="0" w:firstRowLastColumn="0" w:lastRowFirstColumn="0" w:lastRowLastColumn="0"/>
            </w:pPr>
            <w:r>
              <w:t>103.0</w:t>
            </w:r>
          </w:p>
        </w:tc>
        <w:tc>
          <w:tcPr>
            <w:tcW w:w="0" w:type="dxa"/>
            <w:tcBorders>
              <w:bottom w:val="nil"/>
            </w:tcBorders>
          </w:tcPr>
          <w:p w14:paraId="4F144A44" w14:textId="77777777" w:rsidR="00AB205D" w:rsidRDefault="00471A3B">
            <w:pPr>
              <w:cnfStyle w:val="000000000000" w:firstRow="0" w:lastRow="0" w:firstColumn="0" w:lastColumn="0" w:oddVBand="0" w:evenVBand="0" w:oddHBand="0" w:evenHBand="0" w:firstRowFirstColumn="0" w:firstRowLastColumn="0" w:lastRowFirstColumn="0" w:lastRowLastColumn="0"/>
            </w:pPr>
            <w:r>
              <w:t>99.4</w:t>
            </w:r>
          </w:p>
        </w:tc>
        <w:tc>
          <w:tcPr>
            <w:tcW w:w="0" w:type="dxa"/>
            <w:tcBorders>
              <w:bottom w:val="nil"/>
            </w:tcBorders>
          </w:tcPr>
          <w:p w14:paraId="5871FB60" w14:textId="77777777" w:rsidR="00AB205D" w:rsidRDefault="00471A3B">
            <w:pPr>
              <w:cnfStyle w:val="000000000000" w:firstRow="0" w:lastRow="0" w:firstColumn="0" w:lastColumn="0" w:oddVBand="0" w:evenVBand="0" w:oddHBand="0" w:evenHBand="0" w:firstRowFirstColumn="0" w:firstRowLastColumn="0" w:lastRowFirstColumn="0" w:lastRowLastColumn="0"/>
            </w:pPr>
            <w:r>
              <w:t>427.3</w:t>
            </w:r>
          </w:p>
        </w:tc>
      </w:tr>
      <w:tr w:rsidR="009C6724" w14:paraId="16756BB0" w14:textId="77777777" w:rsidTr="009C6724">
        <w:tc>
          <w:tcPr>
            <w:cnfStyle w:val="001000000000" w:firstRow="0" w:lastRow="0" w:firstColumn="1" w:lastColumn="0" w:oddVBand="0" w:evenVBand="0" w:oddHBand="0" w:evenHBand="0" w:firstRowFirstColumn="0" w:firstRowLastColumn="0" w:lastRowFirstColumn="0" w:lastRowLastColumn="0"/>
            <w:tcW w:w="0" w:type="dxa"/>
            <w:tcBorders>
              <w:top w:val="nil"/>
              <w:bottom w:val="single" w:sz="4" w:space="0" w:color="auto"/>
            </w:tcBorders>
          </w:tcPr>
          <w:p w14:paraId="6014CB5C" w14:textId="77777777" w:rsidR="00AB205D" w:rsidRDefault="00471A3B">
            <w:r>
              <w:t>Social Housing Accelerator Program</w:t>
            </w:r>
          </w:p>
        </w:tc>
        <w:tc>
          <w:tcPr>
            <w:tcW w:w="0" w:type="dxa"/>
            <w:tcBorders>
              <w:top w:val="nil"/>
              <w:bottom w:val="single" w:sz="4" w:space="0" w:color="auto"/>
            </w:tcBorders>
          </w:tcPr>
          <w:p w14:paraId="18CA7A77" w14:textId="77777777" w:rsidR="00AB205D" w:rsidRDefault="00471A3B">
            <w:pPr>
              <w:cnfStyle w:val="000000000000" w:firstRow="0" w:lastRow="0" w:firstColumn="0" w:lastColumn="0" w:oddVBand="0" w:evenVBand="0" w:oddHBand="0" w:evenHBand="0" w:firstRowFirstColumn="0" w:firstRowLastColumn="0" w:lastRowFirstColumn="0" w:lastRowLastColumn="0"/>
            </w:pPr>
            <w:r>
              <w:t>45.4</w:t>
            </w:r>
          </w:p>
        </w:tc>
        <w:tc>
          <w:tcPr>
            <w:tcW w:w="0" w:type="dxa"/>
            <w:tcBorders>
              <w:top w:val="nil"/>
              <w:bottom w:val="single" w:sz="4" w:space="0" w:color="auto"/>
            </w:tcBorders>
          </w:tcPr>
          <w:p w14:paraId="2AC8EC3E" w14:textId="77777777" w:rsidR="00AB205D" w:rsidRDefault="00471A3B">
            <w:pPr>
              <w:cnfStyle w:val="000000000000" w:firstRow="0" w:lastRow="0" w:firstColumn="0" w:lastColumn="0" w:oddVBand="0" w:evenVBand="0" w:oddHBand="0" w:evenHBand="0" w:firstRowFirstColumn="0" w:firstRowLastColumn="0" w:lastRowFirstColumn="0" w:lastRowLastColumn="0"/>
            </w:pPr>
            <w:r>
              <w:t>91.8</w:t>
            </w:r>
          </w:p>
        </w:tc>
        <w:tc>
          <w:tcPr>
            <w:tcW w:w="0" w:type="dxa"/>
            <w:tcBorders>
              <w:top w:val="nil"/>
              <w:bottom w:val="single" w:sz="4" w:space="0" w:color="auto"/>
            </w:tcBorders>
          </w:tcPr>
          <w:p w14:paraId="791BC529" w14:textId="77777777" w:rsidR="00AB205D" w:rsidRDefault="00471A3B">
            <w:pPr>
              <w:cnfStyle w:val="000000000000" w:firstRow="0" w:lastRow="0" w:firstColumn="0" w:lastColumn="0" w:oddVBand="0" w:evenVBand="0" w:oddHBand="0" w:evenHBand="0" w:firstRowFirstColumn="0" w:firstRowLastColumn="0" w:lastRowFirstColumn="0" w:lastRowLastColumn="0"/>
            </w:pPr>
            <w:r>
              <w:t>175.6</w:t>
            </w:r>
          </w:p>
        </w:tc>
        <w:tc>
          <w:tcPr>
            <w:tcW w:w="0" w:type="dxa"/>
            <w:tcBorders>
              <w:top w:val="nil"/>
              <w:bottom w:val="single" w:sz="4" w:space="0" w:color="auto"/>
            </w:tcBorders>
          </w:tcPr>
          <w:p w14:paraId="3967B067" w14:textId="77777777" w:rsidR="00AB205D" w:rsidRDefault="00471A3B">
            <w:pPr>
              <w:cnfStyle w:val="000000000000" w:firstRow="0" w:lastRow="0" w:firstColumn="0" w:lastColumn="0" w:oddVBand="0" w:evenVBand="0" w:oddHBand="0" w:evenHBand="0" w:firstRowFirstColumn="0" w:firstRowLastColumn="0" w:lastRowFirstColumn="0" w:lastRowLastColumn="0"/>
            </w:pPr>
            <w:r>
              <w:t>133.5</w:t>
            </w:r>
          </w:p>
        </w:tc>
        <w:tc>
          <w:tcPr>
            <w:tcW w:w="0" w:type="dxa"/>
            <w:tcBorders>
              <w:top w:val="nil"/>
              <w:bottom w:val="single" w:sz="4" w:space="0" w:color="auto"/>
            </w:tcBorders>
          </w:tcPr>
          <w:p w14:paraId="59E738A8" w14:textId="77777777" w:rsidR="00AB205D" w:rsidRDefault="00471A3B">
            <w:pPr>
              <w:cnfStyle w:val="000000000000" w:firstRow="0" w:lastRow="0" w:firstColumn="0" w:lastColumn="0" w:oddVBand="0" w:evenVBand="0" w:oddHBand="0" w:evenHBand="0" w:firstRowFirstColumn="0" w:firstRowLastColumn="0" w:lastRowFirstColumn="0" w:lastRowLastColumn="0"/>
            </w:pPr>
            <w:r>
              <w:t>463.3</w:t>
            </w:r>
          </w:p>
        </w:tc>
      </w:tr>
      <w:tr w:rsidR="009C6724" w:rsidRPr="00882944" w14:paraId="371C98C1" w14:textId="77777777" w:rsidTr="009C672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1B0EC92" w14:textId="77777777" w:rsidR="00AB205D" w:rsidRPr="00882944" w:rsidRDefault="00471A3B">
            <w:r w:rsidRPr="00882944">
              <w:t>Total asset initiatives</w:t>
            </w:r>
          </w:p>
        </w:tc>
        <w:tc>
          <w:tcPr>
            <w:tcW w:w="0" w:type="dxa"/>
            <w:vAlign w:val="center"/>
          </w:tcPr>
          <w:p w14:paraId="6B706844" w14:textId="77777777" w:rsidR="00AB205D" w:rsidRPr="00882944" w:rsidRDefault="00471A3B">
            <w:pPr>
              <w:cnfStyle w:val="010000000000" w:firstRow="0" w:lastRow="1" w:firstColumn="0" w:lastColumn="0" w:oddVBand="0" w:evenVBand="0" w:oddHBand="0" w:evenHBand="0" w:firstRowFirstColumn="0" w:firstRowLastColumn="0" w:lastRowFirstColumn="0" w:lastRowLastColumn="0"/>
            </w:pPr>
            <w:r w:rsidRPr="00882944">
              <w:t>564.7</w:t>
            </w:r>
          </w:p>
        </w:tc>
        <w:tc>
          <w:tcPr>
            <w:tcW w:w="0" w:type="dxa"/>
            <w:vAlign w:val="center"/>
          </w:tcPr>
          <w:p w14:paraId="525CE0A1" w14:textId="77777777" w:rsidR="00AB205D" w:rsidRPr="00882944" w:rsidRDefault="00471A3B">
            <w:pPr>
              <w:cnfStyle w:val="010000000000" w:firstRow="0" w:lastRow="1" w:firstColumn="0" w:lastColumn="0" w:oddVBand="0" w:evenVBand="0" w:oddHBand="0" w:evenHBand="0" w:firstRowFirstColumn="0" w:firstRowLastColumn="0" w:lastRowFirstColumn="0" w:lastRowLastColumn="0"/>
            </w:pPr>
            <w:r w:rsidRPr="00882944">
              <w:t>150.7</w:t>
            </w:r>
          </w:p>
        </w:tc>
        <w:tc>
          <w:tcPr>
            <w:tcW w:w="0" w:type="dxa"/>
            <w:vAlign w:val="center"/>
          </w:tcPr>
          <w:p w14:paraId="502257EE" w14:textId="77777777" w:rsidR="00AB205D" w:rsidRPr="00882944" w:rsidRDefault="00471A3B">
            <w:pPr>
              <w:cnfStyle w:val="010000000000" w:firstRow="0" w:lastRow="1" w:firstColumn="0" w:lastColumn="0" w:oddVBand="0" w:evenVBand="0" w:oddHBand="0" w:evenHBand="0" w:firstRowFirstColumn="0" w:firstRowLastColumn="0" w:lastRowFirstColumn="0" w:lastRowLastColumn="0"/>
            </w:pPr>
            <w:r w:rsidRPr="00882944">
              <w:t>278.6</w:t>
            </w:r>
          </w:p>
        </w:tc>
        <w:tc>
          <w:tcPr>
            <w:tcW w:w="0" w:type="dxa"/>
            <w:vAlign w:val="center"/>
          </w:tcPr>
          <w:p w14:paraId="50941E53" w14:textId="77777777" w:rsidR="00AB205D" w:rsidRPr="00882944" w:rsidRDefault="00471A3B">
            <w:pPr>
              <w:cnfStyle w:val="010000000000" w:firstRow="0" w:lastRow="1" w:firstColumn="0" w:lastColumn="0" w:oddVBand="0" w:evenVBand="0" w:oddHBand="0" w:evenHBand="0" w:firstRowFirstColumn="0" w:firstRowLastColumn="0" w:lastRowFirstColumn="0" w:lastRowLastColumn="0"/>
            </w:pPr>
            <w:r w:rsidRPr="00882944">
              <w:t>232.8</w:t>
            </w:r>
          </w:p>
        </w:tc>
        <w:tc>
          <w:tcPr>
            <w:tcW w:w="0" w:type="dxa"/>
            <w:vAlign w:val="center"/>
          </w:tcPr>
          <w:p w14:paraId="5D5C4053" w14:textId="77777777" w:rsidR="00AB205D" w:rsidRPr="00882944" w:rsidRDefault="00471A3B">
            <w:pPr>
              <w:cnfStyle w:val="010000000000" w:firstRow="0" w:lastRow="1" w:firstColumn="0" w:lastColumn="0" w:oddVBand="0" w:evenVBand="0" w:oddHBand="0" w:evenHBand="0" w:firstRowFirstColumn="0" w:firstRowLastColumn="0" w:lastRowFirstColumn="0" w:lastRowLastColumn="0"/>
            </w:pPr>
            <w:r w:rsidRPr="00882944">
              <w:t>1390.6</w:t>
            </w:r>
          </w:p>
        </w:tc>
      </w:tr>
    </w:tbl>
    <w:p w14:paraId="5F1CED77" w14:textId="77777777" w:rsidR="00AB205D" w:rsidRPr="00697E16" w:rsidRDefault="00471A3B">
      <w:pPr>
        <w:pStyle w:val="Heading5"/>
      </w:pPr>
      <w:r>
        <w:t xml:space="preserve">Expanding the Victorian Homebuyer Fund </w:t>
      </w:r>
    </w:p>
    <w:p w14:paraId="73CEE7C3" w14:textId="77777777" w:rsidR="00AB205D" w:rsidRPr="00F7203A" w:rsidRDefault="00471A3B">
      <w:r>
        <w:t xml:space="preserve">Funding is provided to enable the Victorian Homebuyer Fund to support even more households into home ownership. </w:t>
      </w:r>
    </w:p>
    <w:p w14:paraId="639E1581" w14:textId="77777777" w:rsidR="00AB205D" w:rsidRDefault="00471A3B">
      <w:r>
        <w:t xml:space="preserve">This initiative contributes to the Department of Treasury and Finance’s Economic and Policy Advice output. </w:t>
      </w:r>
    </w:p>
    <w:p w14:paraId="42ABE4D5" w14:textId="77777777" w:rsidR="00AB205D" w:rsidRPr="00697E16" w:rsidRDefault="00471A3B">
      <w:pPr>
        <w:pStyle w:val="Heading5"/>
      </w:pPr>
      <w:r>
        <w:t>Public Housing Revitalisation</w:t>
      </w:r>
    </w:p>
    <w:p w14:paraId="57769997" w14:textId="77777777" w:rsidR="00AB205D" w:rsidRDefault="00471A3B">
      <w:r>
        <w:t>Funding is provided to kickstart the redevelopment of the first tranche of older</w:t>
      </w:r>
      <w:r>
        <w:noBreakHyphen/>
        <w:t>style high</w:t>
      </w:r>
      <w:r>
        <w:noBreakHyphen/>
        <w:t xml:space="preserve">rise public housing towers in Flemington and North Melbourne. Funding is also provided for planning for future tranches. This is part of the Government’s commitment to redevelop all of Melbourne’s towers and increase the overall number of social homes across these sites by 2051. </w:t>
      </w:r>
    </w:p>
    <w:p w14:paraId="7BEF2A5E" w14:textId="77777777" w:rsidR="00AB205D" w:rsidRPr="001D257F" w:rsidRDefault="00471A3B">
      <w:r w:rsidRPr="001D257F">
        <w:t xml:space="preserve">This initiative contributes to the Department of Families, Fairness and Housing’s </w:t>
      </w:r>
      <w:r>
        <w:t>Housing Assistance</w:t>
      </w:r>
      <w:r w:rsidRPr="001D257F">
        <w:t xml:space="preserve"> output.</w:t>
      </w:r>
    </w:p>
    <w:p w14:paraId="2139434C" w14:textId="77777777" w:rsidR="00AB205D" w:rsidRPr="00697E16" w:rsidRDefault="00471A3B">
      <w:pPr>
        <w:pStyle w:val="Heading5"/>
      </w:pPr>
      <w:r>
        <w:t>Social Housing Accelerator Program</w:t>
      </w:r>
    </w:p>
    <w:p w14:paraId="2CD78ADC" w14:textId="77777777" w:rsidR="00AB205D" w:rsidRDefault="00471A3B">
      <w:pPr>
        <w:ind w:right="96"/>
      </w:pPr>
      <w:r>
        <w:t>Funding is provided by the Commonwealth Government to Victoria via the Social Housing Accelerator to build up to 769 new homes through developments on state</w:t>
      </w:r>
      <w:r>
        <w:noBreakHyphen/>
        <w:t>owned land, including the redevelopment of two older</w:t>
      </w:r>
      <w:r>
        <w:noBreakHyphen/>
        <w:t>style high</w:t>
      </w:r>
      <w:r>
        <w:noBreakHyphen/>
        <w:t xml:space="preserve">rise public housing towers in Carlton and spot purchasing of dwellings in targeted locations. </w:t>
      </w:r>
    </w:p>
    <w:p w14:paraId="63F6E200" w14:textId="77777777" w:rsidR="00AB205D" w:rsidRPr="001D257F" w:rsidRDefault="00471A3B">
      <w:r w:rsidRPr="001D257F">
        <w:t xml:space="preserve">This initiative contributes to the Department of Families, Fairness and Housing’s </w:t>
      </w:r>
      <w:r>
        <w:t>Housing Assistance</w:t>
      </w:r>
      <w:r w:rsidRPr="001D257F">
        <w:t xml:space="preserve"> output.</w:t>
      </w:r>
    </w:p>
    <w:p w14:paraId="1149102A" w14:textId="77777777" w:rsidR="00AB205D" w:rsidRPr="001D257F" w:rsidRDefault="00AB205D"/>
    <w:p w14:paraId="3AFDDFE5" w14:textId="77777777" w:rsidR="00AB205D" w:rsidRDefault="00AB205D">
      <w:pPr>
        <w:tabs>
          <w:tab w:val="left" w:pos="720"/>
        </w:tabs>
        <w:spacing w:before="60" w:after="40"/>
        <w:rPr>
          <w:rFonts w:ascii="Garamond" w:eastAsia="Garamond" w:hAnsi="Garamond" w:cs="Garamond"/>
        </w:rPr>
      </w:pPr>
    </w:p>
    <w:p w14:paraId="3883165B" w14:textId="77777777" w:rsidR="00AB205D" w:rsidRDefault="00471A3B">
      <w:pPr>
        <w:pStyle w:val="Heading10"/>
        <w:pageBreakBefore/>
      </w:pPr>
      <w:bookmarkStart w:id="114" w:name="_Toc152933046"/>
      <w:r>
        <w:lastRenderedPageBreak/>
        <w:t>Department of Education</w:t>
      </w:r>
      <w:bookmarkEnd w:id="114"/>
    </w:p>
    <w:p w14:paraId="17FD6373" w14:textId="77777777" w:rsidR="00AB205D" w:rsidRDefault="00471A3B">
      <w:pPr>
        <w:pStyle w:val="Heading20"/>
        <w:spacing w:before="180"/>
      </w:pPr>
      <w:r>
        <w:t>Output initiatives</w:t>
      </w:r>
    </w:p>
    <w:p w14:paraId="6EDCE3B4" w14:textId="77777777" w:rsidR="00AB205D" w:rsidRDefault="00471A3B">
      <w:pPr>
        <w:pStyle w:val="TableHeading"/>
      </w:pPr>
      <w:r>
        <w:t>Table A.7:</w:t>
      </w:r>
      <w:r>
        <w:tab/>
        <w:t xml:space="preserve">Output initiatives – </w:t>
      </w:r>
      <w:r>
        <w:rPr>
          <w:noProof/>
        </w:rPr>
        <w:t>Education</w:t>
      </w:r>
      <w:r>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Appendix%20A/Appendix%20A.xlsx|Table:DET_Output"/>
      </w:tblPr>
      <w:tblGrid>
        <w:gridCol w:w="4534"/>
        <w:gridCol w:w="794"/>
        <w:gridCol w:w="794"/>
        <w:gridCol w:w="794"/>
        <w:gridCol w:w="794"/>
      </w:tblGrid>
      <w:tr w:rsidR="009C6724" w14:paraId="0D80AF37"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4" w:type="dxa"/>
          </w:tcPr>
          <w:p w14:paraId="2B1861AF" w14:textId="77777777" w:rsidR="00AB205D" w:rsidRDefault="00AB205D">
            <w:pPr>
              <w:keepNext/>
              <w:spacing w:after="0"/>
            </w:pPr>
          </w:p>
        </w:tc>
        <w:tc>
          <w:tcPr>
            <w:tcW w:w="794" w:type="dxa"/>
          </w:tcPr>
          <w:p w14:paraId="616842A0"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77D0DBF9"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2293D638"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2025</w:t>
            </w:r>
            <w:r>
              <w:noBreakHyphen/>
              <w:t>26</w:t>
            </w:r>
          </w:p>
        </w:tc>
        <w:tc>
          <w:tcPr>
            <w:tcW w:w="794" w:type="dxa"/>
          </w:tcPr>
          <w:p w14:paraId="1C8DF870"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2026</w:t>
            </w:r>
            <w:r>
              <w:noBreakHyphen/>
              <w:t>27</w:t>
            </w:r>
          </w:p>
        </w:tc>
      </w:tr>
      <w:tr w:rsidR="009C6724" w14:paraId="77D8981A"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1CCE923F" w14:textId="77777777" w:rsidR="00AB205D" w:rsidRDefault="00471A3B">
            <w:pPr>
              <w:spacing w:after="0"/>
            </w:pPr>
            <w:r>
              <w:rPr>
                <w:b/>
              </w:rPr>
              <w:t>Promoting Equal Access to Education</w:t>
            </w:r>
          </w:p>
        </w:tc>
        <w:tc>
          <w:tcPr>
            <w:tcW w:w="794" w:type="dxa"/>
          </w:tcPr>
          <w:p w14:paraId="3BCD3661"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4AAC099E"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44F9DF32"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40F4511D"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r>
      <w:tr w:rsidR="009C6724" w14:paraId="121CA103"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4B502417" w14:textId="77777777" w:rsidR="00AB205D" w:rsidRDefault="00471A3B">
            <w:pPr>
              <w:spacing w:after="0"/>
            </w:pPr>
            <w:r>
              <w:t>English as an Additional Language</w:t>
            </w:r>
          </w:p>
        </w:tc>
        <w:tc>
          <w:tcPr>
            <w:tcW w:w="794" w:type="dxa"/>
          </w:tcPr>
          <w:p w14:paraId="5C856FEE"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18.7</w:t>
            </w:r>
          </w:p>
        </w:tc>
        <w:tc>
          <w:tcPr>
            <w:tcW w:w="794" w:type="dxa"/>
          </w:tcPr>
          <w:p w14:paraId="0623D4AE"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19.2</w:t>
            </w:r>
          </w:p>
        </w:tc>
        <w:tc>
          <w:tcPr>
            <w:tcW w:w="794" w:type="dxa"/>
          </w:tcPr>
          <w:p w14:paraId="27A2DB2C"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Pr>
          <w:p w14:paraId="2DBEF729"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w:t>
            </w:r>
          </w:p>
        </w:tc>
      </w:tr>
      <w:tr w:rsidR="009C6724" w14:paraId="70C288D6"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6F599DA5" w14:textId="77777777" w:rsidR="00AB205D" w:rsidRDefault="00471A3B">
            <w:pPr>
              <w:spacing w:after="0"/>
            </w:pPr>
            <w:r>
              <w:t>Strengthening Self</w:t>
            </w:r>
            <w:r>
              <w:noBreakHyphen/>
              <w:t>Determination in Education</w:t>
            </w:r>
          </w:p>
        </w:tc>
        <w:tc>
          <w:tcPr>
            <w:tcW w:w="794" w:type="dxa"/>
          </w:tcPr>
          <w:p w14:paraId="5C01AD90"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0.9</w:t>
            </w:r>
          </w:p>
        </w:tc>
        <w:tc>
          <w:tcPr>
            <w:tcW w:w="794" w:type="dxa"/>
          </w:tcPr>
          <w:p w14:paraId="476C596F"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Pr>
          <w:p w14:paraId="22AFD549"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Pr>
          <w:p w14:paraId="4E9622D1"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w:t>
            </w:r>
          </w:p>
        </w:tc>
      </w:tr>
      <w:tr w:rsidR="009C6724" w14:paraId="2A9B061C"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72085C92" w14:textId="77777777" w:rsidR="00AB205D" w:rsidRDefault="00471A3B">
            <w:pPr>
              <w:spacing w:after="0"/>
            </w:pPr>
            <w:r>
              <w:rPr>
                <w:b/>
              </w:rPr>
              <w:t>School Education Primary and Secondary</w:t>
            </w:r>
          </w:p>
        </w:tc>
        <w:tc>
          <w:tcPr>
            <w:tcW w:w="794" w:type="dxa"/>
          </w:tcPr>
          <w:p w14:paraId="45D43D5B"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7A42B0AF"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6B81279A"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54D92CDD"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r>
      <w:tr w:rsidR="009C6724" w14:paraId="73630470"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18462243" w14:textId="77777777" w:rsidR="00AB205D" w:rsidRDefault="00471A3B">
            <w:pPr>
              <w:spacing w:after="0"/>
            </w:pPr>
            <w:r>
              <w:t>Lifting student outcomes – Tutor Learning Initiative</w:t>
            </w:r>
          </w:p>
        </w:tc>
        <w:tc>
          <w:tcPr>
            <w:tcW w:w="794" w:type="dxa"/>
          </w:tcPr>
          <w:p w14:paraId="559D1FC2"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114.4</w:t>
            </w:r>
          </w:p>
        </w:tc>
        <w:tc>
          <w:tcPr>
            <w:tcW w:w="794" w:type="dxa"/>
          </w:tcPr>
          <w:p w14:paraId="07D830E5"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231.9</w:t>
            </w:r>
          </w:p>
        </w:tc>
        <w:tc>
          <w:tcPr>
            <w:tcW w:w="794" w:type="dxa"/>
          </w:tcPr>
          <w:p w14:paraId="0BD86563"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120.5</w:t>
            </w:r>
          </w:p>
        </w:tc>
        <w:tc>
          <w:tcPr>
            <w:tcW w:w="794" w:type="dxa"/>
          </w:tcPr>
          <w:p w14:paraId="07B6302E"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w:t>
            </w:r>
          </w:p>
        </w:tc>
      </w:tr>
      <w:tr w:rsidR="009C6724" w14:paraId="5E084D35"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38AE3194" w14:textId="77777777" w:rsidR="00AB205D" w:rsidRDefault="00471A3B">
            <w:pPr>
              <w:spacing w:after="0"/>
            </w:pPr>
            <w:r>
              <w:rPr>
                <w:b/>
              </w:rPr>
              <w:t>Supports for Schools and Staff</w:t>
            </w:r>
          </w:p>
        </w:tc>
        <w:tc>
          <w:tcPr>
            <w:tcW w:w="794" w:type="dxa"/>
          </w:tcPr>
          <w:p w14:paraId="0DB0BC08"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502A3A66"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7F0F3D6F"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06B4B820"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r>
      <w:tr w:rsidR="009C6724" w14:paraId="14CD2F5D"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7F86E32F" w14:textId="77777777" w:rsidR="00AB205D" w:rsidRDefault="00471A3B">
            <w:pPr>
              <w:spacing w:after="0"/>
            </w:pPr>
            <w:r>
              <w:t>Career Start program</w:t>
            </w:r>
          </w:p>
        </w:tc>
        <w:tc>
          <w:tcPr>
            <w:tcW w:w="794" w:type="dxa"/>
          </w:tcPr>
          <w:p w14:paraId="74C688B8"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18.0</w:t>
            </w:r>
          </w:p>
        </w:tc>
        <w:tc>
          <w:tcPr>
            <w:tcW w:w="794" w:type="dxa"/>
          </w:tcPr>
          <w:p w14:paraId="7F77E46A"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46.1</w:t>
            </w:r>
          </w:p>
        </w:tc>
        <w:tc>
          <w:tcPr>
            <w:tcW w:w="794" w:type="dxa"/>
          </w:tcPr>
          <w:p w14:paraId="3582B42A"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31.7</w:t>
            </w:r>
          </w:p>
        </w:tc>
        <w:tc>
          <w:tcPr>
            <w:tcW w:w="794" w:type="dxa"/>
          </w:tcPr>
          <w:p w14:paraId="72467A42"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w:t>
            </w:r>
          </w:p>
        </w:tc>
      </w:tr>
      <w:tr w:rsidR="009C6724" w14:paraId="7D6864C1"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bottom w:val="single" w:sz="6" w:space="0" w:color="auto"/>
            </w:tcBorders>
          </w:tcPr>
          <w:p w14:paraId="1E9EC027" w14:textId="77777777" w:rsidR="00AB205D" w:rsidRDefault="00471A3B">
            <w:pPr>
              <w:spacing w:after="0"/>
            </w:pPr>
            <w:r>
              <w:t>Growing the pipeline of teachers across all Victorian government schools</w:t>
            </w:r>
          </w:p>
        </w:tc>
        <w:tc>
          <w:tcPr>
            <w:tcW w:w="794" w:type="dxa"/>
            <w:tcBorders>
              <w:bottom w:val="single" w:sz="6" w:space="0" w:color="auto"/>
            </w:tcBorders>
          </w:tcPr>
          <w:p w14:paraId="4B3E68F1"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14.1</w:t>
            </w:r>
          </w:p>
        </w:tc>
        <w:tc>
          <w:tcPr>
            <w:tcW w:w="794" w:type="dxa"/>
            <w:tcBorders>
              <w:bottom w:val="single" w:sz="6" w:space="0" w:color="auto"/>
            </w:tcBorders>
          </w:tcPr>
          <w:p w14:paraId="344CB80C"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25.7</w:t>
            </w:r>
          </w:p>
        </w:tc>
        <w:tc>
          <w:tcPr>
            <w:tcW w:w="794" w:type="dxa"/>
            <w:tcBorders>
              <w:bottom w:val="single" w:sz="6" w:space="0" w:color="auto"/>
            </w:tcBorders>
          </w:tcPr>
          <w:p w14:paraId="7E3D7DAC"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25.8</w:t>
            </w:r>
          </w:p>
        </w:tc>
        <w:tc>
          <w:tcPr>
            <w:tcW w:w="794" w:type="dxa"/>
            <w:tcBorders>
              <w:bottom w:val="single" w:sz="6" w:space="0" w:color="auto"/>
            </w:tcBorders>
          </w:tcPr>
          <w:p w14:paraId="180B1D1B"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25.8</w:t>
            </w:r>
          </w:p>
        </w:tc>
      </w:tr>
      <w:tr w:rsidR="009C6724" w14:paraId="1FB950CF"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bottom w:val="single" w:sz="12" w:space="0" w:color="auto"/>
            </w:tcBorders>
          </w:tcPr>
          <w:p w14:paraId="28EE390D" w14:textId="77777777" w:rsidR="00AB205D" w:rsidRDefault="00471A3B">
            <w:pPr>
              <w:spacing w:after="0"/>
            </w:pPr>
            <w:r>
              <w:rPr>
                <w:b/>
              </w:rPr>
              <w:t>Total output initiatives</w:t>
            </w:r>
          </w:p>
        </w:tc>
        <w:tc>
          <w:tcPr>
            <w:tcW w:w="794" w:type="dxa"/>
            <w:tcBorders>
              <w:top w:val="single" w:sz="6" w:space="0" w:color="auto"/>
              <w:bottom w:val="single" w:sz="12" w:space="0" w:color="auto"/>
            </w:tcBorders>
          </w:tcPr>
          <w:p w14:paraId="560F61CB"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166.1</w:t>
            </w:r>
          </w:p>
        </w:tc>
        <w:tc>
          <w:tcPr>
            <w:tcW w:w="794" w:type="dxa"/>
            <w:tcBorders>
              <w:top w:val="single" w:sz="6" w:space="0" w:color="auto"/>
              <w:bottom w:val="single" w:sz="12" w:space="0" w:color="auto"/>
            </w:tcBorders>
          </w:tcPr>
          <w:p w14:paraId="272779D2"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322.8</w:t>
            </w:r>
          </w:p>
        </w:tc>
        <w:tc>
          <w:tcPr>
            <w:tcW w:w="794" w:type="dxa"/>
            <w:tcBorders>
              <w:top w:val="single" w:sz="6" w:space="0" w:color="auto"/>
              <w:bottom w:val="single" w:sz="12" w:space="0" w:color="auto"/>
            </w:tcBorders>
          </w:tcPr>
          <w:p w14:paraId="3079354C"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178.0</w:t>
            </w:r>
          </w:p>
        </w:tc>
        <w:tc>
          <w:tcPr>
            <w:tcW w:w="794" w:type="dxa"/>
            <w:tcBorders>
              <w:top w:val="single" w:sz="6" w:space="0" w:color="auto"/>
              <w:bottom w:val="single" w:sz="12" w:space="0" w:color="auto"/>
            </w:tcBorders>
          </w:tcPr>
          <w:p w14:paraId="34FE6D71"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rPr>
                <w:b/>
              </w:rPr>
              <w:t>25.8</w:t>
            </w:r>
          </w:p>
        </w:tc>
      </w:tr>
    </w:tbl>
    <w:p w14:paraId="235DD6FD" w14:textId="77777777" w:rsidR="00AB205D" w:rsidRDefault="00471A3B">
      <w:pPr>
        <w:pStyle w:val="Heading4"/>
        <w:spacing w:before="100"/>
      </w:pPr>
      <w:r>
        <w:t>Promoting Equal Access to Education</w:t>
      </w:r>
    </w:p>
    <w:p w14:paraId="620D6DD1" w14:textId="77777777" w:rsidR="00AB205D" w:rsidRPr="00697E16" w:rsidRDefault="00471A3B">
      <w:pPr>
        <w:pStyle w:val="Heading5"/>
        <w:spacing w:before="80"/>
      </w:pPr>
      <w:r>
        <w:t>English as an Additional Language</w:t>
      </w:r>
    </w:p>
    <w:p w14:paraId="383AD6D3" w14:textId="77777777" w:rsidR="00AB205D" w:rsidRDefault="00471A3B">
      <w:pPr>
        <w:spacing w:line="228" w:lineRule="auto"/>
      </w:pPr>
      <w:r>
        <w:t>Funding is provided to increase the number of students supported by the English as an Additional Language program for the 2024 school year, in line with growth in enrolments. The program supports government school students who do not speak English at home, including Australian</w:t>
      </w:r>
      <w:r>
        <w:noBreakHyphen/>
        <w:t>born students, newly arrived migrants and students from refugee and asylum seeker backgrounds, to become proficient in English.</w:t>
      </w:r>
    </w:p>
    <w:p w14:paraId="445025B5" w14:textId="77777777" w:rsidR="00AB205D" w:rsidRDefault="00471A3B">
      <w:pPr>
        <w:spacing w:line="228" w:lineRule="auto"/>
      </w:pPr>
      <w:r>
        <w:t>This initiative contributes to the Department of Education’s Promoting Equal Access to Educational output.</w:t>
      </w:r>
    </w:p>
    <w:p w14:paraId="51C36E6A" w14:textId="77777777" w:rsidR="00AB205D" w:rsidRPr="008A1009" w:rsidRDefault="00471A3B">
      <w:pPr>
        <w:pStyle w:val="Heading5"/>
        <w:spacing w:before="80"/>
      </w:pPr>
      <w:r>
        <w:t>Strengthening Self</w:t>
      </w:r>
      <w:r>
        <w:noBreakHyphen/>
        <w:t>Determination in Education</w:t>
      </w:r>
    </w:p>
    <w:p w14:paraId="516FB44B" w14:textId="77777777" w:rsidR="00AB205D" w:rsidRDefault="00471A3B">
      <w:pPr>
        <w:spacing w:line="228" w:lineRule="auto"/>
      </w:pPr>
      <w:r>
        <w:t>Funding is provided to improve the educational outcomes of Koorie students in Victoria. This includes funding to support the delivery of the Koorie Literacy and Numeracy program and to support the implementation of self</w:t>
      </w:r>
      <w:r>
        <w:noBreakHyphen/>
        <w:t>determination reforms in schools.</w:t>
      </w:r>
    </w:p>
    <w:p w14:paraId="45648EA4" w14:textId="77777777" w:rsidR="00AB205D" w:rsidRDefault="00471A3B">
      <w:pPr>
        <w:spacing w:line="228" w:lineRule="auto"/>
      </w:pPr>
      <w:r>
        <w:t>This initiative contributes to the Department of Education’s Promoting Equal Access to Education output.</w:t>
      </w:r>
    </w:p>
    <w:p w14:paraId="3DC10AE9" w14:textId="77777777" w:rsidR="00AB205D" w:rsidRDefault="00471A3B">
      <w:pPr>
        <w:pStyle w:val="Heading4"/>
        <w:spacing w:before="100"/>
      </w:pPr>
      <w:r>
        <w:t>School Education Primary and Secondary</w:t>
      </w:r>
    </w:p>
    <w:p w14:paraId="31CC649D" w14:textId="77777777" w:rsidR="00AB205D" w:rsidRPr="00B73EC5" w:rsidRDefault="00471A3B">
      <w:pPr>
        <w:pStyle w:val="Heading5"/>
        <w:spacing w:before="80"/>
      </w:pPr>
      <w:r w:rsidRPr="00B73EC5">
        <w:t>Lifting student outcomes – Tutor Learning Initiative</w:t>
      </w:r>
    </w:p>
    <w:p w14:paraId="093C97F5" w14:textId="77777777" w:rsidR="00AB205D" w:rsidRDefault="00471A3B">
      <w:pPr>
        <w:spacing w:line="228" w:lineRule="auto"/>
      </w:pPr>
      <w:r>
        <w:t>Funding is provided to continue small group tutoring in 2024 and 2025 in government and non</w:t>
      </w:r>
      <w:r>
        <w:noBreakHyphen/>
        <w:t>government schools for students who have fallen behind expected achievement levels for literacy and numeracy, including by:</w:t>
      </w:r>
    </w:p>
    <w:p w14:paraId="749E38F7" w14:textId="77777777" w:rsidR="00AB205D" w:rsidRDefault="00471A3B">
      <w:pPr>
        <w:pStyle w:val="ListBullet"/>
        <w:spacing w:before="20" w:after="20"/>
      </w:pPr>
      <w:r>
        <w:t>providing schools and tutors the implementation support they need to provide small group tutoring</w:t>
      </w:r>
    </w:p>
    <w:p w14:paraId="74FC46F3" w14:textId="77777777" w:rsidR="00AB205D" w:rsidRDefault="00471A3B">
      <w:pPr>
        <w:pStyle w:val="ListBullet"/>
        <w:spacing w:before="20" w:after="20"/>
      </w:pPr>
      <w:r>
        <w:t>providing support to undertake high</w:t>
      </w:r>
      <w:r>
        <w:noBreakHyphen/>
        <w:t>quality assessments necessary to ensure effective implementation of small group tutoring</w:t>
      </w:r>
    </w:p>
    <w:p w14:paraId="0D3AD5C9" w14:textId="77777777" w:rsidR="00AB205D" w:rsidRDefault="00471A3B">
      <w:pPr>
        <w:pStyle w:val="ListBullet"/>
        <w:spacing w:before="20" w:after="20"/>
      </w:pPr>
      <w:r>
        <w:t>continuing the virtual tutor program to support schools that are experiencing tutor recruitment challenges.</w:t>
      </w:r>
    </w:p>
    <w:p w14:paraId="25283D17" w14:textId="77777777" w:rsidR="00AB205D" w:rsidRDefault="00471A3B">
      <w:pPr>
        <w:keepLines w:val="0"/>
        <w:spacing w:line="228" w:lineRule="auto"/>
      </w:pPr>
      <w:r>
        <w:t>This initiative contributes to the Department of Education’s School Education Primary and School Education Secondary outputs.</w:t>
      </w:r>
    </w:p>
    <w:p w14:paraId="13BC5042" w14:textId="77777777" w:rsidR="00AB205D" w:rsidRPr="00B73EC5" w:rsidRDefault="00471A3B">
      <w:pPr>
        <w:pStyle w:val="Heading4"/>
      </w:pPr>
      <w:r w:rsidRPr="00B73EC5">
        <w:lastRenderedPageBreak/>
        <w:t>Support</w:t>
      </w:r>
      <w:r>
        <w:t>s</w:t>
      </w:r>
      <w:r w:rsidRPr="00B73EC5">
        <w:t xml:space="preserve"> for Schools and Staff</w:t>
      </w:r>
    </w:p>
    <w:p w14:paraId="3A5FB098" w14:textId="77777777" w:rsidR="00AB205D" w:rsidRDefault="00471A3B">
      <w:pPr>
        <w:pStyle w:val="Heading5"/>
        <w:rPr>
          <w:b w:val="0"/>
          <w:bCs/>
          <w:sz w:val="27"/>
          <w:szCs w:val="27"/>
        </w:rPr>
      </w:pPr>
      <w:r w:rsidRPr="36776F71">
        <w:t>Career Start program</w:t>
      </w:r>
    </w:p>
    <w:p w14:paraId="04068F0A" w14:textId="77777777" w:rsidR="00AB205D" w:rsidRDefault="00471A3B">
      <w:r>
        <w:t>Funding is provided to continue and expand the Career Start program to graduate teachers in all government schools. The Career Start program provides graduate teachers with additional time release, mentoring and professional development opportunities.</w:t>
      </w:r>
    </w:p>
    <w:p w14:paraId="0AAA219E" w14:textId="77777777" w:rsidR="00AB205D" w:rsidRDefault="00471A3B">
      <w:r>
        <w:t>This initiative contributes to the Department of Education’s Supports for Schools and Staff output.</w:t>
      </w:r>
    </w:p>
    <w:p w14:paraId="3BD8599B" w14:textId="77777777" w:rsidR="00AB205D" w:rsidRDefault="00471A3B">
      <w:pPr>
        <w:pStyle w:val="Heading5"/>
      </w:pPr>
      <w:r w:rsidRPr="36776F71">
        <w:t xml:space="preserve">Growing the </w:t>
      </w:r>
      <w:r>
        <w:t>p</w:t>
      </w:r>
      <w:r w:rsidRPr="00B73EC5">
        <w:t xml:space="preserve">ipeline of teachers across </w:t>
      </w:r>
      <w:r>
        <w:t xml:space="preserve">all </w:t>
      </w:r>
      <w:r w:rsidRPr="00B73EC5">
        <w:t>Victorian government schools</w:t>
      </w:r>
    </w:p>
    <w:p w14:paraId="75F2536A" w14:textId="77777777" w:rsidR="00AB205D" w:rsidRDefault="00471A3B">
      <w:r>
        <w:t>Funding is provided to continue attracting and developing high quality teachers in Victorian government schools, including by:</w:t>
      </w:r>
    </w:p>
    <w:p w14:paraId="6C770DFB" w14:textId="77777777" w:rsidR="00AB205D" w:rsidRDefault="00471A3B">
      <w:pPr>
        <w:pStyle w:val="ListBullet"/>
      </w:pPr>
      <w:r>
        <w:t>introducing new scholarships for students who enrol in secondary school or dual primary/secondary school teaching degrees</w:t>
      </w:r>
    </w:p>
    <w:p w14:paraId="2E60356B" w14:textId="77777777" w:rsidR="00AB205D" w:rsidRDefault="00471A3B">
      <w:pPr>
        <w:pStyle w:val="ListBullet"/>
      </w:pPr>
      <w:r>
        <w:t>supporting partnerships with universities to deliver innovative undergraduate employment</w:t>
      </w:r>
      <w:r>
        <w:noBreakHyphen/>
        <w:t>based initial teacher education programs</w:t>
      </w:r>
    </w:p>
    <w:p w14:paraId="3BEE1E9E" w14:textId="77777777" w:rsidR="00AB205D" w:rsidRDefault="00471A3B">
      <w:pPr>
        <w:pStyle w:val="ListBullet"/>
      </w:pPr>
      <w:r>
        <w:t>continuing and expanding the Targeted Financial Incentives program to attract teachers into teaching at hard to staff schools in rural and regional areas.</w:t>
      </w:r>
    </w:p>
    <w:p w14:paraId="39195795" w14:textId="77777777" w:rsidR="00AB205D" w:rsidRDefault="00471A3B">
      <w:r>
        <w:t>This initiative contributes to the Department of Education’s Supports for Schools and Staff output.</w:t>
      </w:r>
    </w:p>
    <w:p w14:paraId="1C41D436" w14:textId="77777777" w:rsidR="00AB205D" w:rsidRPr="00F7203A" w:rsidRDefault="00AB205D"/>
    <w:p w14:paraId="2476D05E" w14:textId="77777777" w:rsidR="00AB205D" w:rsidRDefault="00471A3B">
      <w:pPr>
        <w:pStyle w:val="Heading10"/>
        <w:pageBreakBefore/>
      </w:pPr>
      <w:bookmarkStart w:id="115" w:name="_Toc152933047"/>
      <w:r w:rsidRPr="00E023BC">
        <w:lastRenderedPageBreak/>
        <w:t>Department of Energy, Environment and Climate Action</w:t>
      </w:r>
      <w:bookmarkEnd w:id="115"/>
    </w:p>
    <w:p w14:paraId="7D247B30" w14:textId="77777777" w:rsidR="00AB205D" w:rsidRDefault="00471A3B" w:rsidP="00882944">
      <w:pPr>
        <w:pStyle w:val="Heading20"/>
        <w:spacing w:before="180"/>
      </w:pPr>
      <w:r>
        <w:t>Output initiatives</w:t>
      </w:r>
    </w:p>
    <w:p w14:paraId="7B96E6DB" w14:textId="77777777" w:rsidR="00AB205D" w:rsidRDefault="00471A3B">
      <w:pPr>
        <w:pStyle w:val="TableHeading"/>
      </w:pPr>
      <w:r>
        <w:t>Table A.8:</w:t>
      </w:r>
      <w:r>
        <w:tab/>
        <w:t xml:space="preserve">Output initiatives – </w:t>
      </w:r>
      <w:r>
        <w:rPr>
          <w:noProof/>
        </w:rPr>
        <w:t>Energy, Environment and Climate Action</w:t>
      </w:r>
      <w:r>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Appendix%20A/Appendix%20A.xlsx|Table:DEECA_Output"/>
      </w:tblPr>
      <w:tblGrid>
        <w:gridCol w:w="4534"/>
        <w:gridCol w:w="794"/>
        <w:gridCol w:w="794"/>
        <w:gridCol w:w="794"/>
        <w:gridCol w:w="794"/>
      </w:tblGrid>
      <w:tr w:rsidR="009C6724" w14:paraId="386FE244"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4" w:type="dxa"/>
          </w:tcPr>
          <w:p w14:paraId="67235AAA" w14:textId="77777777" w:rsidR="00AB205D" w:rsidRDefault="00AB205D" w:rsidP="00882944">
            <w:pPr>
              <w:keepNext/>
              <w:spacing w:after="0"/>
            </w:pPr>
          </w:p>
        </w:tc>
        <w:tc>
          <w:tcPr>
            <w:tcW w:w="794" w:type="dxa"/>
          </w:tcPr>
          <w:p w14:paraId="525A1661" w14:textId="77777777" w:rsidR="00AB205D" w:rsidRDefault="00471A3B" w:rsidP="00882944">
            <w:pPr>
              <w:keepNext/>
              <w:spacing w:after="0"/>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65197348" w14:textId="77777777" w:rsidR="00AB205D" w:rsidRDefault="00471A3B" w:rsidP="00882944">
            <w:pPr>
              <w:keepNext/>
              <w:spacing w:after="0"/>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1C688E84" w14:textId="77777777" w:rsidR="00AB205D" w:rsidRDefault="00471A3B" w:rsidP="00882944">
            <w:pPr>
              <w:keepNext/>
              <w:spacing w:after="0"/>
              <w:cnfStyle w:val="100000000000" w:firstRow="1" w:lastRow="0" w:firstColumn="0" w:lastColumn="0" w:oddVBand="0" w:evenVBand="0" w:oddHBand="0" w:evenHBand="0" w:firstRowFirstColumn="0" w:firstRowLastColumn="0" w:lastRowFirstColumn="0" w:lastRowLastColumn="0"/>
            </w:pPr>
            <w:r>
              <w:t>2025</w:t>
            </w:r>
            <w:r>
              <w:noBreakHyphen/>
              <w:t>26</w:t>
            </w:r>
          </w:p>
        </w:tc>
        <w:tc>
          <w:tcPr>
            <w:tcW w:w="794" w:type="dxa"/>
          </w:tcPr>
          <w:p w14:paraId="72300D01" w14:textId="77777777" w:rsidR="00AB205D" w:rsidRDefault="00471A3B" w:rsidP="00882944">
            <w:pPr>
              <w:keepNext/>
              <w:spacing w:after="0"/>
              <w:cnfStyle w:val="100000000000" w:firstRow="1" w:lastRow="0" w:firstColumn="0" w:lastColumn="0" w:oddVBand="0" w:evenVBand="0" w:oddHBand="0" w:evenHBand="0" w:firstRowFirstColumn="0" w:firstRowLastColumn="0" w:lastRowFirstColumn="0" w:lastRowLastColumn="0"/>
            </w:pPr>
            <w:r>
              <w:t>2026</w:t>
            </w:r>
            <w:r>
              <w:noBreakHyphen/>
              <w:t>27</w:t>
            </w:r>
          </w:p>
        </w:tc>
      </w:tr>
      <w:tr w:rsidR="009C6724" w14:paraId="5E0BF5F2"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37480AC5" w14:textId="77777777" w:rsidR="00AB205D" w:rsidRDefault="00471A3B" w:rsidP="00882944">
            <w:pPr>
              <w:spacing w:after="0"/>
            </w:pPr>
            <w:r>
              <w:rPr>
                <w:b/>
              </w:rPr>
              <w:t>Agriculture</w:t>
            </w:r>
          </w:p>
        </w:tc>
        <w:tc>
          <w:tcPr>
            <w:tcW w:w="794" w:type="dxa"/>
          </w:tcPr>
          <w:p w14:paraId="61D1E6A7" w14:textId="77777777" w:rsidR="00AB205D" w:rsidRDefault="00AB205D" w:rsidP="00882944">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4C8A929F" w14:textId="77777777" w:rsidR="00AB205D" w:rsidRDefault="00AB205D" w:rsidP="00882944">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7B27C48F" w14:textId="77777777" w:rsidR="00AB205D" w:rsidRDefault="00AB205D" w:rsidP="00882944">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3FACAA3E" w14:textId="77777777" w:rsidR="00AB205D" w:rsidRDefault="00AB205D" w:rsidP="00882944">
            <w:pPr>
              <w:spacing w:after="0"/>
              <w:cnfStyle w:val="000000000000" w:firstRow="0" w:lastRow="0" w:firstColumn="0" w:lastColumn="0" w:oddVBand="0" w:evenVBand="0" w:oddHBand="0" w:evenHBand="0" w:firstRowFirstColumn="0" w:firstRowLastColumn="0" w:lastRowFirstColumn="0" w:lastRowLastColumn="0"/>
            </w:pPr>
          </w:p>
        </w:tc>
      </w:tr>
      <w:tr w:rsidR="009C6724" w14:paraId="51553774"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0BE73490" w14:textId="77777777" w:rsidR="00AB205D" w:rsidRDefault="00471A3B" w:rsidP="00882944">
            <w:pPr>
              <w:spacing w:after="0"/>
            </w:pPr>
            <w:r>
              <w:t>Forestry Transition Program</w:t>
            </w:r>
          </w:p>
        </w:tc>
        <w:tc>
          <w:tcPr>
            <w:tcW w:w="794" w:type="dxa"/>
          </w:tcPr>
          <w:p w14:paraId="3FD81E27" w14:textId="77777777" w:rsidR="00AB205D" w:rsidRDefault="00471A3B" w:rsidP="00882944">
            <w:pPr>
              <w:spacing w:after="0"/>
              <w:cnfStyle w:val="000000000000" w:firstRow="0" w:lastRow="0" w:firstColumn="0" w:lastColumn="0" w:oddVBand="0" w:evenVBand="0" w:oddHBand="0" w:evenHBand="0" w:firstRowFirstColumn="0" w:firstRowLastColumn="0" w:lastRowFirstColumn="0" w:lastRowLastColumn="0"/>
            </w:pPr>
            <w:r>
              <w:t>155.5</w:t>
            </w:r>
          </w:p>
        </w:tc>
        <w:tc>
          <w:tcPr>
            <w:tcW w:w="794" w:type="dxa"/>
          </w:tcPr>
          <w:p w14:paraId="61098D97" w14:textId="77777777" w:rsidR="00AB205D" w:rsidRDefault="00471A3B" w:rsidP="00882944">
            <w:pPr>
              <w:spacing w:after="0"/>
              <w:cnfStyle w:val="000000000000" w:firstRow="0" w:lastRow="0" w:firstColumn="0" w:lastColumn="0" w:oddVBand="0" w:evenVBand="0" w:oddHBand="0" w:evenHBand="0" w:firstRowFirstColumn="0" w:firstRowLastColumn="0" w:lastRowFirstColumn="0" w:lastRowLastColumn="0"/>
            </w:pPr>
            <w:r>
              <w:t>62.5</w:t>
            </w:r>
          </w:p>
        </w:tc>
        <w:tc>
          <w:tcPr>
            <w:tcW w:w="794" w:type="dxa"/>
          </w:tcPr>
          <w:p w14:paraId="4689C860" w14:textId="77777777" w:rsidR="00AB205D" w:rsidRDefault="00471A3B" w:rsidP="00882944">
            <w:pPr>
              <w:spacing w:after="0"/>
              <w:cnfStyle w:val="000000000000" w:firstRow="0" w:lastRow="0" w:firstColumn="0" w:lastColumn="0" w:oddVBand="0" w:evenVBand="0" w:oddHBand="0" w:evenHBand="0" w:firstRowFirstColumn="0" w:firstRowLastColumn="0" w:lastRowFirstColumn="0" w:lastRowLastColumn="0"/>
            </w:pPr>
            <w:r>
              <w:t>20.2</w:t>
            </w:r>
          </w:p>
        </w:tc>
        <w:tc>
          <w:tcPr>
            <w:tcW w:w="794" w:type="dxa"/>
          </w:tcPr>
          <w:p w14:paraId="2ED8E1A5" w14:textId="77777777" w:rsidR="00AB205D" w:rsidRDefault="00471A3B" w:rsidP="00882944">
            <w:pPr>
              <w:spacing w:after="0"/>
              <w:cnfStyle w:val="000000000000" w:firstRow="0" w:lastRow="0" w:firstColumn="0" w:lastColumn="0" w:oddVBand="0" w:evenVBand="0" w:oddHBand="0" w:evenHBand="0" w:firstRowFirstColumn="0" w:firstRowLastColumn="0" w:lastRowFirstColumn="0" w:lastRowLastColumn="0"/>
            </w:pPr>
            <w:r>
              <w:t>4.1</w:t>
            </w:r>
          </w:p>
        </w:tc>
      </w:tr>
      <w:tr w:rsidR="009C6724" w14:paraId="454CB792"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4D3D460A" w14:textId="77777777" w:rsidR="00AB205D" w:rsidRDefault="00471A3B" w:rsidP="00882944">
            <w:pPr>
              <w:spacing w:after="0"/>
            </w:pPr>
            <w:r>
              <w:rPr>
                <w:b/>
              </w:rPr>
              <w:t>Energy</w:t>
            </w:r>
          </w:p>
        </w:tc>
        <w:tc>
          <w:tcPr>
            <w:tcW w:w="794" w:type="dxa"/>
          </w:tcPr>
          <w:p w14:paraId="42B4D2DC" w14:textId="77777777" w:rsidR="00AB205D" w:rsidRDefault="00AB205D" w:rsidP="00882944">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2E0A2AF9" w14:textId="77777777" w:rsidR="00AB205D" w:rsidRDefault="00AB205D" w:rsidP="00882944">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571F5F42" w14:textId="77777777" w:rsidR="00AB205D" w:rsidRDefault="00AB205D" w:rsidP="00882944">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699647C8" w14:textId="77777777" w:rsidR="00AB205D" w:rsidRDefault="00AB205D" w:rsidP="00882944">
            <w:pPr>
              <w:spacing w:after="0"/>
              <w:cnfStyle w:val="000000000000" w:firstRow="0" w:lastRow="0" w:firstColumn="0" w:lastColumn="0" w:oddVBand="0" w:evenVBand="0" w:oddHBand="0" w:evenHBand="0" w:firstRowFirstColumn="0" w:firstRowLastColumn="0" w:lastRowFirstColumn="0" w:lastRowLastColumn="0"/>
            </w:pPr>
          </w:p>
        </w:tc>
      </w:tr>
      <w:tr w:rsidR="009C6724" w14:paraId="4655F176"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4DA25B23" w14:textId="77777777" w:rsidR="00AB205D" w:rsidRDefault="00471A3B" w:rsidP="00882944">
            <w:pPr>
              <w:spacing w:after="0"/>
            </w:pPr>
            <w:r>
              <w:t>Gas substitution roadmap</w:t>
            </w:r>
          </w:p>
        </w:tc>
        <w:tc>
          <w:tcPr>
            <w:tcW w:w="794" w:type="dxa"/>
          </w:tcPr>
          <w:p w14:paraId="688F3ACF" w14:textId="77777777" w:rsidR="00AB205D" w:rsidRDefault="00471A3B" w:rsidP="00882944">
            <w:pPr>
              <w:spacing w:after="0"/>
              <w:cnfStyle w:val="000000000000" w:firstRow="0" w:lastRow="0" w:firstColumn="0" w:lastColumn="0" w:oddVBand="0" w:evenVBand="0" w:oddHBand="0" w:evenHBand="0" w:firstRowFirstColumn="0" w:firstRowLastColumn="0" w:lastRowFirstColumn="0" w:lastRowLastColumn="0"/>
            </w:pPr>
            <w:r>
              <w:t>1.8</w:t>
            </w:r>
          </w:p>
        </w:tc>
        <w:tc>
          <w:tcPr>
            <w:tcW w:w="794" w:type="dxa"/>
          </w:tcPr>
          <w:p w14:paraId="59D00305" w14:textId="77777777" w:rsidR="00AB205D" w:rsidRDefault="00471A3B" w:rsidP="00882944">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Pr>
          <w:p w14:paraId="1C10BF45" w14:textId="77777777" w:rsidR="00AB205D" w:rsidRDefault="00471A3B" w:rsidP="00882944">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Pr>
          <w:p w14:paraId="4986757C" w14:textId="77777777" w:rsidR="00AB205D" w:rsidRDefault="00471A3B" w:rsidP="00882944">
            <w:pPr>
              <w:spacing w:after="0"/>
              <w:cnfStyle w:val="000000000000" w:firstRow="0" w:lastRow="0" w:firstColumn="0" w:lastColumn="0" w:oddVBand="0" w:evenVBand="0" w:oddHBand="0" w:evenHBand="0" w:firstRowFirstColumn="0" w:firstRowLastColumn="0" w:lastRowFirstColumn="0" w:lastRowLastColumn="0"/>
            </w:pPr>
            <w:r>
              <w:t>..</w:t>
            </w:r>
          </w:p>
        </w:tc>
      </w:tr>
      <w:tr w:rsidR="009C6724" w14:paraId="690BF26B"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6A1D066B" w14:textId="77777777" w:rsidR="00AB205D" w:rsidRDefault="00471A3B" w:rsidP="00882944">
            <w:pPr>
              <w:spacing w:after="0"/>
            </w:pPr>
            <w:r>
              <w:rPr>
                <w:b/>
              </w:rPr>
              <w:t>Statutory Activities and Environment Protection</w:t>
            </w:r>
          </w:p>
        </w:tc>
        <w:tc>
          <w:tcPr>
            <w:tcW w:w="794" w:type="dxa"/>
          </w:tcPr>
          <w:p w14:paraId="768C2CCE" w14:textId="77777777" w:rsidR="00AB205D" w:rsidRDefault="00AB205D" w:rsidP="00882944">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7A9FD74A" w14:textId="77777777" w:rsidR="00AB205D" w:rsidRDefault="00AB205D" w:rsidP="00882944">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611326D8" w14:textId="77777777" w:rsidR="00AB205D" w:rsidRDefault="00AB205D" w:rsidP="00882944">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36C61B24" w14:textId="77777777" w:rsidR="00AB205D" w:rsidRDefault="00AB205D" w:rsidP="00882944">
            <w:pPr>
              <w:spacing w:after="0"/>
              <w:cnfStyle w:val="000000000000" w:firstRow="0" w:lastRow="0" w:firstColumn="0" w:lastColumn="0" w:oddVBand="0" w:evenVBand="0" w:oddHBand="0" w:evenHBand="0" w:firstRowFirstColumn="0" w:firstRowLastColumn="0" w:lastRowFirstColumn="0" w:lastRowLastColumn="0"/>
            </w:pPr>
          </w:p>
        </w:tc>
      </w:tr>
      <w:tr w:rsidR="009C6724" w14:paraId="45A6DB95"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bottom w:val="single" w:sz="6" w:space="0" w:color="auto"/>
            </w:tcBorders>
          </w:tcPr>
          <w:p w14:paraId="0A5FD182" w14:textId="77777777" w:rsidR="00AB205D" w:rsidRDefault="00471A3B" w:rsidP="00882944">
            <w:pPr>
              <w:spacing w:after="0"/>
            </w:pPr>
            <w:r>
              <w:t>Lemon Springs site remediation</w:t>
            </w:r>
          </w:p>
        </w:tc>
        <w:tc>
          <w:tcPr>
            <w:tcW w:w="794" w:type="dxa"/>
            <w:tcBorders>
              <w:bottom w:val="single" w:sz="6" w:space="0" w:color="auto"/>
            </w:tcBorders>
          </w:tcPr>
          <w:p w14:paraId="18F52B84" w14:textId="77777777" w:rsidR="00AB205D" w:rsidRDefault="00471A3B" w:rsidP="00882944">
            <w:pPr>
              <w:spacing w:after="0"/>
              <w:cnfStyle w:val="000000000000" w:firstRow="0" w:lastRow="0" w:firstColumn="0" w:lastColumn="0" w:oddVBand="0" w:evenVBand="0" w:oddHBand="0" w:evenHBand="0" w:firstRowFirstColumn="0" w:firstRowLastColumn="0" w:lastRowFirstColumn="0" w:lastRowLastColumn="0"/>
            </w:pPr>
            <w:r>
              <w:t>6.2</w:t>
            </w:r>
          </w:p>
        </w:tc>
        <w:tc>
          <w:tcPr>
            <w:tcW w:w="794" w:type="dxa"/>
            <w:tcBorders>
              <w:bottom w:val="single" w:sz="6" w:space="0" w:color="auto"/>
            </w:tcBorders>
          </w:tcPr>
          <w:p w14:paraId="10931EC7" w14:textId="77777777" w:rsidR="00AB205D" w:rsidRDefault="00471A3B" w:rsidP="00882944">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77107821" w14:textId="77777777" w:rsidR="00AB205D" w:rsidRDefault="00471A3B" w:rsidP="00882944">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4DDD80E6" w14:textId="77777777" w:rsidR="00AB205D" w:rsidRDefault="00471A3B" w:rsidP="00882944">
            <w:pPr>
              <w:spacing w:after="0"/>
              <w:cnfStyle w:val="000000000000" w:firstRow="0" w:lastRow="0" w:firstColumn="0" w:lastColumn="0" w:oddVBand="0" w:evenVBand="0" w:oddHBand="0" w:evenHBand="0" w:firstRowFirstColumn="0" w:firstRowLastColumn="0" w:lastRowFirstColumn="0" w:lastRowLastColumn="0"/>
            </w:pPr>
            <w:r>
              <w:t>..</w:t>
            </w:r>
          </w:p>
        </w:tc>
      </w:tr>
      <w:tr w:rsidR="009C6724" w14:paraId="2BBEA044"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bottom w:val="single" w:sz="12" w:space="0" w:color="auto"/>
            </w:tcBorders>
          </w:tcPr>
          <w:p w14:paraId="2D42CFC7" w14:textId="77777777" w:rsidR="00AB205D" w:rsidRDefault="00471A3B" w:rsidP="00882944">
            <w:pPr>
              <w:spacing w:after="0"/>
            </w:pPr>
            <w:r>
              <w:rPr>
                <w:b/>
              </w:rPr>
              <w:t>Total output initiatives</w:t>
            </w:r>
          </w:p>
        </w:tc>
        <w:tc>
          <w:tcPr>
            <w:tcW w:w="794" w:type="dxa"/>
            <w:tcBorders>
              <w:top w:val="single" w:sz="6" w:space="0" w:color="auto"/>
              <w:bottom w:val="single" w:sz="12" w:space="0" w:color="auto"/>
            </w:tcBorders>
          </w:tcPr>
          <w:p w14:paraId="7729C74D" w14:textId="505B5652" w:rsidR="00AB205D" w:rsidRDefault="008D4352" w:rsidP="00882944">
            <w:pPr>
              <w:spacing w:after="0"/>
              <w:cnfStyle w:val="000000000000" w:firstRow="0" w:lastRow="0" w:firstColumn="0" w:lastColumn="0" w:oddVBand="0" w:evenVBand="0" w:oddHBand="0" w:evenHBand="0" w:firstRowFirstColumn="0" w:firstRowLastColumn="0" w:lastRowFirstColumn="0" w:lastRowLastColumn="0"/>
            </w:pPr>
            <w:r>
              <w:rPr>
                <w:b/>
              </w:rPr>
              <w:t>163.4</w:t>
            </w:r>
          </w:p>
        </w:tc>
        <w:tc>
          <w:tcPr>
            <w:tcW w:w="794" w:type="dxa"/>
            <w:tcBorders>
              <w:top w:val="single" w:sz="6" w:space="0" w:color="auto"/>
              <w:bottom w:val="single" w:sz="12" w:space="0" w:color="auto"/>
            </w:tcBorders>
          </w:tcPr>
          <w:p w14:paraId="18CFD627" w14:textId="77777777" w:rsidR="00AB205D" w:rsidRDefault="00471A3B" w:rsidP="00882944">
            <w:pPr>
              <w:spacing w:after="0"/>
              <w:cnfStyle w:val="000000000000" w:firstRow="0" w:lastRow="0" w:firstColumn="0" w:lastColumn="0" w:oddVBand="0" w:evenVBand="0" w:oddHBand="0" w:evenHBand="0" w:firstRowFirstColumn="0" w:firstRowLastColumn="0" w:lastRowFirstColumn="0" w:lastRowLastColumn="0"/>
            </w:pPr>
            <w:r>
              <w:rPr>
                <w:b/>
              </w:rPr>
              <w:t>62.5</w:t>
            </w:r>
          </w:p>
        </w:tc>
        <w:tc>
          <w:tcPr>
            <w:tcW w:w="794" w:type="dxa"/>
            <w:tcBorders>
              <w:top w:val="single" w:sz="6" w:space="0" w:color="auto"/>
              <w:bottom w:val="single" w:sz="12" w:space="0" w:color="auto"/>
            </w:tcBorders>
          </w:tcPr>
          <w:p w14:paraId="78574F56" w14:textId="77777777" w:rsidR="00AB205D" w:rsidRDefault="00471A3B" w:rsidP="00882944">
            <w:pPr>
              <w:spacing w:after="0"/>
              <w:cnfStyle w:val="000000000000" w:firstRow="0" w:lastRow="0" w:firstColumn="0" w:lastColumn="0" w:oddVBand="0" w:evenVBand="0" w:oddHBand="0" w:evenHBand="0" w:firstRowFirstColumn="0" w:firstRowLastColumn="0" w:lastRowFirstColumn="0" w:lastRowLastColumn="0"/>
            </w:pPr>
            <w:r>
              <w:rPr>
                <w:b/>
              </w:rPr>
              <w:t>20.2</w:t>
            </w:r>
          </w:p>
        </w:tc>
        <w:tc>
          <w:tcPr>
            <w:tcW w:w="794" w:type="dxa"/>
            <w:tcBorders>
              <w:top w:val="single" w:sz="6" w:space="0" w:color="auto"/>
              <w:bottom w:val="single" w:sz="12" w:space="0" w:color="auto"/>
            </w:tcBorders>
          </w:tcPr>
          <w:p w14:paraId="488B86C9" w14:textId="77777777" w:rsidR="00AB205D" w:rsidRDefault="00471A3B" w:rsidP="00882944">
            <w:pPr>
              <w:spacing w:after="0"/>
              <w:cnfStyle w:val="000000000000" w:firstRow="0" w:lastRow="0" w:firstColumn="0" w:lastColumn="0" w:oddVBand="0" w:evenVBand="0" w:oddHBand="0" w:evenHBand="0" w:firstRowFirstColumn="0" w:firstRowLastColumn="0" w:lastRowFirstColumn="0" w:lastRowLastColumn="0"/>
            </w:pPr>
            <w:r>
              <w:rPr>
                <w:b/>
              </w:rPr>
              <w:t>4.1</w:t>
            </w:r>
          </w:p>
        </w:tc>
      </w:tr>
    </w:tbl>
    <w:p w14:paraId="4B1722F9" w14:textId="77777777" w:rsidR="00AB205D" w:rsidRDefault="00471A3B" w:rsidP="00882944">
      <w:pPr>
        <w:pStyle w:val="Heading4"/>
        <w:spacing w:before="140"/>
      </w:pPr>
      <w:r>
        <w:t>Agriculture</w:t>
      </w:r>
    </w:p>
    <w:p w14:paraId="51A5953B" w14:textId="77777777" w:rsidR="00AB205D" w:rsidRDefault="00471A3B" w:rsidP="00882944">
      <w:pPr>
        <w:pStyle w:val="Heading5"/>
        <w:spacing w:before="140"/>
      </w:pPr>
      <w:r w:rsidRPr="668F8772">
        <w:t xml:space="preserve">Forestry Transition </w:t>
      </w:r>
      <w:r w:rsidRPr="009F5D64">
        <w:t xml:space="preserve">Program </w:t>
      </w:r>
    </w:p>
    <w:p w14:paraId="585ACC0D" w14:textId="77777777" w:rsidR="00AB205D" w:rsidRDefault="00471A3B" w:rsidP="00882944">
      <w:pPr>
        <w:spacing w:before="100"/>
      </w:pPr>
      <w:r w:rsidRPr="005D4AA8">
        <w:t xml:space="preserve">Funding is provided </w:t>
      </w:r>
      <w:r>
        <w:t>for a variety of industry, community and worker support programs related to the</w:t>
      </w:r>
      <w:r w:rsidRPr="005D4AA8">
        <w:t xml:space="preserve"> transition out of native timber harvesting in State forests</w:t>
      </w:r>
      <w:r>
        <w:t xml:space="preserve"> by</w:t>
      </w:r>
      <w:r w:rsidRPr="005D4AA8">
        <w:t xml:space="preserve"> 1 January 2024</w:t>
      </w:r>
      <w:r>
        <w:t>.</w:t>
      </w:r>
    </w:p>
    <w:p w14:paraId="2E5303D6" w14:textId="77777777" w:rsidR="00AB205D" w:rsidRDefault="00471A3B" w:rsidP="00882944">
      <w:pPr>
        <w:spacing w:before="100"/>
        <w:ind w:right="-142"/>
      </w:pPr>
      <w:r>
        <w:t>This initiative contributes to the Department of Energy, Environment and Climate Action’s Agriculture output.</w:t>
      </w:r>
    </w:p>
    <w:p w14:paraId="41C6FEE9" w14:textId="77777777" w:rsidR="00AB205D" w:rsidRDefault="00471A3B" w:rsidP="00882944">
      <w:pPr>
        <w:pStyle w:val="Heading4"/>
        <w:spacing w:before="140"/>
      </w:pPr>
      <w:r>
        <w:t>Energy</w:t>
      </w:r>
    </w:p>
    <w:p w14:paraId="362E2443" w14:textId="77777777" w:rsidR="00AB205D" w:rsidRDefault="00471A3B" w:rsidP="00882944">
      <w:pPr>
        <w:pStyle w:val="Heading5"/>
        <w:spacing w:before="140"/>
        <w:rPr>
          <w:b w:val="0"/>
          <w:sz w:val="23"/>
          <w:szCs w:val="23"/>
        </w:rPr>
      </w:pPr>
      <w:r w:rsidRPr="00486AD5">
        <w:t>Gas substitution roadmap</w:t>
      </w:r>
    </w:p>
    <w:p w14:paraId="2331F688" w14:textId="77777777" w:rsidR="00AB205D" w:rsidRDefault="00471A3B" w:rsidP="00882944">
      <w:pPr>
        <w:spacing w:before="100" w:line="259" w:lineRule="auto"/>
      </w:pPr>
      <w:r>
        <w:t>Funding is provided to progress the necessary building reforms required to phase out gas connections to new and existing buildings and phase out the use of gas appliances.</w:t>
      </w:r>
    </w:p>
    <w:p w14:paraId="4ECB913A" w14:textId="77777777" w:rsidR="00AB205D" w:rsidRDefault="00471A3B" w:rsidP="00882944">
      <w:pPr>
        <w:spacing w:before="100" w:line="259" w:lineRule="auto"/>
        <w:ind w:right="-142"/>
      </w:pPr>
      <w:r>
        <w:t xml:space="preserve">This initiative contributes to the Department of Energy, Environment and Climate Action’s Energy output. </w:t>
      </w:r>
    </w:p>
    <w:p w14:paraId="728F4565" w14:textId="77777777" w:rsidR="00AB205D" w:rsidRDefault="00471A3B" w:rsidP="00882944">
      <w:pPr>
        <w:pStyle w:val="Heading4"/>
        <w:spacing w:before="140"/>
      </w:pPr>
      <w:r>
        <w:t>Statutory Activities and Environment Protection</w:t>
      </w:r>
    </w:p>
    <w:p w14:paraId="7D662009" w14:textId="77777777" w:rsidR="00AB205D" w:rsidRPr="00195222" w:rsidRDefault="00471A3B" w:rsidP="00882944">
      <w:pPr>
        <w:pStyle w:val="Heading5"/>
        <w:spacing w:before="140"/>
      </w:pPr>
      <w:r w:rsidRPr="00195222">
        <w:t>Lemon Springs site remediation</w:t>
      </w:r>
    </w:p>
    <w:p w14:paraId="51E7EC49" w14:textId="77777777" w:rsidR="00AB205D" w:rsidRDefault="00471A3B" w:rsidP="00882944">
      <w:pPr>
        <w:spacing w:before="100"/>
      </w:pPr>
      <w:r>
        <w:t>Additional funding is provided for the Environment Protection Authority to continue to remediate the high</w:t>
      </w:r>
      <w:r>
        <w:noBreakHyphen/>
        <w:t>risk illegal waste site at Lemon Springs in order to protect the community and the environment.</w:t>
      </w:r>
    </w:p>
    <w:p w14:paraId="49607F77" w14:textId="77777777" w:rsidR="00AB205D" w:rsidRDefault="00471A3B" w:rsidP="00882944">
      <w:pPr>
        <w:spacing w:before="100"/>
      </w:pPr>
      <w:r>
        <w:t xml:space="preserve">This initiative will be funded from the Municipal and Industrial Waste Levy. </w:t>
      </w:r>
    </w:p>
    <w:p w14:paraId="1606D4FF" w14:textId="77777777" w:rsidR="00AB205D" w:rsidRDefault="00471A3B" w:rsidP="00882944">
      <w:pPr>
        <w:spacing w:before="100"/>
        <w:ind w:right="-142"/>
      </w:pPr>
      <w:r>
        <w:t>This initiative contributes to the Department of Energy, Environment and Climate Action’s Statutory Activities and Environment Protection output.</w:t>
      </w:r>
    </w:p>
    <w:p w14:paraId="0C6EE8BF" w14:textId="77777777" w:rsidR="00AB205D" w:rsidRDefault="00471A3B">
      <w:pPr>
        <w:pStyle w:val="Heading10"/>
        <w:pageBreakBefore/>
      </w:pPr>
      <w:bookmarkStart w:id="116" w:name="_Toc152933048"/>
      <w:r>
        <w:lastRenderedPageBreak/>
        <w:t>Department of Families, Fairness and Housing</w:t>
      </w:r>
      <w:bookmarkEnd w:id="116"/>
    </w:p>
    <w:p w14:paraId="15E39DDD" w14:textId="77777777" w:rsidR="00AB205D" w:rsidRDefault="00471A3B">
      <w:pPr>
        <w:pStyle w:val="Heading20"/>
      </w:pPr>
      <w:r>
        <w:t>Output initiatives</w:t>
      </w:r>
    </w:p>
    <w:p w14:paraId="582BDCC8" w14:textId="77777777" w:rsidR="00AB205D" w:rsidRDefault="00471A3B">
      <w:pPr>
        <w:pStyle w:val="TableHeading"/>
      </w:pPr>
      <w:r>
        <w:t>Table A.9:</w:t>
      </w:r>
      <w:r>
        <w:tab/>
        <w:t xml:space="preserve">Output initiatives – </w:t>
      </w:r>
      <w:r>
        <w:rPr>
          <w:noProof/>
        </w:rPr>
        <w:t>Families, Fairness and Housing</w:t>
      </w:r>
      <w:r>
        <w:tab/>
        <w:t>($ million)</w:t>
      </w:r>
    </w:p>
    <w:tbl>
      <w:tblPr>
        <w:tblStyle w:val="DTFTableNumeric"/>
        <w:tblW w:w="7710" w:type="dxa"/>
        <w:tblLayout w:type="fixed"/>
        <w:tblLook w:val="06E0" w:firstRow="1" w:lastRow="1" w:firstColumn="1" w:lastColumn="0" w:noHBand="1" w:noVBand="1"/>
        <w:tblDescription w:val="Type:DtfTable|Workbook:https://vicgov.sharepoint.com/sites/VG002735/Budget%20Update/Appendix%20A/Appendix%20A.xlsx|Table:DFFH_Output"/>
      </w:tblPr>
      <w:tblGrid>
        <w:gridCol w:w="4534"/>
        <w:gridCol w:w="794"/>
        <w:gridCol w:w="794"/>
        <w:gridCol w:w="794"/>
        <w:gridCol w:w="794"/>
      </w:tblGrid>
      <w:tr w:rsidR="009C6724" w14:paraId="70591988"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4" w:type="dxa"/>
          </w:tcPr>
          <w:p w14:paraId="25C1D906" w14:textId="77777777" w:rsidR="00AB205D" w:rsidRDefault="00AB205D">
            <w:pPr>
              <w:keepNext/>
            </w:pPr>
          </w:p>
        </w:tc>
        <w:tc>
          <w:tcPr>
            <w:tcW w:w="794" w:type="dxa"/>
          </w:tcPr>
          <w:p w14:paraId="18AF7208"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1DB64EE3"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75FD13DB"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p>
        </w:tc>
        <w:tc>
          <w:tcPr>
            <w:tcW w:w="794" w:type="dxa"/>
          </w:tcPr>
          <w:p w14:paraId="08EFBE02"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p>
        </w:tc>
      </w:tr>
      <w:tr w:rsidR="009C6724" w14:paraId="2D7F6B0C"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25356933" w14:textId="77777777" w:rsidR="00AB205D" w:rsidRDefault="00471A3B">
            <w:r>
              <w:rPr>
                <w:b/>
              </w:rPr>
              <w:t>Child Protection and Family Services</w:t>
            </w:r>
          </w:p>
        </w:tc>
        <w:tc>
          <w:tcPr>
            <w:tcW w:w="794" w:type="dxa"/>
          </w:tcPr>
          <w:p w14:paraId="0D11877F"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7487CEED"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191A585B"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22BC5116"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7D33DD07"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0C3A6BBA" w14:textId="77777777" w:rsidR="00AB205D" w:rsidRDefault="00471A3B">
            <w:bookmarkStart w:id="117" w:name="_Hlk152857936"/>
            <w:r>
              <w:t>Supporting Community Sector Jobs</w:t>
            </w:r>
            <w:bookmarkEnd w:id="117"/>
          </w:p>
        </w:tc>
        <w:tc>
          <w:tcPr>
            <w:tcW w:w="794" w:type="dxa"/>
          </w:tcPr>
          <w:p w14:paraId="3843732C" w14:textId="77777777" w:rsidR="00AB205D" w:rsidRDefault="00471A3B">
            <w:pPr>
              <w:cnfStyle w:val="000000000000" w:firstRow="0" w:lastRow="0" w:firstColumn="0" w:lastColumn="0" w:oddVBand="0" w:evenVBand="0" w:oddHBand="0" w:evenHBand="0" w:firstRowFirstColumn="0" w:firstRowLastColumn="0" w:lastRowFirstColumn="0" w:lastRowLastColumn="0"/>
            </w:pPr>
            <w:r>
              <w:t>40.3</w:t>
            </w:r>
          </w:p>
        </w:tc>
        <w:tc>
          <w:tcPr>
            <w:tcW w:w="794" w:type="dxa"/>
          </w:tcPr>
          <w:p w14:paraId="0EA62618" w14:textId="77777777" w:rsidR="00AB205D" w:rsidRDefault="00471A3B">
            <w:pPr>
              <w:cnfStyle w:val="000000000000" w:firstRow="0" w:lastRow="0" w:firstColumn="0" w:lastColumn="0" w:oddVBand="0" w:evenVBand="0" w:oddHBand="0" w:evenHBand="0" w:firstRowFirstColumn="0" w:firstRowLastColumn="0" w:lastRowFirstColumn="0" w:lastRowLastColumn="0"/>
            </w:pPr>
            <w:r>
              <w:t>41.6</w:t>
            </w:r>
          </w:p>
        </w:tc>
        <w:tc>
          <w:tcPr>
            <w:tcW w:w="794" w:type="dxa"/>
          </w:tcPr>
          <w:p w14:paraId="171028A9" w14:textId="77777777" w:rsidR="00AB205D" w:rsidRDefault="00471A3B">
            <w:pPr>
              <w:cnfStyle w:val="000000000000" w:firstRow="0" w:lastRow="0" w:firstColumn="0" w:lastColumn="0" w:oddVBand="0" w:evenVBand="0" w:oddHBand="0" w:evenHBand="0" w:firstRowFirstColumn="0" w:firstRowLastColumn="0" w:lastRowFirstColumn="0" w:lastRowLastColumn="0"/>
            </w:pPr>
            <w:r>
              <w:t>43.0</w:t>
            </w:r>
          </w:p>
        </w:tc>
        <w:tc>
          <w:tcPr>
            <w:tcW w:w="794" w:type="dxa"/>
          </w:tcPr>
          <w:p w14:paraId="61F488E0" w14:textId="77777777" w:rsidR="00AB205D" w:rsidRDefault="00471A3B">
            <w:pPr>
              <w:cnfStyle w:val="000000000000" w:firstRow="0" w:lastRow="0" w:firstColumn="0" w:lastColumn="0" w:oddVBand="0" w:evenVBand="0" w:oddHBand="0" w:evenHBand="0" w:firstRowFirstColumn="0" w:firstRowLastColumn="0" w:lastRowFirstColumn="0" w:lastRowLastColumn="0"/>
            </w:pPr>
            <w:r>
              <w:t>44.5</w:t>
            </w:r>
          </w:p>
        </w:tc>
      </w:tr>
      <w:tr w:rsidR="009C6724" w:rsidRPr="00882944" w14:paraId="13518439" w14:textId="77777777" w:rsidTr="009C672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6" w:space="0" w:color="auto"/>
            </w:tcBorders>
          </w:tcPr>
          <w:p w14:paraId="49B345B6" w14:textId="77777777" w:rsidR="00AB205D" w:rsidRPr="00882944" w:rsidRDefault="00471A3B">
            <w:r w:rsidRPr="00882944">
              <w:t>Total output initiatives</w:t>
            </w:r>
          </w:p>
        </w:tc>
        <w:tc>
          <w:tcPr>
            <w:tcW w:w="0" w:type="dxa"/>
            <w:tcBorders>
              <w:top w:val="single" w:sz="6" w:space="0" w:color="auto"/>
            </w:tcBorders>
            <w:vAlign w:val="center"/>
          </w:tcPr>
          <w:p w14:paraId="7D862DCE" w14:textId="77777777" w:rsidR="00AB205D" w:rsidRPr="00882944" w:rsidRDefault="00471A3B">
            <w:pPr>
              <w:cnfStyle w:val="010000000000" w:firstRow="0" w:lastRow="1" w:firstColumn="0" w:lastColumn="0" w:oddVBand="0" w:evenVBand="0" w:oddHBand="0" w:evenHBand="0" w:firstRowFirstColumn="0" w:firstRowLastColumn="0" w:lastRowFirstColumn="0" w:lastRowLastColumn="0"/>
            </w:pPr>
            <w:r w:rsidRPr="00882944">
              <w:t>40.3</w:t>
            </w:r>
          </w:p>
        </w:tc>
        <w:tc>
          <w:tcPr>
            <w:tcW w:w="0" w:type="dxa"/>
            <w:tcBorders>
              <w:top w:val="single" w:sz="6" w:space="0" w:color="auto"/>
            </w:tcBorders>
            <w:vAlign w:val="center"/>
          </w:tcPr>
          <w:p w14:paraId="1F983E1C" w14:textId="77777777" w:rsidR="00AB205D" w:rsidRPr="00882944" w:rsidRDefault="00471A3B">
            <w:pPr>
              <w:cnfStyle w:val="010000000000" w:firstRow="0" w:lastRow="1" w:firstColumn="0" w:lastColumn="0" w:oddVBand="0" w:evenVBand="0" w:oddHBand="0" w:evenHBand="0" w:firstRowFirstColumn="0" w:firstRowLastColumn="0" w:lastRowFirstColumn="0" w:lastRowLastColumn="0"/>
            </w:pPr>
            <w:r w:rsidRPr="00882944">
              <w:t>41.6</w:t>
            </w:r>
          </w:p>
        </w:tc>
        <w:tc>
          <w:tcPr>
            <w:tcW w:w="0" w:type="dxa"/>
            <w:tcBorders>
              <w:top w:val="single" w:sz="6" w:space="0" w:color="auto"/>
            </w:tcBorders>
            <w:vAlign w:val="center"/>
          </w:tcPr>
          <w:p w14:paraId="2E937ED5" w14:textId="77777777" w:rsidR="00AB205D" w:rsidRPr="00882944" w:rsidRDefault="00471A3B">
            <w:pPr>
              <w:cnfStyle w:val="010000000000" w:firstRow="0" w:lastRow="1" w:firstColumn="0" w:lastColumn="0" w:oddVBand="0" w:evenVBand="0" w:oddHBand="0" w:evenHBand="0" w:firstRowFirstColumn="0" w:firstRowLastColumn="0" w:lastRowFirstColumn="0" w:lastRowLastColumn="0"/>
            </w:pPr>
            <w:r w:rsidRPr="00882944">
              <w:t>43.0</w:t>
            </w:r>
          </w:p>
        </w:tc>
        <w:tc>
          <w:tcPr>
            <w:tcW w:w="0" w:type="dxa"/>
            <w:tcBorders>
              <w:top w:val="single" w:sz="6" w:space="0" w:color="auto"/>
            </w:tcBorders>
            <w:vAlign w:val="center"/>
          </w:tcPr>
          <w:p w14:paraId="6B756FDE" w14:textId="77777777" w:rsidR="00AB205D" w:rsidRPr="00882944" w:rsidRDefault="00471A3B">
            <w:pPr>
              <w:cnfStyle w:val="010000000000" w:firstRow="0" w:lastRow="1" w:firstColumn="0" w:lastColumn="0" w:oddVBand="0" w:evenVBand="0" w:oddHBand="0" w:evenHBand="0" w:firstRowFirstColumn="0" w:firstRowLastColumn="0" w:lastRowFirstColumn="0" w:lastRowLastColumn="0"/>
            </w:pPr>
            <w:r w:rsidRPr="00882944">
              <w:t>44.5</w:t>
            </w:r>
          </w:p>
        </w:tc>
      </w:tr>
    </w:tbl>
    <w:p w14:paraId="394A39D4" w14:textId="77777777" w:rsidR="00AB205D" w:rsidRPr="004E65A9" w:rsidRDefault="00471A3B">
      <w:pPr>
        <w:pStyle w:val="Heading4"/>
        <w:rPr>
          <w:b/>
          <w:i w:val="0"/>
        </w:rPr>
      </w:pPr>
      <w:r w:rsidRPr="00541088">
        <w:t>Child Protection and Family Services</w:t>
      </w:r>
    </w:p>
    <w:p w14:paraId="6F99398D" w14:textId="77777777" w:rsidR="00AB205D" w:rsidRPr="00541088" w:rsidRDefault="00471A3B">
      <w:pPr>
        <w:pStyle w:val="Heading5"/>
      </w:pPr>
      <w:r w:rsidRPr="00541088">
        <w:t>Supporting Community Sector Jobs</w:t>
      </w:r>
    </w:p>
    <w:p w14:paraId="6441D79F" w14:textId="77777777" w:rsidR="00AB205D" w:rsidRDefault="00471A3B">
      <w:r>
        <w:t>Additional funding is provided to community service organisations that deliver social services on behalf of the Government.</w:t>
      </w:r>
    </w:p>
    <w:p w14:paraId="4CF9E346" w14:textId="77777777" w:rsidR="00AB205D" w:rsidRDefault="00471A3B">
      <w:r>
        <w:t>This initiative contributes to the Department of Families, Fairness and Housing’s:</w:t>
      </w:r>
    </w:p>
    <w:p w14:paraId="2990DF94" w14:textId="77777777" w:rsidR="00AB205D" w:rsidRDefault="00471A3B">
      <w:pPr>
        <w:pStyle w:val="ListBullet"/>
      </w:pPr>
      <w:r>
        <w:t>Child Protection and Family Services output</w:t>
      </w:r>
    </w:p>
    <w:p w14:paraId="35DE00DD" w14:textId="77777777" w:rsidR="00AB205D" w:rsidRDefault="00471A3B">
      <w:pPr>
        <w:pStyle w:val="ListBullet"/>
      </w:pPr>
      <w:r w:rsidRPr="00427900">
        <w:t>Community Participation</w:t>
      </w:r>
      <w:r>
        <w:t xml:space="preserve"> output</w:t>
      </w:r>
    </w:p>
    <w:p w14:paraId="20D3FECC" w14:textId="77777777" w:rsidR="00AB205D" w:rsidRDefault="00471A3B">
      <w:pPr>
        <w:pStyle w:val="ListBullet"/>
      </w:pPr>
      <w:r w:rsidRPr="00123765">
        <w:t xml:space="preserve">Concessions to </w:t>
      </w:r>
      <w:r>
        <w:t>P</w:t>
      </w:r>
      <w:r w:rsidRPr="00123765">
        <w:t xml:space="preserve">ensioners and </w:t>
      </w:r>
      <w:r>
        <w:t>B</w:t>
      </w:r>
      <w:r w:rsidRPr="00123765">
        <w:t>eneficiaries</w:t>
      </w:r>
      <w:r>
        <w:t xml:space="preserve"> output</w:t>
      </w:r>
    </w:p>
    <w:p w14:paraId="7FE289C9" w14:textId="77777777" w:rsidR="00AB205D" w:rsidRDefault="00471A3B">
      <w:pPr>
        <w:pStyle w:val="ListBullet"/>
      </w:pPr>
      <w:r>
        <w:t>Disability Services output</w:t>
      </w:r>
    </w:p>
    <w:p w14:paraId="30CCCE45" w14:textId="77777777" w:rsidR="00AB205D" w:rsidRDefault="00471A3B">
      <w:pPr>
        <w:pStyle w:val="ListBullet"/>
      </w:pPr>
      <w:r>
        <w:t>Family Violence Service Delivery output</w:t>
      </w:r>
    </w:p>
    <w:p w14:paraId="3C11F66C" w14:textId="77777777" w:rsidR="00AB205D" w:rsidRDefault="00471A3B">
      <w:pPr>
        <w:pStyle w:val="ListBullet"/>
      </w:pPr>
      <w:r>
        <w:t>Housing Assistance output</w:t>
      </w:r>
    </w:p>
    <w:p w14:paraId="18276068" w14:textId="77777777" w:rsidR="00AB205D" w:rsidRDefault="00471A3B">
      <w:pPr>
        <w:pStyle w:val="ListBullet"/>
      </w:pPr>
      <w:r w:rsidRPr="003D699D">
        <w:t>Office for Disability</w:t>
      </w:r>
      <w:r>
        <w:t xml:space="preserve"> output</w:t>
      </w:r>
    </w:p>
    <w:p w14:paraId="39AA4116" w14:textId="77777777" w:rsidR="00AB205D" w:rsidRDefault="00471A3B">
      <w:pPr>
        <w:pStyle w:val="ListBullet"/>
      </w:pPr>
      <w:r>
        <w:t>Seniors Programs and Participation output</w:t>
      </w:r>
    </w:p>
    <w:p w14:paraId="538FB186" w14:textId="77777777" w:rsidR="00AB205D" w:rsidRDefault="00AB205D"/>
    <w:p w14:paraId="4A9A34ED" w14:textId="77777777" w:rsidR="00AB205D" w:rsidRDefault="00471A3B">
      <w:pPr>
        <w:pStyle w:val="Heading10"/>
        <w:pageBreakBefore/>
      </w:pPr>
      <w:bookmarkStart w:id="118" w:name="_Toc152933049"/>
      <w:r>
        <w:lastRenderedPageBreak/>
        <w:t>Department of Government Services</w:t>
      </w:r>
      <w:bookmarkEnd w:id="118"/>
    </w:p>
    <w:p w14:paraId="18ED3A5F" w14:textId="77777777" w:rsidR="00AB205D" w:rsidRDefault="00471A3B">
      <w:pPr>
        <w:pStyle w:val="Heading20"/>
      </w:pPr>
      <w:r>
        <w:t>Output initiatives</w:t>
      </w:r>
    </w:p>
    <w:p w14:paraId="5FE512EB" w14:textId="77777777" w:rsidR="00AB205D" w:rsidRDefault="00471A3B">
      <w:pPr>
        <w:pStyle w:val="TableHeading"/>
      </w:pPr>
      <w:r>
        <w:t>Table A.11:</w:t>
      </w:r>
      <w:r>
        <w:tab/>
        <w:t xml:space="preserve">Output initiatives – </w:t>
      </w:r>
      <w:r>
        <w:rPr>
          <w:noProof/>
        </w:rPr>
        <w:t>Government Services</w:t>
      </w:r>
      <w:r>
        <w:tab/>
        <w:t>($ million)</w:t>
      </w:r>
    </w:p>
    <w:tbl>
      <w:tblPr>
        <w:tblStyle w:val="DTFTableNumeric"/>
        <w:tblW w:w="7711" w:type="dxa"/>
        <w:tblLayout w:type="fixed"/>
        <w:tblLook w:val="06A0" w:firstRow="1" w:lastRow="0" w:firstColumn="1" w:lastColumn="0" w:noHBand="1" w:noVBand="1"/>
        <w:tblDescription w:val="Type:DtfTable|Workbook:https://vicgov.sharepoint.com/sites/VG002735/Budget%20Update/Appendix%20A/Appendix%20A.xlsx|Table:DGS_Output"/>
      </w:tblPr>
      <w:tblGrid>
        <w:gridCol w:w="4820"/>
        <w:gridCol w:w="709"/>
        <w:gridCol w:w="708"/>
        <w:gridCol w:w="709"/>
        <w:gridCol w:w="765"/>
      </w:tblGrid>
      <w:tr w:rsidR="009C6724" w14:paraId="592326F4"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20" w:type="dxa"/>
          </w:tcPr>
          <w:p w14:paraId="7213BB5A" w14:textId="77777777" w:rsidR="00AB205D" w:rsidRDefault="00AB205D">
            <w:pPr>
              <w:keepNext/>
            </w:pPr>
          </w:p>
        </w:tc>
        <w:tc>
          <w:tcPr>
            <w:tcW w:w="709" w:type="dxa"/>
          </w:tcPr>
          <w:p w14:paraId="7A0760CE"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p>
        </w:tc>
        <w:tc>
          <w:tcPr>
            <w:tcW w:w="708" w:type="dxa"/>
          </w:tcPr>
          <w:p w14:paraId="0819BB72"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p>
        </w:tc>
        <w:tc>
          <w:tcPr>
            <w:tcW w:w="709" w:type="dxa"/>
          </w:tcPr>
          <w:p w14:paraId="5E38BA96"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p>
        </w:tc>
        <w:tc>
          <w:tcPr>
            <w:tcW w:w="765" w:type="dxa"/>
          </w:tcPr>
          <w:p w14:paraId="415AF2D8"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p>
        </w:tc>
      </w:tr>
      <w:tr w:rsidR="009C6724" w14:paraId="02331B8A" w14:textId="77777777" w:rsidTr="009C6724">
        <w:tc>
          <w:tcPr>
            <w:cnfStyle w:val="001000000000" w:firstRow="0" w:lastRow="0" w:firstColumn="1" w:lastColumn="0" w:oddVBand="0" w:evenVBand="0" w:oddHBand="0" w:evenHBand="0" w:firstRowFirstColumn="0" w:firstRowLastColumn="0" w:lastRowFirstColumn="0" w:lastRowLastColumn="0"/>
            <w:tcW w:w="4820" w:type="dxa"/>
          </w:tcPr>
          <w:p w14:paraId="349A3A5B" w14:textId="77777777" w:rsidR="00AB205D" w:rsidRDefault="00471A3B">
            <w:r>
              <w:rPr>
                <w:b/>
              </w:rPr>
              <w:t>Regulation of the Victorian consumer marketplace</w:t>
            </w:r>
          </w:p>
        </w:tc>
        <w:tc>
          <w:tcPr>
            <w:tcW w:w="709" w:type="dxa"/>
          </w:tcPr>
          <w:p w14:paraId="1BBD7520"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08" w:type="dxa"/>
          </w:tcPr>
          <w:p w14:paraId="4E430BB7"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09" w:type="dxa"/>
          </w:tcPr>
          <w:p w14:paraId="7D254311"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65" w:type="dxa"/>
          </w:tcPr>
          <w:p w14:paraId="198AF058"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361BCD4F" w14:textId="77777777" w:rsidTr="009C6724">
        <w:tc>
          <w:tcPr>
            <w:cnfStyle w:val="001000000000" w:firstRow="0" w:lastRow="0" w:firstColumn="1" w:lastColumn="0" w:oddVBand="0" w:evenVBand="0" w:oddHBand="0" w:evenHBand="0" w:firstRowFirstColumn="0" w:firstRowLastColumn="0" w:lastRowFirstColumn="0" w:lastRowLastColumn="0"/>
            <w:tcW w:w="4820" w:type="dxa"/>
          </w:tcPr>
          <w:p w14:paraId="7DB4401E" w14:textId="77777777" w:rsidR="00AB205D" w:rsidRDefault="00471A3B">
            <w:r>
              <w:t>Payment scheme for the customers of liquidated builders</w:t>
            </w:r>
          </w:p>
        </w:tc>
        <w:tc>
          <w:tcPr>
            <w:tcW w:w="709" w:type="dxa"/>
          </w:tcPr>
          <w:p w14:paraId="070CA794" w14:textId="77777777" w:rsidR="00AB205D" w:rsidRDefault="00471A3B">
            <w:pPr>
              <w:cnfStyle w:val="000000000000" w:firstRow="0" w:lastRow="0" w:firstColumn="0" w:lastColumn="0" w:oddVBand="0" w:evenVBand="0" w:oddHBand="0" w:evenHBand="0" w:firstRowFirstColumn="0" w:firstRowLastColumn="0" w:lastRowFirstColumn="0" w:lastRowLastColumn="0"/>
            </w:pPr>
            <w:r>
              <w:t>13.6</w:t>
            </w:r>
          </w:p>
        </w:tc>
        <w:tc>
          <w:tcPr>
            <w:tcW w:w="708" w:type="dxa"/>
          </w:tcPr>
          <w:p w14:paraId="0B8599BB"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09" w:type="dxa"/>
          </w:tcPr>
          <w:p w14:paraId="1F6760EB"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65" w:type="dxa"/>
          </w:tcPr>
          <w:p w14:paraId="5BFDE3DF"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r>
      <w:tr w:rsidR="009C6724" w14:paraId="534E6486" w14:textId="77777777" w:rsidTr="009C6724">
        <w:tc>
          <w:tcPr>
            <w:cnfStyle w:val="001000000000" w:firstRow="0" w:lastRow="0" w:firstColumn="1" w:lastColumn="0" w:oddVBand="0" w:evenVBand="0" w:oddHBand="0" w:evenHBand="0" w:firstRowFirstColumn="0" w:firstRowLastColumn="0" w:lastRowFirstColumn="0" w:lastRowLastColumn="0"/>
            <w:tcW w:w="4820" w:type="dxa"/>
            <w:tcBorders>
              <w:bottom w:val="single" w:sz="6" w:space="0" w:color="auto"/>
            </w:tcBorders>
          </w:tcPr>
          <w:p w14:paraId="63A02DBB" w14:textId="77777777" w:rsidR="00AB205D" w:rsidRDefault="00471A3B">
            <w:r>
              <w:t>Supporting Community Sector Jobs</w:t>
            </w:r>
          </w:p>
        </w:tc>
        <w:tc>
          <w:tcPr>
            <w:tcW w:w="709" w:type="dxa"/>
            <w:tcBorders>
              <w:bottom w:val="single" w:sz="6" w:space="0" w:color="auto"/>
            </w:tcBorders>
          </w:tcPr>
          <w:p w14:paraId="13075D91" w14:textId="77777777" w:rsidR="00AB205D" w:rsidRDefault="00471A3B">
            <w:pPr>
              <w:cnfStyle w:val="000000000000" w:firstRow="0" w:lastRow="0" w:firstColumn="0" w:lastColumn="0" w:oddVBand="0" w:evenVBand="0" w:oddHBand="0" w:evenHBand="0" w:firstRowFirstColumn="0" w:firstRowLastColumn="0" w:lastRowFirstColumn="0" w:lastRowLastColumn="0"/>
            </w:pPr>
            <w:r>
              <w:t>0.4</w:t>
            </w:r>
          </w:p>
        </w:tc>
        <w:tc>
          <w:tcPr>
            <w:tcW w:w="708" w:type="dxa"/>
            <w:tcBorders>
              <w:bottom w:val="single" w:sz="6" w:space="0" w:color="auto"/>
            </w:tcBorders>
          </w:tcPr>
          <w:p w14:paraId="1C9D361B" w14:textId="77777777" w:rsidR="00AB205D" w:rsidRDefault="00471A3B">
            <w:pPr>
              <w:cnfStyle w:val="000000000000" w:firstRow="0" w:lastRow="0" w:firstColumn="0" w:lastColumn="0" w:oddVBand="0" w:evenVBand="0" w:oddHBand="0" w:evenHBand="0" w:firstRowFirstColumn="0" w:firstRowLastColumn="0" w:lastRowFirstColumn="0" w:lastRowLastColumn="0"/>
            </w:pPr>
            <w:r>
              <w:t>0.4</w:t>
            </w:r>
          </w:p>
        </w:tc>
        <w:tc>
          <w:tcPr>
            <w:tcW w:w="709" w:type="dxa"/>
            <w:tcBorders>
              <w:bottom w:val="single" w:sz="6" w:space="0" w:color="auto"/>
            </w:tcBorders>
          </w:tcPr>
          <w:p w14:paraId="563166A6" w14:textId="77777777" w:rsidR="00AB205D" w:rsidRDefault="00471A3B">
            <w:pPr>
              <w:cnfStyle w:val="000000000000" w:firstRow="0" w:lastRow="0" w:firstColumn="0" w:lastColumn="0" w:oddVBand="0" w:evenVBand="0" w:oddHBand="0" w:evenHBand="0" w:firstRowFirstColumn="0" w:firstRowLastColumn="0" w:lastRowFirstColumn="0" w:lastRowLastColumn="0"/>
            </w:pPr>
            <w:r>
              <w:t>0.4</w:t>
            </w:r>
          </w:p>
        </w:tc>
        <w:tc>
          <w:tcPr>
            <w:tcW w:w="765" w:type="dxa"/>
            <w:tcBorders>
              <w:bottom w:val="single" w:sz="6" w:space="0" w:color="auto"/>
            </w:tcBorders>
          </w:tcPr>
          <w:p w14:paraId="403BDB07" w14:textId="77777777" w:rsidR="00AB205D" w:rsidRDefault="00471A3B">
            <w:pPr>
              <w:cnfStyle w:val="000000000000" w:firstRow="0" w:lastRow="0" w:firstColumn="0" w:lastColumn="0" w:oddVBand="0" w:evenVBand="0" w:oddHBand="0" w:evenHBand="0" w:firstRowFirstColumn="0" w:firstRowLastColumn="0" w:lastRowFirstColumn="0" w:lastRowLastColumn="0"/>
            </w:pPr>
            <w:r>
              <w:t>0.4</w:t>
            </w:r>
          </w:p>
        </w:tc>
      </w:tr>
      <w:tr w:rsidR="009C6724" w14:paraId="5C9E857C" w14:textId="77777777" w:rsidTr="009C6724">
        <w:tc>
          <w:tcPr>
            <w:cnfStyle w:val="001000000000" w:firstRow="0" w:lastRow="0" w:firstColumn="1" w:lastColumn="0" w:oddVBand="0" w:evenVBand="0" w:oddHBand="0" w:evenHBand="0" w:firstRowFirstColumn="0" w:firstRowLastColumn="0" w:lastRowFirstColumn="0" w:lastRowLastColumn="0"/>
            <w:tcW w:w="4820" w:type="dxa"/>
            <w:tcBorders>
              <w:top w:val="single" w:sz="6" w:space="0" w:color="auto"/>
              <w:bottom w:val="single" w:sz="12" w:space="0" w:color="auto"/>
            </w:tcBorders>
          </w:tcPr>
          <w:p w14:paraId="01733F60" w14:textId="77777777" w:rsidR="00AB205D" w:rsidRDefault="00471A3B">
            <w:r>
              <w:rPr>
                <w:b/>
              </w:rPr>
              <w:t>Total output initiatives</w:t>
            </w:r>
          </w:p>
        </w:tc>
        <w:tc>
          <w:tcPr>
            <w:tcW w:w="709" w:type="dxa"/>
            <w:tcBorders>
              <w:top w:val="single" w:sz="6" w:space="0" w:color="auto"/>
              <w:bottom w:val="single" w:sz="12" w:space="0" w:color="auto"/>
            </w:tcBorders>
          </w:tcPr>
          <w:p w14:paraId="3D52FF6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13.9</w:t>
            </w:r>
          </w:p>
        </w:tc>
        <w:tc>
          <w:tcPr>
            <w:tcW w:w="708" w:type="dxa"/>
            <w:tcBorders>
              <w:top w:val="single" w:sz="6" w:space="0" w:color="auto"/>
              <w:bottom w:val="single" w:sz="12" w:space="0" w:color="auto"/>
            </w:tcBorders>
          </w:tcPr>
          <w:p w14:paraId="341D98E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0.4</w:t>
            </w:r>
          </w:p>
        </w:tc>
        <w:tc>
          <w:tcPr>
            <w:tcW w:w="709" w:type="dxa"/>
            <w:tcBorders>
              <w:top w:val="single" w:sz="6" w:space="0" w:color="auto"/>
              <w:bottom w:val="single" w:sz="12" w:space="0" w:color="auto"/>
            </w:tcBorders>
          </w:tcPr>
          <w:p w14:paraId="6E7F532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0.4</w:t>
            </w:r>
          </w:p>
        </w:tc>
        <w:tc>
          <w:tcPr>
            <w:tcW w:w="765" w:type="dxa"/>
            <w:tcBorders>
              <w:top w:val="single" w:sz="6" w:space="0" w:color="auto"/>
              <w:bottom w:val="single" w:sz="12" w:space="0" w:color="auto"/>
            </w:tcBorders>
          </w:tcPr>
          <w:p w14:paraId="25A596F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0.4</w:t>
            </w:r>
          </w:p>
        </w:tc>
      </w:tr>
    </w:tbl>
    <w:p w14:paraId="4873BF83" w14:textId="77777777" w:rsidR="00AB205D" w:rsidRDefault="00471A3B">
      <w:pPr>
        <w:pStyle w:val="Heading4"/>
      </w:pPr>
      <w:r>
        <w:t>Regulation of the Victorian consumer marketplace</w:t>
      </w:r>
    </w:p>
    <w:p w14:paraId="1B86D9C9" w14:textId="77777777" w:rsidR="00AB205D" w:rsidRDefault="00471A3B">
      <w:pPr>
        <w:pStyle w:val="Heading5"/>
        <w:spacing w:before="120"/>
      </w:pPr>
      <w:r>
        <w:t xml:space="preserve">Payment scheme for the customers of liquidated builders </w:t>
      </w:r>
    </w:p>
    <w:p w14:paraId="1F5DBBA7" w14:textId="77777777" w:rsidR="00AB205D" w:rsidRDefault="00471A3B" w:rsidP="00882944">
      <w:pPr>
        <w:spacing w:line="259" w:lineRule="auto"/>
        <w:ind w:right="-227"/>
      </w:pPr>
      <w:r>
        <w:t>Funding is provided to support payments to customers of builders who declared insolvency during 2022</w:t>
      </w:r>
      <w:r>
        <w:noBreakHyphen/>
        <w:t xml:space="preserve">23, previously limited to Porter Davis Homes customers. </w:t>
      </w:r>
    </w:p>
    <w:p w14:paraId="69F4C205" w14:textId="77777777" w:rsidR="00AB205D" w:rsidRDefault="00471A3B">
      <w:r>
        <w:t xml:space="preserve">This initiative contributes to the Department of Government Services’ Regulation of </w:t>
      </w:r>
      <w:r w:rsidRPr="4C0EFB81">
        <w:rPr>
          <w:rFonts w:ascii="Garamond" w:eastAsia="Garamond" w:hAnsi="Garamond" w:cs="Garamond"/>
        </w:rPr>
        <w:t>the Victorian Consumer Marketplace output.</w:t>
      </w:r>
      <w:r>
        <w:t xml:space="preserve"> </w:t>
      </w:r>
    </w:p>
    <w:p w14:paraId="6DC4172D" w14:textId="77777777" w:rsidR="00AB205D" w:rsidRDefault="00471A3B">
      <w:pPr>
        <w:pStyle w:val="Heading5"/>
        <w:spacing w:before="120"/>
      </w:pPr>
      <w:r>
        <w:t>Supporting Community Sector Jobs</w:t>
      </w:r>
    </w:p>
    <w:p w14:paraId="16B9FFA1" w14:textId="77777777" w:rsidR="00AB205D" w:rsidRDefault="00471A3B">
      <w:r>
        <w:t>Refer to the Department of Families, Fairness and Housing initiative for a description of this initiative.</w:t>
      </w:r>
    </w:p>
    <w:p w14:paraId="789074B7" w14:textId="77777777" w:rsidR="00AB205D" w:rsidRPr="00F7203A" w:rsidRDefault="00471A3B">
      <w:r>
        <w:t xml:space="preserve">This initiative contributes to the Department of Government Services’ Regulation of </w:t>
      </w:r>
      <w:r w:rsidRPr="6B6A8429">
        <w:rPr>
          <w:rFonts w:ascii="Garamond" w:eastAsia="Garamond" w:hAnsi="Garamond" w:cs="Garamond"/>
        </w:rPr>
        <w:t>the Victorian Consumer Marketplace output.</w:t>
      </w:r>
    </w:p>
    <w:p w14:paraId="58DA7748" w14:textId="77777777" w:rsidR="00AB205D" w:rsidRDefault="00471A3B">
      <w:pPr>
        <w:pStyle w:val="Heading10"/>
        <w:pageBreakBefore/>
      </w:pPr>
      <w:bookmarkStart w:id="119" w:name="_Toc152933050"/>
      <w:r>
        <w:lastRenderedPageBreak/>
        <w:t>Department of Health</w:t>
      </w:r>
      <w:bookmarkEnd w:id="119"/>
    </w:p>
    <w:p w14:paraId="501EE716" w14:textId="77777777" w:rsidR="00AB205D" w:rsidRDefault="00471A3B">
      <w:pPr>
        <w:pStyle w:val="Heading20"/>
      </w:pPr>
      <w:r>
        <w:t>Output initiatives</w:t>
      </w:r>
    </w:p>
    <w:p w14:paraId="4C942057" w14:textId="77777777" w:rsidR="00AB205D" w:rsidRDefault="00471A3B">
      <w:pPr>
        <w:pStyle w:val="TableHeading"/>
      </w:pPr>
      <w:r>
        <w:t>Table A.12:</w:t>
      </w:r>
      <w:r>
        <w:tab/>
        <w:t xml:space="preserve">Output initiatives – </w:t>
      </w:r>
      <w:r>
        <w:rPr>
          <w:noProof/>
        </w:rPr>
        <w:t>Health</w:t>
      </w:r>
      <w:r>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Appendix%20A/Appendix%20A.xlsx|Table:DH_Output"/>
      </w:tblPr>
      <w:tblGrid>
        <w:gridCol w:w="4534"/>
        <w:gridCol w:w="794"/>
        <w:gridCol w:w="794"/>
        <w:gridCol w:w="794"/>
        <w:gridCol w:w="794"/>
      </w:tblGrid>
      <w:tr w:rsidR="009C6724" w14:paraId="74661D04"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4" w:type="dxa"/>
          </w:tcPr>
          <w:p w14:paraId="69A99247" w14:textId="77777777" w:rsidR="00AB205D" w:rsidRDefault="00AB205D">
            <w:pPr>
              <w:keepNext/>
            </w:pPr>
          </w:p>
        </w:tc>
        <w:tc>
          <w:tcPr>
            <w:tcW w:w="794" w:type="dxa"/>
          </w:tcPr>
          <w:p w14:paraId="295DA47B"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087BD1BD"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1129E4FA"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p>
        </w:tc>
        <w:tc>
          <w:tcPr>
            <w:tcW w:w="794" w:type="dxa"/>
          </w:tcPr>
          <w:p w14:paraId="0F420FD5"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p>
        </w:tc>
      </w:tr>
      <w:tr w:rsidR="009C6724" w14:paraId="6CC86503"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0C741CF7" w14:textId="77777777" w:rsidR="00AB205D" w:rsidRDefault="00471A3B">
            <w:r>
              <w:rPr>
                <w:b/>
              </w:rPr>
              <w:t>Drug Treatment and Rehabilitation</w:t>
            </w:r>
          </w:p>
        </w:tc>
        <w:tc>
          <w:tcPr>
            <w:tcW w:w="794" w:type="dxa"/>
          </w:tcPr>
          <w:p w14:paraId="5D87E29B"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410D3AF6"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39BC35D"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79A29203"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15EF1CCE"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bottom w:val="single" w:sz="6" w:space="0" w:color="auto"/>
            </w:tcBorders>
          </w:tcPr>
          <w:p w14:paraId="5ED821E5" w14:textId="77777777" w:rsidR="00AB205D" w:rsidRDefault="00471A3B">
            <w:r>
              <w:t>Supporting community sector jobs</w:t>
            </w:r>
          </w:p>
        </w:tc>
        <w:tc>
          <w:tcPr>
            <w:tcW w:w="794" w:type="dxa"/>
            <w:tcBorders>
              <w:bottom w:val="single" w:sz="6" w:space="0" w:color="auto"/>
            </w:tcBorders>
          </w:tcPr>
          <w:p w14:paraId="24992722" w14:textId="77777777" w:rsidR="00AB205D" w:rsidRDefault="00471A3B">
            <w:pPr>
              <w:cnfStyle w:val="000000000000" w:firstRow="0" w:lastRow="0" w:firstColumn="0" w:lastColumn="0" w:oddVBand="0" w:evenVBand="0" w:oddHBand="0" w:evenHBand="0" w:firstRowFirstColumn="0" w:firstRowLastColumn="0" w:lastRowFirstColumn="0" w:lastRowLastColumn="0"/>
            </w:pPr>
            <w:r>
              <w:t>18.6</w:t>
            </w:r>
          </w:p>
        </w:tc>
        <w:tc>
          <w:tcPr>
            <w:tcW w:w="794" w:type="dxa"/>
            <w:tcBorders>
              <w:bottom w:val="single" w:sz="6" w:space="0" w:color="auto"/>
            </w:tcBorders>
          </w:tcPr>
          <w:p w14:paraId="227F0E22" w14:textId="77777777" w:rsidR="00AB205D" w:rsidRDefault="00471A3B">
            <w:pPr>
              <w:cnfStyle w:val="000000000000" w:firstRow="0" w:lastRow="0" w:firstColumn="0" w:lastColumn="0" w:oddVBand="0" w:evenVBand="0" w:oddHBand="0" w:evenHBand="0" w:firstRowFirstColumn="0" w:firstRowLastColumn="0" w:lastRowFirstColumn="0" w:lastRowLastColumn="0"/>
            </w:pPr>
            <w:r>
              <w:t>19.3</w:t>
            </w:r>
          </w:p>
        </w:tc>
        <w:tc>
          <w:tcPr>
            <w:tcW w:w="794" w:type="dxa"/>
            <w:tcBorders>
              <w:bottom w:val="single" w:sz="6" w:space="0" w:color="auto"/>
            </w:tcBorders>
          </w:tcPr>
          <w:p w14:paraId="7F4DEC77" w14:textId="77777777" w:rsidR="00AB205D" w:rsidRDefault="00471A3B">
            <w:pPr>
              <w:cnfStyle w:val="000000000000" w:firstRow="0" w:lastRow="0" w:firstColumn="0" w:lastColumn="0" w:oddVBand="0" w:evenVBand="0" w:oddHBand="0" w:evenHBand="0" w:firstRowFirstColumn="0" w:firstRowLastColumn="0" w:lastRowFirstColumn="0" w:lastRowLastColumn="0"/>
            </w:pPr>
            <w:r>
              <w:t>19.9</w:t>
            </w:r>
          </w:p>
        </w:tc>
        <w:tc>
          <w:tcPr>
            <w:tcW w:w="794" w:type="dxa"/>
            <w:tcBorders>
              <w:bottom w:val="single" w:sz="6" w:space="0" w:color="auto"/>
            </w:tcBorders>
          </w:tcPr>
          <w:p w14:paraId="6B758152" w14:textId="77777777" w:rsidR="00AB205D" w:rsidRDefault="00471A3B">
            <w:pPr>
              <w:cnfStyle w:val="000000000000" w:firstRow="0" w:lastRow="0" w:firstColumn="0" w:lastColumn="0" w:oddVBand="0" w:evenVBand="0" w:oddHBand="0" w:evenHBand="0" w:firstRowFirstColumn="0" w:firstRowLastColumn="0" w:lastRowFirstColumn="0" w:lastRowLastColumn="0"/>
            </w:pPr>
            <w:r>
              <w:t>20.6</w:t>
            </w:r>
          </w:p>
        </w:tc>
      </w:tr>
      <w:tr w:rsidR="009C6724" w14:paraId="2F326507"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bottom w:val="single" w:sz="12" w:space="0" w:color="auto"/>
            </w:tcBorders>
          </w:tcPr>
          <w:p w14:paraId="1130C19D" w14:textId="77777777" w:rsidR="00AB205D" w:rsidRDefault="00471A3B">
            <w:r>
              <w:rPr>
                <w:b/>
              </w:rPr>
              <w:t>Total output initiatives</w:t>
            </w:r>
          </w:p>
        </w:tc>
        <w:tc>
          <w:tcPr>
            <w:tcW w:w="794" w:type="dxa"/>
            <w:tcBorders>
              <w:top w:val="single" w:sz="6" w:space="0" w:color="auto"/>
              <w:bottom w:val="single" w:sz="12" w:space="0" w:color="auto"/>
            </w:tcBorders>
          </w:tcPr>
          <w:p w14:paraId="16804F0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18.6</w:t>
            </w:r>
          </w:p>
        </w:tc>
        <w:tc>
          <w:tcPr>
            <w:tcW w:w="794" w:type="dxa"/>
            <w:tcBorders>
              <w:top w:val="single" w:sz="6" w:space="0" w:color="auto"/>
              <w:bottom w:val="single" w:sz="12" w:space="0" w:color="auto"/>
            </w:tcBorders>
          </w:tcPr>
          <w:p w14:paraId="53653CE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19.3</w:t>
            </w:r>
          </w:p>
        </w:tc>
        <w:tc>
          <w:tcPr>
            <w:tcW w:w="794" w:type="dxa"/>
            <w:tcBorders>
              <w:top w:val="single" w:sz="6" w:space="0" w:color="auto"/>
              <w:bottom w:val="single" w:sz="12" w:space="0" w:color="auto"/>
            </w:tcBorders>
          </w:tcPr>
          <w:p w14:paraId="6DDD3C15"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19.9</w:t>
            </w:r>
          </w:p>
        </w:tc>
        <w:tc>
          <w:tcPr>
            <w:tcW w:w="794" w:type="dxa"/>
            <w:tcBorders>
              <w:top w:val="single" w:sz="6" w:space="0" w:color="auto"/>
              <w:bottom w:val="single" w:sz="12" w:space="0" w:color="auto"/>
            </w:tcBorders>
          </w:tcPr>
          <w:p w14:paraId="5B56E23F"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20.6</w:t>
            </w:r>
          </w:p>
        </w:tc>
      </w:tr>
    </w:tbl>
    <w:p w14:paraId="3B5A84BA" w14:textId="77777777" w:rsidR="00AB205D" w:rsidRDefault="00471A3B">
      <w:pPr>
        <w:pStyle w:val="Heading4"/>
      </w:pPr>
      <w:r w:rsidRPr="0056268A">
        <w:t>Drug Treatment and Rehabilitation</w:t>
      </w:r>
    </w:p>
    <w:p w14:paraId="1AA29C7A" w14:textId="77777777" w:rsidR="00AB205D" w:rsidRPr="00697E16" w:rsidRDefault="00471A3B">
      <w:pPr>
        <w:pStyle w:val="Heading5"/>
      </w:pPr>
      <w:r w:rsidRPr="009F5D35">
        <w:t xml:space="preserve">Supporting </w:t>
      </w:r>
      <w:r>
        <w:t>c</w:t>
      </w:r>
      <w:r w:rsidRPr="009F5D35">
        <w:t xml:space="preserve">ommunity </w:t>
      </w:r>
      <w:r>
        <w:t>s</w:t>
      </w:r>
      <w:r w:rsidRPr="009F5D35">
        <w:t xml:space="preserve">ector </w:t>
      </w:r>
      <w:r>
        <w:t>j</w:t>
      </w:r>
      <w:r w:rsidRPr="009F5D35">
        <w:t>obs</w:t>
      </w:r>
    </w:p>
    <w:p w14:paraId="6B59C40B" w14:textId="77777777" w:rsidR="00AB205D" w:rsidRDefault="00471A3B">
      <w:r>
        <w:t>Refer to the Department of Families, Fairness and Housing initiative for a description of this initiative.</w:t>
      </w:r>
    </w:p>
    <w:p w14:paraId="6DC2BE06" w14:textId="77777777" w:rsidR="00AB205D" w:rsidRPr="00425D7D" w:rsidRDefault="00471A3B">
      <w:pPr>
        <w:rPr>
          <w:color w:val="000000" w:themeColor="text1"/>
        </w:rPr>
      </w:pPr>
      <w:r w:rsidRPr="00425D7D">
        <w:rPr>
          <w:color w:val="000000" w:themeColor="text1"/>
        </w:rPr>
        <w:t>This initiative contributes to the Department of Health’s:</w:t>
      </w:r>
    </w:p>
    <w:p w14:paraId="6300D8E6" w14:textId="77777777" w:rsidR="00AB205D" w:rsidRDefault="00471A3B">
      <w:pPr>
        <w:pStyle w:val="ListBullet"/>
      </w:pPr>
      <w:r w:rsidRPr="00425D7D">
        <w:t>Aged Support Services output</w:t>
      </w:r>
    </w:p>
    <w:p w14:paraId="328DDEF9" w14:textId="77777777" w:rsidR="00AB205D" w:rsidRPr="00425D7D" w:rsidRDefault="00471A3B">
      <w:pPr>
        <w:pStyle w:val="ListBullet"/>
      </w:pPr>
      <w:r w:rsidRPr="00425D7D">
        <w:t>Community Health Care output</w:t>
      </w:r>
    </w:p>
    <w:p w14:paraId="07AFD41F" w14:textId="77777777" w:rsidR="00AB205D" w:rsidRDefault="00471A3B">
      <w:pPr>
        <w:pStyle w:val="ListBullet"/>
      </w:pPr>
      <w:r w:rsidRPr="00425D7D">
        <w:t>Drug Prevention and Control output</w:t>
      </w:r>
    </w:p>
    <w:p w14:paraId="7F695EAF" w14:textId="77777777" w:rsidR="00AB205D" w:rsidRPr="00425D7D" w:rsidRDefault="00471A3B">
      <w:pPr>
        <w:pStyle w:val="ListBullet"/>
      </w:pPr>
      <w:r w:rsidRPr="00425D7D">
        <w:t>Drug Treatment and Rehabilitation output</w:t>
      </w:r>
    </w:p>
    <w:p w14:paraId="08624CF9" w14:textId="77777777" w:rsidR="00AB205D" w:rsidRDefault="00471A3B">
      <w:pPr>
        <w:pStyle w:val="ListBullet"/>
      </w:pPr>
      <w:r w:rsidRPr="00425D7D">
        <w:t>Emergency Management output</w:t>
      </w:r>
    </w:p>
    <w:p w14:paraId="3E2FA76D" w14:textId="77777777" w:rsidR="00AB205D" w:rsidRPr="00425D7D" w:rsidRDefault="00471A3B">
      <w:pPr>
        <w:pStyle w:val="ListBullet"/>
      </w:pPr>
      <w:r w:rsidRPr="00425D7D">
        <w:t>Health Advancement output</w:t>
      </w:r>
    </w:p>
    <w:p w14:paraId="4536D890" w14:textId="77777777" w:rsidR="00AB205D" w:rsidRPr="00425D7D" w:rsidRDefault="00471A3B">
      <w:pPr>
        <w:pStyle w:val="ListBullet"/>
      </w:pPr>
      <w:r w:rsidRPr="00425D7D">
        <w:t>Health Protection output</w:t>
      </w:r>
    </w:p>
    <w:p w14:paraId="641EEF97" w14:textId="77777777" w:rsidR="00AB205D" w:rsidRDefault="00471A3B">
      <w:pPr>
        <w:pStyle w:val="ListBullet"/>
      </w:pPr>
      <w:r w:rsidRPr="00425D7D">
        <w:t>Home and Community Care Program for Younger People output</w:t>
      </w:r>
    </w:p>
    <w:p w14:paraId="11DA678C" w14:textId="77777777" w:rsidR="00AB205D" w:rsidRDefault="00471A3B">
      <w:pPr>
        <w:pStyle w:val="ListBullet"/>
      </w:pPr>
      <w:r w:rsidRPr="00425D7D">
        <w:t>Maternal and Child Health and Early Parenting Services output</w:t>
      </w:r>
    </w:p>
    <w:p w14:paraId="02C32AB9" w14:textId="77777777" w:rsidR="00AB205D" w:rsidRDefault="00471A3B">
      <w:pPr>
        <w:pStyle w:val="ListBullet"/>
      </w:pPr>
      <w:r w:rsidRPr="00425D7D">
        <w:t>Mental Health Community Support Services output</w:t>
      </w:r>
    </w:p>
    <w:p w14:paraId="144AABEA" w14:textId="77777777" w:rsidR="00AB205D" w:rsidRPr="00425D7D" w:rsidRDefault="00471A3B">
      <w:pPr>
        <w:pStyle w:val="ListBullet"/>
      </w:pPr>
      <w:r w:rsidRPr="00425D7D">
        <w:t>Non</w:t>
      </w:r>
      <w:r>
        <w:noBreakHyphen/>
      </w:r>
      <w:r w:rsidRPr="00425D7D">
        <w:t>Admitted Services output</w:t>
      </w:r>
    </w:p>
    <w:p w14:paraId="0FB1E609" w14:textId="77777777" w:rsidR="00AB205D" w:rsidRPr="00425D7D" w:rsidRDefault="00471A3B">
      <w:pPr>
        <w:pStyle w:val="ListBullet"/>
      </w:pPr>
      <w:r w:rsidRPr="00425D7D">
        <w:t xml:space="preserve">Small Rural Services </w:t>
      </w:r>
      <w:r>
        <w:t>–</w:t>
      </w:r>
      <w:r w:rsidRPr="00425D7D">
        <w:t xml:space="preserve"> Primary Health output.</w:t>
      </w:r>
    </w:p>
    <w:p w14:paraId="36D2B053" w14:textId="77777777" w:rsidR="00AB205D" w:rsidRDefault="00471A3B">
      <w:pPr>
        <w:pStyle w:val="Heading10"/>
        <w:pageBreakBefore/>
      </w:pPr>
      <w:bookmarkStart w:id="120" w:name="_Toc152933051"/>
      <w:r>
        <w:lastRenderedPageBreak/>
        <w:t>Department of Jobs, Skills, Industry and Regions</w:t>
      </w:r>
      <w:bookmarkEnd w:id="120"/>
    </w:p>
    <w:p w14:paraId="4BC33DD0" w14:textId="77777777" w:rsidR="00AB205D" w:rsidRDefault="00471A3B">
      <w:pPr>
        <w:pStyle w:val="Heading20"/>
      </w:pPr>
      <w:r>
        <w:t>Output initiatives</w:t>
      </w:r>
    </w:p>
    <w:p w14:paraId="1C27305A" w14:textId="77777777" w:rsidR="00AB205D" w:rsidRDefault="00471A3B">
      <w:pPr>
        <w:pStyle w:val="TableHeading"/>
      </w:pPr>
      <w:r>
        <w:t>Table A.13:</w:t>
      </w:r>
      <w:r>
        <w:tab/>
        <w:t>Output initiatives –</w:t>
      </w:r>
      <w:r>
        <w:rPr>
          <w:noProof/>
        </w:rPr>
        <w:t xml:space="preserve"> Jobs, Skills, Industry and Regions</w:t>
      </w:r>
      <w:r>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Appendix%20A/Appendix%20A.xlsx|Table:DJSIR_Output"/>
      </w:tblPr>
      <w:tblGrid>
        <w:gridCol w:w="4534"/>
        <w:gridCol w:w="794"/>
        <w:gridCol w:w="794"/>
        <w:gridCol w:w="794"/>
        <w:gridCol w:w="794"/>
      </w:tblGrid>
      <w:tr w:rsidR="009C6724" w14:paraId="70F8C451"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4" w:type="dxa"/>
          </w:tcPr>
          <w:p w14:paraId="2676B3BB" w14:textId="77777777" w:rsidR="00AB205D" w:rsidRDefault="00AB205D">
            <w:pPr>
              <w:keepNext/>
              <w:spacing w:after="0"/>
            </w:pPr>
          </w:p>
        </w:tc>
        <w:tc>
          <w:tcPr>
            <w:tcW w:w="794" w:type="dxa"/>
          </w:tcPr>
          <w:p w14:paraId="32D9C7E7"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67D6C0E2"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34B28162"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2025</w:t>
            </w:r>
            <w:r>
              <w:noBreakHyphen/>
              <w:t>26</w:t>
            </w:r>
          </w:p>
        </w:tc>
        <w:tc>
          <w:tcPr>
            <w:tcW w:w="794" w:type="dxa"/>
          </w:tcPr>
          <w:p w14:paraId="3F1A59EE" w14:textId="77777777" w:rsidR="00AB205D" w:rsidRDefault="00471A3B">
            <w:pPr>
              <w:keepNext/>
              <w:spacing w:after="0"/>
              <w:cnfStyle w:val="100000000000" w:firstRow="1" w:lastRow="0" w:firstColumn="0" w:lastColumn="0" w:oddVBand="0" w:evenVBand="0" w:oddHBand="0" w:evenHBand="0" w:firstRowFirstColumn="0" w:firstRowLastColumn="0" w:lastRowFirstColumn="0" w:lastRowLastColumn="0"/>
            </w:pPr>
            <w:r>
              <w:t>2026</w:t>
            </w:r>
            <w:r>
              <w:noBreakHyphen/>
              <w:t>27</w:t>
            </w:r>
          </w:p>
        </w:tc>
      </w:tr>
      <w:tr w:rsidR="009C6724" w14:paraId="143F5442"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129054DC" w14:textId="77777777" w:rsidR="00AB205D" w:rsidRDefault="00471A3B">
            <w:pPr>
              <w:spacing w:after="0"/>
            </w:pPr>
            <w:r>
              <w:rPr>
                <w:b/>
              </w:rPr>
              <w:t>Creative Industries Portfolio Agencies</w:t>
            </w:r>
          </w:p>
        </w:tc>
        <w:tc>
          <w:tcPr>
            <w:tcW w:w="794" w:type="dxa"/>
          </w:tcPr>
          <w:p w14:paraId="46143218"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0FD2A913"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1FACF607"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49671FE4"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r>
      <w:tr w:rsidR="009C6724" w14:paraId="55B3F1C3"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5C902711" w14:textId="77777777" w:rsidR="00AB205D" w:rsidRDefault="00471A3B">
            <w:pPr>
              <w:spacing w:after="0"/>
            </w:pPr>
            <w:r>
              <w:t>Cultural and creative agencies operations</w:t>
            </w:r>
          </w:p>
        </w:tc>
        <w:tc>
          <w:tcPr>
            <w:tcW w:w="794" w:type="dxa"/>
          </w:tcPr>
          <w:p w14:paraId="21378EC5"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28.4</w:t>
            </w:r>
          </w:p>
        </w:tc>
        <w:tc>
          <w:tcPr>
            <w:tcW w:w="794" w:type="dxa"/>
          </w:tcPr>
          <w:p w14:paraId="6B6CDC01"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Pr>
          <w:p w14:paraId="4A40F44B"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Pr>
          <w:p w14:paraId="38E8CAAC"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w:t>
            </w:r>
          </w:p>
        </w:tc>
      </w:tr>
      <w:tr w:rsidR="009C6724" w14:paraId="5C9A6969"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7055233B" w14:textId="77777777" w:rsidR="00AB205D" w:rsidRDefault="00471A3B">
            <w:pPr>
              <w:spacing w:after="0"/>
            </w:pPr>
            <w:r>
              <w:rPr>
                <w:b/>
              </w:rPr>
              <w:t>Training, Higher Education and Workforce Development</w:t>
            </w:r>
          </w:p>
        </w:tc>
        <w:tc>
          <w:tcPr>
            <w:tcW w:w="794" w:type="dxa"/>
          </w:tcPr>
          <w:p w14:paraId="0D3582F3"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58ED6923"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26E73AC9"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0FC6E70C" w14:textId="77777777" w:rsidR="00AB205D" w:rsidRDefault="00AB205D">
            <w:pPr>
              <w:spacing w:after="0"/>
              <w:cnfStyle w:val="000000000000" w:firstRow="0" w:lastRow="0" w:firstColumn="0" w:lastColumn="0" w:oddVBand="0" w:evenVBand="0" w:oddHBand="0" w:evenHBand="0" w:firstRowFirstColumn="0" w:firstRowLastColumn="0" w:lastRowFirstColumn="0" w:lastRowLastColumn="0"/>
            </w:pPr>
          </w:p>
        </w:tc>
      </w:tr>
      <w:tr w:rsidR="009C6724" w14:paraId="14591436"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bottom w:val="single" w:sz="6" w:space="0" w:color="auto"/>
            </w:tcBorders>
          </w:tcPr>
          <w:p w14:paraId="2ACAC7DF" w14:textId="77777777" w:rsidR="00AB205D" w:rsidRDefault="00471A3B">
            <w:pPr>
              <w:spacing w:after="0"/>
            </w:pPr>
            <w:r>
              <w:t>GOTAFE funding support</w:t>
            </w:r>
          </w:p>
        </w:tc>
        <w:tc>
          <w:tcPr>
            <w:tcW w:w="794" w:type="dxa"/>
            <w:tcBorders>
              <w:bottom w:val="single" w:sz="6" w:space="0" w:color="auto"/>
            </w:tcBorders>
          </w:tcPr>
          <w:p w14:paraId="406290FA"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15.0</w:t>
            </w:r>
          </w:p>
        </w:tc>
        <w:tc>
          <w:tcPr>
            <w:tcW w:w="794" w:type="dxa"/>
            <w:tcBorders>
              <w:bottom w:val="single" w:sz="6" w:space="0" w:color="auto"/>
            </w:tcBorders>
          </w:tcPr>
          <w:p w14:paraId="20608DEE"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3331A566"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12A30DE7" w14:textId="77777777" w:rsidR="00AB205D" w:rsidRDefault="00471A3B">
            <w:pPr>
              <w:spacing w:after="0"/>
              <w:cnfStyle w:val="000000000000" w:firstRow="0" w:lastRow="0" w:firstColumn="0" w:lastColumn="0" w:oddVBand="0" w:evenVBand="0" w:oddHBand="0" w:evenHBand="0" w:firstRowFirstColumn="0" w:firstRowLastColumn="0" w:lastRowFirstColumn="0" w:lastRowLastColumn="0"/>
            </w:pPr>
            <w:r>
              <w:t>..</w:t>
            </w:r>
          </w:p>
        </w:tc>
      </w:tr>
      <w:tr w:rsidR="009C6724" w:rsidRPr="00CC190E" w14:paraId="5F0E706B"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bottom w:val="single" w:sz="12" w:space="0" w:color="auto"/>
            </w:tcBorders>
          </w:tcPr>
          <w:p w14:paraId="3869256C" w14:textId="77777777" w:rsidR="00AB205D" w:rsidRPr="00CC190E" w:rsidRDefault="00471A3B">
            <w:pPr>
              <w:spacing w:after="0"/>
            </w:pPr>
            <w:r w:rsidRPr="00CC190E">
              <w:rPr>
                <w:b/>
              </w:rPr>
              <w:t>Total output initiatives</w:t>
            </w:r>
          </w:p>
        </w:tc>
        <w:tc>
          <w:tcPr>
            <w:tcW w:w="794" w:type="dxa"/>
            <w:tcBorders>
              <w:top w:val="single" w:sz="6" w:space="0" w:color="auto"/>
              <w:bottom w:val="single" w:sz="12" w:space="0" w:color="auto"/>
            </w:tcBorders>
          </w:tcPr>
          <w:p w14:paraId="34CD76DA" w14:textId="17269AC8" w:rsidR="00AB205D" w:rsidRPr="00CC190E" w:rsidRDefault="00026A86">
            <w:pPr>
              <w:spacing w:after="0"/>
              <w:cnfStyle w:val="000000000000" w:firstRow="0" w:lastRow="0" w:firstColumn="0" w:lastColumn="0" w:oddVBand="0" w:evenVBand="0" w:oddHBand="0" w:evenHBand="0" w:firstRowFirstColumn="0" w:firstRowLastColumn="0" w:lastRowFirstColumn="0" w:lastRowLastColumn="0"/>
            </w:pPr>
            <w:r>
              <w:rPr>
                <w:b/>
              </w:rPr>
              <w:t>43.4</w:t>
            </w:r>
          </w:p>
        </w:tc>
        <w:tc>
          <w:tcPr>
            <w:tcW w:w="794" w:type="dxa"/>
            <w:tcBorders>
              <w:top w:val="single" w:sz="6" w:space="0" w:color="auto"/>
              <w:bottom w:val="single" w:sz="12" w:space="0" w:color="auto"/>
            </w:tcBorders>
          </w:tcPr>
          <w:p w14:paraId="49556223" w14:textId="77777777" w:rsidR="00AB205D" w:rsidRPr="00CC190E" w:rsidRDefault="00471A3B">
            <w:pPr>
              <w:spacing w:after="0"/>
              <w:cnfStyle w:val="000000000000" w:firstRow="0" w:lastRow="0" w:firstColumn="0" w:lastColumn="0" w:oddVBand="0" w:evenVBand="0" w:oddHBand="0" w:evenHBand="0" w:firstRowFirstColumn="0" w:firstRowLastColumn="0" w:lastRowFirstColumn="0" w:lastRowLastColumn="0"/>
            </w:pPr>
            <w:r w:rsidRPr="00CC190E">
              <w:t>..</w:t>
            </w:r>
          </w:p>
        </w:tc>
        <w:tc>
          <w:tcPr>
            <w:tcW w:w="794" w:type="dxa"/>
            <w:tcBorders>
              <w:top w:val="single" w:sz="6" w:space="0" w:color="auto"/>
              <w:bottom w:val="single" w:sz="12" w:space="0" w:color="auto"/>
            </w:tcBorders>
          </w:tcPr>
          <w:p w14:paraId="6BA2A37E" w14:textId="77777777" w:rsidR="00AB205D" w:rsidRPr="00CC190E" w:rsidRDefault="00471A3B">
            <w:pPr>
              <w:spacing w:after="0"/>
              <w:cnfStyle w:val="000000000000" w:firstRow="0" w:lastRow="0" w:firstColumn="0" w:lastColumn="0" w:oddVBand="0" w:evenVBand="0" w:oddHBand="0" w:evenHBand="0" w:firstRowFirstColumn="0" w:firstRowLastColumn="0" w:lastRowFirstColumn="0" w:lastRowLastColumn="0"/>
            </w:pPr>
            <w:r w:rsidRPr="00CC190E">
              <w:t>..</w:t>
            </w:r>
          </w:p>
        </w:tc>
        <w:tc>
          <w:tcPr>
            <w:tcW w:w="794" w:type="dxa"/>
            <w:tcBorders>
              <w:top w:val="single" w:sz="6" w:space="0" w:color="auto"/>
              <w:bottom w:val="single" w:sz="12" w:space="0" w:color="auto"/>
            </w:tcBorders>
          </w:tcPr>
          <w:p w14:paraId="5966FD40" w14:textId="77777777" w:rsidR="00AB205D" w:rsidRPr="00CC190E" w:rsidRDefault="00471A3B">
            <w:pPr>
              <w:spacing w:after="0"/>
              <w:cnfStyle w:val="000000000000" w:firstRow="0" w:lastRow="0" w:firstColumn="0" w:lastColumn="0" w:oddVBand="0" w:evenVBand="0" w:oddHBand="0" w:evenHBand="0" w:firstRowFirstColumn="0" w:firstRowLastColumn="0" w:lastRowFirstColumn="0" w:lastRowLastColumn="0"/>
            </w:pPr>
            <w:r w:rsidRPr="00CC190E">
              <w:rPr>
                <w:b/>
              </w:rPr>
              <w:t>..</w:t>
            </w:r>
          </w:p>
        </w:tc>
      </w:tr>
    </w:tbl>
    <w:p w14:paraId="47FB8F7D" w14:textId="77777777" w:rsidR="00AB205D" w:rsidRDefault="00471A3B">
      <w:pPr>
        <w:pStyle w:val="Heading4"/>
        <w:spacing w:before="140"/>
        <w:rPr>
          <w:rFonts w:eastAsia="Calibri"/>
        </w:rPr>
      </w:pPr>
      <w:r w:rsidRPr="001F67B1">
        <w:rPr>
          <w:rFonts w:eastAsia="Calibri"/>
        </w:rPr>
        <w:t>Creative Industries Portfolio Agencies</w:t>
      </w:r>
    </w:p>
    <w:p w14:paraId="18BC875A" w14:textId="77777777" w:rsidR="00AB205D" w:rsidRPr="00697E16" w:rsidRDefault="00471A3B">
      <w:pPr>
        <w:pStyle w:val="Heading5"/>
        <w:spacing w:before="140"/>
      </w:pPr>
      <w:r w:rsidRPr="00FA00A3">
        <w:t>Cultural and creative agencies operations</w:t>
      </w:r>
    </w:p>
    <w:p w14:paraId="13A1527A" w14:textId="77777777" w:rsidR="00AB205D" w:rsidRDefault="00471A3B">
      <w:r>
        <w:t>Additional funding is provided to Victoria’s cultural and creative agencies to support program delivery in 2023</w:t>
      </w:r>
      <w:r>
        <w:noBreakHyphen/>
        <w:t xml:space="preserve">24. </w:t>
      </w:r>
    </w:p>
    <w:p w14:paraId="2EE5D070" w14:textId="77777777" w:rsidR="00AB205D" w:rsidRDefault="00471A3B">
      <w:r>
        <w:t>This initiative contributes to the Department of Jobs, Skills, Industry and Regions’ Creative Industries Portfolio Agencies output.</w:t>
      </w:r>
    </w:p>
    <w:p w14:paraId="6AB6FF94" w14:textId="77777777" w:rsidR="00AB205D" w:rsidRDefault="00471A3B">
      <w:pPr>
        <w:pStyle w:val="Heading4"/>
        <w:spacing w:before="140"/>
        <w:rPr>
          <w:i w:val="0"/>
          <w:sz w:val="23"/>
          <w:szCs w:val="23"/>
        </w:rPr>
      </w:pPr>
      <w:r w:rsidRPr="003A0970">
        <w:t>Training, Higher Education and Workforce Development</w:t>
      </w:r>
    </w:p>
    <w:p w14:paraId="0977AF1B" w14:textId="77777777" w:rsidR="00AB205D" w:rsidRPr="00697E16" w:rsidRDefault="00471A3B">
      <w:pPr>
        <w:pStyle w:val="Heading5"/>
        <w:spacing w:before="140"/>
      </w:pPr>
      <w:r w:rsidRPr="003A20FE">
        <w:t>GOTAFE funding support</w:t>
      </w:r>
    </w:p>
    <w:p w14:paraId="4F854638" w14:textId="77777777" w:rsidR="00AB205D" w:rsidRPr="008A1009" w:rsidRDefault="00471A3B">
      <w:r>
        <w:t xml:space="preserve">Funding is provided to support GOTAFE, </w:t>
      </w:r>
      <w:r w:rsidRPr="00554052">
        <w:t>a vocational education provider in regional Victoria,</w:t>
      </w:r>
      <w:r>
        <w:t xml:space="preserve"> for the remainder of 2023. </w:t>
      </w:r>
    </w:p>
    <w:p w14:paraId="46E3C103" w14:textId="77777777" w:rsidR="00AB205D" w:rsidRPr="008A1009" w:rsidRDefault="00471A3B">
      <w:r w:rsidRPr="4C0EFB81">
        <w:rPr>
          <w:rFonts w:ascii="Garamond" w:eastAsia="Garamond" w:hAnsi="Garamond" w:cs="Garamond"/>
        </w:rPr>
        <w:t>This initiative contributes to the Department of Jobs, Skills, Industry and Regions’ Training</w:t>
      </w:r>
      <w:r w:rsidRPr="00576CEA">
        <w:rPr>
          <w:rFonts w:ascii="Garamond" w:eastAsia="Garamond" w:hAnsi="Garamond" w:cs="Garamond"/>
        </w:rPr>
        <w:t>, Higher Education</w:t>
      </w:r>
      <w:r w:rsidRPr="4C0EFB81">
        <w:rPr>
          <w:rFonts w:ascii="Garamond" w:eastAsia="Garamond" w:hAnsi="Garamond" w:cs="Garamond"/>
        </w:rPr>
        <w:t xml:space="preserve"> and </w:t>
      </w:r>
      <w:r w:rsidRPr="00576CEA">
        <w:rPr>
          <w:rFonts w:ascii="Garamond" w:eastAsia="Garamond" w:hAnsi="Garamond" w:cs="Garamond"/>
        </w:rPr>
        <w:t>Workforce Development</w:t>
      </w:r>
      <w:r w:rsidRPr="4C0EFB81">
        <w:rPr>
          <w:rFonts w:ascii="Garamond" w:eastAsia="Garamond" w:hAnsi="Garamond" w:cs="Garamond"/>
        </w:rPr>
        <w:t xml:space="preserve"> output.</w:t>
      </w:r>
    </w:p>
    <w:p w14:paraId="2A7074CC" w14:textId="77777777" w:rsidR="00AB205D" w:rsidRDefault="00471A3B">
      <w:pPr>
        <w:pStyle w:val="Heading10"/>
        <w:pageBreakBefore/>
      </w:pPr>
      <w:bookmarkStart w:id="121" w:name="_Toc152933052"/>
      <w:r>
        <w:lastRenderedPageBreak/>
        <w:t>Department of Justice and Community Safety</w:t>
      </w:r>
      <w:bookmarkEnd w:id="121"/>
    </w:p>
    <w:p w14:paraId="373D6E62" w14:textId="77777777" w:rsidR="00AB205D" w:rsidRDefault="00471A3B">
      <w:pPr>
        <w:pStyle w:val="Heading20"/>
      </w:pPr>
      <w:r>
        <w:t>Output initiatives</w:t>
      </w:r>
    </w:p>
    <w:p w14:paraId="4AC068E3" w14:textId="77777777" w:rsidR="00AB205D" w:rsidRDefault="00471A3B">
      <w:pPr>
        <w:pStyle w:val="TableHeading"/>
      </w:pPr>
      <w:r>
        <w:t>Table A.14:</w:t>
      </w:r>
      <w:r>
        <w:tab/>
        <w:t xml:space="preserve">Output initiatives – </w:t>
      </w:r>
      <w:r>
        <w:rPr>
          <w:noProof/>
        </w:rPr>
        <w:t>Justice and Community Safety</w:t>
      </w:r>
      <w:r>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Appendix%20A/Appendix%20A.xlsx|Table:DJCS_Output"/>
      </w:tblPr>
      <w:tblGrid>
        <w:gridCol w:w="4534"/>
        <w:gridCol w:w="794"/>
        <w:gridCol w:w="794"/>
        <w:gridCol w:w="794"/>
        <w:gridCol w:w="794"/>
      </w:tblGrid>
      <w:tr w:rsidR="009C6724" w14:paraId="6A7A5BC9"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4" w:type="dxa"/>
          </w:tcPr>
          <w:p w14:paraId="5284AAA6" w14:textId="77777777" w:rsidR="00AB205D" w:rsidRDefault="00AB205D">
            <w:pPr>
              <w:keepNext/>
            </w:pPr>
          </w:p>
        </w:tc>
        <w:tc>
          <w:tcPr>
            <w:tcW w:w="794" w:type="dxa"/>
          </w:tcPr>
          <w:p w14:paraId="46938882"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24E8B3C7"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0E4596E3"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p>
        </w:tc>
        <w:tc>
          <w:tcPr>
            <w:tcW w:w="794" w:type="dxa"/>
          </w:tcPr>
          <w:p w14:paraId="1EBA41C8"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p>
        </w:tc>
      </w:tr>
      <w:tr w:rsidR="009C6724" w14:paraId="41A1536E"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73202ED2" w14:textId="77777777" w:rsidR="00AB205D" w:rsidRDefault="00471A3B">
            <w:r>
              <w:rPr>
                <w:b/>
              </w:rPr>
              <w:t>Advocacy, Human Rights and Victim Support</w:t>
            </w:r>
          </w:p>
        </w:tc>
        <w:tc>
          <w:tcPr>
            <w:tcW w:w="794" w:type="dxa"/>
          </w:tcPr>
          <w:p w14:paraId="34B11158"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7F33BE8"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194DEC14"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5D6688F7"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0BF25015"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650A8BC9" w14:textId="77777777" w:rsidR="00AB205D" w:rsidRDefault="00471A3B">
            <w:r>
              <w:t>Historical Forced Adoption Redress Scheme for mothers</w:t>
            </w:r>
          </w:p>
        </w:tc>
        <w:tc>
          <w:tcPr>
            <w:tcW w:w="794" w:type="dxa"/>
          </w:tcPr>
          <w:p w14:paraId="60A17C47" w14:textId="77777777" w:rsidR="00AB205D" w:rsidRDefault="00471A3B">
            <w:pPr>
              <w:cnfStyle w:val="000000000000" w:firstRow="0" w:lastRow="0" w:firstColumn="0" w:lastColumn="0" w:oddVBand="0" w:evenVBand="0" w:oddHBand="0" w:evenHBand="0" w:firstRowFirstColumn="0" w:firstRowLastColumn="0" w:lastRowFirstColumn="0" w:lastRowLastColumn="0"/>
            </w:pPr>
            <w:r>
              <w:t>137.7</w:t>
            </w:r>
          </w:p>
        </w:tc>
        <w:tc>
          <w:tcPr>
            <w:tcW w:w="794" w:type="dxa"/>
          </w:tcPr>
          <w:p w14:paraId="2E299CF7" w14:textId="77777777" w:rsidR="00AB205D" w:rsidRDefault="00471A3B">
            <w:pPr>
              <w:cnfStyle w:val="000000000000" w:firstRow="0" w:lastRow="0" w:firstColumn="0" w:lastColumn="0" w:oddVBand="0" w:evenVBand="0" w:oddHBand="0" w:evenHBand="0" w:firstRowFirstColumn="0" w:firstRowLastColumn="0" w:lastRowFirstColumn="0" w:lastRowLastColumn="0"/>
            </w:pPr>
            <w:r>
              <w:t>0.3</w:t>
            </w:r>
          </w:p>
        </w:tc>
        <w:tc>
          <w:tcPr>
            <w:tcW w:w="794" w:type="dxa"/>
          </w:tcPr>
          <w:p w14:paraId="0D777C29" w14:textId="77777777" w:rsidR="00AB205D" w:rsidRDefault="00471A3B">
            <w:pPr>
              <w:cnfStyle w:val="000000000000" w:firstRow="0" w:lastRow="0" w:firstColumn="0" w:lastColumn="0" w:oddVBand="0" w:evenVBand="0" w:oddHBand="0" w:evenHBand="0" w:firstRowFirstColumn="0" w:firstRowLastColumn="0" w:lastRowFirstColumn="0" w:lastRowLastColumn="0"/>
            </w:pPr>
            <w:r>
              <w:t>0.3</w:t>
            </w:r>
          </w:p>
        </w:tc>
        <w:tc>
          <w:tcPr>
            <w:tcW w:w="794" w:type="dxa"/>
          </w:tcPr>
          <w:p w14:paraId="3BE2EEDC"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r>
      <w:tr w:rsidR="009C6724" w14:paraId="3B18CB6F"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69F6E727" w14:textId="77777777" w:rsidR="00AB205D" w:rsidRDefault="00471A3B">
            <w:r>
              <w:rPr>
                <w:b/>
              </w:rPr>
              <w:t>Emergency Management Capability</w:t>
            </w:r>
          </w:p>
        </w:tc>
        <w:tc>
          <w:tcPr>
            <w:tcW w:w="794" w:type="dxa"/>
          </w:tcPr>
          <w:p w14:paraId="400EC5D8"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11C8C0EB"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5D9DBBDB"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73C9B27"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0B717CE6"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414137DE" w14:textId="77777777" w:rsidR="00AB205D" w:rsidRDefault="00471A3B">
            <w:r>
              <w:t>Life Saving Victoria</w:t>
            </w:r>
          </w:p>
        </w:tc>
        <w:tc>
          <w:tcPr>
            <w:tcW w:w="794" w:type="dxa"/>
          </w:tcPr>
          <w:p w14:paraId="7E09119E" w14:textId="77777777" w:rsidR="00AB205D" w:rsidRDefault="00471A3B">
            <w:pPr>
              <w:cnfStyle w:val="000000000000" w:firstRow="0" w:lastRow="0" w:firstColumn="0" w:lastColumn="0" w:oddVBand="0" w:evenVBand="0" w:oddHBand="0" w:evenHBand="0" w:firstRowFirstColumn="0" w:firstRowLastColumn="0" w:lastRowFirstColumn="0" w:lastRowLastColumn="0"/>
            </w:pPr>
            <w:r>
              <w:t>4.5</w:t>
            </w:r>
          </w:p>
        </w:tc>
        <w:tc>
          <w:tcPr>
            <w:tcW w:w="794" w:type="dxa"/>
          </w:tcPr>
          <w:p w14:paraId="3CF5CFA9"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3D2C6A93"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6C015D9F"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r>
      <w:tr w:rsidR="009C6724" w14:paraId="7B7C0D2A"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1BD138D5" w14:textId="77777777" w:rsidR="00AB205D" w:rsidRDefault="00471A3B">
            <w:r>
              <w:rPr>
                <w:b/>
              </w:rPr>
              <w:t>Public Prosecutions and Legal Assistance</w:t>
            </w:r>
          </w:p>
        </w:tc>
        <w:tc>
          <w:tcPr>
            <w:tcW w:w="794" w:type="dxa"/>
          </w:tcPr>
          <w:p w14:paraId="447DFC79"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04B9788"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5F01139F"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475AA516"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2753567E"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bottom w:val="single" w:sz="6" w:space="0" w:color="auto"/>
            </w:tcBorders>
          </w:tcPr>
          <w:p w14:paraId="6111EBBB" w14:textId="77777777" w:rsidR="00AB205D" w:rsidRDefault="00471A3B">
            <w:r>
              <w:t>Supporting Community Sector Jobs</w:t>
            </w:r>
          </w:p>
        </w:tc>
        <w:tc>
          <w:tcPr>
            <w:tcW w:w="794" w:type="dxa"/>
            <w:tcBorders>
              <w:bottom w:val="single" w:sz="6" w:space="0" w:color="auto"/>
            </w:tcBorders>
          </w:tcPr>
          <w:p w14:paraId="078D5F4C" w14:textId="77777777" w:rsidR="00AB205D" w:rsidRDefault="00471A3B">
            <w:pPr>
              <w:cnfStyle w:val="000000000000" w:firstRow="0" w:lastRow="0" w:firstColumn="0" w:lastColumn="0" w:oddVBand="0" w:evenVBand="0" w:oddHBand="0" w:evenHBand="0" w:firstRowFirstColumn="0" w:firstRowLastColumn="0" w:lastRowFirstColumn="0" w:lastRowLastColumn="0"/>
            </w:pPr>
            <w:r>
              <w:t>2.3</w:t>
            </w:r>
          </w:p>
        </w:tc>
        <w:tc>
          <w:tcPr>
            <w:tcW w:w="794" w:type="dxa"/>
            <w:tcBorders>
              <w:bottom w:val="single" w:sz="6" w:space="0" w:color="auto"/>
            </w:tcBorders>
          </w:tcPr>
          <w:p w14:paraId="558D8B79" w14:textId="77777777" w:rsidR="00AB205D" w:rsidRDefault="00471A3B">
            <w:pPr>
              <w:cnfStyle w:val="000000000000" w:firstRow="0" w:lastRow="0" w:firstColumn="0" w:lastColumn="0" w:oddVBand="0" w:evenVBand="0" w:oddHBand="0" w:evenHBand="0" w:firstRowFirstColumn="0" w:firstRowLastColumn="0" w:lastRowFirstColumn="0" w:lastRowLastColumn="0"/>
            </w:pPr>
            <w:r>
              <w:t>2.4</w:t>
            </w:r>
          </w:p>
        </w:tc>
        <w:tc>
          <w:tcPr>
            <w:tcW w:w="794" w:type="dxa"/>
            <w:tcBorders>
              <w:bottom w:val="single" w:sz="6" w:space="0" w:color="auto"/>
            </w:tcBorders>
          </w:tcPr>
          <w:p w14:paraId="322C88E2" w14:textId="77777777" w:rsidR="00AB205D" w:rsidRDefault="00471A3B">
            <w:pPr>
              <w:cnfStyle w:val="000000000000" w:firstRow="0" w:lastRow="0" w:firstColumn="0" w:lastColumn="0" w:oddVBand="0" w:evenVBand="0" w:oddHBand="0" w:evenHBand="0" w:firstRowFirstColumn="0" w:firstRowLastColumn="0" w:lastRowFirstColumn="0" w:lastRowLastColumn="0"/>
            </w:pPr>
            <w:r>
              <w:t>2.5</w:t>
            </w:r>
          </w:p>
        </w:tc>
        <w:tc>
          <w:tcPr>
            <w:tcW w:w="794" w:type="dxa"/>
            <w:tcBorders>
              <w:bottom w:val="single" w:sz="6" w:space="0" w:color="auto"/>
            </w:tcBorders>
          </w:tcPr>
          <w:p w14:paraId="718C1D77" w14:textId="77777777" w:rsidR="00AB205D" w:rsidRDefault="00471A3B">
            <w:pPr>
              <w:cnfStyle w:val="000000000000" w:firstRow="0" w:lastRow="0" w:firstColumn="0" w:lastColumn="0" w:oddVBand="0" w:evenVBand="0" w:oddHBand="0" w:evenHBand="0" w:firstRowFirstColumn="0" w:firstRowLastColumn="0" w:lastRowFirstColumn="0" w:lastRowLastColumn="0"/>
            </w:pPr>
            <w:r>
              <w:t>2.5</w:t>
            </w:r>
          </w:p>
        </w:tc>
      </w:tr>
      <w:tr w:rsidR="009C6724" w14:paraId="152B23B2"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bottom w:val="single" w:sz="12" w:space="0" w:color="auto"/>
            </w:tcBorders>
          </w:tcPr>
          <w:p w14:paraId="4329E7C8" w14:textId="77777777" w:rsidR="00AB205D" w:rsidRDefault="00471A3B">
            <w:r>
              <w:rPr>
                <w:b/>
              </w:rPr>
              <w:t>Total output initiatives</w:t>
            </w:r>
          </w:p>
        </w:tc>
        <w:tc>
          <w:tcPr>
            <w:tcW w:w="794" w:type="dxa"/>
            <w:tcBorders>
              <w:top w:val="single" w:sz="6" w:space="0" w:color="auto"/>
              <w:bottom w:val="single" w:sz="12" w:space="0" w:color="auto"/>
            </w:tcBorders>
          </w:tcPr>
          <w:p w14:paraId="39ADAC7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144.5</w:t>
            </w:r>
          </w:p>
        </w:tc>
        <w:tc>
          <w:tcPr>
            <w:tcW w:w="794" w:type="dxa"/>
            <w:tcBorders>
              <w:top w:val="single" w:sz="6" w:space="0" w:color="auto"/>
              <w:bottom w:val="single" w:sz="12" w:space="0" w:color="auto"/>
            </w:tcBorders>
          </w:tcPr>
          <w:p w14:paraId="56BF002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2.6</w:t>
            </w:r>
          </w:p>
        </w:tc>
        <w:tc>
          <w:tcPr>
            <w:tcW w:w="794" w:type="dxa"/>
            <w:tcBorders>
              <w:top w:val="single" w:sz="6" w:space="0" w:color="auto"/>
              <w:bottom w:val="single" w:sz="12" w:space="0" w:color="auto"/>
            </w:tcBorders>
          </w:tcPr>
          <w:p w14:paraId="7876336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2.7</w:t>
            </w:r>
          </w:p>
        </w:tc>
        <w:tc>
          <w:tcPr>
            <w:tcW w:w="794" w:type="dxa"/>
            <w:tcBorders>
              <w:top w:val="single" w:sz="6" w:space="0" w:color="auto"/>
              <w:bottom w:val="single" w:sz="12" w:space="0" w:color="auto"/>
            </w:tcBorders>
          </w:tcPr>
          <w:p w14:paraId="699F090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2.5</w:t>
            </w:r>
          </w:p>
        </w:tc>
      </w:tr>
    </w:tbl>
    <w:p w14:paraId="330533B0" w14:textId="77777777" w:rsidR="00AB205D" w:rsidRPr="00382ABB" w:rsidRDefault="00471A3B">
      <w:pPr>
        <w:pStyle w:val="Heading4"/>
      </w:pPr>
      <w:r w:rsidRPr="00382ABB">
        <w:t>Advocacy, Human Rights and Victim Support</w:t>
      </w:r>
    </w:p>
    <w:p w14:paraId="699CC079" w14:textId="77777777" w:rsidR="00AB205D" w:rsidRPr="00697E16" w:rsidRDefault="00471A3B">
      <w:pPr>
        <w:pStyle w:val="Heading5"/>
        <w:spacing w:before="120"/>
      </w:pPr>
      <w:r w:rsidRPr="002E1BA0">
        <w:rPr>
          <w:rFonts w:cstheme="majorHAnsi"/>
        </w:rPr>
        <w:t>Historical Forced Adoption Redress Scheme for mothers</w:t>
      </w:r>
    </w:p>
    <w:p w14:paraId="3D90E47C" w14:textId="77777777" w:rsidR="00AB205D" w:rsidRPr="00995E35" w:rsidRDefault="00471A3B">
      <w:r w:rsidRPr="00995E35">
        <w:t xml:space="preserve">Funding </w:t>
      </w:r>
      <w:r>
        <w:t>is</w:t>
      </w:r>
      <w:r w:rsidRPr="00995E35">
        <w:t xml:space="preserve"> provided to establish the Historical Forced Adoptions Redress Scheme for mothers who had children forcibly removed under historical forced adoption practices.</w:t>
      </w:r>
    </w:p>
    <w:p w14:paraId="7A9A2C8E" w14:textId="77777777" w:rsidR="00AB205D" w:rsidRPr="00995E35" w:rsidRDefault="00471A3B">
      <w:r w:rsidRPr="00995E35">
        <w:t>This initiative contributes to the Department of Justice and Community Safety’s Advocacy, Human Rights and Victim Support output.</w:t>
      </w:r>
    </w:p>
    <w:p w14:paraId="07AC36AE" w14:textId="77777777" w:rsidR="00AB205D" w:rsidRPr="00382ABB" w:rsidRDefault="00471A3B">
      <w:pPr>
        <w:pStyle w:val="Heading4"/>
      </w:pPr>
      <w:r w:rsidRPr="00382ABB">
        <w:t xml:space="preserve">Emergency Management Capability </w:t>
      </w:r>
    </w:p>
    <w:p w14:paraId="74BA64AF" w14:textId="77777777" w:rsidR="00AB205D" w:rsidRPr="004A76E4" w:rsidRDefault="00471A3B">
      <w:pPr>
        <w:pStyle w:val="Heading5"/>
        <w:spacing w:before="120"/>
        <w:rPr>
          <w:rFonts w:cstheme="majorHAnsi"/>
        </w:rPr>
      </w:pPr>
      <w:r w:rsidRPr="004A76E4">
        <w:rPr>
          <w:rFonts w:cstheme="majorHAnsi"/>
        </w:rPr>
        <w:t>Life Saving Victoria </w:t>
      </w:r>
    </w:p>
    <w:p w14:paraId="2DB5859C" w14:textId="77777777" w:rsidR="00AB205D" w:rsidRPr="004A76E4" w:rsidRDefault="00471A3B">
      <w:r w:rsidRPr="004A76E4">
        <w:t xml:space="preserve">Funding </w:t>
      </w:r>
      <w:r>
        <w:t>is</w:t>
      </w:r>
      <w:r w:rsidRPr="004A76E4">
        <w:t xml:space="preserve"> provided to boost critical services provided by Life Saving Victoria to support improved water safety outcomes and awareness.</w:t>
      </w:r>
    </w:p>
    <w:p w14:paraId="27D38B37" w14:textId="77777777" w:rsidR="00AB205D" w:rsidRPr="004A76E4" w:rsidRDefault="00471A3B">
      <w:r w:rsidRPr="004A76E4">
        <w:t>This initiative contributes to the Department of Justice and Community Safety’s Emergency Management Capability output.</w:t>
      </w:r>
    </w:p>
    <w:p w14:paraId="799072C7" w14:textId="77777777" w:rsidR="00AB205D" w:rsidRPr="00130262" w:rsidRDefault="00471A3B">
      <w:pPr>
        <w:pStyle w:val="Heading4"/>
      </w:pPr>
      <w:r w:rsidRPr="00130262">
        <w:t xml:space="preserve">Public Prosecutions and Legal Assistance </w:t>
      </w:r>
    </w:p>
    <w:p w14:paraId="3590262B" w14:textId="77777777" w:rsidR="00AB205D" w:rsidRPr="004A76E4" w:rsidRDefault="00471A3B">
      <w:pPr>
        <w:pStyle w:val="Heading5"/>
        <w:spacing w:before="120"/>
      </w:pPr>
      <w:r w:rsidRPr="00E477B7">
        <w:rPr>
          <w:rFonts w:cstheme="majorHAnsi"/>
        </w:rPr>
        <w:t xml:space="preserve">Supporting Community Sector Jobs </w:t>
      </w:r>
    </w:p>
    <w:p w14:paraId="76150C6B" w14:textId="77777777" w:rsidR="00AB205D" w:rsidRPr="004603ED" w:rsidRDefault="00471A3B">
      <w:r w:rsidRPr="004603ED">
        <w:t>Refer to the Department of Families, Fairness and Housing for a description of this initiative.</w:t>
      </w:r>
      <w:r>
        <w:t xml:space="preserve"> </w:t>
      </w:r>
    </w:p>
    <w:p w14:paraId="208A6C0B" w14:textId="77777777" w:rsidR="00AB205D" w:rsidRPr="004603ED" w:rsidRDefault="00471A3B">
      <w:pPr>
        <w:rPr>
          <w:b/>
          <w:bCs/>
        </w:rPr>
      </w:pPr>
      <w:r w:rsidRPr="004603ED">
        <w:t>This initiative contributes to the Department of Justice and Community Safety’s:</w:t>
      </w:r>
    </w:p>
    <w:p w14:paraId="795FAF8B" w14:textId="77777777" w:rsidR="00AB205D" w:rsidRPr="004603ED" w:rsidRDefault="00471A3B">
      <w:pPr>
        <w:pStyle w:val="ListBullet"/>
        <w:spacing w:before="40" w:after="40"/>
        <w:rPr>
          <w:b/>
          <w:bCs/>
        </w:rPr>
      </w:pPr>
      <w:r w:rsidRPr="004603ED">
        <w:t>Advocacy, Human Rights and Victim Support output</w:t>
      </w:r>
    </w:p>
    <w:p w14:paraId="66DE679F" w14:textId="77777777" w:rsidR="00AB205D" w:rsidRPr="004603ED" w:rsidRDefault="00471A3B">
      <w:pPr>
        <w:pStyle w:val="ListBullet"/>
        <w:spacing w:before="40" w:after="40"/>
        <w:rPr>
          <w:b/>
          <w:bCs/>
        </w:rPr>
      </w:pPr>
      <w:r w:rsidRPr="004603ED">
        <w:t>Community Based Offender Supervision output</w:t>
      </w:r>
    </w:p>
    <w:p w14:paraId="7D3A2FFA" w14:textId="77777777" w:rsidR="00AB205D" w:rsidRPr="004603ED" w:rsidRDefault="00471A3B">
      <w:pPr>
        <w:pStyle w:val="ListBullet"/>
        <w:spacing w:before="40" w:after="40"/>
        <w:rPr>
          <w:b/>
          <w:bCs/>
        </w:rPr>
      </w:pPr>
      <w:r w:rsidRPr="004603ED">
        <w:t>Justice Policy, Services and Law Reform output</w:t>
      </w:r>
    </w:p>
    <w:p w14:paraId="3C4F7545" w14:textId="77777777" w:rsidR="00AB205D" w:rsidRPr="004603ED" w:rsidRDefault="00471A3B">
      <w:pPr>
        <w:pStyle w:val="ListBullet"/>
        <w:spacing w:before="40" w:after="40"/>
        <w:rPr>
          <w:b/>
          <w:bCs/>
        </w:rPr>
      </w:pPr>
      <w:r w:rsidRPr="004603ED">
        <w:t>Prisoner Supervision and Support output</w:t>
      </w:r>
    </w:p>
    <w:p w14:paraId="4F529DD3" w14:textId="77777777" w:rsidR="00AB205D" w:rsidRPr="004603ED" w:rsidRDefault="00471A3B">
      <w:pPr>
        <w:pStyle w:val="ListBullet"/>
        <w:spacing w:before="40" w:after="40"/>
        <w:rPr>
          <w:b/>
          <w:bCs/>
        </w:rPr>
      </w:pPr>
      <w:r w:rsidRPr="004603ED">
        <w:t>Public Prosecutions and Legal Assistance output</w:t>
      </w:r>
    </w:p>
    <w:p w14:paraId="2F7D859D" w14:textId="77777777" w:rsidR="00AB205D" w:rsidRPr="004603ED" w:rsidRDefault="00471A3B">
      <w:pPr>
        <w:pStyle w:val="ListBullet"/>
        <w:spacing w:before="40" w:after="40"/>
        <w:rPr>
          <w:b/>
          <w:bCs/>
        </w:rPr>
      </w:pPr>
      <w:r w:rsidRPr="004603ED">
        <w:t>Racing, Gambling, Liquor and Casino Control Regulation output</w:t>
      </w:r>
    </w:p>
    <w:p w14:paraId="7D7BA954" w14:textId="77777777" w:rsidR="00AB205D" w:rsidRPr="004603ED" w:rsidRDefault="00471A3B">
      <w:pPr>
        <w:pStyle w:val="ListBullet"/>
        <w:spacing w:before="40" w:after="40"/>
        <w:rPr>
          <w:b/>
          <w:bCs/>
        </w:rPr>
      </w:pPr>
      <w:r w:rsidRPr="004603ED">
        <w:t>Youth Justice Community Based Services output</w:t>
      </w:r>
    </w:p>
    <w:p w14:paraId="0C1BFECB" w14:textId="77777777" w:rsidR="00AB205D" w:rsidRPr="004603ED" w:rsidRDefault="00471A3B">
      <w:pPr>
        <w:pStyle w:val="ListBullet"/>
        <w:spacing w:before="40" w:after="40"/>
        <w:rPr>
          <w:b/>
          <w:bCs/>
        </w:rPr>
      </w:pPr>
      <w:r w:rsidRPr="004603ED">
        <w:t>Youth Justice Custodial Services output.</w:t>
      </w:r>
    </w:p>
    <w:p w14:paraId="290A6E37" w14:textId="77777777" w:rsidR="00AB205D" w:rsidRDefault="00471A3B">
      <w:pPr>
        <w:pStyle w:val="Heading10"/>
        <w:pageBreakBefore/>
      </w:pPr>
      <w:bookmarkStart w:id="122" w:name="_Toc152933053"/>
      <w:r>
        <w:lastRenderedPageBreak/>
        <w:t>Department of Transport and Planning</w:t>
      </w:r>
      <w:bookmarkEnd w:id="122"/>
    </w:p>
    <w:p w14:paraId="1032FDDD" w14:textId="77777777" w:rsidR="00AB205D" w:rsidRDefault="00471A3B">
      <w:pPr>
        <w:pStyle w:val="Heading20"/>
      </w:pPr>
      <w:r>
        <w:t>Output initiatives</w:t>
      </w:r>
    </w:p>
    <w:p w14:paraId="0F41BE83" w14:textId="77777777" w:rsidR="00AB205D" w:rsidRDefault="00471A3B">
      <w:pPr>
        <w:pStyle w:val="TableHeading"/>
      </w:pPr>
      <w:r>
        <w:t>Table A.15:</w:t>
      </w:r>
      <w:r>
        <w:tab/>
        <w:t xml:space="preserve">Output initiatives – </w:t>
      </w:r>
      <w:r>
        <w:rPr>
          <w:noProof/>
        </w:rPr>
        <w:t>Transport and Planning</w:t>
      </w:r>
      <w:r>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Appendix%20A/Appendix%20A.xlsx|Table:DTP_Output"/>
      </w:tblPr>
      <w:tblGrid>
        <w:gridCol w:w="4534"/>
        <w:gridCol w:w="794"/>
        <w:gridCol w:w="794"/>
        <w:gridCol w:w="794"/>
        <w:gridCol w:w="794"/>
      </w:tblGrid>
      <w:tr w:rsidR="009C6724" w14:paraId="06593D04"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4" w:type="dxa"/>
          </w:tcPr>
          <w:p w14:paraId="6836560B" w14:textId="77777777" w:rsidR="00AB205D" w:rsidRDefault="00AB205D">
            <w:pPr>
              <w:keepNext/>
            </w:pPr>
          </w:p>
        </w:tc>
        <w:tc>
          <w:tcPr>
            <w:tcW w:w="794" w:type="dxa"/>
          </w:tcPr>
          <w:p w14:paraId="078FD584"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33FEE38C"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546C4D59"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p>
        </w:tc>
        <w:tc>
          <w:tcPr>
            <w:tcW w:w="794" w:type="dxa"/>
          </w:tcPr>
          <w:p w14:paraId="59E020DA"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p>
        </w:tc>
      </w:tr>
      <w:tr w:rsidR="009C6724" w14:paraId="7C3C27B2"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2886728F" w14:textId="77777777" w:rsidR="00AB205D" w:rsidRDefault="00471A3B">
            <w:r>
              <w:rPr>
                <w:b/>
              </w:rPr>
              <w:t>Bus Services</w:t>
            </w:r>
          </w:p>
        </w:tc>
        <w:tc>
          <w:tcPr>
            <w:tcW w:w="794" w:type="dxa"/>
          </w:tcPr>
          <w:p w14:paraId="48E5A2F4"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2CA93DAA"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73AF601F"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2A077C66"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4ED0003F"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bottom w:val="single" w:sz="6" w:space="0" w:color="auto"/>
            </w:tcBorders>
          </w:tcPr>
          <w:p w14:paraId="2ACBE548" w14:textId="77777777" w:rsidR="00AB205D" w:rsidRDefault="00471A3B">
            <w:r>
              <w:t>Deer Park bus interchange network change</w:t>
            </w:r>
          </w:p>
        </w:tc>
        <w:tc>
          <w:tcPr>
            <w:tcW w:w="794" w:type="dxa"/>
            <w:tcBorders>
              <w:bottom w:val="single" w:sz="6" w:space="0" w:color="auto"/>
            </w:tcBorders>
          </w:tcPr>
          <w:p w14:paraId="6B27BA52" w14:textId="77777777" w:rsidR="00AB205D" w:rsidRDefault="00471A3B">
            <w:pPr>
              <w:cnfStyle w:val="000000000000" w:firstRow="0" w:lastRow="0" w:firstColumn="0" w:lastColumn="0" w:oddVBand="0" w:evenVBand="0" w:oddHBand="0" w:evenHBand="0" w:firstRowFirstColumn="0" w:firstRowLastColumn="0" w:lastRowFirstColumn="0" w:lastRowLastColumn="0"/>
            </w:pPr>
            <w:r>
              <w:t>0.3</w:t>
            </w:r>
          </w:p>
        </w:tc>
        <w:tc>
          <w:tcPr>
            <w:tcW w:w="794" w:type="dxa"/>
            <w:tcBorders>
              <w:bottom w:val="single" w:sz="6" w:space="0" w:color="auto"/>
            </w:tcBorders>
          </w:tcPr>
          <w:p w14:paraId="6E23BA59" w14:textId="77777777" w:rsidR="00AB205D" w:rsidRDefault="00471A3B">
            <w:pPr>
              <w:cnfStyle w:val="000000000000" w:firstRow="0" w:lastRow="0" w:firstColumn="0" w:lastColumn="0" w:oddVBand="0" w:evenVBand="0" w:oddHBand="0" w:evenHBand="0" w:firstRowFirstColumn="0" w:firstRowLastColumn="0" w:lastRowFirstColumn="0" w:lastRowLastColumn="0"/>
            </w:pPr>
            <w:r>
              <w:t>0.5</w:t>
            </w:r>
          </w:p>
        </w:tc>
        <w:tc>
          <w:tcPr>
            <w:tcW w:w="794" w:type="dxa"/>
            <w:tcBorders>
              <w:bottom w:val="single" w:sz="6" w:space="0" w:color="auto"/>
            </w:tcBorders>
          </w:tcPr>
          <w:p w14:paraId="6BB0CB29" w14:textId="77777777" w:rsidR="00AB205D" w:rsidRDefault="00471A3B">
            <w:pPr>
              <w:cnfStyle w:val="000000000000" w:firstRow="0" w:lastRow="0" w:firstColumn="0" w:lastColumn="0" w:oddVBand="0" w:evenVBand="0" w:oddHBand="0" w:evenHBand="0" w:firstRowFirstColumn="0" w:firstRowLastColumn="0" w:lastRowFirstColumn="0" w:lastRowLastColumn="0"/>
            </w:pPr>
            <w:r>
              <w:t>0.5</w:t>
            </w:r>
          </w:p>
        </w:tc>
        <w:tc>
          <w:tcPr>
            <w:tcW w:w="794" w:type="dxa"/>
            <w:tcBorders>
              <w:bottom w:val="single" w:sz="6" w:space="0" w:color="auto"/>
            </w:tcBorders>
          </w:tcPr>
          <w:p w14:paraId="786ED435" w14:textId="77777777" w:rsidR="00AB205D" w:rsidRDefault="00471A3B">
            <w:pPr>
              <w:cnfStyle w:val="000000000000" w:firstRow="0" w:lastRow="0" w:firstColumn="0" w:lastColumn="0" w:oddVBand="0" w:evenVBand="0" w:oddHBand="0" w:evenHBand="0" w:firstRowFirstColumn="0" w:firstRowLastColumn="0" w:lastRowFirstColumn="0" w:lastRowLastColumn="0"/>
            </w:pPr>
            <w:r>
              <w:t>0.5</w:t>
            </w:r>
          </w:p>
        </w:tc>
      </w:tr>
      <w:tr w:rsidR="009C6724" w14:paraId="1B6C69D2"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bottom w:val="single" w:sz="12" w:space="0" w:color="auto"/>
            </w:tcBorders>
          </w:tcPr>
          <w:p w14:paraId="1CA648A1" w14:textId="77777777" w:rsidR="00AB205D" w:rsidRDefault="00471A3B">
            <w:r>
              <w:rPr>
                <w:b/>
              </w:rPr>
              <w:t>Total output initiatives</w:t>
            </w:r>
          </w:p>
        </w:tc>
        <w:tc>
          <w:tcPr>
            <w:tcW w:w="794" w:type="dxa"/>
            <w:tcBorders>
              <w:top w:val="single" w:sz="6" w:space="0" w:color="auto"/>
              <w:bottom w:val="single" w:sz="12" w:space="0" w:color="auto"/>
            </w:tcBorders>
          </w:tcPr>
          <w:p w14:paraId="323D16D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0.3</w:t>
            </w:r>
          </w:p>
        </w:tc>
        <w:tc>
          <w:tcPr>
            <w:tcW w:w="794" w:type="dxa"/>
            <w:tcBorders>
              <w:top w:val="single" w:sz="6" w:space="0" w:color="auto"/>
              <w:bottom w:val="single" w:sz="12" w:space="0" w:color="auto"/>
            </w:tcBorders>
          </w:tcPr>
          <w:p w14:paraId="6CA2F5F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0.5</w:t>
            </w:r>
          </w:p>
        </w:tc>
        <w:tc>
          <w:tcPr>
            <w:tcW w:w="794" w:type="dxa"/>
            <w:tcBorders>
              <w:top w:val="single" w:sz="6" w:space="0" w:color="auto"/>
              <w:bottom w:val="single" w:sz="12" w:space="0" w:color="auto"/>
            </w:tcBorders>
          </w:tcPr>
          <w:p w14:paraId="42C33B8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0.5</w:t>
            </w:r>
          </w:p>
        </w:tc>
        <w:tc>
          <w:tcPr>
            <w:tcW w:w="794" w:type="dxa"/>
            <w:tcBorders>
              <w:top w:val="single" w:sz="6" w:space="0" w:color="auto"/>
              <w:bottom w:val="single" w:sz="12" w:space="0" w:color="auto"/>
            </w:tcBorders>
          </w:tcPr>
          <w:p w14:paraId="56D09837"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0.5</w:t>
            </w:r>
          </w:p>
        </w:tc>
      </w:tr>
    </w:tbl>
    <w:p w14:paraId="29247016" w14:textId="77777777" w:rsidR="00AB205D" w:rsidRDefault="00471A3B">
      <w:pPr>
        <w:pStyle w:val="Heading4"/>
      </w:pPr>
      <w:r>
        <w:t>Bus Services</w:t>
      </w:r>
    </w:p>
    <w:p w14:paraId="75ECCAD0" w14:textId="77777777" w:rsidR="00AB205D" w:rsidRDefault="00471A3B">
      <w:pPr>
        <w:pStyle w:val="Heading5"/>
        <w:rPr>
          <w:b w:val="0"/>
          <w:sz w:val="23"/>
        </w:rPr>
      </w:pPr>
      <w:r w:rsidRPr="006840A9">
        <w:t xml:space="preserve">Deer Park bus interchange network change </w:t>
      </w:r>
    </w:p>
    <w:p w14:paraId="182D9110" w14:textId="77777777" w:rsidR="00AB205D" w:rsidRDefault="00471A3B">
      <w:r>
        <w:t>Funding is provided for a bus network change aligning existing bus services with a new integrated bus interchange at the Deer Park Station delivered as part of the Mt Derrimut Road Level Crossing removal works.</w:t>
      </w:r>
    </w:p>
    <w:p w14:paraId="2722E443" w14:textId="77777777" w:rsidR="00AB205D" w:rsidRDefault="00471A3B">
      <w:r>
        <w:t>This initiative contributes to the Department of Transport and Planning’s Bus Services – Metropolitan output.</w:t>
      </w:r>
    </w:p>
    <w:p w14:paraId="009BA2D4" w14:textId="77777777" w:rsidR="00AB205D" w:rsidRDefault="00471A3B" w:rsidP="008F0920">
      <w:pPr>
        <w:pStyle w:val="Heading20"/>
      </w:pPr>
      <w:r>
        <w:t>Asset initiatives</w:t>
      </w:r>
    </w:p>
    <w:p w14:paraId="6DC2533D" w14:textId="77777777" w:rsidR="00AB205D" w:rsidRDefault="00471A3B">
      <w:pPr>
        <w:pStyle w:val="TableHeading"/>
      </w:pPr>
      <w:r>
        <w:t>Table A.16:</w:t>
      </w:r>
      <w:r>
        <w:tab/>
        <w:t xml:space="preserve">Asset initiatives – </w:t>
      </w:r>
      <w:r>
        <w:rPr>
          <w:noProof/>
        </w:rPr>
        <w:t>Transport and Planning</w:t>
      </w:r>
      <w:r>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Appendix%20A/Appendix%20A.xlsx|Table:DTP_Asset"/>
      </w:tblPr>
      <w:tblGrid>
        <w:gridCol w:w="3740"/>
        <w:gridCol w:w="794"/>
        <w:gridCol w:w="794"/>
        <w:gridCol w:w="794"/>
        <w:gridCol w:w="794"/>
        <w:gridCol w:w="794"/>
      </w:tblGrid>
      <w:tr w:rsidR="009C6724" w14:paraId="3B76D491"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53003C27" w14:textId="77777777" w:rsidR="00AB205D" w:rsidRDefault="00AB205D">
            <w:pPr>
              <w:keepNext/>
            </w:pPr>
          </w:p>
        </w:tc>
        <w:tc>
          <w:tcPr>
            <w:tcW w:w="794" w:type="dxa"/>
            <w:tcBorders>
              <w:top w:val="single" w:sz="6" w:space="0" w:color="auto"/>
              <w:bottom w:val="single" w:sz="6" w:space="0" w:color="auto"/>
            </w:tcBorders>
          </w:tcPr>
          <w:p w14:paraId="4B108640"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Borders>
              <w:top w:val="single" w:sz="6" w:space="0" w:color="auto"/>
              <w:bottom w:val="single" w:sz="6" w:space="0" w:color="auto"/>
            </w:tcBorders>
          </w:tcPr>
          <w:p w14:paraId="53FB162C"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Borders>
              <w:top w:val="single" w:sz="6" w:space="0" w:color="auto"/>
              <w:bottom w:val="single" w:sz="6" w:space="0" w:color="auto"/>
            </w:tcBorders>
          </w:tcPr>
          <w:p w14:paraId="628E766A"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p>
        </w:tc>
        <w:tc>
          <w:tcPr>
            <w:tcW w:w="794" w:type="dxa"/>
            <w:tcBorders>
              <w:top w:val="single" w:sz="6" w:space="0" w:color="auto"/>
              <w:bottom w:val="single" w:sz="6" w:space="0" w:color="auto"/>
            </w:tcBorders>
          </w:tcPr>
          <w:p w14:paraId="0E61B7F2"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p>
        </w:tc>
        <w:tc>
          <w:tcPr>
            <w:tcW w:w="794" w:type="dxa"/>
            <w:tcBorders>
              <w:top w:val="single" w:sz="6" w:space="0" w:color="auto"/>
              <w:bottom w:val="single" w:sz="6" w:space="0" w:color="auto"/>
            </w:tcBorders>
          </w:tcPr>
          <w:p w14:paraId="55DA86EB"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TEI</w:t>
            </w:r>
          </w:p>
        </w:tc>
      </w:tr>
      <w:tr w:rsidR="009C6724" w14:paraId="312309EC"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58C5876E" w14:textId="77777777" w:rsidR="00AB205D" w:rsidRDefault="00471A3B">
            <w:r>
              <w:rPr>
                <w:b/>
              </w:rPr>
              <w:t>Bus Services</w:t>
            </w:r>
          </w:p>
        </w:tc>
        <w:tc>
          <w:tcPr>
            <w:tcW w:w="794" w:type="dxa"/>
            <w:tcBorders>
              <w:top w:val="single" w:sz="6" w:space="0" w:color="auto"/>
            </w:tcBorders>
          </w:tcPr>
          <w:p w14:paraId="2CE96F1D"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12587172"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6604E7F2"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65431E55"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5AEF808A"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2E5D3BD5"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284069C5" w14:textId="77777777" w:rsidR="00AB205D" w:rsidRDefault="00471A3B">
            <w:r>
              <w:t>Deer Park bus interchange network change</w:t>
            </w:r>
          </w:p>
        </w:tc>
        <w:tc>
          <w:tcPr>
            <w:tcW w:w="794" w:type="dxa"/>
          </w:tcPr>
          <w:p w14:paraId="4A266589" w14:textId="77777777" w:rsidR="00AB205D" w:rsidRDefault="00471A3B">
            <w:pPr>
              <w:cnfStyle w:val="000000000000" w:firstRow="0" w:lastRow="0" w:firstColumn="0" w:lastColumn="0" w:oddVBand="0" w:evenVBand="0" w:oddHBand="0" w:evenHBand="0" w:firstRowFirstColumn="0" w:firstRowLastColumn="0" w:lastRowFirstColumn="0" w:lastRowLastColumn="0"/>
            </w:pPr>
            <w:r>
              <w:t>0.1</w:t>
            </w:r>
          </w:p>
        </w:tc>
        <w:tc>
          <w:tcPr>
            <w:tcW w:w="794" w:type="dxa"/>
          </w:tcPr>
          <w:p w14:paraId="3E1210BC"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5618DF93"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1345FE18"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7F31A393" w14:textId="77777777" w:rsidR="00AB205D" w:rsidRDefault="00471A3B">
            <w:pPr>
              <w:cnfStyle w:val="000000000000" w:firstRow="0" w:lastRow="0" w:firstColumn="0" w:lastColumn="0" w:oddVBand="0" w:evenVBand="0" w:oddHBand="0" w:evenHBand="0" w:firstRowFirstColumn="0" w:firstRowLastColumn="0" w:lastRowFirstColumn="0" w:lastRowLastColumn="0"/>
            </w:pPr>
            <w:r>
              <w:t>0.1</w:t>
            </w:r>
          </w:p>
        </w:tc>
      </w:tr>
      <w:tr w:rsidR="009C6724" w14:paraId="2B4DA747"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49CD36EA" w14:textId="77777777" w:rsidR="00AB205D" w:rsidRDefault="00471A3B">
            <w:r>
              <w:rPr>
                <w:b/>
              </w:rPr>
              <w:t>Road Network Performance</w:t>
            </w:r>
            <w:r>
              <w:rPr>
                <w:b/>
                <w:vertAlign w:val="superscript"/>
              </w:rPr>
              <w:t xml:space="preserve"> (a)</w:t>
            </w:r>
          </w:p>
        </w:tc>
        <w:tc>
          <w:tcPr>
            <w:tcW w:w="794" w:type="dxa"/>
          </w:tcPr>
          <w:p w14:paraId="60C0955C"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572EC8E8"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8DE47FF"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427CC1B3"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471FD57B"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3A127578"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5D170F3B" w14:textId="2EDF6917" w:rsidR="00AB205D" w:rsidRDefault="00471A3B">
            <w:r>
              <w:t>Eastern Freeway Upgrade</w:t>
            </w:r>
          </w:p>
        </w:tc>
        <w:tc>
          <w:tcPr>
            <w:tcW w:w="794" w:type="dxa"/>
          </w:tcPr>
          <w:p w14:paraId="58B02C5D" w14:textId="77777777" w:rsidR="00AB205D" w:rsidRDefault="00471A3B">
            <w:pPr>
              <w:cnfStyle w:val="000000000000" w:firstRow="0" w:lastRow="0" w:firstColumn="0" w:lastColumn="0" w:oddVBand="0" w:evenVBand="0" w:oddHBand="0" w:evenHBand="0" w:firstRowFirstColumn="0" w:firstRowLastColumn="0" w:lastRowFirstColumn="0" w:lastRowLastColumn="0"/>
            </w:pPr>
            <w:r>
              <w:t>tbc</w:t>
            </w:r>
          </w:p>
        </w:tc>
        <w:tc>
          <w:tcPr>
            <w:tcW w:w="794" w:type="dxa"/>
          </w:tcPr>
          <w:p w14:paraId="79A2D522" w14:textId="77777777" w:rsidR="00AB205D" w:rsidRDefault="00471A3B">
            <w:pPr>
              <w:cnfStyle w:val="000000000000" w:firstRow="0" w:lastRow="0" w:firstColumn="0" w:lastColumn="0" w:oddVBand="0" w:evenVBand="0" w:oddHBand="0" w:evenHBand="0" w:firstRowFirstColumn="0" w:firstRowLastColumn="0" w:lastRowFirstColumn="0" w:lastRowLastColumn="0"/>
            </w:pPr>
            <w:r>
              <w:t>tbc</w:t>
            </w:r>
          </w:p>
        </w:tc>
        <w:tc>
          <w:tcPr>
            <w:tcW w:w="794" w:type="dxa"/>
          </w:tcPr>
          <w:p w14:paraId="76D76206" w14:textId="77777777" w:rsidR="00AB205D" w:rsidRDefault="00471A3B">
            <w:pPr>
              <w:cnfStyle w:val="000000000000" w:firstRow="0" w:lastRow="0" w:firstColumn="0" w:lastColumn="0" w:oddVBand="0" w:evenVBand="0" w:oddHBand="0" w:evenHBand="0" w:firstRowFirstColumn="0" w:firstRowLastColumn="0" w:lastRowFirstColumn="0" w:lastRowLastColumn="0"/>
            </w:pPr>
            <w:r>
              <w:t>tbc</w:t>
            </w:r>
          </w:p>
        </w:tc>
        <w:tc>
          <w:tcPr>
            <w:tcW w:w="794" w:type="dxa"/>
          </w:tcPr>
          <w:p w14:paraId="3FD876F1" w14:textId="77777777" w:rsidR="00AB205D" w:rsidRDefault="00471A3B">
            <w:pPr>
              <w:cnfStyle w:val="000000000000" w:firstRow="0" w:lastRow="0" w:firstColumn="0" w:lastColumn="0" w:oddVBand="0" w:evenVBand="0" w:oddHBand="0" w:evenHBand="0" w:firstRowFirstColumn="0" w:firstRowLastColumn="0" w:lastRowFirstColumn="0" w:lastRowLastColumn="0"/>
            </w:pPr>
            <w:r>
              <w:t>tbc</w:t>
            </w:r>
          </w:p>
        </w:tc>
        <w:tc>
          <w:tcPr>
            <w:tcW w:w="794" w:type="dxa"/>
          </w:tcPr>
          <w:p w14:paraId="6E57D1A4" w14:textId="730E5AA3" w:rsidR="00AB205D" w:rsidRDefault="005F294E">
            <w:pPr>
              <w:cnfStyle w:val="000000000000" w:firstRow="0" w:lastRow="0" w:firstColumn="0" w:lastColumn="0" w:oddVBand="0" w:evenVBand="0" w:oddHBand="0" w:evenHBand="0" w:firstRowFirstColumn="0" w:firstRowLastColumn="0" w:lastRowFirstColumn="0" w:lastRowLastColumn="0"/>
            </w:pPr>
            <w:r>
              <w:t>5 700.0</w:t>
            </w:r>
          </w:p>
        </w:tc>
      </w:tr>
      <w:tr w:rsidR="009C6724" w14:paraId="62C1F8F1" w14:textId="77777777" w:rsidTr="009C6724">
        <w:tc>
          <w:tcPr>
            <w:cnfStyle w:val="001000000000" w:firstRow="0" w:lastRow="0" w:firstColumn="1" w:lastColumn="0" w:oddVBand="0" w:evenVBand="0" w:oddHBand="0" w:evenHBand="0" w:firstRowFirstColumn="0" w:firstRowLastColumn="0" w:lastRowFirstColumn="0" w:lastRowLastColumn="0"/>
            <w:tcW w:w="3740" w:type="dxa"/>
          </w:tcPr>
          <w:p w14:paraId="71313DDB" w14:textId="77777777" w:rsidR="00AB205D" w:rsidRDefault="00471A3B">
            <w:r>
              <w:t>M80 Ring Road Upgrade</w:t>
            </w:r>
          </w:p>
        </w:tc>
        <w:tc>
          <w:tcPr>
            <w:tcW w:w="794" w:type="dxa"/>
          </w:tcPr>
          <w:p w14:paraId="091EDC6B" w14:textId="77777777" w:rsidR="00AB205D" w:rsidRDefault="00471A3B">
            <w:pPr>
              <w:cnfStyle w:val="000000000000" w:firstRow="0" w:lastRow="0" w:firstColumn="0" w:lastColumn="0" w:oddVBand="0" w:evenVBand="0" w:oddHBand="0" w:evenHBand="0" w:firstRowFirstColumn="0" w:firstRowLastColumn="0" w:lastRowFirstColumn="0" w:lastRowLastColumn="0"/>
            </w:pPr>
            <w:r>
              <w:t>tbc</w:t>
            </w:r>
          </w:p>
        </w:tc>
        <w:tc>
          <w:tcPr>
            <w:tcW w:w="794" w:type="dxa"/>
          </w:tcPr>
          <w:p w14:paraId="7FFAB109" w14:textId="77777777" w:rsidR="00AB205D" w:rsidRDefault="00471A3B">
            <w:pPr>
              <w:cnfStyle w:val="000000000000" w:firstRow="0" w:lastRow="0" w:firstColumn="0" w:lastColumn="0" w:oddVBand="0" w:evenVBand="0" w:oddHBand="0" w:evenHBand="0" w:firstRowFirstColumn="0" w:firstRowLastColumn="0" w:lastRowFirstColumn="0" w:lastRowLastColumn="0"/>
            </w:pPr>
            <w:r>
              <w:t>tbc</w:t>
            </w:r>
          </w:p>
        </w:tc>
        <w:tc>
          <w:tcPr>
            <w:tcW w:w="794" w:type="dxa"/>
          </w:tcPr>
          <w:p w14:paraId="4F66A100" w14:textId="77777777" w:rsidR="00AB205D" w:rsidRDefault="00471A3B">
            <w:pPr>
              <w:cnfStyle w:val="000000000000" w:firstRow="0" w:lastRow="0" w:firstColumn="0" w:lastColumn="0" w:oddVBand="0" w:evenVBand="0" w:oddHBand="0" w:evenHBand="0" w:firstRowFirstColumn="0" w:firstRowLastColumn="0" w:lastRowFirstColumn="0" w:lastRowLastColumn="0"/>
            </w:pPr>
            <w:r>
              <w:t>tbc</w:t>
            </w:r>
          </w:p>
        </w:tc>
        <w:tc>
          <w:tcPr>
            <w:tcW w:w="794" w:type="dxa"/>
          </w:tcPr>
          <w:p w14:paraId="2F3B6B39" w14:textId="77777777" w:rsidR="00AB205D" w:rsidRDefault="00471A3B">
            <w:pPr>
              <w:cnfStyle w:val="000000000000" w:firstRow="0" w:lastRow="0" w:firstColumn="0" w:lastColumn="0" w:oddVBand="0" w:evenVBand="0" w:oddHBand="0" w:evenHBand="0" w:firstRowFirstColumn="0" w:firstRowLastColumn="0" w:lastRowFirstColumn="0" w:lastRowLastColumn="0"/>
            </w:pPr>
            <w:r>
              <w:t>tbc</w:t>
            </w:r>
          </w:p>
        </w:tc>
        <w:tc>
          <w:tcPr>
            <w:tcW w:w="794" w:type="dxa"/>
          </w:tcPr>
          <w:p w14:paraId="158D249B" w14:textId="163ECFCD" w:rsidR="00AB205D" w:rsidRDefault="005F294E">
            <w:pPr>
              <w:cnfStyle w:val="000000000000" w:firstRow="0" w:lastRow="0" w:firstColumn="0" w:lastColumn="0" w:oddVBand="0" w:evenVBand="0" w:oddHBand="0" w:evenHBand="0" w:firstRowFirstColumn="0" w:firstRowLastColumn="0" w:lastRowFirstColumn="0" w:lastRowLastColumn="0"/>
            </w:pPr>
            <w:r>
              <w:t>3 800.0</w:t>
            </w:r>
          </w:p>
        </w:tc>
      </w:tr>
      <w:tr w:rsidR="009C6724" w14:paraId="4EADA4F8"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46781CF4" w14:textId="77777777" w:rsidR="00AB205D" w:rsidRDefault="00471A3B">
            <w:r>
              <w:t>North East Link Connections</w:t>
            </w:r>
          </w:p>
        </w:tc>
        <w:tc>
          <w:tcPr>
            <w:tcW w:w="794" w:type="dxa"/>
            <w:tcBorders>
              <w:bottom w:val="single" w:sz="6" w:space="0" w:color="auto"/>
            </w:tcBorders>
          </w:tcPr>
          <w:p w14:paraId="08FB8998" w14:textId="77777777" w:rsidR="00AB205D" w:rsidRDefault="00471A3B">
            <w:pPr>
              <w:cnfStyle w:val="000000000000" w:firstRow="0" w:lastRow="0" w:firstColumn="0" w:lastColumn="0" w:oddVBand="0" w:evenVBand="0" w:oddHBand="0" w:evenHBand="0" w:firstRowFirstColumn="0" w:firstRowLastColumn="0" w:lastRowFirstColumn="0" w:lastRowLastColumn="0"/>
            </w:pPr>
            <w:r>
              <w:t>tbc</w:t>
            </w:r>
          </w:p>
        </w:tc>
        <w:tc>
          <w:tcPr>
            <w:tcW w:w="794" w:type="dxa"/>
            <w:tcBorders>
              <w:bottom w:val="single" w:sz="6" w:space="0" w:color="auto"/>
            </w:tcBorders>
          </w:tcPr>
          <w:p w14:paraId="34DA549A" w14:textId="77777777" w:rsidR="00AB205D" w:rsidRDefault="00471A3B">
            <w:pPr>
              <w:cnfStyle w:val="000000000000" w:firstRow="0" w:lastRow="0" w:firstColumn="0" w:lastColumn="0" w:oddVBand="0" w:evenVBand="0" w:oddHBand="0" w:evenHBand="0" w:firstRowFirstColumn="0" w:firstRowLastColumn="0" w:lastRowFirstColumn="0" w:lastRowLastColumn="0"/>
            </w:pPr>
            <w:r>
              <w:t>tbc</w:t>
            </w:r>
          </w:p>
        </w:tc>
        <w:tc>
          <w:tcPr>
            <w:tcW w:w="794" w:type="dxa"/>
            <w:tcBorders>
              <w:bottom w:val="single" w:sz="6" w:space="0" w:color="auto"/>
            </w:tcBorders>
          </w:tcPr>
          <w:p w14:paraId="36EC5D41" w14:textId="77777777" w:rsidR="00AB205D" w:rsidRDefault="00471A3B">
            <w:pPr>
              <w:cnfStyle w:val="000000000000" w:firstRow="0" w:lastRow="0" w:firstColumn="0" w:lastColumn="0" w:oddVBand="0" w:evenVBand="0" w:oddHBand="0" w:evenHBand="0" w:firstRowFirstColumn="0" w:firstRowLastColumn="0" w:lastRowFirstColumn="0" w:lastRowLastColumn="0"/>
            </w:pPr>
            <w:r>
              <w:t>tbc</w:t>
            </w:r>
          </w:p>
        </w:tc>
        <w:tc>
          <w:tcPr>
            <w:tcW w:w="794" w:type="dxa"/>
            <w:tcBorders>
              <w:bottom w:val="single" w:sz="6" w:space="0" w:color="auto"/>
            </w:tcBorders>
          </w:tcPr>
          <w:p w14:paraId="24C26121" w14:textId="77777777" w:rsidR="00AB205D" w:rsidRDefault="00471A3B">
            <w:pPr>
              <w:cnfStyle w:val="000000000000" w:firstRow="0" w:lastRow="0" w:firstColumn="0" w:lastColumn="0" w:oddVBand="0" w:evenVBand="0" w:oddHBand="0" w:evenHBand="0" w:firstRowFirstColumn="0" w:firstRowLastColumn="0" w:lastRowFirstColumn="0" w:lastRowLastColumn="0"/>
            </w:pPr>
            <w:r>
              <w:t>tbc</w:t>
            </w:r>
          </w:p>
        </w:tc>
        <w:tc>
          <w:tcPr>
            <w:tcW w:w="794" w:type="dxa"/>
            <w:tcBorders>
              <w:bottom w:val="single" w:sz="6" w:space="0" w:color="auto"/>
            </w:tcBorders>
          </w:tcPr>
          <w:p w14:paraId="5014F2A6" w14:textId="321F4BE9" w:rsidR="00AB205D" w:rsidRDefault="005F294E">
            <w:pPr>
              <w:cnfStyle w:val="000000000000" w:firstRow="0" w:lastRow="0" w:firstColumn="0" w:lastColumn="0" w:oddVBand="0" w:evenVBand="0" w:oddHBand="0" w:evenHBand="0" w:firstRowFirstColumn="0" w:firstRowLastColumn="0" w:lastRowFirstColumn="0" w:lastRowLastColumn="0"/>
            </w:pPr>
            <w:r>
              <w:t>2 600.0</w:t>
            </w:r>
          </w:p>
        </w:tc>
      </w:tr>
      <w:tr w:rsidR="009C6724" w14:paraId="1D027D99"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769E8FB0" w14:textId="77777777" w:rsidR="00AB205D" w:rsidRDefault="00471A3B">
            <w:r>
              <w:rPr>
                <w:b/>
              </w:rPr>
              <w:t>Total asset initiatives</w:t>
            </w:r>
          </w:p>
        </w:tc>
        <w:tc>
          <w:tcPr>
            <w:tcW w:w="794" w:type="dxa"/>
            <w:tcBorders>
              <w:top w:val="single" w:sz="6" w:space="0" w:color="auto"/>
              <w:bottom w:val="single" w:sz="12" w:space="0" w:color="auto"/>
            </w:tcBorders>
          </w:tcPr>
          <w:p w14:paraId="3BFB4BB9"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0.1</w:t>
            </w:r>
          </w:p>
        </w:tc>
        <w:tc>
          <w:tcPr>
            <w:tcW w:w="794" w:type="dxa"/>
            <w:tcBorders>
              <w:top w:val="single" w:sz="6" w:space="0" w:color="auto"/>
              <w:bottom w:val="single" w:sz="12" w:space="0" w:color="auto"/>
            </w:tcBorders>
          </w:tcPr>
          <w:p w14:paraId="3294CA8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w:t>
            </w:r>
          </w:p>
        </w:tc>
        <w:tc>
          <w:tcPr>
            <w:tcW w:w="794" w:type="dxa"/>
            <w:tcBorders>
              <w:top w:val="single" w:sz="6" w:space="0" w:color="auto"/>
              <w:bottom w:val="single" w:sz="12" w:space="0" w:color="auto"/>
            </w:tcBorders>
          </w:tcPr>
          <w:p w14:paraId="112B74F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w:t>
            </w:r>
          </w:p>
        </w:tc>
        <w:tc>
          <w:tcPr>
            <w:tcW w:w="794" w:type="dxa"/>
            <w:tcBorders>
              <w:top w:val="single" w:sz="6" w:space="0" w:color="auto"/>
              <w:bottom w:val="single" w:sz="12" w:space="0" w:color="auto"/>
            </w:tcBorders>
          </w:tcPr>
          <w:p w14:paraId="4B32F73B"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w:t>
            </w:r>
          </w:p>
        </w:tc>
        <w:tc>
          <w:tcPr>
            <w:tcW w:w="794" w:type="dxa"/>
            <w:tcBorders>
              <w:top w:val="single" w:sz="6" w:space="0" w:color="auto"/>
              <w:bottom w:val="single" w:sz="12" w:space="0" w:color="auto"/>
            </w:tcBorders>
          </w:tcPr>
          <w:p w14:paraId="7D43618E" w14:textId="784125BC" w:rsidR="00AB205D" w:rsidRDefault="005F294E">
            <w:pPr>
              <w:cnfStyle w:val="000000000000" w:firstRow="0" w:lastRow="0" w:firstColumn="0" w:lastColumn="0" w:oddVBand="0" w:evenVBand="0" w:oddHBand="0" w:evenHBand="0" w:firstRowFirstColumn="0" w:firstRowLastColumn="0" w:lastRowFirstColumn="0" w:lastRowLastColumn="0"/>
            </w:pPr>
            <w:r>
              <w:rPr>
                <w:b/>
              </w:rPr>
              <w:t>12 100.1</w:t>
            </w:r>
          </w:p>
        </w:tc>
      </w:tr>
    </w:tbl>
    <w:p w14:paraId="0399178D" w14:textId="77777777" w:rsidR="00AB205D" w:rsidRDefault="00471A3B">
      <w:pPr>
        <w:pStyle w:val="Note"/>
        <w:rPr>
          <w:bCs/>
          <w:i w:val="0"/>
          <w:iCs/>
          <w:sz w:val="17"/>
        </w:rPr>
      </w:pPr>
      <w:r w:rsidRPr="0063115C">
        <w:t>Note</w:t>
      </w:r>
      <w:r w:rsidRPr="0063115C">
        <w:rPr>
          <w:bCs/>
          <w:i w:val="0"/>
          <w:iCs/>
          <w:sz w:val="17"/>
        </w:rPr>
        <w:t>:</w:t>
      </w:r>
    </w:p>
    <w:p w14:paraId="23291BD8" w14:textId="6B0D81B8" w:rsidR="00AB205D" w:rsidRDefault="00471A3B">
      <w:pPr>
        <w:pStyle w:val="Note"/>
        <w:rPr>
          <w:iCs/>
        </w:rPr>
      </w:pPr>
      <w:r>
        <w:t>(a)</w:t>
      </w:r>
      <w:r>
        <w:tab/>
      </w:r>
      <w:r w:rsidRPr="0002289A">
        <w:rPr>
          <w:iCs/>
        </w:rPr>
        <w:t xml:space="preserve">This project was previously published as part of ‘North East Link (State and Freeway Packages)’ in the 2023-24 Budget Paper No. 4 </w:t>
      </w:r>
      <w:r w:rsidRPr="005F294E">
        <w:rPr>
          <w:i w:val="0"/>
        </w:rPr>
        <w:t>State Capital Program</w:t>
      </w:r>
      <w:r w:rsidRPr="0002289A">
        <w:rPr>
          <w:iCs/>
        </w:rPr>
        <w:t>. The funding in the table reflects a combination of existing and additional funding. The Commonwealth Government is contributing $</w:t>
      </w:r>
      <w:r>
        <w:rPr>
          <w:iCs/>
        </w:rPr>
        <w:t>1 7</w:t>
      </w:r>
      <w:r w:rsidRPr="0002289A">
        <w:rPr>
          <w:iCs/>
        </w:rPr>
        <w:t xml:space="preserve">50 </w:t>
      </w:r>
      <w:r>
        <w:rPr>
          <w:iCs/>
        </w:rPr>
        <w:t>million</w:t>
      </w:r>
      <w:r w:rsidRPr="0002289A">
        <w:rPr>
          <w:iCs/>
        </w:rPr>
        <w:t xml:space="preserve"> to the North East Link program. The estimated expenditure will be reported as procurement processes and commercial arrangements are finalised.</w:t>
      </w:r>
    </w:p>
    <w:p w14:paraId="7B1DF9F8" w14:textId="77777777" w:rsidR="00AB205D" w:rsidRPr="00204510" w:rsidRDefault="00471A3B">
      <w:pPr>
        <w:pStyle w:val="Heading4"/>
        <w:rPr>
          <w:rFonts w:eastAsiaTheme="minorHAnsi" w:cstheme="minorBidi"/>
          <w:iCs w:val="0"/>
          <w:sz w:val="14"/>
          <w:szCs w:val="22"/>
        </w:rPr>
      </w:pPr>
      <w:r>
        <w:t>Bus Services</w:t>
      </w:r>
    </w:p>
    <w:p w14:paraId="480B8A64" w14:textId="77777777" w:rsidR="00AB205D" w:rsidRPr="0091337A" w:rsidRDefault="00471A3B">
      <w:pPr>
        <w:pStyle w:val="Heading5"/>
        <w:rPr>
          <w:b w:val="0"/>
          <w:sz w:val="23"/>
          <w:szCs w:val="23"/>
        </w:rPr>
      </w:pPr>
      <w:r w:rsidRPr="36A2DA4C">
        <w:t>Deer Park bus interchange network ch</w:t>
      </w:r>
      <w:r w:rsidRPr="00A24D89">
        <w:t>ange</w:t>
      </w:r>
      <w:r w:rsidRPr="36A2DA4C">
        <w:rPr>
          <w:b w:val="0"/>
          <w:sz w:val="23"/>
          <w:szCs w:val="23"/>
        </w:rPr>
        <w:t xml:space="preserve"> </w:t>
      </w:r>
    </w:p>
    <w:p w14:paraId="7DC8FC5C" w14:textId="77777777" w:rsidR="00AB205D" w:rsidRPr="00F7203A" w:rsidRDefault="00471A3B">
      <w:r w:rsidRPr="0091337A">
        <w:t>Refer to the output initiative for a description of this initiative.</w:t>
      </w:r>
    </w:p>
    <w:p w14:paraId="2286540E" w14:textId="77777777" w:rsidR="00AB205D" w:rsidRDefault="00471A3B">
      <w:pPr>
        <w:pStyle w:val="Heading4"/>
      </w:pPr>
      <w:r>
        <w:lastRenderedPageBreak/>
        <w:t xml:space="preserve">Road Network Performance </w:t>
      </w:r>
    </w:p>
    <w:p w14:paraId="16534FAA" w14:textId="4BCF60C9" w:rsidR="00AB205D" w:rsidRDefault="00471A3B">
      <w:pPr>
        <w:pStyle w:val="Heading5"/>
      </w:pPr>
      <w:r w:rsidRPr="008056BF">
        <w:t xml:space="preserve">Eastern Freeway Upgrade </w:t>
      </w:r>
    </w:p>
    <w:p w14:paraId="1523F78A" w14:textId="6DC0D928" w:rsidR="00AB205D" w:rsidRDefault="002213FF">
      <w:pPr>
        <w:rPr>
          <w:rFonts w:ascii="Garamond" w:hAnsi="Garamond"/>
        </w:rPr>
      </w:pPr>
      <w:bookmarkStart w:id="123" w:name="_Hlk151996462"/>
      <w:r>
        <w:rPr>
          <w:rFonts w:ascii="Garamond" w:hAnsi="Garamond"/>
        </w:rPr>
        <w:t xml:space="preserve">To be delivered in conjunction with the North East Link </w:t>
      </w:r>
      <w:r w:rsidR="00D37ED4">
        <w:rPr>
          <w:rFonts w:ascii="Garamond" w:hAnsi="Garamond"/>
        </w:rPr>
        <w:t xml:space="preserve">– </w:t>
      </w:r>
      <w:r>
        <w:rPr>
          <w:rFonts w:ascii="Garamond" w:hAnsi="Garamond"/>
        </w:rPr>
        <w:t>Primary Package (Tunnels), t</w:t>
      </w:r>
      <w:r w:rsidR="00471A3B">
        <w:rPr>
          <w:rFonts w:ascii="Garamond" w:hAnsi="Garamond"/>
        </w:rPr>
        <w:t>he project involves a major upgrade to the Eastern Freeway, including m</w:t>
      </w:r>
      <w:r w:rsidR="00471A3B" w:rsidRPr="002243A9">
        <w:rPr>
          <w:rFonts w:ascii="Garamond" w:hAnsi="Garamond"/>
        </w:rPr>
        <w:t>ore than 45 kilometres of new lanes, a dedicated busway, a state</w:t>
      </w:r>
      <w:r w:rsidR="00471A3B">
        <w:rPr>
          <w:rFonts w:ascii="Garamond" w:hAnsi="Garamond"/>
        </w:rPr>
        <w:t>-</w:t>
      </w:r>
      <w:r w:rsidR="00471A3B" w:rsidRPr="002243A9">
        <w:rPr>
          <w:rFonts w:ascii="Garamond" w:hAnsi="Garamond"/>
        </w:rPr>
        <w:t>of</w:t>
      </w:r>
      <w:r w:rsidR="00471A3B">
        <w:rPr>
          <w:rFonts w:ascii="Garamond" w:hAnsi="Garamond"/>
        </w:rPr>
        <w:t>-</w:t>
      </w:r>
      <w:r w:rsidR="00471A3B" w:rsidRPr="002243A9">
        <w:rPr>
          <w:rFonts w:ascii="Garamond" w:hAnsi="Garamond"/>
        </w:rPr>
        <w:t>the</w:t>
      </w:r>
      <w:r w:rsidR="00471A3B">
        <w:rPr>
          <w:rFonts w:ascii="Garamond" w:hAnsi="Garamond"/>
        </w:rPr>
        <w:t>-</w:t>
      </w:r>
      <w:r w:rsidR="00471A3B" w:rsidRPr="002243A9">
        <w:rPr>
          <w:rFonts w:ascii="Garamond" w:hAnsi="Garamond"/>
        </w:rPr>
        <w:t>art lane management system that will help deliver 11</w:t>
      </w:r>
      <w:r w:rsidR="00471A3B">
        <w:rPr>
          <w:rFonts w:ascii="Garamond" w:hAnsi="Garamond"/>
        </w:rPr>
        <w:t>-</w:t>
      </w:r>
      <w:r w:rsidR="00471A3B" w:rsidRPr="002243A9">
        <w:rPr>
          <w:rFonts w:ascii="Garamond" w:hAnsi="Garamond"/>
        </w:rPr>
        <w:t>minute travel time savings along the freeway, 5</w:t>
      </w:r>
      <w:r w:rsidR="00471A3B">
        <w:rPr>
          <w:rFonts w:ascii="Garamond" w:hAnsi="Garamond"/>
        </w:rPr>
        <w:t xml:space="preserve"> kilometres</w:t>
      </w:r>
      <w:r w:rsidR="00471A3B" w:rsidRPr="002243A9">
        <w:rPr>
          <w:rFonts w:ascii="Garamond" w:hAnsi="Garamond"/>
        </w:rPr>
        <w:t xml:space="preserve"> of new walking an</w:t>
      </w:r>
      <w:r w:rsidR="00471A3B">
        <w:rPr>
          <w:rFonts w:ascii="Garamond" w:hAnsi="Garamond"/>
        </w:rPr>
        <w:t>d</w:t>
      </w:r>
      <w:r w:rsidR="00471A3B" w:rsidRPr="002243A9">
        <w:rPr>
          <w:rFonts w:ascii="Garamond" w:hAnsi="Garamond"/>
        </w:rPr>
        <w:t xml:space="preserve"> cycling paths, a rebuilt Koonung Creek Reserve and an upgraded Park and Ride at Doncaster</w:t>
      </w:r>
      <w:r w:rsidR="00471A3B">
        <w:rPr>
          <w:rFonts w:ascii="Garamond" w:hAnsi="Garamond"/>
        </w:rPr>
        <w:t>.</w:t>
      </w:r>
      <w:r w:rsidR="00471A3B" w:rsidRPr="002243A9">
        <w:rPr>
          <w:rFonts w:ascii="Garamond" w:hAnsi="Garamond"/>
        </w:rPr>
        <w:t xml:space="preserve"> </w:t>
      </w:r>
    </w:p>
    <w:p w14:paraId="1FDC2740" w14:textId="77777777" w:rsidR="00AB205D" w:rsidRDefault="00471A3B">
      <w:pPr>
        <w:rPr>
          <w:rFonts w:ascii="Garamond" w:hAnsi="Garamond"/>
        </w:rPr>
      </w:pPr>
      <w:r w:rsidRPr="005F676D">
        <w:rPr>
          <w:rFonts w:ascii="Garamond" w:hAnsi="Garamond"/>
        </w:rPr>
        <w:t>This project was previously published as part of ‘North East Link (State and Freeway Packages)’ in the 2023-24 Budget Paper No. 4 – State Capital Program.</w:t>
      </w:r>
    </w:p>
    <w:p w14:paraId="5BDA8BFA" w14:textId="77777777" w:rsidR="00AB205D" w:rsidRDefault="00471A3B">
      <w:r>
        <w:t>This initiative contributes to the Department of Transport and Planning’s Road Network Performance output.</w:t>
      </w:r>
      <w:bookmarkEnd w:id="123"/>
    </w:p>
    <w:p w14:paraId="6A38EBD5" w14:textId="77777777" w:rsidR="00AB205D" w:rsidRPr="008056BF" w:rsidRDefault="00471A3B">
      <w:pPr>
        <w:pStyle w:val="Heading5"/>
      </w:pPr>
      <w:r w:rsidRPr="008056BF">
        <w:t xml:space="preserve">M80 Ring Road Upgrade </w:t>
      </w:r>
    </w:p>
    <w:p w14:paraId="24BC2771" w14:textId="07BBA517" w:rsidR="00AB205D" w:rsidRDefault="00F64523">
      <w:pPr>
        <w:rPr>
          <w:rFonts w:ascii="Garamond" w:hAnsi="Garamond"/>
        </w:rPr>
      </w:pPr>
      <w:r>
        <w:rPr>
          <w:rFonts w:ascii="Garamond" w:hAnsi="Garamond"/>
        </w:rPr>
        <w:t xml:space="preserve">To be delivered in conjunction with the North East Link </w:t>
      </w:r>
      <w:r w:rsidR="00D37ED4">
        <w:rPr>
          <w:rFonts w:ascii="Garamond" w:hAnsi="Garamond"/>
        </w:rPr>
        <w:t xml:space="preserve">– </w:t>
      </w:r>
      <w:r>
        <w:rPr>
          <w:rFonts w:ascii="Garamond" w:hAnsi="Garamond"/>
        </w:rPr>
        <w:t>Primary Package (Tunnels), t</w:t>
      </w:r>
      <w:r w:rsidR="00471A3B">
        <w:rPr>
          <w:rFonts w:ascii="Garamond" w:hAnsi="Garamond"/>
        </w:rPr>
        <w:t>he project involves a major upgrade to the M80 Ring Road, including ne</w:t>
      </w:r>
      <w:r w:rsidR="00471A3B" w:rsidRPr="002243A9">
        <w:rPr>
          <w:rFonts w:ascii="Garamond" w:hAnsi="Garamond"/>
        </w:rPr>
        <w:t>arly 15 kilometres of new lanes between Plenty Road and North East Link, a better and more efficient interchange at Grimshaw Street</w:t>
      </w:r>
      <w:r w:rsidR="00471A3B">
        <w:rPr>
          <w:rFonts w:ascii="Garamond" w:hAnsi="Garamond"/>
        </w:rPr>
        <w:t>, a multi deck cark park at Watsonia train station,</w:t>
      </w:r>
      <w:r w:rsidR="00471A3B" w:rsidRPr="002243A9">
        <w:rPr>
          <w:rFonts w:ascii="Garamond" w:hAnsi="Garamond"/>
        </w:rPr>
        <w:t xml:space="preserve"> and new walking and cycling links</w:t>
      </w:r>
      <w:r w:rsidR="00471A3B">
        <w:rPr>
          <w:rFonts w:ascii="Garamond" w:hAnsi="Garamond"/>
        </w:rPr>
        <w:t>.</w:t>
      </w:r>
    </w:p>
    <w:p w14:paraId="6141E474" w14:textId="77777777" w:rsidR="00AB205D" w:rsidRDefault="00471A3B">
      <w:pPr>
        <w:rPr>
          <w:rFonts w:ascii="Garamond" w:hAnsi="Garamond"/>
        </w:rPr>
      </w:pPr>
      <w:r w:rsidRPr="005F676D">
        <w:rPr>
          <w:rFonts w:ascii="Garamond" w:hAnsi="Garamond"/>
        </w:rPr>
        <w:t>This project was previously published as part of ‘North East Link (State and Freeway Packages)’ in the 2023-24 Budget Paper No. 4 – State Capital Program.</w:t>
      </w:r>
    </w:p>
    <w:p w14:paraId="37E61E24" w14:textId="77777777" w:rsidR="00AB205D" w:rsidRPr="000962EE" w:rsidRDefault="00471A3B">
      <w:r>
        <w:t>This initiative contributes to the Department of Transport and Planning’s Road Network Performance output.</w:t>
      </w:r>
    </w:p>
    <w:p w14:paraId="121F296A" w14:textId="77777777" w:rsidR="00AB205D" w:rsidRDefault="00471A3B">
      <w:pPr>
        <w:pStyle w:val="Heading5"/>
      </w:pPr>
      <w:r w:rsidRPr="008056BF">
        <w:t xml:space="preserve">North East Link Connections </w:t>
      </w:r>
    </w:p>
    <w:p w14:paraId="50849548" w14:textId="617F8021" w:rsidR="00AB205D" w:rsidRDefault="00DD51D4">
      <w:pPr>
        <w:rPr>
          <w:rFonts w:ascii="Garamond" w:hAnsi="Garamond"/>
        </w:rPr>
      </w:pPr>
      <w:r>
        <w:rPr>
          <w:rFonts w:ascii="Garamond" w:hAnsi="Garamond"/>
        </w:rPr>
        <w:t xml:space="preserve">To be delivered in conjunction with the North East Link </w:t>
      </w:r>
      <w:r w:rsidR="00EE60B0">
        <w:rPr>
          <w:rFonts w:ascii="Garamond" w:hAnsi="Garamond"/>
        </w:rPr>
        <w:t xml:space="preserve">– </w:t>
      </w:r>
      <w:r>
        <w:rPr>
          <w:rFonts w:ascii="Garamond" w:hAnsi="Garamond"/>
        </w:rPr>
        <w:t>Primary Package (Tunnels), t</w:t>
      </w:r>
      <w:r w:rsidR="00471A3B" w:rsidRPr="002243A9">
        <w:rPr>
          <w:rFonts w:ascii="Garamond" w:hAnsi="Garamond"/>
        </w:rPr>
        <w:t>he project includes interface works between the State Toll</w:t>
      </w:r>
      <w:r w:rsidR="00471A3B">
        <w:rPr>
          <w:rFonts w:ascii="Garamond" w:hAnsi="Garamond"/>
        </w:rPr>
        <w:t>ing Corporation</w:t>
      </w:r>
      <w:r w:rsidR="00471A3B" w:rsidRPr="002243A9">
        <w:rPr>
          <w:rFonts w:ascii="Garamond" w:hAnsi="Garamond"/>
        </w:rPr>
        <w:t xml:space="preserve"> boundary of operations and the adjacent Eastern Freeway</w:t>
      </w:r>
      <w:r w:rsidR="00471A3B">
        <w:rPr>
          <w:rFonts w:ascii="Garamond" w:hAnsi="Garamond"/>
        </w:rPr>
        <w:t xml:space="preserve"> Upgrade</w:t>
      </w:r>
      <w:r w:rsidR="00471A3B" w:rsidRPr="002243A9">
        <w:rPr>
          <w:rFonts w:ascii="Garamond" w:hAnsi="Garamond"/>
        </w:rPr>
        <w:t xml:space="preserve">. </w:t>
      </w:r>
    </w:p>
    <w:p w14:paraId="095FD9D4" w14:textId="77777777" w:rsidR="00AB205D" w:rsidRDefault="00471A3B">
      <w:pPr>
        <w:rPr>
          <w:rFonts w:ascii="Garamond" w:hAnsi="Garamond"/>
        </w:rPr>
      </w:pPr>
      <w:r w:rsidRPr="008D6F97">
        <w:rPr>
          <w:rFonts w:ascii="Garamond" w:hAnsi="Garamond"/>
        </w:rPr>
        <w:t>This project was previously published as part of ‘North East Link (State and Freeway Packages)’ in the 2023-24 Budget Paper No. 4 – State Capital Program.</w:t>
      </w:r>
    </w:p>
    <w:p w14:paraId="3D34585B" w14:textId="77777777" w:rsidR="00AB205D" w:rsidRPr="007B0982" w:rsidRDefault="00471A3B">
      <w:r>
        <w:t>This initiative contributes to the Department of Transport and Planning’s Road Network Performance output.</w:t>
      </w:r>
    </w:p>
    <w:p w14:paraId="1C2E79B2" w14:textId="77777777" w:rsidR="00AB205D" w:rsidRDefault="00471A3B">
      <w:pPr>
        <w:pStyle w:val="Heading10"/>
        <w:pageBreakBefore/>
      </w:pPr>
      <w:bookmarkStart w:id="124" w:name="_Toc152933054"/>
      <w:r>
        <w:lastRenderedPageBreak/>
        <w:t>Department of Treasury and Finance</w:t>
      </w:r>
      <w:bookmarkEnd w:id="124"/>
    </w:p>
    <w:p w14:paraId="3DFF64F3" w14:textId="77777777" w:rsidR="00AB205D" w:rsidRDefault="00471A3B">
      <w:pPr>
        <w:pStyle w:val="Heading20"/>
      </w:pPr>
      <w:r>
        <w:t>Output initiatives</w:t>
      </w:r>
    </w:p>
    <w:p w14:paraId="09D09C77" w14:textId="77777777" w:rsidR="00AB205D" w:rsidRDefault="00471A3B">
      <w:pPr>
        <w:pStyle w:val="TableHeading"/>
      </w:pPr>
      <w:r>
        <w:t>Table A.17:</w:t>
      </w:r>
      <w:r>
        <w:tab/>
        <w:t xml:space="preserve">Output initiatives – </w:t>
      </w:r>
      <w:r>
        <w:rPr>
          <w:noProof/>
        </w:rPr>
        <w:t>Treasury and Finance</w:t>
      </w:r>
      <w:r>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Appendix%20A/Appendix%20A.xlsx|Table:DTF_Output"/>
      </w:tblPr>
      <w:tblGrid>
        <w:gridCol w:w="4534"/>
        <w:gridCol w:w="794"/>
        <w:gridCol w:w="794"/>
        <w:gridCol w:w="794"/>
        <w:gridCol w:w="794"/>
      </w:tblGrid>
      <w:tr w:rsidR="009C6724" w14:paraId="6F13CC22"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4" w:type="dxa"/>
          </w:tcPr>
          <w:p w14:paraId="230F4112" w14:textId="77777777" w:rsidR="00AB205D" w:rsidRDefault="00AB205D">
            <w:pPr>
              <w:keepNext/>
            </w:pPr>
          </w:p>
        </w:tc>
        <w:tc>
          <w:tcPr>
            <w:tcW w:w="794" w:type="dxa"/>
          </w:tcPr>
          <w:p w14:paraId="1B402017"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061BCFF3"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74055C97"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p>
        </w:tc>
        <w:tc>
          <w:tcPr>
            <w:tcW w:w="794" w:type="dxa"/>
          </w:tcPr>
          <w:p w14:paraId="0CBDF95B"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p>
        </w:tc>
      </w:tr>
      <w:tr w:rsidR="009C6724" w14:paraId="6A35E899"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658B1768" w14:textId="77777777" w:rsidR="00AB205D" w:rsidRDefault="00471A3B">
            <w:r>
              <w:rPr>
                <w:b/>
              </w:rPr>
              <w:t>Budget and Financial Advice</w:t>
            </w:r>
          </w:p>
        </w:tc>
        <w:tc>
          <w:tcPr>
            <w:tcW w:w="794" w:type="dxa"/>
          </w:tcPr>
          <w:p w14:paraId="240DCFB8"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40E67EA4"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65952747"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2610B67F"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1EABF779"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bottom w:val="single" w:sz="6" w:space="0" w:color="auto"/>
            </w:tcBorders>
          </w:tcPr>
          <w:p w14:paraId="312913D8" w14:textId="77777777" w:rsidR="00AB205D" w:rsidRDefault="00471A3B">
            <w:r>
              <w:t>Commonwealth Games</w:t>
            </w:r>
          </w:p>
        </w:tc>
        <w:tc>
          <w:tcPr>
            <w:tcW w:w="794" w:type="dxa"/>
            <w:tcBorders>
              <w:bottom w:val="single" w:sz="6" w:space="0" w:color="auto"/>
            </w:tcBorders>
          </w:tcPr>
          <w:p w14:paraId="0FEB0C47" w14:textId="77777777" w:rsidR="00AB205D" w:rsidRDefault="00471A3B">
            <w:pPr>
              <w:cnfStyle w:val="000000000000" w:firstRow="0" w:lastRow="0" w:firstColumn="0" w:lastColumn="0" w:oddVBand="0" w:evenVBand="0" w:oddHBand="0" w:evenHBand="0" w:firstRowFirstColumn="0" w:firstRowLastColumn="0" w:lastRowFirstColumn="0" w:lastRowLastColumn="0"/>
            </w:pPr>
            <w:r>
              <w:t>380.0</w:t>
            </w:r>
          </w:p>
        </w:tc>
        <w:tc>
          <w:tcPr>
            <w:tcW w:w="794" w:type="dxa"/>
            <w:tcBorders>
              <w:bottom w:val="single" w:sz="6" w:space="0" w:color="auto"/>
            </w:tcBorders>
          </w:tcPr>
          <w:p w14:paraId="4742CC38"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68A164AC"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129FFCA5"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r>
      <w:tr w:rsidR="009C6724" w14:paraId="3DC0CFAE"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bottom w:val="single" w:sz="12" w:space="0" w:color="auto"/>
            </w:tcBorders>
          </w:tcPr>
          <w:p w14:paraId="464192E8" w14:textId="77777777" w:rsidR="00AB205D" w:rsidRDefault="00471A3B">
            <w:r>
              <w:rPr>
                <w:b/>
              </w:rPr>
              <w:t>Total output initiatives</w:t>
            </w:r>
          </w:p>
        </w:tc>
        <w:tc>
          <w:tcPr>
            <w:tcW w:w="794" w:type="dxa"/>
            <w:tcBorders>
              <w:top w:val="single" w:sz="6" w:space="0" w:color="auto"/>
              <w:bottom w:val="single" w:sz="12" w:space="0" w:color="auto"/>
            </w:tcBorders>
          </w:tcPr>
          <w:p w14:paraId="5CAD9FBA"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380.0</w:t>
            </w:r>
          </w:p>
        </w:tc>
        <w:tc>
          <w:tcPr>
            <w:tcW w:w="794" w:type="dxa"/>
            <w:tcBorders>
              <w:top w:val="single" w:sz="6" w:space="0" w:color="auto"/>
              <w:bottom w:val="single" w:sz="12" w:space="0" w:color="auto"/>
            </w:tcBorders>
          </w:tcPr>
          <w:p w14:paraId="0BD58D6C"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w:t>
            </w:r>
          </w:p>
        </w:tc>
        <w:tc>
          <w:tcPr>
            <w:tcW w:w="794" w:type="dxa"/>
            <w:tcBorders>
              <w:top w:val="single" w:sz="6" w:space="0" w:color="auto"/>
              <w:bottom w:val="single" w:sz="12" w:space="0" w:color="auto"/>
            </w:tcBorders>
          </w:tcPr>
          <w:p w14:paraId="1A9F1C7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w:t>
            </w:r>
          </w:p>
        </w:tc>
        <w:tc>
          <w:tcPr>
            <w:tcW w:w="794" w:type="dxa"/>
            <w:tcBorders>
              <w:top w:val="single" w:sz="6" w:space="0" w:color="auto"/>
              <w:bottom w:val="single" w:sz="12" w:space="0" w:color="auto"/>
            </w:tcBorders>
          </w:tcPr>
          <w:p w14:paraId="6513A57E"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w:t>
            </w:r>
          </w:p>
        </w:tc>
      </w:tr>
    </w:tbl>
    <w:p w14:paraId="28EC182F" w14:textId="77777777" w:rsidR="00AB205D" w:rsidRDefault="00471A3B">
      <w:pPr>
        <w:pStyle w:val="Heading4"/>
      </w:pPr>
      <w:r>
        <w:t xml:space="preserve">Budget and Financial Advice </w:t>
      </w:r>
    </w:p>
    <w:p w14:paraId="046891FA" w14:textId="77777777" w:rsidR="00AB205D" w:rsidRPr="00697E16" w:rsidRDefault="00471A3B">
      <w:pPr>
        <w:pStyle w:val="Heading5"/>
      </w:pPr>
      <w:r>
        <w:t>Commonwealth Games</w:t>
      </w:r>
    </w:p>
    <w:p w14:paraId="3AB4E190" w14:textId="77777777" w:rsidR="00AB205D" w:rsidRDefault="00471A3B">
      <w:r>
        <w:t xml:space="preserve">Funding is provided to settle all disputes regarding the cancellation of the regional Victoria 2026 Commonwealth Games. The settlement finalises all matters between the parties. </w:t>
      </w:r>
    </w:p>
    <w:p w14:paraId="483E1E90" w14:textId="77777777" w:rsidR="00AB205D" w:rsidRDefault="00471A3B">
      <w:r>
        <w:t>This initiative contributes to the Department of Treasury and Finance’s Budget and Financial Advice output.</w:t>
      </w:r>
    </w:p>
    <w:p w14:paraId="12275E92" w14:textId="77777777" w:rsidR="00AB205D" w:rsidRPr="00041FE2" w:rsidRDefault="00AB205D"/>
    <w:p w14:paraId="0B63BBDE" w14:textId="77777777" w:rsidR="00AB205D" w:rsidRDefault="00471A3B">
      <w:pPr>
        <w:pStyle w:val="Heading10"/>
        <w:pageBreakBefore/>
      </w:pPr>
      <w:bookmarkStart w:id="125" w:name="_Toc152933055"/>
      <w:r>
        <w:lastRenderedPageBreak/>
        <w:t>Parliament</w:t>
      </w:r>
      <w:bookmarkEnd w:id="125"/>
    </w:p>
    <w:p w14:paraId="0C2AE94D" w14:textId="77777777" w:rsidR="00AB205D" w:rsidRDefault="00471A3B">
      <w:pPr>
        <w:pStyle w:val="Heading20"/>
      </w:pPr>
      <w:r>
        <w:t>Output initiatives</w:t>
      </w:r>
    </w:p>
    <w:p w14:paraId="6544E48B" w14:textId="77777777" w:rsidR="00AB205D" w:rsidRDefault="00471A3B">
      <w:pPr>
        <w:pStyle w:val="TableHeading"/>
      </w:pPr>
      <w:r>
        <w:t>Table A.18:</w:t>
      </w:r>
      <w:r>
        <w:tab/>
        <w:t>Output initiatives – Parliament</w:t>
      </w:r>
      <w:r>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Appendix%20A/Appendix%20A.xlsx|Table:Parl_Output"/>
      </w:tblPr>
      <w:tblGrid>
        <w:gridCol w:w="4534"/>
        <w:gridCol w:w="794"/>
        <w:gridCol w:w="794"/>
        <w:gridCol w:w="794"/>
        <w:gridCol w:w="794"/>
      </w:tblGrid>
      <w:tr w:rsidR="009C6724" w14:paraId="478E99CD"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4" w:type="dxa"/>
          </w:tcPr>
          <w:p w14:paraId="1F00A3D5" w14:textId="77777777" w:rsidR="00AB205D" w:rsidRDefault="00AB205D">
            <w:pPr>
              <w:keepNext/>
            </w:pPr>
          </w:p>
        </w:tc>
        <w:tc>
          <w:tcPr>
            <w:tcW w:w="794" w:type="dxa"/>
          </w:tcPr>
          <w:p w14:paraId="7699D51A"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06914587"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0E2501EB"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p>
        </w:tc>
        <w:tc>
          <w:tcPr>
            <w:tcW w:w="794" w:type="dxa"/>
          </w:tcPr>
          <w:p w14:paraId="3CC75EDA"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p>
        </w:tc>
      </w:tr>
      <w:tr w:rsidR="009C6724" w14:paraId="06C1689A"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44AF27B0" w14:textId="77777777" w:rsidR="00AB205D" w:rsidRDefault="00471A3B">
            <w:r>
              <w:rPr>
                <w:b/>
              </w:rPr>
              <w:t>Legislative Council</w:t>
            </w:r>
          </w:p>
        </w:tc>
        <w:tc>
          <w:tcPr>
            <w:tcW w:w="794" w:type="dxa"/>
          </w:tcPr>
          <w:p w14:paraId="0E925917"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1F708C24"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3BBD112D"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5F48CBDB"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00354881"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44D69FD5" w14:textId="77777777" w:rsidR="00AB205D" w:rsidRDefault="00471A3B">
            <w:r>
              <w:t>Legislative Council 2024 regional sitting</w:t>
            </w:r>
          </w:p>
        </w:tc>
        <w:tc>
          <w:tcPr>
            <w:tcW w:w="794" w:type="dxa"/>
          </w:tcPr>
          <w:p w14:paraId="78BE7795" w14:textId="77777777" w:rsidR="00AB205D" w:rsidRDefault="00471A3B">
            <w:pPr>
              <w:cnfStyle w:val="000000000000" w:firstRow="0" w:lastRow="0" w:firstColumn="0" w:lastColumn="0" w:oddVBand="0" w:evenVBand="0" w:oddHBand="0" w:evenHBand="0" w:firstRowFirstColumn="0" w:firstRowLastColumn="0" w:lastRowFirstColumn="0" w:lastRowLastColumn="0"/>
            </w:pPr>
            <w:r>
              <w:t>0.4</w:t>
            </w:r>
          </w:p>
        </w:tc>
        <w:tc>
          <w:tcPr>
            <w:tcW w:w="794" w:type="dxa"/>
          </w:tcPr>
          <w:p w14:paraId="3DFE7ABA"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66B7051D"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164C17AF"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r>
      <w:tr w:rsidR="009C6724" w14:paraId="0B1039B0" w14:textId="77777777" w:rsidTr="009C6724">
        <w:tc>
          <w:tcPr>
            <w:cnfStyle w:val="001000000000" w:firstRow="0" w:lastRow="0" w:firstColumn="1" w:lastColumn="0" w:oddVBand="0" w:evenVBand="0" w:oddHBand="0" w:evenHBand="0" w:firstRowFirstColumn="0" w:firstRowLastColumn="0" w:lastRowFirstColumn="0" w:lastRowLastColumn="0"/>
            <w:tcW w:w="4534" w:type="dxa"/>
          </w:tcPr>
          <w:p w14:paraId="172B2B9F" w14:textId="77777777" w:rsidR="00AB205D" w:rsidRDefault="00471A3B">
            <w:r>
              <w:rPr>
                <w:b/>
              </w:rPr>
              <w:t>Parliamentary Services</w:t>
            </w:r>
          </w:p>
        </w:tc>
        <w:tc>
          <w:tcPr>
            <w:tcW w:w="794" w:type="dxa"/>
          </w:tcPr>
          <w:p w14:paraId="6E35336C"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0A02BB71"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25DD97D3"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Pr>
          <w:p w14:paraId="41162EDA"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7D246D46"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bottom w:val="single" w:sz="6" w:space="0" w:color="auto"/>
            </w:tcBorders>
          </w:tcPr>
          <w:p w14:paraId="0881DC46" w14:textId="77777777" w:rsidR="00AB205D" w:rsidRDefault="00471A3B">
            <w:r>
              <w:t>Parliamentary Advisers for 60th Parliament</w:t>
            </w:r>
          </w:p>
        </w:tc>
        <w:tc>
          <w:tcPr>
            <w:tcW w:w="794" w:type="dxa"/>
            <w:tcBorders>
              <w:bottom w:val="single" w:sz="6" w:space="0" w:color="auto"/>
            </w:tcBorders>
          </w:tcPr>
          <w:p w14:paraId="78EC19E8" w14:textId="77777777" w:rsidR="00AB205D" w:rsidRDefault="00471A3B">
            <w:pPr>
              <w:cnfStyle w:val="000000000000" w:firstRow="0" w:lastRow="0" w:firstColumn="0" w:lastColumn="0" w:oddVBand="0" w:evenVBand="0" w:oddHBand="0" w:evenHBand="0" w:firstRowFirstColumn="0" w:firstRowLastColumn="0" w:lastRowFirstColumn="0" w:lastRowLastColumn="0"/>
            </w:pPr>
            <w:r>
              <w:t>1.2</w:t>
            </w:r>
          </w:p>
        </w:tc>
        <w:tc>
          <w:tcPr>
            <w:tcW w:w="794" w:type="dxa"/>
            <w:tcBorders>
              <w:bottom w:val="single" w:sz="6" w:space="0" w:color="auto"/>
            </w:tcBorders>
          </w:tcPr>
          <w:p w14:paraId="14AAC721" w14:textId="77777777" w:rsidR="00AB205D" w:rsidRDefault="00471A3B">
            <w:pPr>
              <w:cnfStyle w:val="000000000000" w:firstRow="0" w:lastRow="0" w:firstColumn="0" w:lastColumn="0" w:oddVBand="0" w:evenVBand="0" w:oddHBand="0" w:evenHBand="0" w:firstRowFirstColumn="0" w:firstRowLastColumn="0" w:lastRowFirstColumn="0" w:lastRowLastColumn="0"/>
            </w:pPr>
            <w:r>
              <w:t>1.2</w:t>
            </w:r>
          </w:p>
        </w:tc>
        <w:tc>
          <w:tcPr>
            <w:tcW w:w="794" w:type="dxa"/>
            <w:tcBorders>
              <w:bottom w:val="single" w:sz="6" w:space="0" w:color="auto"/>
            </w:tcBorders>
          </w:tcPr>
          <w:p w14:paraId="76A5FB8D" w14:textId="77777777" w:rsidR="00AB205D" w:rsidRDefault="00471A3B">
            <w:pPr>
              <w:cnfStyle w:val="000000000000" w:firstRow="0" w:lastRow="0" w:firstColumn="0" w:lastColumn="0" w:oddVBand="0" w:evenVBand="0" w:oddHBand="0" w:evenHBand="0" w:firstRowFirstColumn="0" w:firstRowLastColumn="0" w:lastRowFirstColumn="0" w:lastRowLastColumn="0"/>
            </w:pPr>
            <w:r>
              <w:t>1.3</w:t>
            </w:r>
          </w:p>
        </w:tc>
        <w:tc>
          <w:tcPr>
            <w:tcW w:w="794" w:type="dxa"/>
            <w:tcBorders>
              <w:bottom w:val="single" w:sz="6" w:space="0" w:color="auto"/>
            </w:tcBorders>
          </w:tcPr>
          <w:p w14:paraId="58B043C3" w14:textId="77777777" w:rsidR="00AB205D" w:rsidRDefault="00471A3B">
            <w:pPr>
              <w:cnfStyle w:val="000000000000" w:firstRow="0" w:lastRow="0" w:firstColumn="0" w:lastColumn="0" w:oddVBand="0" w:evenVBand="0" w:oddHBand="0" w:evenHBand="0" w:firstRowFirstColumn="0" w:firstRowLastColumn="0" w:lastRowFirstColumn="0" w:lastRowLastColumn="0"/>
            </w:pPr>
            <w:r>
              <w:t>0.5</w:t>
            </w:r>
          </w:p>
        </w:tc>
      </w:tr>
      <w:tr w:rsidR="009C6724" w14:paraId="2E16C098" w14:textId="77777777" w:rsidTr="009C6724">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bottom w:val="single" w:sz="12" w:space="0" w:color="auto"/>
            </w:tcBorders>
          </w:tcPr>
          <w:p w14:paraId="798103AC" w14:textId="77777777" w:rsidR="00AB205D" w:rsidRDefault="00471A3B">
            <w:r>
              <w:rPr>
                <w:b/>
              </w:rPr>
              <w:t>Total output initiatives</w:t>
            </w:r>
          </w:p>
        </w:tc>
        <w:tc>
          <w:tcPr>
            <w:tcW w:w="794" w:type="dxa"/>
            <w:tcBorders>
              <w:top w:val="single" w:sz="6" w:space="0" w:color="auto"/>
              <w:bottom w:val="single" w:sz="12" w:space="0" w:color="auto"/>
            </w:tcBorders>
          </w:tcPr>
          <w:p w14:paraId="6576D76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1.6</w:t>
            </w:r>
          </w:p>
        </w:tc>
        <w:tc>
          <w:tcPr>
            <w:tcW w:w="794" w:type="dxa"/>
            <w:tcBorders>
              <w:top w:val="single" w:sz="6" w:space="0" w:color="auto"/>
              <w:bottom w:val="single" w:sz="12" w:space="0" w:color="auto"/>
            </w:tcBorders>
          </w:tcPr>
          <w:p w14:paraId="1B32058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1.2</w:t>
            </w:r>
          </w:p>
        </w:tc>
        <w:tc>
          <w:tcPr>
            <w:tcW w:w="794" w:type="dxa"/>
            <w:tcBorders>
              <w:top w:val="single" w:sz="6" w:space="0" w:color="auto"/>
              <w:bottom w:val="single" w:sz="12" w:space="0" w:color="auto"/>
            </w:tcBorders>
          </w:tcPr>
          <w:p w14:paraId="690BAD1D"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1.3</w:t>
            </w:r>
          </w:p>
        </w:tc>
        <w:tc>
          <w:tcPr>
            <w:tcW w:w="794" w:type="dxa"/>
            <w:tcBorders>
              <w:top w:val="single" w:sz="6" w:space="0" w:color="auto"/>
              <w:bottom w:val="single" w:sz="12" w:space="0" w:color="auto"/>
            </w:tcBorders>
          </w:tcPr>
          <w:p w14:paraId="7FFD28E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0.5</w:t>
            </w:r>
          </w:p>
        </w:tc>
      </w:tr>
    </w:tbl>
    <w:p w14:paraId="39E7542C" w14:textId="77777777" w:rsidR="00AB205D" w:rsidRPr="009F5D64" w:rsidRDefault="00471A3B">
      <w:pPr>
        <w:pStyle w:val="Heading4"/>
      </w:pPr>
      <w:r w:rsidRPr="009F5D64">
        <w:t>Legislative Council</w:t>
      </w:r>
    </w:p>
    <w:p w14:paraId="7A94E45D" w14:textId="77777777" w:rsidR="00AB205D" w:rsidRPr="00697E16" w:rsidRDefault="00471A3B">
      <w:pPr>
        <w:pStyle w:val="Heading5"/>
      </w:pPr>
      <w:r w:rsidRPr="005649E7">
        <w:t>Legislative Council 2024 regional sitting</w:t>
      </w:r>
    </w:p>
    <w:p w14:paraId="3D09AF75" w14:textId="77777777" w:rsidR="00AB205D" w:rsidRDefault="00471A3B">
      <w:pPr>
        <w:spacing w:line="259" w:lineRule="auto"/>
      </w:pPr>
      <w:r>
        <w:t>Funding is provided to conduct a Legislative Council sitting in central northern Victoria in 2024, following resolutions of the Legislative Council on 3 May 2023 to acknowledge the serious impacts of the October 2022 flood event and sit in a flood-affected community.</w:t>
      </w:r>
    </w:p>
    <w:p w14:paraId="379CF618" w14:textId="77777777" w:rsidR="00AB205D" w:rsidRDefault="00471A3B">
      <w:pPr>
        <w:spacing w:line="259" w:lineRule="auto"/>
      </w:pPr>
      <w:r>
        <w:t>This initiative contributes to Parliament’s Legislative Council output.</w:t>
      </w:r>
    </w:p>
    <w:p w14:paraId="1B99C15A" w14:textId="77777777" w:rsidR="00AB205D" w:rsidRPr="009F5D64" w:rsidRDefault="00471A3B">
      <w:pPr>
        <w:pStyle w:val="Heading4"/>
      </w:pPr>
      <w:r w:rsidRPr="009F5D64">
        <w:t>Parliamentary Services</w:t>
      </w:r>
    </w:p>
    <w:p w14:paraId="749B49DF" w14:textId="77777777" w:rsidR="00AB205D" w:rsidRPr="00697E16" w:rsidRDefault="00471A3B">
      <w:pPr>
        <w:pStyle w:val="Heading5"/>
      </w:pPr>
      <w:r w:rsidRPr="005649E7">
        <w:t xml:space="preserve">Parliamentary </w:t>
      </w:r>
      <w:r>
        <w:t>A</w:t>
      </w:r>
      <w:r w:rsidRPr="005649E7">
        <w:t>dvisers for 60</w:t>
      </w:r>
      <w:r w:rsidRPr="00774428">
        <w:t>th</w:t>
      </w:r>
      <w:r w:rsidRPr="005649E7">
        <w:t xml:space="preserve"> Parliament</w:t>
      </w:r>
    </w:p>
    <w:p w14:paraId="046DE85A" w14:textId="77777777" w:rsidR="00AB205D" w:rsidRPr="008A1009" w:rsidRDefault="00471A3B">
      <w:r>
        <w:t>Funding is provided to allocate Parliamentary Advisers for Members of Parliament who are either aligned with minor parties or independent members until the conclusion of the 60</w:t>
      </w:r>
      <w:r w:rsidRPr="00774428">
        <w:t>th</w:t>
      </w:r>
      <w:r>
        <w:t xml:space="preserve"> Parliament in November 2026.</w:t>
      </w:r>
    </w:p>
    <w:p w14:paraId="07776D63" w14:textId="77777777" w:rsidR="00AB205D" w:rsidRPr="008A1009" w:rsidRDefault="00471A3B">
      <w:r>
        <w:t>This initiative contributes to Parliament’s Parliamentary Services output.</w:t>
      </w:r>
    </w:p>
    <w:p w14:paraId="0BAC1448" w14:textId="77777777" w:rsidR="00AB205D" w:rsidRDefault="00471A3B">
      <w:pPr>
        <w:pStyle w:val="Heading20"/>
      </w:pPr>
      <w:r>
        <w:t>Asset initiatives</w:t>
      </w:r>
    </w:p>
    <w:p w14:paraId="6392D32A" w14:textId="77777777" w:rsidR="00AB205D" w:rsidRPr="000130C2" w:rsidRDefault="00471A3B">
      <w:pPr>
        <w:pStyle w:val="TableHeading"/>
      </w:pPr>
      <w:r>
        <w:t>Table A.19:</w:t>
      </w:r>
      <w:r>
        <w:tab/>
        <w:t>Asset initiatives – Parliament</w:t>
      </w:r>
      <w:r w:rsidRPr="008A1009">
        <w:t xml:space="preserve"> </w:t>
      </w:r>
      <w:r>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Appendix%20A/Appendix%20A.xlsx|Table:Parl_Asset"/>
      </w:tblPr>
      <w:tblGrid>
        <w:gridCol w:w="3740"/>
        <w:gridCol w:w="794"/>
        <w:gridCol w:w="794"/>
        <w:gridCol w:w="794"/>
        <w:gridCol w:w="794"/>
        <w:gridCol w:w="794"/>
      </w:tblGrid>
      <w:tr w:rsidR="009C6724" w14:paraId="2E0F1DB4" w14:textId="77777777" w:rsidTr="009C6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12BBD744" w14:textId="77777777" w:rsidR="00AB205D" w:rsidRDefault="00AB205D">
            <w:pPr>
              <w:keepNext/>
            </w:pPr>
          </w:p>
        </w:tc>
        <w:tc>
          <w:tcPr>
            <w:tcW w:w="794" w:type="dxa"/>
            <w:tcBorders>
              <w:top w:val="single" w:sz="6" w:space="0" w:color="auto"/>
              <w:bottom w:val="single" w:sz="6" w:space="0" w:color="auto"/>
            </w:tcBorders>
          </w:tcPr>
          <w:p w14:paraId="4B3DF97C"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Borders>
              <w:top w:val="single" w:sz="6" w:space="0" w:color="auto"/>
              <w:bottom w:val="single" w:sz="6" w:space="0" w:color="auto"/>
            </w:tcBorders>
          </w:tcPr>
          <w:p w14:paraId="2398E337"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Borders>
              <w:top w:val="single" w:sz="6" w:space="0" w:color="auto"/>
              <w:bottom w:val="single" w:sz="6" w:space="0" w:color="auto"/>
            </w:tcBorders>
          </w:tcPr>
          <w:p w14:paraId="3B516E4D"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2025</w:t>
            </w:r>
            <w:r>
              <w:noBreakHyphen/>
              <w:t>26</w:t>
            </w:r>
          </w:p>
        </w:tc>
        <w:tc>
          <w:tcPr>
            <w:tcW w:w="794" w:type="dxa"/>
            <w:tcBorders>
              <w:top w:val="single" w:sz="6" w:space="0" w:color="auto"/>
              <w:bottom w:val="single" w:sz="6" w:space="0" w:color="auto"/>
            </w:tcBorders>
          </w:tcPr>
          <w:p w14:paraId="3E015817"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2026</w:t>
            </w:r>
            <w:r>
              <w:noBreakHyphen/>
              <w:t>27</w:t>
            </w:r>
          </w:p>
        </w:tc>
        <w:tc>
          <w:tcPr>
            <w:tcW w:w="794" w:type="dxa"/>
            <w:tcBorders>
              <w:top w:val="single" w:sz="6" w:space="0" w:color="auto"/>
              <w:bottom w:val="single" w:sz="6" w:space="0" w:color="auto"/>
            </w:tcBorders>
          </w:tcPr>
          <w:p w14:paraId="549D3535" w14:textId="77777777" w:rsidR="00AB205D" w:rsidRDefault="00471A3B">
            <w:pPr>
              <w:keepNext/>
              <w:cnfStyle w:val="100000000000" w:firstRow="1" w:lastRow="0" w:firstColumn="0" w:lastColumn="0" w:oddVBand="0" w:evenVBand="0" w:oddHBand="0" w:evenHBand="0" w:firstRowFirstColumn="0" w:firstRowLastColumn="0" w:lastRowFirstColumn="0" w:lastRowLastColumn="0"/>
            </w:pPr>
            <w:r>
              <w:t>TEI</w:t>
            </w:r>
          </w:p>
        </w:tc>
      </w:tr>
      <w:tr w:rsidR="009C6724" w14:paraId="114B504F"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14F34801" w14:textId="77777777" w:rsidR="00AB205D" w:rsidRDefault="00471A3B">
            <w:r>
              <w:rPr>
                <w:b/>
              </w:rPr>
              <w:t>Parliamentary Services</w:t>
            </w:r>
          </w:p>
        </w:tc>
        <w:tc>
          <w:tcPr>
            <w:tcW w:w="794" w:type="dxa"/>
            <w:tcBorders>
              <w:top w:val="single" w:sz="6" w:space="0" w:color="auto"/>
            </w:tcBorders>
          </w:tcPr>
          <w:p w14:paraId="541DF806"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1CC0D7B9"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2D208A02"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545B323C"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49A31AE3" w14:textId="77777777" w:rsidR="00AB205D" w:rsidRDefault="00AB205D">
            <w:pPr>
              <w:cnfStyle w:val="000000000000" w:firstRow="0" w:lastRow="0" w:firstColumn="0" w:lastColumn="0" w:oddVBand="0" w:evenVBand="0" w:oddHBand="0" w:evenHBand="0" w:firstRowFirstColumn="0" w:firstRowLastColumn="0" w:lastRowFirstColumn="0" w:lastRowLastColumn="0"/>
            </w:pPr>
          </w:p>
        </w:tc>
      </w:tr>
      <w:tr w:rsidR="009C6724" w14:paraId="27E5D5CE"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11549203" w14:textId="77777777" w:rsidR="00AB205D" w:rsidRDefault="00471A3B">
            <w:r>
              <w:t>Electorate office relocations</w:t>
            </w:r>
          </w:p>
        </w:tc>
        <w:tc>
          <w:tcPr>
            <w:tcW w:w="794" w:type="dxa"/>
            <w:tcBorders>
              <w:bottom w:val="single" w:sz="6" w:space="0" w:color="auto"/>
            </w:tcBorders>
          </w:tcPr>
          <w:p w14:paraId="7472301D" w14:textId="77777777" w:rsidR="00AB205D" w:rsidRDefault="00471A3B">
            <w:pPr>
              <w:cnfStyle w:val="000000000000" w:firstRow="0" w:lastRow="0" w:firstColumn="0" w:lastColumn="0" w:oddVBand="0" w:evenVBand="0" w:oddHBand="0" w:evenHBand="0" w:firstRowFirstColumn="0" w:firstRowLastColumn="0" w:lastRowFirstColumn="0" w:lastRowLastColumn="0"/>
            </w:pPr>
            <w:r>
              <w:t>1.2</w:t>
            </w:r>
          </w:p>
        </w:tc>
        <w:tc>
          <w:tcPr>
            <w:tcW w:w="794" w:type="dxa"/>
            <w:tcBorders>
              <w:bottom w:val="single" w:sz="6" w:space="0" w:color="auto"/>
            </w:tcBorders>
          </w:tcPr>
          <w:p w14:paraId="5BACBD1F"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0CE04062"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12129538" w14:textId="77777777" w:rsidR="00AB205D" w:rsidRDefault="00471A3B">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6DF33FDC" w14:textId="77777777" w:rsidR="00AB205D" w:rsidRDefault="00471A3B">
            <w:pPr>
              <w:cnfStyle w:val="000000000000" w:firstRow="0" w:lastRow="0" w:firstColumn="0" w:lastColumn="0" w:oddVBand="0" w:evenVBand="0" w:oddHBand="0" w:evenHBand="0" w:firstRowFirstColumn="0" w:firstRowLastColumn="0" w:lastRowFirstColumn="0" w:lastRowLastColumn="0"/>
            </w:pPr>
            <w:r>
              <w:t>1.2</w:t>
            </w:r>
          </w:p>
        </w:tc>
      </w:tr>
      <w:tr w:rsidR="009C6724" w14:paraId="6D11117D" w14:textId="77777777" w:rsidTr="009C672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3748157B" w14:textId="77777777" w:rsidR="00AB205D" w:rsidRDefault="00471A3B">
            <w:r>
              <w:rPr>
                <w:b/>
              </w:rPr>
              <w:t xml:space="preserve">Total asset initiatives </w:t>
            </w:r>
            <w:r>
              <w:rPr>
                <w:b/>
                <w:vertAlign w:val="superscript"/>
              </w:rPr>
              <w:t>(a)</w:t>
            </w:r>
          </w:p>
        </w:tc>
        <w:tc>
          <w:tcPr>
            <w:tcW w:w="794" w:type="dxa"/>
            <w:tcBorders>
              <w:top w:val="single" w:sz="6" w:space="0" w:color="auto"/>
              <w:bottom w:val="single" w:sz="12" w:space="0" w:color="auto"/>
            </w:tcBorders>
          </w:tcPr>
          <w:p w14:paraId="636CDAC3"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1.2</w:t>
            </w:r>
          </w:p>
        </w:tc>
        <w:tc>
          <w:tcPr>
            <w:tcW w:w="794" w:type="dxa"/>
            <w:tcBorders>
              <w:top w:val="single" w:sz="6" w:space="0" w:color="auto"/>
              <w:bottom w:val="single" w:sz="12" w:space="0" w:color="auto"/>
            </w:tcBorders>
          </w:tcPr>
          <w:p w14:paraId="621144D4"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w:t>
            </w:r>
          </w:p>
        </w:tc>
        <w:tc>
          <w:tcPr>
            <w:tcW w:w="794" w:type="dxa"/>
            <w:tcBorders>
              <w:top w:val="single" w:sz="6" w:space="0" w:color="auto"/>
              <w:bottom w:val="single" w:sz="12" w:space="0" w:color="auto"/>
            </w:tcBorders>
          </w:tcPr>
          <w:p w14:paraId="4B8A58A0"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w:t>
            </w:r>
          </w:p>
        </w:tc>
        <w:tc>
          <w:tcPr>
            <w:tcW w:w="794" w:type="dxa"/>
            <w:tcBorders>
              <w:top w:val="single" w:sz="6" w:space="0" w:color="auto"/>
              <w:bottom w:val="single" w:sz="12" w:space="0" w:color="auto"/>
            </w:tcBorders>
          </w:tcPr>
          <w:p w14:paraId="1576C346"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w:t>
            </w:r>
          </w:p>
        </w:tc>
        <w:tc>
          <w:tcPr>
            <w:tcW w:w="794" w:type="dxa"/>
            <w:tcBorders>
              <w:top w:val="single" w:sz="6" w:space="0" w:color="auto"/>
              <w:bottom w:val="single" w:sz="12" w:space="0" w:color="auto"/>
            </w:tcBorders>
          </w:tcPr>
          <w:p w14:paraId="082E2368" w14:textId="77777777" w:rsidR="00AB205D" w:rsidRDefault="00471A3B">
            <w:pPr>
              <w:cnfStyle w:val="000000000000" w:firstRow="0" w:lastRow="0" w:firstColumn="0" w:lastColumn="0" w:oddVBand="0" w:evenVBand="0" w:oddHBand="0" w:evenHBand="0" w:firstRowFirstColumn="0" w:firstRowLastColumn="0" w:lastRowFirstColumn="0" w:lastRowLastColumn="0"/>
            </w:pPr>
            <w:r>
              <w:rPr>
                <w:b/>
              </w:rPr>
              <w:t>1.2</w:t>
            </w:r>
          </w:p>
        </w:tc>
      </w:tr>
    </w:tbl>
    <w:p w14:paraId="42D8D7E7" w14:textId="77777777" w:rsidR="00AB205D" w:rsidRPr="009F5D64" w:rsidRDefault="00471A3B">
      <w:pPr>
        <w:pStyle w:val="Heading4"/>
      </w:pPr>
      <w:r w:rsidRPr="009F5D64">
        <w:t>Parliamentary Services</w:t>
      </w:r>
    </w:p>
    <w:p w14:paraId="13DF9D8D" w14:textId="77777777" w:rsidR="00AB205D" w:rsidRDefault="00471A3B">
      <w:pPr>
        <w:pStyle w:val="Heading5"/>
      </w:pPr>
      <w:r>
        <w:t>Electorate office relocations</w:t>
      </w:r>
    </w:p>
    <w:p w14:paraId="04ABDB88" w14:textId="77777777" w:rsidR="00AB205D" w:rsidRDefault="00471A3B">
      <w:r>
        <w:t>Funding is provided to relocate four electorate offices following boundary redistributions determined by the Victorian Boundaries Commission.</w:t>
      </w:r>
    </w:p>
    <w:p w14:paraId="50119173" w14:textId="77777777" w:rsidR="00B84BA2" w:rsidRPr="00F7203A" w:rsidRDefault="00471A3B">
      <w:r>
        <w:t>This initiative contributes to Parliament’s Parliamentary Services output.</w:t>
      </w:r>
    </w:p>
    <w:p w14:paraId="6A3E7F74" w14:textId="77777777" w:rsidR="00341416" w:rsidRDefault="00341416" w:rsidP="00341416">
      <w:pPr>
        <w:keepLines w:val="0"/>
      </w:pPr>
    </w:p>
    <w:p w14:paraId="7AAC6D10" w14:textId="77777777" w:rsidR="00341416" w:rsidRDefault="00341416" w:rsidP="00341416">
      <w:pPr>
        <w:sectPr w:rsidR="00341416" w:rsidSect="00570639">
          <w:footerReference w:type="even" r:id="rId114"/>
          <w:footerReference w:type="default" r:id="rId115"/>
          <w:pgSz w:w="9979" w:h="14175" w:code="34"/>
          <w:pgMar w:top="1134" w:right="1134" w:bottom="1134" w:left="1134" w:header="624" w:footer="567" w:gutter="0"/>
          <w:cols w:space="708"/>
          <w:docGrid w:linePitch="360"/>
        </w:sectPr>
      </w:pPr>
    </w:p>
    <w:p w14:paraId="5FAC0F2C" w14:textId="77777777" w:rsidR="00AB205D" w:rsidRDefault="00471A3B">
      <w:pPr>
        <w:pStyle w:val="ChapterHeading"/>
      </w:pPr>
      <w:bookmarkStart w:id="126" w:name="_Toc152933056"/>
      <w:r>
        <w:lastRenderedPageBreak/>
        <w:t>Appendix B – Amendments to the 2023-24 output performance measures</w:t>
      </w:r>
      <w:bookmarkEnd w:id="126"/>
    </w:p>
    <w:p w14:paraId="66CEF023" w14:textId="77777777" w:rsidR="00AB205D" w:rsidRDefault="00471A3B">
      <w:r>
        <w:t xml:space="preserve">Output measures for all departments were published in Chapter 2 and Appendix A of Budget Paper No. 3 </w:t>
      </w:r>
      <w:r w:rsidRPr="004F156B">
        <w:rPr>
          <w:i/>
          <w:iCs/>
        </w:rPr>
        <w:t>Service Delivery</w:t>
      </w:r>
      <w:r>
        <w:t>. The Public Accounts and Estimates Committee has completed its review of the measures which were substantially changed or proposed to be discontinued, and tabled its report in Parliament on 3 October 2023. The Government will consider the Committee’s report and respond to the recommendations within the legislated timeline. All agreed changes to output performance measures will be reflected in the next budget publication.</w:t>
      </w:r>
    </w:p>
    <w:p w14:paraId="2BDF50CC" w14:textId="54E3140F" w:rsidR="005F294E" w:rsidRDefault="005F294E">
      <w:pPr>
        <w:keepLines w:val="0"/>
      </w:pPr>
      <w:r>
        <w:br w:type="page"/>
      </w:r>
    </w:p>
    <w:p w14:paraId="268561B6" w14:textId="77777777" w:rsidR="00AB205D" w:rsidRDefault="00AB205D">
      <w:pPr>
        <w:keepLines w:val="0"/>
      </w:pPr>
    </w:p>
    <w:p w14:paraId="312B7308" w14:textId="77777777" w:rsidR="00B84BA2" w:rsidRPr="004F156B" w:rsidRDefault="00B84BA2"/>
    <w:p w14:paraId="4472C304" w14:textId="77777777" w:rsidR="00341416" w:rsidRDefault="00341416" w:rsidP="00341416">
      <w:pPr>
        <w:keepLines w:val="0"/>
      </w:pPr>
    </w:p>
    <w:p w14:paraId="01B04B45" w14:textId="77777777" w:rsidR="00341416" w:rsidRDefault="00341416" w:rsidP="00341416">
      <w:pPr>
        <w:sectPr w:rsidR="00341416" w:rsidSect="00570639">
          <w:headerReference w:type="even" r:id="rId116"/>
          <w:headerReference w:type="default" r:id="rId117"/>
          <w:footerReference w:type="even" r:id="rId118"/>
          <w:footerReference w:type="default" r:id="rId119"/>
          <w:headerReference w:type="first" r:id="rId120"/>
          <w:footerReference w:type="first" r:id="rId121"/>
          <w:pgSz w:w="9979" w:h="14175" w:code="34"/>
          <w:pgMar w:top="1134" w:right="1134" w:bottom="1134" w:left="1134" w:header="624" w:footer="567" w:gutter="0"/>
          <w:cols w:space="708"/>
          <w:docGrid w:linePitch="360"/>
        </w:sectPr>
      </w:pPr>
    </w:p>
    <w:p w14:paraId="151F6A6E" w14:textId="77777777" w:rsidR="00AB205D" w:rsidRDefault="00471A3B">
      <w:pPr>
        <w:pStyle w:val="ChapterHeading"/>
      </w:pPr>
      <w:bookmarkStart w:id="127" w:name="_Toc152933057"/>
      <w:r>
        <w:lastRenderedPageBreak/>
        <w:t>Appendix C – Tax expenditures and concessions</w:t>
      </w:r>
      <w:bookmarkEnd w:id="127"/>
    </w:p>
    <w:p w14:paraId="7142CDE8" w14:textId="77777777" w:rsidR="00AB205D" w:rsidRDefault="00471A3B">
      <w:r>
        <w:t>Tax expenditures and concessions represent forgone revenue to the State. They take a number of different forms, including exemptions, benefits and incentives delivered through the tax system. Regardless of the form they take, they preferentially benefit certain taxpayers, activities or assets compared with normal taxation treatment.</w:t>
      </w:r>
    </w:p>
    <w:p w14:paraId="2AE23638" w14:textId="77777777" w:rsidR="00AB205D" w:rsidRDefault="00471A3B">
      <w:pPr>
        <w:pStyle w:val="Heading10"/>
      </w:pPr>
      <w:bookmarkStart w:id="128" w:name="_Toc152933058"/>
      <w:r>
        <w:t>Tax expenditures</w:t>
      </w:r>
      <w:bookmarkEnd w:id="128"/>
    </w:p>
    <w:p w14:paraId="4346BC6A" w14:textId="77777777" w:rsidR="00AB205D" w:rsidRDefault="00471A3B">
      <w:r>
        <w:t>Tax expenditures are estimated by taking the difference between the reduced tax paid by a person or entity receiving preferential treatment and the tax paid by taxpayers who do not receive that treatment. Benefits arising from marginal tax rates and tax</w:t>
      </w:r>
      <w:r>
        <w:noBreakHyphen/>
        <w:t>free thresholds are not considered to be tax expenditures, since they apply to all taxpayers. Accordingly, they are not included in this section.</w:t>
      </w:r>
    </w:p>
    <w:p w14:paraId="0BB6FF95" w14:textId="77777777" w:rsidR="00AB205D" w:rsidRDefault="00471A3B">
      <w:r>
        <w:t xml:space="preserve">Over the decade to </w:t>
      </w:r>
      <w:r w:rsidRPr="00402BC9">
        <w:t>2022</w:t>
      </w:r>
      <w:r>
        <w:noBreakHyphen/>
      </w:r>
      <w:r w:rsidRPr="00402BC9">
        <w:t>23,</w:t>
      </w:r>
      <w:r>
        <w:t xml:space="preserve"> the State has forgone </w:t>
      </w:r>
      <w:r w:rsidRPr="00C55BBF">
        <w:t>$84.9</w:t>
      </w:r>
      <w:r>
        <w:t> </w:t>
      </w:r>
      <w:r w:rsidRPr="00C55BBF">
        <w:t>billion</w:t>
      </w:r>
      <w:r>
        <w:t xml:space="preserve"> in revenue from tax expenditures. </w:t>
      </w:r>
      <w:r w:rsidRPr="0098522B">
        <w:t>In 2023</w:t>
      </w:r>
      <w:r>
        <w:noBreakHyphen/>
      </w:r>
      <w:r w:rsidRPr="0098522B">
        <w:t>24, tax expenditures are forecast to be approximately $20.</w:t>
      </w:r>
      <w:r>
        <w:t>2 </w:t>
      </w:r>
      <w:r w:rsidRPr="0098522B">
        <w:t>billion.</w:t>
      </w:r>
      <w:r>
        <w:t xml:space="preserve"> </w:t>
      </w:r>
    </w:p>
    <w:p w14:paraId="0677BF24" w14:textId="77777777" w:rsidR="00AB205D" w:rsidRDefault="00471A3B">
      <w:r>
        <w:t xml:space="preserve">The tax expenditures outlined below include exemptions, reduced rates and deductions or rebates of tax for a certain type of taxpayer, activity or asset. Table C.1 aggregates tax expenditure estimates by the main tax categories for the </w:t>
      </w:r>
      <w:r w:rsidRPr="0063041A">
        <w:t>period 2023</w:t>
      </w:r>
      <w:r>
        <w:noBreakHyphen/>
      </w:r>
      <w:r w:rsidRPr="0063041A">
        <w:t>24 to 2026</w:t>
      </w:r>
      <w:r>
        <w:noBreakHyphen/>
      </w:r>
      <w:r w:rsidRPr="0063041A">
        <w:t>27.</w:t>
      </w:r>
      <w:r>
        <w:t xml:space="preserve"> In estimating tax expenditures, it is assumed that taxpayer behaviour is unchanged by the relative treatment.</w:t>
      </w:r>
    </w:p>
    <w:p w14:paraId="3AEC6A8C" w14:textId="77777777" w:rsidR="00AB205D" w:rsidRPr="00212A4F" w:rsidRDefault="00471A3B">
      <w:pPr>
        <w:ind w:right="-100"/>
      </w:pPr>
      <w:r>
        <w:t>L</w:t>
      </w:r>
      <w:r w:rsidRPr="00212A4F">
        <w:t>and tax makes the largest contribution to total estimated tax expenditures in 2023</w:t>
      </w:r>
      <w:r>
        <w:noBreakHyphen/>
      </w:r>
      <w:r w:rsidRPr="00212A4F">
        <w:t>24, primarily due to the principal place of residence and primary production exemptions. The</w:t>
      </w:r>
      <w:r>
        <w:t> </w:t>
      </w:r>
      <w:r w:rsidRPr="00212A4F">
        <w:rPr>
          <w:i/>
          <w:iCs/>
        </w:rPr>
        <w:t>2023</w:t>
      </w:r>
      <w:r>
        <w:rPr>
          <w:i/>
          <w:iCs/>
        </w:rPr>
        <w:noBreakHyphen/>
      </w:r>
      <w:r w:rsidRPr="00212A4F">
        <w:rPr>
          <w:i/>
          <w:iCs/>
        </w:rPr>
        <w:t xml:space="preserve">24 </w:t>
      </w:r>
      <w:r>
        <w:rPr>
          <w:i/>
          <w:iCs/>
        </w:rPr>
        <w:t>B</w:t>
      </w:r>
      <w:r w:rsidRPr="00212A4F">
        <w:rPr>
          <w:i/>
          <w:iCs/>
        </w:rPr>
        <w:t xml:space="preserve">udget </w:t>
      </w:r>
      <w:r w:rsidRPr="00212A4F">
        <w:t xml:space="preserve">introduced new land tax exemptions which have been included in the expenditure estimates. These </w:t>
      </w:r>
      <w:r>
        <w:t>include t</w:t>
      </w:r>
      <w:r w:rsidRPr="00212A4F">
        <w:t xml:space="preserve">he expansion of the land tax exemption for principal places of residence under construction or renovation to provide the Commissioner of State Revenue with discretion to extend </w:t>
      </w:r>
      <w:r>
        <w:t xml:space="preserve">the </w:t>
      </w:r>
      <w:r w:rsidRPr="00212A4F">
        <w:t xml:space="preserve">period by two years if </w:t>
      </w:r>
      <w:r>
        <w:t xml:space="preserve">the </w:t>
      </w:r>
      <w:r w:rsidRPr="00212A4F">
        <w:t>builder goes into liquidation.</w:t>
      </w:r>
    </w:p>
    <w:p w14:paraId="1AC0459E" w14:textId="77777777" w:rsidR="00AB205D" w:rsidRDefault="00AB205D"/>
    <w:p w14:paraId="5D3B802F" w14:textId="77777777" w:rsidR="00B84BA2" w:rsidRDefault="00471A3B">
      <w:pPr>
        <w:pStyle w:val="TableHeading"/>
        <w:pageBreakBefore/>
        <w:ind w:left="1022" w:hanging="1022"/>
      </w:pPr>
      <w:r w:rsidRPr="00E90AEA">
        <w:lastRenderedPageBreak/>
        <w:t>Table C.1:</w:t>
      </w:r>
      <w:r w:rsidRPr="00E90AEA">
        <w:tab/>
        <w:t xml:space="preserve">Estimates of aggregate tax expenditures by type of tax </w:t>
      </w:r>
      <w:r w:rsidRPr="00E90AEA">
        <w:rPr>
          <w:vertAlign w:val="superscript"/>
        </w:rPr>
        <w:t>(a)</w:t>
      </w:r>
      <w:r w:rsidRPr="00E90AEA">
        <w:tab/>
        <w:t>($</w:t>
      </w:r>
      <w:r>
        <w:t> </w:t>
      </w:r>
      <w:r w:rsidRPr="00E90AEA">
        <w:t>million)</w:t>
      </w:r>
    </w:p>
    <w:tbl>
      <w:tblPr>
        <w:tblStyle w:val="DTFTableNumeric"/>
        <w:tblW w:w="7711" w:type="dxa"/>
        <w:tblLook w:val="06E0" w:firstRow="1" w:lastRow="1" w:firstColumn="1" w:lastColumn="0" w:noHBand="1" w:noVBand="1"/>
      </w:tblPr>
      <w:tblGrid>
        <w:gridCol w:w="3335"/>
        <w:gridCol w:w="1226"/>
        <w:gridCol w:w="1050"/>
        <w:gridCol w:w="1050"/>
        <w:gridCol w:w="1050"/>
      </w:tblGrid>
      <w:tr w:rsidR="009C6724" w:rsidRPr="00031635" w14:paraId="1108445E" w14:textId="77777777" w:rsidTr="009C6724">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335" w:type="dxa"/>
            <w:noWrap/>
            <w:hideMark/>
          </w:tcPr>
          <w:p w14:paraId="4EB17758" w14:textId="77777777" w:rsidR="00AB205D" w:rsidRPr="00031635" w:rsidRDefault="00471A3B" w:rsidP="00471A3B">
            <w:pPr>
              <w:spacing w:after="0"/>
              <w:rPr>
                <w:i w:val="0"/>
                <w:lang w:eastAsia="en-AU"/>
              </w:rPr>
            </w:pPr>
            <w:r w:rsidRPr="00031635">
              <w:rPr>
                <w:lang w:eastAsia="en-AU"/>
              </w:rPr>
              <w:t>Description</w:t>
            </w:r>
          </w:p>
        </w:tc>
        <w:tc>
          <w:tcPr>
            <w:tcW w:w="1226" w:type="dxa"/>
            <w:noWrap/>
            <w:hideMark/>
          </w:tcPr>
          <w:p w14:paraId="093C56DF" w14:textId="77777777" w:rsidR="00AB205D" w:rsidRPr="00031635" w:rsidRDefault="00471A3B" w:rsidP="00471A3B">
            <w:pPr>
              <w:spacing w:after="0"/>
              <w:cnfStyle w:val="100000000000" w:firstRow="1" w:lastRow="0" w:firstColumn="0" w:lastColumn="0" w:oddVBand="0" w:evenVBand="0" w:oddHBand="0" w:evenHBand="0" w:firstRowFirstColumn="0" w:firstRowLastColumn="0" w:lastRowFirstColumn="0" w:lastRowLastColumn="0"/>
              <w:rPr>
                <w:i w:val="0"/>
                <w:lang w:eastAsia="en-AU"/>
              </w:rPr>
            </w:pPr>
            <w:r w:rsidRPr="004A2022">
              <w:t>202</w:t>
            </w:r>
            <w:r>
              <w:t>3</w:t>
            </w:r>
            <w:r>
              <w:noBreakHyphen/>
            </w:r>
            <w:r w:rsidRPr="004A2022">
              <w:t>2</w:t>
            </w:r>
            <w:r>
              <w:t>4</w:t>
            </w:r>
          </w:p>
        </w:tc>
        <w:tc>
          <w:tcPr>
            <w:tcW w:w="1050" w:type="dxa"/>
            <w:noWrap/>
            <w:hideMark/>
          </w:tcPr>
          <w:p w14:paraId="6ADD4BB4" w14:textId="77777777" w:rsidR="00AB205D" w:rsidRPr="00031635" w:rsidRDefault="00471A3B" w:rsidP="00471A3B">
            <w:pPr>
              <w:spacing w:after="0"/>
              <w:cnfStyle w:val="100000000000" w:firstRow="1" w:lastRow="0" w:firstColumn="0" w:lastColumn="0" w:oddVBand="0" w:evenVBand="0" w:oddHBand="0" w:evenHBand="0" w:firstRowFirstColumn="0" w:firstRowLastColumn="0" w:lastRowFirstColumn="0" w:lastRowLastColumn="0"/>
              <w:rPr>
                <w:i w:val="0"/>
                <w:lang w:eastAsia="en-AU"/>
              </w:rPr>
            </w:pPr>
            <w:r w:rsidRPr="004A2022">
              <w:t>202</w:t>
            </w:r>
            <w:r>
              <w:t>4</w:t>
            </w:r>
            <w:r>
              <w:noBreakHyphen/>
            </w:r>
            <w:r w:rsidRPr="004A2022">
              <w:t>2</w:t>
            </w:r>
            <w:r>
              <w:t>5</w:t>
            </w:r>
          </w:p>
        </w:tc>
        <w:tc>
          <w:tcPr>
            <w:tcW w:w="1050" w:type="dxa"/>
            <w:noWrap/>
            <w:hideMark/>
          </w:tcPr>
          <w:p w14:paraId="46AE160D" w14:textId="77777777" w:rsidR="00AB205D" w:rsidRPr="00031635" w:rsidRDefault="00471A3B" w:rsidP="00471A3B">
            <w:pPr>
              <w:spacing w:after="0"/>
              <w:cnfStyle w:val="100000000000" w:firstRow="1" w:lastRow="0" w:firstColumn="0" w:lastColumn="0" w:oddVBand="0" w:evenVBand="0" w:oddHBand="0" w:evenHBand="0" w:firstRowFirstColumn="0" w:firstRowLastColumn="0" w:lastRowFirstColumn="0" w:lastRowLastColumn="0"/>
              <w:rPr>
                <w:i w:val="0"/>
                <w:lang w:eastAsia="en-AU"/>
              </w:rPr>
            </w:pPr>
            <w:r w:rsidRPr="004A2022">
              <w:t>202</w:t>
            </w:r>
            <w:r>
              <w:t>5</w:t>
            </w:r>
            <w:r>
              <w:noBreakHyphen/>
            </w:r>
            <w:r w:rsidRPr="004A2022">
              <w:t>2</w:t>
            </w:r>
            <w:r>
              <w:t>6</w:t>
            </w:r>
          </w:p>
        </w:tc>
        <w:tc>
          <w:tcPr>
            <w:tcW w:w="1050" w:type="dxa"/>
            <w:noWrap/>
            <w:hideMark/>
          </w:tcPr>
          <w:p w14:paraId="1F90CCA9" w14:textId="77777777" w:rsidR="00AB205D" w:rsidRPr="00031635" w:rsidRDefault="00471A3B" w:rsidP="00471A3B">
            <w:pPr>
              <w:spacing w:after="0"/>
              <w:cnfStyle w:val="100000000000" w:firstRow="1" w:lastRow="0" w:firstColumn="0" w:lastColumn="0" w:oddVBand="0" w:evenVBand="0" w:oddHBand="0" w:evenHBand="0" w:firstRowFirstColumn="0" w:firstRowLastColumn="0" w:lastRowFirstColumn="0" w:lastRowLastColumn="0"/>
              <w:rPr>
                <w:i w:val="0"/>
                <w:lang w:eastAsia="en-AU"/>
              </w:rPr>
            </w:pPr>
            <w:r w:rsidRPr="004A2022">
              <w:t>202</w:t>
            </w:r>
            <w:r>
              <w:t>6</w:t>
            </w:r>
            <w:r>
              <w:noBreakHyphen/>
            </w:r>
            <w:r w:rsidRPr="004A2022">
              <w:t>2</w:t>
            </w:r>
            <w:r>
              <w:t>7</w:t>
            </w:r>
          </w:p>
        </w:tc>
      </w:tr>
      <w:tr w:rsidR="009C6724" w:rsidRPr="00031635" w14:paraId="2D0FE4CF" w14:textId="77777777" w:rsidTr="009C6724">
        <w:trPr>
          <w:trHeight w:val="258"/>
        </w:trPr>
        <w:tc>
          <w:tcPr>
            <w:cnfStyle w:val="001000000000" w:firstRow="0" w:lastRow="0" w:firstColumn="1" w:lastColumn="0" w:oddVBand="0" w:evenVBand="0" w:oddHBand="0" w:evenHBand="0" w:firstRowFirstColumn="0" w:firstRowLastColumn="0" w:lastRowFirstColumn="0" w:lastRowLastColumn="0"/>
            <w:tcW w:w="3335" w:type="dxa"/>
            <w:noWrap/>
            <w:hideMark/>
          </w:tcPr>
          <w:p w14:paraId="05337CE1" w14:textId="77777777" w:rsidR="00AB205D" w:rsidRPr="00031635" w:rsidRDefault="00471A3B" w:rsidP="00471A3B">
            <w:pPr>
              <w:spacing w:after="0"/>
              <w:rPr>
                <w:lang w:eastAsia="en-AU"/>
              </w:rPr>
            </w:pPr>
            <w:r w:rsidRPr="00031635">
              <w:rPr>
                <w:lang w:eastAsia="en-AU"/>
              </w:rPr>
              <w:t>Land tax</w:t>
            </w:r>
            <w:r>
              <w:rPr>
                <w:lang w:eastAsia="en-AU"/>
              </w:rPr>
              <w:t xml:space="preserve"> </w:t>
            </w:r>
            <w:r w:rsidRPr="00E90AEA">
              <w:rPr>
                <w:vertAlign w:val="superscript"/>
              </w:rPr>
              <w:t>(</w:t>
            </w:r>
            <w:r>
              <w:rPr>
                <w:vertAlign w:val="superscript"/>
              </w:rPr>
              <w:t>b)</w:t>
            </w:r>
          </w:p>
        </w:tc>
        <w:tc>
          <w:tcPr>
            <w:tcW w:w="1226" w:type="dxa"/>
            <w:noWrap/>
            <w:hideMark/>
          </w:tcPr>
          <w:p w14:paraId="234A7618" w14:textId="77777777" w:rsidR="00AB205D" w:rsidRPr="00031635" w:rsidRDefault="00471A3B" w:rsidP="00471A3B">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5D33C6">
              <w:t>15 774</w:t>
            </w:r>
          </w:p>
        </w:tc>
        <w:tc>
          <w:tcPr>
            <w:tcW w:w="1050" w:type="dxa"/>
            <w:noWrap/>
            <w:hideMark/>
          </w:tcPr>
          <w:p w14:paraId="7AA12C97" w14:textId="77777777" w:rsidR="00AB205D" w:rsidRPr="00031635" w:rsidRDefault="00471A3B" w:rsidP="00471A3B">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A40554">
              <w:t xml:space="preserve">16 </w:t>
            </w:r>
            <w:r w:rsidRPr="005D33C6">
              <w:t>021</w:t>
            </w:r>
          </w:p>
        </w:tc>
        <w:tc>
          <w:tcPr>
            <w:tcW w:w="1050" w:type="dxa"/>
            <w:noWrap/>
            <w:hideMark/>
          </w:tcPr>
          <w:p w14:paraId="14388DB3" w14:textId="77777777" w:rsidR="00AB205D" w:rsidRPr="00031635" w:rsidRDefault="00471A3B" w:rsidP="00471A3B">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A40554">
              <w:t xml:space="preserve">16 </w:t>
            </w:r>
            <w:r w:rsidRPr="005D33C6">
              <w:t>388</w:t>
            </w:r>
          </w:p>
        </w:tc>
        <w:tc>
          <w:tcPr>
            <w:tcW w:w="1050" w:type="dxa"/>
            <w:noWrap/>
            <w:hideMark/>
          </w:tcPr>
          <w:p w14:paraId="58A0D4C8" w14:textId="77777777" w:rsidR="00AB205D" w:rsidRPr="00031635" w:rsidRDefault="00471A3B" w:rsidP="00471A3B">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A40554">
              <w:t xml:space="preserve">17 </w:t>
            </w:r>
            <w:r w:rsidRPr="005D33C6">
              <w:t>091</w:t>
            </w:r>
          </w:p>
        </w:tc>
      </w:tr>
      <w:tr w:rsidR="009C6724" w:rsidRPr="00031635" w14:paraId="691C8826" w14:textId="77777777" w:rsidTr="009C6724">
        <w:trPr>
          <w:trHeight w:val="258"/>
        </w:trPr>
        <w:tc>
          <w:tcPr>
            <w:cnfStyle w:val="001000000000" w:firstRow="0" w:lastRow="0" w:firstColumn="1" w:lastColumn="0" w:oddVBand="0" w:evenVBand="0" w:oddHBand="0" w:evenHBand="0" w:firstRowFirstColumn="0" w:firstRowLastColumn="0" w:lastRowFirstColumn="0" w:lastRowLastColumn="0"/>
            <w:tcW w:w="3335" w:type="dxa"/>
            <w:noWrap/>
            <w:hideMark/>
          </w:tcPr>
          <w:p w14:paraId="55C99F1B" w14:textId="77777777" w:rsidR="00AB205D" w:rsidRPr="00031635" w:rsidRDefault="00471A3B" w:rsidP="00471A3B">
            <w:pPr>
              <w:spacing w:after="0"/>
              <w:rPr>
                <w:color w:val="000000"/>
                <w:lang w:eastAsia="en-AU"/>
              </w:rPr>
            </w:pPr>
            <w:r w:rsidRPr="00031635">
              <w:rPr>
                <w:color w:val="000000"/>
                <w:lang w:eastAsia="en-AU"/>
              </w:rPr>
              <w:t>Fire Services Property Levy</w:t>
            </w:r>
          </w:p>
        </w:tc>
        <w:tc>
          <w:tcPr>
            <w:tcW w:w="1226" w:type="dxa"/>
            <w:noWrap/>
            <w:hideMark/>
          </w:tcPr>
          <w:p w14:paraId="32E9BAB5" w14:textId="77777777" w:rsidR="00AB205D" w:rsidRPr="00031635" w:rsidRDefault="00471A3B" w:rsidP="00471A3B">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6E794C">
              <w:t xml:space="preserve"> 30</w:t>
            </w:r>
          </w:p>
        </w:tc>
        <w:tc>
          <w:tcPr>
            <w:tcW w:w="1050" w:type="dxa"/>
            <w:noWrap/>
            <w:hideMark/>
          </w:tcPr>
          <w:p w14:paraId="4BAC7ACF" w14:textId="77777777" w:rsidR="00AB205D" w:rsidRPr="00031635" w:rsidRDefault="00471A3B" w:rsidP="00471A3B">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6E794C">
              <w:t xml:space="preserve"> 30</w:t>
            </w:r>
          </w:p>
        </w:tc>
        <w:tc>
          <w:tcPr>
            <w:tcW w:w="1050" w:type="dxa"/>
            <w:noWrap/>
            <w:hideMark/>
          </w:tcPr>
          <w:p w14:paraId="32F034DC" w14:textId="77777777" w:rsidR="00AB205D" w:rsidRPr="00031635" w:rsidRDefault="00471A3B" w:rsidP="00471A3B">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6E794C">
              <w:t xml:space="preserve"> </w:t>
            </w:r>
            <w:r>
              <w:t>30</w:t>
            </w:r>
          </w:p>
        </w:tc>
        <w:tc>
          <w:tcPr>
            <w:tcW w:w="1050" w:type="dxa"/>
            <w:noWrap/>
            <w:hideMark/>
          </w:tcPr>
          <w:p w14:paraId="4428B7B6" w14:textId="77777777" w:rsidR="00AB205D" w:rsidRPr="00031635" w:rsidRDefault="00471A3B" w:rsidP="00471A3B">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6E794C">
              <w:t xml:space="preserve"> 31</w:t>
            </w:r>
          </w:p>
        </w:tc>
      </w:tr>
      <w:tr w:rsidR="009C6724" w:rsidRPr="00031635" w14:paraId="3D75D367" w14:textId="77777777" w:rsidTr="009C6724">
        <w:trPr>
          <w:trHeight w:val="258"/>
        </w:trPr>
        <w:tc>
          <w:tcPr>
            <w:cnfStyle w:val="001000000000" w:firstRow="0" w:lastRow="0" w:firstColumn="1" w:lastColumn="0" w:oddVBand="0" w:evenVBand="0" w:oddHBand="0" w:evenHBand="0" w:firstRowFirstColumn="0" w:firstRowLastColumn="0" w:lastRowFirstColumn="0" w:lastRowLastColumn="0"/>
            <w:tcW w:w="3335" w:type="dxa"/>
            <w:noWrap/>
            <w:hideMark/>
          </w:tcPr>
          <w:p w14:paraId="069FFB24" w14:textId="77777777" w:rsidR="00AB205D" w:rsidRPr="00031635" w:rsidRDefault="00471A3B" w:rsidP="00471A3B">
            <w:pPr>
              <w:spacing w:after="0"/>
              <w:rPr>
                <w:lang w:eastAsia="en-AU"/>
              </w:rPr>
            </w:pPr>
            <w:r w:rsidRPr="00031635">
              <w:rPr>
                <w:lang w:eastAsia="en-AU"/>
              </w:rPr>
              <w:t>Payroll tax</w:t>
            </w:r>
          </w:p>
        </w:tc>
        <w:tc>
          <w:tcPr>
            <w:tcW w:w="1226" w:type="dxa"/>
            <w:noWrap/>
            <w:hideMark/>
          </w:tcPr>
          <w:p w14:paraId="427245AE" w14:textId="77777777" w:rsidR="00AB205D" w:rsidRPr="00031635" w:rsidRDefault="00471A3B" w:rsidP="00471A3B">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C04FAA">
              <w:t xml:space="preserve">1 </w:t>
            </w:r>
            <w:r w:rsidRPr="005D33C6">
              <w:t>711</w:t>
            </w:r>
          </w:p>
        </w:tc>
        <w:tc>
          <w:tcPr>
            <w:tcW w:w="1050" w:type="dxa"/>
            <w:noWrap/>
            <w:hideMark/>
          </w:tcPr>
          <w:p w14:paraId="34E8077E" w14:textId="77777777" w:rsidR="00AB205D" w:rsidRPr="00031635" w:rsidRDefault="00471A3B" w:rsidP="00471A3B">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C04FAA">
              <w:t xml:space="preserve">1 </w:t>
            </w:r>
            <w:r w:rsidRPr="005D33C6">
              <w:t>690</w:t>
            </w:r>
          </w:p>
        </w:tc>
        <w:tc>
          <w:tcPr>
            <w:tcW w:w="1050" w:type="dxa"/>
            <w:noWrap/>
            <w:hideMark/>
          </w:tcPr>
          <w:p w14:paraId="44743A19" w14:textId="77777777" w:rsidR="00AB205D" w:rsidRPr="00031635" w:rsidRDefault="00471A3B" w:rsidP="00471A3B">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C04FAA">
              <w:t xml:space="preserve">1 </w:t>
            </w:r>
            <w:r w:rsidRPr="005D33C6">
              <w:t>753</w:t>
            </w:r>
          </w:p>
        </w:tc>
        <w:tc>
          <w:tcPr>
            <w:tcW w:w="1050" w:type="dxa"/>
            <w:noWrap/>
            <w:hideMark/>
          </w:tcPr>
          <w:p w14:paraId="39E5BC4E" w14:textId="77777777" w:rsidR="00AB205D" w:rsidRPr="00031635" w:rsidRDefault="00471A3B" w:rsidP="00471A3B">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C04FAA">
              <w:t xml:space="preserve">1 </w:t>
            </w:r>
            <w:r w:rsidRPr="005D33C6">
              <w:t>853</w:t>
            </w:r>
          </w:p>
        </w:tc>
      </w:tr>
      <w:tr w:rsidR="009C6724" w:rsidRPr="00031635" w14:paraId="41BABCED" w14:textId="77777777" w:rsidTr="009C6724">
        <w:trPr>
          <w:trHeight w:val="258"/>
        </w:trPr>
        <w:tc>
          <w:tcPr>
            <w:cnfStyle w:val="001000000000" w:firstRow="0" w:lastRow="0" w:firstColumn="1" w:lastColumn="0" w:oddVBand="0" w:evenVBand="0" w:oddHBand="0" w:evenHBand="0" w:firstRowFirstColumn="0" w:firstRowLastColumn="0" w:lastRowFirstColumn="0" w:lastRowLastColumn="0"/>
            <w:tcW w:w="3335" w:type="dxa"/>
            <w:noWrap/>
            <w:hideMark/>
          </w:tcPr>
          <w:p w14:paraId="6C3BF2CD" w14:textId="77777777" w:rsidR="00AB205D" w:rsidRPr="00031635" w:rsidRDefault="00471A3B" w:rsidP="00471A3B">
            <w:pPr>
              <w:spacing w:after="0"/>
              <w:rPr>
                <w:lang w:eastAsia="en-AU"/>
              </w:rPr>
            </w:pPr>
            <w:r w:rsidRPr="00031635">
              <w:rPr>
                <w:lang w:eastAsia="en-AU"/>
              </w:rPr>
              <w:t>Gambling ta</w:t>
            </w:r>
            <w:r>
              <w:rPr>
                <w:lang w:eastAsia="en-AU"/>
              </w:rPr>
              <w:t>xes</w:t>
            </w:r>
          </w:p>
        </w:tc>
        <w:tc>
          <w:tcPr>
            <w:tcW w:w="1226" w:type="dxa"/>
            <w:noWrap/>
            <w:hideMark/>
          </w:tcPr>
          <w:p w14:paraId="52DEA140" w14:textId="77777777" w:rsidR="00AB205D" w:rsidRPr="0025799A" w:rsidRDefault="00471A3B" w:rsidP="00471A3B">
            <w:pPr>
              <w:spacing w:after="0"/>
              <w:cnfStyle w:val="000000000000" w:firstRow="0" w:lastRow="0" w:firstColumn="0" w:lastColumn="0" w:oddVBand="0" w:evenVBand="0" w:oddHBand="0" w:evenHBand="0" w:firstRowFirstColumn="0" w:firstRowLastColumn="0" w:lastRowFirstColumn="0" w:lastRowLastColumn="0"/>
              <w:rPr>
                <w:color w:val="000000"/>
                <w:highlight w:val="magenta"/>
                <w:lang w:eastAsia="en-AU"/>
              </w:rPr>
            </w:pPr>
            <w:r w:rsidRPr="009005D2">
              <w:t xml:space="preserve"> 82</w:t>
            </w:r>
          </w:p>
        </w:tc>
        <w:tc>
          <w:tcPr>
            <w:tcW w:w="1050" w:type="dxa"/>
            <w:noWrap/>
            <w:hideMark/>
          </w:tcPr>
          <w:p w14:paraId="41DCFAFA" w14:textId="77777777" w:rsidR="00AB205D" w:rsidRPr="0025799A" w:rsidRDefault="00471A3B" w:rsidP="00471A3B">
            <w:pPr>
              <w:spacing w:after="0"/>
              <w:cnfStyle w:val="000000000000" w:firstRow="0" w:lastRow="0" w:firstColumn="0" w:lastColumn="0" w:oddVBand="0" w:evenVBand="0" w:oddHBand="0" w:evenHBand="0" w:firstRowFirstColumn="0" w:firstRowLastColumn="0" w:lastRowFirstColumn="0" w:lastRowLastColumn="0"/>
              <w:rPr>
                <w:color w:val="000000"/>
                <w:highlight w:val="magenta"/>
                <w:lang w:eastAsia="en-AU"/>
              </w:rPr>
            </w:pPr>
            <w:r w:rsidRPr="009005D2">
              <w:t xml:space="preserve"> 85</w:t>
            </w:r>
          </w:p>
        </w:tc>
        <w:tc>
          <w:tcPr>
            <w:tcW w:w="1050" w:type="dxa"/>
            <w:noWrap/>
            <w:hideMark/>
          </w:tcPr>
          <w:p w14:paraId="559523C8" w14:textId="77777777" w:rsidR="00AB205D" w:rsidRPr="0025799A" w:rsidRDefault="00471A3B" w:rsidP="00471A3B">
            <w:pPr>
              <w:spacing w:after="0"/>
              <w:cnfStyle w:val="000000000000" w:firstRow="0" w:lastRow="0" w:firstColumn="0" w:lastColumn="0" w:oddVBand="0" w:evenVBand="0" w:oddHBand="0" w:evenHBand="0" w:firstRowFirstColumn="0" w:firstRowLastColumn="0" w:lastRowFirstColumn="0" w:lastRowLastColumn="0"/>
              <w:rPr>
                <w:color w:val="000000"/>
                <w:highlight w:val="magenta"/>
                <w:lang w:eastAsia="en-AU"/>
              </w:rPr>
            </w:pPr>
            <w:r w:rsidRPr="009005D2">
              <w:t xml:space="preserve"> </w:t>
            </w:r>
            <w:r w:rsidRPr="00A40554">
              <w:t>78</w:t>
            </w:r>
          </w:p>
        </w:tc>
        <w:tc>
          <w:tcPr>
            <w:tcW w:w="1050" w:type="dxa"/>
            <w:noWrap/>
            <w:hideMark/>
          </w:tcPr>
          <w:p w14:paraId="558A9D20" w14:textId="77777777" w:rsidR="00AB205D" w:rsidRPr="0025799A" w:rsidRDefault="00471A3B" w:rsidP="00471A3B">
            <w:pPr>
              <w:spacing w:after="0"/>
              <w:cnfStyle w:val="000000000000" w:firstRow="0" w:lastRow="0" w:firstColumn="0" w:lastColumn="0" w:oddVBand="0" w:evenVBand="0" w:oddHBand="0" w:evenHBand="0" w:firstRowFirstColumn="0" w:firstRowLastColumn="0" w:lastRowFirstColumn="0" w:lastRowLastColumn="0"/>
              <w:rPr>
                <w:color w:val="000000"/>
                <w:highlight w:val="magenta"/>
                <w:lang w:eastAsia="en-AU"/>
              </w:rPr>
            </w:pPr>
            <w:r w:rsidRPr="009005D2">
              <w:t xml:space="preserve"> </w:t>
            </w:r>
            <w:r w:rsidRPr="00A40554">
              <w:t>70</w:t>
            </w:r>
          </w:p>
        </w:tc>
      </w:tr>
      <w:tr w:rsidR="009C6724" w:rsidRPr="00031635" w14:paraId="07469FAE" w14:textId="77777777" w:rsidTr="009C6724">
        <w:trPr>
          <w:trHeight w:val="258"/>
        </w:trPr>
        <w:tc>
          <w:tcPr>
            <w:cnfStyle w:val="001000000000" w:firstRow="0" w:lastRow="0" w:firstColumn="1" w:lastColumn="0" w:oddVBand="0" w:evenVBand="0" w:oddHBand="0" w:evenHBand="0" w:firstRowFirstColumn="0" w:firstRowLastColumn="0" w:lastRowFirstColumn="0" w:lastRowLastColumn="0"/>
            <w:tcW w:w="3335" w:type="dxa"/>
            <w:noWrap/>
            <w:hideMark/>
          </w:tcPr>
          <w:p w14:paraId="33EEA3F2" w14:textId="77777777" w:rsidR="00AB205D" w:rsidRPr="00031635" w:rsidRDefault="00471A3B" w:rsidP="00471A3B">
            <w:pPr>
              <w:spacing w:after="0"/>
              <w:rPr>
                <w:lang w:eastAsia="en-AU"/>
              </w:rPr>
            </w:pPr>
            <w:r w:rsidRPr="00031635">
              <w:rPr>
                <w:lang w:eastAsia="en-AU"/>
              </w:rPr>
              <w:t>Motor vehicle taxes</w:t>
            </w:r>
          </w:p>
        </w:tc>
        <w:tc>
          <w:tcPr>
            <w:tcW w:w="1226" w:type="dxa"/>
            <w:noWrap/>
            <w:hideMark/>
          </w:tcPr>
          <w:p w14:paraId="65143834" w14:textId="77777777" w:rsidR="00AB205D" w:rsidRPr="00031635" w:rsidRDefault="00471A3B" w:rsidP="00471A3B">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D35947">
              <w:t xml:space="preserve"> </w:t>
            </w:r>
            <w:r w:rsidRPr="00A40554">
              <w:t>208</w:t>
            </w:r>
          </w:p>
        </w:tc>
        <w:tc>
          <w:tcPr>
            <w:tcW w:w="1050" w:type="dxa"/>
            <w:noWrap/>
            <w:hideMark/>
          </w:tcPr>
          <w:p w14:paraId="53BD130F" w14:textId="77777777" w:rsidR="00AB205D" w:rsidRPr="00031635" w:rsidRDefault="00471A3B" w:rsidP="00471A3B">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D35947">
              <w:t xml:space="preserve"> </w:t>
            </w:r>
            <w:r w:rsidRPr="00A40554">
              <w:t>219</w:t>
            </w:r>
          </w:p>
        </w:tc>
        <w:tc>
          <w:tcPr>
            <w:tcW w:w="1050" w:type="dxa"/>
            <w:noWrap/>
            <w:hideMark/>
          </w:tcPr>
          <w:p w14:paraId="1790FD12" w14:textId="77777777" w:rsidR="00AB205D" w:rsidRPr="00031635" w:rsidRDefault="00471A3B" w:rsidP="00471A3B">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D35947">
              <w:t xml:space="preserve"> </w:t>
            </w:r>
            <w:r w:rsidRPr="00A40554">
              <w:t>234</w:t>
            </w:r>
          </w:p>
        </w:tc>
        <w:tc>
          <w:tcPr>
            <w:tcW w:w="1050" w:type="dxa"/>
            <w:noWrap/>
            <w:hideMark/>
          </w:tcPr>
          <w:p w14:paraId="30494E1E" w14:textId="77777777" w:rsidR="00AB205D" w:rsidRPr="00031635" w:rsidRDefault="00471A3B" w:rsidP="00471A3B">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D35947">
              <w:t xml:space="preserve"> </w:t>
            </w:r>
            <w:r w:rsidRPr="00A40554">
              <w:t>253</w:t>
            </w:r>
          </w:p>
        </w:tc>
      </w:tr>
      <w:tr w:rsidR="009C6724" w:rsidRPr="00031635" w14:paraId="109F8967" w14:textId="77777777" w:rsidTr="009C6724">
        <w:trPr>
          <w:trHeight w:val="258"/>
        </w:trPr>
        <w:tc>
          <w:tcPr>
            <w:cnfStyle w:val="001000000000" w:firstRow="0" w:lastRow="0" w:firstColumn="1" w:lastColumn="0" w:oddVBand="0" w:evenVBand="0" w:oddHBand="0" w:evenHBand="0" w:firstRowFirstColumn="0" w:firstRowLastColumn="0" w:lastRowFirstColumn="0" w:lastRowLastColumn="0"/>
            <w:tcW w:w="3335" w:type="dxa"/>
            <w:noWrap/>
            <w:hideMark/>
          </w:tcPr>
          <w:p w14:paraId="3B689454" w14:textId="77777777" w:rsidR="00AB205D" w:rsidRPr="00031635" w:rsidRDefault="00471A3B" w:rsidP="00471A3B">
            <w:pPr>
              <w:spacing w:after="0"/>
              <w:rPr>
                <w:lang w:eastAsia="en-AU"/>
              </w:rPr>
            </w:pPr>
            <w:r w:rsidRPr="00031635">
              <w:rPr>
                <w:lang w:eastAsia="en-AU"/>
              </w:rPr>
              <w:t>Land transfer duties</w:t>
            </w:r>
          </w:p>
        </w:tc>
        <w:tc>
          <w:tcPr>
            <w:tcW w:w="1226" w:type="dxa"/>
            <w:noWrap/>
            <w:hideMark/>
          </w:tcPr>
          <w:p w14:paraId="360F243F" w14:textId="77777777" w:rsidR="00AB205D" w:rsidRPr="00031635" w:rsidRDefault="00471A3B" w:rsidP="00471A3B">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t xml:space="preserve">1 </w:t>
            </w:r>
            <w:r w:rsidRPr="005D33C6">
              <w:t>438</w:t>
            </w:r>
          </w:p>
        </w:tc>
        <w:tc>
          <w:tcPr>
            <w:tcW w:w="1050" w:type="dxa"/>
            <w:noWrap/>
            <w:hideMark/>
          </w:tcPr>
          <w:p w14:paraId="7DEE5488" w14:textId="77777777" w:rsidR="00AB205D" w:rsidRPr="00031635" w:rsidRDefault="00471A3B" w:rsidP="00471A3B">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t xml:space="preserve">1 </w:t>
            </w:r>
            <w:r w:rsidRPr="005D33C6">
              <w:t>554</w:t>
            </w:r>
          </w:p>
        </w:tc>
        <w:tc>
          <w:tcPr>
            <w:tcW w:w="1050" w:type="dxa"/>
            <w:noWrap/>
            <w:hideMark/>
          </w:tcPr>
          <w:p w14:paraId="3B2DE8D5" w14:textId="77777777" w:rsidR="00AB205D" w:rsidRPr="00031635" w:rsidRDefault="00471A3B" w:rsidP="00471A3B">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t xml:space="preserve">1 </w:t>
            </w:r>
            <w:r w:rsidRPr="005D33C6">
              <w:t>637</w:t>
            </w:r>
          </w:p>
        </w:tc>
        <w:tc>
          <w:tcPr>
            <w:tcW w:w="1050" w:type="dxa"/>
            <w:noWrap/>
            <w:hideMark/>
          </w:tcPr>
          <w:p w14:paraId="6B49FDEE" w14:textId="77777777" w:rsidR="00AB205D" w:rsidRPr="00031635" w:rsidRDefault="00471A3B" w:rsidP="00471A3B">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t xml:space="preserve">1 </w:t>
            </w:r>
            <w:r w:rsidRPr="005D33C6">
              <w:t>710</w:t>
            </w:r>
          </w:p>
        </w:tc>
      </w:tr>
      <w:tr w:rsidR="009C6724" w:rsidRPr="00031635" w14:paraId="55664480" w14:textId="77777777" w:rsidTr="009C6724">
        <w:trPr>
          <w:trHeight w:val="258"/>
        </w:trPr>
        <w:tc>
          <w:tcPr>
            <w:cnfStyle w:val="001000000000" w:firstRow="0" w:lastRow="0" w:firstColumn="1" w:lastColumn="0" w:oddVBand="0" w:evenVBand="0" w:oddHBand="0" w:evenHBand="0" w:firstRowFirstColumn="0" w:firstRowLastColumn="0" w:lastRowFirstColumn="0" w:lastRowLastColumn="0"/>
            <w:tcW w:w="3335" w:type="dxa"/>
            <w:noWrap/>
            <w:hideMark/>
          </w:tcPr>
          <w:p w14:paraId="5366E44C" w14:textId="77777777" w:rsidR="00AB205D" w:rsidRPr="00031635" w:rsidRDefault="00471A3B" w:rsidP="00471A3B">
            <w:pPr>
              <w:spacing w:after="0"/>
              <w:rPr>
                <w:color w:val="000000"/>
                <w:lang w:eastAsia="en-AU"/>
              </w:rPr>
            </w:pPr>
            <w:r w:rsidRPr="00031635">
              <w:rPr>
                <w:color w:val="000000"/>
                <w:lang w:eastAsia="en-AU"/>
              </w:rPr>
              <w:t>Congestion levy</w:t>
            </w:r>
          </w:p>
        </w:tc>
        <w:tc>
          <w:tcPr>
            <w:tcW w:w="1226" w:type="dxa"/>
            <w:noWrap/>
            <w:hideMark/>
          </w:tcPr>
          <w:p w14:paraId="2D511413" w14:textId="77777777" w:rsidR="00AB205D" w:rsidRPr="00031635" w:rsidRDefault="00471A3B" w:rsidP="00471A3B">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6E794C">
              <w:t xml:space="preserve"> </w:t>
            </w:r>
            <w:r w:rsidRPr="00A40554">
              <w:t>72</w:t>
            </w:r>
          </w:p>
        </w:tc>
        <w:tc>
          <w:tcPr>
            <w:tcW w:w="1050" w:type="dxa"/>
            <w:noWrap/>
            <w:hideMark/>
          </w:tcPr>
          <w:p w14:paraId="1A7BD5ED" w14:textId="77777777" w:rsidR="00AB205D" w:rsidRPr="00031635" w:rsidRDefault="00471A3B" w:rsidP="00471A3B">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6E794C">
              <w:t xml:space="preserve"> </w:t>
            </w:r>
            <w:r w:rsidRPr="00A40554">
              <w:t>74</w:t>
            </w:r>
          </w:p>
        </w:tc>
        <w:tc>
          <w:tcPr>
            <w:tcW w:w="1050" w:type="dxa"/>
            <w:noWrap/>
            <w:hideMark/>
          </w:tcPr>
          <w:p w14:paraId="1BCAA158" w14:textId="77777777" w:rsidR="00AB205D" w:rsidRPr="00031635" w:rsidRDefault="00471A3B" w:rsidP="00471A3B">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6E794C">
              <w:t xml:space="preserve"> </w:t>
            </w:r>
            <w:r w:rsidRPr="00A40554">
              <w:t>76</w:t>
            </w:r>
          </w:p>
        </w:tc>
        <w:tc>
          <w:tcPr>
            <w:tcW w:w="1050" w:type="dxa"/>
            <w:noWrap/>
            <w:hideMark/>
          </w:tcPr>
          <w:p w14:paraId="479C61F1" w14:textId="77777777" w:rsidR="00AB205D" w:rsidRPr="00031635" w:rsidRDefault="00471A3B" w:rsidP="00471A3B">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6E794C">
              <w:t xml:space="preserve"> </w:t>
            </w:r>
            <w:r w:rsidRPr="00A40554">
              <w:t>78</w:t>
            </w:r>
          </w:p>
        </w:tc>
      </w:tr>
      <w:tr w:rsidR="009C6724" w:rsidRPr="00031635" w14:paraId="420A10FB" w14:textId="77777777" w:rsidTr="009C6724">
        <w:trPr>
          <w:trHeight w:val="258"/>
        </w:trPr>
        <w:tc>
          <w:tcPr>
            <w:cnfStyle w:val="001000000000" w:firstRow="0" w:lastRow="0" w:firstColumn="1" w:lastColumn="0" w:oddVBand="0" w:evenVBand="0" w:oddHBand="0" w:evenHBand="0" w:firstRowFirstColumn="0" w:firstRowLastColumn="0" w:lastRowFirstColumn="0" w:lastRowLastColumn="0"/>
            <w:tcW w:w="3335" w:type="dxa"/>
            <w:noWrap/>
          </w:tcPr>
          <w:p w14:paraId="4F5EB632" w14:textId="77777777" w:rsidR="00AB205D" w:rsidRPr="00031635" w:rsidRDefault="00471A3B" w:rsidP="00471A3B">
            <w:pPr>
              <w:spacing w:after="0"/>
              <w:rPr>
                <w:color w:val="000000"/>
                <w:lang w:eastAsia="en-AU"/>
              </w:rPr>
            </w:pPr>
            <w:r w:rsidRPr="00031635">
              <w:rPr>
                <w:lang w:eastAsia="en-AU"/>
              </w:rPr>
              <w:t>Mental Health and Wellbeing Levy</w:t>
            </w:r>
          </w:p>
        </w:tc>
        <w:tc>
          <w:tcPr>
            <w:tcW w:w="1226" w:type="dxa"/>
            <w:noWrap/>
          </w:tcPr>
          <w:p w14:paraId="7F8071E1" w14:textId="77777777" w:rsidR="00AB205D" w:rsidRPr="004A2022" w:rsidRDefault="00471A3B" w:rsidP="00471A3B">
            <w:pPr>
              <w:spacing w:after="0"/>
              <w:cnfStyle w:val="000000000000" w:firstRow="0" w:lastRow="0" w:firstColumn="0" w:lastColumn="0" w:oddVBand="0" w:evenVBand="0" w:oddHBand="0" w:evenHBand="0" w:firstRowFirstColumn="0" w:firstRowLastColumn="0" w:lastRowFirstColumn="0" w:lastRowLastColumn="0"/>
            </w:pPr>
            <w:r w:rsidRPr="004A21F0">
              <w:t xml:space="preserve"> </w:t>
            </w:r>
            <w:r w:rsidRPr="00A40554">
              <w:t>103</w:t>
            </w:r>
          </w:p>
        </w:tc>
        <w:tc>
          <w:tcPr>
            <w:tcW w:w="1050" w:type="dxa"/>
            <w:noWrap/>
          </w:tcPr>
          <w:p w14:paraId="7D9DBD25" w14:textId="77777777" w:rsidR="00AB205D" w:rsidRPr="004A2022" w:rsidRDefault="00471A3B" w:rsidP="00471A3B">
            <w:pPr>
              <w:spacing w:after="0"/>
              <w:cnfStyle w:val="000000000000" w:firstRow="0" w:lastRow="0" w:firstColumn="0" w:lastColumn="0" w:oddVBand="0" w:evenVBand="0" w:oddHBand="0" w:evenHBand="0" w:firstRowFirstColumn="0" w:firstRowLastColumn="0" w:lastRowFirstColumn="0" w:lastRowLastColumn="0"/>
            </w:pPr>
            <w:r w:rsidRPr="004A21F0">
              <w:t xml:space="preserve"> </w:t>
            </w:r>
            <w:r w:rsidRPr="00A40554">
              <w:t>99</w:t>
            </w:r>
          </w:p>
        </w:tc>
        <w:tc>
          <w:tcPr>
            <w:tcW w:w="1050" w:type="dxa"/>
            <w:noWrap/>
          </w:tcPr>
          <w:p w14:paraId="276E30C0" w14:textId="77777777" w:rsidR="00AB205D" w:rsidRPr="004A2022" w:rsidRDefault="00471A3B" w:rsidP="00471A3B">
            <w:pPr>
              <w:spacing w:after="0"/>
              <w:cnfStyle w:val="000000000000" w:firstRow="0" w:lastRow="0" w:firstColumn="0" w:lastColumn="0" w:oddVBand="0" w:evenVBand="0" w:oddHBand="0" w:evenHBand="0" w:firstRowFirstColumn="0" w:firstRowLastColumn="0" w:lastRowFirstColumn="0" w:lastRowLastColumn="0"/>
            </w:pPr>
            <w:r w:rsidRPr="004A21F0">
              <w:t xml:space="preserve"> </w:t>
            </w:r>
            <w:r w:rsidRPr="00A40554">
              <w:t>105</w:t>
            </w:r>
          </w:p>
        </w:tc>
        <w:tc>
          <w:tcPr>
            <w:tcW w:w="1050" w:type="dxa"/>
            <w:noWrap/>
          </w:tcPr>
          <w:p w14:paraId="4950F66A" w14:textId="77777777" w:rsidR="00AB205D" w:rsidRPr="004A2022" w:rsidRDefault="00471A3B" w:rsidP="00471A3B">
            <w:pPr>
              <w:spacing w:after="0"/>
              <w:cnfStyle w:val="000000000000" w:firstRow="0" w:lastRow="0" w:firstColumn="0" w:lastColumn="0" w:oddVBand="0" w:evenVBand="0" w:oddHBand="0" w:evenHBand="0" w:firstRowFirstColumn="0" w:firstRowLastColumn="0" w:lastRowFirstColumn="0" w:lastRowLastColumn="0"/>
            </w:pPr>
            <w:r w:rsidRPr="004A21F0">
              <w:t xml:space="preserve"> </w:t>
            </w:r>
            <w:r w:rsidRPr="00A40554">
              <w:t>112</w:t>
            </w:r>
          </w:p>
        </w:tc>
      </w:tr>
      <w:tr w:rsidR="009C6724" w:rsidRPr="00031635" w14:paraId="575317A1" w14:textId="77777777" w:rsidTr="009C6724">
        <w:trPr>
          <w:trHeight w:val="258"/>
        </w:trPr>
        <w:tc>
          <w:tcPr>
            <w:cnfStyle w:val="001000000000" w:firstRow="0" w:lastRow="0" w:firstColumn="1" w:lastColumn="0" w:oddVBand="0" w:evenVBand="0" w:oddHBand="0" w:evenHBand="0" w:firstRowFirstColumn="0" w:firstRowLastColumn="0" w:lastRowFirstColumn="0" w:lastRowLastColumn="0"/>
            <w:tcW w:w="3335" w:type="dxa"/>
            <w:noWrap/>
          </w:tcPr>
          <w:p w14:paraId="173A4A2C" w14:textId="77777777" w:rsidR="00AB205D" w:rsidRPr="00031635" w:rsidRDefault="00471A3B" w:rsidP="00471A3B">
            <w:pPr>
              <w:spacing w:after="0"/>
              <w:rPr>
                <w:color w:val="000000"/>
                <w:lang w:eastAsia="en-AU"/>
              </w:rPr>
            </w:pPr>
            <w:r w:rsidRPr="007E29D9">
              <w:rPr>
                <w:color w:val="000000"/>
                <w:lang w:eastAsia="en-AU"/>
              </w:rPr>
              <w:t>Insurance duty</w:t>
            </w:r>
            <w:r>
              <w:rPr>
                <w:color w:val="000000"/>
                <w:lang w:eastAsia="en-AU"/>
              </w:rPr>
              <w:t xml:space="preserve"> </w:t>
            </w:r>
            <w:r w:rsidRPr="00E90AEA">
              <w:rPr>
                <w:vertAlign w:val="superscript"/>
              </w:rPr>
              <w:t>(</w:t>
            </w:r>
            <w:r>
              <w:rPr>
                <w:vertAlign w:val="superscript"/>
              </w:rPr>
              <w:t>c</w:t>
            </w:r>
            <w:r w:rsidRPr="00E90AEA">
              <w:rPr>
                <w:vertAlign w:val="superscript"/>
              </w:rPr>
              <w:t>)</w:t>
            </w:r>
          </w:p>
        </w:tc>
        <w:tc>
          <w:tcPr>
            <w:tcW w:w="1226" w:type="dxa"/>
            <w:noWrap/>
          </w:tcPr>
          <w:p w14:paraId="323C3D6C" w14:textId="77777777" w:rsidR="00AB205D" w:rsidRPr="00031635" w:rsidRDefault="00471A3B" w:rsidP="00471A3B">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5E16CC">
              <w:t xml:space="preserve"> </w:t>
            </w:r>
            <w:r w:rsidRPr="00A40554">
              <w:t>732</w:t>
            </w:r>
          </w:p>
        </w:tc>
        <w:tc>
          <w:tcPr>
            <w:tcW w:w="1050" w:type="dxa"/>
            <w:noWrap/>
          </w:tcPr>
          <w:p w14:paraId="4C0D1DFE" w14:textId="77777777" w:rsidR="00AB205D" w:rsidRPr="00031635" w:rsidRDefault="00471A3B" w:rsidP="00471A3B">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5E16CC">
              <w:t xml:space="preserve"> </w:t>
            </w:r>
            <w:r w:rsidRPr="00A40554">
              <w:t>807</w:t>
            </w:r>
          </w:p>
        </w:tc>
        <w:tc>
          <w:tcPr>
            <w:tcW w:w="1050" w:type="dxa"/>
            <w:noWrap/>
          </w:tcPr>
          <w:p w14:paraId="2E44773C" w14:textId="77777777" w:rsidR="00AB205D" w:rsidRPr="00031635" w:rsidRDefault="00471A3B" w:rsidP="00471A3B">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5E16CC">
              <w:t xml:space="preserve"> </w:t>
            </w:r>
            <w:r w:rsidRPr="00A40554">
              <w:t>894</w:t>
            </w:r>
          </w:p>
        </w:tc>
        <w:tc>
          <w:tcPr>
            <w:tcW w:w="1050" w:type="dxa"/>
            <w:noWrap/>
          </w:tcPr>
          <w:p w14:paraId="139F0A19" w14:textId="77777777" w:rsidR="00AB205D" w:rsidRPr="00031635" w:rsidRDefault="00471A3B" w:rsidP="00471A3B">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5E16CC">
              <w:t xml:space="preserve"> </w:t>
            </w:r>
            <w:r w:rsidRPr="00A40554">
              <w:t>994</w:t>
            </w:r>
          </w:p>
        </w:tc>
      </w:tr>
      <w:tr w:rsidR="009C6724" w:rsidRPr="00031635" w14:paraId="0C42008C" w14:textId="77777777" w:rsidTr="009C6724">
        <w:trPr>
          <w:trHeight w:val="258"/>
        </w:trPr>
        <w:tc>
          <w:tcPr>
            <w:cnfStyle w:val="001000000000" w:firstRow="0" w:lastRow="0" w:firstColumn="1" w:lastColumn="0" w:oddVBand="0" w:evenVBand="0" w:oddHBand="0" w:evenHBand="0" w:firstRowFirstColumn="0" w:firstRowLastColumn="0" w:lastRowFirstColumn="0" w:lastRowLastColumn="0"/>
            <w:tcW w:w="3335" w:type="dxa"/>
            <w:noWrap/>
          </w:tcPr>
          <w:p w14:paraId="29BE5E52" w14:textId="77777777" w:rsidR="00AB205D" w:rsidRPr="007E29D9" w:rsidRDefault="00471A3B" w:rsidP="00471A3B">
            <w:pPr>
              <w:spacing w:after="0"/>
              <w:rPr>
                <w:color w:val="000000"/>
                <w:lang w:eastAsia="en-AU"/>
              </w:rPr>
            </w:pPr>
            <w:r w:rsidRPr="00156E93">
              <w:rPr>
                <w:color w:val="000000"/>
                <w:lang w:eastAsia="en-AU"/>
              </w:rPr>
              <w:t xml:space="preserve">COVID Debt </w:t>
            </w:r>
            <w:r>
              <w:rPr>
                <w:color w:val="000000"/>
                <w:lang w:eastAsia="en-AU"/>
              </w:rPr>
              <w:t>Levy – Payroll $10m+</w:t>
            </w:r>
          </w:p>
        </w:tc>
        <w:tc>
          <w:tcPr>
            <w:tcW w:w="1226" w:type="dxa"/>
            <w:noWrap/>
          </w:tcPr>
          <w:p w14:paraId="073539AC" w14:textId="77777777" w:rsidR="00AB205D" w:rsidRPr="005E16CC" w:rsidRDefault="00471A3B" w:rsidP="00471A3B">
            <w:pPr>
              <w:spacing w:after="0"/>
              <w:cnfStyle w:val="000000000000" w:firstRow="0" w:lastRow="0" w:firstColumn="0" w:lastColumn="0" w:oddVBand="0" w:evenVBand="0" w:oddHBand="0" w:evenHBand="0" w:firstRowFirstColumn="0" w:firstRowLastColumn="0" w:lastRowFirstColumn="0" w:lastRowLastColumn="0"/>
            </w:pPr>
            <w:r w:rsidRPr="00A40554">
              <w:t xml:space="preserve"> 94</w:t>
            </w:r>
          </w:p>
        </w:tc>
        <w:tc>
          <w:tcPr>
            <w:tcW w:w="1050" w:type="dxa"/>
            <w:noWrap/>
          </w:tcPr>
          <w:p w14:paraId="1FF232B5" w14:textId="77777777" w:rsidR="00AB205D" w:rsidRPr="005E16CC" w:rsidRDefault="00471A3B" w:rsidP="00471A3B">
            <w:pPr>
              <w:spacing w:after="0"/>
              <w:cnfStyle w:val="000000000000" w:firstRow="0" w:lastRow="0" w:firstColumn="0" w:lastColumn="0" w:oddVBand="0" w:evenVBand="0" w:oddHBand="0" w:evenHBand="0" w:firstRowFirstColumn="0" w:firstRowLastColumn="0" w:lastRowFirstColumn="0" w:lastRowLastColumn="0"/>
            </w:pPr>
            <w:r w:rsidRPr="00A40554">
              <w:t xml:space="preserve"> 99</w:t>
            </w:r>
          </w:p>
        </w:tc>
        <w:tc>
          <w:tcPr>
            <w:tcW w:w="1050" w:type="dxa"/>
            <w:noWrap/>
          </w:tcPr>
          <w:p w14:paraId="29901E93" w14:textId="77777777" w:rsidR="00AB205D" w:rsidRPr="005E16CC" w:rsidRDefault="00471A3B" w:rsidP="00471A3B">
            <w:pPr>
              <w:spacing w:after="0"/>
              <w:cnfStyle w:val="000000000000" w:firstRow="0" w:lastRow="0" w:firstColumn="0" w:lastColumn="0" w:oddVBand="0" w:evenVBand="0" w:oddHBand="0" w:evenHBand="0" w:firstRowFirstColumn="0" w:firstRowLastColumn="0" w:lastRowFirstColumn="0" w:lastRowLastColumn="0"/>
            </w:pPr>
            <w:r w:rsidRPr="00A40554">
              <w:t xml:space="preserve"> 105</w:t>
            </w:r>
          </w:p>
        </w:tc>
        <w:tc>
          <w:tcPr>
            <w:tcW w:w="1050" w:type="dxa"/>
            <w:noWrap/>
          </w:tcPr>
          <w:p w14:paraId="18F1B88F" w14:textId="77777777" w:rsidR="00AB205D" w:rsidRPr="005E16CC" w:rsidRDefault="00471A3B" w:rsidP="00471A3B">
            <w:pPr>
              <w:spacing w:after="0"/>
              <w:cnfStyle w:val="000000000000" w:firstRow="0" w:lastRow="0" w:firstColumn="0" w:lastColumn="0" w:oddVBand="0" w:evenVBand="0" w:oddHBand="0" w:evenHBand="0" w:firstRowFirstColumn="0" w:firstRowLastColumn="0" w:lastRowFirstColumn="0" w:lastRowLastColumn="0"/>
            </w:pPr>
            <w:r w:rsidRPr="00A40554">
              <w:t xml:space="preserve"> 112</w:t>
            </w:r>
          </w:p>
        </w:tc>
      </w:tr>
      <w:tr w:rsidR="009C6724" w:rsidRPr="00031635" w14:paraId="17414291" w14:textId="77777777" w:rsidTr="009C6724">
        <w:trPr>
          <w:cnfStyle w:val="010000000000" w:firstRow="0" w:lastRow="1"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335" w:type="dxa"/>
            <w:hideMark/>
          </w:tcPr>
          <w:p w14:paraId="5B1BAFFB" w14:textId="77777777" w:rsidR="00AB205D" w:rsidRPr="00031635" w:rsidRDefault="00471A3B" w:rsidP="00471A3B">
            <w:pPr>
              <w:spacing w:after="0"/>
              <w:rPr>
                <w:bCs/>
                <w:lang w:eastAsia="en-AU"/>
              </w:rPr>
            </w:pPr>
            <w:r w:rsidRPr="00031635">
              <w:rPr>
                <w:bCs/>
                <w:lang w:eastAsia="en-AU"/>
              </w:rPr>
              <w:t>Total estimated tax expenditures</w:t>
            </w:r>
          </w:p>
        </w:tc>
        <w:tc>
          <w:tcPr>
            <w:tcW w:w="1226" w:type="dxa"/>
            <w:noWrap/>
            <w:hideMark/>
          </w:tcPr>
          <w:p w14:paraId="503B2811" w14:textId="77777777" w:rsidR="00AB205D" w:rsidRPr="0025799A" w:rsidRDefault="00471A3B" w:rsidP="00471A3B">
            <w:pPr>
              <w:spacing w:after="0"/>
              <w:cnfStyle w:val="010000000000" w:firstRow="0" w:lastRow="1" w:firstColumn="0" w:lastColumn="0" w:oddVBand="0" w:evenVBand="0" w:oddHBand="0" w:evenHBand="0" w:firstRowFirstColumn="0" w:firstRowLastColumn="0" w:lastRowFirstColumn="0" w:lastRowLastColumn="0"/>
              <w:rPr>
                <w:bCs/>
                <w:color w:val="000000"/>
                <w:highlight w:val="magenta"/>
                <w:lang w:eastAsia="en-AU"/>
              </w:rPr>
            </w:pPr>
            <w:r w:rsidRPr="00A40554">
              <w:t xml:space="preserve">20 </w:t>
            </w:r>
            <w:r w:rsidRPr="005B385D">
              <w:t>244</w:t>
            </w:r>
          </w:p>
        </w:tc>
        <w:tc>
          <w:tcPr>
            <w:tcW w:w="1050" w:type="dxa"/>
            <w:noWrap/>
            <w:hideMark/>
          </w:tcPr>
          <w:p w14:paraId="087D05FF" w14:textId="77777777" w:rsidR="00AB205D" w:rsidRPr="0025799A" w:rsidRDefault="00471A3B" w:rsidP="00471A3B">
            <w:pPr>
              <w:spacing w:after="0"/>
              <w:cnfStyle w:val="010000000000" w:firstRow="0" w:lastRow="1" w:firstColumn="0" w:lastColumn="0" w:oddVBand="0" w:evenVBand="0" w:oddHBand="0" w:evenHBand="0" w:firstRowFirstColumn="0" w:firstRowLastColumn="0" w:lastRowFirstColumn="0" w:lastRowLastColumn="0"/>
              <w:rPr>
                <w:bCs/>
                <w:color w:val="000000"/>
                <w:highlight w:val="magenta"/>
                <w:lang w:eastAsia="en-AU"/>
              </w:rPr>
            </w:pPr>
            <w:r w:rsidRPr="005B385D">
              <w:t>20 678</w:t>
            </w:r>
          </w:p>
        </w:tc>
        <w:tc>
          <w:tcPr>
            <w:tcW w:w="1050" w:type="dxa"/>
            <w:noWrap/>
            <w:hideMark/>
          </w:tcPr>
          <w:p w14:paraId="3F5BB7BE" w14:textId="77777777" w:rsidR="00AB205D" w:rsidRPr="0025799A" w:rsidRDefault="00471A3B" w:rsidP="00471A3B">
            <w:pPr>
              <w:spacing w:after="0"/>
              <w:cnfStyle w:val="010000000000" w:firstRow="0" w:lastRow="1" w:firstColumn="0" w:lastColumn="0" w:oddVBand="0" w:evenVBand="0" w:oddHBand="0" w:evenHBand="0" w:firstRowFirstColumn="0" w:firstRowLastColumn="0" w:lastRowFirstColumn="0" w:lastRowLastColumn="0"/>
              <w:rPr>
                <w:bCs/>
                <w:color w:val="000000"/>
                <w:highlight w:val="magenta"/>
                <w:lang w:eastAsia="en-AU"/>
              </w:rPr>
            </w:pPr>
            <w:r w:rsidRPr="00A40554">
              <w:t xml:space="preserve">21 </w:t>
            </w:r>
            <w:r w:rsidRPr="005B385D">
              <w:t>298</w:t>
            </w:r>
          </w:p>
        </w:tc>
        <w:tc>
          <w:tcPr>
            <w:tcW w:w="1050" w:type="dxa"/>
            <w:noWrap/>
            <w:hideMark/>
          </w:tcPr>
          <w:p w14:paraId="3CA4BF07" w14:textId="77777777" w:rsidR="00AB205D" w:rsidRPr="009208C9" w:rsidRDefault="00471A3B" w:rsidP="00471A3B">
            <w:pPr>
              <w:spacing w:after="0"/>
              <w:cnfStyle w:val="010000000000" w:firstRow="0" w:lastRow="1" w:firstColumn="0" w:lastColumn="0" w:oddVBand="0" w:evenVBand="0" w:oddHBand="0" w:evenHBand="0" w:firstRowFirstColumn="0" w:firstRowLastColumn="0" w:lastRowFirstColumn="0" w:lastRowLastColumn="0"/>
              <w:rPr>
                <w:bCs/>
                <w:color w:val="000000"/>
                <w:lang w:eastAsia="en-AU"/>
              </w:rPr>
            </w:pPr>
            <w:r w:rsidRPr="00A40554">
              <w:t xml:space="preserve">22 </w:t>
            </w:r>
            <w:r w:rsidRPr="005B385D">
              <w:t>303</w:t>
            </w:r>
          </w:p>
        </w:tc>
      </w:tr>
    </w:tbl>
    <w:p w14:paraId="3DA3720B" w14:textId="77777777" w:rsidR="00AB205D" w:rsidRDefault="00471A3B">
      <w:pPr>
        <w:pStyle w:val="Note"/>
      </w:pPr>
      <w:r>
        <w:t>Notes:</w:t>
      </w:r>
    </w:p>
    <w:p w14:paraId="425AE0C5" w14:textId="77777777" w:rsidR="00AB205D" w:rsidRDefault="00471A3B">
      <w:pPr>
        <w:pStyle w:val="Note"/>
      </w:pPr>
      <w:r>
        <w:t xml:space="preserve">(a) </w:t>
      </w:r>
      <w:r>
        <w:tab/>
        <w:t>All amounts have been rounded to the nearest $1 million unless otherwise stated. Figures may not add due to rounding.</w:t>
      </w:r>
    </w:p>
    <w:p w14:paraId="336DB810" w14:textId="77777777" w:rsidR="00AB205D" w:rsidRDefault="00471A3B">
      <w:pPr>
        <w:pStyle w:val="Note"/>
      </w:pPr>
      <w:r>
        <w:t xml:space="preserve">(b) </w:t>
      </w:r>
      <w:r>
        <w:tab/>
      </w:r>
      <w:r w:rsidRPr="00C454DF">
        <w:t xml:space="preserve">The increase in land tax expenditures since </w:t>
      </w:r>
      <w:r w:rsidRPr="0003458F">
        <w:rPr>
          <w:i w:val="0"/>
        </w:rPr>
        <w:t xml:space="preserve">the 2023-24 </w:t>
      </w:r>
      <w:r w:rsidRPr="0003458F">
        <w:rPr>
          <w:i w:val="0"/>
          <w:iCs/>
        </w:rPr>
        <w:t>Budget</w:t>
      </w:r>
      <w:r w:rsidRPr="00AF403A">
        <w:t xml:space="preserve"> </w:t>
      </w:r>
      <w:r w:rsidRPr="00C454DF">
        <w:t>largely reflects updated revenue information.</w:t>
      </w:r>
    </w:p>
    <w:p w14:paraId="133B1721" w14:textId="77777777" w:rsidR="00AB205D" w:rsidRDefault="00471A3B">
      <w:pPr>
        <w:pStyle w:val="Note"/>
      </w:pPr>
      <w:r>
        <w:t xml:space="preserve">(c)  </w:t>
      </w:r>
      <w:r>
        <w:tab/>
      </w:r>
      <w:r w:rsidRPr="00697786">
        <w:t xml:space="preserve">In </w:t>
      </w:r>
      <w:r w:rsidRPr="0003458F">
        <w:rPr>
          <w:i w:val="0"/>
        </w:rPr>
        <w:t>the 2023-24 Budget,</w:t>
      </w:r>
      <w:r w:rsidRPr="00697786">
        <w:t xml:space="preserve"> the </w:t>
      </w:r>
      <w:r>
        <w:t>G</w:t>
      </w:r>
      <w:r w:rsidRPr="00697786">
        <w:t>overnment increased the average WorkCover premium</w:t>
      </w:r>
      <w:r>
        <w:t xml:space="preserve"> rate</w:t>
      </w:r>
      <w:r w:rsidRPr="00697786">
        <w:t xml:space="preserve"> from 1.27</w:t>
      </w:r>
      <w:r>
        <w:t>2 per cent</w:t>
      </w:r>
      <w:r w:rsidRPr="00697786">
        <w:t xml:space="preserve"> to 1.8</w:t>
      </w:r>
      <w:r>
        <w:t xml:space="preserve"> per cent</w:t>
      </w:r>
      <w:r w:rsidRPr="00697786">
        <w:t xml:space="preserve">. </w:t>
      </w:r>
      <w:r>
        <w:t>The i</w:t>
      </w:r>
      <w:r w:rsidRPr="00697786">
        <w:t>ncrease</w:t>
      </w:r>
      <w:r>
        <w:t xml:space="preserve"> is</w:t>
      </w:r>
      <w:r w:rsidRPr="00697786">
        <w:t xml:space="preserve"> also driven by upgrades to payroll forecasts.</w:t>
      </w:r>
    </w:p>
    <w:p w14:paraId="5CF3143E" w14:textId="77777777" w:rsidR="00AB205D" w:rsidRDefault="00471A3B" w:rsidP="00471A3B">
      <w:pPr>
        <w:pStyle w:val="Heading10"/>
        <w:spacing w:before="280"/>
      </w:pPr>
      <w:bookmarkStart w:id="129" w:name="_Toc152933059"/>
      <w:r>
        <w:t>Concessions</w:t>
      </w:r>
      <w:bookmarkEnd w:id="129"/>
    </w:p>
    <w:p w14:paraId="745C84C2" w14:textId="77777777" w:rsidR="00AB205D" w:rsidRDefault="00471A3B" w:rsidP="00471A3B">
      <w:pPr>
        <w:spacing w:before="80" w:line="230" w:lineRule="auto"/>
      </w:pPr>
      <w:r>
        <w:t xml:space="preserve">Concessions are direct budget outlays or reduced government charges that reduce the price of a good or service for particular groups. Over the </w:t>
      </w:r>
      <w:r w:rsidRPr="000F4F34">
        <w:t>decade to 2022</w:t>
      </w:r>
      <w:r>
        <w:noBreakHyphen/>
      </w:r>
      <w:r w:rsidRPr="000F4F34">
        <w:t>23, the</w:t>
      </w:r>
      <w:r>
        <w:t xml:space="preserve"> State </w:t>
      </w:r>
      <w:r w:rsidRPr="00C012C7">
        <w:t>provided $17.5</w:t>
      </w:r>
      <w:r>
        <w:t> </w:t>
      </w:r>
      <w:r w:rsidRPr="00C012C7">
        <w:t>billion in</w:t>
      </w:r>
      <w:r>
        <w:t xml:space="preserve"> </w:t>
      </w:r>
      <w:r w:rsidRPr="00C012C7">
        <w:t>concessions. In 2023</w:t>
      </w:r>
      <w:r>
        <w:noBreakHyphen/>
      </w:r>
      <w:r w:rsidRPr="00C012C7">
        <w:t>24, concessions</w:t>
      </w:r>
      <w:r>
        <w:t xml:space="preserve"> are forecast to be app</w:t>
      </w:r>
      <w:r w:rsidRPr="00C012C7">
        <w:t>roximately $2.2</w:t>
      </w:r>
      <w:r>
        <w:t> </w:t>
      </w:r>
      <w:r w:rsidRPr="00C012C7">
        <w:t>billion.</w:t>
      </w:r>
    </w:p>
    <w:p w14:paraId="1C5DF872" w14:textId="77777777" w:rsidR="00AB205D" w:rsidRDefault="00471A3B" w:rsidP="00471A3B">
      <w:pPr>
        <w:spacing w:before="80" w:line="230" w:lineRule="auto"/>
      </w:pPr>
      <w:r>
        <w:t>Certain characteristics of a consumer, such as possession of a Commonwealth Government pension card or health care card, can be the basis for such entitlements. Concessions allow certain groups in the community to access or purchase important public services such as energy, education, health and transportation at a reduced cost. Table C.2 classifies the major concessions by category.</w:t>
      </w:r>
    </w:p>
    <w:p w14:paraId="5C10EB87" w14:textId="77777777" w:rsidR="00AB205D" w:rsidRDefault="00471A3B" w:rsidP="00471A3B">
      <w:pPr>
        <w:spacing w:before="80" w:line="230" w:lineRule="auto"/>
      </w:pPr>
      <w:r>
        <w:t>Eligible concession card holders receive reduced bills for energy, municipal rates, water and sewerage funded by the State and paid to service providers.</w:t>
      </w:r>
    </w:p>
    <w:p w14:paraId="10288A24" w14:textId="77777777" w:rsidR="00AB205D" w:rsidRDefault="00471A3B" w:rsidP="00471A3B">
      <w:pPr>
        <w:spacing w:before="80" w:line="230" w:lineRule="auto"/>
      </w:pPr>
      <w:r>
        <w:t>Education concessions include concessions for preschool and for vocational education and training.</w:t>
      </w:r>
    </w:p>
    <w:p w14:paraId="7E48305C" w14:textId="77777777" w:rsidR="00AB205D" w:rsidRDefault="00471A3B" w:rsidP="00471A3B">
      <w:pPr>
        <w:spacing w:before="80" w:line="230" w:lineRule="auto"/>
      </w:pPr>
      <w:r>
        <w:t>Hardship schemes include the Utility Relief Grant Scheme and payment to State Trustees through a Community Service Agreement. The Utility Relief Grant Scheme assists Victorians unable to pay utility bills due to temporary financial hardship. State Trustees provide trustee services, including managing the legal and financial affairs of Victorians unable to do so independently.</w:t>
      </w:r>
    </w:p>
    <w:p w14:paraId="32743CD9" w14:textId="77777777" w:rsidR="00AB205D" w:rsidRDefault="00471A3B" w:rsidP="00471A3B">
      <w:pPr>
        <w:spacing w:before="80" w:line="230" w:lineRule="auto"/>
      </w:pPr>
      <w:r>
        <w:t>The social and community services category includes assistance to not</w:t>
      </w:r>
      <w:r>
        <w:noBreakHyphen/>
        <w:t>for</w:t>
      </w:r>
      <w:r>
        <w:noBreakHyphen/>
        <w:t xml:space="preserve">profit organisations such as Bereavement Assistance Limited, the Charity Freight Service and food relief organisations. </w:t>
      </w:r>
    </w:p>
    <w:p w14:paraId="304F1B63" w14:textId="77777777" w:rsidR="00AB205D" w:rsidRDefault="00471A3B" w:rsidP="00471A3B">
      <w:pPr>
        <w:spacing w:before="80" w:line="230" w:lineRule="auto"/>
      </w:pPr>
      <w:r>
        <w:t>Private transport concessions include a discount on Transport Accident Commission premiums, funding of the Multi</w:t>
      </w:r>
      <w:r>
        <w:noBreakHyphen/>
        <w:t>Purpose Taxi Program and vehicle registration discounts through the Victorian Veterans Card initiative.</w:t>
      </w:r>
    </w:p>
    <w:p w14:paraId="65DA7489" w14:textId="77777777" w:rsidR="00AB205D" w:rsidRDefault="00471A3B" w:rsidP="00471A3B">
      <w:pPr>
        <w:spacing w:before="80" w:line="230" w:lineRule="auto"/>
      </w:pPr>
      <w:r>
        <w:t xml:space="preserve">Public transport concessions consist of free travel passes and concessional fares provided to eligible customers to travel free or on discounted fares on the public transport network. </w:t>
      </w:r>
    </w:p>
    <w:p w14:paraId="3C038799" w14:textId="77777777" w:rsidR="00AB205D" w:rsidRDefault="00471A3B">
      <w:pPr>
        <w:pStyle w:val="TableHeading"/>
      </w:pPr>
      <w:r w:rsidRPr="0067799E">
        <w:lastRenderedPageBreak/>
        <w:t>Table C.2:</w:t>
      </w:r>
      <w:r w:rsidRPr="0067799E">
        <w:tab/>
        <w:t xml:space="preserve">Concessions by category </w:t>
      </w:r>
      <w:r w:rsidRPr="0067799E">
        <w:rPr>
          <w:vertAlign w:val="superscript"/>
        </w:rPr>
        <w:t>(a)</w:t>
      </w:r>
      <w:r w:rsidRPr="0067799E">
        <w:tab/>
        <w:t>($</w:t>
      </w:r>
      <w:r>
        <w:t> </w:t>
      </w:r>
      <w:r w:rsidRPr="0067799E">
        <w:t>million)</w:t>
      </w:r>
    </w:p>
    <w:tbl>
      <w:tblPr>
        <w:tblStyle w:val="DTFTableNumeric"/>
        <w:tblW w:w="7728" w:type="dxa"/>
        <w:tblLook w:val="06E0" w:firstRow="1" w:lastRow="1" w:firstColumn="1" w:lastColumn="0" w:noHBand="1" w:noVBand="1"/>
      </w:tblPr>
      <w:tblGrid>
        <w:gridCol w:w="6396"/>
        <w:gridCol w:w="1332"/>
      </w:tblGrid>
      <w:tr w:rsidR="009C6724" w:rsidRPr="00031635" w14:paraId="5D0CD3AE" w14:textId="77777777" w:rsidTr="009C6724">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6396" w:type="dxa"/>
            <w:noWrap/>
            <w:hideMark/>
          </w:tcPr>
          <w:p w14:paraId="6E75B9D8" w14:textId="77777777" w:rsidR="00AB205D" w:rsidRPr="00031635" w:rsidRDefault="00471A3B">
            <w:pPr>
              <w:rPr>
                <w:lang w:eastAsia="en-AU"/>
              </w:rPr>
            </w:pPr>
            <w:r w:rsidRPr="00031635">
              <w:rPr>
                <w:lang w:eastAsia="en-AU"/>
              </w:rPr>
              <w:t>Description</w:t>
            </w:r>
          </w:p>
        </w:tc>
        <w:tc>
          <w:tcPr>
            <w:tcW w:w="1332" w:type="dxa"/>
            <w:noWrap/>
            <w:hideMark/>
          </w:tcPr>
          <w:p w14:paraId="35677553" w14:textId="77777777" w:rsidR="00AB205D" w:rsidRPr="00031635" w:rsidRDefault="00471A3B">
            <w:pPr>
              <w:cnfStyle w:val="100000000000" w:firstRow="1" w:lastRow="0" w:firstColumn="0" w:lastColumn="0" w:oddVBand="0" w:evenVBand="0" w:oddHBand="0" w:evenHBand="0" w:firstRowFirstColumn="0" w:firstRowLastColumn="0" w:lastRowFirstColumn="0" w:lastRowLastColumn="0"/>
              <w:rPr>
                <w:lang w:eastAsia="en-AU"/>
              </w:rPr>
            </w:pPr>
            <w:r w:rsidRPr="008E0316">
              <w:t>20</w:t>
            </w:r>
            <w:r>
              <w:t>23</w:t>
            </w:r>
            <w:r>
              <w:noBreakHyphen/>
              <w:t>24</w:t>
            </w:r>
          </w:p>
        </w:tc>
      </w:tr>
      <w:tr w:rsidR="009C6724" w:rsidRPr="00031635" w14:paraId="5BF1FA15" w14:textId="77777777" w:rsidTr="009C6724">
        <w:trPr>
          <w:trHeight w:val="254"/>
        </w:trPr>
        <w:tc>
          <w:tcPr>
            <w:cnfStyle w:val="001000000000" w:firstRow="0" w:lastRow="0" w:firstColumn="1" w:lastColumn="0" w:oddVBand="0" w:evenVBand="0" w:oddHBand="0" w:evenHBand="0" w:firstRowFirstColumn="0" w:firstRowLastColumn="0" w:lastRowFirstColumn="0" w:lastRowLastColumn="0"/>
            <w:tcW w:w="6396" w:type="dxa"/>
            <w:noWrap/>
            <w:hideMark/>
          </w:tcPr>
          <w:p w14:paraId="5021B4F1" w14:textId="77777777" w:rsidR="00AB205D" w:rsidRPr="00031635" w:rsidRDefault="00471A3B">
            <w:pPr>
              <w:rPr>
                <w:lang w:eastAsia="en-AU"/>
              </w:rPr>
            </w:pPr>
            <w:r w:rsidRPr="00031635">
              <w:rPr>
                <w:lang w:eastAsia="en-AU"/>
              </w:rPr>
              <w:t>Electricity</w:t>
            </w:r>
          </w:p>
        </w:tc>
        <w:tc>
          <w:tcPr>
            <w:tcW w:w="1332" w:type="dxa"/>
            <w:noWrap/>
            <w:hideMark/>
          </w:tcPr>
          <w:p w14:paraId="38276F9F" w14:textId="77777777" w:rsidR="00AB205D" w:rsidRPr="00031635" w:rsidRDefault="00471A3B">
            <w:pPr>
              <w:cnfStyle w:val="000000000000" w:firstRow="0" w:lastRow="0" w:firstColumn="0" w:lastColumn="0" w:oddVBand="0" w:evenVBand="0" w:oddHBand="0" w:evenHBand="0" w:firstRowFirstColumn="0" w:firstRowLastColumn="0" w:lastRowFirstColumn="0" w:lastRowLastColumn="0"/>
              <w:rPr>
                <w:lang w:eastAsia="en-AU"/>
              </w:rPr>
            </w:pPr>
            <w:r w:rsidRPr="008E0316">
              <w:t xml:space="preserve"> </w:t>
            </w:r>
            <w:r w:rsidRPr="00022E2E">
              <w:t>146</w:t>
            </w:r>
          </w:p>
        </w:tc>
      </w:tr>
      <w:tr w:rsidR="009C6724" w:rsidRPr="00031635" w14:paraId="4A5E4D1E" w14:textId="77777777" w:rsidTr="009C6724">
        <w:trPr>
          <w:trHeight w:val="254"/>
        </w:trPr>
        <w:tc>
          <w:tcPr>
            <w:cnfStyle w:val="001000000000" w:firstRow="0" w:lastRow="0" w:firstColumn="1" w:lastColumn="0" w:oddVBand="0" w:evenVBand="0" w:oddHBand="0" w:evenHBand="0" w:firstRowFirstColumn="0" w:firstRowLastColumn="0" w:lastRowFirstColumn="0" w:lastRowLastColumn="0"/>
            <w:tcW w:w="6396" w:type="dxa"/>
            <w:noWrap/>
            <w:hideMark/>
          </w:tcPr>
          <w:p w14:paraId="6D13D0DE" w14:textId="77777777" w:rsidR="00AB205D" w:rsidRPr="00031635" w:rsidRDefault="00471A3B">
            <w:pPr>
              <w:rPr>
                <w:lang w:eastAsia="en-AU"/>
              </w:rPr>
            </w:pPr>
            <w:r w:rsidRPr="00031635">
              <w:rPr>
                <w:lang w:eastAsia="en-AU"/>
              </w:rPr>
              <w:t>Mains gas</w:t>
            </w:r>
          </w:p>
        </w:tc>
        <w:tc>
          <w:tcPr>
            <w:tcW w:w="1332" w:type="dxa"/>
            <w:noWrap/>
            <w:hideMark/>
          </w:tcPr>
          <w:p w14:paraId="2C40BB4D" w14:textId="77777777" w:rsidR="00AB205D" w:rsidRPr="00031635" w:rsidRDefault="00471A3B">
            <w:pPr>
              <w:cnfStyle w:val="000000000000" w:firstRow="0" w:lastRow="0" w:firstColumn="0" w:lastColumn="0" w:oddVBand="0" w:evenVBand="0" w:oddHBand="0" w:evenHBand="0" w:firstRowFirstColumn="0" w:firstRowLastColumn="0" w:lastRowFirstColumn="0" w:lastRowLastColumn="0"/>
              <w:rPr>
                <w:lang w:eastAsia="en-AU"/>
              </w:rPr>
            </w:pPr>
            <w:r w:rsidRPr="008E0316">
              <w:t xml:space="preserve"> </w:t>
            </w:r>
            <w:r w:rsidRPr="00022E2E">
              <w:t>72</w:t>
            </w:r>
          </w:p>
        </w:tc>
      </w:tr>
      <w:tr w:rsidR="009C6724" w:rsidRPr="00031635" w14:paraId="017F8A42" w14:textId="77777777" w:rsidTr="009C6724">
        <w:trPr>
          <w:trHeight w:val="254"/>
        </w:trPr>
        <w:tc>
          <w:tcPr>
            <w:cnfStyle w:val="001000000000" w:firstRow="0" w:lastRow="0" w:firstColumn="1" w:lastColumn="0" w:oddVBand="0" w:evenVBand="0" w:oddHBand="0" w:evenHBand="0" w:firstRowFirstColumn="0" w:firstRowLastColumn="0" w:lastRowFirstColumn="0" w:lastRowLastColumn="0"/>
            <w:tcW w:w="6396" w:type="dxa"/>
            <w:noWrap/>
            <w:hideMark/>
          </w:tcPr>
          <w:p w14:paraId="1EC15111" w14:textId="77777777" w:rsidR="00AB205D" w:rsidRPr="00031635" w:rsidRDefault="00471A3B">
            <w:pPr>
              <w:rPr>
                <w:lang w:eastAsia="en-AU"/>
              </w:rPr>
            </w:pPr>
            <w:r w:rsidRPr="00031635">
              <w:rPr>
                <w:lang w:eastAsia="en-AU"/>
              </w:rPr>
              <w:t>Municipal rates</w:t>
            </w:r>
          </w:p>
        </w:tc>
        <w:tc>
          <w:tcPr>
            <w:tcW w:w="1332" w:type="dxa"/>
            <w:noWrap/>
            <w:hideMark/>
          </w:tcPr>
          <w:p w14:paraId="794FB27E" w14:textId="77777777" w:rsidR="00AB205D" w:rsidRPr="00031635" w:rsidRDefault="00471A3B">
            <w:pPr>
              <w:cnfStyle w:val="000000000000" w:firstRow="0" w:lastRow="0" w:firstColumn="0" w:lastColumn="0" w:oddVBand="0" w:evenVBand="0" w:oddHBand="0" w:evenHBand="0" w:firstRowFirstColumn="0" w:firstRowLastColumn="0" w:lastRowFirstColumn="0" w:lastRowLastColumn="0"/>
              <w:rPr>
                <w:lang w:eastAsia="en-AU"/>
              </w:rPr>
            </w:pPr>
            <w:r w:rsidRPr="008E0316">
              <w:t xml:space="preserve"> </w:t>
            </w:r>
            <w:r w:rsidRPr="00022E2E">
              <w:t>105</w:t>
            </w:r>
          </w:p>
        </w:tc>
      </w:tr>
      <w:tr w:rsidR="009C6724" w:rsidRPr="00031635" w14:paraId="4E391E52" w14:textId="77777777" w:rsidTr="009C6724">
        <w:trPr>
          <w:trHeight w:val="254"/>
        </w:trPr>
        <w:tc>
          <w:tcPr>
            <w:cnfStyle w:val="001000000000" w:firstRow="0" w:lastRow="0" w:firstColumn="1" w:lastColumn="0" w:oddVBand="0" w:evenVBand="0" w:oddHBand="0" w:evenHBand="0" w:firstRowFirstColumn="0" w:firstRowLastColumn="0" w:lastRowFirstColumn="0" w:lastRowLastColumn="0"/>
            <w:tcW w:w="6396" w:type="dxa"/>
            <w:noWrap/>
            <w:hideMark/>
          </w:tcPr>
          <w:p w14:paraId="14E7AA78" w14:textId="77777777" w:rsidR="00AB205D" w:rsidRPr="00031635" w:rsidRDefault="00471A3B">
            <w:pPr>
              <w:rPr>
                <w:lang w:eastAsia="en-AU"/>
              </w:rPr>
            </w:pPr>
            <w:r w:rsidRPr="00031635">
              <w:rPr>
                <w:lang w:eastAsia="en-AU"/>
              </w:rPr>
              <w:t>Water and sewerage</w:t>
            </w:r>
          </w:p>
        </w:tc>
        <w:tc>
          <w:tcPr>
            <w:tcW w:w="1332" w:type="dxa"/>
            <w:noWrap/>
            <w:hideMark/>
          </w:tcPr>
          <w:p w14:paraId="168382AF" w14:textId="77777777" w:rsidR="00AB205D" w:rsidRPr="00031635" w:rsidRDefault="00471A3B">
            <w:pPr>
              <w:cnfStyle w:val="000000000000" w:firstRow="0" w:lastRow="0" w:firstColumn="0" w:lastColumn="0" w:oddVBand="0" w:evenVBand="0" w:oddHBand="0" w:evenHBand="0" w:firstRowFirstColumn="0" w:firstRowLastColumn="0" w:lastRowFirstColumn="0" w:lastRowLastColumn="0"/>
              <w:rPr>
                <w:lang w:eastAsia="en-AU"/>
              </w:rPr>
            </w:pPr>
            <w:r w:rsidRPr="008E0316">
              <w:t xml:space="preserve"> </w:t>
            </w:r>
            <w:r w:rsidRPr="00022E2E">
              <w:t>186</w:t>
            </w:r>
          </w:p>
        </w:tc>
      </w:tr>
      <w:tr w:rsidR="009C6724" w:rsidRPr="00031635" w14:paraId="0F48374D" w14:textId="77777777" w:rsidTr="009C6724">
        <w:trPr>
          <w:trHeight w:val="254"/>
        </w:trPr>
        <w:tc>
          <w:tcPr>
            <w:cnfStyle w:val="001000000000" w:firstRow="0" w:lastRow="0" w:firstColumn="1" w:lastColumn="0" w:oddVBand="0" w:evenVBand="0" w:oddHBand="0" w:evenHBand="0" w:firstRowFirstColumn="0" w:firstRowLastColumn="0" w:lastRowFirstColumn="0" w:lastRowLastColumn="0"/>
            <w:tcW w:w="6396" w:type="dxa"/>
            <w:noWrap/>
            <w:hideMark/>
          </w:tcPr>
          <w:p w14:paraId="004D0E77" w14:textId="77777777" w:rsidR="00AB205D" w:rsidRPr="00031635" w:rsidRDefault="00471A3B">
            <w:pPr>
              <w:rPr>
                <w:b/>
                <w:bCs/>
                <w:lang w:eastAsia="en-AU"/>
              </w:rPr>
            </w:pPr>
            <w:r w:rsidRPr="00031635">
              <w:rPr>
                <w:b/>
                <w:bCs/>
                <w:lang w:eastAsia="en-AU"/>
              </w:rPr>
              <w:t>Total energy, municipal rates, water and sewerage</w:t>
            </w:r>
          </w:p>
        </w:tc>
        <w:tc>
          <w:tcPr>
            <w:tcW w:w="1332" w:type="dxa"/>
            <w:noWrap/>
            <w:hideMark/>
          </w:tcPr>
          <w:p w14:paraId="27309EC8" w14:textId="77777777" w:rsidR="00AB205D" w:rsidRPr="007E5CAB" w:rsidRDefault="00471A3B">
            <w:pPr>
              <w:cnfStyle w:val="000000000000" w:firstRow="0" w:lastRow="0" w:firstColumn="0" w:lastColumn="0" w:oddVBand="0" w:evenVBand="0" w:oddHBand="0" w:evenHBand="0" w:firstRowFirstColumn="0" w:firstRowLastColumn="0" w:lastRowFirstColumn="0" w:lastRowLastColumn="0"/>
              <w:rPr>
                <w:b/>
                <w:bCs/>
                <w:lang w:eastAsia="en-AU"/>
              </w:rPr>
            </w:pPr>
            <w:r w:rsidRPr="007B6D8C">
              <w:rPr>
                <w:b/>
              </w:rPr>
              <w:t xml:space="preserve"> 508</w:t>
            </w:r>
          </w:p>
        </w:tc>
      </w:tr>
      <w:tr w:rsidR="009C6724" w:rsidRPr="00031635" w14:paraId="1370F5D9" w14:textId="77777777" w:rsidTr="009C6724">
        <w:trPr>
          <w:trHeight w:val="254"/>
        </w:trPr>
        <w:tc>
          <w:tcPr>
            <w:cnfStyle w:val="001000000000" w:firstRow="0" w:lastRow="0" w:firstColumn="1" w:lastColumn="0" w:oddVBand="0" w:evenVBand="0" w:oddHBand="0" w:evenHBand="0" w:firstRowFirstColumn="0" w:firstRowLastColumn="0" w:lastRowFirstColumn="0" w:lastRowLastColumn="0"/>
            <w:tcW w:w="6396" w:type="dxa"/>
            <w:noWrap/>
            <w:hideMark/>
          </w:tcPr>
          <w:p w14:paraId="607E4243" w14:textId="77777777" w:rsidR="00AB205D" w:rsidRPr="00031635" w:rsidRDefault="00471A3B">
            <w:pPr>
              <w:rPr>
                <w:lang w:eastAsia="en-AU"/>
              </w:rPr>
            </w:pPr>
            <w:r w:rsidRPr="00031635">
              <w:rPr>
                <w:lang w:eastAsia="en-AU"/>
              </w:rPr>
              <w:t>Ambulance</w:t>
            </w:r>
            <w:r>
              <w:rPr>
                <w:lang w:eastAsia="en-AU"/>
              </w:rPr>
              <w:t xml:space="preserve"> </w:t>
            </w:r>
            <w:r w:rsidRPr="0067799E">
              <w:rPr>
                <w:vertAlign w:val="superscript"/>
              </w:rPr>
              <w:t>(</w:t>
            </w:r>
            <w:r>
              <w:rPr>
                <w:vertAlign w:val="superscript"/>
              </w:rPr>
              <w:t>b</w:t>
            </w:r>
            <w:r w:rsidRPr="0067799E">
              <w:rPr>
                <w:vertAlign w:val="superscript"/>
              </w:rPr>
              <w:t>)</w:t>
            </w:r>
          </w:p>
        </w:tc>
        <w:tc>
          <w:tcPr>
            <w:tcW w:w="1332" w:type="dxa"/>
            <w:noWrap/>
            <w:hideMark/>
          </w:tcPr>
          <w:p w14:paraId="66C0F481" w14:textId="77777777" w:rsidR="00AB205D" w:rsidRPr="00031635" w:rsidRDefault="00471A3B">
            <w:pPr>
              <w:cnfStyle w:val="000000000000" w:firstRow="0" w:lastRow="0" w:firstColumn="0" w:lastColumn="0" w:oddVBand="0" w:evenVBand="0" w:oddHBand="0" w:evenHBand="0" w:firstRowFirstColumn="0" w:firstRowLastColumn="0" w:lastRowFirstColumn="0" w:lastRowLastColumn="0"/>
              <w:rPr>
                <w:lang w:eastAsia="en-AU"/>
              </w:rPr>
            </w:pPr>
            <w:r w:rsidRPr="008E0316">
              <w:t xml:space="preserve"> </w:t>
            </w:r>
            <w:r w:rsidRPr="00022E2E">
              <w:t>569</w:t>
            </w:r>
          </w:p>
        </w:tc>
      </w:tr>
      <w:tr w:rsidR="009C6724" w:rsidRPr="00031635" w14:paraId="0128E85E" w14:textId="77777777" w:rsidTr="009C6724">
        <w:trPr>
          <w:trHeight w:val="254"/>
        </w:trPr>
        <w:tc>
          <w:tcPr>
            <w:cnfStyle w:val="001000000000" w:firstRow="0" w:lastRow="0" w:firstColumn="1" w:lastColumn="0" w:oddVBand="0" w:evenVBand="0" w:oddHBand="0" w:evenHBand="0" w:firstRowFirstColumn="0" w:firstRowLastColumn="0" w:lastRowFirstColumn="0" w:lastRowLastColumn="0"/>
            <w:tcW w:w="6396" w:type="dxa"/>
            <w:noWrap/>
            <w:hideMark/>
          </w:tcPr>
          <w:p w14:paraId="6F943868" w14:textId="77777777" w:rsidR="00AB205D" w:rsidRPr="00031635" w:rsidRDefault="00471A3B">
            <w:pPr>
              <w:rPr>
                <w:lang w:eastAsia="en-AU"/>
              </w:rPr>
            </w:pPr>
            <w:r w:rsidRPr="00031635">
              <w:rPr>
                <w:lang w:eastAsia="en-AU"/>
              </w:rPr>
              <w:t>Dental services and spectacles</w:t>
            </w:r>
          </w:p>
        </w:tc>
        <w:tc>
          <w:tcPr>
            <w:tcW w:w="1332" w:type="dxa"/>
            <w:noWrap/>
            <w:hideMark/>
          </w:tcPr>
          <w:p w14:paraId="2444DEED" w14:textId="77777777" w:rsidR="00AB205D" w:rsidRPr="00031635" w:rsidRDefault="00471A3B">
            <w:pPr>
              <w:cnfStyle w:val="000000000000" w:firstRow="0" w:lastRow="0" w:firstColumn="0" w:lastColumn="0" w:oddVBand="0" w:evenVBand="0" w:oddHBand="0" w:evenHBand="0" w:firstRowFirstColumn="0" w:firstRowLastColumn="0" w:lastRowFirstColumn="0" w:lastRowLastColumn="0"/>
              <w:rPr>
                <w:lang w:eastAsia="en-AU"/>
              </w:rPr>
            </w:pPr>
            <w:r w:rsidRPr="008E0316">
              <w:t xml:space="preserve"> </w:t>
            </w:r>
            <w:r w:rsidRPr="00022E2E">
              <w:t>182</w:t>
            </w:r>
          </w:p>
        </w:tc>
      </w:tr>
      <w:tr w:rsidR="009C6724" w:rsidRPr="00031635" w14:paraId="282A902C" w14:textId="77777777" w:rsidTr="009C6724">
        <w:trPr>
          <w:trHeight w:val="254"/>
        </w:trPr>
        <w:tc>
          <w:tcPr>
            <w:cnfStyle w:val="001000000000" w:firstRow="0" w:lastRow="0" w:firstColumn="1" w:lastColumn="0" w:oddVBand="0" w:evenVBand="0" w:oddHBand="0" w:evenHBand="0" w:firstRowFirstColumn="0" w:firstRowLastColumn="0" w:lastRowFirstColumn="0" w:lastRowLastColumn="0"/>
            <w:tcW w:w="6396" w:type="dxa"/>
            <w:noWrap/>
            <w:hideMark/>
          </w:tcPr>
          <w:p w14:paraId="19670F74" w14:textId="77777777" w:rsidR="00AB205D" w:rsidRPr="00031635" w:rsidRDefault="00471A3B">
            <w:pPr>
              <w:rPr>
                <w:lang w:eastAsia="en-AU"/>
              </w:rPr>
            </w:pPr>
            <w:r w:rsidRPr="00031635">
              <w:rPr>
                <w:lang w:eastAsia="en-AU"/>
              </w:rPr>
              <w:t>Community health programs</w:t>
            </w:r>
          </w:p>
        </w:tc>
        <w:tc>
          <w:tcPr>
            <w:tcW w:w="1332" w:type="dxa"/>
            <w:noWrap/>
            <w:hideMark/>
          </w:tcPr>
          <w:p w14:paraId="21C89C8D" w14:textId="77777777" w:rsidR="00AB205D" w:rsidRPr="00031635" w:rsidRDefault="00471A3B">
            <w:pPr>
              <w:cnfStyle w:val="000000000000" w:firstRow="0" w:lastRow="0" w:firstColumn="0" w:lastColumn="0" w:oddVBand="0" w:evenVBand="0" w:oddHBand="0" w:evenHBand="0" w:firstRowFirstColumn="0" w:firstRowLastColumn="0" w:lastRowFirstColumn="0" w:lastRowLastColumn="0"/>
              <w:rPr>
                <w:lang w:eastAsia="en-AU"/>
              </w:rPr>
            </w:pPr>
            <w:r w:rsidRPr="008E0316">
              <w:t xml:space="preserve"> </w:t>
            </w:r>
            <w:r w:rsidRPr="00022E2E">
              <w:t>140</w:t>
            </w:r>
          </w:p>
        </w:tc>
      </w:tr>
      <w:tr w:rsidR="009C6724" w:rsidRPr="00031635" w14:paraId="342548F8" w14:textId="77777777" w:rsidTr="009C6724">
        <w:trPr>
          <w:trHeight w:val="254"/>
        </w:trPr>
        <w:tc>
          <w:tcPr>
            <w:cnfStyle w:val="001000000000" w:firstRow="0" w:lastRow="0" w:firstColumn="1" w:lastColumn="0" w:oddVBand="0" w:evenVBand="0" w:oddHBand="0" w:evenHBand="0" w:firstRowFirstColumn="0" w:firstRowLastColumn="0" w:lastRowFirstColumn="0" w:lastRowLastColumn="0"/>
            <w:tcW w:w="6396" w:type="dxa"/>
            <w:noWrap/>
            <w:hideMark/>
          </w:tcPr>
          <w:p w14:paraId="03E9B9FF" w14:textId="77777777" w:rsidR="00AB205D" w:rsidRPr="00031635" w:rsidRDefault="00471A3B">
            <w:pPr>
              <w:rPr>
                <w:b/>
                <w:bCs/>
                <w:lang w:eastAsia="en-AU"/>
              </w:rPr>
            </w:pPr>
            <w:r w:rsidRPr="00031635">
              <w:rPr>
                <w:b/>
                <w:bCs/>
                <w:lang w:eastAsia="en-AU"/>
              </w:rPr>
              <w:t>Total health</w:t>
            </w:r>
          </w:p>
        </w:tc>
        <w:tc>
          <w:tcPr>
            <w:tcW w:w="1332" w:type="dxa"/>
            <w:noWrap/>
            <w:hideMark/>
          </w:tcPr>
          <w:p w14:paraId="38912AD7" w14:textId="77777777" w:rsidR="00AB205D" w:rsidRPr="007E5CAB" w:rsidRDefault="00471A3B">
            <w:pPr>
              <w:cnfStyle w:val="000000000000" w:firstRow="0" w:lastRow="0" w:firstColumn="0" w:lastColumn="0" w:oddVBand="0" w:evenVBand="0" w:oddHBand="0" w:evenHBand="0" w:firstRowFirstColumn="0" w:firstRowLastColumn="0" w:lastRowFirstColumn="0" w:lastRowLastColumn="0"/>
              <w:rPr>
                <w:b/>
                <w:bCs/>
                <w:lang w:eastAsia="en-AU"/>
              </w:rPr>
            </w:pPr>
            <w:r w:rsidRPr="007B6D8C">
              <w:rPr>
                <w:b/>
              </w:rPr>
              <w:t xml:space="preserve"> 892</w:t>
            </w:r>
          </w:p>
        </w:tc>
      </w:tr>
      <w:tr w:rsidR="009C6724" w:rsidRPr="00031635" w14:paraId="20EA3E92" w14:textId="77777777" w:rsidTr="009C6724">
        <w:trPr>
          <w:trHeight w:val="254"/>
        </w:trPr>
        <w:tc>
          <w:tcPr>
            <w:cnfStyle w:val="001000000000" w:firstRow="0" w:lastRow="0" w:firstColumn="1" w:lastColumn="0" w:oddVBand="0" w:evenVBand="0" w:oddHBand="0" w:evenHBand="0" w:firstRowFirstColumn="0" w:firstRowLastColumn="0" w:lastRowFirstColumn="0" w:lastRowLastColumn="0"/>
            <w:tcW w:w="6396" w:type="dxa"/>
            <w:noWrap/>
            <w:hideMark/>
          </w:tcPr>
          <w:p w14:paraId="156D1F93" w14:textId="77777777" w:rsidR="00AB205D" w:rsidRPr="00031635" w:rsidRDefault="00471A3B">
            <w:pPr>
              <w:rPr>
                <w:b/>
                <w:bCs/>
                <w:lang w:eastAsia="en-AU"/>
              </w:rPr>
            </w:pPr>
            <w:r w:rsidRPr="00031635">
              <w:rPr>
                <w:b/>
                <w:bCs/>
                <w:lang w:eastAsia="en-AU"/>
              </w:rPr>
              <w:t xml:space="preserve">Education </w:t>
            </w:r>
          </w:p>
        </w:tc>
        <w:tc>
          <w:tcPr>
            <w:tcW w:w="1332" w:type="dxa"/>
            <w:noWrap/>
            <w:hideMark/>
          </w:tcPr>
          <w:p w14:paraId="1660F6D6" w14:textId="77777777" w:rsidR="00AB205D" w:rsidRPr="007E5CAB" w:rsidRDefault="00471A3B">
            <w:pPr>
              <w:cnfStyle w:val="000000000000" w:firstRow="0" w:lastRow="0" w:firstColumn="0" w:lastColumn="0" w:oddVBand="0" w:evenVBand="0" w:oddHBand="0" w:evenHBand="0" w:firstRowFirstColumn="0" w:firstRowLastColumn="0" w:lastRowFirstColumn="0" w:lastRowLastColumn="0"/>
              <w:rPr>
                <w:b/>
                <w:bCs/>
                <w:lang w:eastAsia="en-AU"/>
              </w:rPr>
            </w:pPr>
            <w:r w:rsidRPr="007B6D8C">
              <w:rPr>
                <w:b/>
              </w:rPr>
              <w:t xml:space="preserve"> 210</w:t>
            </w:r>
          </w:p>
        </w:tc>
      </w:tr>
      <w:tr w:rsidR="009C6724" w:rsidRPr="00031635" w14:paraId="413A05B4" w14:textId="77777777" w:rsidTr="009C6724">
        <w:trPr>
          <w:trHeight w:val="254"/>
        </w:trPr>
        <w:tc>
          <w:tcPr>
            <w:cnfStyle w:val="001000000000" w:firstRow="0" w:lastRow="0" w:firstColumn="1" w:lastColumn="0" w:oddVBand="0" w:evenVBand="0" w:oddHBand="0" w:evenHBand="0" w:firstRowFirstColumn="0" w:firstRowLastColumn="0" w:lastRowFirstColumn="0" w:lastRowLastColumn="0"/>
            <w:tcW w:w="6396" w:type="dxa"/>
            <w:noWrap/>
            <w:hideMark/>
          </w:tcPr>
          <w:p w14:paraId="556F1DD0" w14:textId="77777777" w:rsidR="00AB205D" w:rsidRPr="00031635" w:rsidRDefault="00471A3B">
            <w:pPr>
              <w:rPr>
                <w:b/>
                <w:bCs/>
                <w:lang w:eastAsia="en-AU"/>
              </w:rPr>
            </w:pPr>
            <w:r w:rsidRPr="00031635">
              <w:rPr>
                <w:b/>
                <w:bCs/>
                <w:lang w:eastAsia="en-AU"/>
              </w:rPr>
              <w:t>Hardship schemes</w:t>
            </w:r>
          </w:p>
        </w:tc>
        <w:tc>
          <w:tcPr>
            <w:tcW w:w="1332" w:type="dxa"/>
            <w:noWrap/>
            <w:hideMark/>
          </w:tcPr>
          <w:p w14:paraId="22D785F0" w14:textId="77777777" w:rsidR="00AB205D" w:rsidRPr="007E5CAB" w:rsidRDefault="00471A3B">
            <w:pPr>
              <w:cnfStyle w:val="000000000000" w:firstRow="0" w:lastRow="0" w:firstColumn="0" w:lastColumn="0" w:oddVBand="0" w:evenVBand="0" w:oddHBand="0" w:evenHBand="0" w:firstRowFirstColumn="0" w:firstRowLastColumn="0" w:lastRowFirstColumn="0" w:lastRowLastColumn="0"/>
              <w:rPr>
                <w:b/>
                <w:bCs/>
                <w:lang w:eastAsia="en-AU"/>
              </w:rPr>
            </w:pPr>
            <w:r w:rsidRPr="00022E2E">
              <w:t xml:space="preserve"> </w:t>
            </w:r>
            <w:r w:rsidRPr="007B6D8C">
              <w:rPr>
                <w:b/>
              </w:rPr>
              <w:t>89</w:t>
            </w:r>
          </w:p>
        </w:tc>
      </w:tr>
      <w:tr w:rsidR="009C6724" w:rsidRPr="00031635" w14:paraId="07FBF118" w14:textId="77777777" w:rsidTr="009C6724">
        <w:trPr>
          <w:trHeight w:val="254"/>
        </w:trPr>
        <w:tc>
          <w:tcPr>
            <w:cnfStyle w:val="001000000000" w:firstRow="0" w:lastRow="0" w:firstColumn="1" w:lastColumn="0" w:oddVBand="0" w:evenVBand="0" w:oddHBand="0" w:evenHBand="0" w:firstRowFirstColumn="0" w:firstRowLastColumn="0" w:lastRowFirstColumn="0" w:lastRowLastColumn="0"/>
            <w:tcW w:w="6396" w:type="dxa"/>
            <w:noWrap/>
            <w:hideMark/>
          </w:tcPr>
          <w:p w14:paraId="69F9A919" w14:textId="77777777" w:rsidR="00AB205D" w:rsidRPr="00031635" w:rsidRDefault="00471A3B">
            <w:pPr>
              <w:rPr>
                <w:b/>
                <w:bCs/>
                <w:lang w:eastAsia="en-AU"/>
              </w:rPr>
            </w:pPr>
            <w:r w:rsidRPr="00031635">
              <w:rPr>
                <w:b/>
                <w:bCs/>
                <w:lang w:eastAsia="en-AU"/>
              </w:rPr>
              <w:t>Social and community services</w:t>
            </w:r>
          </w:p>
        </w:tc>
        <w:tc>
          <w:tcPr>
            <w:tcW w:w="1332" w:type="dxa"/>
            <w:noWrap/>
            <w:hideMark/>
          </w:tcPr>
          <w:p w14:paraId="29D914B3" w14:textId="77777777" w:rsidR="00AB205D" w:rsidRPr="007E5CAB" w:rsidRDefault="00471A3B">
            <w:pPr>
              <w:cnfStyle w:val="000000000000" w:firstRow="0" w:lastRow="0" w:firstColumn="0" w:lastColumn="0" w:oddVBand="0" w:evenVBand="0" w:oddHBand="0" w:evenHBand="0" w:firstRowFirstColumn="0" w:firstRowLastColumn="0" w:lastRowFirstColumn="0" w:lastRowLastColumn="0"/>
              <w:rPr>
                <w:b/>
                <w:bCs/>
                <w:lang w:eastAsia="en-AU"/>
              </w:rPr>
            </w:pPr>
            <w:r w:rsidRPr="00022E2E">
              <w:t xml:space="preserve"> </w:t>
            </w:r>
            <w:r w:rsidRPr="007B6D8C">
              <w:rPr>
                <w:b/>
              </w:rPr>
              <w:t>11</w:t>
            </w:r>
          </w:p>
        </w:tc>
      </w:tr>
      <w:tr w:rsidR="009C6724" w:rsidRPr="00031635" w14:paraId="4B25508B" w14:textId="77777777" w:rsidTr="009C6724">
        <w:trPr>
          <w:trHeight w:val="254"/>
        </w:trPr>
        <w:tc>
          <w:tcPr>
            <w:cnfStyle w:val="001000000000" w:firstRow="0" w:lastRow="0" w:firstColumn="1" w:lastColumn="0" w:oddVBand="0" w:evenVBand="0" w:oddHBand="0" w:evenHBand="0" w:firstRowFirstColumn="0" w:firstRowLastColumn="0" w:lastRowFirstColumn="0" w:lastRowLastColumn="0"/>
            <w:tcW w:w="6396" w:type="dxa"/>
            <w:noWrap/>
            <w:hideMark/>
          </w:tcPr>
          <w:p w14:paraId="675CE5EE" w14:textId="77777777" w:rsidR="00AB205D" w:rsidRPr="00031635" w:rsidRDefault="00471A3B">
            <w:pPr>
              <w:rPr>
                <w:b/>
                <w:bCs/>
                <w:lang w:eastAsia="en-AU"/>
              </w:rPr>
            </w:pPr>
            <w:r w:rsidRPr="00031635">
              <w:rPr>
                <w:b/>
                <w:bCs/>
                <w:lang w:eastAsia="en-AU"/>
              </w:rPr>
              <w:t>Private transport</w:t>
            </w:r>
          </w:p>
        </w:tc>
        <w:tc>
          <w:tcPr>
            <w:tcW w:w="1332" w:type="dxa"/>
            <w:noWrap/>
            <w:hideMark/>
          </w:tcPr>
          <w:p w14:paraId="71EDCED9" w14:textId="77777777" w:rsidR="00AB205D" w:rsidRPr="007E5CAB" w:rsidRDefault="00471A3B">
            <w:pPr>
              <w:cnfStyle w:val="000000000000" w:firstRow="0" w:lastRow="0" w:firstColumn="0" w:lastColumn="0" w:oddVBand="0" w:evenVBand="0" w:oddHBand="0" w:evenHBand="0" w:firstRowFirstColumn="0" w:firstRowLastColumn="0" w:lastRowFirstColumn="0" w:lastRowLastColumn="0"/>
              <w:rPr>
                <w:b/>
                <w:bCs/>
                <w:lang w:eastAsia="en-AU"/>
              </w:rPr>
            </w:pPr>
            <w:r w:rsidRPr="00022E2E">
              <w:t xml:space="preserve"> </w:t>
            </w:r>
            <w:r w:rsidRPr="007B6D8C">
              <w:rPr>
                <w:b/>
              </w:rPr>
              <w:t>297</w:t>
            </w:r>
          </w:p>
        </w:tc>
      </w:tr>
      <w:tr w:rsidR="009C6724" w:rsidRPr="00031635" w14:paraId="11FC986F" w14:textId="77777777" w:rsidTr="009C6724">
        <w:trPr>
          <w:trHeight w:val="254"/>
        </w:trPr>
        <w:tc>
          <w:tcPr>
            <w:cnfStyle w:val="001000000000" w:firstRow="0" w:lastRow="0" w:firstColumn="1" w:lastColumn="0" w:oddVBand="0" w:evenVBand="0" w:oddHBand="0" w:evenHBand="0" w:firstRowFirstColumn="0" w:firstRowLastColumn="0" w:lastRowFirstColumn="0" w:lastRowLastColumn="0"/>
            <w:tcW w:w="6396" w:type="dxa"/>
            <w:noWrap/>
            <w:hideMark/>
          </w:tcPr>
          <w:p w14:paraId="718FCC1F" w14:textId="77777777" w:rsidR="00AB205D" w:rsidRPr="00031635" w:rsidRDefault="00471A3B">
            <w:pPr>
              <w:rPr>
                <w:b/>
                <w:bCs/>
                <w:lang w:eastAsia="en-AU"/>
              </w:rPr>
            </w:pPr>
            <w:r w:rsidRPr="00031635">
              <w:rPr>
                <w:b/>
                <w:bCs/>
                <w:lang w:eastAsia="en-AU"/>
              </w:rPr>
              <w:t>Public transpor</w:t>
            </w:r>
            <w:r>
              <w:rPr>
                <w:b/>
                <w:bCs/>
                <w:lang w:eastAsia="en-AU"/>
              </w:rPr>
              <w:t>t</w:t>
            </w:r>
          </w:p>
        </w:tc>
        <w:tc>
          <w:tcPr>
            <w:tcW w:w="1332" w:type="dxa"/>
            <w:noWrap/>
            <w:hideMark/>
          </w:tcPr>
          <w:p w14:paraId="3496A31E" w14:textId="77777777" w:rsidR="00AB205D" w:rsidRPr="007E5CAB" w:rsidRDefault="00471A3B">
            <w:pPr>
              <w:cnfStyle w:val="000000000000" w:firstRow="0" w:lastRow="0" w:firstColumn="0" w:lastColumn="0" w:oddVBand="0" w:evenVBand="0" w:oddHBand="0" w:evenHBand="0" w:firstRowFirstColumn="0" w:firstRowLastColumn="0" w:lastRowFirstColumn="0" w:lastRowLastColumn="0"/>
              <w:rPr>
                <w:b/>
                <w:bCs/>
                <w:lang w:eastAsia="en-AU"/>
              </w:rPr>
            </w:pPr>
            <w:r w:rsidRPr="00022E2E">
              <w:t xml:space="preserve"> </w:t>
            </w:r>
            <w:r w:rsidRPr="007B6D8C">
              <w:rPr>
                <w:b/>
              </w:rPr>
              <w:t>210</w:t>
            </w:r>
          </w:p>
        </w:tc>
      </w:tr>
      <w:tr w:rsidR="009C6724" w:rsidRPr="00031635" w14:paraId="53C309D0" w14:textId="77777777" w:rsidTr="009C6724">
        <w:trPr>
          <w:cnfStyle w:val="010000000000" w:firstRow="0" w:lastRow="1"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6396" w:type="dxa"/>
            <w:noWrap/>
            <w:hideMark/>
          </w:tcPr>
          <w:p w14:paraId="22708855" w14:textId="77777777" w:rsidR="00AB205D" w:rsidRPr="00031635" w:rsidRDefault="00471A3B">
            <w:pPr>
              <w:rPr>
                <w:bCs/>
                <w:lang w:eastAsia="en-AU"/>
              </w:rPr>
            </w:pPr>
            <w:r w:rsidRPr="00031635">
              <w:rPr>
                <w:bCs/>
                <w:lang w:eastAsia="en-AU"/>
              </w:rPr>
              <w:t>Total for items estimated</w:t>
            </w:r>
          </w:p>
        </w:tc>
        <w:tc>
          <w:tcPr>
            <w:tcW w:w="1332" w:type="dxa"/>
            <w:noWrap/>
            <w:hideMark/>
          </w:tcPr>
          <w:p w14:paraId="522AEC96" w14:textId="77777777" w:rsidR="00AB205D" w:rsidRPr="00031635" w:rsidRDefault="00471A3B">
            <w:pPr>
              <w:cnfStyle w:val="010000000000" w:firstRow="0" w:lastRow="1" w:firstColumn="0" w:lastColumn="0" w:oddVBand="0" w:evenVBand="0" w:oddHBand="0" w:evenHBand="0" w:firstRowFirstColumn="0" w:firstRowLastColumn="0" w:lastRowFirstColumn="0" w:lastRowLastColumn="0"/>
              <w:rPr>
                <w:bCs/>
                <w:lang w:eastAsia="en-AU"/>
              </w:rPr>
            </w:pPr>
            <w:r w:rsidRPr="00022E2E">
              <w:t>2 217</w:t>
            </w:r>
          </w:p>
        </w:tc>
      </w:tr>
    </w:tbl>
    <w:p w14:paraId="7C5C49CC" w14:textId="77777777" w:rsidR="00AB205D" w:rsidRDefault="00471A3B">
      <w:pPr>
        <w:pStyle w:val="Note"/>
      </w:pPr>
      <w:r w:rsidRPr="0080040C">
        <w:t>Note</w:t>
      </w:r>
      <w:r>
        <w:t>s</w:t>
      </w:r>
      <w:r w:rsidRPr="0080040C">
        <w:t>:</w:t>
      </w:r>
    </w:p>
    <w:p w14:paraId="7B88241F" w14:textId="77777777" w:rsidR="00AB205D" w:rsidRDefault="00471A3B">
      <w:pPr>
        <w:pStyle w:val="Note"/>
      </w:pPr>
      <w:r>
        <w:t>(a)</w:t>
      </w:r>
      <w:r>
        <w:tab/>
        <w:t>All amounts have been rounded to the nearest $1 million unless otherwise stated. Figures may not add due to rounding.</w:t>
      </w:r>
    </w:p>
    <w:p w14:paraId="30DEB3C5" w14:textId="77777777" w:rsidR="00AB205D" w:rsidRDefault="00471A3B">
      <w:pPr>
        <w:pStyle w:val="Note"/>
      </w:pPr>
      <w:r>
        <w:t>(b)</w:t>
      </w:r>
      <w:r>
        <w:tab/>
        <w:t xml:space="preserve">The increase in the Ambulance concession estimate represents a change in methodology to reflect current activity and service fees. </w:t>
      </w:r>
    </w:p>
    <w:p w14:paraId="6AA365CE" w14:textId="77777777" w:rsidR="00AB205D" w:rsidRPr="00FA01FF" w:rsidRDefault="00AB205D"/>
    <w:p w14:paraId="52EB9AA0" w14:textId="77777777" w:rsidR="00341416" w:rsidRDefault="00341416" w:rsidP="00341416">
      <w:pPr>
        <w:keepLines w:val="0"/>
      </w:pPr>
    </w:p>
    <w:p w14:paraId="3397CDC2" w14:textId="660249EC" w:rsidR="005F294E" w:rsidRDefault="005F294E">
      <w:pPr>
        <w:keepLines w:val="0"/>
      </w:pPr>
      <w:r>
        <w:br w:type="page"/>
      </w:r>
    </w:p>
    <w:p w14:paraId="010FE0E3" w14:textId="77777777" w:rsidR="00341416" w:rsidRDefault="00341416" w:rsidP="00341416"/>
    <w:p w14:paraId="00DAD587" w14:textId="663E5A02" w:rsidR="005F294E" w:rsidRDefault="005F294E" w:rsidP="00341416">
      <w:pPr>
        <w:sectPr w:rsidR="005F294E" w:rsidSect="00570639">
          <w:footerReference w:type="even" r:id="rId122"/>
          <w:footerReference w:type="default" r:id="rId123"/>
          <w:pgSz w:w="9979" w:h="14175" w:code="34"/>
          <w:pgMar w:top="1134" w:right="1134" w:bottom="1134" w:left="1134" w:header="624" w:footer="567" w:gutter="0"/>
          <w:cols w:space="708"/>
          <w:docGrid w:linePitch="360"/>
        </w:sectPr>
      </w:pPr>
    </w:p>
    <w:p w14:paraId="10FC8733" w14:textId="77777777" w:rsidR="00AB205D" w:rsidRPr="0084168F" w:rsidRDefault="00471A3B">
      <w:pPr>
        <w:pStyle w:val="ChapterHeading"/>
      </w:pPr>
      <w:bookmarkStart w:id="130" w:name="_Toc9436040"/>
      <w:bookmarkStart w:id="131" w:name="_Toc135331261"/>
      <w:bookmarkStart w:id="132" w:name="_Toc152933060"/>
      <w:r w:rsidRPr="007B1F83">
        <w:lastRenderedPageBreak/>
        <w:t>Appendix</w:t>
      </w:r>
      <w:r>
        <w:rPr>
          <w:caps w:val="0"/>
        </w:rPr>
        <w:t xml:space="preserve"> </w:t>
      </w:r>
      <w:r>
        <w:t>D</w:t>
      </w:r>
      <w:r w:rsidRPr="0084168F">
        <w:t xml:space="preserve"> – Sensitivity analysis</w:t>
      </w:r>
      <w:bookmarkEnd w:id="130"/>
      <w:bookmarkEnd w:id="131"/>
      <w:bookmarkEnd w:id="132"/>
    </w:p>
    <w:p w14:paraId="42DB6CE5" w14:textId="77777777" w:rsidR="00AB205D" w:rsidRPr="0084168F" w:rsidRDefault="00471A3B">
      <w:r w:rsidRPr="0084168F">
        <w:t xml:space="preserve">The </w:t>
      </w:r>
      <w:r w:rsidRPr="00F9018B">
        <w:rPr>
          <w:i/>
          <w:iCs/>
        </w:rPr>
        <w:t>2023</w:t>
      </w:r>
      <w:r w:rsidRPr="00F9018B">
        <w:rPr>
          <w:i/>
          <w:iCs/>
        </w:rPr>
        <w:noBreakHyphen/>
        <w:t>24 Budget</w:t>
      </w:r>
      <w:r>
        <w:rPr>
          <w:i/>
          <w:iCs/>
        </w:rPr>
        <w:t xml:space="preserve"> Update</w:t>
      </w:r>
      <w:r w:rsidRPr="0084168F">
        <w:t xml:space="preserve"> relies on forecasts and judgements about the economic, operating and</w:t>
      </w:r>
      <w:r>
        <w:t> </w:t>
      </w:r>
      <w:r w:rsidRPr="0084168F">
        <w:t>financial conditions for the Victorian general government sector. Uncertainty in these conditions, for example as a result of international developments and other risks to the national economy, may cause the actual results to differ from budget projections</w:t>
      </w:r>
      <w:r>
        <w:t xml:space="preserve">. </w:t>
      </w:r>
    </w:p>
    <w:p w14:paraId="76ED5DF6" w14:textId="77777777" w:rsidR="00AB205D" w:rsidRPr="0084168F" w:rsidRDefault="00471A3B">
      <w:pPr>
        <w:ind w:right="-119"/>
      </w:pPr>
      <w:r w:rsidRPr="0084168F">
        <w:t xml:space="preserve">This sensitivity analysis explores the impacts of variations in the macroeconomic outlook on key fiscal aggregates of the general government sector using two alternative approaches. </w:t>
      </w:r>
    </w:p>
    <w:p w14:paraId="0B3A9F3B" w14:textId="77777777" w:rsidR="00AB205D" w:rsidRPr="0084168F" w:rsidRDefault="00471A3B">
      <w:r w:rsidRPr="0084168F">
        <w:t xml:space="preserve">The first approach </w:t>
      </w:r>
      <w:r w:rsidRPr="00F96D31">
        <w:t xml:space="preserve">quantifies the fiscal impacts of a scenario involving simultaneous variations in economic parameters that represent key risks to the economic outlook described in </w:t>
      </w:r>
      <w:r w:rsidRPr="00873288">
        <w:t>Chapter 2 </w:t>
      </w:r>
      <w:r w:rsidRPr="00873288">
        <w:rPr>
          <w:i/>
          <w:iCs/>
        </w:rPr>
        <w:t>Economic context</w:t>
      </w:r>
      <w:r w:rsidRPr="00873288">
        <w:t>. This</w:t>
      </w:r>
      <w:r w:rsidRPr="0084168F">
        <w:t xml:space="preserve"> scenario was selected to cover a plausible shock that could affect Victoria over the budget period, and the modelling takes account of linkages between key international, Australian and Victorian economic aggregates.</w:t>
      </w:r>
    </w:p>
    <w:p w14:paraId="62FB4D75" w14:textId="77777777" w:rsidR="00AB205D" w:rsidRPr="0084168F" w:rsidRDefault="00471A3B">
      <w:r w:rsidRPr="0084168F">
        <w:t xml:space="preserve">The modelled outcomes are intended to be used as a guide and care should be exercised in interpreting the results. In particular, economic shocks tend to be idiosyncratic in nature, with the modelled scenario unlikely to completely reflect any future shock that could occur. Departures from this scenario would likely result in different impacts on the budget. Furthermore, the modelled results of the shocks do not incorporate any policy responses to the shocks and their subsequent effects on the economic or fiscal outlook. </w:t>
      </w:r>
    </w:p>
    <w:p w14:paraId="5DD77617" w14:textId="77777777" w:rsidR="00AB205D" w:rsidRPr="0084168F" w:rsidRDefault="00471A3B">
      <w:r w:rsidRPr="0084168F">
        <w:t>The second approach considers the fiscal impacts of independent variations in major macroeconomic parameters, holding constant all parameters other than the indicator of interest. This analysis may be useful for assessing the impact on fiscal aggregates of a forecast error in a single economic parameter. In practice, economic variations rarely occur in isolation, and scenario analysis is likely to be more appropriate to illustrate the fiscal impacts of an economic environment materially different from that presented in the</w:t>
      </w:r>
      <w:r>
        <w:t> </w:t>
      </w:r>
      <w:r w:rsidRPr="0084168F">
        <w:t>budget papers.</w:t>
      </w:r>
    </w:p>
    <w:p w14:paraId="2DDA4279" w14:textId="77777777" w:rsidR="00AB205D" w:rsidRPr="0084168F" w:rsidRDefault="00471A3B">
      <w:pPr>
        <w:pStyle w:val="Heading10"/>
        <w:pageBreakBefore/>
      </w:pPr>
      <w:bookmarkStart w:id="133" w:name="_Toc9436041"/>
      <w:bookmarkStart w:id="134" w:name="_Toc135331262"/>
      <w:bookmarkStart w:id="135" w:name="_Toc152933061"/>
      <w:r w:rsidRPr="0084168F">
        <w:lastRenderedPageBreak/>
        <w:t>Fiscal impacts of variations to the economic outlook</w:t>
      </w:r>
      <w:bookmarkEnd w:id="133"/>
      <w:bookmarkEnd w:id="134"/>
      <w:bookmarkEnd w:id="135"/>
    </w:p>
    <w:p w14:paraId="2934E7F0" w14:textId="77777777" w:rsidR="00AB205D" w:rsidRPr="00873288" w:rsidRDefault="00471A3B">
      <w:r w:rsidRPr="00873288">
        <w:t xml:space="preserve">This scenario component of the sensitivity analysis quantifies a key risk identified in </w:t>
      </w:r>
      <w:bookmarkStart w:id="136" w:name="_Hlk132613631"/>
      <w:r w:rsidRPr="00873288">
        <w:t>Chapter 2 </w:t>
      </w:r>
      <w:r w:rsidRPr="00873288">
        <w:rPr>
          <w:i/>
          <w:iCs/>
        </w:rPr>
        <w:t>Economic </w:t>
      </w:r>
      <w:bookmarkEnd w:id="136"/>
      <w:r w:rsidRPr="00873288">
        <w:rPr>
          <w:i/>
          <w:iCs/>
        </w:rPr>
        <w:t>context</w:t>
      </w:r>
      <w:r w:rsidRPr="00873288">
        <w:t xml:space="preserve"> and presents how this risk might affect the state’s economic and fiscal aggregates. </w:t>
      </w:r>
    </w:p>
    <w:p w14:paraId="6DB29CB4" w14:textId="77777777" w:rsidR="00AB205D" w:rsidRPr="00873288" w:rsidRDefault="00471A3B">
      <w:bookmarkStart w:id="137" w:name="_Hlk100137503"/>
      <w:r w:rsidRPr="00873288">
        <w:t xml:space="preserve">The scenario considers a downturn in Victorian and Australian aggregate demand, partly due to uncertainty around the trajectory for interest rates and inflation. </w:t>
      </w:r>
      <w:bookmarkEnd w:id="137"/>
      <w:r w:rsidRPr="00873288">
        <w:t xml:space="preserve">In the scenario, risk aversion and falling wealth are assumed to constrain discretionary consumption among households, leading to a higher savings rate. Downward pressure on consumer confidence and consumption also leads to lower utilisation of capital and lower business investment, relative to the base case outlined in Chapter 2 </w:t>
      </w:r>
      <w:r w:rsidRPr="00873288">
        <w:rPr>
          <w:i/>
          <w:iCs/>
        </w:rPr>
        <w:t>Economic context</w:t>
      </w:r>
      <w:r w:rsidRPr="00873288">
        <w:t xml:space="preserve">. </w:t>
      </w:r>
    </w:p>
    <w:p w14:paraId="7832A045" w14:textId="77777777" w:rsidR="00AB205D" w:rsidRPr="00873288" w:rsidRDefault="00471A3B">
      <w:r w:rsidRPr="00873288">
        <w:t xml:space="preserve">The economic impacts of the scenario have been modelled using VURMTAX, a computable general equilibrium model developed by the Centre of Policy Studies at Victoria University. The results of the scenario are </w:t>
      </w:r>
      <w:r>
        <w:t>presented</w:t>
      </w:r>
      <w:r w:rsidRPr="00873288">
        <w:t xml:space="preserve"> as a deviation from the ‘business as usual’ base case, which reflects the central economic forecasts outlined in Chapter 2 </w:t>
      </w:r>
      <w:r w:rsidRPr="00873288">
        <w:rPr>
          <w:i/>
          <w:iCs/>
        </w:rPr>
        <w:t>Economic context.</w:t>
      </w:r>
    </w:p>
    <w:p w14:paraId="493B7313" w14:textId="77777777" w:rsidR="00AB205D" w:rsidRPr="0084168F" w:rsidRDefault="00471A3B">
      <w:r w:rsidRPr="00873288">
        <w:t>The changes in economic variables resulting from the modelled shocks</w:t>
      </w:r>
      <w:r w:rsidRPr="0084168F">
        <w:t xml:space="preserve"> are then mapped into estimated revenue and expenditure impacts using elasticities that describe the historical relationship between fiscal outcomes and major macroeconomic parameters in Table </w:t>
      </w:r>
      <w:r>
        <w:t>D</w:t>
      </w:r>
      <w:r w:rsidRPr="0084168F">
        <w:t>.1.</w:t>
      </w:r>
      <w:r w:rsidRPr="005462C8">
        <w:rPr>
          <w:vertAlign w:val="superscript"/>
        </w:rPr>
        <w:footnoteReference w:id="2"/>
      </w:r>
    </w:p>
    <w:p w14:paraId="08BA6B0F" w14:textId="77777777" w:rsidR="00AB205D" w:rsidRPr="0084168F" w:rsidRDefault="00471A3B">
      <w:pPr>
        <w:pStyle w:val="Heading20"/>
      </w:pPr>
      <w:r w:rsidRPr="0084168F">
        <w:t xml:space="preserve">Scenario: A domestic economic </w:t>
      </w:r>
      <w:r>
        <w:t>slowdown</w:t>
      </w:r>
    </w:p>
    <w:p w14:paraId="72A9D90A" w14:textId="77777777" w:rsidR="00AB205D" w:rsidRDefault="00471A3B">
      <w:r>
        <w:t>High inflation and rising interest rates have presented rising cost-of-living pressures for some Victorian households, as has been the case nationally and globally. While households in aggregate are still adding to their savings, high inflation and rising interest rates have caused a decline in real household disposable incomes. Consumer spending in Victoria is expected to grow despite these financial pressures, although the outlook for spending remains uncertain. As discussed in the Risks section of Chapter 2</w:t>
      </w:r>
      <w:r w:rsidRPr="486CBCB0">
        <w:rPr>
          <w:i/>
          <w:iCs/>
        </w:rPr>
        <w:t xml:space="preserve"> Economic context</w:t>
      </w:r>
      <w:r>
        <w:t xml:space="preserve">, some households may reduce consumption further than expected as a result of cost-of-living pressures. More generally, as the economy slows and uncertainty about the economic outlook increases, households may increase their precautionary savings and thereby reduce their spending by more than is assumed in the base case. </w:t>
      </w:r>
    </w:p>
    <w:p w14:paraId="78F8567B" w14:textId="77777777" w:rsidR="00AB205D" w:rsidRPr="0084168F" w:rsidRDefault="00471A3B">
      <w:r>
        <w:t>B</w:t>
      </w:r>
      <w:r w:rsidRPr="0084168F">
        <w:t>usiness confidence and investment are also likely to be weaker</w:t>
      </w:r>
      <w:r>
        <w:t xml:space="preserve"> in this environment</w:t>
      </w:r>
      <w:r w:rsidRPr="0084168F">
        <w:t xml:space="preserve">, reflecting lower consumer demand for goods and services. This scenario explores the implications of lower national household and business confidence and spending, which disrupts both </w:t>
      </w:r>
      <w:r>
        <w:t>the </w:t>
      </w:r>
      <w:r w:rsidRPr="0084168F">
        <w:t>Victorian and Australian economies.</w:t>
      </w:r>
    </w:p>
    <w:p w14:paraId="6A1AA4A4" w14:textId="77777777" w:rsidR="00AB205D" w:rsidRPr="0084168F" w:rsidRDefault="00471A3B">
      <w:r>
        <w:lastRenderedPageBreak/>
        <w:t>In the scenario, lower consumer confidence leads consumers to increase precautionary savings from early 2024, which weighs on their spending both in Victoria and nationally. Household consumption falls by 0.18 per cent relative to the base case in 2023-24, and by 0.77 per cent in 2024-25. Lower demand results in a reduction in capital utilisation among firms, which is modelled as a decline in the productivity of the capital stock. This lowers the incentive for businesses to invest. This results in a 0.19 per cent fall in Victorian investment relative to the base case in 2023-24, and a 0.79 per cent fall in 2024-25.</w:t>
      </w:r>
    </w:p>
    <w:p w14:paraId="1B2B2071" w14:textId="77777777" w:rsidR="00AB205D" w:rsidRPr="0084168F" w:rsidRDefault="00471A3B">
      <w:r>
        <w:t>An improvement in the trade balance p</w:t>
      </w:r>
      <w:r w:rsidRPr="00DA3116">
        <w:t>artly offset</w:t>
      </w:r>
      <w:r>
        <w:t>s</w:t>
      </w:r>
      <w:r w:rsidRPr="00DA3116">
        <w:t xml:space="preserve"> the negative impacts of the falls in consumption and investment on gross state product (GSP)</w:t>
      </w:r>
      <w:r>
        <w:t xml:space="preserve">. This occurs as imports, which are influenced by the fall in domestic consumption and investment, decline by more than exports, which are </w:t>
      </w:r>
      <w:r w:rsidRPr="0084168F">
        <w:t xml:space="preserve">supported by foreign demand. </w:t>
      </w:r>
    </w:p>
    <w:p w14:paraId="60884200" w14:textId="77777777" w:rsidR="00AB205D" w:rsidRPr="0084168F" w:rsidRDefault="00471A3B">
      <w:pPr>
        <w:ind w:right="151"/>
      </w:pPr>
      <w:r w:rsidRPr="0084168F">
        <w:t xml:space="preserve">The shocks to household consumption and investment collectively reduce </w:t>
      </w:r>
      <w:r>
        <w:t>the level of</w:t>
      </w:r>
      <w:r w:rsidRPr="0084168F">
        <w:t xml:space="preserve"> Victoria’s GSP</w:t>
      </w:r>
      <w:r>
        <w:t>, compared with the base case,</w:t>
      </w:r>
      <w:r w:rsidRPr="0084168F">
        <w:t xml:space="preserve"> by </w:t>
      </w:r>
      <w:r>
        <w:t>0.14 per cent</w:t>
      </w:r>
      <w:r w:rsidRPr="0084168F">
        <w:t xml:space="preserve"> in 2023</w:t>
      </w:r>
      <w:r>
        <w:t>-</w:t>
      </w:r>
      <w:r w:rsidRPr="0084168F">
        <w:t xml:space="preserve">24, </w:t>
      </w:r>
      <w:r>
        <w:t>0.58 per cent</w:t>
      </w:r>
      <w:r w:rsidRPr="0084168F">
        <w:t xml:space="preserve"> in 202</w:t>
      </w:r>
      <w:r>
        <w:t>4-</w:t>
      </w:r>
      <w:r w:rsidRPr="0084168F">
        <w:t>2</w:t>
      </w:r>
      <w:r>
        <w:t>5</w:t>
      </w:r>
      <w:r w:rsidRPr="0084168F">
        <w:t xml:space="preserve">, </w:t>
      </w:r>
      <w:r>
        <w:t>0.17 per cent</w:t>
      </w:r>
      <w:r w:rsidRPr="0084168F">
        <w:t xml:space="preserve"> in 202</w:t>
      </w:r>
      <w:r>
        <w:t>5</w:t>
      </w:r>
      <w:r w:rsidRPr="0084168F">
        <w:t>-2</w:t>
      </w:r>
      <w:r>
        <w:t>6</w:t>
      </w:r>
      <w:r w:rsidRPr="0084168F">
        <w:t xml:space="preserve"> and </w:t>
      </w:r>
      <w:r>
        <w:t>0.12 per cent</w:t>
      </w:r>
      <w:r w:rsidRPr="0084168F">
        <w:t xml:space="preserve"> in 2026</w:t>
      </w:r>
      <w:r w:rsidRPr="0084168F">
        <w:noBreakHyphen/>
        <w:t>27. The peak economic impact occurs in 202</w:t>
      </w:r>
      <w:r>
        <w:t>4</w:t>
      </w:r>
      <w:r w:rsidRPr="0084168F">
        <w:noBreakHyphen/>
        <w:t>2</w:t>
      </w:r>
      <w:r>
        <w:t>5</w:t>
      </w:r>
      <w:r w:rsidRPr="0084168F">
        <w:t>, when consumer and business confidence effects are assumed to have a significant role in lowering household consumption and business investment (see Chart </w:t>
      </w:r>
      <w:r w:rsidRPr="00F96D31">
        <w:t>D.1).</w:t>
      </w:r>
      <w:r w:rsidRPr="0084168F">
        <w:t xml:space="preserve"> </w:t>
      </w:r>
      <w:r>
        <w:t xml:space="preserve">Consumption and investment largely recover later in the forecast period as </w:t>
      </w:r>
      <w:r w:rsidRPr="0084168F">
        <w:t xml:space="preserve">these confidence effects dissipate. </w:t>
      </w:r>
    </w:p>
    <w:p w14:paraId="6658E79E" w14:textId="77777777" w:rsidR="00AB205D" w:rsidRPr="0084168F" w:rsidRDefault="00471A3B">
      <w:r>
        <w:t>Government consumption is assumed to remain unchanged. In the scenario there is no further discretionary fiscal expenditure assumed to occur in response to the shock. In practice, governments and the Reserve Bank of Australia may intervene to mitigate the shock’s impacts.</w:t>
      </w:r>
    </w:p>
    <w:p w14:paraId="7BBA8EA2" w14:textId="77777777" w:rsidR="00AB205D" w:rsidRPr="00C86B78" w:rsidRDefault="00471A3B">
      <w:r>
        <w:t>Reduced</w:t>
      </w:r>
      <w:r w:rsidRPr="0084168F">
        <w:t xml:space="preserve"> domestic activity lowers the demand for labour, with employment </w:t>
      </w:r>
      <w:r>
        <w:t>lower by 0.11 per cent</w:t>
      </w:r>
      <w:r w:rsidRPr="0084168F">
        <w:t xml:space="preserve"> in 2023</w:t>
      </w:r>
      <w:r w:rsidRPr="0084168F">
        <w:noBreakHyphen/>
        <w:t>24</w:t>
      </w:r>
      <w:r>
        <w:t xml:space="preserve"> and by 0.44 per cent in 2024-25 compared with</w:t>
      </w:r>
      <w:r w:rsidRPr="0084168F">
        <w:t xml:space="preserve"> the base case. </w:t>
      </w:r>
      <w:r>
        <w:t>This results in higher spare capacity in the labour market, with the unemployment rate 0.40 percentage points higher in 2024-25 in the scenario. This in turn places downwards pressure on wages growth.</w:t>
      </w:r>
      <w:r w:rsidRPr="0084168F">
        <w:t xml:space="preserve"> </w:t>
      </w:r>
      <w:r w:rsidRPr="00C86B78">
        <w:t xml:space="preserve">Weaker domestic activity </w:t>
      </w:r>
      <w:r>
        <w:t>also</w:t>
      </w:r>
      <w:r w:rsidRPr="00C86B78">
        <w:t xml:space="preserve"> puts downward pressure on consumer prices in the near term, though this is partly offset by a weaker currency that leads to higher import prices.</w:t>
      </w:r>
    </w:p>
    <w:p w14:paraId="3EFECED1" w14:textId="77777777" w:rsidR="00AB205D" w:rsidRPr="0084168F" w:rsidRDefault="00471A3B">
      <w:r w:rsidRPr="0084168F">
        <w:t xml:space="preserve">Table </w:t>
      </w:r>
      <w:r w:rsidRPr="00F96D31">
        <w:t>D.1 summarises</w:t>
      </w:r>
      <w:r w:rsidRPr="0084168F">
        <w:t xml:space="preserve"> the economic effects of this shock. </w:t>
      </w:r>
    </w:p>
    <w:p w14:paraId="50510C67" w14:textId="77777777" w:rsidR="00AB205D" w:rsidRPr="0084168F" w:rsidRDefault="00471A3B">
      <w:pPr>
        <w:pStyle w:val="TableHeading"/>
      </w:pPr>
      <w:r w:rsidRPr="00D06C92">
        <w:lastRenderedPageBreak/>
        <w:t xml:space="preserve">Chart </w:t>
      </w:r>
      <w:r>
        <w:t>D</w:t>
      </w:r>
      <w:r w:rsidRPr="00D06C92">
        <w:t xml:space="preserve">.1: </w:t>
      </w:r>
      <w:r w:rsidRPr="00D06C92">
        <w:tab/>
        <w:t xml:space="preserve">Scenario impact on select variables </w:t>
      </w:r>
    </w:p>
    <w:p w14:paraId="5055BB83" w14:textId="77777777" w:rsidR="00AB205D" w:rsidRPr="0084168F" w:rsidRDefault="00471A3B">
      <w:pPr>
        <w:pStyle w:val="Source"/>
      </w:pPr>
      <w:r>
        <w:rPr>
          <w:noProof/>
        </w:rPr>
        <w:drawing>
          <wp:inline distT="0" distB="0" distL="0" distR="0" wp14:anchorId="651FD3EB" wp14:editId="46F83A61">
            <wp:extent cx="4896485" cy="2725420"/>
            <wp:effectExtent l="0" t="0" r="0" b="0"/>
            <wp:docPr id="1" name="Chart 1">
              <a:extLst xmlns:a="http://schemas.openxmlformats.org/drawingml/2006/main">
                <a:ext uri="{FF2B5EF4-FFF2-40B4-BE49-F238E27FC236}">
                  <a16:creationId xmlns:a16="http://schemas.microsoft.com/office/drawing/2014/main" id="{A04EBE38-9CC7-4D43-95B5-256FCDF56E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4"/>
              </a:graphicData>
            </a:graphic>
          </wp:inline>
        </w:drawing>
      </w:r>
    </w:p>
    <w:p w14:paraId="0407603E" w14:textId="77777777" w:rsidR="00AB205D" w:rsidRDefault="00AB205D"/>
    <w:p w14:paraId="2A03E139" w14:textId="77777777" w:rsidR="00AB205D" w:rsidRPr="0084168F" w:rsidRDefault="00471A3B">
      <w:pPr>
        <w:pStyle w:val="TableHeading"/>
      </w:pPr>
      <w:r w:rsidRPr="0084168F">
        <w:t xml:space="preserve">Table </w:t>
      </w:r>
      <w:r>
        <w:t>D</w:t>
      </w:r>
      <w:r w:rsidRPr="0084168F">
        <w:t>.1:</w:t>
      </w:r>
      <w:r w:rsidRPr="0084168F">
        <w:tab/>
        <w:t xml:space="preserve">Projected economic impact of a domestic economic </w:t>
      </w:r>
      <w:r>
        <w:t>slowdown</w:t>
      </w:r>
      <w:r w:rsidRPr="0084168F">
        <w:t xml:space="preserve"> </w:t>
      </w:r>
      <w:r w:rsidRPr="0027541F">
        <w:rPr>
          <w:vertAlign w:val="superscript"/>
        </w:rPr>
        <w:t>(a)</w:t>
      </w:r>
      <w:r w:rsidRPr="0084168F">
        <w:tab/>
        <w:t>(per cent)</w:t>
      </w:r>
    </w:p>
    <w:tbl>
      <w:tblPr>
        <w:tblStyle w:val="DTFTable"/>
        <w:tblW w:w="7711" w:type="dxa"/>
        <w:tblLayout w:type="fixed"/>
        <w:tblLook w:val="06E0" w:firstRow="1" w:lastRow="1" w:firstColumn="1" w:lastColumn="0" w:noHBand="1" w:noVBand="1"/>
      </w:tblPr>
      <w:tblGrid>
        <w:gridCol w:w="4335"/>
        <w:gridCol w:w="844"/>
        <w:gridCol w:w="844"/>
        <w:gridCol w:w="844"/>
        <w:gridCol w:w="844"/>
      </w:tblGrid>
      <w:tr w:rsidR="009C6724" w:rsidRPr="001232A3" w14:paraId="17D9B5FE" w14:textId="77777777" w:rsidTr="009C6724">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4370" w:type="dxa"/>
            <w:hideMark/>
          </w:tcPr>
          <w:p w14:paraId="71E4121C" w14:textId="77777777" w:rsidR="00AB205D" w:rsidRPr="001232A3" w:rsidRDefault="00AB205D">
            <w:pPr>
              <w:keepLines w:val="0"/>
              <w:autoSpaceDE w:val="0"/>
              <w:autoSpaceDN w:val="0"/>
              <w:adjustRightInd w:val="0"/>
              <w:rPr>
                <w:rFonts w:eastAsiaTheme="minorEastAsia" w:cstheme="majorHAnsi"/>
                <w:i w:val="0"/>
                <w:iCs/>
                <w:szCs w:val="17"/>
                <w:lang w:eastAsia="en-AU"/>
              </w:rPr>
            </w:pPr>
          </w:p>
          <w:p w14:paraId="5597A42C" w14:textId="77777777" w:rsidR="00AB205D" w:rsidRPr="001232A3" w:rsidRDefault="00471A3B">
            <w:pPr>
              <w:autoSpaceDE w:val="0"/>
              <w:autoSpaceDN w:val="0"/>
              <w:adjustRightInd w:val="0"/>
              <w:rPr>
                <w:rFonts w:eastAsiaTheme="minorEastAsia" w:cstheme="majorHAnsi"/>
                <w:iCs/>
                <w:szCs w:val="17"/>
                <w:lang w:eastAsia="en-AU"/>
              </w:rPr>
            </w:pPr>
            <w:r w:rsidRPr="001232A3">
              <w:rPr>
                <w:rFonts w:eastAsiaTheme="minorEastAsia" w:cstheme="majorHAnsi"/>
                <w:iCs/>
                <w:szCs w:val="17"/>
                <w:lang w:eastAsia="en-AU"/>
              </w:rPr>
              <w:t xml:space="preserve"> </w:t>
            </w:r>
          </w:p>
        </w:tc>
        <w:tc>
          <w:tcPr>
            <w:tcW w:w="850" w:type="dxa"/>
            <w:hideMark/>
          </w:tcPr>
          <w:p w14:paraId="35820A52" w14:textId="77777777" w:rsidR="00AB205D" w:rsidRPr="001232A3" w:rsidRDefault="00471A3B">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szCs w:val="17"/>
                <w:lang w:eastAsia="en-AU"/>
              </w:rPr>
            </w:pPr>
            <w:r w:rsidRPr="001232A3">
              <w:rPr>
                <w:rFonts w:eastAsiaTheme="minorEastAsia" w:cs="Calibri"/>
                <w:iCs/>
                <w:szCs w:val="17"/>
                <w:lang w:eastAsia="en-AU"/>
              </w:rPr>
              <w:t>2023-24</w:t>
            </w:r>
          </w:p>
          <w:p w14:paraId="58D2B990" w14:textId="77777777" w:rsidR="00AB205D" w:rsidRPr="001232A3" w:rsidRDefault="00471A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sidRPr="001232A3">
              <w:rPr>
                <w:rFonts w:eastAsiaTheme="minorEastAsia" w:cstheme="majorHAnsi"/>
                <w:iCs/>
                <w:szCs w:val="17"/>
                <w:lang w:eastAsia="en-AU"/>
              </w:rPr>
              <w:t>estimate</w:t>
            </w:r>
          </w:p>
        </w:tc>
        <w:tc>
          <w:tcPr>
            <w:tcW w:w="850" w:type="dxa"/>
          </w:tcPr>
          <w:p w14:paraId="2725B7FC" w14:textId="77777777" w:rsidR="00AB205D" w:rsidRPr="001232A3" w:rsidRDefault="00471A3B">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szCs w:val="17"/>
                <w:lang w:eastAsia="en-AU"/>
              </w:rPr>
            </w:pPr>
            <w:r w:rsidRPr="001232A3">
              <w:rPr>
                <w:rFonts w:eastAsiaTheme="minorEastAsia" w:cs="Calibri"/>
                <w:iCs/>
                <w:szCs w:val="17"/>
                <w:lang w:eastAsia="en-AU"/>
              </w:rPr>
              <w:t>2024-25</w:t>
            </w:r>
          </w:p>
          <w:p w14:paraId="6D0FFCE3" w14:textId="77777777" w:rsidR="00AB205D" w:rsidRPr="001232A3" w:rsidRDefault="00471A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sidRPr="001232A3">
              <w:rPr>
                <w:rFonts w:eastAsiaTheme="minorEastAsia" w:cstheme="majorHAnsi"/>
                <w:iCs/>
                <w:szCs w:val="17"/>
                <w:lang w:eastAsia="en-AU"/>
              </w:rPr>
              <w:t>estimate</w:t>
            </w:r>
          </w:p>
        </w:tc>
        <w:tc>
          <w:tcPr>
            <w:tcW w:w="850" w:type="dxa"/>
          </w:tcPr>
          <w:p w14:paraId="19656F1A" w14:textId="77777777" w:rsidR="00AB205D" w:rsidRPr="001232A3" w:rsidRDefault="00471A3B">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szCs w:val="17"/>
                <w:lang w:eastAsia="en-AU"/>
              </w:rPr>
            </w:pPr>
            <w:r w:rsidRPr="001232A3">
              <w:rPr>
                <w:rFonts w:eastAsiaTheme="minorEastAsia" w:cs="Calibri"/>
                <w:iCs/>
                <w:szCs w:val="17"/>
                <w:lang w:eastAsia="en-AU"/>
              </w:rPr>
              <w:t>2025-26</w:t>
            </w:r>
          </w:p>
          <w:p w14:paraId="6363FBCE" w14:textId="77777777" w:rsidR="00AB205D" w:rsidRPr="001232A3" w:rsidRDefault="00471A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sidRPr="001232A3">
              <w:rPr>
                <w:rFonts w:eastAsiaTheme="minorEastAsia" w:cstheme="majorHAnsi"/>
                <w:iCs/>
                <w:szCs w:val="17"/>
                <w:lang w:eastAsia="en-AU"/>
              </w:rPr>
              <w:t>estimate</w:t>
            </w:r>
          </w:p>
        </w:tc>
        <w:tc>
          <w:tcPr>
            <w:tcW w:w="850" w:type="dxa"/>
          </w:tcPr>
          <w:p w14:paraId="0DBFF2FE" w14:textId="77777777" w:rsidR="00AB205D" w:rsidRPr="001232A3" w:rsidRDefault="00471A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Pr>
                <w:rFonts w:eastAsiaTheme="minorEastAsia" w:cstheme="majorHAnsi"/>
                <w:iCs/>
                <w:szCs w:val="17"/>
                <w:lang w:eastAsia="en-AU"/>
              </w:rPr>
              <w:t>2026-27 estimate</w:t>
            </w:r>
          </w:p>
        </w:tc>
      </w:tr>
      <w:tr w:rsidR="009C6724" w:rsidRPr="003A715D" w14:paraId="04EE70DC" w14:textId="77777777" w:rsidTr="009C6724">
        <w:tc>
          <w:tcPr>
            <w:cnfStyle w:val="001000000000" w:firstRow="0" w:lastRow="0" w:firstColumn="1" w:lastColumn="0" w:oddVBand="0" w:evenVBand="0" w:oddHBand="0" w:evenHBand="0" w:firstRowFirstColumn="0" w:firstRowLastColumn="0" w:lastRowFirstColumn="0" w:lastRowLastColumn="0"/>
            <w:tcW w:w="4370" w:type="dxa"/>
            <w:hideMark/>
          </w:tcPr>
          <w:p w14:paraId="1627A233" w14:textId="77777777" w:rsidR="00AB205D" w:rsidRPr="003A715D" w:rsidRDefault="00471A3B">
            <w:pPr>
              <w:keepLines w:val="0"/>
              <w:autoSpaceDE w:val="0"/>
              <w:autoSpaceDN w:val="0"/>
              <w:adjustRightInd w:val="0"/>
              <w:rPr>
                <w:rFonts w:eastAsiaTheme="minorEastAsia" w:cstheme="majorHAnsi"/>
                <w:szCs w:val="17"/>
                <w:lang w:eastAsia="en-AU"/>
              </w:rPr>
            </w:pPr>
            <w:r w:rsidRPr="003A715D">
              <w:rPr>
                <w:rFonts w:eastAsiaTheme="minorEastAsia" w:cstheme="majorHAnsi"/>
                <w:szCs w:val="17"/>
                <w:lang w:eastAsia="en-AU"/>
              </w:rPr>
              <w:t>Real GSP</w:t>
            </w:r>
          </w:p>
        </w:tc>
        <w:tc>
          <w:tcPr>
            <w:tcW w:w="850" w:type="dxa"/>
            <w:tcBorders>
              <w:top w:val="nil"/>
              <w:left w:val="nil"/>
              <w:bottom w:val="nil"/>
              <w:right w:val="nil"/>
            </w:tcBorders>
            <w:shd w:val="clear" w:color="auto" w:fill="auto"/>
            <w:vAlign w:val="center"/>
          </w:tcPr>
          <w:p w14:paraId="0986389A" w14:textId="77777777" w:rsidR="00AB205D" w:rsidRPr="003A715D" w:rsidRDefault="00471A3B">
            <w:pPr>
              <w:cnfStyle w:val="000000000000" w:firstRow="0" w:lastRow="0" w:firstColumn="0" w:lastColumn="0" w:oddVBand="0" w:evenVBand="0" w:oddHBand="0" w:evenHBand="0" w:firstRowFirstColumn="0" w:firstRowLastColumn="0" w:lastRowFirstColumn="0" w:lastRowLastColumn="0"/>
              <w:rPr>
                <w:szCs w:val="17"/>
              </w:rPr>
            </w:pPr>
            <w:r>
              <w:rPr>
                <w:rFonts w:ascii="Calibri" w:hAnsi="Calibri" w:cs="Calibri"/>
                <w:color w:val="232B39"/>
                <w:szCs w:val="17"/>
              </w:rPr>
              <w:t>(0.14)</w:t>
            </w:r>
          </w:p>
        </w:tc>
        <w:tc>
          <w:tcPr>
            <w:tcW w:w="850" w:type="dxa"/>
            <w:tcBorders>
              <w:top w:val="nil"/>
              <w:left w:val="nil"/>
              <w:bottom w:val="nil"/>
              <w:right w:val="nil"/>
            </w:tcBorders>
            <w:shd w:val="clear" w:color="auto" w:fill="auto"/>
            <w:vAlign w:val="center"/>
          </w:tcPr>
          <w:p w14:paraId="7D3616A7" w14:textId="77777777" w:rsidR="00AB205D" w:rsidRPr="003A715D" w:rsidRDefault="00471A3B">
            <w:pPr>
              <w:cnfStyle w:val="000000000000" w:firstRow="0" w:lastRow="0" w:firstColumn="0" w:lastColumn="0" w:oddVBand="0" w:evenVBand="0" w:oddHBand="0" w:evenHBand="0" w:firstRowFirstColumn="0" w:firstRowLastColumn="0" w:lastRowFirstColumn="0" w:lastRowLastColumn="0"/>
              <w:rPr>
                <w:szCs w:val="17"/>
              </w:rPr>
            </w:pPr>
            <w:r>
              <w:rPr>
                <w:rFonts w:ascii="Calibri" w:hAnsi="Calibri" w:cs="Calibri"/>
                <w:color w:val="232B39"/>
                <w:szCs w:val="17"/>
              </w:rPr>
              <w:t>(0.58)</w:t>
            </w:r>
          </w:p>
        </w:tc>
        <w:tc>
          <w:tcPr>
            <w:tcW w:w="850" w:type="dxa"/>
            <w:tcBorders>
              <w:top w:val="nil"/>
              <w:left w:val="nil"/>
              <w:bottom w:val="nil"/>
              <w:right w:val="nil"/>
            </w:tcBorders>
            <w:shd w:val="clear" w:color="auto" w:fill="auto"/>
            <w:vAlign w:val="center"/>
          </w:tcPr>
          <w:p w14:paraId="1F0FF30A" w14:textId="77777777" w:rsidR="00AB205D" w:rsidRPr="003A715D" w:rsidRDefault="00471A3B">
            <w:pPr>
              <w:cnfStyle w:val="000000000000" w:firstRow="0" w:lastRow="0" w:firstColumn="0" w:lastColumn="0" w:oddVBand="0" w:evenVBand="0" w:oddHBand="0" w:evenHBand="0" w:firstRowFirstColumn="0" w:firstRowLastColumn="0" w:lastRowFirstColumn="0" w:lastRowLastColumn="0"/>
              <w:rPr>
                <w:szCs w:val="17"/>
              </w:rPr>
            </w:pPr>
            <w:r>
              <w:rPr>
                <w:rFonts w:ascii="Calibri" w:hAnsi="Calibri" w:cs="Calibri"/>
                <w:color w:val="232B39"/>
                <w:szCs w:val="17"/>
              </w:rPr>
              <w:t>(0.17)</w:t>
            </w:r>
          </w:p>
        </w:tc>
        <w:tc>
          <w:tcPr>
            <w:tcW w:w="850" w:type="dxa"/>
            <w:tcBorders>
              <w:top w:val="nil"/>
              <w:left w:val="nil"/>
              <w:bottom w:val="nil"/>
              <w:right w:val="nil"/>
            </w:tcBorders>
            <w:shd w:val="clear" w:color="auto" w:fill="auto"/>
            <w:vAlign w:val="center"/>
          </w:tcPr>
          <w:p w14:paraId="41EB8F8A" w14:textId="77777777" w:rsidR="00AB205D" w:rsidRPr="003A715D" w:rsidRDefault="00471A3B">
            <w:pPr>
              <w:cnfStyle w:val="000000000000" w:firstRow="0" w:lastRow="0" w:firstColumn="0" w:lastColumn="0" w:oddVBand="0" w:evenVBand="0" w:oddHBand="0" w:evenHBand="0" w:firstRowFirstColumn="0" w:firstRowLastColumn="0" w:lastRowFirstColumn="0" w:lastRowLastColumn="0"/>
              <w:rPr>
                <w:szCs w:val="17"/>
              </w:rPr>
            </w:pPr>
            <w:r>
              <w:rPr>
                <w:rFonts w:ascii="Calibri" w:hAnsi="Calibri" w:cs="Calibri"/>
                <w:color w:val="232B39"/>
                <w:szCs w:val="17"/>
              </w:rPr>
              <w:t>(0.12)</w:t>
            </w:r>
          </w:p>
        </w:tc>
      </w:tr>
      <w:tr w:rsidR="009C6724" w:rsidRPr="003A715D" w14:paraId="527305B6" w14:textId="77777777" w:rsidTr="009C6724">
        <w:tc>
          <w:tcPr>
            <w:cnfStyle w:val="001000000000" w:firstRow="0" w:lastRow="0" w:firstColumn="1" w:lastColumn="0" w:oddVBand="0" w:evenVBand="0" w:oddHBand="0" w:evenHBand="0" w:firstRowFirstColumn="0" w:firstRowLastColumn="0" w:lastRowFirstColumn="0" w:lastRowLastColumn="0"/>
            <w:tcW w:w="4370" w:type="dxa"/>
            <w:hideMark/>
          </w:tcPr>
          <w:p w14:paraId="4A6C6596" w14:textId="77777777" w:rsidR="00AB205D" w:rsidRPr="003A715D" w:rsidRDefault="00471A3B">
            <w:pPr>
              <w:keepLines w:val="0"/>
              <w:autoSpaceDE w:val="0"/>
              <w:autoSpaceDN w:val="0"/>
              <w:adjustRightInd w:val="0"/>
              <w:rPr>
                <w:rFonts w:eastAsiaTheme="minorEastAsia" w:cstheme="majorHAnsi"/>
                <w:szCs w:val="17"/>
                <w:lang w:eastAsia="en-AU"/>
              </w:rPr>
            </w:pPr>
            <w:r w:rsidRPr="003A715D">
              <w:rPr>
                <w:rFonts w:eastAsiaTheme="minorEastAsia" w:cstheme="majorHAnsi"/>
                <w:szCs w:val="17"/>
                <w:lang w:eastAsia="en-AU"/>
              </w:rPr>
              <w:t>Employment</w:t>
            </w:r>
          </w:p>
        </w:tc>
        <w:tc>
          <w:tcPr>
            <w:tcW w:w="850" w:type="dxa"/>
            <w:tcBorders>
              <w:top w:val="nil"/>
              <w:left w:val="nil"/>
              <w:bottom w:val="nil"/>
              <w:right w:val="nil"/>
            </w:tcBorders>
            <w:shd w:val="clear" w:color="auto" w:fill="auto"/>
            <w:vAlign w:val="center"/>
          </w:tcPr>
          <w:p w14:paraId="3B821824" w14:textId="77777777" w:rsidR="00AB205D" w:rsidRPr="003A715D" w:rsidRDefault="00471A3B">
            <w:pPr>
              <w:cnfStyle w:val="000000000000" w:firstRow="0" w:lastRow="0" w:firstColumn="0" w:lastColumn="0" w:oddVBand="0" w:evenVBand="0" w:oddHBand="0" w:evenHBand="0" w:firstRowFirstColumn="0" w:firstRowLastColumn="0" w:lastRowFirstColumn="0" w:lastRowLastColumn="0"/>
              <w:rPr>
                <w:szCs w:val="17"/>
              </w:rPr>
            </w:pPr>
            <w:r>
              <w:rPr>
                <w:rFonts w:ascii="Calibri" w:hAnsi="Calibri" w:cs="Calibri"/>
                <w:color w:val="232B39"/>
                <w:szCs w:val="17"/>
              </w:rPr>
              <w:t>(0.11)</w:t>
            </w:r>
          </w:p>
        </w:tc>
        <w:tc>
          <w:tcPr>
            <w:tcW w:w="850" w:type="dxa"/>
            <w:tcBorders>
              <w:top w:val="nil"/>
              <w:left w:val="nil"/>
              <w:bottom w:val="nil"/>
              <w:right w:val="nil"/>
            </w:tcBorders>
            <w:shd w:val="clear" w:color="auto" w:fill="auto"/>
            <w:vAlign w:val="center"/>
          </w:tcPr>
          <w:p w14:paraId="08E4DF18" w14:textId="77777777" w:rsidR="00AB205D" w:rsidRPr="003A715D" w:rsidRDefault="00471A3B">
            <w:pPr>
              <w:cnfStyle w:val="000000000000" w:firstRow="0" w:lastRow="0" w:firstColumn="0" w:lastColumn="0" w:oddVBand="0" w:evenVBand="0" w:oddHBand="0" w:evenHBand="0" w:firstRowFirstColumn="0" w:firstRowLastColumn="0" w:lastRowFirstColumn="0" w:lastRowLastColumn="0"/>
              <w:rPr>
                <w:szCs w:val="17"/>
              </w:rPr>
            </w:pPr>
            <w:r>
              <w:rPr>
                <w:rFonts w:ascii="Calibri" w:hAnsi="Calibri" w:cs="Calibri"/>
                <w:color w:val="232B39"/>
                <w:szCs w:val="17"/>
              </w:rPr>
              <w:t>(0.44)</w:t>
            </w:r>
          </w:p>
        </w:tc>
        <w:tc>
          <w:tcPr>
            <w:tcW w:w="850" w:type="dxa"/>
            <w:tcBorders>
              <w:top w:val="nil"/>
              <w:left w:val="nil"/>
              <w:bottom w:val="nil"/>
              <w:right w:val="nil"/>
            </w:tcBorders>
            <w:shd w:val="clear" w:color="auto" w:fill="auto"/>
            <w:vAlign w:val="center"/>
          </w:tcPr>
          <w:p w14:paraId="4F4F502B" w14:textId="77777777" w:rsidR="00AB205D" w:rsidRPr="003A715D" w:rsidRDefault="00471A3B">
            <w:pPr>
              <w:cnfStyle w:val="000000000000" w:firstRow="0" w:lastRow="0" w:firstColumn="0" w:lastColumn="0" w:oddVBand="0" w:evenVBand="0" w:oddHBand="0" w:evenHBand="0" w:firstRowFirstColumn="0" w:firstRowLastColumn="0" w:lastRowFirstColumn="0" w:lastRowLastColumn="0"/>
              <w:rPr>
                <w:szCs w:val="17"/>
              </w:rPr>
            </w:pPr>
            <w:r>
              <w:rPr>
                <w:rFonts w:ascii="Calibri" w:hAnsi="Calibri" w:cs="Calibri"/>
                <w:color w:val="232B39"/>
                <w:szCs w:val="17"/>
              </w:rPr>
              <w:t>(0.06)</w:t>
            </w:r>
          </w:p>
        </w:tc>
        <w:tc>
          <w:tcPr>
            <w:tcW w:w="850" w:type="dxa"/>
            <w:tcBorders>
              <w:top w:val="nil"/>
              <w:left w:val="nil"/>
              <w:bottom w:val="nil"/>
              <w:right w:val="nil"/>
            </w:tcBorders>
            <w:shd w:val="clear" w:color="auto" w:fill="auto"/>
            <w:vAlign w:val="center"/>
          </w:tcPr>
          <w:p w14:paraId="30C36128" w14:textId="77777777" w:rsidR="00AB205D" w:rsidRPr="003A715D" w:rsidRDefault="00471A3B">
            <w:pPr>
              <w:cnfStyle w:val="000000000000" w:firstRow="0" w:lastRow="0" w:firstColumn="0" w:lastColumn="0" w:oddVBand="0" w:evenVBand="0" w:oddHBand="0" w:evenHBand="0" w:firstRowFirstColumn="0" w:firstRowLastColumn="0" w:lastRowFirstColumn="0" w:lastRowLastColumn="0"/>
              <w:rPr>
                <w:szCs w:val="17"/>
              </w:rPr>
            </w:pPr>
            <w:r>
              <w:rPr>
                <w:rFonts w:ascii="Calibri" w:hAnsi="Calibri" w:cs="Calibri"/>
                <w:color w:val="232B39"/>
                <w:szCs w:val="17"/>
              </w:rPr>
              <w:t>(0.02)</w:t>
            </w:r>
          </w:p>
        </w:tc>
      </w:tr>
      <w:tr w:rsidR="009C6724" w:rsidRPr="003A715D" w14:paraId="0CD76E3F" w14:textId="77777777" w:rsidTr="009C6724">
        <w:tc>
          <w:tcPr>
            <w:cnfStyle w:val="001000000000" w:firstRow="0" w:lastRow="0" w:firstColumn="1" w:lastColumn="0" w:oddVBand="0" w:evenVBand="0" w:oddHBand="0" w:evenHBand="0" w:firstRowFirstColumn="0" w:firstRowLastColumn="0" w:lastRowFirstColumn="0" w:lastRowLastColumn="0"/>
            <w:tcW w:w="4370" w:type="dxa"/>
            <w:tcBorders>
              <w:bottom w:val="nil"/>
            </w:tcBorders>
            <w:hideMark/>
          </w:tcPr>
          <w:p w14:paraId="21AEEA37" w14:textId="77777777" w:rsidR="00AB205D" w:rsidRPr="003A715D" w:rsidRDefault="00471A3B">
            <w:pPr>
              <w:keepLines w:val="0"/>
              <w:autoSpaceDE w:val="0"/>
              <w:autoSpaceDN w:val="0"/>
              <w:adjustRightInd w:val="0"/>
              <w:rPr>
                <w:rFonts w:eastAsiaTheme="minorEastAsia" w:cstheme="majorHAnsi"/>
                <w:szCs w:val="17"/>
                <w:lang w:eastAsia="en-AU"/>
              </w:rPr>
            </w:pPr>
            <w:r w:rsidRPr="003A715D">
              <w:rPr>
                <w:rFonts w:eastAsiaTheme="minorEastAsia" w:cstheme="majorHAnsi"/>
                <w:szCs w:val="17"/>
                <w:lang w:eastAsia="en-AU"/>
              </w:rPr>
              <w:t>Consumer price index</w:t>
            </w:r>
          </w:p>
        </w:tc>
        <w:tc>
          <w:tcPr>
            <w:tcW w:w="850" w:type="dxa"/>
            <w:tcBorders>
              <w:top w:val="nil"/>
              <w:left w:val="nil"/>
              <w:bottom w:val="nil"/>
              <w:right w:val="nil"/>
            </w:tcBorders>
            <w:shd w:val="clear" w:color="auto" w:fill="auto"/>
            <w:vAlign w:val="center"/>
          </w:tcPr>
          <w:p w14:paraId="4E5C0451" w14:textId="77777777" w:rsidR="00AB205D" w:rsidRPr="003A715D" w:rsidRDefault="00471A3B">
            <w:pPr>
              <w:cnfStyle w:val="000000000000" w:firstRow="0" w:lastRow="0" w:firstColumn="0" w:lastColumn="0" w:oddVBand="0" w:evenVBand="0" w:oddHBand="0" w:evenHBand="0" w:firstRowFirstColumn="0" w:firstRowLastColumn="0" w:lastRowFirstColumn="0" w:lastRowLastColumn="0"/>
              <w:rPr>
                <w:szCs w:val="17"/>
              </w:rPr>
            </w:pPr>
            <w:r>
              <w:rPr>
                <w:rFonts w:ascii="Calibri" w:hAnsi="Calibri" w:cs="Calibri"/>
                <w:color w:val="232B39"/>
                <w:szCs w:val="17"/>
              </w:rPr>
              <w:t>(0.02)</w:t>
            </w:r>
          </w:p>
        </w:tc>
        <w:tc>
          <w:tcPr>
            <w:tcW w:w="850" w:type="dxa"/>
            <w:tcBorders>
              <w:top w:val="nil"/>
              <w:left w:val="nil"/>
              <w:bottom w:val="nil"/>
              <w:right w:val="nil"/>
            </w:tcBorders>
            <w:shd w:val="clear" w:color="auto" w:fill="auto"/>
            <w:vAlign w:val="center"/>
          </w:tcPr>
          <w:p w14:paraId="3B1E6414" w14:textId="77777777" w:rsidR="00AB205D" w:rsidRPr="003A715D" w:rsidRDefault="00471A3B">
            <w:pPr>
              <w:cnfStyle w:val="000000000000" w:firstRow="0" w:lastRow="0" w:firstColumn="0" w:lastColumn="0" w:oddVBand="0" w:evenVBand="0" w:oddHBand="0" w:evenHBand="0" w:firstRowFirstColumn="0" w:firstRowLastColumn="0" w:lastRowFirstColumn="0" w:lastRowLastColumn="0"/>
              <w:rPr>
                <w:szCs w:val="17"/>
              </w:rPr>
            </w:pPr>
            <w:r>
              <w:rPr>
                <w:rFonts w:ascii="Calibri" w:hAnsi="Calibri" w:cs="Calibri"/>
                <w:color w:val="232B39"/>
                <w:szCs w:val="17"/>
              </w:rPr>
              <w:t>(0.06)</w:t>
            </w:r>
          </w:p>
        </w:tc>
        <w:tc>
          <w:tcPr>
            <w:tcW w:w="850" w:type="dxa"/>
            <w:tcBorders>
              <w:top w:val="nil"/>
              <w:left w:val="nil"/>
              <w:bottom w:val="nil"/>
              <w:right w:val="nil"/>
            </w:tcBorders>
            <w:shd w:val="clear" w:color="auto" w:fill="auto"/>
            <w:vAlign w:val="center"/>
          </w:tcPr>
          <w:p w14:paraId="17F22624" w14:textId="77777777" w:rsidR="00AB205D" w:rsidRPr="003A715D" w:rsidRDefault="00471A3B">
            <w:pPr>
              <w:cnfStyle w:val="000000000000" w:firstRow="0" w:lastRow="0" w:firstColumn="0" w:lastColumn="0" w:oddVBand="0" w:evenVBand="0" w:oddHBand="0" w:evenHBand="0" w:firstRowFirstColumn="0" w:firstRowLastColumn="0" w:lastRowFirstColumn="0" w:lastRowLastColumn="0"/>
              <w:rPr>
                <w:szCs w:val="17"/>
              </w:rPr>
            </w:pPr>
            <w:r>
              <w:rPr>
                <w:rFonts w:ascii="Calibri" w:hAnsi="Calibri" w:cs="Calibri"/>
                <w:color w:val="232B39"/>
                <w:szCs w:val="17"/>
              </w:rPr>
              <w:t>0.02</w:t>
            </w:r>
          </w:p>
        </w:tc>
        <w:tc>
          <w:tcPr>
            <w:tcW w:w="850" w:type="dxa"/>
            <w:tcBorders>
              <w:top w:val="nil"/>
              <w:left w:val="nil"/>
              <w:bottom w:val="nil"/>
              <w:right w:val="nil"/>
            </w:tcBorders>
            <w:shd w:val="clear" w:color="auto" w:fill="auto"/>
            <w:vAlign w:val="center"/>
          </w:tcPr>
          <w:p w14:paraId="3FADE282" w14:textId="77777777" w:rsidR="00AB205D" w:rsidRPr="003A715D" w:rsidRDefault="00471A3B">
            <w:pPr>
              <w:cnfStyle w:val="000000000000" w:firstRow="0" w:lastRow="0" w:firstColumn="0" w:lastColumn="0" w:oddVBand="0" w:evenVBand="0" w:oddHBand="0" w:evenHBand="0" w:firstRowFirstColumn="0" w:firstRowLastColumn="0" w:lastRowFirstColumn="0" w:lastRowLastColumn="0"/>
              <w:rPr>
                <w:szCs w:val="17"/>
              </w:rPr>
            </w:pPr>
            <w:r>
              <w:rPr>
                <w:rFonts w:ascii="Calibri" w:hAnsi="Calibri" w:cs="Calibri"/>
                <w:color w:val="232B39"/>
                <w:szCs w:val="17"/>
              </w:rPr>
              <w:t>0.03</w:t>
            </w:r>
          </w:p>
        </w:tc>
      </w:tr>
      <w:tr w:rsidR="009C6724" w:rsidRPr="003A715D" w14:paraId="5B51D919" w14:textId="77777777" w:rsidTr="009C672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0" w:type="dxa"/>
            <w:tcBorders>
              <w:top w:val="nil"/>
            </w:tcBorders>
            <w:hideMark/>
          </w:tcPr>
          <w:p w14:paraId="3FAD1245" w14:textId="77777777" w:rsidR="00AB205D" w:rsidRPr="002054C2" w:rsidRDefault="00471A3B">
            <w:pPr>
              <w:keepLines w:val="0"/>
              <w:autoSpaceDE w:val="0"/>
              <w:autoSpaceDN w:val="0"/>
              <w:adjustRightInd w:val="0"/>
              <w:rPr>
                <w:rFonts w:eastAsiaTheme="minorEastAsia" w:cstheme="majorHAnsi"/>
                <w:b w:val="0"/>
                <w:bCs/>
                <w:szCs w:val="17"/>
                <w:lang w:eastAsia="en-AU"/>
              </w:rPr>
            </w:pPr>
            <w:r w:rsidRPr="002054C2">
              <w:rPr>
                <w:rFonts w:eastAsiaTheme="minorEastAsia" w:cstheme="majorHAnsi"/>
                <w:b w:val="0"/>
                <w:bCs/>
                <w:szCs w:val="17"/>
                <w:lang w:eastAsia="en-AU"/>
              </w:rPr>
              <w:t>Wage price index</w:t>
            </w:r>
          </w:p>
        </w:tc>
        <w:tc>
          <w:tcPr>
            <w:tcW w:w="850" w:type="dxa"/>
            <w:tcBorders>
              <w:top w:val="nil"/>
              <w:bottom w:val="single" w:sz="12" w:space="0" w:color="auto"/>
            </w:tcBorders>
            <w:shd w:val="clear" w:color="auto" w:fill="auto"/>
            <w:vAlign w:val="center"/>
          </w:tcPr>
          <w:p w14:paraId="6DA2C16C" w14:textId="77777777" w:rsidR="00AB205D" w:rsidRPr="00DE1605" w:rsidRDefault="00471A3B">
            <w:pPr>
              <w:cnfStyle w:val="010000000000" w:firstRow="0" w:lastRow="1" w:firstColumn="0" w:lastColumn="0" w:oddVBand="0" w:evenVBand="0" w:oddHBand="0" w:evenHBand="0" w:firstRowFirstColumn="0" w:firstRowLastColumn="0" w:lastRowFirstColumn="0" w:lastRowLastColumn="0"/>
              <w:rPr>
                <w:b w:val="0"/>
                <w:bCs/>
                <w:szCs w:val="17"/>
              </w:rPr>
            </w:pPr>
            <w:r w:rsidRPr="00DE1605">
              <w:rPr>
                <w:rFonts w:ascii="Calibri" w:hAnsi="Calibri" w:cs="Calibri"/>
                <w:b w:val="0"/>
                <w:bCs/>
                <w:color w:val="232B39"/>
                <w:szCs w:val="17"/>
              </w:rPr>
              <w:t>(0.04)</w:t>
            </w:r>
          </w:p>
        </w:tc>
        <w:tc>
          <w:tcPr>
            <w:tcW w:w="850" w:type="dxa"/>
            <w:tcBorders>
              <w:top w:val="nil"/>
              <w:bottom w:val="single" w:sz="12" w:space="0" w:color="auto"/>
            </w:tcBorders>
            <w:shd w:val="clear" w:color="auto" w:fill="auto"/>
            <w:vAlign w:val="center"/>
          </w:tcPr>
          <w:p w14:paraId="17E33CB4" w14:textId="77777777" w:rsidR="00AB205D" w:rsidRPr="00DE1605" w:rsidRDefault="00471A3B">
            <w:pPr>
              <w:cnfStyle w:val="010000000000" w:firstRow="0" w:lastRow="1" w:firstColumn="0" w:lastColumn="0" w:oddVBand="0" w:evenVBand="0" w:oddHBand="0" w:evenHBand="0" w:firstRowFirstColumn="0" w:firstRowLastColumn="0" w:lastRowFirstColumn="0" w:lastRowLastColumn="0"/>
              <w:rPr>
                <w:b w:val="0"/>
                <w:bCs/>
                <w:szCs w:val="17"/>
              </w:rPr>
            </w:pPr>
            <w:r w:rsidRPr="00DE1605">
              <w:rPr>
                <w:rFonts w:ascii="Calibri" w:hAnsi="Calibri" w:cs="Calibri"/>
                <w:b w:val="0"/>
                <w:bCs/>
                <w:color w:val="232B39"/>
                <w:szCs w:val="17"/>
              </w:rPr>
              <w:t>(0.26)</w:t>
            </w:r>
          </w:p>
        </w:tc>
        <w:tc>
          <w:tcPr>
            <w:tcW w:w="850" w:type="dxa"/>
            <w:tcBorders>
              <w:top w:val="nil"/>
              <w:bottom w:val="single" w:sz="12" w:space="0" w:color="auto"/>
            </w:tcBorders>
            <w:shd w:val="clear" w:color="auto" w:fill="auto"/>
            <w:vAlign w:val="center"/>
          </w:tcPr>
          <w:p w14:paraId="039C9199" w14:textId="77777777" w:rsidR="00AB205D" w:rsidRPr="00DE1605" w:rsidRDefault="00471A3B">
            <w:pPr>
              <w:cnfStyle w:val="010000000000" w:firstRow="0" w:lastRow="1" w:firstColumn="0" w:lastColumn="0" w:oddVBand="0" w:evenVBand="0" w:oddHBand="0" w:evenHBand="0" w:firstRowFirstColumn="0" w:firstRowLastColumn="0" w:lastRowFirstColumn="0" w:lastRowLastColumn="0"/>
              <w:rPr>
                <w:b w:val="0"/>
                <w:bCs/>
                <w:szCs w:val="17"/>
              </w:rPr>
            </w:pPr>
            <w:r w:rsidRPr="00DE1605">
              <w:rPr>
                <w:rFonts w:ascii="Calibri" w:hAnsi="Calibri" w:cs="Calibri"/>
                <w:b w:val="0"/>
                <w:bCs/>
                <w:color w:val="232B39"/>
                <w:szCs w:val="17"/>
              </w:rPr>
              <w:t>(0.25)</w:t>
            </w:r>
          </w:p>
        </w:tc>
        <w:tc>
          <w:tcPr>
            <w:tcW w:w="850" w:type="dxa"/>
            <w:tcBorders>
              <w:top w:val="nil"/>
              <w:bottom w:val="single" w:sz="12" w:space="0" w:color="auto"/>
            </w:tcBorders>
            <w:shd w:val="clear" w:color="auto" w:fill="auto"/>
            <w:vAlign w:val="center"/>
          </w:tcPr>
          <w:p w14:paraId="288A43A5" w14:textId="77777777" w:rsidR="00AB205D" w:rsidRPr="00DE1605" w:rsidRDefault="00471A3B">
            <w:pPr>
              <w:cnfStyle w:val="010000000000" w:firstRow="0" w:lastRow="1" w:firstColumn="0" w:lastColumn="0" w:oddVBand="0" w:evenVBand="0" w:oddHBand="0" w:evenHBand="0" w:firstRowFirstColumn="0" w:firstRowLastColumn="0" w:lastRowFirstColumn="0" w:lastRowLastColumn="0"/>
              <w:rPr>
                <w:b w:val="0"/>
                <w:bCs/>
                <w:szCs w:val="17"/>
              </w:rPr>
            </w:pPr>
            <w:r w:rsidRPr="00DE1605">
              <w:rPr>
                <w:rFonts w:ascii="Calibri" w:hAnsi="Calibri" w:cs="Calibri"/>
                <w:b w:val="0"/>
                <w:bCs/>
                <w:color w:val="232B39"/>
                <w:szCs w:val="17"/>
              </w:rPr>
              <w:t>(0.24)</w:t>
            </w:r>
          </w:p>
        </w:tc>
      </w:tr>
    </w:tbl>
    <w:p w14:paraId="6E026AD9" w14:textId="77777777" w:rsidR="00AB205D" w:rsidRDefault="00471A3B">
      <w:pPr>
        <w:pStyle w:val="Note"/>
      </w:pPr>
      <w:r w:rsidRPr="001232A3">
        <w:t>Note:</w:t>
      </w:r>
      <w:r>
        <w:t xml:space="preserve"> </w:t>
      </w:r>
    </w:p>
    <w:p w14:paraId="6DC9EDB5" w14:textId="77777777" w:rsidR="00AB205D" w:rsidRPr="00C7341B" w:rsidRDefault="00471A3B">
      <w:pPr>
        <w:pStyle w:val="Note"/>
      </w:pPr>
      <w:r w:rsidRPr="00C7341B">
        <w:t>(a)</w:t>
      </w:r>
      <w:r w:rsidRPr="00C7341B">
        <w:tab/>
        <w:t xml:space="preserve">Figures reported are the change in the level of each parameter relative to the baseline forecasts as presented in Chapter 2 </w:t>
      </w:r>
      <w:r w:rsidRPr="00F9018B">
        <w:rPr>
          <w:i w:val="0"/>
        </w:rPr>
        <w:t>Economic context</w:t>
      </w:r>
      <w:r w:rsidRPr="00C7341B">
        <w:t>.</w:t>
      </w:r>
    </w:p>
    <w:p w14:paraId="76B121BA" w14:textId="77777777" w:rsidR="00AB205D" w:rsidRPr="005C5092" w:rsidRDefault="00471A3B">
      <w:pPr>
        <w:rPr>
          <w:color w:val="000000" w:themeColor="text1"/>
        </w:rPr>
      </w:pPr>
      <w:r w:rsidRPr="005C5092">
        <w:rPr>
          <w:color w:val="000000" w:themeColor="text1"/>
        </w:rPr>
        <w:t xml:space="preserve">The shock has a negative fiscal impact on the </w:t>
      </w:r>
      <w:r>
        <w:rPr>
          <w:color w:val="000000" w:themeColor="text1"/>
        </w:rPr>
        <w:t>S</w:t>
      </w:r>
      <w:r w:rsidRPr="005C5092">
        <w:rPr>
          <w:color w:val="000000" w:themeColor="text1"/>
        </w:rPr>
        <w:t>tate’s finances (see Table D.2). Lower domestic consumer demand and investment lead to lower property related taxation revenue, including land transfer duty and land taxes. Payroll tax revenue also falls due to lower growth in employment and wages. Reduced consumption leads to a smaller national GST pool – and hence lower GST grant revenue for Victoria. As a result, income from transactions is lower over the forward estimates.</w:t>
      </w:r>
    </w:p>
    <w:p w14:paraId="0467C8D8" w14:textId="77777777" w:rsidR="00AB205D" w:rsidRPr="00AE5242" w:rsidRDefault="00471A3B">
      <w:pPr>
        <w:rPr>
          <w:b/>
          <w:bCs/>
          <w:color w:val="000000" w:themeColor="text1"/>
        </w:rPr>
      </w:pPr>
      <w:r w:rsidRPr="005C5092">
        <w:rPr>
          <w:color w:val="000000" w:themeColor="text1"/>
        </w:rPr>
        <w:t>Expenses from transactions are also lower in the scenario relative to the base case, mainly due to lower public sector wage costs, which lowers employee expenses. These estimated impacts on expenses reflect the assumed relationship between private and public sector wages in the model: namely that public sector wage growth corresponds to private sector wage growth in the medium to long term. The decrease in expenses is partly offset by higher interest expenses due to a higher level of debt (resulting from revenue falling by more than expenses in the scenario).</w:t>
      </w:r>
      <w:r>
        <w:rPr>
          <w:color w:val="000000" w:themeColor="text1"/>
        </w:rPr>
        <w:t xml:space="preserve"> </w:t>
      </w:r>
    </w:p>
    <w:p w14:paraId="1C90CC14" w14:textId="77777777" w:rsidR="00AB205D" w:rsidRPr="005C5092" w:rsidRDefault="00471A3B">
      <w:pPr>
        <w:pStyle w:val="TableHeading"/>
      </w:pPr>
      <w:r w:rsidRPr="005C5092">
        <w:lastRenderedPageBreak/>
        <w:t>Table D.2:</w:t>
      </w:r>
      <w:r w:rsidRPr="005C5092">
        <w:tab/>
        <w:t xml:space="preserve">Projected fiscal impact of a domestic economic slowdown </w:t>
      </w:r>
      <w:r w:rsidRPr="005C5092">
        <w:rPr>
          <w:vertAlign w:val="superscript"/>
        </w:rPr>
        <w:t>(a)</w:t>
      </w:r>
      <w:r>
        <w:rPr>
          <w:vertAlign w:val="superscript"/>
        </w:rPr>
        <w:t xml:space="preserve"> </w:t>
      </w:r>
      <w:r w:rsidRPr="005C5092">
        <w:tab/>
        <w:t>($ million)</w:t>
      </w:r>
    </w:p>
    <w:tbl>
      <w:tblPr>
        <w:tblStyle w:val="DTFTable"/>
        <w:tblW w:w="7711" w:type="dxa"/>
        <w:tblLayout w:type="fixed"/>
        <w:tblLook w:val="06E0" w:firstRow="1" w:lastRow="1" w:firstColumn="1" w:lastColumn="0" w:noHBand="1" w:noVBand="1"/>
      </w:tblPr>
      <w:tblGrid>
        <w:gridCol w:w="4332"/>
        <w:gridCol w:w="844"/>
        <w:gridCol w:w="845"/>
        <w:gridCol w:w="845"/>
        <w:gridCol w:w="845"/>
      </w:tblGrid>
      <w:tr w:rsidR="009C6724" w:rsidRPr="005C5092" w14:paraId="33CA1581" w14:textId="77777777" w:rsidTr="009C6724">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4332" w:type="dxa"/>
          </w:tcPr>
          <w:p w14:paraId="79F1EB49" w14:textId="77777777" w:rsidR="00AB205D" w:rsidRPr="005C5092" w:rsidRDefault="00AB205D">
            <w:pPr>
              <w:autoSpaceDE w:val="0"/>
              <w:autoSpaceDN w:val="0"/>
              <w:adjustRightInd w:val="0"/>
              <w:rPr>
                <w:rFonts w:eastAsiaTheme="minorEastAsia" w:cs="Calibri"/>
                <w:iCs/>
                <w:color w:val="000000"/>
                <w:szCs w:val="17"/>
                <w:lang w:eastAsia="en-AU"/>
              </w:rPr>
            </w:pPr>
          </w:p>
        </w:tc>
        <w:tc>
          <w:tcPr>
            <w:tcW w:w="844" w:type="dxa"/>
            <w:hideMark/>
          </w:tcPr>
          <w:p w14:paraId="50DC4F6C" w14:textId="77777777" w:rsidR="00AB205D" w:rsidRPr="005C5092" w:rsidRDefault="00471A3B">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szCs w:val="17"/>
                <w:lang w:eastAsia="en-AU"/>
              </w:rPr>
            </w:pPr>
            <w:r w:rsidRPr="005C5092">
              <w:rPr>
                <w:rFonts w:eastAsiaTheme="minorEastAsia" w:cs="Calibri"/>
                <w:iCs/>
                <w:szCs w:val="17"/>
                <w:lang w:eastAsia="en-AU"/>
              </w:rPr>
              <w:t>2023-24</w:t>
            </w:r>
          </w:p>
          <w:p w14:paraId="2EDFBE79" w14:textId="77777777" w:rsidR="00AB205D" w:rsidRPr="005C5092" w:rsidRDefault="00471A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7"/>
                <w:lang w:eastAsia="en-AU"/>
              </w:rPr>
            </w:pPr>
            <w:r w:rsidRPr="005C5092">
              <w:rPr>
                <w:rFonts w:eastAsiaTheme="minorEastAsia" w:cstheme="majorHAnsi"/>
                <w:iCs/>
                <w:szCs w:val="17"/>
                <w:lang w:eastAsia="en-AU"/>
              </w:rPr>
              <w:t>estimate</w:t>
            </w:r>
          </w:p>
        </w:tc>
        <w:tc>
          <w:tcPr>
            <w:tcW w:w="845" w:type="dxa"/>
            <w:hideMark/>
          </w:tcPr>
          <w:p w14:paraId="589AF26F" w14:textId="77777777" w:rsidR="00AB205D" w:rsidRPr="005C5092" w:rsidRDefault="00471A3B">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szCs w:val="17"/>
                <w:lang w:eastAsia="en-AU"/>
              </w:rPr>
            </w:pPr>
            <w:r w:rsidRPr="005C5092">
              <w:rPr>
                <w:rFonts w:eastAsiaTheme="minorEastAsia" w:cs="Calibri"/>
                <w:iCs/>
                <w:szCs w:val="17"/>
                <w:lang w:eastAsia="en-AU"/>
              </w:rPr>
              <w:t>2024-25</w:t>
            </w:r>
          </w:p>
          <w:p w14:paraId="4B537B4B" w14:textId="77777777" w:rsidR="00AB205D" w:rsidRPr="005C5092" w:rsidRDefault="00471A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7"/>
                <w:lang w:eastAsia="en-AU"/>
              </w:rPr>
            </w:pPr>
            <w:r w:rsidRPr="005C5092">
              <w:rPr>
                <w:rFonts w:eastAsiaTheme="minorEastAsia" w:cstheme="majorHAnsi"/>
                <w:iCs/>
                <w:szCs w:val="17"/>
                <w:lang w:eastAsia="en-AU"/>
              </w:rPr>
              <w:t>estimate</w:t>
            </w:r>
          </w:p>
        </w:tc>
        <w:tc>
          <w:tcPr>
            <w:tcW w:w="845" w:type="dxa"/>
            <w:hideMark/>
          </w:tcPr>
          <w:p w14:paraId="5CADC675" w14:textId="77777777" w:rsidR="00AB205D" w:rsidRPr="005C5092" w:rsidRDefault="00471A3B">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szCs w:val="17"/>
                <w:lang w:eastAsia="en-AU"/>
              </w:rPr>
            </w:pPr>
            <w:r w:rsidRPr="005C5092">
              <w:rPr>
                <w:rFonts w:eastAsiaTheme="minorEastAsia" w:cs="Calibri"/>
                <w:iCs/>
                <w:szCs w:val="17"/>
                <w:lang w:eastAsia="en-AU"/>
              </w:rPr>
              <w:t>2025-26</w:t>
            </w:r>
          </w:p>
          <w:p w14:paraId="11A36B05" w14:textId="77777777" w:rsidR="00AB205D" w:rsidRPr="005C5092" w:rsidRDefault="00471A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7"/>
                <w:lang w:eastAsia="en-AU"/>
              </w:rPr>
            </w:pPr>
            <w:r w:rsidRPr="005C5092">
              <w:rPr>
                <w:rFonts w:eastAsiaTheme="minorEastAsia" w:cstheme="majorHAnsi"/>
                <w:iCs/>
                <w:szCs w:val="17"/>
                <w:lang w:eastAsia="en-AU"/>
              </w:rPr>
              <w:t>estimate</w:t>
            </w:r>
          </w:p>
        </w:tc>
        <w:tc>
          <w:tcPr>
            <w:tcW w:w="845" w:type="dxa"/>
            <w:hideMark/>
          </w:tcPr>
          <w:p w14:paraId="454D639A" w14:textId="77777777" w:rsidR="00AB205D" w:rsidRPr="005C5092" w:rsidRDefault="00471A3B">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 w:val="0"/>
                <w:iCs/>
                <w:szCs w:val="17"/>
                <w:lang w:eastAsia="en-AU"/>
              </w:rPr>
            </w:pPr>
            <w:r w:rsidRPr="005C5092">
              <w:rPr>
                <w:rFonts w:eastAsiaTheme="minorEastAsia" w:cs="Calibri"/>
                <w:iCs/>
                <w:szCs w:val="17"/>
                <w:lang w:eastAsia="en-AU"/>
              </w:rPr>
              <w:t>2026-27</w:t>
            </w:r>
          </w:p>
          <w:p w14:paraId="44F2DB0B" w14:textId="77777777" w:rsidR="00AB205D" w:rsidRPr="005C5092" w:rsidRDefault="00471A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7"/>
                <w:lang w:eastAsia="en-AU"/>
              </w:rPr>
            </w:pPr>
            <w:r w:rsidRPr="005C5092">
              <w:rPr>
                <w:rFonts w:eastAsiaTheme="minorEastAsia" w:cstheme="majorHAnsi"/>
                <w:iCs/>
                <w:szCs w:val="17"/>
                <w:lang w:eastAsia="en-AU"/>
              </w:rPr>
              <w:t>estimate</w:t>
            </w:r>
          </w:p>
        </w:tc>
      </w:tr>
      <w:tr w:rsidR="009C6724" w:rsidRPr="005C5092" w14:paraId="6E0128E3" w14:textId="77777777" w:rsidTr="009C6724">
        <w:tc>
          <w:tcPr>
            <w:cnfStyle w:val="001000000000" w:firstRow="0" w:lastRow="0" w:firstColumn="1" w:lastColumn="0" w:oddVBand="0" w:evenVBand="0" w:oddHBand="0" w:evenHBand="0" w:firstRowFirstColumn="0" w:firstRowLastColumn="0" w:lastRowFirstColumn="0" w:lastRowLastColumn="0"/>
            <w:tcW w:w="4332" w:type="dxa"/>
            <w:tcBorders>
              <w:top w:val="nil"/>
              <w:left w:val="nil"/>
              <w:bottom w:val="nil"/>
              <w:right w:val="nil"/>
            </w:tcBorders>
            <w:shd w:val="clear" w:color="000000" w:fill="FFFFFF"/>
            <w:vAlign w:val="bottom"/>
            <w:hideMark/>
          </w:tcPr>
          <w:p w14:paraId="6AA7CDE7" w14:textId="77777777" w:rsidR="00AB205D" w:rsidRPr="005C5092" w:rsidRDefault="00471A3B">
            <w:pPr>
              <w:keepLines w:val="0"/>
              <w:autoSpaceDE w:val="0"/>
              <w:autoSpaceDN w:val="0"/>
              <w:adjustRightInd w:val="0"/>
              <w:rPr>
                <w:rFonts w:eastAsiaTheme="minorEastAsia" w:cs="Calibri"/>
                <w:color w:val="000000"/>
                <w:szCs w:val="17"/>
                <w:lang w:eastAsia="en-AU"/>
              </w:rPr>
            </w:pPr>
            <w:r w:rsidRPr="005C5092">
              <w:rPr>
                <w:rFonts w:ascii="Calibri" w:hAnsi="Calibri" w:cs="Calibri"/>
                <w:szCs w:val="17"/>
              </w:rPr>
              <w:t>Income from transactions</w:t>
            </w:r>
          </w:p>
        </w:tc>
        <w:tc>
          <w:tcPr>
            <w:tcW w:w="844" w:type="dxa"/>
            <w:tcBorders>
              <w:top w:val="nil"/>
              <w:left w:val="nil"/>
              <w:bottom w:val="nil"/>
              <w:right w:val="nil"/>
            </w:tcBorders>
            <w:shd w:val="clear" w:color="auto" w:fill="auto"/>
            <w:vAlign w:val="bottom"/>
          </w:tcPr>
          <w:p w14:paraId="4293012B" w14:textId="77777777" w:rsidR="00AB205D" w:rsidRPr="000B46B1" w:rsidRDefault="00471A3B">
            <w:pPr>
              <w:cnfStyle w:val="000000000000" w:firstRow="0" w:lastRow="0" w:firstColumn="0" w:lastColumn="0" w:oddVBand="0" w:evenVBand="0" w:oddHBand="0" w:evenHBand="0" w:firstRowFirstColumn="0" w:firstRowLastColumn="0" w:lastRowFirstColumn="0" w:lastRowLastColumn="0"/>
              <w:rPr>
                <w:szCs w:val="17"/>
              </w:rPr>
            </w:pPr>
            <w:r w:rsidRPr="000B46B1">
              <w:rPr>
                <w:rFonts w:ascii="Calibri" w:hAnsi="Calibri" w:cs="Calibri"/>
                <w:szCs w:val="17"/>
              </w:rPr>
              <w:t>(</w:t>
            </w:r>
            <w:r w:rsidRPr="00664ECB">
              <w:rPr>
                <w:rFonts w:ascii="Calibri" w:hAnsi="Calibri" w:cs="Calibri"/>
                <w:szCs w:val="17"/>
              </w:rPr>
              <w:t>87.8</w:t>
            </w:r>
            <w:r w:rsidRPr="000B46B1">
              <w:rPr>
                <w:rFonts w:ascii="Calibri" w:hAnsi="Calibri" w:cs="Calibri"/>
                <w:szCs w:val="17"/>
              </w:rPr>
              <w:t>)</w:t>
            </w:r>
          </w:p>
        </w:tc>
        <w:tc>
          <w:tcPr>
            <w:tcW w:w="845" w:type="dxa"/>
            <w:tcBorders>
              <w:top w:val="nil"/>
              <w:left w:val="nil"/>
              <w:bottom w:val="nil"/>
              <w:right w:val="nil"/>
            </w:tcBorders>
            <w:shd w:val="clear" w:color="auto" w:fill="auto"/>
            <w:vAlign w:val="bottom"/>
          </w:tcPr>
          <w:p w14:paraId="1CA097D4" w14:textId="77777777" w:rsidR="00AB205D" w:rsidRPr="000B46B1" w:rsidRDefault="00471A3B">
            <w:pPr>
              <w:cnfStyle w:val="000000000000" w:firstRow="0" w:lastRow="0" w:firstColumn="0" w:lastColumn="0" w:oddVBand="0" w:evenVBand="0" w:oddHBand="0" w:evenHBand="0" w:firstRowFirstColumn="0" w:firstRowLastColumn="0" w:lastRowFirstColumn="0" w:lastRowLastColumn="0"/>
              <w:rPr>
                <w:szCs w:val="17"/>
              </w:rPr>
            </w:pPr>
            <w:r w:rsidRPr="000B46B1">
              <w:rPr>
                <w:rFonts w:ascii="Calibri" w:hAnsi="Calibri" w:cs="Calibri"/>
                <w:szCs w:val="17"/>
              </w:rPr>
              <w:t>(426.</w:t>
            </w:r>
            <w:r w:rsidRPr="00664ECB">
              <w:rPr>
                <w:rFonts w:ascii="Calibri" w:hAnsi="Calibri" w:cs="Calibri"/>
                <w:szCs w:val="17"/>
              </w:rPr>
              <w:t>5</w:t>
            </w:r>
            <w:r w:rsidRPr="000B46B1">
              <w:rPr>
                <w:rFonts w:ascii="Calibri" w:hAnsi="Calibri" w:cs="Calibri"/>
                <w:szCs w:val="17"/>
              </w:rPr>
              <w:t>)</w:t>
            </w:r>
          </w:p>
        </w:tc>
        <w:tc>
          <w:tcPr>
            <w:tcW w:w="845" w:type="dxa"/>
            <w:tcBorders>
              <w:top w:val="nil"/>
              <w:left w:val="nil"/>
              <w:bottom w:val="nil"/>
              <w:right w:val="nil"/>
            </w:tcBorders>
            <w:shd w:val="clear" w:color="auto" w:fill="auto"/>
            <w:vAlign w:val="bottom"/>
          </w:tcPr>
          <w:p w14:paraId="57ED6540" w14:textId="77777777" w:rsidR="00AB205D" w:rsidRPr="000B46B1" w:rsidRDefault="00471A3B">
            <w:pPr>
              <w:cnfStyle w:val="000000000000" w:firstRow="0" w:lastRow="0" w:firstColumn="0" w:lastColumn="0" w:oddVBand="0" w:evenVBand="0" w:oddHBand="0" w:evenHBand="0" w:firstRowFirstColumn="0" w:firstRowLastColumn="0" w:lastRowFirstColumn="0" w:lastRowLastColumn="0"/>
              <w:rPr>
                <w:szCs w:val="17"/>
              </w:rPr>
            </w:pPr>
            <w:r w:rsidRPr="000B46B1">
              <w:rPr>
                <w:rFonts w:ascii="Calibri" w:hAnsi="Calibri" w:cs="Calibri"/>
                <w:szCs w:val="17"/>
              </w:rPr>
              <w:t>(138.</w:t>
            </w:r>
            <w:r w:rsidRPr="00664ECB">
              <w:rPr>
                <w:rFonts w:ascii="Calibri" w:hAnsi="Calibri" w:cs="Calibri"/>
                <w:szCs w:val="17"/>
              </w:rPr>
              <w:t>1</w:t>
            </w:r>
            <w:r w:rsidRPr="000B46B1">
              <w:rPr>
                <w:rFonts w:ascii="Calibri" w:hAnsi="Calibri" w:cs="Calibri"/>
                <w:szCs w:val="17"/>
              </w:rPr>
              <w:t>)</w:t>
            </w:r>
          </w:p>
        </w:tc>
        <w:tc>
          <w:tcPr>
            <w:tcW w:w="845" w:type="dxa"/>
            <w:tcBorders>
              <w:top w:val="nil"/>
              <w:left w:val="nil"/>
              <w:bottom w:val="nil"/>
              <w:right w:val="nil"/>
            </w:tcBorders>
            <w:shd w:val="clear" w:color="auto" w:fill="auto"/>
            <w:vAlign w:val="bottom"/>
          </w:tcPr>
          <w:p w14:paraId="49521BCB" w14:textId="77777777" w:rsidR="00AB205D" w:rsidRPr="000B46B1" w:rsidRDefault="00471A3B">
            <w:pPr>
              <w:cnfStyle w:val="000000000000" w:firstRow="0" w:lastRow="0" w:firstColumn="0" w:lastColumn="0" w:oddVBand="0" w:evenVBand="0" w:oddHBand="0" w:evenHBand="0" w:firstRowFirstColumn="0" w:firstRowLastColumn="0" w:lastRowFirstColumn="0" w:lastRowLastColumn="0"/>
              <w:rPr>
                <w:szCs w:val="17"/>
              </w:rPr>
            </w:pPr>
            <w:r w:rsidRPr="000B46B1">
              <w:rPr>
                <w:rFonts w:ascii="Calibri" w:hAnsi="Calibri" w:cs="Calibri"/>
                <w:szCs w:val="17"/>
              </w:rPr>
              <w:t>(</w:t>
            </w:r>
            <w:r w:rsidRPr="00664ECB">
              <w:rPr>
                <w:rFonts w:ascii="Calibri" w:hAnsi="Calibri" w:cs="Calibri"/>
                <w:szCs w:val="17"/>
              </w:rPr>
              <w:t>100.5</w:t>
            </w:r>
            <w:r w:rsidRPr="000B46B1">
              <w:rPr>
                <w:rFonts w:ascii="Calibri" w:hAnsi="Calibri" w:cs="Calibri"/>
                <w:szCs w:val="17"/>
              </w:rPr>
              <w:t>)</w:t>
            </w:r>
          </w:p>
        </w:tc>
      </w:tr>
      <w:tr w:rsidR="009C6724" w:rsidRPr="005C5092" w14:paraId="562E2C1F" w14:textId="77777777" w:rsidTr="009C6724">
        <w:tc>
          <w:tcPr>
            <w:cnfStyle w:val="001000000000" w:firstRow="0" w:lastRow="0" w:firstColumn="1" w:lastColumn="0" w:oddVBand="0" w:evenVBand="0" w:oddHBand="0" w:evenHBand="0" w:firstRowFirstColumn="0" w:firstRowLastColumn="0" w:lastRowFirstColumn="0" w:lastRowLastColumn="0"/>
            <w:tcW w:w="4332" w:type="dxa"/>
            <w:tcBorders>
              <w:top w:val="nil"/>
              <w:left w:val="nil"/>
              <w:bottom w:val="nil"/>
              <w:right w:val="nil"/>
            </w:tcBorders>
            <w:shd w:val="clear" w:color="000000" w:fill="FFFFFF"/>
            <w:vAlign w:val="bottom"/>
            <w:hideMark/>
          </w:tcPr>
          <w:p w14:paraId="3D8A8D1E" w14:textId="77777777" w:rsidR="00AB205D" w:rsidRPr="005C5092" w:rsidRDefault="00471A3B">
            <w:pPr>
              <w:keepLines w:val="0"/>
              <w:autoSpaceDE w:val="0"/>
              <w:autoSpaceDN w:val="0"/>
              <w:adjustRightInd w:val="0"/>
              <w:rPr>
                <w:rFonts w:eastAsiaTheme="minorEastAsia" w:cs="Calibri"/>
                <w:color w:val="000000"/>
                <w:szCs w:val="17"/>
                <w:lang w:eastAsia="en-AU"/>
              </w:rPr>
            </w:pPr>
            <w:r w:rsidRPr="005C5092">
              <w:rPr>
                <w:rFonts w:ascii="Calibri" w:hAnsi="Calibri" w:cs="Calibri"/>
                <w:szCs w:val="17"/>
              </w:rPr>
              <w:t>Expenses from transactions</w:t>
            </w:r>
          </w:p>
        </w:tc>
        <w:tc>
          <w:tcPr>
            <w:tcW w:w="844" w:type="dxa"/>
            <w:tcBorders>
              <w:top w:val="nil"/>
              <w:left w:val="nil"/>
              <w:bottom w:val="nil"/>
              <w:right w:val="nil"/>
            </w:tcBorders>
            <w:shd w:val="clear" w:color="auto" w:fill="auto"/>
            <w:vAlign w:val="bottom"/>
          </w:tcPr>
          <w:p w14:paraId="07548D18" w14:textId="77777777" w:rsidR="00AB205D" w:rsidRPr="000B46B1" w:rsidRDefault="00471A3B">
            <w:pPr>
              <w:cnfStyle w:val="000000000000" w:firstRow="0" w:lastRow="0" w:firstColumn="0" w:lastColumn="0" w:oddVBand="0" w:evenVBand="0" w:oddHBand="0" w:evenHBand="0" w:firstRowFirstColumn="0" w:firstRowLastColumn="0" w:lastRowFirstColumn="0" w:lastRowLastColumn="0"/>
              <w:rPr>
                <w:szCs w:val="17"/>
              </w:rPr>
            </w:pPr>
            <w:r w:rsidRPr="000B46B1">
              <w:rPr>
                <w:rFonts w:ascii="Calibri" w:hAnsi="Calibri" w:cs="Calibri"/>
                <w:szCs w:val="17"/>
              </w:rPr>
              <w:t>(4.</w:t>
            </w:r>
            <w:r w:rsidRPr="00664ECB">
              <w:rPr>
                <w:rFonts w:ascii="Calibri" w:hAnsi="Calibri" w:cs="Calibri"/>
                <w:szCs w:val="17"/>
              </w:rPr>
              <w:t>3</w:t>
            </w:r>
            <w:r w:rsidRPr="000B46B1">
              <w:rPr>
                <w:rFonts w:ascii="Calibri" w:hAnsi="Calibri" w:cs="Calibri"/>
                <w:szCs w:val="17"/>
              </w:rPr>
              <w:t>)</w:t>
            </w:r>
          </w:p>
        </w:tc>
        <w:tc>
          <w:tcPr>
            <w:tcW w:w="845" w:type="dxa"/>
            <w:tcBorders>
              <w:top w:val="nil"/>
              <w:left w:val="nil"/>
              <w:bottom w:val="nil"/>
              <w:right w:val="nil"/>
            </w:tcBorders>
            <w:shd w:val="clear" w:color="auto" w:fill="auto"/>
            <w:vAlign w:val="bottom"/>
          </w:tcPr>
          <w:p w14:paraId="51B59959" w14:textId="77777777" w:rsidR="00AB205D" w:rsidRPr="000B46B1" w:rsidRDefault="00471A3B">
            <w:pPr>
              <w:cnfStyle w:val="000000000000" w:firstRow="0" w:lastRow="0" w:firstColumn="0" w:lastColumn="0" w:oddVBand="0" w:evenVBand="0" w:oddHBand="0" w:evenHBand="0" w:firstRowFirstColumn="0" w:firstRowLastColumn="0" w:lastRowFirstColumn="0" w:lastRowLastColumn="0"/>
              <w:rPr>
                <w:szCs w:val="17"/>
              </w:rPr>
            </w:pPr>
            <w:r w:rsidRPr="000B46B1">
              <w:rPr>
                <w:rFonts w:ascii="Calibri" w:hAnsi="Calibri" w:cs="Calibri"/>
                <w:szCs w:val="17"/>
              </w:rPr>
              <w:t>(49.</w:t>
            </w:r>
            <w:r w:rsidRPr="00664ECB">
              <w:rPr>
                <w:rFonts w:ascii="Calibri" w:hAnsi="Calibri" w:cs="Calibri"/>
                <w:szCs w:val="17"/>
              </w:rPr>
              <w:t>7</w:t>
            </w:r>
            <w:r w:rsidRPr="000B46B1">
              <w:rPr>
                <w:rFonts w:ascii="Calibri" w:hAnsi="Calibri" w:cs="Calibri"/>
                <w:szCs w:val="17"/>
              </w:rPr>
              <w:t>)</w:t>
            </w:r>
          </w:p>
        </w:tc>
        <w:tc>
          <w:tcPr>
            <w:tcW w:w="845" w:type="dxa"/>
            <w:tcBorders>
              <w:top w:val="nil"/>
              <w:left w:val="nil"/>
              <w:bottom w:val="nil"/>
              <w:right w:val="nil"/>
            </w:tcBorders>
            <w:shd w:val="clear" w:color="auto" w:fill="auto"/>
            <w:vAlign w:val="bottom"/>
          </w:tcPr>
          <w:p w14:paraId="3EC8DE0C" w14:textId="77777777" w:rsidR="00AB205D" w:rsidRPr="000B46B1" w:rsidRDefault="00471A3B">
            <w:pPr>
              <w:cnfStyle w:val="000000000000" w:firstRow="0" w:lastRow="0" w:firstColumn="0" w:lastColumn="0" w:oddVBand="0" w:evenVBand="0" w:oddHBand="0" w:evenHBand="0" w:firstRowFirstColumn="0" w:firstRowLastColumn="0" w:lastRowFirstColumn="0" w:lastRowLastColumn="0"/>
              <w:rPr>
                <w:szCs w:val="17"/>
              </w:rPr>
            </w:pPr>
            <w:r w:rsidRPr="000B46B1">
              <w:rPr>
                <w:rFonts w:ascii="Calibri" w:hAnsi="Calibri" w:cs="Calibri"/>
                <w:szCs w:val="17"/>
              </w:rPr>
              <w:t>(49.</w:t>
            </w:r>
            <w:r w:rsidRPr="00664ECB">
              <w:rPr>
                <w:rFonts w:ascii="Calibri" w:hAnsi="Calibri" w:cs="Calibri"/>
                <w:szCs w:val="17"/>
              </w:rPr>
              <w:t>3</w:t>
            </w:r>
            <w:r w:rsidRPr="000B46B1">
              <w:rPr>
                <w:rFonts w:ascii="Calibri" w:hAnsi="Calibri" w:cs="Calibri"/>
                <w:szCs w:val="17"/>
              </w:rPr>
              <w:t>)</w:t>
            </w:r>
          </w:p>
        </w:tc>
        <w:tc>
          <w:tcPr>
            <w:tcW w:w="845" w:type="dxa"/>
            <w:tcBorders>
              <w:top w:val="nil"/>
              <w:left w:val="nil"/>
              <w:bottom w:val="nil"/>
              <w:right w:val="nil"/>
            </w:tcBorders>
            <w:shd w:val="clear" w:color="auto" w:fill="auto"/>
            <w:vAlign w:val="bottom"/>
          </w:tcPr>
          <w:p w14:paraId="3AFB4FB8" w14:textId="77777777" w:rsidR="00AB205D" w:rsidRPr="000B46B1" w:rsidRDefault="00471A3B">
            <w:pPr>
              <w:cnfStyle w:val="000000000000" w:firstRow="0" w:lastRow="0" w:firstColumn="0" w:lastColumn="0" w:oddVBand="0" w:evenVBand="0" w:oddHBand="0" w:evenHBand="0" w:firstRowFirstColumn="0" w:firstRowLastColumn="0" w:lastRowFirstColumn="0" w:lastRowLastColumn="0"/>
              <w:rPr>
                <w:szCs w:val="17"/>
              </w:rPr>
            </w:pPr>
            <w:r w:rsidRPr="000B46B1">
              <w:rPr>
                <w:rFonts w:ascii="Calibri" w:hAnsi="Calibri" w:cs="Calibri"/>
                <w:szCs w:val="17"/>
              </w:rPr>
              <w:t>(</w:t>
            </w:r>
            <w:r w:rsidRPr="00664ECB">
              <w:rPr>
                <w:rFonts w:ascii="Calibri" w:hAnsi="Calibri" w:cs="Calibri"/>
                <w:szCs w:val="17"/>
              </w:rPr>
              <w:t>49.1</w:t>
            </w:r>
            <w:r w:rsidRPr="000B46B1">
              <w:rPr>
                <w:rFonts w:ascii="Calibri" w:hAnsi="Calibri" w:cs="Calibri"/>
                <w:szCs w:val="17"/>
              </w:rPr>
              <w:t>)</w:t>
            </w:r>
          </w:p>
        </w:tc>
      </w:tr>
      <w:tr w:rsidR="009C6724" w:rsidRPr="005C5092" w14:paraId="497200F8" w14:textId="77777777" w:rsidTr="009C6724">
        <w:tc>
          <w:tcPr>
            <w:cnfStyle w:val="001000000000" w:firstRow="0" w:lastRow="0" w:firstColumn="1" w:lastColumn="0" w:oddVBand="0" w:evenVBand="0" w:oddHBand="0" w:evenHBand="0" w:firstRowFirstColumn="0" w:firstRowLastColumn="0" w:lastRowFirstColumn="0" w:lastRowLastColumn="0"/>
            <w:tcW w:w="4332" w:type="dxa"/>
            <w:tcBorders>
              <w:top w:val="single" w:sz="4" w:space="0" w:color="auto"/>
              <w:left w:val="nil"/>
              <w:bottom w:val="single" w:sz="4" w:space="0" w:color="auto"/>
              <w:right w:val="nil"/>
            </w:tcBorders>
            <w:shd w:val="clear" w:color="000000" w:fill="FFFFFF"/>
            <w:vAlign w:val="bottom"/>
            <w:hideMark/>
          </w:tcPr>
          <w:p w14:paraId="445F78C7" w14:textId="77777777" w:rsidR="00AB205D" w:rsidRPr="005C5092" w:rsidRDefault="00471A3B">
            <w:pPr>
              <w:keepLines w:val="0"/>
              <w:autoSpaceDE w:val="0"/>
              <w:autoSpaceDN w:val="0"/>
              <w:adjustRightInd w:val="0"/>
              <w:rPr>
                <w:rFonts w:eastAsiaTheme="minorEastAsia" w:cs="Calibri"/>
                <w:b/>
                <w:bCs/>
                <w:color w:val="000000"/>
                <w:szCs w:val="17"/>
                <w:lang w:eastAsia="en-AU"/>
              </w:rPr>
            </w:pPr>
            <w:r w:rsidRPr="005C5092">
              <w:rPr>
                <w:rFonts w:ascii="Calibri" w:hAnsi="Calibri" w:cs="Calibri"/>
                <w:b/>
                <w:bCs/>
                <w:szCs w:val="17"/>
              </w:rPr>
              <w:t>Net result from transactions</w:t>
            </w:r>
          </w:p>
        </w:tc>
        <w:tc>
          <w:tcPr>
            <w:tcW w:w="844" w:type="dxa"/>
            <w:tcBorders>
              <w:top w:val="single" w:sz="4" w:space="0" w:color="auto"/>
              <w:left w:val="nil"/>
              <w:bottom w:val="single" w:sz="4" w:space="0" w:color="auto"/>
              <w:right w:val="nil"/>
            </w:tcBorders>
            <w:shd w:val="clear" w:color="auto" w:fill="auto"/>
            <w:vAlign w:val="bottom"/>
          </w:tcPr>
          <w:p w14:paraId="1DA94A21" w14:textId="77777777" w:rsidR="00AB205D" w:rsidRPr="000B46B1" w:rsidRDefault="00471A3B">
            <w:pPr>
              <w:cnfStyle w:val="000000000000" w:firstRow="0" w:lastRow="0" w:firstColumn="0" w:lastColumn="0" w:oddVBand="0" w:evenVBand="0" w:oddHBand="0" w:evenHBand="0" w:firstRowFirstColumn="0" w:firstRowLastColumn="0" w:lastRowFirstColumn="0" w:lastRowLastColumn="0"/>
              <w:rPr>
                <w:b/>
                <w:szCs w:val="17"/>
              </w:rPr>
            </w:pPr>
            <w:r w:rsidRPr="000B46B1">
              <w:rPr>
                <w:rFonts w:ascii="Calibri" w:hAnsi="Calibri" w:cs="Calibri"/>
                <w:b/>
                <w:bCs/>
                <w:szCs w:val="17"/>
              </w:rPr>
              <w:t>(</w:t>
            </w:r>
            <w:r w:rsidRPr="00664ECB">
              <w:rPr>
                <w:rFonts w:ascii="Calibri" w:hAnsi="Calibri" w:cs="Calibri"/>
                <w:b/>
                <w:bCs/>
                <w:szCs w:val="17"/>
              </w:rPr>
              <w:t>83.5</w:t>
            </w:r>
            <w:r w:rsidRPr="000B46B1">
              <w:rPr>
                <w:rFonts w:ascii="Calibri" w:hAnsi="Calibri" w:cs="Calibri"/>
                <w:b/>
                <w:bCs/>
                <w:szCs w:val="17"/>
              </w:rPr>
              <w:t>)</w:t>
            </w:r>
          </w:p>
        </w:tc>
        <w:tc>
          <w:tcPr>
            <w:tcW w:w="845" w:type="dxa"/>
            <w:tcBorders>
              <w:top w:val="single" w:sz="4" w:space="0" w:color="auto"/>
              <w:left w:val="nil"/>
              <w:bottom w:val="single" w:sz="4" w:space="0" w:color="auto"/>
              <w:right w:val="nil"/>
            </w:tcBorders>
            <w:shd w:val="clear" w:color="auto" w:fill="auto"/>
            <w:vAlign w:val="bottom"/>
          </w:tcPr>
          <w:p w14:paraId="028D93AE" w14:textId="77777777" w:rsidR="00AB205D" w:rsidRPr="000B46B1" w:rsidRDefault="00471A3B">
            <w:pPr>
              <w:cnfStyle w:val="000000000000" w:firstRow="0" w:lastRow="0" w:firstColumn="0" w:lastColumn="0" w:oddVBand="0" w:evenVBand="0" w:oddHBand="0" w:evenHBand="0" w:firstRowFirstColumn="0" w:firstRowLastColumn="0" w:lastRowFirstColumn="0" w:lastRowLastColumn="0"/>
              <w:rPr>
                <w:b/>
                <w:szCs w:val="17"/>
              </w:rPr>
            </w:pPr>
            <w:r w:rsidRPr="000B46B1">
              <w:rPr>
                <w:rFonts w:ascii="Calibri" w:hAnsi="Calibri" w:cs="Calibri"/>
                <w:b/>
                <w:bCs/>
                <w:szCs w:val="17"/>
              </w:rPr>
              <w:t>(</w:t>
            </w:r>
            <w:r w:rsidRPr="00664ECB">
              <w:rPr>
                <w:rFonts w:ascii="Calibri" w:hAnsi="Calibri" w:cs="Calibri"/>
                <w:b/>
                <w:bCs/>
                <w:szCs w:val="17"/>
              </w:rPr>
              <w:t>376.8</w:t>
            </w:r>
            <w:r w:rsidRPr="000B46B1">
              <w:rPr>
                <w:rFonts w:ascii="Calibri" w:hAnsi="Calibri" w:cs="Calibri"/>
                <w:b/>
                <w:bCs/>
                <w:szCs w:val="17"/>
              </w:rPr>
              <w:t>)</w:t>
            </w:r>
          </w:p>
        </w:tc>
        <w:tc>
          <w:tcPr>
            <w:tcW w:w="845" w:type="dxa"/>
            <w:tcBorders>
              <w:top w:val="single" w:sz="4" w:space="0" w:color="auto"/>
              <w:left w:val="nil"/>
              <w:bottom w:val="single" w:sz="4" w:space="0" w:color="auto"/>
              <w:right w:val="nil"/>
            </w:tcBorders>
            <w:shd w:val="clear" w:color="auto" w:fill="auto"/>
            <w:vAlign w:val="bottom"/>
          </w:tcPr>
          <w:p w14:paraId="0C673CD3" w14:textId="77777777" w:rsidR="00AB205D" w:rsidRPr="000B46B1" w:rsidRDefault="00471A3B">
            <w:pPr>
              <w:cnfStyle w:val="000000000000" w:firstRow="0" w:lastRow="0" w:firstColumn="0" w:lastColumn="0" w:oddVBand="0" w:evenVBand="0" w:oddHBand="0" w:evenHBand="0" w:firstRowFirstColumn="0" w:firstRowLastColumn="0" w:lastRowFirstColumn="0" w:lastRowLastColumn="0"/>
              <w:rPr>
                <w:b/>
                <w:szCs w:val="17"/>
              </w:rPr>
            </w:pPr>
            <w:r w:rsidRPr="000B46B1">
              <w:rPr>
                <w:rFonts w:ascii="Calibri" w:hAnsi="Calibri" w:cs="Calibri"/>
                <w:b/>
                <w:bCs/>
                <w:szCs w:val="17"/>
              </w:rPr>
              <w:t>(</w:t>
            </w:r>
            <w:r w:rsidRPr="00664ECB">
              <w:rPr>
                <w:rFonts w:ascii="Calibri" w:hAnsi="Calibri" w:cs="Calibri"/>
                <w:b/>
                <w:bCs/>
                <w:szCs w:val="17"/>
              </w:rPr>
              <w:t>88.8</w:t>
            </w:r>
            <w:r w:rsidRPr="000B46B1">
              <w:rPr>
                <w:rFonts w:ascii="Calibri" w:hAnsi="Calibri" w:cs="Calibri"/>
                <w:b/>
                <w:bCs/>
                <w:szCs w:val="17"/>
              </w:rPr>
              <w:t>)</w:t>
            </w:r>
          </w:p>
        </w:tc>
        <w:tc>
          <w:tcPr>
            <w:tcW w:w="845" w:type="dxa"/>
            <w:tcBorders>
              <w:top w:val="single" w:sz="4" w:space="0" w:color="auto"/>
              <w:left w:val="nil"/>
              <w:bottom w:val="single" w:sz="4" w:space="0" w:color="auto"/>
              <w:right w:val="nil"/>
            </w:tcBorders>
            <w:shd w:val="clear" w:color="auto" w:fill="auto"/>
            <w:vAlign w:val="bottom"/>
          </w:tcPr>
          <w:p w14:paraId="6F95307C" w14:textId="77777777" w:rsidR="00AB205D" w:rsidRPr="000B46B1" w:rsidRDefault="00471A3B">
            <w:pPr>
              <w:cnfStyle w:val="000000000000" w:firstRow="0" w:lastRow="0" w:firstColumn="0" w:lastColumn="0" w:oddVBand="0" w:evenVBand="0" w:oddHBand="0" w:evenHBand="0" w:firstRowFirstColumn="0" w:firstRowLastColumn="0" w:lastRowFirstColumn="0" w:lastRowLastColumn="0"/>
              <w:rPr>
                <w:b/>
                <w:szCs w:val="17"/>
              </w:rPr>
            </w:pPr>
            <w:r w:rsidRPr="000B46B1">
              <w:rPr>
                <w:rFonts w:ascii="Calibri" w:hAnsi="Calibri" w:cs="Calibri"/>
                <w:b/>
                <w:bCs/>
                <w:szCs w:val="17"/>
              </w:rPr>
              <w:t>(</w:t>
            </w:r>
            <w:r w:rsidRPr="00664ECB">
              <w:rPr>
                <w:rFonts w:ascii="Calibri" w:hAnsi="Calibri" w:cs="Calibri"/>
                <w:b/>
                <w:bCs/>
                <w:szCs w:val="17"/>
              </w:rPr>
              <w:t>51.4</w:t>
            </w:r>
            <w:r w:rsidRPr="000B46B1">
              <w:rPr>
                <w:rFonts w:ascii="Calibri" w:hAnsi="Calibri" w:cs="Calibri"/>
                <w:b/>
                <w:bCs/>
                <w:szCs w:val="17"/>
              </w:rPr>
              <w:t>)</w:t>
            </w:r>
          </w:p>
        </w:tc>
      </w:tr>
      <w:tr w:rsidR="009C6724" w:rsidRPr="005C5092" w14:paraId="151E5779" w14:textId="77777777" w:rsidTr="009C6724">
        <w:tc>
          <w:tcPr>
            <w:cnfStyle w:val="001000000000" w:firstRow="0" w:lastRow="0" w:firstColumn="1" w:lastColumn="0" w:oddVBand="0" w:evenVBand="0" w:oddHBand="0" w:evenHBand="0" w:firstRowFirstColumn="0" w:firstRowLastColumn="0" w:lastRowFirstColumn="0" w:lastRowLastColumn="0"/>
            <w:tcW w:w="4332" w:type="dxa"/>
            <w:tcBorders>
              <w:top w:val="nil"/>
              <w:left w:val="nil"/>
              <w:bottom w:val="single" w:sz="4" w:space="0" w:color="auto"/>
              <w:right w:val="nil"/>
            </w:tcBorders>
            <w:shd w:val="clear" w:color="000000" w:fill="FFFFFF"/>
            <w:vAlign w:val="bottom"/>
            <w:hideMark/>
          </w:tcPr>
          <w:p w14:paraId="359C056F" w14:textId="77777777" w:rsidR="00AB205D" w:rsidRPr="005C5092" w:rsidRDefault="00471A3B">
            <w:pPr>
              <w:keepLines w:val="0"/>
              <w:autoSpaceDE w:val="0"/>
              <w:autoSpaceDN w:val="0"/>
              <w:adjustRightInd w:val="0"/>
              <w:rPr>
                <w:rFonts w:eastAsiaTheme="minorEastAsia" w:cs="Calibri"/>
                <w:color w:val="000000"/>
                <w:szCs w:val="17"/>
                <w:lang w:eastAsia="en-AU"/>
              </w:rPr>
            </w:pPr>
            <w:r w:rsidRPr="005C5092">
              <w:rPr>
                <w:rFonts w:ascii="Calibri" w:hAnsi="Calibri" w:cs="Calibri"/>
                <w:szCs w:val="17"/>
              </w:rPr>
              <w:t>Other economic flows</w:t>
            </w:r>
          </w:p>
        </w:tc>
        <w:tc>
          <w:tcPr>
            <w:tcW w:w="844" w:type="dxa"/>
            <w:tcBorders>
              <w:top w:val="nil"/>
              <w:left w:val="nil"/>
              <w:bottom w:val="single" w:sz="4" w:space="0" w:color="auto"/>
              <w:right w:val="nil"/>
            </w:tcBorders>
            <w:shd w:val="clear" w:color="auto" w:fill="auto"/>
            <w:vAlign w:val="bottom"/>
          </w:tcPr>
          <w:p w14:paraId="3D8936E9" w14:textId="77777777" w:rsidR="00AB205D" w:rsidRPr="000B46B1" w:rsidRDefault="00471A3B">
            <w:pPr>
              <w:cnfStyle w:val="000000000000" w:firstRow="0" w:lastRow="0" w:firstColumn="0" w:lastColumn="0" w:oddVBand="0" w:evenVBand="0" w:oddHBand="0" w:evenHBand="0" w:firstRowFirstColumn="0" w:firstRowLastColumn="0" w:lastRowFirstColumn="0" w:lastRowLastColumn="0"/>
              <w:rPr>
                <w:szCs w:val="17"/>
              </w:rPr>
            </w:pPr>
            <w:r w:rsidRPr="000B46B1">
              <w:rPr>
                <w:rFonts w:ascii="Calibri" w:hAnsi="Calibri" w:cs="Calibri"/>
                <w:szCs w:val="17"/>
              </w:rPr>
              <w:t>(0.3)</w:t>
            </w:r>
          </w:p>
        </w:tc>
        <w:tc>
          <w:tcPr>
            <w:tcW w:w="845" w:type="dxa"/>
            <w:tcBorders>
              <w:top w:val="nil"/>
              <w:left w:val="nil"/>
              <w:bottom w:val="single" w:sz="4" w:space="0" w:color="auto"/>
              <w:right w:val="nil"/>
            </w:tcBorders>
            <w:shd w:val="clear" w:color="auto" w:fill="auto"/>
            <w:vAlign w:val="bottom"/>
          </w:tcPr>
          <w:p w14:paraId="540C5C57" w14:textId="77777777" w:rsidR="00AB205D" w:rsidRPr="000B46B1" w:rsidRDefault="00471A3B">
            <w:pPr>
              <w:cnfStyle w:val="000000000000" w:firstRow="0" w:lastRow="0" w:firstColumn="0" w:lastColumn="0" w:oddVBand="0" w:evenVBand="0" w:oddHBand="0" w:evenHBand="0" w:firstRowFirstColumn="0" w:firstRowLastColumn="0" w:lastRowFirstColumn="0" w:lastRowLastColumn="0"/>
              <w:rPr>
                <w:szCs w:val="17"/>
              </w:rPr>
            </w:pPr>
            <w:r w:rsidRPr="000B46B1">
              <w:rPr>
                <w:rFonts w:ascii="Calibri" w:hAnsi="Calibri" w:cs="Calibri"/>
                <w:szCs w:val="17"/>
              </w:rPr>
              <w:t>(1.2)</w:t>
            </w:r>
          </w:p>
        </w:tc>
        <w:tc>
          <w:tcPr>
            <w:tcW w:w="845" w:type="dxa"/>
            <w:tcBorders>
              <w:top w:val="nil"/>
              <w:left w:val="nil"/>
              <w:bottom w:val="single" w:sz="4" w:space="0" w:color="auto"/>
              <w:right w:val="nil"/>
            </w:tcBorders>
            <w:shd w:val="clear" w:color="auto" w:fill="auto"/>
            <w:vAlign w:val="bottom"/>
          </w:tcPr>
          <w:p w14:paraId="793F4B52" w14:textId="77777777" w:rsidR="00AB205D" w:rsidRPr="000B46B1" w:rsidRDefault="00471A3B">
            <w:pPr>
              <w:cnfStyle w:val="000000000000" w:firstRow="0" w:lastRow="0" w:firstColumn="0" w:lastColumn="0" w:oddVBand="0" w:evenVBand="0" w:oddHBand="0" w:evenHBand="0" w:firstRowFirstColumn="0" w:firstRowLastColumn="0" w:lastRowFirstColumn="0" w:lastRowLastColumn="0"/>
              <w:rPr>
                <w:szCs w:val="17"/>
              </w:rPr>
            </w:pPr>
            <w:r w:rsidRPr="000B46B1">
              <w:rPr>
                <w:rFonts w:ascii="Calibri" w:hAnsi="Calibri" w:cs="Calibri"/>
                <w:szCs w:val="17"/>
              </w:rPr>
              <w:t>(0.0)</w:t>
            </w:r>
          </w:p>
        </w:tc>
        <w:tc>
          <w:tcPr>
            <w:tcW w:w="845" w:type="dxa"/>
            <w:tcBorders>
              <w:top w:val="nil"/>
              <w:left w:val="nil"/>
              <w:bottom w:val="single" w:sz="4" w:space="0" w:color="auto"/>
              <w:right w:val="nil"/>
            </w:tcBorders>
            <w:shd w:val="clear" w:color="auto" w:fill="auto"/>
            <w:vAlign w:val="bottom"/>
          </w:tcPr>
          <w:p w14:paraId="0C398134" w14:textId="77777777" w:rsidR="00AB205D" w:rsidRPr="000B46B1" w:rsidRDefault="00471A3B">
            <w:pPr>
              <w:cnfStyle w:val="000000000000" w:firstRow="0" w:lastRow="0" w:firstColumn="0" w:lastColumn="0" w:oddVBand="0" w:evenVBand="0" w:oddHBand="0" w:evenHBand="0" w:firstRowFirstColumn="0" w:firstRowLastColumn="0" w:lastRowFirstColumn="0" w:lastRowLastColumn="0"/>
              <w:rPr>
                <w:szCs w:val="17"/>
              </w:rPr>
            </w:pPr>
            <w:r w:rsidRPr="000B46B1">
              <w:rPr>
                <w:rFonts w:ascii="Calibri" w:hAnsi="Calibri" w:cs="Calibri"/>
                <w:szCs w:val="17"/>
              </w:rPr>
              <w:t>0.1</w:t>
            </w:r>
          </w:p>
        </w:tc>
      </w:tr>
      <w:tr w:rsidR="009C6724" w:rsidRPr="005C5092" w14:paraId="45A56365" w14:textId="77777777" w:rsidTr="009C6724">
        <w:tc>
          <w:tcPr>
            <w:cnfStyle w:val="001000000000" w:firstRow="0" w:lastRow="0" w:firstColumn="1" w:lastColumn="0" w:oddVBand="0" w:evenVBand="0" w:oddHBand="0" w:evenHBand="0" w:firstRowFirstColumn="0" w:firstRowLastColumn="0" w:lastRowFirstColumn="0" w:lastRowLastColumn="0"/>
            <w:tcW w:w="4332" w:type="dxa"/>
            <w:tcBorders>
              <w:top w:val="single" w:sz="4" w:space="0" w:color="auto"/>
              <w:left w:val="nil"/>
              <w:bottom w:val="single" w:sz="4" w:space="0" w:color="auto"/>
              <w:right w:val="nil"/>
            </w:tcBorders>
            <w:shd w:val="clear" w:color="000000" w:fill="FFFFFF"/>
            <w:vAlign w:val="bottom"/>
            <w:hideMark/>
          </w:tcPr>
          <w:p w14:paraId="480E7D8C" w14:textId="77777777" w:rsidR="00AB205D" w:rsidRPr="005C5092" w:rsidRDefault="00471A3B">
            <w:pPr>
              <w:keepLines w:val="0"/>
              <w:autoSpaceDE w:val="0"/>
              <w:autoSpaceDN w:val="0"/>
              <w:adjustRightInd w:val="0"/>
              <w:rPr>
                <w:rFonts w:eastAsiaTheme="minorEastAsia" w:cs="Calibri"/>
                <w:b/>
                <w:bCs/>
                <w:color w:val="000000"/>
                <w:szCs w:val="17"/>
                <w:lang w:eastAsia="en-AU"/>
              </w:rPr>
            </w:pPr>
            <w:r w:rsidRPr="005C5092">
              <w:rPr>
                <w:rFonts w:ascii="Calibri" w:hAnsi="Calibri" w:cs="Calibri"/>
                <w:b/>
                <w:bCs/>
                <w:szCs w:val="17"/>
              </w:rPr>
              <w:t>Net result</w:t>
            </w:r>
          </w:p>
        </w:tc>
        <w:tc>
          <w:tcPr>
            <w:tcW w:w="844" w:type="dxa"/>
            <w:tcBorders>
              <w:top w:val="single" w:sz="4" w:space="0" w:color="auto"/>
              <w:left w:val="nil"/>
              <w:bottom w:val="single" w:sz="4" w:space="0" w:color="auto"/>
              <w:right w:val="nil"/>
            </w:tcBorders>
            <w:shd w:val="clear" w:color="auto" w:fill="auto"/>
            <w:vAlign w:val="bottom"/>
          </w:tcPr>
          <w:p w14:paraId="6EF32D5D" w14:textId="77777777" w:rsidR="00AB205D" w:rsidRPr="000B46B1" w:rsidRDefault="00471A3B">
            <w:pPr>
              <w:cnfStyle w:val="000000000000" w:firstRow="0" w:lastRow="0" w:firstColumn="0" w:lastColumn="0" w:oddVBand="0" w:evenVBand="0" w:oddHBand="0" w:evenHBand="0" w:firstRowFirstColumn="0" w:firstRowLastColumn="0" w:lastRowFirstColumn="0" w:lastRowLastColumn="0"/>
              <w:rPr>
                <w:b/>
                <w:szCs w:val="17"/>
              </w:rPr>
            </w:pPr>
            <w:r w:rsidRPr="000B46B1">
              <w:rPr>
                <w:rFonts w:ascii="Calibri" w:hAnsi="Calibri" w:cs="Calibri"/>
                <w:b/>
                <w:bCs/>
                <w:szCs w:val="17"/>
              </w:rPr>
              <w:t>(</w:t>
            </w:r>
            <w:r w:rsidRPr="00664ECB">
              <w:rPr>
                <w:rFonts w:ascii="Calibri" w:hAnsi="Calibri" w:cs="Calibri"/>
                <w:b/>
                <w:bCs/>
                <w:szCs w:val="17"/>
              </w:rPr>
              <w:t>83.8</w:t>
            </w:r>
            <w:r w:rsidRPr="000B46B1">
              <w:rPr>
                <w:rFonts w:ascii="Calibri" w:hAnsi="Calibri" w:cs="Calibri"/>
                <w:b/>
                <w:bCs/>
                <w:szCs w:val="17"/>
              </w:rPr>
              <w:t>)</w:t>
            </w:r>
          </w:p>
        </w:tc>
        <w:tc>
          <w:tcPr>
            <w:tcW w:w="845" w:type="dxa"/>
            <w:tcBorders>
              <w:top w:val="single" w:sz="4" w:space="0" w:color="auto"/>
              <w:left w:val="nil"/>
              <w:bottom w:val="single" w:sz="4" w:space="0" w:color="auto"/>
              <w:right w:val="nil"/>
            </w:tcBorders>
            <w:shd w:val="clear" w:color="auto" w:fill="auto"/>
            <w:vAlign w:val="bottom"/>
          </w:tcPr>
          <w:p w14:paraId="022029E5" w14:textId="77777777" w:rsidR="00AB205D" w:rsidRPr="000B46B1" w:rsidRDefault="00471A3B">
            <w:pPr>
              <w:cnfStyle w:val="000000000000" w:firstRow="0" w:lastRow="0" w:firstColumn="0" w:lastColumn="0" w:oddVBand="0" w:evenVBand="0" w:oddHBand="0" w:evenHBand="0" w:firstRowFirstColumn="0" w:firstRowLastColumn="0" w:lastRowFirstColumn="0" w:lastRowLastColumn="0"/>
              <w:rPr>
                <w:b/>
                <w:szCs w:val="17"/>
              </w:rPr>
            </w:pPr>
            <w:r w:rsidRPr="000B46B1">
              <w:rPr>
                <w:rFonts w:ascii="Calibri" w:hAnsi="Calibri" w:cs="Calibri"/>
                <w:b/>
                <w:bCs/>
                <w:szCs w:val="17"/>
              </w:rPr>
              <w:t>(378.</w:t>
            </w:r>
            <w:r w:rsidRPr="00664ECB">
              <w:rPr>
                <w:rFonts w:ascii="Calibri" w:hAnsi="Calibri" w:cs="Calibri"/>
                <w:b/>
                <w:bCs/>
                <w:szCs w:val="17"/>
              </w:rPr>
              <w:t>0</w:t>
            </w:r>
            <w:r w:rsidRPr="000B46B1">
              <w:rPr>
                <w:rFonts w:ascii="Calibri" w:hAnsi="Calibri" w:cs="Calibri"/>
                <w:b/>
                <w:bCs/>
                <w:szCs w:val="17"/>
              </w:rPr>
              <w:t>)</w:t>
            </w:r>
          </w:p>
        </w:tc>
        <w:tc>
          <w:tcPr>
            <w:tcW w:w="845" w:type="dxa"/>
            <w:tcBorders>
              <w:top w:val="single" w:sz="4" w:space="0" w:color="auto"/>
              <w:left w:val="nil"/>
              <w:bottom w:val="single" w:sz="4" w:space="0" w:color="auto"/>
              <w:right w:val="nil"/>
            </w:tcBorders>
            <w:shd w:val="clear" w:color="auto" w:fill="auto"/>
            <w:vAlign w:val="bottom"/>
          </w:tcPr>
          <w:p w14:paraId="26F3F941" w14:textId="77777777" w:rsidR="00AB205D" w:rsidRPr="000B46B1" w:rsidRDefault="00471A3B">
            <w:pPr>
              <w:cnfStyle w:val="000000000000" w:firstRow="0" w:lastRow="0" w:firstColumn="0" w:lastColumn="0" w:oddVBand="0" w:evenVBand="0" w:oddHBand="0" w:evenHBand="0" w:firstRowFirstColumn="0" w:firstRowLastColumn="0" w:lastRowFirstColumn="0" w:lastRowLastColumn="0"/>
              <w:rPr>
                <w:b/>
                <w:szCs w:val="17"/>
              </w:rPr>
            </w:pPr>
            <w:r w:rsidRPr="000B46B1">
              <w:rPr>
                <w:rFonts w:ascii="Calibri" w:hAnsi="Calibri" w:cs="Calibri"/>
                <w:b/>
                <w:bCs/>
                <w:szCs w:val="17"/>
              </w:rPr>
              <w:t>(</w:t>
            </w:r>
            <w:r w:rsidRPr="00664ECB">
              <w:rPr>
                <w:rFonts w:ascii="Calibri" w:hAnsi="Calibri" w:cs="Calibri"/>
                <w:b/>
                <w:bCs/>
                <w:szCs w:val="17"/>
              </w:rPr>
              <w:t>88.8</w:t>
            </w:r>
            <w:r w:rsidRPr="000B46B1">
              <w:rPr>
                <w:rFonts w:ascii="Calibri" w:hAnsi="Calibri" w:cs="Calibri"/>
                <w:b/>
                <w:bCs/>
                <w:szCs w:val="17"/>
              </w:rPr>
              <w:t>)</w:t>
            </w:r>
          </w:p>
        </w:tc>
        <w:tc>
          <w:tcPr>
            <w:tcW w:w="845" w:type="dxa"/>
            <w:tcBorders>
              <w:top w:val="single" w:sz="4" w:space="0" w:color="auto"/>
              <w:left w:val="nil"/>
              <w:bottom w:val="single" w:sz="4" w:space="0" w:color="auto"/>
              <w:right w:val="nil"/>
            </w:tcBorders>
            <w:shd w:val="clear" w:color="auto" w:fill="auto"/>
            <w:vAlign w:val="bottom"/>
          </w:tcPr>
          <w:p w14:paraId="78ADFBE4" w14:textId="77777777" w:rsidR="00AB205D" w:rsidRPr="000B46B1" w:rsidRDefault="00471A3B">
            <w:pPr>
              <w:cnfStyle w:val="000000000000" w:firstRow="0" w:lastRow="0" w:firstColumn="0" w:lastColumn="0" w:oddVBand="0" w:evenVBand="0" w:oddHBand="0" w:evenHBand="0" w:firstRowFirstColumn="0" w:firstRowLastColumn="0" w:lastRowFirstColumn="0" w:lastRowLastColumn="0"/>
              <w:rPr>
                <w:b/>
                <w:szCs w:val="17"/>
              </w:rPr>
            </w:pPr>
            <w:r w:rsidRPr="000B46B1">
              <w:rPr>
                <w:rFonts w:ascii="Calibri" w:hAnsi="Calibri" w:cs="Calibri"/>
                <w:b/>
                <w:bCs/>
                <w:szCs w:val="17"/>
              </w:rPr>
              <w:t>(</w:t>
            </w:r>
            <w:r w:rsidRPr="00664ECB">
              <w:rPr>
                <w:rFonts w:ascii="Calibri" w:hAnsi="Calibri" w:cs="Calibri"/>
                <w:b/>
                <w:bCs/>
                <w:szCs w:val="17"/>
              </w:rPr>
              <w:t>51.3</w:t>
            </w:r>
            <w:r w:rsidRPr="000B46B1">
              <w:rPr>
                <w:rFonts w:ascii="Calibri" w:hAnsi="Calibri" w:cs="Calibri"/>
                <w:b/>
                <w:bCs/>
                <w:szCs w:val="17"/>
              </w:rPr>
              <w:t>)</w:t>
            </w:r>
          </w:p>
        </w:tc>
      </w:tr>
      <w:tr w:rsidR="009C6724" w:rsidRPr="005C5092" w14:paraId="1801C6BE" w14:textId="77777777" w:rsidTr="009C6724">
        <w:tc>
          <w:tcPr>
            <w:cnfStyle w:val="001000000000" w:firstRow="0" w:lastRow="0" w:firstColumn="1" w:lastColumn="0" w:oddVBand="0" w:evenVBand="0" w:oddHBand="0" w:evenHBand="0" w:firstRowFirstColumn="0" w:firstRowLastColumn="0" w:lastRowFirstColumn="0" w:lastRowLastColumn="0"/>
            <w:tcW w:w="4332" w:type="dxa"/>
            <w:tcBorders>
              <w:top w:val="single" w:sz="4" w:space="0" w:color="auto"/>
              <w:left w:val="nil"/>
              <w:bottom w:val="single" w:sz="4" w:space="0" w:color="auto"/>
              <w:right w:val="nil"/>
            </w:tcBorders>
            <w:shd w:val="clear" w:color="000000" w:fill="FFFFFF"/>
            <w:vAlign w:val="bottom"/>
            <w:hideMark/>
          </w:tcPr>
          <w:p w14:paraId="74E30669" w14:textId="77777777" w:rsidR="00AB205D" w:rsidRPr="005C5092" w:rsidRDefault="00471A3B">
            <w:pPr>
              <w:keepLines w:val="0"/>
              <w:autoSpaceDE w:val="0"/>
              <w:autoSpaceDN w:val="0"/>
              <w:adjustRightInd w:val="0"/>
              <w:rPr>
                <w:rFonts w:eastAsiaTheme="minorEastAsia" w:cs="Calibri"/>
                <w:b/>
                <w:bCs/>
                <w:color w:val="000000"/>
                <w:szCs w:val="17"/>
                <w:lang w:eastAsia="en-AU"/>
              </w:rPr>
            </w:pPr>
            <w:r w:rsidRPr="005C5092">
              <w:rPr>
                <w:rFonts w:ascii="Calibri" w:hAnsi="Calibri" w:cs="Calibri"/>
                <w:b/>
                <w:bCs/>
                <w:szCs w:val="17"/>
              </w:rPr>
              <w:t>Net debt (cumulative)</w:t>
            </w:r>
          </w:p>
        </w:tc>
        <w:tc>
          <w:tcPr>
            <w:tcW w:w="844" w:type="dxa"/>
            <w:tcBorders>
              <w:top w:val="single" w:sz="4" w:space="0" w:color="auto"/>
              <w:left w:val="nil"/>
              <w:bottom w:val="single" w:sz="4" w:space="0" w:color="auto"/>
              <w:right w:val="nil"/>
            </w:tcBorders>
            <w:shd w:val="clear" w:color="auto" w:fill="auto"/>
            <w:vAlign w:val="bottom"/>
          </w:tcPr>
          <w:p w14:paraId="4479D97D" w14:textId="77777777" w:rsidR="00AB205D" w:rsidRPr="000B46B1" w:rsidRDefault="00471A3B">
            <w:pPr>
              <w:cnfStyle w:val="000000000000" w:firstRow="0" w:lastRow="0" w:firstColumn="0" w:lastColumn="0" w:oddVBand="0" w:evenVBand="0" w:oddHBand="0" w:evenHBand="0" w:firstRowFirstColumn="0" w:firstRowLastColumn="0" w:lastRowFirstColumn="0" w:lastRowLastColumn="0"/>
              <w:rPr>
                <w:b/>
                <w:szCs w:val="17"/>
              </w:rPr>
            </w:pPr>
            <w:r w:rsidRPr="00664ECB">
              <w:rPr>
                <w:rFonts w:ascii="Calibri" w:hAnsi="Calibri" w:cs="Calibri"/>
                <w:b/>
                <w:bCs/>
                <w:szCs w:val="17"/>
              </w:rPr>
              <w:t>83.8</w:t>
            </w:r>
          </w:p>
        </w:tc>
        <w:tc>
          <w:tcPr>
            <w:tcW w:w="845" w:type="dxa"/>
            <w:tcBorders>
              <w:top w:val="single" w:sz="4" w:space="0" w:color="auto"/>
              <w:left w:val="nil"/>
              <w:bottom w:val="single" w:sz="4" w:space="0" w:color="auto"/>
              <w:right w:val="nil"/>
            </w:tcBorders>
            <w:shd w:val="clear" w:color="auto" w:fill="auto"/>
            <w:vAlign w:val="bottom"/>
          </w:tcPr>
          <w:p w14:paraId="11996741" w14:textId="77777777" w:rsidR="00AB205D" w:rsidRPr="000B46B1" w:rsidRDefault="00471A3B">
            <w:pPr>
              <w:cnfStyle w:val="000000000000" w:firstRow="0" w:lastRow="0" w:firstColumn="0" w:lastColumn="0" w:oddVBand="0" w:evenVBand="0" w:oddHBand="0" w:evenHBand="0" w:firstRowFirstColumn="0" w:firstRowLastColumn="0" w:lastRowFirstColumn="0" w:lastRowLastColumn="0"/>
              <w:rPr>
                <w:b/>
                <w:szCs w:val="17"/>
              </w:rPr>
            </w:pPr>
            <w:r w:rsidRPr="00664ECB">
              <w:rPr>
                <w:rFonts w:ascii="Calibri" w:hAnsi="Calibri" w:cs="Calibri"/>
                <w:b/>
                <w:bCs/>
                <w:szCs w:val="17"/>
              </w:rPr>
              <w:t>461.8</w:t>
            </w:r>
          </w:p>
        </w:tc>
        <w:tc>
          <w:tcPr>
            <w:tcW w:w="845" w:type="dxa"/>
            <w:tcBorders>
              <w:top w:val="single" w:sz="4" w:space="0" w:color="auto"/>
              <w:left w:val="nil"/>
              <w:bottom w:val="single" w:sz="4" w:space="0" w:color="auto"/>
              <w:right w:val="nil"/>
            </w:tcBorders>
            <w:shd w:val="clear" w:color="auto" w:fill="auto"/>
            <w:vAlign w:val="bottom"/>
          </w:tcPr>
          <w:p w14:paraId="451AF018" w14:textId="77777777" w:rsidR="00AB205D" w:rsidRPr="000B46B1" w:rsidRDefault="00471A3B">
            <w:pPr>
              <w:cnfStyle w:val="000000000000" w:firstRow="0" w:lastRow="0" w:firstColumn="0" w:lastColumn="0" w:oddVBand="0" w:evenVBand="0" w:oddHBand="0" w:evenHBand="0" w:firstRowFirstColumn="0" w:firstRowLastColumn="0" w:lastRowFirstColumn="0" w:lastRowLastColumn="0"/>
              <w:rPr>
                <w:b/>
                <w:szCs w:val="17"/>
              </w:rPr>
            </w:pPr>
            <w:r w:rsidRPr="00664ECB">
              <w:rPr>
                <w:rFonts w:ascii="Calibri" w:hAnsi="Calibri" w:cs="Calibri"/>
                <w:b/>
                <w:bCs/>
                <w:szCs w:val="17"/>
              </w:rPr>
              <w:t>550.6</w:t>
            </w:r>
          </w:p>
        </w:tc>
        <w:tc>
          <w:tcPr>
            <w:tcW w:w="845" w:type="dxa"/>
            <w:tcBorders>
              <w:top w:val="single" w:sz="4" w:space="0" w:color="auto"/>
              <w:left w:val="nil"/>
              <w:bottom w:val="single" w:sz="4" w:space="0" w:color="auto"/>
              <w:right w:val="nil"/>
            </w:tcBorders>
            <w:shd w:val="clear" w:color="auto" w:fill="auto"/>
            <w:vAlign w:val="bottom"/>
          </w:tcPr>
          <w:p w14:paraId="3579AD80" w14:textId="77777777" w:rsidR="00AB205D" w:rsidRPr="000B46B1" w:rsidRDefault="00471A3B">
            <w:pPr>
              <w:cnfStyle w:val="000000000000" w:firstRow="0" w:lastRow="0" w:firstColumn="0" w:lastColumn="0" w:oddVBand="0" w:evenVBand="0" w:oddHBand="0" w:evenHBand="0" w:firstRowFirstColumn="0" w:firstRowLastColumn="0" w:lastRowFirstColumn="0" w:lastRowLastColumn="0"/>
              <w:rPr>
                <w:b/>
                <w:szCs w:val="17"/>
              </w:rPr>
            </w:pPr>
            <w:r w:rsidRPr="00664ECB">
              <w:rPr>
                <w:rFonts w:ascii="Calibri" w:hAnsi="Calibri" w:cs="Calibri"/>
                <w:b/>
                <w:bCs/>
                <w:szCs w:val="17"/>
              </w:rPr>
              <w:t>601.9</w:t>
            </w:r>
          </w:p>
        </w:tc>
      </w:tr>
      <w:tr w:rsidR="009C6724" w:rsidRPr="00F30E3C" w14:paraId="31CBC3CE" w14:textId="77777777" w:rsidTr="009C672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2" w:type="dxa"/>
            <w:tcBorders>
              <w:top w:val="single" w:sz="4" w:space="0" w:color="auto"/>
              <w:bottom w:val="single" w:sz="12" w:space="0" w:color="auto"/>
            </w:tcBorders>
            <w:shd w:val="clear" w:color="000000" w:fill="FFFFFF"/>
            <w:vAlign w:val="bottom"/>
            <w:hideMark/>
          </w:tcPr>
          <w:p w14:paraId="17322631" w14:textId="77777777" w:rsidR="00AB205D" w:rsidRPr="001F3E01" w:rsidRDefault="00471A3B">
            <w:pPr>
              <w:keepLines w:val="0"/>
              <w:autoSpaceDE w:val="0"/>
              <w:autoSpaceDN w:val="0"/>
              <w:adjustRightInd w:val="0"/>
              <w:rPr>
                <w:rFonts w:eastAsiaTheme="minorEastAsia" w:cs="Calibri"/>
                <w:b w:val="0"/>
                <w:color w:val="000000"/>
                <w:szCs w:val="17"/>
                <w:lang w:eastAsia="en-AU"/>
              </w:rPr>
            </w:pPr>
            <w:r w:rsidRPr="001F3E01">
              <w:rPr>
                <w:rFonts w:ascii="Calibri" w:hAnsi="Calibri" w:cs="Calibri"/>
                <w:b w:val="0"/>
                <w:szCs w:val="17"/>
              </w:rPr>
              <w:t>Net debt to GSP ratio (percentage point difference)</w:t>
            </w:r>
          </w:p>
        </w:tc>
        <w:tc>
          <w:tcPr>
            <w:tcW w:w="844" w:type="dxa"/>
            <w:tcBorders>
              <w:top w:val="single" w:sz="4" w:space="0" w:color="auto"/>
              <w:bottom w:val="single" w:sz="12" w:space="0" w:color="auto"/>
            </w:tcBorders>
            <w:shd w:val="clear" w:color="auto" w:fill="auto"/>
            <w:vAlign w:val="bottom"/>
          </w:tcPr>
          <w:p w14:paraId="79EFDDFE" w14:textId="77777777" w:rsidR="00AB205D" w:rsidRPr="000B46B1" w:rsidRDefault="00471A3B">
            <w:pPr>
              <w:cnfStyle w:val="010000000000" w:firstRow="0" w:lastRow="1" w:firstColumn="0" w:lastColumn="0" w:oddVBand="0" w:evenVBand="0" w:oddHBand="0" w:evenHBand="0" w:firstRowFirstColumn="0" w:firstRowLastColumn="0" w:lastRowFirstColumn="0" w:lastRowLastColumn="0"/>
              <w:rPr>
                <w:szCs w:val="17"/>
              </w:rPr>
            </w:pPr>
            <w:r w:rsidRPr="000B46B1">
              <w:rPr>
                <w:rFonts w:ascii="Calibri" w:hAnsi="Calibri" w:cs="Calibri"/>
                <w:b w:val="0"/>
                <w:bCs/>
                <w:szCs w:val="17"/>
              </w:rPr>
              <w:t>0.01</w:t>
            </w:r>
          </w:p>
        </w:tc>
        <w:tc>
          <w:tcPr>
            <w:tcW w:w="845" w:type="dxa"/>
            <w:tcBorders>
              <w:top w:val="single" w:sz="4" w:space="0" w:color="auto"/>
              <w:bottom w:val="single" w:sz="12" w:space="0" w:color="auto"/>
            </w:tcBorders>
            <w:shd w:val="clear" w:color="auto" w:fill="auto"/>
            <w:vAlign w:val="bottom"/>
          </w:tcPr>
          <w:p w14:paraId="02246252" w14:textId="77777777" w:rsidR="00AB205D" w:rsidRPr="000B46B1" w:rsidRDefault="00471A3B">
            <w:pPr>
              <w:cnfStyle w:val="010000000000" w:firstRow="0" w:lastRow="1" w:firstColumn="0" w:lastColumn="0" w:oddVBand="0" w:evenVBand="0" w:oddHBand="0" w:evenHBand="0" w:firstRowFirstColumn="0" w:firstRowLastColumn="0" w:lastRowFirstColumn="0" w:lastRowLastColumn="0"/>
              <w:rPr>
                <w:szCs w:val="17"/>
              </w:rPr>
            </w:pPr>
            <w:r w:rsidRPr="000B46B1">
              <w:rPr>
                <w:rFonts w:ascii="Calibri" w:hAnsi="Calibri" w:cs="Calibri"/>
                <w:b w:val="0"/>
                <w:bCs/>
                <w:szCs w:val="17"/>
              </w:rPr>
              <w:t>0.07</w:t>
            </w:r>
          </w:p>
        </w:tc>
        <w:tc>
          <w:tcPr>
            <w:tcW w:w="845" w:type="dxa"/>
            <w:tcBorders>
              <w:top w:val="single" w:sz="4" w:space="0" w:color="auto"/>
              <w:bottom w:val="single" w:sz="12" w:space="0" w:color="auto"/>
            </w:tcBorders>
            <w:shd w:val="clear" w:color="auto" w:fill="auto"/>
            <w:vAlign w:val="bottom"/>
          </w:tcPr>
          <w:p w14:paraId="48DC9FCE" w14:textId="77777777" w:rsidR="00AB205D" w:rsidRPr="000B46B1" w:rsidRDefault="00471A3B">
            <w:pPr>
              <w:cnfStyle w:val="010000000000" w:firstRow="0" w:lastRow="1" w:firstColumn="0" w:lastColumn="0" w:oddVBand="0" w:evenVBand="0" w:oddHBand="0" w:evenHBand="0" w:firstRowFirstColumn="0" w:firstRowLastColumn="0" w:lastRowFirstColumn="0" w:lastRowLastColumn="0"/>
              <w:rPr>
                <w:szCs w:val="17"/>
              </w:rPr>
            </w:pPr>
            <w:r w:rsidRPr="000B46B1">
              <w:rPr>
                <w:rFonts w:ascii="Calibri" w:hAnsi="Calibri" w:cs="Calibri"/>
                <w:b w:val="0"/>
                <w:bCs/>
                <w:szCs w:val="17"/>
              </w:rPr>
              <w:t>0.08</w:t>
            </w:r>
          </w:p>
        </w:tc>
        <w:tc>
          <w:tcPr>
            <w:tcW w:w="845" w:type="dxa"/>
            <w:tcBorders>
              <w:top w:val="single" w:sz="4" w:space="0" w:color="auto"/>
              <w:bottom w:val="single" w:sz="12" w:space="0" w:color="auto"/>
            </w:tcBorders>
            <w:shd w:val="clear" w:color="auto" w:fill="auto"/>
            <w:vAlign w:val="bottom"/>
          </w:tcPr>
          <w:p w14:paraId="52EB8EA2" w14:textId="77777777" w:rsidR="00AB205D" w:rsidRPr="000B46B1" w:rsidRDefault="00471A3B">
            <w:pPr>
              <w:cnfStyle w:val="010000000000" w:firstRow="0" w:lastRow="1" w:firstColumn="0" w:lastColumn="0" w:oddVBand="0" w:evenVBand="0" w:oddHBand="0" w:evenHBand="0" w:firstRowFirstColumn="0" w:firstRowLastColumn="0" w:lastRowFirstColumn="0" w:lastRowLastColumn="0"/>
              <w:rPr>
                <w:szCs w:val="17"/>
              </w:rPr>
            </w:pPr>
            <w:r w:rsidRPr="000B46B1">
              <w:rPr>
                <w:rFonts w:ascii="Calibri" w:hAnsi="Calibri" w:cs="Calibri"/>
                <w:b w:val="0"/>
                <w:bCs/>
                <w:szCs w:val="17"/>
              </w:rPr>
              <w:t>0.09</w:t>
            </w:r>
          </w:p>
        </w:tc>
      </w:tr>
    </w:tbl>
    <w:p w14:paraId="71237F57" w14:textId="77777777" w:rsidR="00AB205D" w:rsidRPr="00D373E7" w:rsidRDefault="00471A3B">
      <w:pPr>
        <w:pStyle w:val="Note"/>
      </w:pPr>
      <w:r w:rsidRPr="00D373E7">
        <w:t xml:space="preserve">Note: </w:t>
      </w:r>
    </w:p>
    <w:p w14:paraId="79D90DB6" w14:textId="77777777" w:rsidR="00AB205D" w:rsidRPr="00C7341B" w:rsidRDefault="00471A3B">
      <w:pPr>
        <w:pStyle w:val="Note"/>
      </w:pPr>
      <w:r w:rsidRPr="00D373E7">
        <w:t>(a)</w:t>
      </w:r>
      <w:r w:rsidRPr="00D373E7">
        <w:tab/>
        <w:t>Figures may not add due to rounding.</w:t>
      </w:r>
    </w:p>
    <w:p w14:paraId="16EFE88B" w14:textId="77777777" w:rsidR="00AB205D" w:rsidRDefault="00AB205D">
      <w:bookmarkStart w:id="138" w:name="_Toc9436042"/>
      <w:bookmarkStart w:id="139" w:name="_Toc135331263"/>
    </w:p>
    <w:p w14:paraId="0CB8E5DB" w14:textId="77777777" w:rsidR="00AB205D" w:rsidRDefault="00471A3B">
      <w:pPr>
        <w:pStyle w:val="Heading10"/>
      </w:pPr>
      <w:bookmarkStart w:id="140" w:name="_Toc152933062"/>
      <w:r>
        <w:t>Sensitivity to independent variations in major economic parameters</w:t>
      </w:r>
      <w:bookmarkEnd w:id="138"/>
      <w:bookmarkEnd w:id="139"/>
      <w:bookmarkEnd w:id="140"/>
    </w:p>
    <w:p w14:paraId="2C56AF5E" w14:textId="77777777" w:rsidR="00AB205D" w:rsidRPr="00AE5242" w:rsidRDefault="00471A3B">
      <w:pPr>
        <w:rPr>
          <w:color w:val="000000" w:themeColor="text1"/>
        </w:rPr>
      </w:pPr>
      <w:r w:rsidRPr="00AE5242">
        <w:rPr>
          <w:color w:val="000000" w:themeColor="text1"/>
        </w:rPr>
        <w:t>Table D.3 presents the sensitivity of financial aggregates where the levels of key economic parameters are 1</w:t>
      </w:r>
      <w:r>
        <w:rPr>
          <w:color w:val="000000" w:themeColor="text1"/>
        </w:rPr>
        <w:t> per cent</w:t>
      </w:r>
      <w:r w:rsidRPr="00AE5242">
        <w:rPr>
          <w:color w:val="000000" w:themeColor="text1"/>
        </w:rPr>
        <w:t xml:space="preserve"> (or, for interest rates, 1 percentage point) above the forecast for each year of the budget and forward estimates, holding all else constant. </w:t>
      </w:r>
    </w:p>
    <w:p w14:paraId="14927474" w14:textId="77777777" w:rsidR="00AB205D" w:rsidRPr="00AE5242" w:rsidRDefault="00471A3B">
      <w:pPr>
        <w:rPr>
          <w:color w:val="000000" w:themeColor="text1"/>
        </w:rPr>
      </w:pPr>
      <w:r w:rsidRPr="486CBCB0">
        <w:rPr>
          <w:color w:val="000000" w:themeColor="text1"/>
        </w:rPr>
        <w:t xml:space="preserve">The impacts shown are broadly symmetric; that is, the estimated fiscal impacts would apply approximately equally in the opposite direction where there is a decrease in the parameter. Differences may arise to the extent that the impact on income tax equivalent income may not be symmetric because that line item is subject to a floor of zero, and the impact on dividends may be affected by some entities facing caps on the share of profits that can be returned to the general government sector. </w:t>
      </w:r>
    </w:p>
    <w:p w14:paraId="518A4EAC" w14:textId="77777777" w:rsidR="00AB205D" w:rsidRPr="00AE5242" w:rsidRDefault="00AB205D">
      <w:pPr>
        <w:keepLines w:val="0"/>
        <w:rPr>
          <w:color w:val="000000" w:themeColor="text1"/>
        </w:rPr>
      </w:pPr>
    </w:p>
    <w:p w14:paraId="41F8EFBB" w14:textId="77777777" w:rsidR="00AB205D" w:rsidRDefault="00471A3B">
      <w:pPr>
        <w:pStyle w:val="TableHeading"/>
        <w:pageBreakBefore/>
      </w:pPr>
      <w:r w:rsidRPr="00AE5242">
        <w:lastRenderedPageBreak/>
        <w:t>Table D.3:</w:t>
      </w:r>
      <w:r w:rsidRPr="00AE5242">
        <w:tab/>
        <w:t xml:space="preserve">Sensitivity of key fiscal aggregates to selected indicators being </w:t>
      </w:r>
      <w:r w:rsidRPr="00AE5242">
        <w:br/>
        <w:t>1</w:t>
      </w:r>
      <w:r>
        <w:t> per cent</w:t>
      </w:r>
      <w:r w:rsidRPr="00AE5242">
        <w:t xml:space="preserve"> higher than expected from 2023</w:t>
      </w:r>
      <w:r w:rsidRPr="00AE5242">
        <w:noBreakHyphen/>
        <w:t>24</w:t>
      </w:r>
      <w:r w:rsidRPr="00AE5242">
        <w:rPr>
          <w:vertAlign w:val="superscript"/>
        </w:rPr>
        <w:t xml:space="preserve"> (a)(b)(c)(d)(e)</w:t>
      </w:r>
      <w:r>
        <w:tab/>
      </w:r>
      <w:r w:rsidRPr="000D74B1">
        <w:t>($ million)</w:t>
      </w:r>
    </w:p>
    <w:tbl>
      <w:tblPr>
        <w:tblStyle w:val="DTFTable"/>
        <w:tblW w:w="7711" w:type="dxa"/>
        <w:tblLayout w:type="fixed"/>
        <w:tblLook w:val="06E0" w:firstRow="1" w:lastRow="1" w:firstColumn="1" w:lastColumn="0" w:noHBand="1" w:noVBand="1"/>
      </w:tblPr>
      <w:tblGrid>
        <w:gridCol w:w="4333"/>
        <w:gridCol w:w="844"/>
        <w:gridCol w:w="844"/>
        <w:gridCol w:w="845"/>
        <w:gridCol w:w="845"/>
      </w:tblGrid>
      <w:tr w:rsidR="009C6724" w:rsidRPr="00CF5471" w14:paraId="5A328356" w14:textId="77777777" w:rsidTr="009C6724">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4333" w:type="dxa"/>
          </w:tcPr>
          <w:p w14:paraId="0611AB35" w14:textId="77777777" w:rsidR="00AB205D" w:rsidRPr="00CF5471" w:rsidRDefault="00AB205D">
            <w:pPr>
              <w:autoSpaceDE w:val="0"/>
              <w:autoSpaceDN w:val="0"/>
              <w:adjustRightInd w:val="0"/>
              <w:rPr>
                <w:rFonts w:cstheme="majorHAnsi"/>
                <w:szCs w:val="17"/>
              </w:rPr>
            </w:pPr>
            <w:bookmarkStart w:id="141" w:name="_Hlk100825913"/>
          </w:p>
        </w:tc>
        <w:tc>
          <w:tcPr>
            <w:tcW w:w="844" w:type="dxa"/>
            <w:hideMark/>
          </w:tcPr>
          <w:p w14:paraId="6EE1D4A9" w14:textId="77777777" w:rsidR="00AB205D" w:rsidRPr="00CF5471" w:rsidRDefault="00471A3B">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szCs w:val="17"/>
                <w:lang w:eastAsia="en-AU"/>
              </w:rPr>
            </w:pPr>
            <w:r w:rsidRPr="00CF5471">
              <w:rPr>
                <w:rFonts w:eastAsiaTheme="minorEastAsia" w:cstheme="majorHAnsi"/>
                <w:iCs/>
                <w:szCs w:val="17"/>
                <w:lang w:eastAsia="en-AU"/>
              </w:rPr>
              <w:t>202</w:t>
            </w:r>
            <w:r>
              <w:rPr>
                <w:rFonts w:eastAsiaTheme="minorEastAsia" w:cstheme="majorHAnsi"/>
                <w:iCs/>
                <w:szCs w:val="17"/>
                <w:lang w:eastAsia="en-AU"/>
              </w:rPr>
              <w:t>3</w:t>
            </w:r>
            <w:r w:rsidRPr="00CF5471">
              <w:rPr>
                <w:rFonts w:eastAsiaTheme="minorEastAsia" w:cstheme="majorHAnsi"/>
                <w:iCs/>
                <w:szCs w:val="17"/>
                <w:lang w:eastAsia="en-AU"/>
              </w:rPr>
              <w:t>-2</w:t>
            </w:r>
            <w:r>
              <w:rPr>
                <w:rFonts w:eastAsiaTheme="minorEastAsia" w:cstheme="majorHAnsi"/>
                <w:iCs/>
                <w:szCs w:val="17"/>
                <w:lang w:eastAsia="en-AU"/>
              </w:rPr>
              <w:t>4</w:t>
            </w:r>
          </w:p>
          <w:p w14:paraId="68A85160" w14:textId="77777777" w:rsidR="00AB205D" w:rsidRPr="00CF5471" w:rsidRDefault="00471A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sidRPr="00CF5471">
              <w:rPr>
                <w:rFonts w:eastAsiaTheme="minorEastAsia" w:cstheme="majorHAnsi"/>
                <w:iCs/>
                <w:szCs w:val="17"/>
                <w:lang w:eastAsia="en-AU"/>
              </w:rPr>
              <w:t>estimate</w:t>
            </w:r>
          </w:p>
        </w:tc>
        <w:tc>
          <w:tcPr>
            <w:tcW w:w="844" w:type="dxa"/>
            <w:hideMark/>
          </w:tcPr>
          <w:p w14:paraId="1C46C4FE" w14:textId="77777777" w:rsidR="00AB205D" w:rsidRPr="00CF5471" w:rsidRDefault="00471A3B">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szCs w:val="17"/>
                <w:lang w:eastAsia="en-AU"/>
              </w:rPr>
            </w:pPr>
            <w:r w:rsidRPr="00CF5471">
              <w:rPr>
                <w:rFonts w:eastAsiaTheme="minorEastAsia" w:cstheme="majorHAnsi"/>
                <w:iCs/>
                <w:szCs w:val="17"/>
                <w:lang w:eastAsia="en-AU"/>
              </w:rPr>
              <w:t>202</w:t>
            </w:r>
            <w:r>
              <w:rPr>
                <w:rFonts w:eastAsiaTheme="minorEastAsia" w:cstheme="majorHAnsi"/>
                <w:iCs/>
                <w:szCs w:val="17"/>
                <w:lang w:eastAsia="en-AU"/>
              </w:rPr>
              <w:t>4</w:t>
            </w:r>
            <w:r w:rsidRPr="00CF5471">
              <w:rPr>
                <w:rFonts w:eastAsiaTheme="minorEastAsia" w:cstheme="majorHAnsi"/>
                <w:iCs/>
                <w:szCs w:val="17"/>
                <w:lang w:eastAsia="en-AU"/>
              </w:rPr>
              <w:t>-2</w:t>
            </w:r>
            <w:r>
              <w:rPr>
                <w:rFonts w:eastAsiaTheme="minorEastAsia" w:cstheme="majorHAnsi"/>
                <w:iCs/>
                <w:szCs w:val="17"/>
                <w:lang w:eastAsia="en-AU"/>
              </w:rPr>
              <w:t>5</w:t>
            </w:r>
          </w:p>
          <w:p w14:paraId="61FFF413" w14:textId="77777777" w:rsidR="00AB205D" w:rsidRPr="00CF5471" w:rsidRDefault="00471A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sidRPr="00CF5471">
              <w:rPr>
                <w:rFonts w:eastAsiaTheme="minorEastAsia" w:cstheme="majorHAnsi"/>
                <w:iCs/>
                <w:szCs w:val="17"/>
                <w:lang w:eastAsia="en-AU"/>
              </w:rPr>
              <w:t>estimate</w:t>
            </w:r>
          </w:p>
        </w:tc>
        <w:tc>
          <w:tcPr>
            <w:tcW w:w="845" w:type="dxa"/>
            <w:hideMark/>
          </w:tcPr>
          <w:p w14:paraId="334378C3" w14:textId="77777777" w:rsidR="00AB205D" w:rsidRPr="00CF5471" w:rsidRDefault="00471A3B">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szCs w:val="17"/>
                <w:lang w:eastAsia="en-AU"/>
              </w:rPr>
            </w:pPr>
            <w:r w:rsidRPr="00CF5471">
              <w:rPr>
                <w:rFonts w:eastAsiaTheme="minorEastAsia" w:cstheme="majorHAnsi"/>
                <w:iCs/>
                <w:szCs w:val="17"/>
                <w:lang w:eastAsia="en-AU"/>
              </w:rPr>
              <w:t>202</w:t>
            </w:r>
            <w:r>
              <w:rPr>
                <w:rFonts w:eastAsiaTheme="minorEastAsia" w:cstheme="majorHAnsi"/>
                <w:iCs/>
                <w:szCs w:val="17"/>
                <w:lang w:eastAsia="en-AU"/>
              </w:rPr>
              <w:t>5</w:t>
            </w:r>
            <w:r w:rsidRPr="00CF5471">
              <w:rPr>
                <w:rFonts w:eastAsiaTheme="minorEastAsia" w:cstheme="majorHAnsi"/>
                <w:iCs/>
                <w:szCs w:val="17"/>
                <w:lang w:eastAsia="en-AU"/>
              </w:rPr>
              <w:t>-2</w:t>
            </w:r>
            <w:r>
              <w:rPr>
                <w:rFonts w:eastAsiaTheme="minorEastAsia" w:cstheme="majorHAnsi"/>
                <w:iCs/>
                <w:szCs w:val="17"/>
                <w:lang w:eastAsia="en-AU"/>
              </w:rPr>
              <w:t>6</w:t>
            </w:r>
          </w:p>
          <w:p w14:paraId="3E7C8DFB" w14:textId="77777777" w:rsidR="00AB205D" w:rsidRPr="00CF5471" w:rsidRDefault="00471A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sidRPr="00CF5471">
              <w:rPr>
                <w:rFonts w:eastAsiaTheme="minorEastAsia" w:cstheme="majorHAnsi"/>
                <w:iCs/>
                <w:szCs w:val="17"/>
                <w:lang w:eastAsia="en-AU"/>
              </w:rPr>
              <w:t>estimate</w:t>
            </w:r>
          </w:p>
        </w:tc>
        <w:tc>
          <w:tcPr>
            <w:tcW w:w="845" w:type="dxa"/>
            <w:hideMark/>
          </w:tcPr>
          <w:p w14:paraId="4B5FB86A" w14:textId="77777777" w:rsidR="00AB205D" w:rsidRPr="00CF5471" w:rsidRDefault="00471A3B">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szCs w:val="17"/>
                <w:lang w:eastAsia="en-AU"/>
              </w:rPr>
            </w:pPr>
            <w:r w:rsidRPr="00CF5471">
              <w:rPr>
                <w:rFonts w:eastAsiaTheme="minorEastAsia" w:cstheme="majorHAnsi"/>
                <w:iCs/>
                <w:szCs w:val="17"/>
                <w:lang w:eastAsia="en-AU"/>
              </w:rPr>
              <w:t>202</w:t>
            </w:r>
            <w:r>
              <w:rPr>
                <w:rFonts w:eastAsiaTheme="minorEastAsia" w:cstheme="majorHAnsi"/>
                <w:iCs/>
                <w:szCs w:val="17"/>
                <w:lang w:eastAsia="en-AU"/>
              </w:rPr>
              <w:t>6</w:t>
            </w:r>
            <w:r w:rsidRPr="00CF5471">
              <w:rPr>
                <w:rFonts w:eastAsiaTheme="minorEastAsia" w:cstheme="majorHAnsi"/>
                <w:iCs/>
                <w:szCs w:val="17"/>
                <w:lang w:eastAsia="en-AU"/>
              </w:rPr>
              <w:t>-2</w:t>
            </w:r>
            <w:r>
              <w:rPr>
                <w:rFonts w:eastAsiaTheme="minorEastAsia" w:cstheme="majorHAnsi"/>
                <w:iCs/>
                <w:szCs w:val="17"/>
                <w:lang w:eastAsia="en-AU"/>
              </w:rPr>
              <w:t>7</w:t>
            </w:r>
          </w:p>
          <w:p w14:paraId="3232995E" w14:textId="77777777" w:rsidR="00AB205D" w:rsidRPr="00CF5471" w:rsidRDefault="00471A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sidRPr="00CF5471">
              <w:rPr>
                <w:rFonts w:eastAsiaTheme="minorEastAsia" w:cstheme="majorHAnsi"/>
                <w:iCs/>
                <w:szCs w:val="17"/>
                <w:lang w:eastAsia="en-AU"/>
              </w:rPr>
              <w:t>estimate</w:t>
            </w:r>
          </w:p>
        </w:tc>
      </w:tr>
      <w:bookmarkEnd w:id="141"/>
      <w:tr w:rsidR="009C6724" w:rsidRPr="00CF5471" w14:paraId="2678118E" w14:textId="77777777" w:rsidTr="009C6724">
        <w:tc>
          <w:tcPr>
            <w:cnfStyle w:val="001000000000" w:firstRow="0" w:lastRow="0" w:firstColumn="1" w:lastColumn="0" w:oddVBand="0" w:evenVBand="0" w:oddHBand="0" w:evenHBand="0" w:firstRowFirstColumn="0" w:firstRowLastColumn="0" w:lastRowFirstColumn="0" w:lastRowLastColumn="0"/>
            <w:tcW w:w="4333" w:type="dxa"/>
            <w:hideMark/>
          </w:tcPr>
          <w:p w14:paraId="5EE5726D" w14:textId="77777777" w:rsidR="00AB205D" w:rsidRPr="00CF5471" w:rsidRDefault="00471A3B">
            <w:pPr>
              <w:keepLines w:val="0"/>
              <w:autoSpaceDE w:val="0"/>
              <w:autoSpaceDN w:val="0"/>
              <w:adjustRightInd w:val="0"/>
              <w:rPr>
                <w:rFonts w:eastAsiaTheme="minorEastAsia" w:cstheme="majorHAnsi"/>
                <w:b/>
                <w:bCs/>
                <w:szCs w:val="17"/>
                <w:lang w:eastAsia="en-AU"/>
              </w:rPr>
            </w:pPr>
            <w:r w:rsidRPr="00CF5471">
              <w:rPr>
                <w:rFonts w:eastAsiaTheme="minorEastAsia" w:cstheme="majorHAnsi"/>
                <w:b/>
                <w:bCs/>
                <w:szCs w:val="17"/>
                <w:lang w:eastAsia="en-AU"/>
              </w:rPr>
              <w:t>GSP</w:t>
            </w:r>
          </w:p>
        </w:tc>
        <w:tc>
          <w:tcPr>
            <w:tcW w:w="844" w:type="dxa"/>
            <w:vAlign w:val="bottom"/>
          </w:tcPr>
          <w:p w14:paraId="2363A6ED" w14:textId="77777777" w:rsidR="00AB205D" w:rsidRPr="00CF5471" w:rsidRDefault="00AB205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szCs w:val="17"/>
                <w:lang w:eastAsia="en-AU"/>
              </w:rPr>
            </w:pPr>
          </w:p>
        </w:tc>
        <w:tc>
          <w:tcPr>
            <w:tcW w:w="844" w:type="dxa"/>
            <w:vAlign w:val="bottom"/>
          </w:tcPr>
          <w:p w14:paraId="41079815" w14:textId="77777777" w:rsidR="00AB205D" w:rsidRPr="00CF5471" w:rsidRDefault="00AB205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szCs w:val="17"/>
                <w:lang w:eastAsia="en-AU"/>
              </w:rPr>
            </w:pPr>
          </w:p>
        </w:tc>
        <w:tc>
          <w:tcPr>
            <w:tcW w:w="845" w:type="dxa"/>
            <w:vAlign w:val="bottom"/>
          </w:tcPr>
          <w:p w14:paraId="5B622A21" w14:textId="77777777" w:rsidR="00AB205D" w:rsidRPr="00CF5471" w:rsidRDefault="00AB205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szCs w:val="17"/>
                <w:lang w:eastAsia="en-AU"/>
              </w:rPr>
            </w:pPr>
          </w:p>
        </w:tc>
        <w:tc>
          <w:tcPr>
            <w:tcW w:w="845" w:type="dxa"/>
            <w:vAlign w:val="bottom"/>
          </w:tcPr>
          <w:p w14:paraId="5FF71F49" w14:textId="77777777" w:rsidR="00AB205D" w:rsidRPr="00CF5471" w:rsidRDefault="00AB205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szCs w:val="17"/>
                <w:lang w:eastAsia="en-AU"/>
              </w:rPr>
            </w:pPr>
          </w:p>
        </w:tc>
      </w:tr>
      <w:tr w:rsidR="009C6724" w:rsidRPr="00CF5471" w14:paraId="25BFFEC1" w14:textId="77777777" w:rsidTr="009C6724">
        <w:tc>
          <w:tcPr>
            <w:cnfStyle w:val="001000000000" w:firstRow="0" w:lastRow="0" w:firstColumn="1" w:lastColumn="0" w:oddVBand="0" w:evenVBand="0" w:oddHBand="0" w:evenHBand="0" w:firstRowFirstColumn="0" w:firstRowLastColumn="0" w:lastRowFirstColumn="0" w:lastRowLastColumn="0"/>
            <w:tcW w:w="4333" w:type="dxa"/>
            <w:hideMark/>
          </w:tcPr>
          <w:p w14:paraId="67464CD9" w14:textId="77777777" w:rsidR="00AB205D" w:rsidRPr="00CF5471" w:rsidRDefault="00471A3B">
            <w:pPr>
              <w:keepLines w:val="0"/>
              <w:autoSpaceDE w:val="0"/>
              <w:autoSpaceDN w:val="0"/>
              <w:adjustRightInd w:val="0"/>
              <w:rPr>
                <w:rFonts w:eastAsiaTheme="minorEastAsia" w:cstheme="majorHAnsi"/>
                <w:szCs w:val="17"/>
                <w:lang w:eastAsia="en-AU"/>
              </w:rPr>
            </w:pPr>
            <w:r w:rsidRPr="00CF5471">
              <w:rPr>
                <w:rFonts w:eastAsiaTheme="minorEastAsia" w:cstheme="majorHAnsi"/>
                <w:szCs w:val="17"/>
                <w:lang w:eastAsia="en-AU"/>
              </w:rPr>
              <w:t>Income from transactions</w:t>
            </w:r>
          </w:p>
        </w:tc>
        <w:tc>
          <w:tcPr>
            <w:tcW w:w="844" w:type="dxa"/>
            <w:vAlign w:val="bottom"/>
          </w:tcPr>
          <w:p w14:paraId="0EFF1FFD"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6C50F2">
              <w:rPr>
                <w:rFonts w:ascii="Calibri" w:hAnsi="Calibri" w:cs="Calibri"/>
                <w:szCs w:val="17"/>
              </w:rPr>
              <w:t>135</w:t>
            </w:r>
          </w:p>
        </w:tc>
        <w:tc>
          <w:tcPr>
            <w:tcW w:w="844" w:type="dxa"/>
            <w:vAlign w:val="bottom"/>
          </w:tcPr>
          <w:p w14:paraId="6C7AE9C0"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6C50F2">
              <w:rPr>
                <w:rFonts w:ascii="Calibri" w:hAnsi="Calibri" w:cs="Calibri"/>
                <w:szCs w:val="17"/>
              </w:rPr>
              <w:t>151</w:t>
            </w:r>
          </w:p>
        </w:tc>
        <w:tc>
          <w:tcPr>
            <w:tcW w:w="845" w:type="dxa"/>
            <w:vAlign w:val="bottom"/>
          </w:tcPr>
          <w:p w14:paraId="42665779"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6C50F2">
              <w:rPr>
                <w:rFonts w:ascii="Calibri" w:hAnsi="Calibri" w:cs="Calibri"/>
                <w:szCs w:val="17"/>
              </w:rPr>
              <w:t>163</w:t>
            </w:r>
          </w:p>
        </w:tc>
        <w:tc>
          <w:tcPr>
            <w:tcW w:w="845" w:type="dxa"/>
            <w:vAlign w:val="bottom"/>
          </w:tcPr>
          <w:p w14:paraId="6B368603"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6C50F2">
              <w:rPr>
                <w:rFonts w:ascii="Calibri" w:hAnsi="Calibri" w:cs="Calibri"/>
                <w:szCs w:val="17"/>
              </w:rPr>
              <w:t>164</w:t>
            </w:r>
          </w:p>
        </w:tc>
      </w:tr>
      <w:tr w:rsidR="009C6724" w:rsidRPr="00CF5471" w14:paraId="7308B72D" w14:textId="77777777" w:rsidTr="009C6724">
        <w:tc>
          <w:tcPr>
            <w:cnfStyle w:val="001000000000" w:firstRow="0" w:lastRow="0" w:firstColumn="1" w:lastColumn="0" w:oddVBand="0" w:evenVBand="0" w:oddHBand="0" w:evenHBand="0" w:firstRowFirstColumn="0" w:firstRowLastColumn="0" w:lastRowFirstColumn="0" w:lastRowLastColumn="0"/>
            <w:tcW w:w="4333" w:type="dxa"/>
            <w:tcBorders>
              <w:bottom w:val="single" w:sz="4" w:space="0" w:color="auto"/>
            </w:tcBorders>
            <w:hideMark/>
          </w:tcPr>
          <w:p w14:paraId="519CE7B0" w14:textId="77777777" w:rsidR="00AB205D" w:rsidRPr="00CF5471" w:rsidRDefault="00471A3B">
            <w:pPr>
              <w:keepLines w:val="0"/>
              <w:autoSpaceDE w:val="0"/>
              <w:autoSpaceDN w:val="0"/>
              <w:adjustRightInd w:val="0"/>
              <w:rPr>
                <w:rFonts w:eastAsiaTheme="minorEastAsia" w:cstheme="majorHAnsi"/>
                <w:szCs w:val="17"/>
                <w:lang w:eastAsia="en-AU"/>
              </w:rPr>
            </w:pPr>
            <w:r w:rsidRPr="00CF5471">
              <w:rPr>
                <w:rFonts w:eastAsiaTheme="minorEastAsia" w:cstheme="majorHAnsi"/>
                <w:szCs w:val="17"/>
                <w:lang w:eastAsia="en-AU"/>
              </w:rPr>
              <w:t>Expenses from transactions</w:t>
            </w:r>
          </w:p>
        </w:tc>
        <w:tc>
          <w:tcPr>
            <w:tcW w:w="844" w:type="dxa"/>
            <w:tcBorders>
              <w:bottom w:val="single" w:sz="4" w:space="0" w:color="auto"/>
            </w:tcBorders>
            <w:vAlign w:val="bottom"/>
          </w:tcPr>
          <w:p w14:paraId="0B711FE9"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6C50F2">
              <w:rPr>
                <w:rFonts w:ascii="Calibri" w:hAnsi="Calibri" w:cs="Calibri"/>
                <w:szCs w:val="17"/>
              </w:rPr>
              <w:t>1</w:t>
            </w:r>
          </w:p>
        </w:tc>
        <w:tc>
          <w:tcPr>
            <w:tcW w:w="844" w:type="dxa"/>
            <w:tcBorders>
              <w:bottom w:val="single" w:sz="4" w:space="0" w:color="auto"/>
            </w:tcBorders>
            <w:vAlign w:val="bottom"/>
          </w:tcPr>
          <w:p w14:paraId="0DE1E060"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6C50F2">
              <w:rPr>
                <w:rFonts w:ascii="Calibri" w:hAnsi="Calibri" w:cs="Calibri"/>
                <w:szCs w:val="17"/>
              </w:rPr>
              <w:t>(6)</w:t>
            </w:r>
          </w:p>
        </w:tc>
        <w:tc>
          <w:tcPr>
            <w:tcW w:w="845" w:type="dxa"/>
            <w:tcBorders>
              <w:bottom w:val="single" w:sz="4" w:space="0" w:color="auto"/>
            </w:tcBorders>
            <w:vAlign w:val="bottom"/>
          </w:tcPr>
          <w:p w14:paraId="2D69753A"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6C50F2">
              <w:rPr>
                <w:rFonts w:ascii="Calibri" w:hAnsi="Calibri" w:cs="Calibri"/>
                <w:szCs w:val="17"/>
              </w:rPr>
              <w:t>(15)</w:t>
            </w:r>
          </w:p>
        </w:tc>
        <w:tc>
          <w:tcPr>
            <w:tcW w:w="845" w:type="dxa"/>
            <w:tcBorders>
              <w:bottom w:val="single" w:sz="4" w:space="0" w:color="auto"/>
            </w:tcBorders>
            <w:vAlign w:val="bottom"/>
          </w:tcPr>
          <w:p w14:paraId="41C30E4F"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6C50F2">
              <w:rPr>
                <w:rFonts w:ascii="Calibri" w:hAnsi="Calibri" w:cs="Calibri"/>
                <w:szCs w:val="17"/>
              </w:rPr>
              <w:t>(26)</w:t>
            </w:r>
          </w:p>
        </w:tc>
      </w:tr>
      <w:tr w:rsidR="009C6724" w:rsidRPr="00CF5471" w14:paraId="1DB3836E" w14:textId="77777777" w:rsidTr="009C6724">
        <w:tc>
          <w:tcPr>
            <w:cnfStyle w:val="001000000000" w:firstRow="0" w:lastRow="0" w:firstColumn="1" w:lastColumn="0" w:oddVBand="0" w:evenVBand="0" w:oddHBand="0" w:evenHBand="0" w:firstRowFirstColumn="0" w:firstRowLastColumn="0" w:lastRowFirstColumn="0" w:lastRowLastColumn="0"/>
            <w:tcW w:w="4333" w:type="dxa"/>
            <w:tcBorders>
              <w:top w:val="single" w:sz="4" w:space="0" w:color="auto"/>
              <w:bottom w:val="nil"/>
            </w:tcBorders>
            <w:hideMark/>
          </w:tcPr>
          <w:p w14:paraId="30682851" w14:textId="77777777" w:rsidR="00AB205D" w:rsidRPr="00CF5471" w:rsidRDefault="00471A3B">
            <w:pPr>
              <w:keepLines w:val="0"/>
              <w:autoSpaceDE w:val="0"/>
              <w:autoSpaceDN w:val="0"/>
              <w:adjustRightInd w:val="0"/>
              <w:rPr>
                <w:rFonts w:eastAsiaTheme="minorEastAsia" w:cstheme="majorHAnsi"/>
                <w:b/>
                <w:bCs/>
                <w:szCs w:val="17"/>
                <w:lang w:eastAsia="en-AU"/>
              </w:rPr>
            </w:pPr>
            <w:r w:rsidRPr="00CF5471">
              <w:rPr>
                <w:rFonts w:eastAsiaTheme="minorEastAsia" w:cstheme="majorHAnsi"/>
                <w:b/>
                <w:bCs/>
                <w:szCs w:val="17"/>
                <w:lang w:eastAsia="en-AU"/>
              </w:rPr>
              <w:t>Net result from transactions</w:t>
            </w:r>
          </w:p>
        </w:tc>
        <w:tc>
          <w:tcPr>
            <w:tcW w:w="844" w:type="dxa"/>
            <w:tcBorders>
              <w:top w:val="single" w:sz="4" w:space="0" w:color="auto"/>
              <w:bottom w:val="nil"/>
            </w:tcBorders>
            <w:vAlign w:val="bottom"/>
          </w:tcPr>
          <w:p w14:paraId="26DF85B7"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highlight w:val="yellow"/>
              </w:rPr>
            </w:pPr>
            <w:r w:rsidRPr="006C50F2">
              <w:rPr>
                <w:rFonts w:ascii="Calibri" w:hAnsi="Calibri" w:cs="Calibri"/>
                <w:b/>
                <w:bCs/>
                <w:szCs w:val="17"/>
              </w:rPr>
              <w:t>134</w:t>
            </w:r>
          </w:p>
        </w:tc>
        <w:tc>
          <w:tcPr>
            <w:tcW w:w="844" w:type="dxa"/>
            <w:tcBorders>
              <w:top w:val="single" w:sz="4" w:space="0" w:color="auto"/>
              <w:bottom w:val="nil"/>
            </w:tcBorders>
            <w:vAlign w:val="bottom"/>
          </w:tcPr>
          <w:p w14:paraId="68199299"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highlight w:val="yellow"/>
              </w:rPr>
            </w:pPr>
            <w:r w:rsidRPr="006C50F2">
              <w:rPr>
                <w:rFonts w:ascii="Calibri" w:hAnsi="Calibri" w:cs="Calibri"/>
                <w:b/>
                <w:bCs/>
                <w:szCs w:val="17"/>
              </w:rPr>
              <w:t>158</w:t>
            </w:r>
          </w:p>
        </w:tc>
        <w:tc>
          <w:tcPr>
            <w:tcW w:w="845" w:type="dxa"/>
            <w:tcBorders>
              <w:top w:val="single" w:sz="4" w:space="0" w:color="auto"/>
              <w:bottom w:val="nil"/>
            </w:tcBorders>
            <w:vAlign w:val="bottom"/>
          </w:tcPr>
          <w:p w14:paraId="3819DE9C"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highlight w:val="yellow"/>
              </w:rPr>
            </w:pPr>
            <w:r w:rsidRPr="006C50F2">
              <w:rPr>
                <w:rFonts w:ascii="Calibri" w:hAnsi="Calibri" w:cs="Calibri"/>
                <w:b/>
                <w:bCs/>
                <w:szCs w:val="17"/>
              </w:rPr>
              <w:t>178</w:t>
            </w:r>
          </w:p>
        </w:tc>
        <w:tc>
          <w:tcPr>
            <w:tcW w:w="845" w:type="dxa"/>
            <w:tcBorders>
              <w:top w:val="single" w:sz="4" w:space="0" w:color="auto"/>
              <w:bottom w:val="nil"/>
            </w:tcBorders>
            <w:vAlign w:val="bottom"/>
          </w:tcPr>
          <w:p w14:paraId="537DD725"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highlight w:val="yellow"/>
              </w:rPr>
            </w:pPr>
            <w:r w:rsidRPr="006C50F2">
              <w:rPr>
                <w:rFonts w:ascii="Calibri" w:hAnsi="Calibri" w:cs="Calibri"/>
                <w:b/>
                <w:bCs/>
                <w:szCs w:val="17"/>
              </w:rPr>
              <w:t>190</w:t>
            </w:r>
          </w:p>
        </w:tc>
      </w:tr>
      <w:tr w:rsidR="009C6724" w:rsidRPr="00CF5471" w14:paraId="216495C4" w14:textId="77777777" w:rsidTr="009C6724">
        <w:tc>
          <w:tcPr>
            <w:cnfStyle w:val="001000000000" w:firstRow="0" w:lastRow="0" w:firstColumn="1" w:lastColumn="0" w:oddVBand="0" w:evenVBand="0" w:oddHBand="0" w:evenHBand="0" w:firstRowFirstColumn="0" w:firstRowLastColumn="0" w:lastRowFirstColumn="0" w:lastRowLastColumn="0"/>
            <w:tcW w:w="4333" w:type="dxa"/>
            <w:tcBorders>
              <w:bottom w:val="single" w:sz="4" w:space="0" w:color="auto"/>
            </w:tcBorders>
            <w:hideMark/>
          </w:tcPr>
          <w:p w14:paraId="0AC5D666" w14:textId="77777777" w:rsidR="00AB205D" w:rsidRPr="00CF5471" w:rsidRDefault="00471A3B">
            <w:pPr>
              <w:keepLines w:val="0"/>
              <w:autoSpaceDE w:val="0"/>
              <w:autoSpaceDN w:val="0"/>
              <w:adjustRightInd w:val="0"/>
              <w:rPr>
                <w:rFonts w:eastAsiaTheme="minorEastAsia" w:cstheme="majorHAnsi"/>
                <w:b/>
                <w:bCs/>
                <w:szCs w:val="17"/>
                <w:lang w:eastAsia="en-AU"/>
              </w:rPr>
            </w:pPr>
            <w:r w:rsidRPr="00CF5471">
              <w:rPr>
                <w:rFonts w:eastAsiaTheme="minorEastAsia" w:cstheme="majorHAnsi"/>
                <w:b/>
                <w:bCs/>
                <w:szCs w:val="17"/>
                <w:lang w:eastAsia="en-AU"/>
              </w:rPr>
              <w:t>Net debt</w:t>
            </w:r>
          </w:p>
        </w:tc>
        <w:tc>
          <w:tcPr>
            <w:tcW w:w="844" w:type="dxa"/>
            <w:tcBorders>
              <w:bottom w:val="single" w:sz="4" w:space="0" w:color="auto"/>
            </w:tcBorders>
            <w:vAlign w:val="bottom"/>
          </w:tcPr>
          <w:p w14:paraId="62BECCD0"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highlight w:val="yellow"/>
              </w:rPr>
            </w:pPr>
            <w:r w:rsidRPr="006C50F2">
              <w:rPr>
                <w:rFonts w:ascii="Calibri" w:hAnsi="Calibri" w:cs="Calibri"/>
                <w:b/>
                <w:bCs/>
                <w:szCs w:val="17"/>
              </w:rPr>
              <w:t>(134)</w:t>
            </w:r>
          </w:p>
        </w:tc>
        <w:tc>
          <w:tcPr>
            <w:tcW w:w="844" w:type="dxa"/>
            <w:tcBorders>
              <w:bottom w:val="single" w:sz="4" w:space="0" w:color="auto"/>
            </w:tcBorders>
            <w:vAlign w:val="bottom"/>
          </w:tcPr>
          <w:p w14:paraId="4CC42586"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highlight w:val="yellow"/>
              </w:rPr>
            </w:pPr>
            <w:r w:rsidRPr="006C50F2">
              <w:rPr>
                <w:rFonts w:ascii="Calibri" w:hAnsi="Calibri" w:cs="Calibri"/>
                <w:b/>
                <w:bCs/>
                <w:szCs w:val="17"/>
              </w:rPr>
              <w:t>(292)</w:t>
            </w:r>
          </w:p>
        </w:tc>
        <w:tc>
          <w:tcPr>
            <w:tcW w:w="845" w:type="dxa"/>
            <w:tcBorders>
              <w:bottom w:val="single" w:sz="4" w:space="0" w:color="auto"/>
            </w:tcBorders>
            <w:vAlign w:val="bottom"/>
          </w:tcPr>
          <w:p w14:paraId="1BE056FB"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highlight w:val="yellow"/>
              </w:rPr>
            </w:pPr>
            <w:r w:rsidRPr="006C50F2">
              <w:rPr>
                <w:rFonts w:ascii="Calibri" w:hAnsi="Calibri" w:cs="Calibri"/>
                <w:b/>
                <w:bCs/>
                <w:szCs w:val="17"/>
              </w:rPr>
              <w:t>(470)</w:t>
            </w:r>
          </w:p>
        </w:tc>
        <w:tc>
          <w:tcPr>
            <w:tcW w:w="845" w:type="dxa"/>
            <w:tcBorders>
              <w:bottom w:val="single" w:sz="4" w:space="0" w:color="auto"/>
            </w:tcBorders>
            <w:vAlign w:val="bottom"/>
          </w:tcPr>
          <w:p w14:paraId="087591BC"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highlight w:val="yellow"/>
              </w:rPr>
            </w:pPr>
            <w:r w:rsidRPr="006C50F2">
              <w:rPr>
                <w:rFonts w:ascii="Calibri" w:hAnsi="Calibri" w:cs="Calibri"/>
                <w:b/>
                <w:bCs/>
                <w:szCs w:val="17"/>
              </w:rPr>
              <w:t>(660)</w:t>
            </w:r>
          </w:p>
        </w:tc>
      </w:tr>
      <w:tr w:rsidR="009C6724" w:rsidRPr="00CF5471" w14:paraId="3D9DBA44" w14:textId="77777777" w:rsidTr="009C6724">
        <w:tc>
          <w:tcPr>
            <w:cnfStyle w:val="001000000000" w:firstRow="0" w:lastRow="0" w:firstColumn="1" w:lastColumn="0" w:oddVBand="0" w:evenVBand="0" w:oddHBand="0" w:evenHBand="0" w:firstRowFirstColumn="0" w:firstRowLastColumn="0" w:lastRowFirstColumn="0" w:lastRowLastColumn="0"/>
            <w:tcW w:w="4333" w:type="dxa"/>
            <w:tcBorders>
              <w:top w:val="single" w:sz="4" w:space="0" w:color="auto"/>
            </w:tcBorders>
            <w:hideMark/>
          </w:tcPr>
          <w:p w14:paraId="2AD24A16" w14:textId="77777777" w:rsidR="00AB205D" w:rsidRPr="00CF5471" w:rsidRDefault="00471A3B">
            <w:pPr>
              <w:keepLines w:val="0"/>
              <w:autoSpaceDE w:val="0"/>
              <w:autoSpaceDN w:val="0"/>
              <w:adjustRightInd w:val="0"/>
              <w:rPr>
                <w:rFonts w:eastAsiaTheme="minorEastAsia" w:cstheme="majorHAnsi"/>
                <w:b/>
                <w:bCs/>
                <w:szCs w:val="17"/>
                <w:lang w:eastAsia="en-AU"/>
              </w:rPr>
            </w:pPr>
            <w:r w:rsidRPr="00CF5471">
              <w:rPr>
                <w:rFonts w:eastAsiaTheme="minorEastAsia" w:cstheme="majorHAnsi"/>
                <w:b/>
                <w:bCs/>
                <w:szCs w:val="17"/>
                <w:lang w:eastAsia="en-AU"/>
              </w:rPr>
              <w:t xml:space="preserve">Employment </w:t>
            </w:r>
            <w:r w:rsidRPr="00CF5471">
              <w:rPr>
                <w:rFonts w:eastAsiaTheme="minorEastAsia" w:cstheme="majorHAnsi"/>
                <w:b/>
                <w:bCs/>
                <w:szCs w:val="17"/>
                <w:vertAlign w:val="superscript"/>
                <w:lang w:eastAsia="en-AU"/>
              </w:rPr>
              <w:t>(</w:t>
            </w:r>
            <w:r>
              <w:rPr>
                <w:rFonts w:eastAsiaTheme="minorEastAsia" w:cstheme="majorHAnsi"/>
                <w:b/>
                <w:bCs/>
                <w:szCs w:val="17"/>
                <w:vertAlign w:val="superscript"/>
                <w:lang w:eastAsia="en-AU"/>
              </w:rPr>
              <w:t>f</w:t>
            </w:r>
            <w:r w:rsidRPr="00CF5471">
              <w:rPr>
                <w:rFonts w:eastAsiaTheme="minorEastAsia" w:cstheme="majorHAnsi"/>
                <w:b/>
                <w:bCs/>
                <w:szCs w:val="17"/>
                <w:vertAlign w:val="superscript"/>
                <w:lang w:eastAsia="en-AU"/>
              </w:rPr>
              <w:t>)</w:t>
            </w:r>
            <w:r w:rsidRPr="00CF5471">
              <w:rPr>
                <w:rFonts w:eastAsiaTheme="minorEastAsia" w:cstheme="majorHAnsi"/>
                <w:b/>
                <w:bCs/>
                <w:szCs w:val="17"/>
                <w:lang w:eastAsia="en-AU"/>
              </w:rPr>
              <w:t xml:space="preserve"> </w:t>
            </w:r>
          </w:p>
        </w:tc>
        <w:tc>
          <w:tcPr>
            <w:tcW w:w="844" w:type="dxa"/>
            <w:tcBorders>
              <w:top w:val="single" w:sz="4" w:space="0" w:color="auto"/>
            </w:tcBorders>
            <w:vAlign w:val="bottom"/>
          </w:tcPr>
          <w:p w14:paraId="6070E536" w14:textId="77777777" w:rsidR="00AB205D" w:rsidRPr="00952C8F" w:rsidRDefault="00AB205D">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p>
        </w:tc>
        <w:tc>
          <w:tcPr>
            <w:tcW w:w="844" w:type="dxa"/>
            <w:tcBorders>
              <w:top w:val="single" w:sz="4" w:space="0" w:color="auto"/>
            </w:tcBorders>
            <w:vAlign w:val="bottom"/>
          </w:tcPr>
          <w:p w14:paraId="661643CC" w14:textId="77777777" w:rsidR="00AB205D" w:rsidRPr="00952C8F" w:rsidRDefault="00AB205D">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p>
        </w:tc>
        <w:tc>
          <w:tcPr>
            <w:tcW w:w="845" w:type="dxa"/>
            <w:tcBorders>
              <w:top w:val="single" w:sz="4" w:space="0" w:color="auto"/>
            </w:tcBorders>
            <w:vAlign w:val="bottom"/>
          </w:tcPr>
          <w:p w14:paraId="7F33DA9F" w14:textId="77777777" w:rsidR="00AB205D" w:rsidRPr="00952C8F" w:rsidRDefault="00AB205D">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p>
        </w:tc>
        <w:tc>
          <w:tcPr>
            <w:tcW w:w="845" w:type="dxa"/>
            <w:tcBorders>
              <w:top w:val="single" w:sz="4" w:space="0" w:color="auto"/>
            </w:tcBorders>
            <w:vAlign w:val="bottom"/>
          </w:tcPr>
          <w:p w14:paraId="03570D16" w14:textId="77777777" w:rsidR="00AB205D" w:rsidRPr="00952C8F" w:rsidRDefault="00AB205D">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p>
        </w:tc>
      </w:tr>
      <w:tr w:rsidR="009C6724" w:rsidRPr="00CF5471" w14:paraId="56658FAC" w14:textId="77777777" w:rsidTr="009C6724">
        <w:tc>
          <w:tcPr>
            <w:cnfStyle w:val="001000000000" w:firstRow="0" w:lastRow="0" w:firstColumn="1" w:lastColumn="0" w:oddVBand="0" w:evenVBand="0" w:oddHBand="0" w:evenHBand="0" w:firstRowFirstColumn="0" w:firstRowLastColumn="0" w:lastRowFirstColumn="0" w:lastRowLastColumn="0"/>
            <w:tcW w:w="4333" w:type="dxa"/>
            <w:hideMark/>
          </w:tcPr>
          <w:p w14:paraId="66FFA229" w14:textId="77777777" w:rsidR="00AB205D" w:rsidRPr="00CF5471" w:rsidRDefault="00471A3B">
            <w:pPr>
              <w:keepLines w:val="0"/>
              <w:autoSpaceDE w:val="0"/>
              <w:autoSpaceDN w:val="0"/>
              <w:adjustRightInd w:val="0"/>
              <w:rPr>
                <w:rFonts w:eastAsiaTheme="minorEastAsia" w:cstheme="majorHAnsi"/>
                <w:szCs w:val="17"/>
                <w:lang w:eastAsia="en-AU"/>
              </w:rPr>
            </w:pPr>
            <w:r w:rsidRPr="00CF5471">
              <w:rPr>
                <w:rFonts w:eastAsiaTheme="minorEastAsia" w:cstheme="majorHAnsi"/>
                <w:szCs w:val="17"/>
                <w:lang w:eastAsia="en-AU"/>
              </w:rPr>
              <w:t>Income from transactions</w:t>
            </w:r>
          </w:p>
        </w:tc>
        <w:tc>
          <w:tcPr>
            <w:tcW w:w="844" w:type="dxa"/>
            <w:vAlign w:val="bottom"/>
          </w:tcPr>
          <w:p w14:paraId="77FCE877"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6C50F2">
              <w:rPr>
                <w:rFonts w:ascii="Calibri" w:hAnsi="Calibri" w:cs="Calibri"/>
                <w:szCs w:val="17"/>
              </w:rPr>
              <w:t>133</w:t>
            </w:r>
          </w:p>
        </w:tc>
        <w:tc>
          <w:tcPr>
            <w:tcW w:w="844" w:type="dxa"/>
            <w:vAlign w:val="bottom"/>
          </w:tcPr>
          <w:p w14:paraId="3C6F1AD0"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6C50F2">
              <w:rPr>
                <w:rFonts w:ascii="Calibri" w:hAnsi="Calibri" w:cs="Calibri"/>
                <w:szCs w:val="17"/>
              </w:rPr>
              <w:t>142</w:t>
            </w:r>
          </w:p>
        </w:tc>
        <w:tc>
          <w:tcPr>
            <w:tcW w:w="845" w:type="dxa"/>
            <w:vAlign w:val="bottom"/>
          </w:tcPr>
          <w:p w14:paraId="0D646187"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6C50F2">
              <w:rPr>
                <w:rFonts w:ascii="Calibri" w:hAnsi="Calibri" w:cs="Calibri"/>
                <w:szCs w:val="17"/>
              </w:rPr>
              <w:t>146</w:t>
            </w:r>
          </w:p>
        </w:tc>
        <w:tc>
          <w:tcPr>
            <w:tcW w:w="845" w:type="dxa"/>
            <w:vAlign w:val="bottom"/>
          </w:tcPr>
          <w:p w14:paraId="5EFE21DA"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6C50F2">
              <w:rPr>
                <w:rFonts w:ascii="Calibri" w:hAnsi="Calibri" w:cs="Calibri"/>
                <w:szCs w:val="17"/>
              </w:rPr>
              <w:t>151</w:t>
            </w:r>
          </w:p>
        </w:tc>
      </w:tr>
      <w:tr w:rsidR="009C6724" w:rsidRPr="00CF5471" w14:paraId="50D1A73C" w14:textId="77777777" w:rsidTr="009C6724">
        <w:tc>
          <w:tcPr>
            <w:cnfStyle w:val="001000000000" w:firstRow="0" w:lastRow="0" w:firstColumn="1" w:lastColumn="0" w:oddVBand="0" w:evenVBand="0" w:oddHBand="0" w:evenHBand="0" w:firstRowFirstColumn="0" w:firstRowLastColumn="0" w:lastRowFirstColumn="0" w:lastRowLastColumn="0"/>
            <w:tcW w:w="4333" w:type="dxa"/>
            <w:tcBorders>
              <w:bottom w:val="single" w:sz="4" w:space="0" w:color="auto"/>
            </w:tcBorders>
            <w:hideMark/>
          </w:tcPr>
          <w:p w14:paraId="11458D68" w14:textId="77777777" w:rsidR="00AB205D" w:rsidRPr="00CF5471" w:rsidRDefault="00471A3B">
            <w:pPr>
              <w:keepLines w:val="0"/>
              <w:autoSpaceDE w:val="0"/>
              <w:autoSpaceDN w:val="0"/>
              <w:adjustRightInd w:val="0"/>
              <w:rPr>
                <w:rFonts w:eastAsiaTheme="minorEastAsia" w:cstheme="majorHAnsi"/>
                <w:szCs w:val="17"/>
                <w:lang w:eastAsia="en-AU"/>
              </w:rPr>
            </w:pPr>
            <w:r w:rsidRPr="00CF5471">
              <w:rPr>
                <w:rFonts w:eastAsiaTheme="minorEastAsia" w:cstheme="majorHAnsi"/>
                <w:szCs w:val="17"/>
                <w:lang w:eastAsia="en-AU"/>
              </w:rPr>
              <w:t>Expenses from transactions</w:t>
            </w:r>
          </w:p>
        </w:tc>
        <w:tc>
          <w:tcPr>
            <w:tcW w:w="844" w:type="dxa"/>
            <w:tcBorders>
              <w:bottom w:val="single" w:sz="4" w:space="0" w:color="auto"/>
            </w:tcBorders>
            <w:vAlign w:val="bottom"/>
          </w:tcPr>
          <w:p w14:paraId="344E930B"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96143D">
              <w:rPr>
                <w:rFonts w:ascii="Calibri" w:hAnsi="Calibri" w:cs="Calibri"/>
                <w:szCs w:val="17"/>
              </w:rPr>
              <w:t>354</w:t>
            </w:r>
          </w:p>
        </w:tc>
        <w:tc>
          <w:tcPr>
            <w:tcW w:w="844" w:type="dxa"/>
            <w:tcBorders>
              <w:bottom w:val="single" w:sz="4" w:space="0" w:color="auto"/>
            </w:tcBorders>
            <w:vAlign w:val="bottom"/>
          </w:tcPr>
          <w:p w14:paraId="456BD2AE"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6C50F2">
              <w:rPr>
                <w:rFonts w:ascii="Calibri" w:hAnsi="Calibri" w:cs="Calibri"/>
                <w:szCs w:val="17"/>
              </w:rPr>
              <w:t>376</w:t>
            </w:r>
          </w:p>
        </w:tc>
        <w:tc>
          <w:tcPr>
            <w:tcW w:w="845" w:type="dxa"/>
            <w:tcBorders>
              <w:bottom w:val="single" w:sz="4" w:space="0" w:color="auto"/>
            </w:tcBorders>
            <w:vAlign w:val="bottom"/>
          </w:tcPr>
          <w:p w14:paraId="547E3434"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6C50F2">
              <w:rPr>
                <w:rFonts w:ascii="Calibri" w:hAnsi="Calibri" w:cs="Calibri"/>
                <w:szCs w:val="17"/>
              </w:rPr>
              <w:t>400</w:t>
            </w:r>
          </w:p>
        </w:tc>
        <w:tc>
          <w:tcPr>
            <w:tcW w:w="845" w:type="dxa"/>
            <w:tcBorders>
              <w:bottom w:val="single" w:sz="4" w:space="0" w:color="auto"/>
            </w:tcBorders>
            <w:vAlign w:val="bottom"/>
          </w:tcPr>
          <w:p w14:paraId="08A58450"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6C50F2">
              <w:rPr>
                <w:rFonts w:ascii="Calibri" w:hAnsi="Calibri" w:cs="Calibri"/>
                <w:szCs w:val="17"/>
              </w:rPr>
              <w:t>432</w:t>
            </w:r>
          </w:p>
        </w:tc>
      </w:tr>
      <w:tr w:rsidR="009C6724" w:rsidRPr="00CF5471" w14:paraId="28993F49" w14:textId="77777777" w:rsidTr="009C6724">
        <w:tc>
          <w:tcPr>
            <w:cnfStyle w:val="001000000000" w:firstRow="0" w:lastRow="0" w:firstColumn="1" w:lastColumn="0" w:oddVBand="0" w:evenVBand="0" w:oddHBand="0" w:evenHBand="0" w:firstRowFirstColumn="0" w:firstRowLastColumn="0" w:lastRowFirstColumn="0" w:lastRowLastColumn="0"/>
            <w:tcW w:w="4333" w:type="dxa"/>
            <w:tcBorders>
              <w:top w:val="single" w:sz="4" w:space="0" w:color="auto"/>
              <w:bottom w:val="nil"/>
            </w:tcBorders>
            <w:hideMark/>
          </w:tcPr>
          <w:p w14:paraId="16098F27" w14:textId="77777777" w:rsidR="00AB205D" w:rsidRPr="00CF5471" w:rsidRDefault="00471A3B">
            <w:pPr>
              <w:keepLines w:val="0"/>
              <w:autoSpaceDE w:val="0"/>
              <w:autoSpaceDN w:val="0"/>
              <w:adjustRightInd w:val="0"/>
              <w:rPr>
                <w:rFonts w:eastAsiaTheme="minorEastAsia" w:cstheme="majorHAnsi"/>
                <w:b/>
                <w:bCs/>
                <w:szCs w:val="17"/>
                <w:lang w:eastAsia="en-AU"/>
              </w:rPr>
            </w:pPr>
            <w:r w:rsidRPr="00CF5471">
              <w:rPr>
                <w:rFonts w:eastAsiaTheme="minorEastAsia" w:cstheme="majorHAnsi"/>
                <w:b/>
                <w:bCs/>
                <w:szCs w:val="17"/>
                <w:lang w:eastAsia="en-AU"/>
              </w:rPr>
              <w:t>Net result from transactions</w:t>
            </w:r>
          </w:p>
        </w:tc>
        <w:tc>
          <w:tcPr>
            <w:tcW w:w="844" w:type="dxa"/>
            <w:tcBorders>
              <w:top w:val="single" w:sz="4" w:space="0" w:color="auto"/>
              <w:bottom w:val="nil"/>
            </w:tcBorders>
            <w:vAlign w:val="bottom"/>
          </w:tcPr>
          <w:p w14:paraId="07C5834B"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highlight w:val="yellow"/>
              </w:rPr>
            </w:pPr>
            <w:r w:rsidRPr="006C50F2">
              <w:rPr>
                <w:rFonts w:ascii="Calibri" w:hAnsi="Calibri" w:cs="Calibri"/>
                <w:b/>
                <w:bCs/>
                <w:szCs w:val="17"/>
              </w:rPr>
              <w:t>(</w:t>
            </w:r>
            <w:r w:rsidRPr="0096143D">
              <w:rPr>
                <w:rFonts w:ascii="Calibri" w:hAnsi="Calibri" w:cs="Calibri"/>
                <w:b/>
                <w:bCs/>
                <w:szCs w:val="17"/>
              </w:rPr>
              <w:t>220</w:t>
            </w:r>
            <w:r w:rsidRPr="006C50F2">
              <w:rPr>
                <w:rFonts w:ascii="Calibri" w:hAnsi="Calibri" w:cs="Calibri"/>
                <w:b/>
                <w:bCs/>
                <w:szCs w:val="17"/>
              </w:rPr>
              <w:t>)</w:t>
            </w:r>
          </w:p>
        </w:tc>
        <w:tc>
          <w:tcPr>
            <w:tcW w:w="844" w:type="dxa"/>
            <w:tcBorders>
              <w:top w:val="single" w:sz="4" w:space="0" w:color="auto"/>
              <w:bottom w:val="nil"/>
            </w:tcBorders>
            <w:vAlign w:val="bottom"/>
          </w:tcPr>
          <w:p w14:paraId="3F4A8998"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highlight w:val="yellow"/>
              </w:rPr>
            </w:pPr>
            <w:r w:rsidRPr="006C50F2">
              <w:rPr>
                <w:rFonts w:ascii="Calibri" w:hAnsi="Calibri" w:cs="Calibri"/>
                <w:b/>
                <w:bCs/>
                <w:szCs w:val="17"/>
              </w:rPr>
              <w:t>(235)</w:t>
            </w:r>
          </w:p>
        </w:tc>
        <w:tc>
          <w:tcPr>
            <w:tcW w:w="845" w:type="dxa"/>
            <w:tcBorders>
              <w:top w:val="single" w:sz="4" w:space="0" w:color="auto"/>
              <w:bottom w:val="nil"/>
            </w:tcBorders>
            <w:vAlign w:val="bottom"/>
          </w:tcPr>
          <w:p w14:paraId="298D72A6"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highlight w:val="yellow"/>
              </w:rPr>
            </w:pPr>
            <w:r w:rsidRPr="006C50F2">
              <w:rPr>
                <w:rFonts w:ascii="Calibri" w:hAnsi="Calibri" w:cs="Calibri"/>
                <w:b/>
                <w:bCs/>
                <w:szCs w:val="17"/>
              </w:rPr>
              <w:t>(</w:t>
            </w:r>
            <w:r w:rsidRPr="0096143D">
              <w:rPr>
                <w:rFonts w:ascii="Calibri" w:hAnsi="Calibri" w:cs="Calibri"/>
                <w:b/>
                <w:bCs/>
                <w:szCs w:val="17"/>
              </w:rPr>
              <w:t>255</w:t>
            </w:r>
            <w:r w:rsidRPr="006C50F2">
              <w:rPr>
                <w:rFonts w:ascii="Calibri" w:hAnsi="Calibri" w:cs="Calibri"/>
                <w:b/>
                <w:bCs/>
                <w:szCs w:val="17"/>
              </w:rPr>
              <w:t>)</w:t>
            </w:r>
          </w:p>
        </w:tc>
        <w:tc>
          <w:tcPr>
            <w:tcW w:w="845" w:type="dxa"/>
            <w:tcBorders>
              <w:top w:val="single" w:sz="4" w:space="0" w:color="auto"/>
              <w:bottom w:val="nil"/>
            </w:tcBorders>
            <w:vAlign w:val="bottom"/>
          </w:tcPr>
          <w:p w14:paraId="32740965"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highlight w:val="yellow"/>
              </w:rPr>
            </w:pPr>
            <w:r w:rsidRPr="006C50F2">
              <w:rPr>
                <w:rFonts w:ascii="Calibri" w:hAnsi="Calibri" w:cs="Calibri"/>
                <w:b/>
                <w:bCs/>
                <w:szCs w:val="17"/>
              </w:rPr>
              <w:t>(280)</w:t>
            </w:r>
          </w:p>
        </w:tc>
      </w:tr>
      <w:tr w:rsidR="009C6724" w:rsidRPr="00CF5471" w14:paraId="03CF3DAE" w14:textId="77777777" w:rsidTr="009C6724">
        <w:tc>
          <w:tcPr>
            <w:cnfStyle w:val="001000000000" w:firstRow="0" w:lastRow="0" w:firstColumn="1" w:lastColumn="0" w:oddVBand="0" w:evenVBand="0" w:oddHBand="0" w:evenHBand="0" w:firstRowFirstColumn="0" w:firstRowLastColumn="0" w:lastRowFirstColumn="0" w:lastRowLastColumn="0"/>
            <w:tcW w:w="4333" w:type="dxa"/>
            <w:tcBorders>
              <w:bottom w:val="single" w:sz="4" w:space="0" w:color="auto"/>
            </w:tcBorders>
            <w:hideMark/>
          </w:tcPr>
          <w:p w14:paraId="1A1D93F6" w14:textId="77777777" w:rsidR="00AB205D" w:rsidRPr="00CF5471" w:rsidRDefault="00471A3B">
            <w:pPr>
              <w:keepLines w:val="0"/>
              <w:autoSpaceDE w:val="0"/>
              <w:autoSpaceDN w:val="0"/>
              <w:adjustRightInd w:val="0"/>
              <w:rPr>
                <w:rFonts w:eastAsiaTheme="minorEastAsia" w:cstheme="majorHAnsi"/>
                <w:b/>
                <w:bCs/>
                <w:szCs w:val="17"/>
                <w:lang w:eastAsia="en-AU"/>
              </w:rPr>
            </w:pPr>
            <w:r w:rsidRPr="00CF5471">
              <w:rPr>
                <w:rFonts w:eastAsiaTheme="minorEastAsia" w:cstheme="majorHAnsi"/>
                <w:b/>
                <w:bCs/>
                <w:szCs w:val="17"/>
                <w:lang w:eastAsia="en-AU"/>
              </w:rPr>
              <w:t>Net debt</w:t>
            </w:r>
          </w:p>
        </w:tc>
        <w:tc>
          <w:tcPr>
            <w:tcW w:w="844" w:type="dxa"/>
            <w:tcBorders>
              <w:bottom w:val="single" w:sz="4" w:space="0" w:color="auto"/>
            </w:tcBorders>
            <w:vAlign w:val="bottom"/>
          </w:tcPr>
          <w:p w14:paraId="7BC1FFEF"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highlight w:val="yellow"/>
              </w:rPr>
            </w:pPr>
            <w:r w:rsidRPr="0096143D">
              <w:rPr>
                <w:rFonts w:ascii="Calibri" w:hAnsi="Calibri" w:cs="Calibri"/>
                <w:b/>
                <w:bCs/>
                <w:szCs w:val="17"/>
              </w:rPr>
              <w:t>220</w:t>
            </w:r>
          </w:p>
        </w:tc>
        <w:tc>
          <w:tcPr>
            <w:tcW w:w="844" w:type="dxa"/>
            <w:tcBorders>
              <w:bottom w:val="single" w:sz="4" w:space="0" w:color="auto"/>
            </w:tcBorders>
            <w:vAlign w:val="bottom"/>
          </w:tcPr>
          <w:p w14:paraId="5C845D2C"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highlight w:val="yellow"/>
              </w:rPr>
            </w:pPr>
            <w:r w:rsidRPr="0096143D">
              <w:rPr>
                <w:rFonts w:ascii="Calibri" w:hAnsi="Calibri" w:cs="Calibri"/>
                <w:b/>
                <w:bCs/>
                <w:szCs w:val="17"/>
              </w:rPr>
              <w:t>455</w:t>
            </w:r>
          </w:p>
        </w:tc>
        <w:tc>
          <w:tcPr>
            <w:tcW w:w="845" w:type="dxa"/>
            <w:tcBorders>
              <w:bottom w:val="single" w:sz="4" w:space="0" w:color="auto"/>
            </w:tcBorders>
            <w:vAlign w:val="bottom"/>
          </w:tcPr>
          <w:p w14:paraId="5CF749CF"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highlight w:val="yellow"/>
              </w:rPr>
            </w:pPr>
            <w:r w:rsidRPr="0096143D">
              <w:rPr>
                <w:rFonts w:ascii="Calibri" w:hAnsi="Calibri" w:cs="Calibri"/>
                <w:b/>
                <w:bCs/>
                <w:szCs w:val="17"/>
              </w:rPr>
              <w:t>710</w:t>
            </w:r>
          </w:p>
        </w:tc>
        <w:tc>
          <w:tcPr>
            <w:tcW w:w="845" w:type="dxa"/>
            <w:tcBorders>
              <w:bottom w:val="single" w:sz="4" w:space="0" w:color="auto"/>
            </w:tcBorders>
            <w:vAlign w:val="bottom"/>
          </w:tcPr>
          <w:p w14:paraId="15D76876"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highlight w:val="yellow"/>
              </w:rPr>
            </w:pPr>
            <w:r w:rsidRPr="0096143D">
              <w:rPr>
                <w:rFonts w:ascii="Calibri" w:hAnsi="Calibri" w:cs="Calibri"/>
                <w:b/>
                <w:bCs/>
                <w:szCs w:val="17"/>
              </w:rPr>
              <w:t>990</w:t>
            </w:r>
          </w:p>
        </w:tc>
      </w:tr>
      <w:tr w:rsidR="009C6724" w:rsidRPr="00CF5471" w14:paraId="081752B1" w14:textId="77777777" w:rsidTr="009C6724">
        <w:tc>
          <w:tcPr>
            <w:cnfStyle w:val="001000000000" w:firstRow="0" w:lastRow="0" w:firstColumn="1" w:lastColumn="0" w:oddVBand="0" w:evenVBand="0" w:oddHBand="0" w:evenHBand="0" w:firstRowFirstColumn="0" w:firstRowLastColumn="0" w:lastRowFirstColumn="0" w:lastRowLastColumn="0"/>
            <w:tcW w:w="4333" w:type="dxa"/>
            <w:tcBorders>
              <w:top w:val="single" w:sz="4" w:space="0" w:color="auto"/>
            </w:tcBorders>
            <w:hideMark/>
          </w:tcPr>
          <w:p w14:paraId="407DE246" w14:textId="77777777" w:rsidR="00AB205D" w:rsidRPr="00CF5471" w:rsidRDefault="00471A3B">
            <w:pPr>
              <w:keepLines w:val="0"/>
              <w:autoSpaceDE w:val="0"/>
              <w:autoSpaceDN w:val="0"/>
              <w:adjustRightInd w:val="0"/>
              <w:rPr>
                <w:rFonts w:eastAsiaTheme="minorEastAsia" w:cstheme="majorHAnsi"/>
                <w:b/>
                <w:bCs/>
                <w:szCs w:val="17"/>
                <w:lang w:eastAsia="en-AU"/>
              </w:rPr>
            </w:pPr>
            <w:r w:rsidRPr="00CF5471">
              <w:rPr>
                <w:rFonts w:eastAsiaTheme="minorEastAsia" w:cstheme="majorHAnsi"/>
                <w:b/>
                <w:bCs/>
                <w:szCs w:val="17"/>
                <w:lang w:eastAsia="en-AU"/>
              </w:rPr>
              <w:t xml:space="preserve">Consumer prices </w:t>
            </w:r>
            <w:r w:rsidRPr="00CF5471">
              <w:rPr>
                <w:rFonts w:eastAsiaTheme="minorEastAsia" w:cstheme="majorHAnsi"/>
                <w:b/>
                <w:bCs/>
                <w:szCs w:val="17"/>
                <w:vertAlign w:val="superscript"/>
                <w:lang w:eastAsia="en-AU"/>
              </w:rPr>
              <w:t>(</w:t>
            </w:r>
            <w:r>
              <w:rPr>
                <w:rFonts w:eastAsiaTheme="minorEastAsia" w:cstheme="majorHAnsi"/>
                <w:b/>
                <w:bCs/>
                <w:szCs w:val="17"/>
                <w:vertAlign w:val="superscript"/>
                <w:lang w:eastAsia="en-AU"/>
              </w:rPr>
              <w:t>g</w:t>
            </w:r>
            <w:r w:rsidRPr="00CF5471">
              <w:rPr>
                <w:rFonts w:eastAsiaTheme="minorEastAsia" w:cstheme="majorHAnsi"/>
                <w:b/>
                <w:bCs/>
                <w:szCs w:val="17"/>
                <w:vertAlign w:val="superscript"/>
                <w:lang w:eastAsia="en-AU"/>
              </w:rPr>
              <w:t>)</w:t>
            </w:r>
          </w:p>
        </w:tc>
        <w:tc>
          <w:tcPr>
            <w:tcW w:w="844" w:type="dxa"/>
            <w:tcBorders>
              <w:top w:val="single" w:sz="4" w:space="0" w:color="auto"/>
            </w:tcBorders>
            <w:vAlign w:val="bottom"/>
          </w:tcPr>
          <w:p w14:paraId="385E7BC2" w14:textId="77777777" w:rsidR="00AB205D" w:rsidRPr="00952C8F" w:rsidRDefault="00AB205D">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p>
        </w:tc>
        <w:tc>
          <w:tcPr>
            <w:tcW w:w="844" w:type="dxa"/>
            <w:tcBorders>
              <w:top w:val="single" w:sz="4" w:space="0" w:color="auto"/>
            </w:tcBorders>
            <w:vAlign w:val="bottom"/>
          </w:tcPr>
          <w:p w14:paraId="1BBEA3A3" w14:textId="77777777" w:rsidR="00AB205D" w:rsidRPr="00952C8F" w:rsidRDefault="00AB205D">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p>
        </w:tc>
        <w:tc>
          <w:tcPr>
            <w:tcW w:w="845" w:type="dxa"/>
            <w:tcBorders>
              <w:top w:val="single" w:sz="4" w:space="0" w:color="auto"/>
            </w:tcBorders>
            <w:vAlign w:val="bottom"/>
          </w:tcPr>
          <w:p w14:paraId="7B9855BD" w14:textId="77777777" w:rsidR="00AB205D" w:rsidRPr="00952C8F" w:rsidRDefault="00AB205D">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p>
        </w:tc>
        <w:tc>
          <w:tcPr>
            <w:tcW w:w="845" w:type="dxa"/>
            <w:tcBorders>
              <w:top w:val="single" w:sz="4" w:space="0" w:color="auto"/>
            </w:tcBorders>
            <w:vAlign w:val="bottom"/>
          </w:tcPr>
          <w:p w14:paraId="1E1E3656" w14:textId="77777777" w:rsidR="00AB205D" w:rsidRPr="00952C8F" w:rsidRDefault="00AB205D">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p>
        </w:tc>
      </w:tr>
      <w:tr w:rsidR="009C6724" w:rsidRPr="00CF5471" w14:paraId="5598073E" w14:textId="77777777" w:rsidTr="009C6724">
        <w:tc>
          <w:tcPr>
            <w:cnfStyle w:val="001000000000" w:firstRow="0" w:lastRow="0" w:firstColumn="1" w:lastColumn="0" w:oddVBand="0" w:evenVBand="0" w:oddHBand="0" w:evenHBand="0" w:firstRowFirstColumn="0" w:firstRowLastColumn="0" w:lastRowFirstColumn="0" w:lastRowLastColumn="0"/>
            <w:tcW w:w="4333" w:type="dxa"/>
            <w:hideMark/>
          </w:tcPr>
          <w:p w14:paraId="01CC14CA" w14:textId="77777777" w:rsidR="00AB205D" w:rsidRPr="00CF5471" w:rsidRDefault="00471A3B">
            <w:pPr>
              <w:keepLines w:val="0"/>
              <w:autoSpaceDE w:val="0"/>
              <w:autoSpaceDN w:val="0"/>
              <w:adjustRightInd w:val="0"/>
              <w:rPr>
                <w:rFonts w:eastAsiaTheme="minorEastAsia" w:cstheme="majorHAnsi"/>
                <w:szCs w:val="17"/>
                <w:lang w:eastAsia="en-AU"/>
              </w:rPr>
            </w:pPr>
            <w:r w:rsidRPr="00CF5471">
              <w:rPr>
                <w:rFonts w:eastAsiaTheme="minorEastAsia" w:cstheme="majorHAnsi"/>
                <w:szCs w:val="17"/>
                <w:lang w:eastAsia="en-AU"/>
              </w:rPr>
              <w:t>Income from transactions</w:t>
            </w:r>
          </w:p>
        </w:tc>
        <w:tc>
          <w:tcPr>
            <w:tcW w:w="844" w:type="dxa"/>
            <w:vAlign w:val="bottom"/>
          </w:tcPr>
          <w:p w14:paraId="0D463D9C"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6C50F2">
              <w:rPr>
                <w:rFonts w:ascii="Calibri" w:hAnsi="Calibri" w:cs="Calibri"/>
                <w:szCs w:val="17"/>
              </w:rPr>
              <w:t>133</w:t>
            </w:r>
          </w:p>
        </w:tc>
        <w:tc>
          <w:tcPr>
            <w:tcW w:w="844" w:type="dxa"/>
            <w:vAlign w:val="bottom"/>
          </w:tcPr>
          <w:p w14:paraId="5AB6544D"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96143D">
              <w:rPr>
                <w:rFonts w:ascii="Calibri" w:hAnsi="Calibri" w:cs="Calibri"/>
                <w:szCs w:val="17"/>
              </w:rPr>
              <w:t>323</w:t>
            </w:r>
          </w:p>
        </w:tc>
        <w:tc>
          <w:tcPr>
            <w:tcW w:w="845" w:type="dxa"/>
            <w:vAlign w:val="bottom"/>
          </w:tcPr>
          <w:p w14:paraId="1FCCFB83"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96143D">
              <w:rPr>
                <w:rFonts w:ascii="Calibri" w:hAnsi="Calibri" w:cs="Calibri"/>
                <w:szCs w:val="17"/>
              </w:rPr>
              <w:t>344</w:t>
            </w:r>
          </w:p>
        </w:tc>
        <w:tc>
          <w:tcPr>
            <w:tcW w:w="845" w:type="dxa"/>
            <w:vAlign w:val="bottom"/>
          </w:tcPr>
          <w:p w14:paraId="15D98A36"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6C50F2">
              <w:rPr>
                <w:rFonts w:ascii="Calibri" w:hAnsi="Calibri" w:cs="Calibri"/>
                <w:szCs w:val="17"/>
              </w:rPr>
              <w:t>348</w:t>
            </w:r>
          </w:p>
        </w:tc>
      </w:tr>
      <w:tr w:rsidR="009C6724" w:rsidRPr="00CF5471" w14:paraId="110EA57F" w14:textId="77777777" w:rsidTr="009C6724">
        <w:tc>
          <w:tcPr>
            <w:cnfStyle w:val="001000000000" w:firstRow="0" w:lastRow="0" w:firstColumn="1" w:lastColumn="0" w:oddVBand="0" w:evenVBand="0" w:oddHBand="0" w:evenHBand="0" w:firstRowFirstColumn="0" w:firstRowLastColumn="0" w:lastRowFirstColumn="0" w:lastRowLastColumn="0"/>
            <w:tcW w:w="4333" w:type="dxa"/>
            <w:tcBorders>
              <w:bottom w:val="single" w:sz="4" w:space="0" w:color="auto"/>
            </w:tcBorders>
            <w:hideMark/>
          </w:tcPr>
          <w:p w14:paraId="445AB642" w14:textId="77777777" w:rsidR="00AB205D" w:rsidRPr="00CF5471" w:rsidRDefault="00471A3B">
            <w:pPr>
              <w:keepLines w:val="0"/>
              <w:autoSpaceDE w:val="0"/>
              <w:autoSpaceDN w:val="0"/>
              <w:adjustRightInd w:val="0"/>
              <w:rPr>
                <w:rFonts w:eastAsiaTheme="minorEastAsia" w:cstheme="majorHAnsi"/>
                <w:szCs w:val="17"/>
                <w:lang w:eastAsia="en-AU"/>
              </w:rPr>
            </w:pPr>
            <w:r w:rsidRPr="00CF5471">
              <w:rPr>
                <w:rFonts w:eastAsiaTheme="minorEastAsia" w:cstheme="majorHAnsi"/>
                <w:szCs w:val="17"/>
                <w:lang w:eastAsia="en-AU"/>
              </w:rPr>
              <w:t>Expenses from transactions</w:t>
            </w:r>
          </w:p>
        </w:tc>
        <w:tc>
          <w:tcPr>
            <w:tcW w:w="844" w:type="dxa"/>
            <w:tcBorders>
              <w:bottom w:val="single" w:sz="4" w:space="0" w:color="auto"/>
            </w:tcBorders>
            <w:vAlign w:val="bottom"/>
          </w:tcPr>
          <w:p w14:paraId="670EC88F"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96143D">
              <w:rPr>
                <w:rFonts w:ascii="Calibri" w:hAnsi="Calibri" w:cs="Calibri"/>
                <w:szCs w:val="17"/>
              </w:rPr>
              <w:t>280</w:t>
            </w:r>
          </w:p>
        </w:tc>
        <w:tc>
          <w:tcPr>
            <w:tcW w:w="844" w:type="dxa"/>
            <w:tcBorders>
              <w:bottom w:val="single" w:sz="4" w:space="0" w:color="auto"/>
            </w:tcBorders>
            <w:vAlign w:val="bottom"/>
          </w:tcPr>
          <w:p w14:paraId="3D30F3D6"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6C50F2">
              <w:rPr>
                <w:rFonts w:ascii="Calibri" w:hAnsi="Calibri" w:cs="Calibri"/>
                <w:szCs w:val="17"/>
              </w:rPr>
              <w:t>266</w:t>
            </w:r>
          </w:p>
        </w:tc>
        <w:tc>
          <w:tcPr>
            <w:tcW w:w="845" w:type="dxa"/>
            <w:tcBorders>
              <w:bottom w:val="single" w:sz="4" w:space="0" w:color="auto"/>
            </w:tcBorders>
            <w:vAlign w:val="bottom"/>
          </w:tcPr>
          <w:p w14:paraId="1A072313"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6C50F2">
              <w:rPr>
                <w:rFonts w:ascii="Calibri" w:hAnsi="Calibri" w:cs="Calibri"/>
                <w:szCs w:val="17"/>
              </w:rPr>
              <w:t>266</w:t>
            </w:r>
          </w:p>
        </w:tc>
        <w:tc>
          <w:tcPr>
            <w:tcW w:w="845" w:type="dxa"/>
            <w:tcBorders>
              <w:bottom w:val="single" w:sz="4" w:space="0" w:color="auto"/>
            </w:tcBorders>
            <w:vAlign w:val="bottom"/>
          </w:tcPr>
          <w:p w14:paraId="1ED94A93"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6C50F2">
              <w:rPr>
                <w:rFonts w:ascii="Calibri" w:hAnsi="Calibri" w:cs="Calibri"/>
                <w:szCs w:val="17"/>
              </w:rPr>
              <w:t>275</w:t>
            </w:r>
          </w:p>
        </w:tc>
      </w:tr>
      <w:tr w:rsidR="009C6724" w:rsidRPr="00CF5471" w14:paraId="3B34E5DF" w14:textId="77777777" w:rsidTr="009C6724">
        <w:tc>
          <w:tcPr>
            <w:cnfStyle w:val="001000000000" w:firstRow="0" w:lastRow="0" w:firstColumn="1" w:lastColumn="0" w:oddVBand="0" w:evenVBand="0" w:oddHBand="0" w:evenHBand="0" w:firstRowFirstColumn="0" w:firstRowLastColumn="0" w:lastRowFirstColumn="0" w:lastRowLastColumn="0"/>
            <w:tcW w:w="4333" w:type="dxa"/>
            <w:tcBorders>
              <w:top w:val="single" w:sz="4" w:space="0" w:color="auto"/>
              <w:bottom w:val="nil"/>
            </w:tcBorders>
            <w:hideMark/>
          </w:tcPr>
          <w:p w14:paraId="79EFC689" w14:textId="77777777" w:rsidR="00AB205D" w:rsidRPr="00CF5471" w:rsidRDefault="00471A3B">
            <w:pPr>
              <w:keepLines w:val="0"/>
              <w:autoSpaceDE w:val="0"/>
              <w:autoSpaceDN w:val="0"/>
              <w:adjustRightInd w:val="0"/>
              <w:rPr>
                <w:rFonts w:eastAsiaTheme="minorEastAsia" w:cstheme="majorHAnsi"/>
                <w:b/>
                <w:bCs/>
                <w:szCs w:val="17"/>
                <w:lang w:eastAsia="en-AU"/>
              </w:rPr>
            </w:pPr>
            <w:r w:rsidRPr="00CF5471">
              <w:rPr>
                <w:rFonts w:eastAsiaTheme="minorEastAsia" w:cstheme="majorHAnsi"/>
                <w:b/>
                <w:bCs/>
                <w:szCs w:val="17"/>
                <w:lang w:eastAsia="en-AU"/>
              </w:rPr>
              <w:t>Net result from transactions</w:t>
            </w:r>
          </w:p>
        </w:tc>
        <w:tc>
          <w:tcPr>
            <w:tcW w:w="844" w:type="dxa"/>
            <w:tcBorders>
              <w:top w:val="single" w:sz="4" w:space="0" w:color="auto"/>
              <w:bottom w:val="nil"/>
            </w:tcBorders>
            <w:vAlign w:val="bottom"/>
          </w:tcPr>
          <w:p w14:paraId="7EA067F5"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highlight w:val="yellow"/>
              </w:rPr>
            </w:pPr>
            <w:r w:rsidRPr="006C50F2">
              <w:rPr>
                <w:rFonts w:ascii="Calibri" w:hAnsi="Calibri" w:cs="Calibri"/>
                <w:b/>
                <w:bCs/>
                <w:szCs w:val="17"/>
              </w:rPr>
              <w:t>(</w:t>
            </w:r>
            <w:r w:rsidRPr="0096143D">
              <w:rPr>
                <w:rFonts w:ascii="Calibri" w:hAnsi="Calibri" w:cs="Calibri"/>
                <w:b/>
                <w:bCs/>
                <w:szCs w:val="17"/>
              </w:rPr>
              <w:t>146</w:t>
            </w:r>
            <w:r w:rsidRPr="006C50F2">
              <w:rPr>
                <w:rFonts w:ascii="Calibri" w:hAnsi="Calibri" w:cs="Calibri"/>
                <w:b/>
                <w:bCs/>
                <w:szCs w:val="17"/>
              </w:rPr>
              <w:t>)</w:t>
            </w:r>
          </w:p>
        </w:tc>
        <w:tc>
          <w:tcPr>
            <w:tcW w:w="844" w:type="dxa"/>
            <w:tcBorders>
              <w:top w:val="single" w:sz="4" w:space="0" w:color="auto"/>
              <w:bottom w:val="nil"/>
            </w:tcBorders>
            <w:vAlign w:val="bottom"/>
          </w:tcPr>
          <w:p w14:paraId="6AC11B4F"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highlight w:val="yellow"/>
              </w:rPr>
            </w:pPr>
            <w:r w:rsidRPr="0096143D">
              <w:rPr>
                <w:rFonts w:ascii="Calibri" w:hAnsi="Calibri" w:cs="Calibri"/>
                <w:b/>
                <w:bCs/>
                <w:szCs w:val="17"/>
              </w:rPr>
              <w:t>57</w:t>
            </w:r>
          </w:p>
        </w:tc>
        <w:tc>
          <w:tcPr>
            <w:tcW w:w="845" w:type="dxa"/>
            <w:tcBorders>
              <w:top w:val="single" w:sz="4" w:space="0" w:color="auto"/>
              <w:bottom w:val="nil"/>
            </w:tcBorders>
            <w:vAlign w:val="bottom"/>
          </w:tcPr>
          <w:p w14:paraId="0D41A8E7"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highlight w:val="yellow"/>
              </w:rPr>
            </w:pPr>
            <w:r w:rsidRPr="006C50F2">
              <w:rPr>
                <w:rFonts w:ascii="Calibri" w:hAnsi="Calibri" w:cs="Calibri"/>
                <w:b/>
                <w:bCs/>
                <w:szCs w:val="17"/>
              </w:rPr>
              <w:t>78</w:t>
            </w:r>
          </w:p>
        </w:tc>
        <w:tc>
          <w:tcPr>
            <w:tcW w:w="845" w:type="dxa"/>
            <w:tcBorders>
              <w:top w:val="single" w:sz="4" w:space="0" w:color="auto"/>
              <w:bottom w:val="nil"/>
            </w:tcBorders>
            <w:vAlign w:val="bottom"/>
          </w:tcPr>
          <w:p w14:paraId="2AF95B6B"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highlight w:val="yellow"/>
              </w:rPr>
            </w:pPr>
            <w:r w:rsidRPr="0096143D">
              <w:rPr>
                <w:rFonts w:ascii="Calibri" w:hAnsi="Calibri" w:cs="Calibri"/>
                <w:b/>
                <w:bCs/>
                <w:szCs w:val="17"/>
              </w:rPr>
              <w:t>74</w:t>
            </w:r>
          </w:p>
        </w:tc>
      </w:tr>
      <w:tr w:rsidR="009C6724" w:rsidRPr="00CF5471" w14:paraId="206E3AD2" w14:textId="77777777" w:rsidTr="009C6724">
        <w:tc>
          <w:tcPr>
            <w:cnfStyle w:val="001000000000" w:firstRow="0" w:lastRow="0" w:firstColumn="1" w:lastColumn="0" w:oddVBand="0" w:evenVBand="0" w:oddHBand="0" w:evenHBand="0" w:firstRowFirstColumn="0" w:firstRowLastColumn="0" w:lastRowFirstColumn="0" w:lastRowLastColumn="0"/>
            <w:tcW w:w="4333" w:type="dxa"/>
            <w:tcBorders>
              <w:bottom w:val="single" w:sz="4" w:space="0" w:color="auto"/>
            </w:tcBorders>
            <w:hideMark/>
          </w:tcPr>
          <w:p w14:paraId="77637938" w14:textId="77777777" w:rsidR="00AB205D" w:rsidRPr="00CF5471" w:rsidRDefault="00471A3B">
            <w:pPr>
              <w:keepLines w:val="0"/>
              <w:autoSpaceDE w:val="0"/>
              <w:autoSpaceDN w:val="0"/>
              <w:adjustRightInd w:val="0"/>
              <w:rPr>
                <w:rFonts w:eastAsiaTheme="minorEastAsia" w:cstheme="majorHAnsi"/>
                <w:b/>
                <w:bCs/>
                <w:szCs w:val="17"/>
                <w:lang w:eastAsia="en-AU"/>
              </w:rPr>
            </w:pPr>
            <w:r w:rsidRPr="00CF5471">
              <w:rPr>
                <w:rFonts w:eastAsiaTheme="minorEastAsia" w:cstheme="majorHAnsi"/>
                <w:b/>
                <w:bCs/>
                <w:szCs w:val="17"/>
                <w:lang w:eastAsia="en-AU"/>
              </w:rPr>
              <w:t>Net debt</w:t>
            </w:r>
          </w:p>
        </w:tc>
        <w:tc>
          <w:tcPr>
            <w:tcW w:w="844" w:type="dxa"/>
            <w:tcBorders>
              <w:bottom w:val="single" w:sz="4" w:space="0" w:color="auto"/>
            </w:tcBorders>
            <w:vAlign w:val="bottom"/>
          </w:tcPr>
          <w:p w14:paraId="3E2E580C"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highlight w:val="yellow"/>
              </w:rPr>
            </w:pPr>
            <w:r w:rsidRPr="0096143D">
              <w:rPr>
                <w:rFonts w:ascii="Calibri" w:hAnsi="Calibri" w:cs="Calibri"/>
                <w:b/>
                <w:bCs/>
                <w:szCs w:val="17"/>
              </w:rPr>
              <w:t>146</w:t>
            </w:r>
          </w:p>
        </w:tc>
        <w:tc>
          <w:tcPr>
            <w:tcW w:w="844" w:type="dxa"/>
            <w:tcBorders>
              <w:bottom w:val="single" w:sz="4" w:space="0" w:color="auto"/>
            </w:tcBorders>
            <w:vAlign w:val="bottom"/>
          </w:tcPr>
          <w:p w14:paraId="12F4A432"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highlight w:val="yellow"/>
              </w:rPr>
            </w:pPr>
            <w:r w:rsidRPr="0096143D">
              <w:rPr>
                <w:rFonts w:ascii="Calibri" w:hAnsi="Calibri" w:cs="Calibri"/>
                <w:b/>
                <w:bCs/>
                <w:szCs w:val="17"/>
              </w:rPr>
              <w:t>88</w:t>
            </w:r>
          </w:p>
        </w:tc>
        <w:tc>
          <w:tcPr>
            <w:tcW w:w="845" w:type="dxa"/>
            <w:tcBorders>
              <w:bottom w:val="single" w:sz="4" w:space="0" w:color="auto"/>
            </w:tcBorders>
            <w:vAlign w:val="bottom"/>
          </w:tcPr>
          <w:p w14:paraId="4E4BD1DA"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highlight w:val="yellow"/>
              </w:rPr>
            </w:pPr>
            <w:r w:rsidRPr="006C50F2">
              <w:rPr>
                <w:rFonts w:ascii="Calibri" w:hAnsi="Calibri" w:cs="Calibri"/>
                <w:b/>
                <w:bCs/>
                <w:szCs w:val="17"/>
              </w:rPr>
              <w:t>9</w:t>
            </w:r>
          </w:p>
        </w:tc>
        <w:tc>
          <w:tcPr>
            <w:tcW w:w="845" w:type="dxa"/>
            <w:tcBorders>
              <w:bottom w:val="single" w:sz="4" w:space="0" w:color="auto"/>
            </w:tcBorders>
            <w:vAlign w:val="bottom"/>
          </w:tcPr>
          <w:p w14:paraId="4DBE812B"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highlight w:val="yellow"/>
              </w:rPr>
            </w:pPr>
            <w:r w:rsidRPr="006C50F2">
              <w:rPr>
                <w:rFonts w:ascii="Calibri" w:hAnsi="Calibri" w:cs="Calibri"/>
                <w:b/>
                <w:bCs/>
                <w:szCs w:val="17"/>
              </w:rPr>
              <w:t>(65)</w:t>
            </w:r>
          </w:p>
        </w:tc>
      </w:tr>
      <w:tr w:rsidR="009C6724" w:rsidRPr="00CF5471" w14:paraId="2F9EC19D" w14:textId="77777777" w:rsidTr="009C6724">
        <w:tc>
          <w:tcPr>
            <w:cnfStyle w:val="001000000000" w:firstRow="0" w:lastRow="0" w:firstColumn="1" w:lastColumn="0" w:oddVBand="0" w:evenVBand="0" w:oddHBand="0" w:evenHBand="0" w:firstRowFirstColumn="0" w:firstRowLastColumn="0" w:lastRowFirstColumn="0" w:lastRowLastColumn="0"/>
            <w:tcW w:w="4333" w:type="dxa"/>
            <w:tcBorders>
              <w:top w:val="single" w:sz="4" w:space="0" w:color="auto"/>
            </w:tcBorders>
            <w:hideMark/>
          </w:tcPr>
          <w:p w14:paraId="3FD348DB" w14:textId="77777777" w:rsidR="00AB205D" w:rsidRPr="00CF5471" w:rsidRDefault="00471A3B">
            <w:pPr>
              <w:keepLines w:val="0"/>
              <w:autoSpaceDE w:val="0"/>
              <w:autoSpaceDN w:val="0"/>
              <w:adjustRightInd w:val="0"/>
              <w:rPr>
                <w:rFonts w:eastAsiaTheme="minorEastAsia" w:cstheme="majorHAnsi"/>
                <w:b/>
                <w:bCs/>
                <w:szCs w:val="17"/>
                <w:lang w:eastAsia="en-AU"/>
              </w:rPr>
            </w:pPr>
            <w:r w:rsidRPr="00CF5471">
              <w:rPr>
                <w:rFonts w:eastAsiaTheme="minorEastAsia" w:cstheme="majorHAnsi"/>
                <w:b/>
                <w:bCs/>
                <w:szCs w:val="17"/>
                <w:lang w:eastAsia="en-AU"/>
              </w:rPr>
              <w:t xml:space="preserve">Average weekly earnings </w:t>
            </w:r>
            <w:r w:rsidRPr="00CF5471">
              <w:rPr>
                <w:rFonts w:eastAsiaTheme="minorEastAsia" w:cstheme="majorHAnsi"/>
                <w:b/>
                <w:bCs/>
                <w:szCs w:val="17"/>
                <w:vertAlign w:val="superscript"/>
                <w:lang w:eastAsia="en-AU"/>
              </w:rPr>
              <w:t>(</w:t>
            </w:r>
            <w:r>
              <w:rPr>
                <w:rFonts w:eastAsiaTheme="minorEastAsia" w:cstheme="majorHAnsi"/>
                <w:b/>
                <w:bCs/>
                <w:szCs w:val="17"/>
                <w:vertAlign w:val="superscript"/>
                <w:lang w:eastAsia="en-AU"/>
              </w:rPr>
              <w:t>h</w:t>
            </w:r>
            <w:r w:rsidRPr="00CF5471">
              <w:rPr>
                <w:rFonts w:eastAsiaTheme="minorEastAsia" w:cstheme="majorHAnsi"/>
                <w:b/>
                <w:bCs/>
                <w:szCs w:val="17"/>
                <w:vertAlign w:val="superscript"/>
                <w:lang w:eastAsia="en-AU"/>
              </w:rPr>
              <w:t>)</w:t>
            </w:r>
          </w:p>
        </w:tc>
        <w:tc>
          <w:tcPr>
            <w:tcW w:w="844" w:type="dxa"/>
            <w:tcBorders>
              <w:top w:val="single" w:sz="4" w:space="0" w:color="auto"/>
            </w:tcBorders>
            <w:vAlign w:val="bottom"/>
          </w:tcPr>
          <w:p w14:paraId="279EC6BD" w14:textId="77777777" w:rsidR="00AB205D" w:rsidRPr="00952C8F" w:rsidRDefault="00AB205D">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p>
        </w:tc>
        <w:tc>
          <w:tcPr>
            <w:tcW w:w="844" w:type="dxa"/>
            <w:tcBorders>
              <w:top w:val="single" w:sz="4" w:space="0" w:color="auto"/>
            </w:tcBorders>
            <w:vAlign w:val="bottom"/>
          </w:tcPr>
          <w:p w14:paraId="113AF796" w14:textId="77777777" w:rsidR="00AB205D" w:rsidRPr="00952C8F" w:rsidRDefault="00AB205D">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p>
        </w:tc>
        <w:tc>
          <w:tcPr>
            <w:tcW w:w="845" w:type="dxa"/>
            <w:tcBorders>
              <w:top w:val="single" w:sz="4" w:space="0" w:color="auto"/>
            </w:tcBorders>
            <w:vAlign w:val="bottom"/>
          </w:tcPr>
          <w:p w14:paraId="1E38EE71" w14:textId="77777777" w:rsidR="00AB205D" w:rsidRPr="00952C8F" w:rsidRDefault="00AB205D">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p>
        </w:tc>
        <w:tc>
          <w:tcPr>
            <w:tcW w:w="845" w:type="dxa"/>
            <w:tcBorders>
              <w:top w:val="single" w:sz="4" w:space="0" w:color="auto"/>
            </w:tcBorders>
            <w:vAlign w:val="bottom"/>
          </w:tcPr>
          <w:p w14:paraId="09201A54" w14:textId="77777777" w:rsidR="00AB205D" w:rsidRPr="00952C8F" w:rsidRDefault="00AB205D">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p>
        </w:tc>
      </w:tr>
      <w:tr w:rsidR="009C6724" w:rsidRPr="00CF5471" w14:paraId="5B627986" w14:textId="77777777" w:rsidTr="009C6724">
        <w:tc>
          <w:tcPr>
            <w:cnfStyle w:val="001000000000" w:firstRow="0" w:lastRow="0" w:firstColumn="1" w:lastColumn="0" w:oddVBand="0" w:evenVBand="0" w:oddHBand="0" w:evenHBand="0" w:firstRowFirstColumn="0" w:firstRowLastColumn="0" w:lastRowFirstColumn="0" w:lastRowLastColumn="0"/>
            <w:tcW w:w="4333" w:type="dxa"/>
            <w:hideMark/>
          </w:tcPr>
          <w:p w14:paraId="7876673E" w14:textId="77777777" w:rsidR="00AB205D" w:rsidRPr="00CF5471" w:rsidRDefault="00471A3B">
            <w:pPr>
              <w:keepLines w:val="0"/>
              <w:autoSpaceDE w:val="0"/>
              <w:autoSpaceDN w:val="0"/>
              <w:adjustRightInd w:val="0"/>
              <w:rPr>
                <w:rFonts w:eastAsiaTheme="minorEastAsia" w:cstheme="majorHAnsi"/>
                <w:szCs w:val="17"/>
                <w:lang w:eastAsia="en-AU"/>
              </w:rPr>
            </w:pPr>
            <w:r w:rsidRPr="00CF5471">
              <w:rPr>
                <w:rFonts w:eastAsiaTheme="minorEastAsia" w:cstheme="majorHAnsi"/>
                <w:szCs w:val="17"/>
                <w:lang w:eastAsia="en-AU"/>
              </w:rPr>
              <w:t>Income from transactions</w:t>
            </w:r>
          </w:p>
        </w:tc>
        <w:tc>
          <w:tcPr>
            <w:tcW w:w="844" w:type="dxa"/>
            <w:vAlign w:val="bottom"/>
          </w:tcPr>
          <w:p w14:paraId="7163B31A"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6C50F2">
              <w:rPr>
                <w:rFonts w:ascii="Calibri" w:hAnsi="Calibri" w:cs="Calibri"/>
                <w:szCs w:val="17"/>
              </w:rPr>
              <w:t>137</w:t>
            </w:r>
          </w:p>
        </w:tc>
        <w:tc>
          <w:tcPr>
            <w:tcW w:w="844" w:type="dxa"/>
            <w:vAlign w:val="bottom"/>
          </w:tcPr>
          <w:p w14:paraId="18DAD6C5"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6C50F2">
              <w:rPr>
                <w:rFonts w:ascii="Calibri" w:hAnsi="Calibri" w:cs="Calibri"/>
                <w:szCs w:val="17"/>
              </w:rPr>
              <w:t>144</w:t>
            </w:r>
          </w:p>
        </w:tc>
        <w:tc>
          <w:tcPr>
            <w:tcW w:w="845" w:type="dxa"/>
            <w:vAlign w:val="bottom"/>
          </w:tcPr>
          <w:p w14:paraId="1E6E13D1"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6C50F2">
              <w:rPr>
                <w:rFonts w:ascii="Calibri" w:hAnsi="Calibri" w:cs="Calibri"/>
                <w:szCs w:val="17"/>
              </w:rPr>
              <w:t>148</w:t>
            </w:r>
          </w:p>
        </w:tc>
        <w:tc>
          <w:tcPr>
            <w:tcW w:w="845" w:type="dxa"/>
            <w:vAlign w:val="bottom"/>
          </w:tcPr>
          <w:p w14:paraId="7FFB0101"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6C50F2">
              <w:rPr>
                <w:rFonts w:ascii="Calibri" w:hAnsi="Calibri" w:cs="Calibri"/>
                <w:szCs w:val="17"/>
              </w:rPr>
              <w:t>155</w:t>
            </w:r>
          </w:p>
        </w:tc>
      </w:tr>
      <w:tr w:rsidR="009C6724" w:rsidRPr="00CF5471" w14:paraId="65365F9D" w14:textId="77777777" w:rsidTr="009C6724">
        <w:tc>
          <w:tcPr>
            <w:cnfStyle w:val="001000000000" w:firstRow="0" w:lastRow="0" w:firstColumn="1" w:lastColumn="0" w:oddVBand="0" w:evenVBand="0" w:oddHBand="0" w:evenHBand="0" w:firstRowFirstColumn="0" w:firstRowLastColumn="0" w:lastRowFirstColumn="0" w:lastRowLastColumn="0"/>
            <w:tcW w:w="4333" w:type="dxa"/>
            <w:tcBorders>
              <w:bottom w:val="single" w:sz="4" w:space="0" w:color="auto"/>
            </w:tcBorders>
            <w:hideMark/>
          </w:tcPr>
          <w:p w14:paraId="6BDCF4C0" w14:textId="77777777" w:rsidR="00AB205D" w:rsidRPr="00CF5471" w:rsidRDefault="00471A3B">
            <w:pPr>
              <w:keepLines w:val="0"/>
              <w:autoSpaceDE w:val="0"/>
              <w:autoSpaceDN w:val="0"/>
              <w:adjustRightInd w:val="0"/>
              <w:rPr>
                <w:rFonts w:eastAsiaTheme="minorEastAsia" w:cstheme="majorHAnsi"/>
                <w:szCs w:val="17"/>
                <w:lang w:eastAsia="en-AU"/>
              </w:rPr>
            </w:pPr>
            <w:r w:rsidRPr="00CF5471">
              <w:rPr>
                <w:rFonts w:eastAsiaTheme="minorEastAsia" w:cstheme="majorHAnsi"/>
                <w:szCs w:val="17"/>
                <w:lang w:eastAsia="en-AU"/>
              </w:rPr>
              <w:t>Expenses from transactions</w:t>
            </w:r>
          </w:p>
        </w:tc>
        <w:tc>
          <w:tcPr>
            <w:tcW w:w="844" w:type="dxa"/>
            <w:tcBorders>
              <w:bottom w:val="single" w:sz="4" w:space="0" w:color="auto"/>
            </w:tcBorders>
            <w:vAlign w:val="bottom"/>
          </w:tcPr>
          <w:p w14:paraId="16A6593F"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6C50F2">
              <w:rPr>
                <w:rFonts w:ascii="Calibri" w:hAnsi="Calibri" w:cs="Calibri"/>
                <w:szCs w:val="17"/>
              </w:rPr>
              <w:t>2</w:t>
            </w:r>
          </w:p>
        </w:tc>
        <w:tc>
          <w:tcPr>
            <w:tcW w:w="844" w:type="dxa"/>
            <w:tcBorders>
              <w:bottom w:val="single" w:sz="4" w:space="0" w:color="auto"/>
            </w:tcBorders>
            <w:vAlign w:val="bottom"/>
          </w:tcPr>
          <w:p w14:paraId="06BA8428"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6C50F2">
              <w:rPr>
                <w:rFonts w:ascii="Calibri" w:hAnsi="Calibri" w:cs="Calibri"/>
                <w:szCs w:val="17"/>
              </w:rPr>
              <w:t>(5)</w:t>
            </w:r>
          </w:p>
        </w:tc>
        <w:tc>
          <w:tcPr>
            <w:tcW w:w="845" w:type="dxa"/>
            <w:tcBorders>
              <w:bottom w:val="single" w:sz="4" w:space="0" w:color="auto"/>
            </w:tcBorders>
            <w:vAlign w:val="bottom"/>
          </w:tcPr>
          <w:p w14:paraId="3C6CA3D6"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6C50F2">
              <w:rPr>
                <w:rFonts w:ascii="Calibri" w:hAnsi="Calibri" w:cs="Calibri"/>
                <w:szCs w:val="17"/>
              </w:rPr>
              <w:t>(13)</w:t>
            </w:r>
          </w:p>
        </w:tc>
        <w:tc>
          <w:tcPr>
            <w:tcW w:w="845" w:type="dxa"/>
            <w:tcBorders>
              <w:bottom w:val="single" w:sz="4" w:space="0" w:color="auto"/>
            </w:tcBorders>
            <w:vAlign w:val="bottom"/>
          </w:tcPr>
          <w:p w14:paraId="2ED61026"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6C50F2">
              <w:rPr>
                <w:rFonts w:ascii="Calibri" w:hAnsi="Calibri" w:cs="Calibri"/>
                <w:szCs w:val="17"/>
              </w:rPr>
              <w:t>(22)</w:t>
            </w:r>
          </w:p>
        </w:tc>
      </w:tr>
      <w:tr w:rsidR="009C6724" w:rsidRPr="00CF5471" w14:paraId="533573F3" w14:textId="77777777" w:rsidTr="009C6724">
        <w:tc>
          <w:tcPr>
            <w:cnfStyle w:val="001000000000" w:firstRow="0" w:lastRow="0" w:firstColumn="1" w:lastColumn="0" w:oddVBand="0" w:evenVBand="0" w:oddHBand="0" w:evenHBand="0" w:firstRowFirstColumn="0" w:firstRowLastColumn="0" w:lastRowFirstColumn="0" w:lastRowLastColumn="0"/>
            <w:tcW w:w="4333" w:type="dxa"/>
            <w:tcBorders>
              <w:top w:val="single" w:sz="4" w:space="0" w:color="auto"/>
              <w:bottom w:val="nil"/>
            </w:tcBorders>
            <w:hideMark/>
          </w:tcPr>
          <w:p w14:paraId="71FEF3C2" w14:textId="77777777" w:rsidR="00AB205D" w:rsidRPr="00CF5471" w:rsidRDefault="00471A3B">
            <w:pPr>
              <w:keepLines w:val="0"/>
              <w:autoSpaceDE w:val="0"/>
              <w:autoSpaceDN w:val="0"/>
              <w:adjustRightInd w:val="0"/>
              <w:rPr>
                <w:rFonts w:eastAsiaTheme="minorEastAsia" w:cstheme="majorHAnsi"/>
                <w:b/>
                <w:bCs/>
                <w:szCs w:val="17"/>
                <w:lang w:eastAsia="en-AU"/>
              </w:rPr>
            </w:pPr>
            <w:r w:rsidRPr="00CF5471">
              <w:rPr>
                <w:rFonts w:eastAsiaTheme="minorEastAsia" w:cstheme="majorHAnsi"/>
                <w:b/>
                <w:bCs/>
                <w:szCs w:val="17"/>
                <w:lang w:eastAsia="en-AU"/>
              </w:rPr>
              <w:t>Net result from transactions</w:t>
            </w:r>
          </w:p>
        </w:tc>
        <w:tc>
          <w:tcPr>
            <w:tcW w:w="844" w:type="dxa"/>
            <w:tcBorders>
              <w:top w:val="single" w:sz="4" w:space="0" w:color="auto"/>
              <w:bottom w:val="nil"/>
            </w:tcBorders>
            <w:vAlign w:val="bottom"/>
          </w:tcPr>
          <w:p w14:paraId="5CDA3EA1"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highlight w:val="yellow"/>
              </w:rPr>
            </w:pPr>
            <w:r w:rsidRPr="006C50F2">
              <w:rPr>
                <w:rFonts w:ascii="Calibri" w:hAnsi="Calibri" w:cs="Calibri"/>
                <w:b/>
                <w:bCs/>
                <w:szCs w:val="17"/>
              </w:rPr>
              <w:t>135</w:t>
            </w:r>
          </w:p>
        </w:tc>
        <w:tc>
          <w:tcPr>
            <w:tcW w:w="844" w:type="dxa"/>
            <w:tcBorders>
              <w:top w:val="single" w:sz="4" w:space="0" w:color="auto"/>
              <w:bottom w:val="nil"/>
            </w:tcBorders>
            <w:vAlign w:val="bottom"/>
          </w:tcPr>
          <w:p w14:paraId="3BA188B8"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highlight w:val="yellow"/>
              </w:rPr>
            </w:pPr>
            <w:r w:rsidRPr="006C50F2">
              <w:rPr>
                <w:rFonts w:ascii="Calibri" w:hAnsi="Calibri" w:cs="Calibri"/>
                <w:b/>
                <w:bCs/>
                <w:szCs w:val="17"/>
              </w:rPr>
              <w:t>149</w:t>
            </w:r>
          </w:p>
        </w:tc>
        <w:tc>
          <w:tcPr>
            <w:tcW w:w="845" w:type="dxa"/>
            <w:tcBorders>
              <w:top w:val="single" w:sz="4" w:space="0" w:color="auto"/>
              <w:bottom w:val="nil"/>
            </w:tcBorders>
            <w:vAlign w:val="bottom"/>
          </w:tcPr>
          <w:p w14:paraId="3F06D9B4"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highlight w:val="yellow"/>
              </w:rPr>
            </w:pPr>
            <w:r w:rsidRPr="006C50F2">
              <w:rPr>
                <w:rFonts w:ascii="Calibri" w:hAnsi="Calibri" w:cs="Calibri"/>
                <w:b/>
                <w:bCs/>
                <w:szCs w:val="17"/>
              </w:rPr>
              <w:t>161</w:t>
            </w:r>
          </w:p>
        </w:tc>
        <w:tc>
          <w:tcPr>
            <w:tcW w:w="845" w:type="dxa"/>
            <w:tcBorders>
              <w:top w:val="single" w:sz="4" w:space="0" w:color="auto"/>
              <w:bottom w:val="nil"/>
            </w:tcBorders>
            <w:vAlign w:val="bottom"/>
          </w:tcPr>
          <w:p w14:paraId="04DAA696"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highlight w:val="yellow"/>
              </w:rPr>
            </w:pPr>
            <w:r w:rsidRPr="006C50F2">
              <w:rPr>
                <w:rFonts w:ascii="Calibri" w:hAnsi="Calibri" w:cs="Calibri"/>
                <w:b/>
                <w:bCs/>
                <w:szCs w:val="17"/>
              </w:rPr>
              <w:t>177</w:t>
            </w:r>
          </w:p>
        </w:tc>
      </w:tr>
      <w:tr w:rsidR="009C6724" w:rsidRPr="00CF5471" w14:paraId="56F152F0" w14:textId="77777777" w:rsidTr="009C6724">
        <w:tc>
          <w:tcPr>
            <w:cnfStyle w:val="001000000000" w:firstRow="0" w:lastRow="0" w:firstColumn="1" w:lastColumn="0" w:oddVBand="0" w:evenVBand="0" w:oddHBand="0" w:evenHBand="0" w:firstRowFirstColumn="0" w:firstRowLastColumn="0" w:lastRowFirstColumn="0" w:lastRowLastColumn="0"/>
            <w:tcW w:w="4333" w:type="dxa"/>
            <w:tcBorders>
              <w:bottom w:val="single" w:sz="4" w:space="0" w:color="auto"/>
            </w:tcBorders>
            <w:hideMark/>
          </w:tcPr>
          <w:p w14:paraId="44AE189A" w14:textId="77777777" w:rsidR="00AB205D" w:rsidRPr="00CF5471" w:rsidRDefault="00471A3B">
            <w:pPr>
              <w:keepLines w:val="0"/>
              <w:autoSpaceDE w:val="0"/>
              <w:autoSpaceDN w:val="0"/>
              <w:adjustRightInd w:val="0"/>
              <w:rPr>
                <w:rFonts w:eastAsiaTheme="minorEastAsia" w:cstheme="majorHAnsi"/>
                <w:b/>
                <w:bCs/>
                <w:szCs w:val="17"/>
                <w:lang w:eastAsia="en-AU"/>
              </w:rPr>
            </w:pPr>
            <w:r w:rsidRPr="00CF5471">
              <w:rPr>
                <w:rFonts w:eastAsiaTheme="minorEastAsia" w:cstheme="majorHAnsi"/>
                <w:b/>
                <w:bCs/>
                <w:szCs w:val="17"/>
                <w:lang w:eastAsia="en-AU"/>
              </w:rPr>
              <w:t>Net debt</w:t>
            </w:r>
          </w:p>
        </w:tc>
        <w:tc>
          <w:tcPr>
            <w:tcW w:w="844" w:type="dxa"/>
            <w:tcBorders>
              <w:bottom w:val="single" w:sz="4" w:space="0" w:color="auto"/>
            </w:tcBorders>
            <w:vAlign w:val="bottom"/>
          </w:tcPr>
          <w:p w14:paraId="65F2B84A"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highlight w:val="yellow"/>
              </w:rPr>
            </w:pPr>
            <w:r w:rsidRPr="006C50F2">
              <w:rPr>
                <w:rFonts w:ascii="Calibri" w:hAnsi="Calibri" w:cs="Calibri"/>
                <w:b/>
                <w:bCs/>
                <w:szCs w:val="17"/>
              </w:rPr>
              <w:t>(135)</w:t>
            </w:r>
          </w:p>
        </w:tc>
        <w:tc>
          <w:tcPr>
            <w:tcW w:w="844" w:type="dxa"/>
            <w:tcBorders>
              <w:bottom w:val="single" w:sz="4" w:space="0" w:color="auto"/>
            </w:tcBorders>
            <w:vAlign w:val="bottom"/>
          </w:tcPr>
          <w:p w14:paraId="2B94E1C0"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highlight w:val="yellow"/>
              </w:rPr>
            </w:pPr>
            <w:r w:rsidRPr="006C50F2">
              <w:rPr>
                <w:rFonts w:ascii="Calibri" w:hAnsi="Calibri" w:cs="Calibri"/>
                <w:b/>
                <w:bCs/>
                <w:szCs w:val="17"/>
              </w:rPr>
              <w:t>(284)</w:t>
            </w:r>
          </w:p>
        </w:tc>
        <w:tc>
          <w:tcPr>
            <w:tcW w:w="845" w:type="dxa"/>
            <w:tcBorders>
              <w:bottom w:val="single" w:sz="4" w:space="0" w:color="auto"/>
            </w:tcBorders>
            <w:vAlign w:val="bottom"/>
          </w:tcPr>
          <w:p w14:paraId="09A547B0"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highlight w:val="yellow"/>
              </w:rPr>
            </w:pPr>
            <w:r w:rsidRPr="006C50F2">
              <w:rPr>
                <w:rFonts w:ascii="Calibri" w:hAnsi="Calibri" w:cs="Calibri"/>
                <w:b/>
                <w:bCs/>
                <w:szCs w:val="17"/>
              </w:rPr>
              <w:t>(445)</w:t>
            </w:r>
          </w:p>
        </w:tc>
        <w:tc>
          <w:tcPr>
            <w:tcW w:w="845" w:type="dxa"/>
            <w:tcBorders>
              <w:bottom w:val="single" w:sz="4" w:space="0" w:color="auto"/>
            </w:tcBorders>
            <w:vAlign w:val="bottom"/>
          </w:tcPr>
          <w:p w14:paraId="24BBE29C"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highlight w:val="yellow"/>
              </w:rPr>
            </w:pPr>
            <w:r w:rsidRPr="006C50F2">
              <w:rPr>
                <w:rFonts w:ascii="Calibri" w:hAnsi="Calibri" w:cs="Calibri"/>
                <w:b/>
                <w:bCs/>
                <w:szCs w:val="17"/>
              </w:rPr>
              <w:t>(622)</w:t>
            </w:r>
          </w:p>
        </w:tc>
      </w:tr>
      <w:tr w:rsidR="009C6724" w:rsidRPr="00CF5471" w14:paraId="2FDAF23B" w14:textId="77777777" w:rsidTr="009C6724">
        <w:tc>
          <w:tcPr>
            <w:cnfStyle w:val="001000000000" w:firstRow="0" w:lastRow="0" w:firstColumn="1" w:lastColumn="0" w:oddVBand="0" w:evenVBand="0" w:oddHBand="0" w:evenHBand="0" w:firstRowFirstColumn="0" w:firstRowLastColumn="0" w:lastRowFirstColumn="0" w:lastRowLastColumn="0"/>
            <w:tcW w:w="4333" w:type="dxa"/>
            <w:tcBorders>
              <w:top w:val="single" w:sz="4" w:space="0" w:color="auto"/>
            </w:tcBorders>
            <w:hideMark/>
          </w:tcPr>
          <w:p w14:paraId="030799FB" w14:textId="77777777" w:rsidR="00AB205D" w:rsidRPr="00CF5471" w:rsidRDefault="00471A3B">
            <w:pPr>
              <w:keepLines w:val="0"/>
              <w:autoSpaceDE w:val="0"/>
              <w:autoSpaceDN w:val="0"/>
              <w:adjustRightInd w:val="0"/>
              <w:rPr>
                <w:rFonts w:eastAsiaTheme="minorEastAsia" w:cstheme="majorHAnsi"/>
                <w:b/>
                <w:bCs/>
                <w:szCs w:val="17"/>
                <w:lang w:eastAsia="en-AU"/>
              </w:rPr>
            </w:pPr>
            <w:r w:rsidRPr="00CF5471">
              <w:rPr>
                <w:rFonts w:eastAsiaTheme="minorEastAsia" w:cstheme="majorHAnsi"/>
                <w:b/>
                <w:bCs/>
                <w:szCs w:val="17"/>
                <w:lang w:eastAsia="en-AU"/>
              </w:rPr>
              <w:t xml:space="preserve">Total employee expenses </w:t>
            </w:r>
          </w:p>
        </w:tc>
        <w:tc>
          <w:tcPr>
            <w:tcW w:w="844" w:type="dxa"/>
            <w:tcBorders>
              <w:top w:val="single" w:sz="4" w:space="0" w:color="auto"/>
            </w:tcBorders>
            <w:vAlign w:val="bottom"/>
          </w:tcPr>
          <w:p w14:paraId="55AAEF06" w14:textId="77777777" w:rsidR="00AB205D" w:rsidRPr="00952C8F" w:rsidRDefault="00AB205D">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p>
        </w:tc>
        <w:tc>
          <w:tcPr>
            <w:tcW w:w="844" w:type="dxa"/>
            <w:tcBorders>
              <w:top w:val="single" w:sz="4" w:space="0" w:color="auto"/>
            </w:tcBorders>
            <w:vAlign w:val="bottom"/>
          </w:tcPr>
          <w:p w14:paraId="19A0A5E8" w14:textId="77777777" w:rsidR="00AB205D" w:rsidRPr="00952C8F" w:rsidRDefault="00AB205D">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p>
        </w:tc>
        <w:tc>
          <w:tcPr>
            <w:tcW w:w="845" w:type="dxa"/>
            <w:tcBorders>
              <w:top w:val="single" w:sz="4" w:space="0" w:color="auto"/>
            </w:tcBorders>
            <w:vAlign w:val="bottom"/>
          </w:tcPr>
          <w:p w14:paraId="43096EE7" w14:textId="77777777" w:rsidR="00AB205D" w:rsidRPr="00952C8F" w:rsidRDefault="00AB205D">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p>
        </w:tc>
        <w:tc>
          <w:tcPr>
            <w:tcW w:w="845" w:type="dxa"/>
            <w:tcBorders>
              <w:top w:val="single" w:sz="4" w:space="0" w:color="auto"/>
            </w:tcBorders>
            <w:vAlign w:val="bottom"/>
          </w:tcPr>
          <w:p w14:paraId="5BF0618B" w14:textId="77777777" w:rsidR="00AB205D" w:rsidRPr="00952C8F" w:rsidRDefault="00AB205D">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p>
        </w:tc>
      </w:tr>
      <w:tr w:rsidR="009C6724" w:rsidRPr="00CF5471" w14:paraId="30228BD2" w14:textId="77777777" w:rsidTr="009C6724">
        <w:tc>
          <w:tcPr>
            <w:cnfStyle w:val="001000000000" w:firstRow="0" w:lastRow="0" w:firstColumn="1" w:lastColumn="0" w:oddVBand="0" w:evenVBand="0" w:oddHBand="0" w:evenHBand="0" w:firstRowFirstColumn="0" w:firstRowLastColumn="0" w:lastRowFirstColumn="0" w:lastRowLastColumn="0"/>
            <w:tcW w:w="4333" w:type="dxa"/>
            <w:hideMark/>
          </w:tcPr>
          <w:p w14:paraId="7D8B8803" w14:textId="77777777" w:rsidR="00AB205D" w:rsidRPr="00CF5471" w:rsidRDefault="00471A3B">
            <w:pPr>
              <w:keepLines w:val="0"/>
              <w:autoSpaceDE w:val="0"/>
              <w:autoSpaceDN w:val="0"/>
              <w:adjustRightInd w:val="0"/>
              <w:rPr>
                <w:rFonts w:eastAsiaTheme="minorEastAsia" w:cstheme="majorHAnsi"/>
                <w:szCs w:val="17"/>
                <w:lang w:eastAsia="en-AU"/>
              </w:rPr>
            </w:pPr>
            <w:r w:rsidRPr="00CF5471">
              <w:rPr>
                <w:rFonts w:eastAsiaTheme="minorEastAsia" w:cstheme="majorHAnsi"/>
                <w:szCs w:val="17"/>
                <w:lang w:eastAsia="en-AU"/>
              </w:rPr>
              <w:t>Income from transactions</w:t>
            </w:r>
          </w:p>
        </w:tc>
        <w:tc>
          <w:tcPr>
            <w:tcW w:w="844" w:type="dxa"/>
            <w:vAlign w:val="bottom"/>
          </w:tcPr>
          <w:p w14:paraId="6CEDDF56"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6C50F2">
              <w:rPr>
                <w:rFonts w:ascii="Calibri" w:hAnsi="Calibri" w:cs="Calibri"/>
                <w:szCs w:val="17"/>
              </w:rPr>
              <w:t>..</w:t>
            </w:r>
          </w:p>
        </w:tc>
        <w:tc>
          <w:tcPr>
            <w:tcW w:w="844" w:type="dxa"/>
            <w:vAlign w:val="bottom"/>
          </w:tcPr>
          <w:p w14:paraId="7C9DD702"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6C50F2">
              <w:rPr>
                <w:rFonts w:ascii="Calibri" w:hAnsi="Calibri" w:cs="Calibri"/>
                <w:szCs w:val="17"/>
              </w:rPr>
              <w:t>46</w:t>
            </w:r>
          </w:p>
        </w:tc>
        <w:tc>
          <w:tcPr>
            <w:tcW w:w="845" w:type="dxa"/>
            <w:vAlign w:val="bottom"/>
          </w:tcPr>
          <w:p w14:paraId="4E4E4FCD"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6C50F2">
              <w:rPr>
                <w:rFonts w:ascii="Calibri" w:hAnsi="Calibri" w:cs="Calibri"/>
                <w:szCs w:val="17"/>
              </w:rPr>
              <w:t>155</w:t>
            </w:r>
          </w:p>
        </w:tc>
        <w:tc>
          <w:tcPr>
            <w:tcW w:w="845" w:type="dxa"/>
            <w:vAlign w:val="bottom"/>
          </w:tcPr>
          <w:p w14:paraId="2D5850DA"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6C50F2">
              <w:rPr>
                <w:rFonts w:ascii="Calibri" w:hAnsi="Calibri" w:cs="Calibri"/>
                <w:szCs w:val="17"/>
              </w:rPr>
              <w:t>168</w:t>
            </w:r>
          </w:p>
        </w:tc>
      </w:tr>
      <w:tr w:rsidR="009C6724" w:rsidRPr="00CF5471" w14:paraId="6EFF9320" w14:textId="77777777" w:rsidTr="009C6724">
        <w:tc>
          <w:tcPr>
            <w:cnfStyle w:val="001000000000" w:firstRow="0" w:lastRow="0" w:firstColumn="1" w:lastColumn="0" w:oddVBand="0" w:evenVBand="0" w:oddHBand="0" w:evenHBand="0" w:firstRowFirstColumn="0" w:firstRowLastColumn="0" w:lastRowFirstColumn="0" w:lastRowLastColumn="0"/>
            <w:tcW w:w="4333" w:type="dxa"/>
            <w:tcBorders>
              <w:bottom w:val="single" w:sz="4" w:space="0" w:color="auto"/>
            </w:tcBorders>
            <w:hideMark/>
          </w:tcPr>
          <w:p w14:paraId="385ABBD9" w14:textId="77777777" w:rsidR="00AB205D" w:rsidRPr="00CF5471" w:rsidRDefault="00471A3B">
            <w:pPr>
              <w:keepLines w:val="0"/>
              <w:autoSpaceDE w:val="0"/>
              <w:autoSpaceDN w:val="0"/>
              <w:adjustRightInd w:val="0"/>
              <w:rPr>
                <w:rFonts w:eastAsiaTheme="minorEastAsia" w:cstheme="majorHAnsi"/>
                <w:szCs w:val="17"/>
                <w:lang w:eastAsia="en-AU"/>
              </w:rPr>
            </w:pPr>
            <w:r w:rsidRPr="00CF5471">
              <w:rPr>
                <w:rFonts w:eastAsiaTheme="minorEastAsia" w:cstheme="majorHAnsi"/>
                <w:szCs w:val="17"/>
                <w:lang w:eastAsia="en-AU"/>
              </w:rPr>
              <w:t>Expenses from transactions</w:t>
            </w:r>
          </w:p>
        </w:tc>
        <w:tc>
          <w:tcPr>
            <w:tcW w:w="844" w:type="dxa"/>
            <w:tcBorders>
              <w:bottom w:val="single" w:sz="4" w:space="0" w:color="auto"/>
            </w:tcBorders>
            <w:vAlign w:val="bottom"/>
          </w:tcPr>
          <w:p w14:paraId="0BE55564"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96143D">
              <w:rPr>
                <w:rFonts w:ascii="Calibri" w:hAnsi="Calibri" w:cs="Calibri"/>
                <w:szCs w:val="17"/>
              </w:rPr>
              <w:t>357</w:t>
            </w:r>
          </w:p>
        </w:tc>
        <w:tc>
          <w:tcPr>
            <w:tcW w:w="844" w:type="dxa"/>
            <w:tcBorders>
              <w:bottom w:val="single" w:sz="4" w:space="0" w:color="auto"/>
            </w:tcBorders>
            <w:vAlign w:val="bottom"/>
          </w:tcPr>
          <w:p w14:paraId="7809A3D5"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6C50F2">
              <w:rPr>
                <w:rFonts w:ascii="Calibri" w:hAnsi="Calibri" w:cs="Calibri"/>
                <w:szCs w:val="17"/>
              </w:rPr>
              <w:t>386</w:t>
            </w:r>
          </w:p>
        </w:tc>
        <w:tc>
          <w:tcPr>
            <w:tcW w:w="845" w:type="dxa"/>
            <w:tcBorders>
              <w:bottom w:val="single" w:sz="4" w:space="0" w:color="auto"/>
            </w:tcBorders>
            <w:vAlign w:val="bottom"/>
          </w:tcPr>
          <w:p w14:paraId="24DF1FA9"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96143D">
              <w:rPr>
                <w:rFonts w:ascii="Calibri" w:hAnsi="Calibri" w:cs="Calibri"/>
                <w:szCs w:val="17"/>
              </w:rPr>
              <w:t>413</w:t>
            </w:r>
          </w:p>
        </w:tc>
        <w:tc>
          <w:tcPr>
            <w:tcW w:w="845" w:type="dxa"/>
            <w:tcBorders>
              <w:bottom w:val="single" w:sz="4" w:space="0" w:color="auto"/>
            </w:tcBorders>
            <w:vAlign w:val="bottom"/>
          </w:tcPr>
          <w:p w14:paraId="1ECE64D9"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6C50F2">
              <w:rPr>
                <w:rFonts w:ascii="Calibri" w:hAnsi="Calibri" w:cs="Calibri"/>
                <w:szCs w:val="17"/>
              </w:rPr>
              <w:t>445</w:t>
            </w:r>
          </w:p>
        </w:tc>
      </w:tr>
      <w:tr w:rsidR="009C6724" w:rsidRPr="0044766D" w14:paraId="44D41189" w14:textId="77777777" w:rsidTr="009C6724">
        <w:tc>
          <w:tcPr>
            <w:cnfStyle w:val="001000000000" w:firstRow="0" w:lastRow="0" w:firstColumn="1" w:lastColumn="0" w:oddVBand="0" w:evenVBand="0" w:oddHBand="0" w:evenHBand="0" w:firstRowFirstColumn="0" w:firstRowLastColumn="0" w:lastRowFirstColumn="0" w:lastRowLastColumn="0"/>
            <w:tcW w:w="4333" w:type="dxa"/>
            <w:tcBorders>
              <w:top w:val="single" w:sz="4" w:space="0" w:color="auto"/>
              <w:bottom w:val="nil"/>
            </w:tcBorders>
            <w:hideMark/>
          </w:tcPr>
          <w:p w14:paraId="5DBC189A" w14:textId="77777777" w:rsidR="00AB205D" w:rsidRPr="00CF5471" w:rsidRDefault="00471A3B">
            <w:pPr>
              <w:keepLines w:val="0"/>
              <w:autoSpaceDE w:val="0"/>
              <w:autoSpaceDN w:val="0"/>
              <w:adjustRightInd w:val="0"/>
              <w:rPr>
                <w:rFonts w:eastAsiaTheme="minorEastAsia" w:cstheme="majorHAnsi"/>
                <w:b/>
                <w:bCs/>
                <w:szCs w:val="17"/>
                <w:lang w:eastAsia="en-AU"/>
              </w:rPr>
            </w:pPr>
            <w:r w:rsidRPr="00CF5471">
              <w:rPr>
                <w:rFonts w:eastAsiaTheme="minorEastAsia" w:cstheme="majorHAnsi"/>
                <w:b/>
                <w:bCs/>
                <w:szCs w:val="17"/>
                <w:lang w:eastAsia="en-AU"/>
              </w:rPr>
              <w:t>Net result from transactions</w:t>
            </w:r>
          </w:p>
        </w:tc>
        <w:tc>
          <w:tcPr>
            <w:tcW w:w="844" w:type="dxa"/>
            <w:tcBorders>
              <w:top w:val="single" w:sz="4" w:space="0" w:color="auto"/>
              <w:bottom w:val="nil"/>
            </w:tcBorders>
            <w:vAlign w:val="bottom"/>
          </w:tcPr>
          <w:p w14:paraId="1408AE08"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highlight w:val="yellow"/>
              </w:rPr>
            </w:pPr>
            <w:r w:rsidRPr="006C50F2">
              <w:rPr>
                <w:rFonts w:ascii="Calibri" w:hAnsi="Calibri" w:cs="Calibri"/>
                <w:b/>
                <w:bCs/>
                <w:szCs w:val="17"/>
              </w:rPr>
              <w:t>(</w:t>
            </w:r>
            <w:r w:rsidRPr="0096143D">
              <w:rPr>
                <w:rFonts w:ascii="Calibri" w:hAnsi="Calibri" w:cs="Calibri"/>
                <w:b/>
                <w:bCs/>
                <w:szCs w:val="17"/>
              </w:rPr>
              <w:t>357</w:t>
            </w:r>
            <w:r w:rsidRPr="006C50F2">
              <w:rPr>
                <w:rFonts w:ascii="Calibri" w:hAnsi="Calibri" w:cs="Calibri"/>
                <w:b/>
                <w:bCs/>
                <w:szCs w:val="17"/>
              </w:rPr>
              <w:t>)</w:t>
            </w:r>
          </w:p>
        </w:tc>
        <w:tc>
          <w:tcPr>
            <w:tcW w:w="844" w:type="dxa"/>
            <w:tcBorders>
              <w:top w:val="single" w:sz="4" w:space="0" w:color="auto"/>
              <w:bottom w:val="nil"/>
            </w:tcBorders>
            <w:vAlign w:val="bottom"/>
          </w:tcPr>
          <w:p w14:paraId="2C091378"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highlight w:val="yellow"/>
              </w:rPr>
            </w:pPr>
            <w:r w:rsidRPr="006C50F2">
              <w:rPr>
                <w:rFonts w:ascii="Calibri" w:hAnsi="Calibri" w:cs="Calibri"/>
                <w:b/>
                <w:bCs/>
                <w:szCs w:val="17"/>
              </w:rPr>
              <w:t>(340)</w:t>
            </w:r>
          </w:p>
        </w:tc>
        <w:tc>
          <w:tcPr>
            <w:tcW w:w="845" w:type="dxa"/>
            <w:tcBorders>
              <w:top w:val="single" w:sz="4" w:space="0" w:color="auto"/>
              <w:bottom w:val="nil"/>
            </w:tcBorders>
            <w:vAlign w:val="bottom"/>
          </w:tcPr>
          <w:p w14:paraId="733C9CA9"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highlight w:val="yellow"/>
              </w:rPr>
            </w:pPr>
            <w:r w:rsidRPr="006C50F2">
              <w:rPr>
                <w:rFonts w:ascii="Calibri" w:hAnsi="Calibri" w:cs="Calibri"/>
                <w:b/>
                <w:bCs/>
                <w:szCs w:val="17"/>
              </w:rPr>
              <w:t>(258)</w:t>
            </w:r>
          </w:p>
        </w:tc>
        <w:tc>
          <w:tcPr>
            <w:tcW w:w="845" w:type="dxa"/>
            <w:tcBorders>
              <w:top w:val="single" w:sz="4" w:space="0" w:color="auto"/>
              <w:bottom w:val="nil"/>
            </w:tcBorders>
            <w:vAlign w:val="bottom"/>
          </w:tcPr>
          <w:p w14:paraId="7752F6D4"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highlight w:val="yellow"/>
              </w:rPr>
            </w:pPr>
            <w:r w:rsidRPr="006C50F2">
              <w:rPr>
                <w:rFonts w:ascii="Calibri" w:hAnsi="Calibri" w:cs="Calibri"/>
                <w:b/>
                <w:bCs/>
                <w:szCs w:val="17"/>
              </w:rPr>
              <w:t>(277)</w:t>
            </w:r>
          </w:p>
        </w:tc>
      </w:tr>
      <w:tr w:rsidR="009C6724" w:rsidRPr="0044766D" w14:paraId="7E85172A" w14:textId="77777777" w:rsidTr="009C6724">
        <w:tc>
          <w:tcPr>
            <w:cnfStyle w:val="001000000000" w:firstRow="0" w:lastRow="0" w:firstColumn="1" w:lastColumn="0" w:oddVBand="0" w:evenVBand="0" w:oddHBand="0" w:evenHBand="0" w:firstRowFirstColumn="0" w:firstRowLastColumn="0" w:lastRowFirstColumn="0" w:lastRowLastColumn="0"/>
            <w:tcW w:w="4333" w:type="dxa"/>
            <w:tcBorders>
              <w:bottom w:val="single" w:sz="4" w:space="0" w:color="auto"/>
            </w:tcBorders>
            <w:hideMark/>
          </w:tcPr>
          <w:p w14:paraId="16B18B9D" w14:textId="77777777" w:rsidR="00AB205D" w:rsidRPr="00CF5471" w:rsidRDefault="00471A3B">
            <w:pPr>
              <w:keepLines w:val="0"/>
              <w:autoSpaceDE w:val="0"/>
              <w:autoSpaceDN w:val="0"/>
              <w:adjustRightInd w:val="0"/>
              <w:rPr>
                <w:rFonts w:eastAsiaTheme="minorEastAsia" w:cstheme="majorHAnsi"/>
                <w:b/>
                <w:bCs/>
                <w:szCs w:val="17"/>
                <w:lang w:eastAsia="en-AU"/>
              </w:rPr>
            </w:pPr>
            <w:r w:rsidRPr="00CF5471">
              <w:rPr>
                <w:rFonts w:eastAsiaTheme="minorEastAsia" w:cstheme="majorHAnsi"/>
                <w:b/>
                <w:bCs/>
                <w:szCs w:val="17"/>
                <w:lang w:eastAsia="en-AU"/>
              </w:rPr>
              <w:t>Net debt</w:t>
            </w:r>
          </w:p>
        </w:tc>
        <w:tc>
          <w:tcPr>
            <w:tcW w:w="844" w:type="dxa"/>
            <w:tcBorders>
              <w:bottom w:val="single" w:sz="4" w:space="0" w:color="auto"/>
            </w:tcBorders>
            <w:vAlign w:val="bottom"/>
          </w:tcPr>
          <w:p w14:paraId="3445CD85"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highlight w:val="yellow"/>
              </w:rPr>
            </w:pPr>
            <w:r w:rsidRPr="0096143D">
              <w:rPr>
                <w:rFonts w:ascii="Calibri" w:hAnsi="Calibri" w:cs="Calibri"/>
                <w:b/>
                <w:bCs/>
                <w:szCs w:val="17"/>
              </w:rPr>
              <w:t>357</w:t>
            </w:r>
          </w:p>
        </w:tc>
        <w:tc>
          <w:tcPr>
            <w:tcW w:w="844" w:type="dxa"/>
            <w:tcBorders>
              <w:bottom w:val="single" w:sz="4" w:space="0" w:color="auto"/>
            </w:tcBorders>
            <w:vAlign w:val="bottom"/>
          </w:tcPr>
          <w:p w14:paraId="74EA25BB"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highlight w:val="yellow"/>
              </w:rPr>
            </w:pPr>
            <w:r w:rsidRPr="0096143D">
              <w:rPr>
                <w:rFonts w:ascii="Calibri" w:hAnsi="Calibri" w:cs="Calibri"/>
                <w:b/>
                <w:bCs/>
                <w:szCs w:val="17"/>
              </w:rPr>
              <w:t>697</w:t>
            </w:r>
          </w:p>
        </w:tc>
        <w:tc>
          <w:tcPr>
            <w:tcW w:w="845" w:type="dxa"/>
            <w:tcBorders>
              <w:bottom w:val="single" w:sz="4" w:space="0" w:color="auto"/>
            </w:tcBorders>
            <w:vAlign w:val="bottom"/>
          </w:tcPr>
          <w:p w14:paraId="55B65C89"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highlight w:val="yellow"/>
              </w:rPr>
            </w:pPr>
            <w:r w:rsidRPr="0096143D">
              <w:rPr>
                <w:rFonts w:ascii="Calibri" w:hAnsi="Calibri" w:cs="Calibri"/>
                <w:b/>
                <w:bCs/>
                <w:szCs w:val="17"/>
              </w:rPr>
              <w:t>955</w:t>
            </w:r>
          </w:p>
        </w:tc>
        <w:tc>
          <w:tcPr>
            <w:tcW w:w="845" w:type="dxa"/>
            <w:tcBorders>
              <w:bottom w:val="single" w:sz="4" w:space="0" w:color="auto"/>
            </w:tcBorders>
            <w:vAlign w:val="bottom"/>
          </w:tcPr>
          <w:p w14:paraId="5008D94C"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highlight w:val="yellow"/>
              </w:rPr>
            </w:pPr>
            <w:r w:rsidRPr="0096143D">
              <w:rPr>
                <w:rFonts w:ascii="Calibri" w:hAnsi="Calibri" w:cs="Calibri"/>
                <w:b/>
                <w:bCs/>
                <w:szCs w:val="17"/>
              </w:rPr>
              <w:t>1232</w:t>
            </w:r>
          </w:p>
        </w:tc>
      </w:tr>
      <w:tr w:rsidR="009C6724" w:rsidRPr="00CF5471" w14:paraId="304A6694" w14:textId="77777777" w:rsidTr="009C6724">
        <w:tc>
          <w:tcPr>
            <w:cnfStyle w:val="001000000000" w:firstRow="0" w:lastRow="0" w:firstColumn="1" w:lastColumn="0" w:oddVBand="0" w:evenVBand="0" w:oddHBand="0" w:evenHBand="0" w:firstRowFirstColumn="0" w:firstRowLastColumn="0" w:lastRowFirstColumn="0" w:lastRowLastColumn="0"/>
            <w:tcW w:w="4333" w:type="dxa"/>
            <w:tcBorders>
              <w:top w:val="single" w:sz="4" w:space="0" w:color="auto"/>
            </w:tcBorders>
            <w:hideMark/>
          </w:tcPr>
          <w:p w14:paraId="52D6AF4D" w14:textId="77777777" w:rsidR="00AB205D" w:rsidRPr="00CF5471" w:rsidRDefault="00471A3B">
            <w:pPr>
              <w:keepNext/>
              <w:keepLines w:val="0"/>
              <w:autoSpaceDE w:val="0"/>
              <w:autoSpaceDN w:val="0"/>
              <w:adjustRightInd w:val="0"/>
              <w:ind w:left="173" w:hanging="173"/>
              <w:rPr>
                <w:rFonts w:eastAsiaTheme="minorEastAsia" w:cstheme="majorHAnsi"/>
                <w:b/>
                <w:bCs/>
                <w:szCs w:val="17"/>
                <w:lang w:eastAsia="en-AU"/>
              </w:rPr>
            </w:pPr>
            <w:r w:rsidRPr="00CF5471">
              <w:rPr>
                <w:rFonts w:eastAsiaTheme="minorEastAsia" w:cstheme="majorHAnsi"/>
                <w:b/>
                <w:bCs/>
                <w:szCs w:val="17"/>
                <w:lang w:eastAsia="en-AU"/>
              </w:rPr>
              <w:t xml:space="preserve">Domestic share prices </w:t>
            </w:r>
            <w:r w:rsidRPr="00CF5471">
              <w:rPr>
                <w:rFonts w:eastAsiaTheme="minorEastAsia" w:cstheme="majorHAnsi"/>
                <w:b/>
                <w:bCs/>
                <w:szCs w:val="17"/>
                <w:vertAlign w:val="superscript"/>
                <w:lang w:eastAsia="en-AU"/>
              </w:rPr>
              <w:t>(</w:t>
            </w:r>
            <w:r>
              <w:rPr>
                <w:rFonts w:eastAsiaTheme="minorEastAsia" w:cstheme="majorHAnsi"/>
                <w:b/>
                <w:bCs/>
                <w:szCs w:val="17"/>
                <w:vertAlign w:val="superscript"/>
                <w:lang w:eastAsia="en-AU"/>
              </w:rPr>
              <w:t>i</w:t>
            </w:r>
            <w:r w:rsidRPr="00CF5471">
              <w:rPr>
                <w:rFonts w:eastAsiaTheme="minorEastAsia" w:cstheme="majorHAnsi"/>
                <w:b/>
                <w:bCs/>
                <w:szCs w:val="17"/>
                <w:vertAlign w:val="superscript"/>
                <w:lang w:eastAsia="en-AU"/>
              </w:rPr>
              <w:t>)</w:t>
            </w:r>
          </w:p>
        </w:tc>
        <w:tc>
          <w:tcPr>
            <w:tcW w:w="844" w:type="dxa"/>
            <w:tcBorders>
              <w:top w:val="single" w:sz="4" w:space="0" w:color="auto"/>
            </w:tcBorders>
            <w:vAlign w:val="bottom"/>
          </w:tcPr>
          <w:p w14:paraId="110FFF5B" w14:textId="77777777" w:rsidR="00AB205D" w:rsidRPr="00952C8F" w:rsidRDefault="00AB205D">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p>
        </w:tc>
        <w:tc>
          <w:tcPr>
            <w:tcW w:w="844" w:type="dxa"/>
            <w:tcBorders>
              <w:top w:val="single" w:sz="4" w:space="0" w:color="auto"/>
            </w:tcBorders>
            <w:vAlign w:val="bottom"/>
          </w:tcPr>
          <w:p w14:paraId="2DC40C7E" w14:textId="77777777" w:rsidR="00AB205D" w:rsidRPr="00952C8F" w:rsidRDefault="00AB205D">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p>
        </w:tc>
        <w:tc>
          <w:tcPr>
            <w:tcW w:w="845" w:type="dxa"/>
            <w:tcBorders>
              <w:top w:val="single" w:sz="4" w:space="0" w:color="auto"/>
            </w:tcBorders>
            <w:vAlign w:val="bottom"/>
          </w:tcPr>
          <w:p w14:paraId="55200DB9" w14:textId="77777777" w:rsidR="00AB205D" w:rsidRPr="00952C8F" w:rsidRDefault="00AB205D">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p>
        </w:tc>
        <w:tc>
          <w:tcPr>
            <w:tcW w:w="845" w:type="dxa"/>
            <w:tcBorders>
              <w:top w:val="single" w:sz="4" w:space="0" w:color="auto"/>
            </w:tcBorders>
            <w:vAlign w:val="bottom"/>
          </w:tcPr>
          <w:p w14:paraId="49BB44C7" w14:textId="77777777" w:rsidR="00AB205D" w:rsidRPr="00952C8F" w:rsidRDefault="00AB205D">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p>
        </w:tc>
      </w:tr>
      <w:tr w:rsidR="009C6724" w:rsidRPr="00CF5471" w14:paraId="33D498DA" w14:textId="77777777" w:rsidTr="009C6724">
        <w:tc>
          <w:tcPr>
            <w:cnfStyle w:val="001000000000" w:firstRow="0" w:lastRow="0" w:firstColumn="1" w:lastColumn="0" w:oddVBand="0" w:evenVBand="0" w:oddHBand="0" w:evenHBand="0" w:firstRowFirstColumn="0" w:firstRowLastColumn="0" w:lastRowFirstColumn="0" w:lastRowLastColumn="0"/>
            <w:tcW w:w="4333" w:type="dxa"/>
            <w:hideMark/>
          </w:tcPr>
          <w:p w14:paraId="314DFEE7" w14:textId="77777777" w:rsidR="00AB205D" w:rsidRPr="00CF5471" w:rsidRDefault="00471A3B">
            <w:pPr>
              <w:keepNext/>
              <w:keepLines w:val="0"/>
              <w:autoSpaceDE w:val="0"/>
              <w:autoSpaceDN w:val="0"/>
              <w:adjustRightInd w:val="0"/>
              <w:ind w:left="173" w:hanging="173"/>
              <w:rPr>
                <w:rFonts w:eastAsiaTheme="minorEastAsia" w:cstheme="majorHAnsi"/>
                <w:szCs w:val="17"/>
                <w:lang w:eastAsia="en-AU"/>
              </w:rPr>
            </w:pPr>
            <w:r w:rsidRPr="00CF5471">
              <w:rPr>
                <w:rFonts w:eastAsiaTheme="minorEastAsia" w:cstheme="majorHAnsi"/>
                <w:szCs w:val="17"/>
                <w:lang w:eastAsia="en-AU"/>
              </w:rPr>
              <w:t>Income from transactions</w:t>
            </w:r>
          </w:p>
        </w:tc>
        <w:tc>
          <w:tcPr>
            <w:tcW w:w="844" w:type="dxa"/>
            <w:tcBorders>
              <w:top w:val="nil"/>
              <w:left w:val="nil"/>
              <w:bottom w:val="nil"/>
              <w:right w:val="nil"/>
            </w:tcBorders>
            <w:shd w:val="clear" w:color="auto" w:fill="FFFFFF" w:themeFill="background1"/>
            <w:vAlign w:val="bottom"/>
          </w:tcPr>
          <w:p w14:paraId="1838B42B" w14:textId="77777777" w:rsidR="00AB205D" w:rsidRPr="00BD12F0"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BD12F0">
              <w:rPr>
                <w:rFonts w:ascii="Calibri" w:hAnsi="Calibri" w:cs="Calibri"/>
                <w:szCs w:val="17"/>
              </w:rPr>
              <w:t>7</w:t>
            </w:r>
          </w:p>
        </w:tc>
        <w:tc>
          <w:tcPr>
            <w:tcW w:w="844" w:type="dxa"/>
            <w:tcBorders>
              <w:top w:val="nil"/>
              <w:left w:val="nil"/>
              <w:bottom w:val="nil"/>
              <w:right w:val="nil"/>
            </w:tcBorders>
            <w:shd w:val="clear" w:color="auto" w:fill="FFFFFF" w:themeFill="background1"/>
            <w:vAlign w:val="bottom"/>
          </w:tcPr>
          <w:p w14:paraId="52649DB4" w14:textId="77777777" w:rsidR="00AB205D" w:rsidRPr="00BD12F0"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96143D">
              <w:rPr>
                <w:rFonts w:ascii="Calibri" w:hAnsi="Calibri" w:cs="Calibri"/>
                <w:szCs w:val="17"/>
              </w:rPr>
              <w:t>1</w:t>
            </w:r>
          </w:p>
        </w:tc>
        <w:tc>
          <w:tcPr>
            <w:tcW w:w="845" w:type="dxa"/>
            <w:tcBorders>
              <w:top w:val="nil"/>
              <w:left w:val="nil"/>
              <w:bottom w:val="nil"/>
              <w:right w:val="nil"/>
            </w:tcBorders>
            <w:shd w:val="clear" w:color="auto" w:fill="FFFFFF" w:themeFill="background1"/>
            <w:vAlign w:val="bottom"/>
          </w:tcPr>
          <w:p w14:paraId="7902D230" w14:textId="77777777" w:rsidR="00AB205D" w:rsidRPr="00BD12F0"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96143D">
              <w:rPr>
                <w:rFonts w:ascii="Calibri" w:hAnsi="Calibri" w:cs="Calibri"/>
                <w:szCs w:val="17"/>
              </w:rPr>
              <w:t>1</w:t>
            </w:r>
          </w:p>
        </w:tc>
        <w:tc>
          <w:tcPr>
            <w:tcW w:w="845" w:type="dxa"/>
            <w:tcBorders>
              <w:top w:val="nil"/>
              <w:left w:val="nil"/>
              <w:bottom w:val="nil"/>
              <w:right w:val="nil"/>
            </w:tcBorders>
            <w:shd w:val="clear" w:color="auto" w:fill="FFFFFF" w:themeFill="background1"/>
            <w:vAlign w:val="bottom"/>
          </w:tcPr>
          <w:p w14:paraId="7C46666F" w14:textId="77777777" w:rsidR="00AB205D" w:rsidRPr="00BD12F0"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96143D">
              <w:rPr>
                <w:rFonts w:ascii="Calibri" w:hAnsi="Calibri" w:cs="Calibri"/>
                <w:szCs w:val="17"/>
              </w:rPr>
              <w:t>2</w:t>
            </w:r>
          </w:p>
        </w:tc>
      </w:tr>
      <w:tr w:rsidR="009C6724" w:rsidRPr="00CF5471" w14:paraId="368AA7EF" w14:textId="77777777" w:rsidTr="009C6724">
        <w:tc>
          <w:tcPr>
            <w:cnfStyle w:val="001000000000" w:firstRow="0" w:lastRow="0" w:firstColumn="1" w:lastColumn="0" w:oddVBand="0" w:evenVBand="0" w:oddHBand="0" w:evenHBand="0" w:firstRowFirstColumn="0" w:firstRowLastColumn="0" w:lastRowFirstColumn="0" w:lastRowLastColumn="0"/>
            <w:tcW w:w="4333" w:type="dxa"/>
            <w:tcBorders>
              <w:bottom w:val="single" w:sz="4" w:space="0" w:color="auto"/>
            </w:tcBorders>
            <w:hideMark/>
          </w:tcPr>
          <w:p w14:paraId="7DF8A5A7" w14:textId="77777777" w:rsidR="00AB205D" w:rsidRPr="00CF5471" w:rsidRDefault="00471A3B">
            <w:pPr>
              <w:keepNext/>
              <w:keepLines w:val="0"/>
              <w:autoSpaceDE w:val="0"/>
              <w:autoSpaceDN w:val="0"/>
              <w:adjustRightInd w:val="0"/>
              <w:ind w:left="173" w:hanging="173"/>
              <w:rPr>
                <w:rFonts w:eastAsiaTheme="minorEastAsia" w:cstheme="majorHAnsi"/>
                <w:szCs w:val="17"/>
                <w:lang w:eastAsia="en-AU"/>
              </w:rPr>
            </w:pPr>
            <w:r w:rsidRPr="00CF5471">
              <w:rPr>
                <w:rFonts w:eastAsiaTheme="minorEastAsia" w:cstheme="majorHAnsi"/>
                <w:szCs w:val="17"/>
                <w:lang w:eastAsia="en-AU"/>
              </w:rPr>
              <w:t>Expenses from transactions</w:t>
            </w:r>
          </w:p>
        </w:tc>
        <w:tc>
          <w:tcPr>
            <w:tcW w:w="844" w:type="dxa"/>
            <w:tcBorders>
              <w:top w:val="nil"/>
              <w:left w:val="nil"/>
              <w:bottom w:val="single" w:sz="4" w:space="0" w:color="auto"/>
              <w:right w:val="nil"/>
            </w:tcBorders>
            <w:shd w:val="clear" w:color="auto" w:fill="FFFFFF" w:themeFill="background1"/>
            <w:vAlign w:val="bottom"/>
          </w:tcPr>
          <w:p w14:paraId="46F7FC4A" w14:textId="77777777" w:rsidR="00AB205D" w:rsidRPr="00BD12F0"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96143D">
              <w:rPr>
                <w:rFonts w:ascii="Calibri" w:hAnsi="Calibri" w:cs="Calibri"/>
                <w:szCs w:val="17"/>
              </w:rPr>
              <w:t>(0)</w:t>
            </w:r>
          </w:p>
        </w:tc>
        <w:tc>
          <w:tcPr>
            <w:tcW w:w="844" w:type="dxa"/>
            <w:tcBorders>
              <w:top w:val="nil"/>
              <w:left w:val="nil"/>
              <w:bottom w:val="single" w:sz="4" w:space="0" w:color="auto"/>
              <w:right w:val="nil"/>
            </w:tcBorders>
            <w:shd w:val="clear" w:color="auto" w:fill="FFFFFF" w:themeFill="background1"/>
            <w:vAlign w:val="bottom"/>
          </w:tcPr>
          <w:p w14:paraId="32969034" w14:textId="77777777" w:rsidR="00AB205D" w:rsidRPr="00BD12F0"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96143D">
              <w:rPr>
                <w:rFonts w:ascii="Calibri" w:hAnsi="Calibri" w:cs="Calibri"/>
                <w:szCs w:val="17"/>
              </w:rPr>
              <w:t>(0)</w:t>
            </w:r>
          </w:p>
        </w:tc>
        <w:tc>
          <w:tcPr>
            <w:tcW w:w="845" w:type="dxa"/>
            <w:tcBorders>
              <w:top w:val="nil"/>
              <w:left w:val="nil"/>
              <w:bottom w:val="single" w:sz="4" w:space="0" w:color="auto"/>
              <w:right w:val="nil"/>
            </w:tcBorders>
            <w:shd w:val="clear" w:color="auto" w:fill="FFFFFF" w:themeFill="background1"/>
            <w:vAlign w:val="bottom"/>
          </w:tcPr>
          <w:p w14:paraId="5526F541" w14:textId="77777777" w:rsidR="00AB205D" w:rsidRPr="00BD12F0"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96143D">
              <w:rPr>
                <w:rFonts w:ascii="Calibri" w:hAnsi="Calibri" w:cs="Calibri"/>
                <w:szCs w:val="17"/>
              </w:rPr>
              <w:t>(0)</w:t>
            </w:r>
          </w:p>
        </w:tc>
        <w:tc>
          <w:tcPr>
            <w:tcW w:w="845" w:type="dxa"/>
            <w:tcBorders>
              <w:top w:val="nil"/>
              <w:left w:val="nil"/>
              <w:bottom w:val="single" w:sz="4" w:space="0" w:color="auto"/>
              <w:right w:val="nil"/>
            </w:tcBorders>
            <w:shd w:val="clear" w:color="auto" w:fill="FFFFFF" w:themeFill="background1"/>
            <w:vAlign w:val="bottom"/>
          </w:tcPr>
          <w:p w14:paraId="529B9AB3" w14:textId="77777777" w:rsidR="00AB205D" w:rsidRPr="00BD12F0"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96143D">
              <w:rPr>
                <w:rFonts w:ascii="Calibri" w:hAnsi="Calibri" w:cs="Calibri"/>
                <w:szCs w:val="17"/>
              </w:rPr>
              <w:t>(0)</w:t>
            </w:r>
          </w:p>
        </w:tc>
      </w:tr>
      <w:tr w:rsidR="009C6724" w:rsidRPr="00CF5471" w14:paraId="61AB9383" w14:textId="77777777" w:rsidTr="009C6724">
        <w:tc>
          <w:tcPr>
            <w:cnfStyle w:val="001000000000" w:firstRow="0" w:lastRow="0" w:firstColumn="1" w:lastColumn="0" w:oddVBand="0" w:evenVBand="0" w:oddHBand="0" w:evenHBand="0" w:firstRowFirstColumn="0" w:firstRowLastColumn="0" w:lastRowFirstColumn="0" w:lastRowLastColumn="0"/>
            <w:tcW w:w="4333" w:type="dxa"/>
            <w:tcBorders>
              <w:top w:val="single" w:sz="4" w:space="0" w:color="auto"/>
              <w:bottom w:val="nil"/>
            </w:tcBorders>
            <w:hideMark/>
          </w:tcPr>
          <w:p w14:paraId="00594CAD" w14:textId="77777777" w:rsidR="00AB205D" w:rsidRPr="00E21084" w:rsidRDefault="00471A3B">
            <w:pPr>
              <w:keepLines w:val="0"/>
              <w:autoSpaceDE w:val="0"/>
              <w:autoSpaceDN w:val="0"/>
              <w:adjustRightInd w:val="0"/>
              <w:rPr>
                <w:rFonts w:eastAsiaTheme="minorEastAsia" w:cstheme="majorHAnsi"/>
                <w:b/>
                <w:bCs/>
                <w:szCs w:val="17"/>
                <w:lang w:eastAsia="en-AU"/>
              </w:rPr>
            </w:pPr>
            <w:r w:rsidRPr="00E21084">
              <w:rPr>
                <w:rFonts w:eastAsiaTheme="minorEastAsia" w:cstheme="majorHAnsi"/>
                <w:b/>
                <w:bCs/>
                <w:szCs w:val="17"/>
                <w:lang w:eastAsia="en-AU"/>
              </w:rPr>
              <w:t>Net result from transactions</w:t>
            </w:r>
          </w:p>
        </w:tc>
        <w:tc>
          <w:tcPr>
            <w:tcW w:w="844" w:type="dxa"/>
            <w:tcBorders>
              <w:top w:val="single" w:sz="4" w:space="0" w:color="auto"/>
              <w:left w:val="nil"/>
              <w:bottom w:val="nil"/>
              <w:right w:val="nil"/>
            </w:tcBorders>
            <w:shd w:val="clear" w:color="auto" w:fill="FFFFFF" w:themeFill="background1"/>
            <w:vAlign w:val="bottom"/>
          </w:tcPr>
          <w:p w14:paraId="7CDF3BF2" w14:textId="77777777" w:rsidR="00AB205D" w:rsidRPr="006C076C" w:rsidRDefault="00471A3B">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BD12F0">
              <w:rPr>
                <w:rFonts w:ascii="Calibri" w:hAnsi="Calibri" w:cs="Calibri"/>
                <w:b/>
                <w:bCs/>
                <w:szCs w:val="17"/>
              </w:rPr>
              <w:t>7</w:t>
            </w:r>
          </w:p>
        </w:tc>
        <w:tc>
          <w:tcPr>
            <w:tcW w:w="844" w:type="dxa"/>
            <w:tcBorders>
              <w:top w:val="single" w:sz="4" w:space="0" w:color="auto"/>
              <w:left w:val="nil"/>
              <w:bottom w:val="nil"/>
              <w:right w:val="nil"/>
            </w:tcBorders>
            <w:shd w:val="clear" w:color="auto" w:fill="FFFFFF" w:themeFill="background1"/>
            <w:vAlign w:val="bottom"/>
          </w:tcPr>
          <w:p w14:paraId="1B0BAE7A" w14:textId="77777777" w:rsidR="00AB205D" w:rsidRPr="006C076C" w:rsidRDefault="00471A3B">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BD12F0">
              <w:rPr>
                <w:rFonts w:ascii="Calibri" w:hAnsi="Calibri" w:cs="Calibri"/>
                <w:b/>
                <w:bCs/>
                <w:szCs w:val="17"/>
              </w:rPr>
              <w:t>1</w:t>
            </w:r>
          </w:p>
        </w:tc>
        <w:tc>
          <w:tcPr>
            <w:tcW w:w="845" w:type="dxa"/>
            <w:tcBorders>
              <w:top w:val="single" w:sz="4" w:space="0" w:color="auto"/>
              <w:left w:val="nil"/>
              <w:bottom w:val="nil"/>
              <w:right w:val="nil"/>
            </w:tcBorders>
            <w:shd w:val="clear" w:color="auto" w:fill="FFFFFF" w:themeFill="background1"/>
            <w:vAlign w:val="bottom"/>
          </w:tcPr>
          <w:p w14:paraId="2A312E0D" w14:textId="77777777" w:rsidR="00AB205D" w:rsidRPr="006C076C" w:rsidRDefault="00471A3B">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6143D">
              <w:rPr>
                <w:rFonts w:ascii="Calibri" w:hAnsi="Calibri" w:cs="Calibri"/>
                <w:b/>
                <w:bCs/>
                <w:szCs w:val="17"/>
              </w:rPr>
              <w:t>2</w:t>
            </w:r>
          </w:p>
        </w:tc>
        <w:tc>
          <w:tcPr>
            <w:tcW w:w="845" w:type="dxa"/>
            <w:tcBorders>
              <w:top w:val="single" w:sz="4" w:space="0" w:color="auto"/>
              <w:left w:val="nil"/>
              <w:bottom w:val="nil"/>
              <w:right w:val="nil"/>
            </w:tcBorders>
            <w:shd w:val="clear" w:color="auto" w:fill="FFFFFF" w:themeFill="background1"/>
            <w:vAlign w:val="bottom"/>
          </w:tcPr>
          <w:p w14:paraId="3BC07740" w14:textId="77777777" w:rsidR="00AB205D" w:rsidRPr="006C076C" w:rsidRDefault="00471A3B">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6143D">
              <w:rPr>
                <w:rFonts w:ascii="Calibri" w:hAnsi="Calibri" w:cs="Calibri"/>
                <w:b/>
                <w:bCs/>
                <w:szCs w:val="17"/>
              </w:rPr>
              <w:t>3</w:t>
            </w:r>
          </w:p>
        </w:tc>
      </w:tr>
      <w:tr w:rsidR="009C6724" w:rsidRPr="00CF5471" w14:paraId="3AC653D5" w14:textId="77777777" w:rsidTr="009C6724">
        <w:tc>
          <w:tcPr>
            <w:cnfStyle w:val="001000000000" w:firstRow="0" w:lastRow="0" w:firstColumn="1" w:lastColumn="0" w:oddVBand="0" w:evenVBand="0" w:oddHBand="0" w:evenHBand="0" w:firstRowFirstColumn="0" w:firstRowLastColumn="0" w:lastRowFirstColumn="0" w:lastRowLastColumn="0"/>
            <w:tcW w:w="4333" w:type="dxa"/>
            <w:tcBorders>
              <w:bottom w:val="single" w:sz="4" w:space="0" w:color="auto"/>
            </w:tcBorders>
            <w:hideMark/>
          </w:tcPr>
          <w:p w14:paraId="0E46EA73" w14:textId="77777777" w:rsidR="00AB205D" w:rsidRPr="00E21084" w:rsidRDefault="00471A3B">
            <w:pPr>
              <w:keepLines w:val="0"/>
              <w:autoSpaceDE w:val="0"/>
              <w:autoSpaceDN w:val="0"/>
              <w:adjustRightInd w:val="0"/>
              <w:rPr>
                <w:rFonts w:eastAsiaTheme="minorEastAsia" w:cstheme="majorHAnsi"/>
                <w:b/>
                <w:bCs/>
                <w:szCs w:val="17"/>
                <w:lang w:eastAsia="en-AU"/>
              </w:rPr>
            </w:pPr>
            <w:r w:rsidRPr="00E21084">
              <w:rPr>
                <w:rFonts w:eastAsiaTheme="minorEastAsia" w:cstheme="majorHAnsi"/>
                <w:b/>
                <w:bCs/>
                <w:szCs w:val="17"/>
                <w:lang w:eastAsia="en-AU"/>
              </w:rPr>
              <w:t>Net debt</w:t>
            </w:r>
          </w:p>
        </w:tc>
        <w:tc>
          <w:tcPr>
            <w:tcW w:w="844" w:type="dxa"/>
            <w:tcBorders>
              <w:top w:val="nil"/>
              <w:left w:val="nil"/>
              <w:bottom w:val="single" w:sz="4" w:space="0" w:color="auto"/>
              <w:right w:val="nil"/>
            </w:tcBorders>
            <w:shd w:val="clear" w:color="auto" w:fill="FFFFFF" w:themeFill="background1"/>
            <w:vAlign w:val="bottom"/>
          </w:tcPr>
          <w:p w14:paraId="519CF9CB" w14:textId="77777777" w:rsidR="00AB205D" w:rsidRPr="0096143D" w:rsidRDefault="00471A3B">
            <w:pPr>
              <w:cnfStyle w:val="000000000000" w:firstRow="0" w:lastRow="0" w:firstColumn="0" w:lastColumn="0" w:oddVBand="0" w:evenVBand="0" w:oddHBand="0" w:evenHBand="0" w:firstRowFirstColumn="0" w:firstRowLastColumn="0" w:lastRowFirstColumn="0" w:lastRowLastColumn="0"/>
              <w:rPr>
                <w:rFonts w:ascii="Calibri" w:hAnsi="Calibri" w:cs="Calibri"/>
                <w:b/>
                <w:szCs w:val="17"/>
                <w:highlight w:val="lightGray"/>
              </w:rPr>
            </w:pPr>
            <w:r w:rsidRPr="0096143D">
              <w:rPr>
                <w:rFonts w:ascii="Calibri" w:hAnsi="Calibri" w:cs="Calibri"/>
                <w:b/>
                <w:szCs w:val="17"/>
              </w:rPr>
              <w:t>(</w:t>
            </w:r>
            <w:r w:rsidRPr="0096143D">
              <w:rPr>
                <w:rFonts w:ascii="Calibri" w:hAnsi="Calibri" w:cs="Calibri"/>
                <w:b/>
                <w:bCs/>
                <w:szCs w:val="17"/>
              </w:rPr>
              <w:t>15</w:t>
            </w:r>
            <w:r w:rsidRPr="0096143D">
              <w:rPr>
                <w:rFonts w:ascii="Calibri" w:hAnsi="Calibri" w:cs="Calibri"/>
                <w:b/>
                <w:szCs w:val="17"/>
              </w:rPr>
              <w:t>)</w:t>
            </w:r>
          </w:p>
        </w:tc>
        <w:tc>
          <w:tcPr>
            <w:tcW w:w="844" w:type="dxa"/>
            <w:tcBorders>
              <w:top w:val="nil"/>
              <w:left w:val="nil"/>
              <w:bottom w:val="single" w:sz="4" w:space="0" w:color="auto"/>
              <w:right w:val="nil"/>
            </w:tcBorders>
            <w:shd w:val="clear" w:color="auto" w:fill="FFFFFF" w:themeFill="background1"/>
            <w:vAlign w:val="bottom"/>
          </w:tcPr>
          <w:p w14:paraId="0E27CD8C" w14:textId="77777777" w:rsidR="00AB205D" w:rsidRPr="0096143D" w:rsidRDefault="00471A3B">
            <w:pPr>
              <w:cnfStyle w:val="000000000000" w:firstRow="0" w:lastRow="0" w:firstColumn="0" w:lastColumn="0" w:oddVBand="0" w:evenVBand="0" w:oddHBand="0" w:evenHBand="0" w:firstRowFirstColumn="0" w:firstRowLastColumn="0" w:lastRowFirstColumn="0" w:lastRowLastColumn="0"/>
              <w:rPr>
                <w:rFonts w:ascii="Calibri" w:hAnsi="Calibri" w:cs="Calibri"/>
                <w:b/>
                <w:szCs w:val="17"/>
                <w:highlight w:val="lightGray"/>
              </w:rPr>
            </w:pPr>
            <w:r w:rsidRPr="0096143D">
              <w:rPr>
                <w:rFonts w:ascii="Calibri" w:hAnsi="Calibri" w:cs="Calibri"/>
                <w:b/>
                <w:szCs w:val="17"/>
              </w:rPr>
              <w:t>(</w:t>
            </w:r>
            <w:r w:rsidRPr="0096143D">
              <w:rPr>
                <w:rFonts w:ascii="Calibri" w:hAnsi="Calibri" w:cs="Calibri"/>
                <w:b/>
                <w:bCs/>
                <w:szCs w:val="17"/>
              </w:rPr>
              <w:t>28</w:t>
            </w:r>
            <w:r w:rsidRPr="0096143D">
              <w:rPr>
                <w:rFonts w:ascii="Calibri" w:hAnsi="Calibri" w:cs="Calibri"/>
                <w:b/>
                <w:szCs w:val="17"/>
              </w:rPr>
              <w:t>)</w:t>
            </w:r>
          </w:p>
        </w:tc>
        <w:tc>
          <w:tcPr>
            <w:tcW w:w="845" w:type="dxa"/>
            <w:tcBorders>
              <w:top w:val="nil"/>
              <w:left w:val="nil"/>
              <w:bottom w:val="single" w:sz="4" w:space="0" w:color="auto"/>
              <w:right w:val="nil"/>
            </w:tcBorders>
            <w:shd w:val="clear" w:color="auto" w:fill="FFFFFF" w:themeFill="background1"/>
            <w:vAlign w:val="bottom"/>
          </w:tcPr>
          <w:p w14:paraId="28051D72" w14:textId="77777777" w:rsidR="00AB205D" w:rsidRPr="0096143D" w:rsidRDefault="00471A3B">
            <w:pPr>
              <w:cnfStyle w:val="000000000000" w:firstRow="0" w:lastRow="0" w:firstColumn="0" w:lastColumn="0" w:oddVBand="0" w:evenVBand="0" w:oddHBand="0" w:evenHBand="0" w:firstRowFirstColumn="0" w:firstRowLastColumn="0" w:lastRowFirstColumn="0" w:lastRowLastColumn="0"/>
              <w:rPr>
                <w:rFonts w:ascii="Calibri" w:hAnsi="Calibri" w:cs="Calibri"/>
                <w:b/>
                <w:szCs w:val="17"/>
                <w:highlight w:val="lightGray"/>
              </w:rPr>
            </w:pPr>
            <w:r w:rsidRPr="0096143D">
              <w:rPr>
                <w:rFonts w:ascii="Calibri" w:hAnsi="Calibri" w:cs="Calibri"/>
                <w:b/>
                <w:szCs w:val="17"/>
              </w:rPr>
              <w:t>(</w:t>
            </w:r>
            <w:r w:rsidRPr="0096143D">
              <w:rPr>
                <w:rFonts w:ascii="Calibri" w:hAnsi="Calibri" w:cs="Calibri"/>
                <w:b/>
                <w:bCs/>
                <w:szCs w:val="17"/>
              </w:rPr>
              <w:t>43</w:t>
            </w:r>
            <w:r w:rsidRPr="0096143D">
              <w:rPr>
                <w:rFonts w:ascii="Calibri" w:hAnsi="Calibri" w:cs="Calibri"/>
                <w:b/>
                <w:szCs w:val="17"/>
              </w:rPr>
              <w:t>)</w:t>
            </w:r>
          </w:p>
        </w:tc>
        <w:tc>
          <w:tcPr>
            <w:tcW w:w="845" w:type="dxa"/>
            <w:tcBorders>
              <w:top w:val="nil"/>
              <w:left w:val="nil"/>
              <w:bottom w:val="single" w:sz="4" w:space="0" w:color="auto"/>
              <w:right w:val="nil"/>
            </w:tcBorders>
            <w:shd w:val="clear" w:color="auto" w:fill="FFFFFF" w:themeFill="background1"/>
            <w:vAlign w:val="bottom"/>
          </w:tcPr>
          <w:p w14:paraId="674770FC" w14:textId="77777777" w:rsidR="00AB205D" w:rsidRPr="0096143D" w:rsidRDefault="00471A3B">
            <w:pPr>
              <w:cnfStyle w:val="000000000000" w:firstRow="0" w:lastRow="0" w:firstColumn="0" w:lastColumn="0" w:oddVBand="0" w:evenVBand="0" w:oddHBand="0" w:evenHBand="0" w:firstRowFirstColumn="0" w:firstRowLastColumn="0" w:lastRowFirstColumn="0" w:lastRowLastColumn="0"/>
              <w:rPr>
                <w:rFonts w:ascii="Calibri" w:hAnsi="Calibri" w:cs="Calibri"/>
                <w:b/>
                <w:szCs w:val="17"/>
                <w:highlight w:val="lightGray"/>
              </w:rPr>
            </w:pPr>
            <w:r w:rsidRPr="0096143D">
              <w:rPr>
                <w:rFonts w:ascii="Calibri" w:hAnsi="Calibri" w:cs="Calibri"/>
                <w:b/>
                <w:szCs w:val="17"/>
              </w:rPr>
              <w:t>(</w:t>
            </w:r>
            <w:r w:rsidRPr="0096143D">
              <w:rPr>
                <w:rFonts w:ascii="Calibri" w:hAnsi="Calibri" w:cs="Calibri"/>
                <w:b/>
                <w:bCs/>
                <w:szCs w:val="17"/>
              </w:rPr>
              <w:t>61</w:t>
            </w:r>
            <w:r w:rsidRPr="0096143D">
              <w:rPr>
                <w:rFonts w:ascii="Calibri" w:hAnsi="Calibri" w:cs="Calibri"/>
                <w:b/>
                <w:szCs w:val="17"/>
              </w:rPr>
              <w:t>)</w:t>
            </w:r>
          </w:p>
        </w:tc>
      </w:tr>
      <w:tr w:rsidR="009C6724" w:rsidRPr="00CF5471" w14:paraId="797B7410" w14:textId="77777777" w:rsidTr="009C6724">
        <w:tc>
          <w:tcPr>
            <w:cnfStyle w:val="001000000000" w:firstRow="0" w:lastRow="0" w:firstColumn="1" w:lastColumn="0" w:oddVBand="0" w:evenVBand="0" w:oddHBand="0" w:evenHBand="0" w:firstRowFirstColumn="0" w:firstRowLastColumn="0" w:lastRowFirstColumn="0" w:lastRowLastColumn="0"/>
            <w:tcW w:w="4333" w:type="dxa"/>
            <w:tcBorders>
              <w:top w:val="single" w:sz="4" w:space="0" w:color="auto"/>
            </w:tcBorders>
            <w:hideMark/>
          </w:tcPr>
          <w:p w14:paraId="658AD583" w14:textId="77777777" w:rsidR="00AB205D" w:rsidRPr="00CF5471" w:rsidRDefault="00471A3B">
            <w:pPr>
              <w:keepNext/>
              <w:autoSpaceDE w:val="0"/>
              <w:autoSpaceDN w:val="0"/>
              <w:adjustRightInd w:val="0"/>
              <w:rPr>
                <w:rFonts w:eastAsiaTheme="minorEastAsia" w:cstheme="majorHAnsi"/>
                <w:b/>
                <w:bCs/>
                <w:szCs w:val="17"/>
                <w:lang w:eastAsia="en-AU"/>
              </w:rPr>
            </w:pPr>
            <w:r w:rsidRPr="00CF5471">
              <w:rPr>
                <w:rFonts w:eastAsiaTheme="minorEastAsia" w:cstheme="majorHAnsi"/>
                <w:b/>
                <w:bCs/>
                <w:szCs w:val="17"/>
                <w:lang w:eastAsia="en-AU"/>
              </w:rPr>
              <w:t xml:space="preserve">Overseas share prices </w:t>
            </w:r>
            <w:r w:rsidRPr="00CF5471">
              <w:rPr>
                <w:rFonts w:eastAsiaTheme="minorEastAsia" w:cstheme="majorHAnsi"/>
                <w:b/>
                <w:bCs/>
                <w:szCs w:val="17"/>
                <w:vertAlign w:val="superscript"/>
                <w:lang w:eastAsia="en-AU"/>
              </w:rPr>
              <w:t>(</w:t>
            </w:r>
            <w:r>
              <w:rPr>
                <w:rFonts w:eastAsiaTheme="minorEastAsia" w:cstheme="majorHAnsi"/>
                <w:b/>
                <w:bCs/>
                <w:szCs w:val="17"/>
                <w:vertAlign w:val="superscript"/>
                <w:lang w:eastAsia="en-AU"/>
              </w:rPr>
              <w:t>i</w:t>
            </w:r>
            <w:r w:rsidRPr="00CF5471">
              <w:rPr>
                <w:rFonts w:eastAsiaTheme="minorEastAsia" w:cstheme="majorHAnsi"/>
                <w:b/>
                <w:bCs/>
                <w:szCs w:val="17"/>
                <w:vertAlign w:val="superscript"/>
                <w:lang w:eastAsia="en-AU"/>
              </w:rPr>
              <w:t>)</w:t>
            </w:r>
          </w:p>
        </w:tc>
        <w:tc>
          <w:tcPr>
            <w:tcW w:w="844" w:type="dxa"/>
            <w:tcBorders>
              <w:top w:val="single" w:sz="4" w:space="0" w:color="auto"/>
            </w:tcBorders>
            <w:vAlign w:val="bottom"/>
          </w:tcPr>
          <w:p w14:paraId="1A2DF934" w14:textId="77777777" w:rsidR="00AB205D" w:rsidRPr="00952C8F" w:rsidRDefault="00AB205D">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p>
        </w:tc>
        <w:tc>
          <w:tcPr>
            <w:tcW w:w="844" w:type="dxa"/>
            <w:tcBorders>
              <w:top w:val="single" w:sz="4" w:space="0" w:color="auto"/>
            </w:tcBorders>
            <w:vAlign w:val="bottom"/>
          </w:tcPr>
          <w:p w14:paraId="70BE07F8" w14:textId="77777777" w:rsidR="00AB205D" w:rsidRPr="00952C8F" w:rsidRDefault="00AB205D">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p>
        </w:tc>
        <w:tc>
          <w:tcPr>
            <w:tcW w:w="845" w:type="dxa"/>
            <w:tcBorders>
              <w:top w:val="single" w:sz="4" w:space="0" w:color="auto"/>
            </w:tcBorders>
            <w:vAlign w:val="bottom"/>
          </w:tcPr>
          <w:p w14:paraId="4544AB41" w14:textId="77777777" w:rsidR="00AB205D" w:rsidRPr="00952C8F" w:rsidRDefault="00AB205D">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p>
        </w:tc>
        <w:tc>
          <w:tcPr>
            <w:tcW w:w="845" w:type="dxa"/>
            <w:tcBorders>
              <w:top w:val="single" w:sz="4" w:space="0" w:color="auto"/>
            </w:tcBorders>
            <w:vAlign w:val="bottom"/>
          </w:tcPr>
          <w:p w14:paraId="766AC7AF" w14:textId="77777777" w:rsidR="00AB205D" w:rsidRPr="00952C8F" w:rsidRDefault="00AB205D">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p>
        </w:tc>
      </w:tr>
      <w:tr w:rsidR="009C6724" w:rsidRPr="00CF5471" w14:paraId="43B5249B" w14:textId="77777777" w:rsidTr="009C6724">
        <w:tc>
          <w:tcPr>
            <w:cnfStyle w:val="001000000000" w:firstRow="0" w:lastRow="0" w:firstColumn="1" w:lastColumn="0" w:oddVBand="0" w:evenVBand="0" w:oddHBand="0" w:evenHBand="0" w:firstRowFirstColumn="0" w:firstRowLastColumn="0" w:lastRowFirstColumn="0" w:lastRowLastColumn="0"/>
            <w:tcW w:w="4333" w:type="dxa"/>
            <w:hideMark/>
          </w:tcPr>
          <w:p w14:paraId="102094CF" w14:textId="77777777" w:rsidR="00AB205D" w:rsidRPr="00CF5471" w:rsidRDefault="00471A3B">
            <w:pPr>
              <w:keepLines w:val="0"/>
              <w:autoSpaceDE w:val="0"/>
              <w:autoSpaceDN w:val="0"/>
              <w:adjustRightInd w:val="0"/>
              <w:rPr>
                <w:rFonts w:eastAsiaTheme="minorEastAsia" w:cstheme="majorHAnsi"/>
                <w:szCs w:val="17"/>
                <w:lang w:eastAsia="en-AU"/>
              </w:rPr>
            </w:pPr>
            <w:r w:rsidRPr="00CF5471">
              <w:rPr>
                <w:rFonts w:eastAsiaTheme="minorEastAsia" w:cstheme="majorHAnsi"/>
                <w:szCs w:val="17"/>
                <w:lang w:eastAsia="en-AU"/>
              </w:rPr>
              <w:t>Income from transactions</w:t>
            </w:r>
          </w:p>
        </w:tc>
        <w:tc>
          <w:tcPr>
            <w:tcW w:w="844" w:type="dxa"/>
            <w:vAlign w:val="bottom"/>
          </w:tcPr>
          <w:p w14:paraId="4CF97A94" w14:textId="77777777" w:rsidR="00AB205D" w:rsidRPr="00E8716C"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96143D">
              <w:rPr>
                <w:rFonts w:ascii="Calibri" w:hAnsi="Calibri" w:cs="Calibri"/>
                <w:szCs w:val="17"/>
              </w:rPr>
              <w:t>17</w:t>
            </w:r>
          </w:p>
        </w:tc>
        <w:tc>
          <w:tcPr>
            <w:tcW w:w="844" w:type="dxa"/>
            <w:vAlign w:val="bottom"/>
          </w:tcPr>
          <w:p w14:paraId="19E04E25" w14:textId="77777777" w:rsidR="00AB205D" w:rsidRPr="00E8716C"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96143D">
              <w:rPr>
                <w:rFonts w:ascii="Calibri" w:hAnsi="Calibri" w:cs="Calibri"/>
                <w:szCs w:val="17"/>
              </w:rPr>
              <w:t>2</w:t>
            </w:r>
          </w:p>
        </w:tc>
        <w:tc>
          <w:tcPr>
            <w:tcW w:w="845" w:type="dxa"/>
            <w:vAlign w:val="bottom"/>
          </w:tcPr>
          <w:p w14:paraId="4D2294C4" w14:textId="77777777" w:rsidR="00AB205D" w:rsidRPr="00E8716C"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96143D">
              <w:rPr>
                <w:rFonts w:ascii="Calibri" w:hAnsi="Calibri" w:cs="Calibri"/>
                <w:szCs w:val="17"/>
              </w:rPr>
              <w:t>3</w:t>
            </w:r>
          </w:p>
        </w:tc>
        <w:tc>
          <w:tcPr>
            <w:tcW w:w="845" w:type="dxa"/>
            <w:vAlign w:val="bottom"/>
          </w:tcPr>
          <w:p w14:paraId="42B20D4D" w14:textId="77777777" w:rsidR="00AB205D" w:rsidRPr="00E8716C"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96143D">
              <w:rPr>
                <w:rFonts w:ascii="Calibri" w:hAnsi="Calibri" w:cs="Calibri"/>
                <w:szCs w:val="17"/>
              </w:rPr>
              <w:t>6</w:t>
            </w:r>
          </w:p>
        </w:tc>
      </w:tr>
      <w:tr w:rsidR="009C6724" w:rsidRPr="00CF5471" w14:paraId="286CC892" w14:textId="77777777" w:rsidTr="009C6724">
        <w:tc>
          <w:tcPr>
            <w:cnfStyle w:val="001000000000" w:firstRow="0" w:lastRow="0" w:firstColumn="1" w:lastColumn="0" w:oddVBand="0" w:evenVBand="0" w:oddHBand="0" w:evenHBand="0" w:firstRowFirstColumn="0" w:firstRowLastColumn="0" w:lastRowFirstColumn="0" w:lastRowLastColumn="0"/>
            <w:tcW w:w="4333" w:type="dxa"/>
            <w:tcBorders>
              <w:bottom w:val="single" w:sz="4" w:space="0" w:color="auto"/>
            </w:tcBorders>
            <w:hideMark/>
          </w:tcPr>
          <w:p w14:paraId="174A1BCA" w14:textId="77777777" w:rsidR="00AB205D" w:rsidRPr="00CF5471" w:rsidRDefault="00471A3B">
            <w:pPr>
              <w:keepLines w:val="0"/>
              <w:autoSpaceDE w:val="0"/>
              <w:autoSpaceDN w:val="0"/>
              <w:adjustRightInd w:val="0"/>
              <w:rPr>
                <w:rFonts w:eastAsiaTheme="minorEastAsia" w:cstheme="majorHAnsi"/>
                <w:szCs w:val="17"/>
                <w:lang w:eastAsia="en-AU"/>
              </w:rPr>
            </w:pPr>
            <w:r w:rsidRPr="00CF5471">
              <w:rPr>
                <w:rFonts w:eastAsiaTheme="minorEastAsia" w:cstheme="majorHAnsi"/>
                <w:szCs w:val="17"/>
                <w:lang w:eastAsia="en-AU"/>
              </w:rPr>
              <w:t>Expenses from transactions</w:t>
            </w:r>
          </w:p>
        </w:tc>
        <w:tc>
          <w:tcPr>
            <w:tcW w:w="844" w:type="dxa"/>
            <w:tcBorders>
              <w:bottom w:val="single" w:sz="4" w:space="0" w:color="auto"/>
            </w:tcBorders>
            <w:vAlign w:val="bottom"/>
          </w:tcPr>
          <w:p w14:paraId="1118C0D2" w14:textId="77777777" w:rsidR="00AB205D" w:rsidRPr="00E8716C"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96143D">
              <w:rPr>
                <w:rFonts w:ascii="Calibri" w:hAnsi="Calibri" w:cs="Calibri"/>
                <w:szCs w:val="17"/>
              </w:rPr>
              <w:t>(0)</w:t>
            </w:r>
          </w:p>
        </w:tc>
        <w:tc>
          <w:tcPr>
            <w:tcW w:w="844" w:type="dxa"/>
            <w:tcBorders>
              <w:bottom w:val="single" w:sz="4" w:space="0" w:color="auto"/>
            </w:tcBorders>
            <w:vAlign w:val="bottom"/>
          </w:tcPr>
          <w:p w14:paraId="7DA9E0BF" w14:textId="77777777" w:rsidR="00AB205D" w:rsidRPr="00E8716C"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96143D">
              <w:rPr>
                <w:rFonts w:ascii="Calibri" w:hAnsi="Calibri" w:cs="Calibri"/>
                <w:szCs w:val="17"/>
              </w:rPr>
              <w:t>(1)</w:t>
            </w:r>
          </w:p>
        </w:tc>
        <w:tc>
          <w:tcPr>
            <w:tcW w:w="845" w:type="dxa"/>
            <w:tcBorders>
              <w:bottom w:val="single" w:sz="4" w:space="0" w:color="auto"/>
            </w:tcBorders>
            <w:vAlign w:val="bottom"/>
          </w:tcPr>
          <w:p w14:paraId="792002E2" w14:textId="77777777" w:rsidR="00AB205D" w:rsidRPr="00E8716C"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96143D">
              <w:rPr>
                <w:rFonts w:ascii="Calibri" w:hAnsi="Calibri" w:cs="Calibri"/>
                <w:szCs w:val="17"/>
              </w:rPr>
              <w:t>(1)</w:t>
            </w:r>
          </w:p>
        </w:tc>
        <w:tc>
          <w:tcPr>
            <w:tcW w:w="845" w:type="dxa"/>
            <w:tcBorders>
              <w:bottom w:val="single" w:sz="4" w:space="0" w:color="auto"/>
            </w:tcBorders>
            <w:vAlign w:val="bottom"/>
          </w:tcPr>
          <w:p w14:paraId="5C1B8FE9" w14:textId="77777777" w:rsidR="00AB205D" w:rsidRPr="00E8716C"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96143D">
              <w:rPr>
                <w:rFonts w:ascii="Calibri" w:hAnsi="Calibri" w:cs="Calibri"/>
                <w:szCs w:val="17"/>
              </w:rPr>
              <w:t>(1)</w:t>
            </w:r>
          </w:p>
        </w:tc>
      </w:tr>
      <w:tr w:rsidR="009C6724" w:rsidRPr="00E21084" w14:paraId="38B926C6" w14:textId="77777777" w:rsidTr="009C6724">
        <w:tc>
          <w:tcPr>
            <w:cnfStyle w:val="001000000000" w:firstRow="0" w:lastRow="0" w:firstColumn="1" w:lastColumn="0" w:oddVBand="0" w:evenVBand="0" w:oddHBand="0" w:evenHBand="0" w:firstRowFirstColumn="0" w:firstRowLastColumn="0" w:lastRowFirstColumn="0" w:lastRowLastColumn="0"/>
            <w:tcW w:w="4333" w:type="dxa"/>
            <w:tcBorders>
              <w:top w:val="single" w:sz="4" w:space="0" w:color="auto"/>
              <w:bottom w:val="nil"/>
            </w:tcBorders>
            <w:hideMark/>
          </w:tcPr>
          <w:p w14:paraId="7057443B" w14:textId="77777777" w:rsidR="00AB205D" w:rsidRPr="00E21084" w:rsidRDefault="00471A3B">
            <w:pPr>
              <w:keepLines w:val="0"/>
              <w:autoSpaceDE w:val="0"/>
              <w:autoSpaceDN w:val="0"/>
              <w:adjustRightInd w:val="0"/>
              <w:rPr>
                <w:rFonts w:eastAsiaTheme="minorEastAsia" w:cstheme="majorHAnsi"/>
                <w:b/>
                <w:bCs/>
                <w:szCs w:val="17"/>
                <w:lang w:eastAsia="en-AU"/>
              </w:rPr>
            </w:pPr>
            <w:r w:rsidRPr="00E21084">
              <w:rPr>
                <w:rFonts w:eastAsiaTheme="minorEastAsia" w:cstheme="majorHAnsi"/>
                <w:b/>
                <w:bCs/>
                <w:szCs w:val="17"/>
                <w:lang w:eastAsia="en-AU"/>
              </w:rPr>
              <w:t>Net result from transactions</w:t>
            </w:r>
          </w:p>
        </w:tc>
        <w:tc>
          <w:tcPr>
            <w:tcW w:w="844" w:type="dxa"/>
            <w:tcBorders>
              <w:top w:val="single" w:sz="4" w:space="0" w:color="auto"/>
              <w:bottom w:val="nil"/>
            </w:tcBorders>
            <w:vAlign w:val="bottom"/>
          </w:tcPr>
          <w:p w14:paraId="5EE1784E" w14:textId="77777777" w:rsidR="00AB205D" w:rsidRPr="00E8716C"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highlight w:val="yellow"/>
              </w:rPr>
            </w:pPr>
            <w:r w:rsidRPr="0096143D">
              <w:rPr>
                <w:rFonts w:ascii="Calibri" w:hAnsi="Calibri" w:cs="Calibri"/>
                <w:b/>
                <w:bCs/>
                <w:szCs w:val="17"/>
              </w:rPr>
              <w:t>17</w:t>
            </w:r>
          </w:p>
        </w:tc>
        <w:tc>
          <w:tcPr>
            <w:tcW w:w="844" w:type="dxa"/>
            <w:tcBorders>
              <w:top w:val="single" w:sz="4" w:space="0" w:color="auto"/>
              <w:bottom w:val="nil"/>
            </w:tcBorders>
            <w:vAlign w:val="bottom"/>
          </w:tcPr>
          <w:p w14:paraId="0AD11F55" w14:textId="77777777" w:rsidR="00AB205D" w:rsidRPr="00E8716C"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highlight w:val="yellow"/>
              </w:rPr>
            </w:pPr>
            <w:r w:rsidRPr="0096143D">
              <w:rPr>
                <w:rFonts w:ascii="Calibri" w:hAnsi="Calibri" w:cs="Calibri"/>
                <w:b/>
                <w:bCs/>
                <w:szCs w:val="17"/>
              </w:rPr>
              <w:t>3</w:t>
            </w:r>
          </w:p>
        </w:tc>
        <w:tc>
          <w:tcPr>
            <w:tcW w:w="845" w:type="dxa"/>
            <w:tcBorders>
              <w:top w:val="single" w:sz="4" w:space="0" w:color="auto"/>
              <w:bottom w:val="nil"/>
            </w:tcBorders>
            <w:vAlign w:val="bottom"/>
          </w:tcPr>
          <w:p w14:paraId="13ABAEF0" w14:textId="77777777" w:rsidR="00AB205D" w:rsidRPr="00E8716C"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highlight w:val="yellow"/>
              </w:rPr>
            </w:pPr>
            <w:r w:rsidRPr="0096143D">
              <w:rPr>
                <w:rFonts w:ascii="Calibri" w:hAnsi="Calibri" w:cs="Calibri"/>
                <w:b/>
                <w:bCs/>
                <w:szCs w:val="17"/>
              </w:rPr>
              <w:t>4</w:t>
            </w:r>
          </w:p>
        </w:tc>
        <w:tc>
          <w:tcPr>
            <w:tcW w:w="845" w:type="dxa"/>
            <w:tcBorders>
              <w:top w:val="single" w:sz="4" w:space="0" w:color="auto"/>
              <w:bottom w:val="nil"/>
            </w:tcBorders>
            <w:vAlign w:val="bottom"/>
          </w:tcPr>
          <w:p w14:paraId="3C62E35C" w14:textId="77777777" w:rsidR="00AB205D" w:rsidRPr="00E8716C"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highlight w:val="yellow"/>
              </w:rPr>
            </w:pPr>
            <w:r w:rsidRPr="0096143D">
              <w:rPr>
                <w:rFonts w:ascii="Calibri" w:hAnsi="Calibri" w:cs="Calibri"/>
                <w:b/>
                <w:bCs/>
                <w:szCs w:val="17"/>
              </w:rPr>
              <w:t>7</w:t>
            </w:r>
          </w:p>
        </w:tc>
      </w:tr>
      <w:tr w:rsidR="009C6724" w:rsidRPr="00E21084" w14:paraId="6E9B2266" w14:textId="77777777" w:rsidTr="009C6724">
        <w:tc>
          <w:tcPr>
            <w:cnfStyle w:val="001000000000" w:firstRow="0" w:lastRow="0" w:firstColumn="1" w:lastColumn="0" w:oddVBand="0" w:evenVBand="0" w:oddHBand="0" w:evenHBand="0" w:firstRowFirstColumn="0" w:firstRowLastColumn="0" w:lastRowFirstColumn="0" w:lastRowLastColumn="0"/>
            <w:tcW w:w="4333" w:type="dxa"/>
            <w:tcBorders>
              <w:bottom w:val="single" w:sz="4" w:space="0" w:color="auto"/>
            </w:tcBorders>
            <w:hideMark/>
          </w:tcPr>
          <w:p w14:paraId="3211586A" w14:textId="77777777" w:rsidR="00AB205D" w:rsidRPr="00E21084" w:rsidRDefault="00471A3B">
            <w:pPr>
              <w:keepLines w:val="0"/>
              <w:autoSpaceDE w:val="0"/>
              <w:autoSpaceDN w:val="0"/>
              <w:adjustRightInd w:val="0"/>
              <w:rPr>
                <w:rFonts w:eastAsiaTheme="minorEastAsia" w:cstheme="majorHAnsi"/>
                <w:b/>
                <w:bCs/>
                <w:szCs w:val="17"/>
                <w:lang w:eastAsia="en-AU"/>
              </w:rPr>
            </w:pPr>
            <w:r w:rsidRPr="00E21084">
              <w:rPr>
                <w:rFonts w:eastAsiaTheme="minorEastAsia" w:cstheme="majorHAnsi"/>
                <w:b/>
                <w:bCs/>
                <w:szCs w:val="17"/>
                <w:lang w:eastAsia="en-AU"/>
              </w:rPr>
              <w:t>Net debt</w:t>
            </w:r>
          </w:p>
        </w:tc>
        <w:tc>
          <w:tcPr>
            <w:tcW w:w="844" w:type="dxa"/>
            <w:tcBorders>
              <w:bottom w:val="single" w:sz="4" w:space="0" w:color="auto"/>
            </w:tcBorders>
            <w:vAlign w:val="bottom"/>
          </w:tcPr>
          <w:p w14:paraId="5E79B638" w14:textId="77777777" w:rsidR="00AB205D" w:rsidRPr="0096143D" w:rsidRDefault="00471A3B">
            <w:pPr>
              <w:ind w:left="170" w:hanging="17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Cs w:val="17"/>
                <w:highlight w:val="lightGray"/>
              </w:rPr>
            </w:pPr>
            <w:r w:rsidRPr="0096143D">
              <w:rPr>
                <w:rFonts w:ascii="Calibri" w:hAnsi="Calibri" w:cs="Calibri"/>
                <w:b/>
                <w:szCs w:val="17"/>
              </w:rPr>
              <w:t>(</w:t>
            </w:r>
            <w:r w:rsidRPr="0096143D">
              <w:rPr>
                <w:rFonts w:ascii="Calibri" w:hAnsi="Calibri" w:cs="Calibri"/>
                <w:b/>
                <w:bCs/>
                <w:szCs w:val="17"/>
              </w:rPr>
              <w:t>36</w:t>
            </w:r>
            <w:r w:rsidRPr="0096143D">
              <w:rPr>
                <w:rFonts w:ascii="Calibri" w:hAnsi="Calibri" w:cs="Calibri"/>
                <w:b/>
                <w:szCs w:val="17"/>
              </w:rPr>
              <w:t>)</w:t>
            </w:r>
          </w:p>
        </w:tc>
        <w:tc>
          <w:tcPr>
            <w:tcW w:w="844" w:type="dxa"/>
            <w:tcBorders>
              <w:bottom w:val="single" w:sz="4" w:space="0" w:color="auto"/>
            </w:tcBorders>
            <w:vAlign w:val="bottom"/>
          </w:tcPr>
          <w:p w14:paraId="7E5068C4" w14:textId="77777777" w:rsidR="00AB205D" w:rsidRPr="0096143D" w:rsidRDefault="00471A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Cs w:val="17"/>
                <w:highlight w:val="lightGray"/>
              </w:rPr>
            </w:pPr>
            <w:r w:rsidRPr="0096143D">
              <w:rPr>
                <w:rFonts w:ascii="Calibri" w:hAnsi="Calibri" w:cs="Calibri"/>
                <w:b/>
                <w:szCs w:val="17"/>
              </w:rPr>
              <w:t>(</w:t>
            </w:r>
            <w:r w:rsidRPr="0096143D">
              <w:rPr>
                <w:rFonts w:ascii="Calibri" w:hAnsi="Calibri" w:cs="Calibri"/>
                <w:b/>
                <w:bCs/>
                <w:szCs w:val="17"/>
              </w:rPr>
              <w:t>66</w:t>
            </w:r>
            <w:r w:rsidRPr="0096143D">
              <w:rPr>
                <w:rFonts w:ascii="Calibri" w:hAnsi="Calibri" w:cs="Calibri"/>
                <w:b/>
                <w:szCs w:val="17"/>
              </w:rPr>
              <w:t>)</w:t>
            </w:r>
          </w:p>
        </w:tc>
        <w:tc>
          <w:tcPr>
            <w:tcW w:w="845" w:type="dxa"/>
            <w:tcBorders>
              <w:bottom w:val="single" w:sz="4" w:space="0" w:color="auto"/>
            </w:tcBorders>
            <w:vAlign w:val="bottom"/>
          </w:tcPr>
          <w:p w14:paraId="6DD03304" w14:textId="77777777" w:rsidR="00AB205D" w:rsidRPr="0096143D" w:rsidRDefault="00471A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Cs w:val="17"/>
                <w:highlight w:val="lightGray"/>
              </w:rPr>
            </w:pPr>
            <w:r w:rsidRPr="0096143D">
              <w:rPr>
                <w:rFonts w:ascii="Calibri" w:hAnsi="Calibri" w:cs="Calibri"/>
                <w:b/>
                <w:szCs w:val="17"/>
              </w:rPr>
              <w:t>(</w:t>
            </w:r>
            <w:r w:rsidRPr="0096143D">
              <w:rPr>
                <w:rFonts w:ascii="Calibri" w:hAnsi="Calibri" w:cs="Calibri"/>
                <w:b/>
                <w:bCs/>
                <w:szCs w:val="17"/>
              </w:rPr>
              <w:t>102</w:t>
            </w:r>
            <w:r w:rsidRPr="0096143D">
              <w:rPr>
                <w:rFonts w:ascii="Calibri" w:hAnsi="Calibri" w:cs="Calibri"/>
                <w:b/>
                <w:szCs w:val="17"/>
              </w:rPr>
              <w:t>)</w:t>
            </w:r>
          </w:p>
        </w:tc>
        <w:tc>
          <w:tcPr>
            <w:tcW w:w="845" w:type="dxa"/>
            <w:tcBorders>
              <w:bottom w:val="single" w:sz="4" w:space="0" w:color="auto"/>
            </w:tcBorders>
            <w:vAlign w:val="bottom"/>
          </w:tcPr>
          <w:p w14:paraId="67421E8E" w14:textId="77777777" w:rsidR="00AB205D" w:rsidRPr="0096143D" w:rsidRDefault="00471A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Cs w:val="17"/>
                <w:highlight w:val="lightGray"/>
              </w:rPr>
            </w:pPr>
            <w:r w:rsidRPr="0096143D">
              <w:rPr>
                <w:rFonts w:ascii="Calibri" w:hAnsi="Calibri" w:cs="Calibri"/>
                <w:b/>
                <w:szCs w:val="17"/>
              </w:rPr>
              <w:t>(</w:t>
            </w:r>
            <w:r w:rsidRPr="0096143D">
              <w:rPr>
                <w:rFonts w:ascii="Calibri" w:hAnsi="Calibri" w:cs="Calibri"/>
                <w:b/>
                <w:bCs/>
                <w:szCs w:val="17"/>
              </w:rPr>
              <w:t>144</w:t>
            </w:r>
            <w:r w:rsidRPr="0096143D">
              <w:rPr>
                <w:rFonts w:ascii="Calibri" w:hAnsi="Calibri" w:cs="Calibri"/>
                <w:b/>
                <w:szCs w:val="17"/>
              </w:rPr>
              <w:t>)</w:t>
            </w:r>
          </w:p>
        </w:tc>
      </w:tr>
      <w:tr w:rsidR="009C6724" w:rsidRPr="00CF5471" w14:paraId="4913181A" w14:textId="77777777" w:rsidTr="009C6724">
        <w:tc>
          <w:tcPr>
            <w:cnfStyle w:val="001000000000" w:firstRow="0" w:lastRow="0" w:firstColumn="1" w:lastColumn="0" w:oddVBand="0" w:evenVBand="0" w:oddHBand="0" w:evenHBand="0" w:firstRowFirstColumn="0" w:firstRowLastColumn="0" w:lastRowFirstColumn="0" w:lastRowLastColumn="0"/>
            <w:tcW w:w="4333" w:type="dxa"/>
            <w:tcBorders>
              <w:top w:val="single" w:sz="4" w:space="0" w:color="auto"/>
            </w:tcBorders>
            <w:hideMark/>
          </w:tcPr>
          <w:p w14:paraId="508383B6" w14:textId="77777777" w:rsidR="00AB205D" w:rsidRPr="00CF5471" w:rsidRDefault="00471A3B">
            <w:pPr>
              <w:keepLines w:val="0"/>
              <w:autoSpaceDE w:val="0"/>
              <w:autoSpaceDN w:val="0"/>
              <w:adjustRightInd w:val="0"/>
              <w:rPr>
                <w:rFonts w:eastAsiaTheme="minorEastAsia" w:cstheme="majorHAnsi"/>
                <w:b/>
                <w:bCs/>
                <w:szCs w:val="17"/>
                <w:lang w:eastAsia="en-AU"/>
              </w:rPr>
            </w:pPr>
            <w:r w:rsidRPr="00CF5471">
              <w:rPr>
                <w:rFonts w:eastAsiaTheme="minorEastAsia" w:cstheme="majorHAnsi"/>
                <w:b/>
                <w:bCs/>
                <w:szCs w:val="17"/>
                <w:lang w:eastAsia="en-AU"/>
              </w:rPr>
              <w:t>Property prices</w:t>
            </w:r>
          </w:p>
        </w:tc>
        <w:tc>
          <w:tcPr>
            <w:tcW w:w="844" w:type="dxa"/>
            <w:tcBorders>
              <w:top w:val="single" w:sz="4" w:space="0" w:color="auto"/>
            </w:tcBorders>
            <w:vAlign w:val="bottom"/>
          </w:tcPr>
          <w:p w14:paraId="6060C33E" w14:textId="77777777" w:rsidR="00AB205D" w:rsidRPr="00952C8F" w:rsidRDefault="00AB205D">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p>
        </w:tc>
        <w:tc>
          <w:tcPr>
            <w:tcW w:w="844" w:type="dxa"/>
            <w:tcBorders>
              <w:top w:val="single" w:sz="4" w:space="0" w:color="auto"/>
            </w:tcBorders>
            <w:vAlign w:val="bottom"/>
          </w:tcPr>
          <w:p w14:paraId="7B2F1177" w14:textId="77777777" w:rsidR="00AB205D" w:rsidRPr="00952C8F" w:rsidRDefault="00AB205D">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p>
        </w:tc>
        <w:tc>
          <w:tcPr>
            <w:tcW w:w="845" w:type="dxa"/>
            <w:tcBorders>
              <w:top w:val="single" w:sz="4" w:space="0" w:color="auto"/>
            </w:tcBorders>
            <w:vAlign w:val="bottom"/>
          </w:tcPr>
          <w:p w14:paraId="57BDEA4E" w14:textId="77777777" w:rsidR="00AB205D" w:rsidRPr="00952C8F" w:rsidRDefault="00AB205D">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p>
        </w:tc>
        <w:tc>
          <w:tcPr>
            <w:tcW w:w="845" w:type="dxa"/>
            <w:tcBorders>
              <w:top w:val="single" w:sz="4" w:space="0" w:color="auto"/>
            </w:tcBorders>
            <w:vAlign w:val="bottom"/>
          </w:tcPr>
          <w:p w14:paraId="2BD297B7" w14:textId="77777777" w:rsidR="00AB205D" w:rsidRPr="00952C8F" w:rsidRDefault="00AB205D">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p>
        </w:tc>
      </w:tr>
      <w:tr w:rsidR="009C6724" w:rsidRPr="00CF5471" w14:paraId="6503F666" w14:textId="77777777" w:rsidTr="009C6724">
        <w:tc>
          <w:tcPr>
            <w:cnfStyle w:val="001000000000" w:firstRow="0" w:lastRow="0" w:firstColumn="1" w:lastColumn="0" w:oddVBand="0" w:evenVBand="0" w:oddHBand="0" w:evenHBand="0" w:firstRowFirstColumn="0" w:firstRowLastColumn="0" w:lastRowFirstColumn="0" w:lastRowLastColumn="0"/>
            <w:tcW w:w="4333" w:type="dxa"/>
            <w:hideMark/>
          </w:tcPr>
          <w:p w14:paraId="7C90885D" w14:textId="77777777" w:rsidR="00AB205D" w:rsidRPr="00CF5471" w:rsidRDefault="00471A3B">
            <w:pPr>
              <w:keepLines w:val="0"/>
              <w:autoSpaceDE w:val="0"/>
              <w:autoSpaceDN w:val="0"/>
              <w:adjustRightInd w:val="0"/>
              <w:rPr>
                <w:rFonts w:eastAsiaTheme="minorEastAsia" w:cstheme="majorHAnsi"/>
                <w:szCs w:val="17"/>
                <w:lang w:eastAsia="en-AU"/>
              </w:rPr>
            </w:pPr>
            <w:r w:rsidRPr="00CF5471">
              <w:rPr>
                <w:rFonts w:eastAsiaTheme="minorEastAsia" w:cstheme="majorHAnsi"/>
                <w:szCs w:val="17"/>
                <w:lang w:eastAsia="en-AU"/>
              </w:rPr>
              <w:t>Income from transactions</w:t>
            </w:r>
          </w:p>
        </w:tc>
        <w:tc>
          <w:tcPr>
            <w:tcW w:w="844" w:type="dxa"/>
            <w:vAlign w:val="bottom"/>
          </w:tcPr>
          <w:p w14:paraId="4FCC5FB4"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6C50F2">
              <w:rPr>
                <w:rFonts w:ascii="Calibri" w:hAnsi="Calibri" w:cs="Calibri"/>
                <w:szCs w:val="17"/>
              </w:rPr>
              <w:t>187</w:t>
            </w:r>
          </w:p>
        </w:tc>
        <w:tc>
          <w:tcPr>
            <w:tcW w:w="844" w:type="dxa"/>
            <w:vAlign w:val="bottom"/>
          </w:tcPr>
          <w:p w14:paraId="6E806969"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6C50F2">
              <w:rPr>
                <w:rFonts w:ascii="Calibri" w:hAnsi="Calibri" w:cs="Calibri"/>
                <w:szCs w:val="17"/>
              </w:rPr>
              <w:t>200</w:t>
            </w:r>
          </w:p>
        </w:tc>
        <w:tc>
          <w:tcPr>
            <w:tcW w:w="845" w:type="dxa"/>
            <w:vAlign w:val="bottom"/>
          </w:tcPr>
          <w:p w14:paraId="4F58C5FF"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6C50F2">
              <w:rPr>
                <w:rFonts w:ascii="Calibri" w:hAnsi="Calibri" w:cs="Calibri"/>
                <w:szCs w:val="17"/>
              </w:rPr>
              <w:t>215</w:t>
            </w:r>
          </w:p>
        </w:tc>
        <w:tc>
          <w:tcPr>
            <w:tcW w:w="845" w:type="dxa"/>
            <w:vAlign w:val="bottom"/>
          </w:tcPr>
          <w:p w14:paraId="1BB0B45C"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6C50F2">
              <w:rPr>
                <w:rFonts w:ascii="Calibri" w:hAnsi="Calibri" w:cs="Calibri"/>
                <w:szCs w:val="17"/>
              </w:rPr>
              <w:t>229</w:t>
            </w:r>
          </w:p>
        </w:tc>
      </w:tr>
      <w:tr w:rsidR="009C6724" w:rsidRPr="00CF5471" w14:paraId="39F6B4ED" w14:textId="77777777" w:rsidTr="009C6724">
        <w:tc>
          <w:tcPr>
            <w:cnfStyle w:val="001000000000" w:firstRow="0" w:lastRow="0" w:firstColumn="1" w:lastColumn="0" w:oddVBand="0" w:evenVBand="0" w:oddHBand="0" w:evenHBand="0" w:firstRowFirstColumn="0" w:firstRowLastColumn="0" w:lastRowFirstColumn="0" w:lastRowLastColumn="0"/>
            <w:tcW w:w="4333" w:type="dxa"/>
            <w:tcBorders>
              <w:bottom w:val="single" w:sz="4" w:space="0" w:color="auto"/>
            </w:tcBorders>
            <w:hideMark/>
          </w:tcPr>
          <w:p w14:paraId="6410A41C" w14:textId="77777777" w:rsidR="00AB205D" w:rsidRPr="00CF5471" w:rsidRDefault="00471A3B">
            <w:pPr>
              <w:keepLines w:val="0"/>
              <w:autoSpaceDE w:val="0"/>
              <w:autoSpaceDN w:val="0"/>
              <w:adjustRightInd w:val="0"/>
              <w:rPr>
                <w:rFonts w:eastAsiaTheme="minorEastAsia" w:cstheme="majorHAnsi"/>
                <w:szCs w:val="17"/>
                <w:lang w:eastAsia="en-AU"/>
              </w:rPr>
            </w:pPr>
            <w:r w:rsidRPr="00CF5471">
              <w:rPr>
                <w:rFonts w:eastAsiaTheme="minorEastAsia" w:cstheme="majorHAnsi"/>
                <w:szCs w:val="17"/>
                <w:lang w:eastAsia="en-AU"/>
              </w:rPr>
              <w:t>Expenses from transactions</w:t>
            </w:r>
          </w:p>
        </w:tc>
        <w:tc>
          <w:tcPr>
            <w:tcW w:w="844" w:type="dxa"/>
            <w:tcBorders>
              <w:bottom w:val="single" w:sz="4" w:space="0" w:color="auto"/>
            </w:tcBorders>
            <w:vAlign w:val="bottom"/>
          </w:tcPr>
          <w:p w14:paraId="6D74A614"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6C50F2">
              <w:rPr>
                <w:rFonts w:ascii="Calibri" w:hAnsi="Calibri" w:cs="Calibri"/>
                <w:szCs w:val="17"/>
              </w:rPr>
              <w:t>(5)</w:t>
            </w:r>
          </w:p>
        </w:tc>
        <w:tc>
          <w:tcPr>
            <w:tcW w:w="844" w:type="dxa"/>
            <w:tcBorders>
              <w:bottom w:val="single" w:sz="4" w:space="0" w:color="auto"/>
            </w:tcBorders>
            <w:vAlign w:val="bottom"/>
          </w:tcPr>
          <w:p w14:paraId="2F143A4A"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6C50F2">
              <w:rPr>
                <w:rFonts w:ascii="Calibri" w:hAnsi="Calibri" w:cs="Calibri"/>
                <w:szCs w:val="17"/>
              </w:rPr>
              <w:t>(15)</w:t>
            </w:r>
          </w:p>
        </w:tc>
        <w:tc>
          <w:tcPr>
            <w:tcW w:w="845" w:type="dxa"/>
            <w:tcBorders>
              <w:bottom w:val="single" w:sz="4" w:space="0" w:color="auto"/>
            </w:tcBorders>
            <w:vAlign w:val="bottom"/>
          </w:tcPr>
          <w:p w14:paraId="360CE773"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6C50F2">
              <w:rPr>
                <w:rFonts w:ascii="Calibri" w:hAnsi="Calibri" w:cs="Calibri"/>
                <w:szCs w:val="17"/>
              </w:rPr>
              <w:t>(27)</w:t>
            </w:r>
          </w:p>
        </w:tc>
        <w:tc>
          <w:tcPr>
            <w:tcW w:w="845" w:type="dxa"/>
            <w:tcBorders>
              <w:bottom w:val="single" w:sz="4" w:space="0" w:color="auto"/>
            </w:tcBorders>
            <w:vAlign w:val="bottom"/>
          </w:tcPr>
          <w:p w14:paraId="2817F3F5"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r w:rsidRPr="006C50F2">
              <w:rPr>
                <w:rFonts w:ascii="Calibri" w:hAnsi="Calibri" w:cs="Calibri"/>
                <w:szCs w:val="17"/>
              </w:rPr>
              <w:t>(42)</w:t>
            </w:r>
          </w:p>
        </w:tc>
      </w:tr>
      <w:tr w:rsidR="009C6724" w:rsidRPr="00CF5471" w14:paraId="1BBFD45D" w14:textId="77777777" w:rsidTr="00756C98">
        <w:tc>
          <w:tcPr>
            <w:cnfStyle w:val="001000000000" w:firstRow="0" w:lastRow="0" w:firstColumn="1" w:lastColumn="0" w:oddVBand="0" w:evenVBand="0" w:oddHBand="0" w:evenHBand="0" w:firstRowFirstColumn="0" w:firstRowLastColumn="0" w:lastRowFirstColumn="0" w:lastRowLastColumn="0"/>
            <w:tcW w:w="4333" w:type="dxa"/>
            <w:tcBorders>
              <w:top w:val="single" w:sz="4" w:space="0" w:color="auto"/>
              <w:bottom w:val="nil"/>
            </w:tcBorders>
            <w:hideMark/>
          </w:tcPr>
          <w:p w14:paraId="4887C768" w14:textId="77777777" w:rsidR="00AB205D" w:rsidRPr="00E21084" w:rsidRDefault="00471A3B">
            <w:pPr>
              <w:keepLines w:val="0"/>
              <w:autoSpaceDE w:val="0"/>
              <w:autoSpaceDN w:val="0"/>
              <w:adjustRightInd w:val="0"/>
              <w:rPr>
                <w:rFonts w:eastAsiaTheme="minorEastAsia" w:cstheme="majorHAnsi"/>
                <w:b/>
                <w:bCs/>
                <w:szCs w:val="17"/>
                <w:lang w:eastAsia="en-AU"/>
              </w:rPr>
            </w:pPr>
            <w:r w:rsidRPr="00E21084">
              <w:rPr>
                <w:rFonts w:eastAsiaTheme="minorEastAsia" w:cstheme="majorHAnsi"/>
                <w:b/>
                <w:bCs/>
                <w:szCs w:val="17"/>
                <w:lang w:eastAsia="en-AU"/>
              </w:rPr>
              <w:t>Net result from transactions</w:t>
            </w:r>
          </w:p>
        </w:tc>
        <w:tc>
          <w:tcPr>
            <w:tcW w:w="844" w:type="dxa"/>
            <w:tcBorders>
              <w:top w:val="single" w:sz="4" w:space="0" w:color="auto"/>
              <w:bottom w:val="nil"/>
            </w:tcBorders>
            <w:vAlign w:val="bottom"/>
          </w:tcPr>
          <w:p w14:paraId="1BF9BC6C"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b/>
                <w:bCs/>
                <w:szCs w:val="17"/>
                <w:highlight w:val="yellow"/>
              </w:rPr>
            </w:pPr>
            <w:r w:rsidRPr="006C50F2">
              <w:rPr>
                <w:rFonts w:ascii="Calibri" w:hAnsi="Calibri" w:cs="Calibri"/>
                <w:b/>
                <w:bCs/>
                <w:szCs w:val="17"/>
              </w:rPr>
              <w:t>192</w:t>
            </w:r>
          </w:p>
        </w:tc>
        <w:tc>
          <w:tcPr>
            <w:tcW w:w="844" w:type="dxa"/>
            <w:tcBorders>
              <w:top w:val="single" w:sz="4" w:space="0" w:color="auto"/>
              <w:bottom w:val="nil"/>
            </w:tcBorders>
            <w:vAlign w:val="bottom"/>
          </w:tcPr>
          <w:p w14:paraId="56BE3454"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b/>
                <w:bCs/>
                <w:szCs w:val="17"/>
                <w:highlight w:val="yellow"/>
              </w:rPr>
            </w:pPr>
            <w:r w:rsidRPr="006C50F2">
              <w:rPr>
                <w:rFonts w:ascii="Calibri" w:hAnsi="Calibri" w:cs="Calibri"/>
                <w:b/>
                <w:bCs/>
                <w:szCs w:val="17"/>
              </w:rPr>
              <w:t>215</w:t>
            </w:r>
          </w:p>
        </w:tc>
        <w:tc>
          <w:tcPr>
            <w:tcW w:w="845" w:type="dxa"/>
            <w:tcBorders>
              <w:top w:val="single" w:sz="4" w:space="0" w:color="auto"/>
              <w:bottom w:val="nil"/>
            </w:tcBorders>
            <w:vAlign w:val="bottom"/>
          </w:tcPr>
          <w:p w14:paraId="59EA6417"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b/>
                <w:bCs/>
                <w:szCs w:val="17"/>
                <w:highlight w:val="yellow"/>
              </w:rPr>
            </w:pPr>
            <w:r w:rsidRPr="006C50F2">
              <w:rPr>
                <w:rFonts w:ascii="Calibri" w:hAnsi="Calibri" w:cs="Calibri"/>
                <w:b/>
                <w:bCs/>
                <w:szCs w:val="17"/>
              </w:rPr>
              <w:t>242</w:t>
            </w:r>
          </w:p>
        </w:tc>
        <w:tc>
          <w:tcPr>
            <w:tcW w:w="845" w:type="dxa"/>
            <w:tcBorders>
              <w:top w:val="single" w:sz="4" w:space="0" w:color="auto"/>
              <w:bottom w:val="nil"/>
            </w:tcBorders>
            <w:vAlign w:val="bottom"/>
          </w:tcPr>
          <w:p w14:paraId="100E9D93" w14:textId="77777777" w:rsidR="00AB205D" w:rsidRPr="00952C8F" w:rsidRDefault="00471A3B">
            <w:pPr>
              <w:cnfStyle w:val="000000000000" w:firstRow="0" w:lastRow="0" w:firstColumn="0" w:lastColumn="0" w:oddVBand="0" w:evenVBand="0" w:oddHBand="0" w:evenHBand="0" w:firstRowFirstColumn="0" w:firstRowLastColumn="0" w:lastRowFirstColumn="0" w:lastRowLastColumn="0"/>
              <w:rPr>
                <w:rFonts w:cstheme="majorHAnsi"/>
                <w:b/>
                <w:bCs/>
                <w:szCs w:val="17"/>
                <w:highlight w:val="yellow"/>
              </w:rPr>
            </w:pPr>
            <w:r w:rsidRPr="006C50F2">
              <w:rPr>
                <w:rFonts w:ascii="Calibri" w:hAnsi="Calibri" w:cs="Calibri"/>
                <w:b/>
                <w:bCs/>
                <w:szCs w:val="17"/>
              </w:rPr>
              <w:t>270</w:t>
            </w:r>
          </w:p>
        </w:tc>
      </w:tr>
      <w:tr w:rsidR="009C6724" w:rsidRPr="00CF5471" w14:paraId="08272958" w14:textId="77777777" w:rsidTr="00756C9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3" w:type="dxa"/>
            <w:tcBorders>
              <w:top w:val="nil"/>
              <w:bottom w:val="single" w:sz="4" w:space="0" w:color="auto"/>
            </w:tcBorders>
            <w:hideMark/>
          </w:tcPr>
          <w:p w14:paraId="2942C3F6" w14:textId="77777777" w:rsidR="00AB205D" w:rsidRPr="00E21084" w:rsidRDefault="00471A3B">
            <w:pPr>
              <w:keepLines w:val="0"/>
              <w:autoSpaceDE w:val="0"/>
              <w:autoSpaceDN w:val="0"/>
              <w:adjustRightInd w:val="0"/>
              <w:rPr>
                <w:rFonts w:eastAsiaTheme="minorEastAsia" w:cstheme="majorHAnsi"/>
                <w:b w:val="0"/>
                <w:szCs w:val="17"/>
                <w:lang w:eastAsia="en-AU"/>
              </w:rPr>
            </w:pPr>
            <w:r w:rsidRPr="00E21084">
              <w:rPr>
                <w:rFonts w:eastAsiaTheme="minorEastAsia" w:cstheme="majorHAnsi"/>
                <w:szCs w:val="17"/>
                <w:lang w:eastAsia="en-AU"/>
              </w:rPr>
              <w:t>Net debt</w:t>
            </w:r>
          </w:p>
        </w:tc>
        <w:tc>
          <w:tcPr>
            <w:tcW w:w="844" w:type="dxa"/>
            <w:tcBorders>
              <w:top w:val="nil"/>
              <w:bottom w:val="single" w:sz="4" w:space="0" w:color="auto"/>
            </w:tcBorders>
            <w:vAlign w:val="bottom"/>
          </w:tcPr>
          <w:p w14:paraId="0164757C" w14:textId="77777777" w:rsidR="00AB205D" w:rsidRPr="0096143D" w:rsidRDefault="00471A3B">
            <w:pPr>
              <w:cnfStyle w:val="010000000000" w:firstRow="0" w:lastRow="1" w:firstColumn="0" w:lastColumn="0" w:oddVBand="0" w:evenVBand="0" w:oddHBand="0" w:evenHBand="0" w:firstRowFirstColumn="0" w:firstRowLastColumn="0" w:lastRowFirstColumn="0" w:lastRowLastColumn="0"/>
              <w:rPr>
                <w:rFonts w:cstheme="majorHAnsi"/>
                <w:b w:val="0"/>
                <w:szCs w:val="17"/>
                <w:highlight w:val="yellow"/>
              </w:rPr>
            </w:pPr>
            <w:r w:rsidRPr="0096143D">
              <w:rPr>
                <w:rFonts w:ascii="Calibri" w:hAnsi="Calibri" w:cs="Calibri"/>
                <w:szCs w:val="17"/>
              </w:rPr>
              <w:t>(196)</w:t>
            </w:r>
          </w:p>
        </w:tc>
        <w:tc>
          <w:tcPr>
            <w:tcW w:w="844" w:type="dxa"/>
            <w:tcBorders>
              <w:top w:val="nil"/>
              <w:bottom w:val="single" w:sz="4" w:space="0" w:color="auto"/>
            </w:tcBorders>
            <w:vAlign w:val="bottom"/>
          </w:tcPr>
          <w:p w14:paraId="05FBC39B" w14:textId="77777777" w:rsidR="00AB205D" w:rsidRPr="0096143D" w:rsidRDefault="00471A3B">
            <w:pPr>
              <w:cnfStyle w:val="010000000000" w:firstRow="0" w:lastRow="1" w:firstColumn="0" w:lastColumn="0" w:oddVBand="0" w:evenVBand="0" w:oddHBand="0" w:evenHBand="0" w:firstRowFirstColumn="0" w:firstRowLastColumn="0" w:lastRowFirstColumn="0" w:lastRowLastColumn="0"/>
              <w:rPr>
                <w:rFonts w:cstheme="majorHAnsi"/>
                <w:b w:val="0"/>
                <w:szCs w:val="17"/>
                <w:highlight w:val="yellow"/>
              </w:rPr>
            </w:pPr>
            <w:r w:rsidRPr="0096143D">
              <w:rPr>
                <w:rFonts w:ascii="Calibri" w:hAnsi="Calibri" w:cs="Calibri"/>
                <w:szCs w:val="17"/>
              </w:rPr>
              <w:t>(415)</w:t>
            </w:r>
          </w:p>
        </w:tc>
        <w:tc>
          <w:tcPr>
            <w:tcW w:w="845" w:type="dxa"/>
            <w:tcBorders>
              <w:top w:val="nil"/>
              <w:bottom w:val="single" w:sz="4" w:space="0" w:color="auto"/>
            </w:tcBorders>
            <w:vAlign w:val="bottom"/>
          </w:tcPr>
          <w:p w14:paraId="268BD592" w14:textId="77777777" w:rsidR="00AB205D" w:rsidRPr="0096143D" w:rsidRDefault="00471A3B">
            <w:pPr>
              <w:cnfStyle w:val="010000000000" w:firstRow="0" w:lastRow="1" w:firstColumn="0" w:lastColumn="0" w:oddVBand="0" w:evenVBand="0" w:oddHBand="0" w:evenHBand="0" w:firstRowFirstColumn="0" w:firstRowLastColumn="0" w:lastRowFirstColumn="0" w:lastRowLastColumn="0"/>
              <w:rPr>
                <w:rFonts w:cstheme="majorHAnsi"/>
                <w:b w:val="0"/>
                <w:szCs w:val="17"/>
                <w:highlight w:val="yellow"/>
              </w:rPr>
            </w:pPr>
            <w:r w:rsidRPr="0096143D">
              <w:rPr>
                <w:rFonts w:ascii="Calibri" w:hAnsi="Calibri" w:cs="Calibri"/>
                <w:szCs w:val="17"/>
              </w:rPr>
              <w:t>(663)</w:t>
            </w:r>
          </w:p>
        </w:tc>
        <w:tc>
          <w:tcPr>
            <w:tcW w:w="845" w:type="dxa"/>
            <w:tcBorders>
              <w:top w:val="nil"/>
              <w:bottom w:val="single" w:sz="4" w:space="0" w:color="auto"/>
            </w:tcBorders>
            <w:vAlign w:val="bottom"/>
          </w:tcPr>
          <w:p w14:paraId="5D8D1338" w14:textId="77777777" w:rsidR="00AB205D" w:rsidRPr="0096143D" w:rsidRDefault="00471A3B">
            <w:pPr>
              <w:cnfStyle w:val="010000000000" w:firstRow="0" w:lastRow="1" w:firstColumn="0" w:lastColumn="0" w:oddVBand="0" w:evenVBand="0" w:oddHBand="0" w:evenHBand="0" w:firstRowFirstColumn="0" w:firstRowLastColumn="0" w:lastRowFirstColumn="0" w:lastRowLastColumn="0"/>
              <w:rPr>
                <w:rFonts w:cstheme="majorHAnsi"/>
                <w:b w:val="0"/>
                <w:szCs w:val="17"/>
                <w:highlight w:val="yellow"/>
              </w:rPr>
            </w:pPr>
            <w:r w:rsidRPr="0096143D">
              <w:rPr>
                <w:rFonts w:ascii="Calibri" w:hAnsi="Calibri" w:cs="Calibri"/>
                <w:szCs w:val="17"/>
              </w:rPr>
              <w:t>(936)</w:t>
            </w:r>
          </w:p>
        </w:tc>
      </w:tr>
    </w:tbl>
    <w:p w14:paraId="6169D69B" w14:textId="77777777" w:rsidR="00AB205D" w:rsidRDefault="00AB205D"/>
    <w:p w14:paraId="345AD6A5" w14:textId="77777777" w:rsidR="00AB205D" w:rsidRDefault="00471A3B">
      <w:pPr>
        <w:pStyle w:val="TableHeading"/>
        <w:pageBreakBefore/>
      </w:pPr>
      <w:r w:rsidRPr="00AE5242">
        <w:lastRenderedPageBreak/>
        <w:t>Table D.3:</w:t>
      </w:r>
      <w:r w:rsidRPr="00AE5242">
        <w:tab/>
        <w:t xml:space="preserve">Sensitivity of key fiscal aggregates to selected indicators being </w:t>
      </w:r>
      <w:r w:rsidRPr="00AE5242">
        <w:br/>
        <w:t>1</w:t>
      </w:r>
      <w:r>
        <w:t> per cent</w:t>
      </w:r>
      <w:r w:rsidRPr="00AE5242">
        <w:t xml:space="preserve"> higher than expected from 2023</w:t>
      </w:r>
      <w:r w:rsidRPr="00AE5242">
        <w:noBreakHyphen/>
        <w:t>24</w:t>
      </w:r>
      <w:r w:rsidRPr="000E15C9">
        <w:rPr>
          <w:i/>
          <w:iCs w:val="0"/>
          <w:sz w:val="18"/>
          <w:szCs w:val="16"/>
        </w:rPr>
        <w:t xml:space="preserve"> (continued)</w:t>
      </w:r>
      <w:r>
        <w:tab/>
      </w:r>
      <w:r w:rsidRPr="000D74B1">
        <w:t>($ million)</w:t>
      </w:r>
    </w:p>
    <w:tbl>
      <w:tblPr>
        <w:tblStyle w:val="DTFTable"/>
        <w:tblW w:w="7711" w:type="dxa"/>
        <w:tblLayout w:type="fixed"/>
        <w:tblLook w:val="06E0" w:firstRow="1" w:lastRow="1" w:firstColumn="1" w:lastColumn="0" w:noHBand="1" w:noVBand="1"/>
      </w:tblPr>
      <w:tblGrid>
        <w:gridCol w:w="4333"/>
        <w:gridCol w:w="844"/>
        <w:gridCol w:w="844"/>
        <w:gridCol w:w="845"/>
        <w:gridCol w:w="845"/>
      </w:tblGrid>
      <w:tr w:rsidR="009C6724" w:rsidRPr="00CF5471" w14:paraId="2F42BAFF" w14:textId="77777777" w:rsidTr="009C6724">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4333" w:type="dxa"/>
          </w:tcPr>
          <w:p w14:paraId="1BE945B8" w14:textId="77777777" w:rsidR="00AB205D" w:rsidRPr="00CF5471" w:rsidRDefault="00AB205D">
            <w:pPr>
              <w:autoSpaceDE w:val="0"/>
              <w:autoSpaceDN w:val="0"/>
              <w:adjustRightInd w:val="0"/>
              <w:rPr>
                <w:rFonts w:cstheme="majorHAnsi"/>
                <w:szCs w:val="17"/>
              </w:rPr>
            </w:pPr>
          </w:p>
        </w:tc>
        <w:tc>
          <w:tcPr>
            <w:tcW w:w="844" w:type="dxa"/>
            <w:hideMark/>
          </w:tcPr>
          <w:p w14:paraId="5F246C26" w14:textId="77777777" w:rsidR="00AB205D" w:rsidRPr="00CF5471" w:rsidRDefault="00471A3B">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szCs w:val="17"/>
                <w:lang w:eastAsia="en-AU"/>
              </w:rPr>
            </w:pPr>
            <w:r w:rsidRPr="00CF5471">
              <w:rPr>
                <w:rFonts w:eastAsiaTheme="minorEastAsia" w:cstheme="majorHAnsi"/>
                <w:iCs/>
                <w:szCs w:val="17"/>
                <w:lang w:eastAsia="en-AU"/>
              </w:rPr>
              <w:t>202</w:t>
            </w:r>
            <w:r>
              <w:rPr>
                <w:rFonts w:eastAsiaTheme="minorEastAsia" w:cstheme="majorHAnsi"/>
                <w:iCs/>
                <w:szCs w:val="17"/>
                <w:lang w:eastAsia="en-AU"/>
              </w:rPr>
              <w:t>3</w:t>
            </w:r>
            <w:r w:rsidRPr="00CF5471">
              <w:rPr>
                <w:rFonts w:eastAsiaTheme="minorEastAsia" w:cstheme="majorHAnsi"/>
                <w:iCs/>
                <w:szCs w:val="17"/>
                <w:lang w:eastAsia="en-AU"/>
              </w:rPr>
              <w:t>-2</w:t>
            </w:r>
            <w:r>
              <w:rPr>
                <w:rFonts w:eastAsiaTheme="minorEastAsia" w:cstheme="majorHAnsi"/>
                <w:iCs/>
                <w:szCs w:val="17"/>
                <w:lang w:eastAsia="en-AU"/>
              </w:rPr>
              <w:t>4</w:t>
            </w:r>
          </w:p>
          <w:p w14:paraId="1355D283" w14:textId="77777777" w:rsidR="00AB205D" w:rsidRPr="00CF5471" w:rsidRDefault="00471A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sidRPr="00CF5471">
              <w:rPr>
                <w:rFonts w:eastAsiaTheme="minorEastAsia" w:cstheme="majorHAnsi"/>
                <w:iCs/>
                <w:szCs w:val="17"/>
                <w:lang w:eastAsia="en-AU"/>
              </w:rPr>
              <w:t>estimate</w:t>
            </w:r>
          </w:p>
        </w:tc>
        <w:tc>
          <w:tcPr>
            <w:tcW w:w="844" w:type="dxa"/>
            <w:hideMark/>
          </w:tcPr>
          <w:p w14:paraId="5E79A3DC" w14:textId="77777777" w:rsidR="00AB205D" w:rsidRPr="00CF5471" w:rsidRDefault="00471A3B">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szCs w:val="17"/>
                <w:lang w:eastAsia="en-AU"/>
              </w:rPr>
            </w:pPr>
            <w:r w:rsidRPr="00CF5471">
              <w:rPr>
                <w:rFonts w:eastAsiaTheme="minorEastAsia" w:cstheme="majorHAnsi"/>
                <w:iCs/>
                <w:szCs w:val="17"/>
                <w:lang w:eastAsia="en-AU"/>
              </w:rPr>
              <w:t>202</w:t>
            </w:r>
            <w:r>
              <w:rPr>
                <w:rFonts w:eastAsiaTheme="minorEastAsia" w:cstheme="majorHAnsi"/>
                <w:iCs/>
                <w:szCs w:val="17"/>
                <w:lang w:eastAsia="en-AU"/>
              </w:rPr>
              <w:t>4</w:t>
            </w:r>
            <w:r w:rsidRPr="00CF5471">
              <w:rPr>
                <w:rFonts w:eastAsiaTheme="minorEastAsia" w:cstheme="majorHAnsi"/>
                <w:iCs/>
                <w:szCs w:val="17"/>
                <w:lang w:eastAsia="en-AU"/>
              </w:rPr>
              <w:t>-2</w:t>
            </w:r>
            <w:r>
              <w:rPr>
                <w:rFonts w:eastAsiaTheme="minorEastAsia" w:cstheme="majorHAnsi"/>
                <w:iCs/>
                <w:szCs w:val="17"/>
                <w:lang w:eastAsia="en-AU"/>
              </w:rPr>
              <w:t>5</w:t>
            </w:r>
          </w:p>
          <w:p w14:paraId="7B901891" w14:textId="77777777" w:rsidR="00AB205D" w:rsidRPr="00CF5471" w:rsidRDefault="00471A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sidRPr="00CF5471">
              <w:rPr>
                <w:rFonts w:eastAsiaTheme="minorEastAsia" w:cstheme="majorHAnsi"/>
                <w:iCs/>
                <w:szCs w:val="17"/>
                <w:lang w:eastAsia="en-AU"/>
              </w:rPr>
              <w:t>estimate</w:t>
            </w:r>
          </w:p>
        </w:tc>
        <w:tc>
          <w:tcPr>
            <w:tcW w:w="845" w:type="dxa"/>
            <w:hideMark/>
          </w:tcPr>
          <w:p w14:paraId="620B7739" w14:textId="77777777" w:rsidR="00AB205D" w:rsidRPr="00CF5471" w:rsidRDefault="00471A3B">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szCs w:val="17"/>
                <w:lang w:eastAsia="en-AU"/>
              </w:rPr>
            </w:pPr>
            <w:r w:rsidRPr="00CF5471">
              <w:rPr>
                <w:rFonts w:eastAsiaTheme="minorEastAsia" w:cstheme="majorHAnsi"/>
                <w:iCs/>
                <w:szCs w:val="17"/>
                <w:lang w:eastAsia="en-AU"/>
              </w:rPr>
              <w:t>202</w:t>
            </w:r>
            <w:r>
              <w:rPr>
                <w:rFonts w:eastAsiaTheme="minorEastAsia" w:cstheme="majorHAnsi"/>
                <w:iCs/>
                <w:szCs w:val="17"/>
                <w:lang w:eastAsia="en-AU"/>
              </w:rPr>
              <w:t>5</w:t>
            </w:r>
            <w:r w:rsidRPr="00CF5471">
              <w:rPr>
                <w:rFonts w:eastAsiaTheme="minorEastAsia" w:cstheme="majorHAnsi"/>
                <w:iCs/>
                <w:szCs w:val="17"/>
                <w:lang w:eastAsia="en-AU"/>
              </w:rPr>
              <w:t>-2</w:t>
            </w:r>
            <w:r>
              <w:rPr>
                <w:rFonts w:eastAsiaTheme="minorEastAsia" w:cstheme="majorHAnsi"/>
                <w:iCs/>
                <w:szCs w:val="17"/>
                <w:lang w:eastAsia="en-AU"/>
              </w:rPr>
              <w:t>6</w:t>
            </w:r>
          </w:p>
          <w:p w14:paraId="6CE9ABFB" w14:textId="77777777" w:rsidR="00AB205D" w:rsidRPr="00CF5471" w:rsidRDefault="00471A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sidRPr="00CF5471">
              <w:rPr>
                <w:rFonts w:eastAsiaTheme="minorEastAsia" w:cstheme="majorHAnsi"/>
                <w:iCs/>
                <w:szCs w:val="17"/>
                <w:lang w:eastAsia="en-AU"/>
              </w:rPr>
              <w:t>estimate</w:t>
            </w:r>
          </w:p>
        </w:tc>
        <w:tc>
          <w:tcPr>
            <w:tcW w:w="845" w:type="dxa"/>
            <w:hideMark/>
          </w:tcPr>
          <w:p w14:paraId="5B77BA10" w14:textId="77777777" w:rsidR="00AB205D" w:rsidRPr="00CF5471" w:rsidRDefault="00471A3B">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szCs w:val="17"/>
                <w:lang w:eastAsia="en-AU"/>
              </w:rPr>
            </w:pPr>
            <w:r w:rsidRPr="00CF5471">
              <w:rPr>
                <w:rFonts w:eastAsiaTheme="minorEastAsia" w:cstheme="majorHAnsi"/>
                <w:iCs/>
                <w:szCs w:val="17"/>
                <w:lang w:eastAsia="en-AU"/>
              </w:rPr>
              <w:t>202</w:t>
            </w:r>
            <w:r>
              <w:rPr>
                <w:rFonts w:eastAsiaTheme="minorEastAsia" w:cstheme="majorHAnsi"/>
                <w:iCs/>
                <w:szCs w:val="17"/>
                <w:lang w:eastAsia="en-AU"/>
              </w:rPr>
              <w:t>6</w:t>
            </w:r>
            <w:r w:rsidRPr="00CF5471">
              <w:rPr>
                <w:rFonts w:eastAsiaTheme="minorEastAsia" w:cstheme="majorHAnsi"/>
                <w:iCs/>
                <w:szCs w:val="17"/>
                <w:lang w:eastAsia="en-AU"/>
              </w:rPr>
              <w:t>-2</w:t>
            </w:r>
            <w:r>
              <w:rPr>
                <w:rFonts w:eastAsiaTheme="minorEastAsia" w:cstheme="majorHAnsi"/>
                <w:iCs/>
                <w:szCs w:val="17"/>
                <w:lang w:eastAsia="en-AU"/>
              </w:rPr>
              <w:t>7</w:t>
            </w:r>
          </w:p>
          <w:p w14:paraId="1B29D7A6" w14:textId="77777777" w:rsidR="00AB205D" w:rsidRPr="00CF5471" w:rsidRDefault="00471A3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sidRPr="00CF5471">
              <w:rPr>
                <w:rFonts w:eastAsiaTheme="minorEastAsia" w:cstheme="majorHAnsi"/>
                <w:iCs/>
                <w:szCs w:val="17"/>
                <w:lang w:eastAsia="en-AU"/>
              </w:rPr>
              <w:t>estimate</w:t>
            </w:r>
          </w:p>
        </w:tc>
      </w:tr>
      <w:tr w:rsidR="009C6724" w:rsidRPr="00CF5471" w14:paraId="0376F2F5" w14:textId="77777777" w:rsidTr="009C6724">
        <w:tc>
          <w:tcPr>
            <w:cnfStyle w:val="001000000000" w:firstRow="0" w:lastRow="0" w:firstColumn="1" w:lastColumn="0" w:oddVBand="0" w:evenVBand="0" w:oddHBand="0" w:evenHBand="0" w:firstRowFirstColumn="0" w:firstRowLastColumn="0" w:lastRowFirstColumn="0" w:lastRowLastColumn="0"/>
            <w:tcW w:w="4333" w:type="dxa"/>
            <w:tcBorders>
              <w:top w:val="single" w:sz="4" w:space="0" w:color="auto"/>
            </w:tcBorders>
            <w:hideMark/>
          </w:tcPr>
          <w:p w14:paraId="2E0C8B40" w14:textId="77777777" w:rsidR="00AB205D" w:rsidRPr="00CF5471" w:rsidRDefault="00471A3B">
            <w:pPr>
              <w:keepNext/>
              <w:autoSpaceDE w:val="0"/>
              <w:autoSpaceDN w:val="0"/>
              <w:adjustRightInd w:val="0"/>
              <w:ind w:left="176" w:hanging="176"/>
              <w:rPr>
                <w:rFonts w:eastAsiaTheme="minorEastAsia" w:cstheme="majorHAnsi"/>
                <w:b/>
                <w:bCs/>
                <w:szCs w:val="17"/>
                <w:lang w:eastAsia="en-AU"/>
              </w:rPr>
            </w:pPr>
            <w:bookmarkStart w:id="142" w:name="_Hlk3981246"/>
            <w:r w:rsidRPr="00CF5471">
              <w:rPr>
                <w:rFonts w:eastAsiaTheme="minorEastAsia" w:cstheme="majorHAnsi"/>
                <w:b/>
                <w:bCs/>
                <w:szCs w:val="17"/>
                <w:lang w:eastAsia="en-AU"/>
              </w:rPr>
              <w:t>Property transaction volumes</w:t>
            </w:r>
          </w:p>
        </w:tc>
        <w:tc>
          <w:tcPr>
            <w:tcW w:w="844" w:type="dxa"/>
            <w:tcBorders>
              <w:top w:val="single" w:sz="4" w:space="0" w:color="auto"/>
            </w:tcBorders>
            <w:vAlign w:val="bottom"/>
          </w:tcPr>
          <w:p w14:paraId="3246DC16" w14:textId="77777777" w:rsidR="00AB205D" w:rsidRPr="00690C7C" w:rsidRDefault="00AB205D">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p>
        </w:tc>
        <w:tc>
          <w:tcPr>
            <w:tcW w:w="844" w:type="dxa"/>
            <w:tcBorders>
              <w:top w:val="single" w:sz="4" w:space="0" w:color="auto"/>
            </w:tcBorders>
            <w:vAlign w:val="bottom"/>
          </w:tcPr>
          <w:p w14:paraId="6375F68E" w14:textId="77777777" w:rsidR="00AB205D" w:rsidRPr="00690C7C" w:rsidRDefault="00AB205D">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p>
        </w:tc>
        <w:tc>
          <w:tcPr>
            <w:tcW w:w="845" w:type="dxa"/>
            <w:tcBorders>
              <w:top w:val="single" w:sz="4" w:space="0" w:color="auto"/>
            </w:tcBorders>
            <w:vAlign w:val="bottom"/>
          </w:tcPr>
          <w:p w14:paraId="3F809920" w14:textId="77777777" w:rsidR="00AB205D" w:rsidRPr="00690C7C" w:rsidRDefault="00AB205D">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p>
        </w:tc>
        <w:tc>
          <w:tcPr>
            <w:tcW w:w="845" w:type="dxa"/>
            <w:tcBorders>
              <w:top w:val="single" w:sz="4" w:space="0" w:color="auto"/>
            </w:tcBorders>
            <w:vAlign w:val="bottom"/>
          </w:tcPr>
          <w:p w14:paraId="437F3DE9" w14:textId="77777777" w:rsidR="00AB205D" w:rsidRPr="00690C7C" w:rsidRDefault="00AB205D">
            <w:pPr>
              <w:cnfStyle w:val="000000000000" w:firstRow="0" w:lastRow="0" w:firstColumn="0" w:lastColumn="0" w:oddVBand="0" w:evenVBand="0" w:oddHBand="0" w:evenHBand="0" w:firstRowFirstColumn="0" w:firstRowLastColumn="0" w:lastRowFirstColumn="0" w:lastRowLastColumn="0"/>
              <w:rPr>
                <w:rFonts w:cstheme="majorHAnsi"/>
                <w:szCs w:val="17"/>
                <w:highlight w:val="yellow"/>
              </w:rPr>
            </w:pPr>
          </w:p>
        </w:tc>
      </w:tr>
      <w:tr w:rsidR="009C6724" w:rsidRPr="00CF5471" w14:paraId="6DBBC4A1" w14:textId="77777777" w:rsidTr="009C6724">
        <w:tc>
          <w:tcPr>
            <w:cnfStyle w:val="001000000000" w:firstRow="0" w:lastRow="0" w:firstColumn="1" w:lastColumn="0" w:oddVBand="0" w:evenVBand="0" w:oddHBand="0" w:evenHBand="0" w:firstRowFirstColumn="0" w:firstRowLastColumn="0" w:lastRowFirstColumn="0" w:lastRowLastColumn="0"/>
            <w:tcW w:w="4333" w:type="dxa"/>
            <w:hideMark/>
          </w:tcPr>
          <w:p w14:paraId="05535648" w14:textId="77777777" w:rsidR="00AB205D" w:rsidRPr="00CF5471" w:rsidRDefault="00471A3B">
            <w:pPr>
              <w:keepNext/>
              <w:keepLines w:val="0"/>
              <w:autoSpaceDE w:val="0"/>
              <w:autoSpaceDN w:val="0"/>
              <w:adjustRightInd w:val="0"/>
              <w:rPr>
                <w:rFonts w:eastAsiaTheme="minorEastAsia" w:cstheme="majorHAnsi"/>
                <w:szCs w:val="17"/>
                <w:lang w:eastAsia="en-AU"/>
              </w:rPr>
            </w:pPr>
            <w:r w:rsidRPr="00CF5471">
              <w:rPr>
                <w:rFonts w:eastAsiaTheme="minorEastAsia" w:cstheme="majorHAnsi"/>
                <w:szCs w:val="17"/>
                <w:lang w:eastAsia="en-AU"/>
              </w:rPr>
              <w:t>Income from transactions</w:t>
            </w:r>
          </w:p>
        </w:tc>
        <w:tc>
          <w:tcPr>
            <w:tcW w:w="844" w:type="dxa"/>
            <w:vAlign w:val="bottom"/>
          </w:tcPr>
          <w:p w14:paraId="6921C140" w14:textId="77777777" w:rsidR="00AB205D" w:rsidRPr="00811C24" w:rsidRDefault="00471A3B">
            <w:pPr>
              <w:cnfStyle w:val="000000000000" w:firstRow="0" w:lastRow="0" w:firstColumn="0" w:lastColumn="0" w:oddVBand="0" w:evenVBand="0" w:oddHBand="0" w:evenHBand="0" w:firstRowFirstColumn="0" w:firstRowLastColumn="0" w:lastRowFirstColumn="0" w:lastRowLastColumn="0"/>
              <w:rPr>
                <w:rFonts w:cstheme="majorHAnsi"/>
                <w:szCs w:val="17"/>
              </w:rPr>
            </w:pPr>
            <w:r w:rsidRPr="0096143D">
              <w:rPr>
                <w:rFonts w:ascii="Calibri" w:hAnsi="Calibri" w:cs="Calibri"/>
                <w:szCs w:val="17"/>
              </w:rPr>
              <w:t>72</w:t>
            </w:r>
          </w:p>
        </w:tc>
        <w:tc>
          <w:tcPr>
            <w:tcW w:w="844" w:type="dxa"/>
            <w:vAlign w:val="bottom"/>
          </w:tcPr>
          <w:p w14:paraId="4EFF9DD3" w14:textId="77777777" w:rsidR="00AB205D" w:rsidRPr="00811C24" w:rsidRDefault="00471A3B">
            <w:pPr>
              <w:cnfStyle w:val="000000000000" w:firstRow="0" w:lastRow="0" w:firstColumn="0" w:lastColumn="0" w:oddVBand="0" w:evenVBand="0" w:oddHBand="0" w:evenHBand="0" w:firstRowFirstColumn="0" w:firstRowLastColumn="0" w:lastRowFirstColumn="0" w:lastRowLastColumn="0"/>
              <w:rPr>
                <w:rFonts w:cstheme="majorHAnsi"/>
                <w:szCs w:val="17"/>
              </w:rPr>
            </w:pPr>
            <w:r w:rsidRPr="0096143D">
              <w:rPr>
                <w:rFonts w:ascii="Calibri" w:hAnsi="Calibri" w:cs="Calibri"/>
                <w:szCs w:val="17"/>
              </w:rPr>
              <w:t>78</w:t>
            </w:r>
          </w:p>
        </w:tc>
        <w:tc>
          <w:tcPr>
            <w:tcW w:w="845" w:type="dxa"/>
            <w:vAlign w:val="bottom"/>
          </w:tcPr>
          <w:p w14:paraId="3F567EDF" w14:textId="77777777" w:rsidR="00AB205D" w:rsidRPr="00811C24" w:rsidRDefault="00471A3B">
            <w:pPr>
              <w:cnfStyle w:val="000000000000" w:firstRow="0" w:lastRow="0" w:firstColumn="0" w:lastColumn="0" w:oddVBand="0" w:evenVBand="0" w:oddHBand="0" w:evenHBand="0" w:firstRowFirstColumn="0" w:firstRowLastColumn="0" w:lastRowFirstColumn="0" w:lastRowLastColumn="0"/>
              <w:rPr>
                <w:rFonts w:cstheme="majorHAnsi"/>
                <w:szCs w:val="17"/>
              </w:rPr>
            </w:pPr>
            <w:r w:rsidRPr="0096143D">
              <w:rPr>
                <w:rFonts w:ascii="Calibri" w:hAnsi="Calibri" w:cs="Calibri"/>
                <w:szCs w:val="17"/>
              </w:rPr>
              <w:t>85</w:t>
            </w:r>
          </w:p>
        </w:tc>
        <w:tc>
          <w:tcPr>
            <w:tcW w:w="845" w:type="dxa"/>
            <w:vAlign w:val="bottom"/>
          </w:tcPr>
          <w:p w14:paraId="744DF4F8" w14:textId="77777777" w:rsidR="00AB205D" w:rsidRPr="00811C24" w:rsidRDefault="00471A3B">
            <w:pPr>
              <w:cnfStyle w:val="000000000000" w:firstRow="0" w:lastRow="0" w:firstColumn="0" w:lastColumn="0" w:oddVBand="0" w:evenVBand="0" w:oddHBand="0" w:evenHBand="0" w:firstRowFirstColumn="0" w:firstRowLastColumn="0" w:lastRowFirstColumn="0" w:lastRowLastColumn="0"/>
              <w:rPr>
                <w:rFonts w:cstheme="majorHAnsi"/>
                <w:szCs w:val="17"/>
              </w:rPr>
            </w:pPr>
            <w:r w:rsidRPr="0096143D">
              <w:rPr>
                <w:rFonts w:ascii="Calibri" w:hAnsi="Calibri" w:cs="Calibri"/>
                <w:szCs w:val="17"/>
              </w:rPr>
              <w:t>90</w:t>
            </w:r>
          </w:p>
        </w:tc>
      </w:tr>
      <w:tr w:rsidR="009C6724" w:rsidRPr="00CF5471" w14:paraId="26CC2AA7" w14:textId="77777777" w:rsidTr="009C6724">
        <w:tc>
          <w:tcPr>
            <w:cnfStyle w:val="001000000000" w:firstRow="0" w:lastRow="0" w:firstColumn="1" w:lastColumn="0" w:oddVBand="0" w:evenVBand="0" w:oddHBand="0" w:evenHBand="0" w:firstRowFirstColumn="0" w:firstRowLastColumn="0" w:lastRowFirstColumn="0" w:lastRowLastColumn="0"/>
            <w:tcW w:w="4333" w:type="dxa"/>
            <w:tcBorders>
              <w:bottom w:val="single" w:sz="4" w:space="0" w:color="auto"/>
            </w:tcBorders>
            <w:hideMark/>
          </w:tcPr>
          <w:p w14:paraId="57733C1D" w14:textId="77777777" w:rsidR="00AB205D" w:rsidRPr="00CF5471" w:rsidRDefault="00471A3B">
            <w:pPr>
              <w:keepLines w:val="0"/>
              <w:autoSpaceDE w:val="0"/>
              <w:autoSpaceDN w:val="0"/>
              <w:adjustRightInd w:val="0"/>
              <w:rPr>
                <w:rFonts w:eastAsiaTheme="minorEastAsia" w:cstheme="majorHAnsi"/>
                <w:szCs w:val="17"/>
                <w:lang w:eastAsia="en-AU"/>
              </w:rPr>
            </w:pPr>
            <w:r w:rsidRPr="00CF5471">
              <w:rPr>
                <w:rFonts w:eastAsiaTheme="minorEastAsia" w:cstheme="majorHAnsi"/>
                <w:szCs w:val="17"/>
                <w:lang w:eastAsia="en-AU"/>
              </w:rPr>
              <w:t>Expenses from transactions</w:t>
            </w:r>
          </w:p>
        </w:tc>
        <w:tc>
          <w:tcPr>
            <w:tcW w:w="844" w:type="dxa"/>
            <w:tcBorders>
              <w:bottom w:val="single" w:sz="4" w:space="0" w:color="auto"/>
            </w:tcBorders>
            <w:vAlign w:val="bottom"/>
          </w:tcPr>
          <w:p w14:paraId="7AD60677" w14:textId="77777777" w:rsidR="00AB205D" w:rsidRPr="00811C24" w:rsidRDefault="00471A3B">
            <w:pPr>
              <w:cnfStyle w:val="000000000000" w:firstRow="0" w:lastRow="0" w:firstColumn="0" w:lastColumn="0" w:oddVBand="0" w:evenVBand="0" w:oddHBand="0" w:evenHBand="0" w:firstRowFirstColumn="0" w:firstRowLastColumn="0" w:lastRowFirstColumn="0" w:lastRowLastColumn="0"/>
              <w:rPr>
                <w:rFonts w:cstheme="majorHAnsi"/>
                <w:szCs w:val="17"/>
              </w:rPr>
            </w:pPr>
            <w:r w:rsidRPr="0096143D">
              <w:rPr>
                <w:rFonts w:ascii="Calibri" w:hAnsi="Calibri" w:cs="Calibri"/>
                <w:szCs w:val="17"/>
              </w:rPr>
              <w:t>(2)</w:t>
            </w:r>
          </w:p>
        </w:tc>
        <w:tc>
          <w:tcPr>
            <w:tcW w:w="844" w:type="dxa"/>
            <w:tcBorders>
              <w:bottom w:val="single" w:sz="4" w:space="0" w:color="auto"/>
            </w:tcBorders>
            <w:vAlign w:val="bottom"/>
          </w:tcPr>
          <w:p w14:paraId="7FC2EC93" w14:textId="77777777" w:rsidR="00AB205D" w:rsidRPr="00811C24" w:rsidRDefault="00471A3B">
            <w:pPr>
              <w:cnfStyle w:val="000000000000" w:firstRow="0" w:lastRow="0" w:firstColumn="0" w:lastColumn="0" w:oddVBand="0" w:evenVBand="0" w:oddHBand="0" w:evenHBand="0" w:firstRowFirstColumn="0" w:firstRowLastColumn="0" w:lastRowFirstColumn="0" w:lastRowLastColumn="0"/>
              <w:rPr>
                <w:rFonts w:cstheme="majorHAnsi"/>
                <w:szCs w:val="17"/>
              </w:rPr>
            </w:pPr>
            <w:r w:rsidRPr="0096143D">
              <w:rPr>
                <w:rFonts w:ascii="Calibri" w:hAnsi="Calibri" w:cs="Calibri"/>
                <w:szCs w:val="17"/>
              </w:rPr>
              <w:t>(6)</w:t>
            </w:r>
          </w:p>
        </w:tc>
        <w:tc>
          <w:tcPr>
            <w:tcW w:w="845" w:type="dxa"/>
            <w:tcBorders>
              <w:bottom w:val="single" w:sz="4" w:space="0" w:color="auto"/>
            </w:tcBorders>
            <w:vAlign w:val="bottom"/>
          </w:tcPr>
          <w:p w14:paraId="73FAD296" w14:textId="77777777" w:rsidR="00AB205D" w:rsidRPr="00811C24" w:rsidRDefault="00471A3B">
            <w:pPr>
              <w:cnfStyle w:val="000000000000" w:firstRow="0" w:lastRow="0" w:firstColumn="0" w:lastColumn="0" w:oddVBand="0" w:evenVBand="0" w:oddHBand="0" w:evenHBand="0" w:firstRowFirstColumn="0" w:firstRowLastColumn="0" w:lastRowFirstColumn="0" w:lastRowLastColumn="0"/>
              <w:rPr>
                <w:rFonts w:cstheme="majorHAnsi"/>
                <w:szCs w:val="17"/>
              </w:rPr>
            </w:pPr>
            <w:r w:rsidRPr="0096143D">
              <w:rPr>
                <w:rFonts w:ascii="Calibri" w:hAnsi="Calibri" w:cs="Calibri"/>
                <w:szCs w:val="17"/>
              </w:rPr>
              <w:t>(10)</w:t>
            </w:r>
          </w:p>
        </w:tc>
        <w:tc>
          <w:tcPr>
            <w:tcW w:w="845" w:type="dxa"/>
            <w:tcBorders>
              <w:bottom w:val="single" w:sz="4" w:space="0" w:color="auto"/>
            </w:tcBorders>
            <w:vAlign w:val="bottom"/>
          </w:tcPr>
          <w:p w14:paraId="786DC930" w14:textId="77777777" w:rsidR="00AB205D" w:rsidRPr="00811C24" w:rsidRDefault="00471A3B">
            <w:pPr>
              <w:cnfStyle w:val="000000000000" w:firstRow="0" w:lastRow="0" w:firstColumn="0" w:lastColumn="0" w:oddVBand="0" w:evenVBand="0" w:oddHBand="0" w:evenHBand="0" w:firstRowFirstColumn="0" w:firstRowLastColumn="0" w:lastRowFirstColumn="0" w:lastRowLastColumn="0"/>
              <w:rPr>
                <w:rFonts w:cstheme="majorHAnsi"/>
                <w:szCs w:val="17"/>
              </w:rPr>
            </w:pPr>
            <w:r w:rsidRPr="0096143D">
              <w:rPr>
                <w:rFonts w:ascii="Calibri" w:hAnsi="Calibri" w:cs="Calibri"/>
                <w:szCs w:val="17"/>
              </w:rPr>
              <w:t>(16)</w:t>
            </w:r>
          </w:p>
        </w:tc>
      </w:tr>
      <w:tr w:rsidR="009C6724" w:rsidRPr="00CF5471" w14:paraId="7002D6BC" w14:textId="77777777" w:rsidTr="009C6724">
        <w:tc>
          <w:tcPr>
            <w:cnfStyle w:val="001000000000" w:firstRow="0" w:lastRow="0" w:firstColumn="1" w:lastColumn="0" w:oddVBand="0" w:evenVBand="0" w:oddHBand="0" w:evenHBand="0" w:firstRowFirstColumn="0" w:firstRowLastColumn="0" w:lastRowFirstColumn="0" w:lastRowLastColumn="0"/>
            <w:tcW w:w="4333" w:type="dxa"/>
            <w:tcBorders>
              <w:top w:val="single" w:sz="4" w:space="0" w:color="auto"/>
              <w:bottom w:val="nil"/>
            </w:tcBorders>
            <w:hideMark/>
          </w:tcPr>
          <w:p w14:paraId="018D1805" w14:textId="77777777" w:rsidR="00AB205D" w:rsidRPr="00E21084" w:rsidRDefault="00471A3B">
            <w:pPr>
              <w:keepLines w:val="0"/>
              <w:autoSpaceDE w:val="0"/>
              <w:autoSpaceDN w:val="0"/>
              <w:adjustRightInd w:val="0"/>
              <w:rPr>
                <w:rFonts w:eastAsiaTheme="minorEastAsia" w:cstheme="majorHAnsi"/>
                <w:b/>
                <w:bCs/>
                <w:szCs w:val="17"/>
                <w:lang w:eastAsia="en-AU"/>
              </w:rPr>
            </w:pPr>
            <w:r w:rsidRPr="00E21084">
              <w:rPr>
                <w:rFonts w:eastAsiaTheme="minorEastAsia" w:cstheme="majorHAnsi"/>
                <w:b/>
                <w:bCs/>
                <w:szCs w:val="17"/>
                <w:lang w:eastAsia="en-AU"/>
              </w:rPr>
              <w:t>Net result from transactions</w:t>
            </w:r>
          </w:p>
        </w:tc>
        <w:tc>
          <w:tcPr>
            <w:tcW w:w="844" w:type="dxa"/>
            <w:tcBorders>
              <w:top w:val="single" w:sz="4" w:space="0" w:color="auto"/>
              <w:bottom w:val="nil"/>
            </w:tcBorders>
            <w:vAlign w:val="bottom"/>
          </w:tcPr>
          <w:p w14:paraId="1CDF3902" w14:textId="77777777" w:rsidR="00AB205D" w:rsidRPr="00811C24"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96143D">
              <w:rPr>
                <w:rFonts w:ascii="Calibri" w:hAnsi="Calibri" w:cs="Calibri"/>
                <w:b/>
                <w:szCs w:val="17"/>
              </w:rPr>
              <w:t>73</w:t>
            </w:r>
          </w:p>
        </w:tc>
        <w:tc>
          <w:tcPr>
            <w:tcW w:w="844" w:type="dxa"/>
            <w:tcBorders>
              <w:top w:val="single" w:sz="4" w:space="0" w:color="auto"/>
              <w:bottom w:val="nil"/>
            </w:tcBorders>
            <w:vAlign w:val="bottom"/>
          </w:tcPr>
          <w:p w14:paraId="3A9AB641" w14:textId="77777777" w:rsidR="00AB205D" w:rsidRPr="00811C24"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96143D">
              <w:rPr>
                <w:rFonts w:ascii="Calibri" w:hAnsi="Calibri" w:cs="Calibri"/>
                <w:b/>
                <w:szCs w:val="17"/>
              </w:rPr>
              <w:t>83</w:t>
            </w:r>
          </w:p>
        </w:tc>
        <w:tc>
          <w:tcPr>
            <w:tcW w:w="845" w:type="dxa"/>
            <w:tcBorders>
              <w:top w:val="single" w:sz="4" w:space="0" w:color="auto"/>
              <w:bottom w:val="nil"/>
            </w:tcBorders>
            <w:vAlign w:val="bottom"/>
          </w:tcPr>
          <w:p w14:paraId="5C4EA741" w14:textId="77777777" w:rsidR="00AB205D" w:rsidRPr="00811C24"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96143D">
              <w:rPr>
                <w:rFonts w:ascii="Calibri" w:hAnsi="Calibri" w:cs="Calibri"/>
                <w:b/>
                <w:szCs w:val="17"/>
              </w:rPr>
              <w:t>95</w:t>
            </w:r>
          </w:p>
        </w:tc>
        <w:tc>
          <w:tcPr>
            <w:tcW w:w="845" w:type="dxa"/>
            <w:tcBorders>
              <w:top w:val="single" w:sz="4" w:space="0" w:color="auto"/>
              <w:bottom w:val="nil"/>
            </w:tcBorders>
            <w:vAlign w:val="bottom"/>
          </w:tcPr>
          <w:p w14:paraId="50733D48" w14:textId="77777777" w:rsidR="00AB205D" w:rsidRPr="00811C24"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96143D">
              <w:rPr>
                <w:rFonts w:ascii="Calibri" w:hAnsi="Calibri" w:cs="Calibri"/>
                <w:b/>
                <w:szCs w:val="17"/>
              </w:rPr>
              <w:t>106</w:t>
            </w:r>
          </w:p>
        </w:tc>
      </w:tr>
      <w:tr w:rsidR="009C6724" w:rsidRPr="00CF5471" w14:paraId="17ACD13B" w14:textId="77777777" w:rsidTr="009C6724">
        <w:tc>
          <w:tcPr>
            <w:cnfStyle w:val="001000000000" w:firstRow="0" w:lastRow="0" w:firstColumn="1" w:lastColumn="0" w:oddVBand="0" w:evenVBand="0" w:oddHBand="0" w:evenHBand="0" w:firstRowFirstColumn="0" w:firstRowLastColumn="0" w:lastRowFirstColumn="0" w:lastRowLastColumn="0"/>
            <w:tcW w:w="4333" w:type="dxa"/>
            <w:tcBorders>
              <w:bottom w:val="single" w:sz="4" w:space="0" w:color="auto"/>
            </w:tcBorders>
            <w:hideMark/>
          </w:tcPr>
          <w:p w14:paraId="37F4D37F" w14:textId="77777777" w:rsidR="00AB205D" w:rsidRPr="00E21084" w:rsidRDefault="00471A3B">
            <w:pPr>
              <w:keepLines w:val="0"/>
              <w:autoSpaceDE w:val="0"/>
              <w:autoSpaceDN w:val="0"/>
              <w:adjustRightInd w:val="0"/>
              <w:rPr>
                <w:rFonts w:eastAsiaTheme="minorEastAsia" w:cstheme="majorHAnsi"/>
                <w:b/>
                <w:bCs/>
                <w:szCs w:val="17"/>
                <w:lang w:eastAsia="en-AU"/>
              </w:rPr>
            </w:pPr>
            <w:r w:rsidRPr="00E21084">
              <w:rPr>
                <w:rFonts w:eastAsiaTheme="minorEastAsia" w:cstheme="majorHAnsi"/>
                <w:b/>
                <w:bCs/>
                <w:szCs w:val="17"/>
                <w:lang w:eastAsia="en-AU"/>
              </w:rPr>
              <w:t>Net debt</w:t>
            </w:r>
          </w:p>
        </w:tc>
        <w:tc>
          <w:tcPr>
            <w:tcW w:w="844" w:type="dxa"/>
            <w:tcBorders>
              <w:bottom w:val="single" w:sz="4" w:space="0" w:color="auto"/>
            </w:tcBorders>
            <w:vAlign w:val="bottom"/>
          </w:tcPr>
          <w:p w14:paraId="466289E0" w14:textId="77777777" w:rsidR="00AB205D" w:rsidRPr="00811C24"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96143D">
              <w:rPr>
                <w:rFonts w:ascii="Calibri" w:hAnsi="Calibri" w:cs="Calibri"/>
                <w:b/>
                <w:szCs w:val="17"/>
              </w:rPr>
              <w:t>(73)</w:t>
            </w:r>
          </w:p>
        </w:tc>
        <w:tc>
          <w:tcPr>
            <w:tcW w:w="844" w:type="dxa"/>
            <w:tcBorders>
              <w:bottom w:val="single" w:sz="4" w:space="0" w:color="auto"/>
            </w:tcBorders>
            <w:vAlign w:val="bottom"/>
          </w:tcPr>
          <w:p w14:paraId="4D502EF1" w14:textId="77777777" w:rsidR="00AB205D" w:rsidRPr="00811C24"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96143D">
              <w:rPr>
                <w:rFonts w:ascii="Calibri" w:hAnsi="Calibri" w:cs="Calibri"/>
                <w:b/>
                <w:szCs w:val="17"/>
              </w:rPr>
              <w:t>(157)</w:t>
            </w:r>
          </w:p>
        </w:tc>
        <w:tc>
          <w:tcPr>
            <w:tcW w:w="845" w:type="dxa"/>
            <w:tcBorders>
              <w:bottom w:val="single" w:sz="4" w:space="0" w:color="auto"/>
            </w:tcBorders>
            <w:vAlign w:val="bottom"/>
          </w:tcPr>
          <w:p w14:paraId="1825A1DB" w14:textId="77777777" w:rsidR="00AB205D" w:rsidRPr="00811C24"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96143D">
              <w:rPr>
                <w:rFonts w:ascii="Calibri" w:hAnsi="Calibri" w:cs="Calibri"/>
                <w:b/>
                <w:szCs w:val="17"/>
              </w:rPr>
              <w:t>(252)</w:t>
            </w:r>
          </w:p>
        </w:tc>
        <w:tc>
          <w:tcPr>
            <w:tcW w:w="845" w:type="dxa"/>
            <w:tcBorders>
              <w:bottom w:val="single" w:sz="4" w:space="0" w:color="auto"/>
            </w:tcBorders>
            <w:vAlign w:val="bottom"/>
          </w:tcPr>
          <w:p w14:paraId="76BEFAEA" w14:textId="77777777" w:rsidR="00AB205D" w:rsidRPr="00811C24"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96143D">
              <w:rPr>
                <w:rFonts w:ascii="Calibri" w:hAnsi="Calibri" w:cs="Calibri"/>
                <w:b/>
                <w:szCs w:val="17"/>
              </w:rPr>
              <w:t>(358)</w:t>
            </w:r>
          </w:p>
        </w:tc>
      </w:tr>
      <w:tr w:rsidR="009C6724" w:rsidRPr="00CF5471" w14:paraId="6C514D5B" w14:textId="77777777" w:rsidTr="009C6724">
        <w:tc>
          <w:tcPr>
            <w:cnfStyle w:val="001000000000" w:firstRow="0" w:lastRow="0" w:firstColumn="1" w:lastColumn="0" w:oddVBand="0" w:evenVBand="0" w:oddHBand="0" w:evenHBand="0" w:firstRowFirstColumn="0" w:firstRowLastColumn="0" w:lastRowFirstColumn="0" w:lastRowLastColumn="0"/>
            <w:tcW w:w="4333" w:type="dxa"/>
            <w:tcBorders>
              <w:top w:val="single" w:sz="4" w:space="0" w:color="auto"/>
            </w:tcBorders>
            <w:hideMark/>
          </w:tcPr>
          <w:p w14:paraId="5BE37F67" w14:textId="77777777" w:rsidR="00AB205D" w:rsidRPr="00CF5471" w:rsidRDefault="00471A3B">
            <w:pPr>
              <w:keepLines w:val="0"/>
              <w:autoSpaceDE w:val="0"/>
              <w:autoSpaceDN w:val="0"/>
              <w:adjustRightInd w:val="0"/>
              <w:ind w:left="173" w:hanging="173"/>
              <w:rPr>
                <w:rFonts w:eastAsiaTheme="minorEastAsia" w:cstheme="majorHAnsi"/>
                <w:b/>
                <w:bCs/>
                <w:szCs w:val="17"/>
                <w:lang w:eastAsia="en-AU"/>
              </w:rPr>
            </w:pPr>
            <w:r w:rsidRPr="00CF5471">
              <w:rPr>
                <w:rFonts w:eastAsiaTheme="minorEastAsia" w:cstheme="majorHAnsi"/>
                <w:b/>
                <w:bCs/>
                <w:szCs w:val="17"/>
                <w:lang w:eastAsia="en-AU"/>
              </w:rPr>
              <w:t xml:space="preserve">Interest rates </w:t>
            </w:r>
            <w:r w:rsidRPr="00CF5471">
              <w:rPr>
                <w:rFonts w:eastAsiaTheme="minorEastAsia" w:cstheme="majorHAnsi"/>
                <w:b/>
                <w:bCs/>
                <w:szCs w:val="17"/>
                <w:vertAlign w:val="superscript"/>
                <w:lang w:eastAsia="en-AU"/>
              </w:rPr>
              <w:t>(</w:t>
            </w:r>
            <w:r>
              <w:rPr>
                <w:rFonts w:eastAsiaTheme="minorEastAsia" w:cstheme="majorHAnsi"/>
                <w:b/>
                <w:bCs/>
                <w:szCs w:val="17"/>
                <w:vertAlign w:val="superscript"/>
                <w:lang w:eastAsia="en-AU"/>
              </w:rPr>
              <w:t>j</w:t>
            </w:r>
            <w:r w:rsidRPr="00CF5471">
              <w:rPr>
                <w:rFonts w:eastAsiaTheme="minorEastAsia" w:cstheme="majorHAnsi"/>
                <w:b/>
                <w:bCs/>
                <w:szCs w:val="17"/>
                <w:vertAlign w:val="superscript"/>
                <w:lang w:eastAsia="en-AU"/>
              </w:rPr>
              <w:t>)</w:t>
            </w:r>
          </w:p>
        </w:tc>
        <w:tc>
          <w:tcPr>
            <w:tcW w:w="844" w:type="dxa"/>
            <w:tcBorders>
              <w:top w:val="single" w:sz="4" w:space="0" w:color="auto"/>
            </w:tcBorders>
            <w:vAlign w:val="bottom"/>
          </w:tcPr>
          <w:p w14:paraId="419B6A62" w14:textId="77777777" w:rsidR="00AB205D" w:rsidRPr="00811C24" w:rsidRDefault="00AB205D">
            <w:pPr>
              <w:cnfStyle w:val="000000000000" w:firstRow="0" w:lastRow="0" w:firstColumn="0" w:lastColumn="0" w:oddVBand="0" w:evenVBand="0" w:oddHBand="0" w:evenHBand="0" w:firstRowFirstColumn="0" w:firstRowLastColumn="0" w:lastRowFirstColumn="0" w:lastRowLastColumn="0"/>
              <w:rPr>
                <w:rFonts w:cstheme="majorHAnsi"/>
                <w:szCs w:val="17"/>
              </w:rPr>
            </w:pPr>
          </w:p>
        </w:tc>
        <w:tc>
          <w:tcPr>
            <w:tcW w:w="844" w:type="dxa"/>
            <w:tcBorders>
              <w:top w:val="single" w:sz="4" w:space="0" w:color="auto"/>
            </w:tcBorders>
            <w:vAlign w:val="bottom"/>
          </w:tcPr>
          <w:p w14:paraId="024D14E3" w14:textId="77777777" w:rsidR="00AB205D" w:rsidRPr="00811C24" w:rsidRDefault="00AB205D">
            <w:pPr>
              <w:cnfStyle w:val="000000000000" w:firstRow="0" w:lastRow="0" w:firstColumn="0" w:lastColumn="0" w:oddVBand="0" w:evenVBand="0" w:oddHBand="0" w:evenHBand="0" w:firstRowFirstColumn="0" w:firstRowLastColumn="0" w:lastRowFirstColumn="0" w:lastRowLastColumn="0"/>
              <w:rPr>
                <w:rFonts w:cstheme="majorHAnsi"/>
                <w:szCs w:val="17"/>
              </w:rPr>
            </w:pPr>
          </w:p>
        </w:tc>
        <w:tc>
          <w:tcPr>
            <w:tcW w:w="845" w:type="dxa"/>
            <w:tcBorders>
              <w:top w:val="single" w:sz="4" w:space="0" w:color="auto"/>
            </w:tcBorders>
            <w:vAlign w:val="bottom"/>
          </w:tcPr>
          <w:p w14:paraId="6226EF6D" w14:textId="77777777" w:rsidR="00AB205D" w:rsidRPr="00811C24" w:rsidRDefault="00AB205D">
            <w:pPr>
              <w:cnfStyle w:val="000000000000" w:firstRow="0" w:lastRow="0" w:firstColumn="0" w:lastColumn="0" w:oddVBand="0" w:evenVBand="0" w:oddHBand="0" w:evenHBand="0" w:firstRowFirstColumn="0" w:firstRowLastColumn="0" w:lastRowFirstColumn="0" w:lastRowLastColumn="0"/>
              <w:rPr>
                <w:rFonts w:cstheme="majorHAnsi"/>
                <w:szCs w:val="17"/>
              </w:rPr>
            </w:pPr>
          </w:p>
        </w:tc>
        <w:tc>
          <w:tcPr>
            <w:tcW w:w="845" w:type="dxa"/>
            <w:tcBorders>
              <w:top w:val="single" w:sz="4" w:space="0" w:color="auto"/>
            </w:tcBorders>
            <w:vAlign w:val="bottom"/>
          </w:tcPr>
          <w:p w14:paraId="0ABC13D3" w14:textId="77777777" w:rsidR="00AB205D" w:rsidRPr="00811C24" w:rsidRDefault="00AB205D">
            <w:pPr>
              <w:cnfStyle w:val="000000000000" w:firstRow="0" w:lastRow="0" w:firstColumn="0" w:lastColumn="0" w:oddVBand="0" w:evenVBand="0" w:oddHBand="0" w:evenHBand="0" w:firstRowFirstColumn="0" w:firstRowLastColumn="0" w:lastRowFirstColumn="0" w:lastRowLastColumn="0"/>
              <w:rPr>
                <w:rFonts w:cstheme="majorHAnsi"/>
                <w:szCs w:val="17"/>
              </w:rPr>
            </w:pPr>
          </w:p>
        </w:tc>
      </w:tr>
      <w:tr w:rsidR="009C6724" w:rsidRPr="00CF5471" w14:paraId="64C0E9F3" w14:textId="77777777" w:rsidTr="009C6724">
        <w:tc>
          <w:tcPr>
            <w:cnfStyle w:val="001000000000" w:firstRow="0" w:lastRow="0" w:firstColumn="1" w:lastColumn="0" w:oddVBand="0" w:evenVBand="0" w:oddHBand="0" w:evenHBand="0" w:firstRowFirstColumn="0" w:firstRowLastColumn="0" w:lastRowFirstColumn="0" w:lastRowLastColumn="0"/>
            <w:tcW w:w="4333" w:type="dxa"/>
            <w:hideMark/>
          </w:tcPr>
          <w:p w14:paraId="061195BF" w14:textId="77777777" w:rsidR="00AB205D" w:rsidRPr="00CF5471" w:rsidRDefault="00471A3B">
            <w:pPr>
              <w:keepLines w:val="0"/>
              <w:autoSpaceDE w:val="0"/>
              <w:autoSpaceDN w:val="0"/>
              <w:adjustRightInd w:val="0"/>
              <w:rPr>
                <w:rFonts w:eastAsiaTheme="minorEastAsia" w:cstheme="majorHAnsi"/>
                <w:szCs w:val="17"/>
                <w:lang w:eastAsia="en-AU"/>
              </w:rPr>
            </w:pPr>
            <w:r w:rsidRPr="00CF5471">
              <w:rPr>
                <w:rFonts w:eastAsiaTheme="minorEastAsia" w:cstheme="majorHAnsi"/>
                <w:szCs w:val="17"/>
                <w:lang w:eastAsia="en-AU"/>
              </w:rPr>
              <w:t>Income from transactions</w:t>
            </w:r>
          </w:p>
        </w:tc>
        <w:tc>
          <w:tcPr>
            <w:tcW w:w="844" w:type="dxa"/>
            <w:vAlign w:val="bottom"/>
          </w:tcPr>
          <w:p w14:paraId="6BAA7343" w14:textId="77777777" w:rsidR="00AB205D" w:rsidRPr="0096143D" w:rsidRDefault="00471A3B">
            <w:pPr>
              <w:cnfStyle w:val="000000000000" w:firstRow="0" w:lastRow="0" w:firstColumn="0" w:lastColumn="0" w:oddVBand="0" w:evenVBand="0" w:oddHBand="0" w:evenHBand="0" w:firstRowFirstColumn="0" w:firstRowLastColumn="0" w:lastRowFirstColumn="0" w:lastRowLastColumn="0"/>
              <w:rPr>
                <w:rFonts w:cstheme="majorBidi"/>
                <w:highlight w:val="yellow"/>
              </w:rPr>
            </w:pPr>
            <w:r w:rsidRPr="002A1839">
              <w:rPr>
                <w:rFonts w:ascii="Calibri" w:hAnsi="Calibri" w:cs="Calibri"/>
              </w:rPr>
              <w:t>648</w:t>
            </w:r>
          </w:p>
        </w:tc>
        <w:tc>
          <w:tcPr>
            <w:tcW w:w="844" w:type="dxa"/>
            <w:vAlign w:val="bottom"/>
          </w:tcPr>
          <w:p w14:paraId="0514B7FF" w14:textId="77777777" w:rsidR="00AB205D" w:rsidRPr="00811C24" w:rsidRDefault="00471A3B">
            <w:pPr>
              <w:cnfStyle w:val="000000000000" w:firstRow="0" w:lastRow="0" w:firstColumn="0" w:lastColumn="0" w:oddVBand="0" w:evenVBand="0" w:oddHBand="0" w:evenHBand="0" w:firstRowFirstColumn="0" w:firstRowLastColumn="0" w:lastRowFirstColumn="0" w:lastRowLastColumn="0"/>
              <w:rPr>
                <w:rFonts w:cstheme="majorHAnsi"/>
                <w:szCs w:val="17"/>
              </w:rPr>
            </w:pPr>
            <w:r w:rsidRPr="0096143D">
              <w:rPr>
                <w:rFonts w:ascii="Calibri" w:hAnsi="Calibri" w:cs="Calibri"/>
                <w:szCs w:val="17"/>
              </w:rPr>
              <w:t>141</w:t>
            </w:r>
          </w:p>
        </w:tc>
        <w:tc>
          <w:tcPr>
            <w:tcW w:w="845" w:type="dxa"/>
            <w:vAlign w:val="bottom"/>
          </w:tcPr>
          <w:p w14:paraId="06E35F6C" w14:textId="77777777" w:rsidR="00AB205D" w:rsidRPr="00811C24" w:rsidRDefault="00471A3B">
            <w:pPr>
              <w:cnfStyle w:val="000000000000" w:firstRow="0" w:lastRow="0" w:firstColumn="0" w:lastColumn="0" w:oddVBand="0" w:evenVBand="0" w:oddHBand="0" w:evenHBand="0" w:firstRowFirstColumn="0" w:firstRowLastColumn="0" w:lastRowFirstColumn="0" w:lastRowLastColumn="0"/>
              <w:rPr>
                <w:rFonts w:cstheme="majorHAnsi"/>
                <w:szCs w:val="17"/>
              </w:rPr>
            </w:pPr>
            <w:r w:rsidRPr="0096143D">
              <w:rPr>
                <w:rFonts w:ascii="Calibri" w:hAnsi="Calibri" w:cs="Calibri"/>
                <w:szCs w:val="17"/>
              </w:rPr>
              <w:t>136</w:t>
            </w:r>
          </w:p>
        </w:tc>
        <w:tc>
          <w:tcPr>
            <w:tcW w:w="845" w:type="dxa"/>
            <w:vAlign w:val="bottom"/>
          </w:tcPr>
          <w:p w14:paraId="5BD06509" w14:textId="77777777" w:rsidR="00AB205D" w:rsidRPr="00811C24" w:rsidRDefault="00471A3B">
            <w:pPr>
              <w:cnfStyle w:val="000000000000" w:firstRow="0" w:lastRow="0" w:firstColumn="0" w:lastColumn="0" w:oddVBand="0" w:evenVBand="0" w:oddHBand="0" w:evenHBand="0" w:firstRowFirstColumn="0" w:firstRowLastColumn="0" w:lastRowFirstColumn="0" w:lastRowLastColumn="0"/>
              <w:rPr>
                <w:rFonts w:cstheme="majorHAnsi"/>
                <w:szCs w:val="17"/>
              </w:rPr>
            </w:pPr>
            <w:r w:rsidRPr="0096143D">
              <w:rPr>
                <w:rFonts w:ascii="Calibri" w:hAnsi="Calibri" w:cs="Calibri"/>
                <w:szCs w:val="17"/>
              </w:rPr>
              <w:t>131</w:t>
            </w:r>
          </w:p>
        </w:tc>
      </w:tr>
      <w:tr w:rsidR="009C6724" w:rsidRPr="00CF5471" w14:paraId="0EDE9B08" w14:textId="77777777" w:rsidTr="009C6724">
        <w:tc>
          <w:tcPr>
            <w:cnfStyle w:val="001000000000" w:firstRow="0" w:lastRow="0" w:firstColumn="1" w:lastColumn="0" w:oddVBand="0" w:evenVBand="0" w:oddHBand="0" w:evenHBand="0" w:firstRowFirstColumn="0" w:firstRowLastColumn="0" w:lastRowFirstColumn="0" w:lastRowLastColumn="0"/>
            <w:tcW w:w="4333" w:type="dxa"/>
            <w:tcBorders>
              <w:bottom w:val="single" w:sz="4" w:space="0" w:color="auto"/>
            </w:tcBorders>
            <w:hideMark/>
          </w:tcPr>
          <w:p w14:paraId="57DC0DC1" w14:textId="77777777" w:rsidR="00AB205D" w:rsidRPr="00CF5471" w:rsidRDefault="00471A3B">
            <w:pPr>
              <w:keepLines w:val="0"/>
              <w:autoSpaceDE w:val="0"/>
              <w:autoSpaceDN w:val="0"/>
              <w:adjustRightInd w:val="0"/>
              <w:rPr>
                <w:rFonts w:eastAsiaTheme="minorEastAsia" w:cstheme="majorHAnsi"/>
                <w:szCs w:val="17"/>
                <w:lang w:eastAsia="en-AU"/>
              </w:rPr>
            </w:pPr>
            <w:r w:rsidRPr="00CF5471">
              <w:rPr>
                <w:rFonts w:eastAsiaTheme="minorEastAsia" w:cstheme="majorHAnsi"/>
                <w:szCs w:val="17"/>
                <w:lang w:eastAsia="en-AU"/>
              </w:rPr>
              <w:t>Expenses from transactions</w:t>
            </w:r>
          </w:p>
        </w:tc>
        <w:tc>
          <w:tcPr>
            <w:tcW w:w="844" w:type="dxa"/>
            <w:tcBorders>
              <w:bottom w:val="single" w:sz="4" w:space="0" w:color="auto"/>
            </w:tcBorders>
            <w:vAlign w:val="bottom"/>
          </w:tcPr>
          <w:p w14:paraId="30089655" w14:textId="77777777" w:rsidR="00AB205D" w:rsidRPr="00811C24" w:rsidRDefault="00471A3B">
            <w:pPr>
              <w:cnfStyle w:val="000000000000" w:firstRow="0" w:lastRow="0" w:firstColumn="0" w:lastColumn="0" w:oddVBand="0" w:evenVBand="0" w:oddHBand="0" w:evenHBand="0" w:firstRowFirstColumn="0" w:firstRowLastColumn="0" w:lastRowFirstColumn="0" w:lastRowLastColumn="0"/>
              <w:rPr>
                <w:rFonts w:cstheme="majorHAnsi"/>
                <w:szCs w:val="17"/>
              </w:rPr>
            </w:pPr>
            <w:r w:rsidRPr="0096143D">
              <w:rPr>
                <w:rFonts w:ascii="Calibri" w:hAnsi="Calibri" w:cs="Calibri"/>
                <w:szCs w:val="17"/>
              </w:rPr>
              <w:t>113</w:t>
            </w:r>
          </w:p>
        </w:tc>
        <w:tc>
          <w:tcPr>
            <w:tcW w:w="844" w:type="dxa"/>
            <w:tcBorders>
              <w:bottom w:val="single" w:sz="4" w:space="0" w:color="auto"/>
            </w:tcBorders>
            <w:vAlign w:val="bottom"/>
          </w:tcPr>
          <w:p w14:paraId="547BFFF6" w14:textId="77777777" w:rsidR="00AB205D" w:rsidRPr="00811C24" w:rsidRDefault="00471A3B">
            <w:pPr>
              <w:cnfStyle w:val="000000000000" w:firstRow="0" w:lastRow="0" w:firstColumn="0" w:lastColumn="0" w:oddVBand="0" w:evenVBand="0" w:oddHBand="0" w:evenHBand="0" w:firstRowFirstColumn="0" w:firstRowLastColumn="0" w:lastRowFirstColumn="0" w:lastRowLastColumn="0"/>
              <w:rPr>
                <w:rFonts w:cstheme="majorHAnsi"/>
                <w:szCs w:val="17"/>
              </w:rPr>
            </w:pPr>
            <w:r w:rsidRPr="0096143D">
              <w:rPr>
                <w:rFonts w:ascii="Calibri" w:hAnsi="Calibri" w:cs="Calibri"/>
                <w:szCs w:val="17"/>
              </w:rPr>
              <w:t>102</w:t>
            </w:r>
          </w:p>
        </w:tc>
        <w:tc>
          <w:tcPr>
            <w:tcW w:w="845" w:type="dxa"/>
            <w:tcBorders>
              <w:bottom w:val="single" w:sz="4" w:space="0" w:color="auto"/>
            </w:tcBorders>
            <w:vAlign w:val="bottom"/>
          </w:tcPr>
          <w:p w14:paraId="34176C57" w14:textId="77777777" w:rsidR="00AB205D" w:rsidRPr="00811C24" w:rsidRDefault="00471A3B">
            <w:pPr>
              <w:cnfStyle w:val="000000000000" w:firstRow="0" w:lastRow="0" w:firstColumn="0" w:lastColumn="0" w:oddVBand="0" w:evenVBand="0" w:oddHBand="0" w:evenHBand="0" w:firstRowFirstColumn="0" w:firstRowLastColumn="0" w:lastRowFirstColumn="0" w:lastRowLastColumn="0"/>
              <w:rPr>
                <w:rFonts w:cstheme="majorHAnsi"/>
                <w:szCs w:val="17"/>
              </w:rPr>
            </w:pPr>
            <w:r w:rsidRPr="0096143D">
              <w:rPr>
                <w:rFonts w:ascii="Calibri" w:hAnsi="Calibri" w:cs="Calibri"/>
                <w:szCs w:val="17"/>
              </w:rPr>
              <w:t>309</w:t>
            </w:r>
          </w:p>
        </w:tc>
        <w:tc>
          <w:tcPr>
            <w:tcW w:w="845" w:type="dxa"/>
            <w:tcBorders>
              <w:bottom w:val="single" w:sz="4" w:space="0" w:color="auto"/>
            </w:tcBorders>
            <w:vAlign w:val="bottom"/>
          </w:tcPr>
          <w:p w14:paraId="01A415A2" w14:textId="77777777" w:rsidR="00AB205D" w:rsidRPr="00811C24" w:rsidRDefault="00471A3B">
            <w:pPr>
              <w:cnfStyle w:val="000000000000" w:firstRow="0" w:lastRow="0" w:firstColumn="0" w:lastColumn="0" w:oddVBand="0" w:evenVBand="0" w:oddHBand="0" w:evenHBand="0" w:firstRowFirstColumn="0" w:firstRowLastColumn="0" w:lastRowFirstColumn="0" w:lastRowLastColumn="0"/>
              <w:rPr>
                <w:rFonts w:cstheme="majorHAnsi"/>
                <w:szCs w:val="17"/>
              </w:rPr>
            </w:pPr>
            <w:r w:rsidRPr="0096143D">
              <w:rPr>
                <w:rFonts w:ascii="Calibri" w:hAnsi="Calibri" w:cs="Calibri"/>
                <w:szCs w:val="17"/>
              </w:rPr>
              <w:t>448</w:t>
            </w:r>
          </w:p>
        </w:tc>
      </w:tr>
      <w:tr w:rsidR="009C6724" w:rsidRPr="00CF5471" w14:paraId="2D8AE5C7" w14:textId="77777777" w:rsidTr="009C6724">
        <w:tc>
          <w:tcPr>
            <w:cnfStyle w:val="001000000000" w:firstRow="0" w:lastRow="0" w:firstColumn="1" w:lastColumn="0" w:oddVBand="0" w:evenVBand="0" w:oddHBand="0" w:evenHBand="0" w:firstRowFirstColumn="0" w:firstRowLastColumn="0" w:lastRowFirstColumn="0" w:lastRowLastColumn="0"/>
            <w:tcW w:w="4333" w:type="dxa"/>
            <w:tcBorders>
              <w:top w:val="single" w:sz="4" w:space="0" w:color="auto"/>
              <w:bottom w:val="nil"/>
              <w:right w:val="nil"/>
            </w:tcBorders>
            <w:hideMark/>
          </w:tcPr>
          <w:p w14:paraId="0CEE37B6" w14:textId="77777777" w:rsidR="00AB205D" w:rsidRPr="00E21084" w:rsidRDefault="00471A3B">
            <w:pPr>
              <w:keepLines w:val="0"/>
              <w:autoSpaceDE w:val="0"/>
              <w:autoSpaceDN w:val="0"/>
              <w:adjustRightInd w:val="0"/>
              <w:rPr>
                <w:rFonts w:eastAsiaTheme="minorEastAsia" w:cstheme="majorHAnsi"/>
                <w:b/>
                <w:bCs/>
                <w:szCs w:val="17"/>
                <w:lang w:eastAsia="en-AU"/>
              </w:rPr>
            </w:pPr>
            <w:r w:rsidRPr="00E21084">
              <w:rPr>
                <w:rFonts w:eastAsiaTheme="minorEastAsia" w:cstheme="majorHAnsi"/>
                <w:b/>
                <w:bCs/>
                <w:szCs w:val="17"/>
                <w:lang w:eastAsia="en-AU"/>
              </w:rPr>
              <w:t>Net result from transactions</w:t>
            </w:r>
          </w:p>
        </w:tc>
        <w:tc>
          <w:tcPr>
            <w:tcW w:w="844" w:type="dxa"/>
            <w:tcBorders>
              <w:top w:val="single" w:sz="4" w:space="0" w:color="auto"/>
              <w:left w:val="nil"/>
              <w:bottom w:val="nil"/>
              <w:right w:val="nil"/>
            </w:tcBorders>
            <w:vAlign w:val="bottom"/>
          </w:tcPr>
          <w:p w14:paraId="29DBE9C4" w14:textId="77777777" w:rsidR="00AB205D" w:rsidRPr="00811C24"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96143D">
              <w:rPr>
                <w:rFonts w:ascii="Calibri" w:hAnsi="Calibri" w:cs="Calibri"/>
                <w:b/>
                <w:bCs/>
                <w:szCs w:val="17"/>
              </w:rPr>
              <w:t>535</w:t>
            </w:r>
          </w:p>
        </w:tc>
        <w:tc>
          <w:tcPr>
            <w:tcW w:w="844" w:type="dxa"/>
            <w:tcBorders>
              <w:top w:val="single" w:sz="4" w:space="0" w:color="auto"/>
              <w:left w:val="nil"/>
              <w:bottom w:val="nil"/>
              <w:right w:val="nil"/>
            </w:tcBorders>
            <w:vAlign w:val="bottom"/>
          </w:tcPr>
          <w:p w14:paraId="74A3DF93" w14:textId="77777777" w:rsidR="00AB205D" w:rsidRPr="00811C24"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96143D">
              <w:rPr>
                <w:rFonts w:ascii="Calibri" w:hAnsi="Calibri" w:cs="Calibri"/>
                <w:b/>
                <w:bCs/>
                <w:szCs w:val="17"/>
              </w:rPr>
              <w:t>39</w:t>
            </w:r>
          </w:p>
        </w:tc>
        <w:tc>
          <w:tcPr>
            <w:tcW w:w="845" w:type="dxa"/>
            <w:tcBorders>
              <w:top w:val="single" w:sz="4" w:space="0" w:color="auto"/>
              <w:left w:val="nil"/>
              <w:bottom w:val="nil"/>
              <w:right w:val="nil"/>
            </w:tcBorders>
            <w:vAlign w:val="bottom"/>
          </w:tcPr>
          <w:p w14:paraId="4DC50B04" w14:textId="77777777" w:rsidR="00AB205D" w:rsidRPr="00811C24"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96143D">
              <w:rPr>
                <w:rFonts w:ascii="Calibri" w:hAnsi="Calibri" w:cs="Calibri"/>
                <w:b/>
                <w:szCs w:val="17"/>
              </w:rPr>
              <w:t>(</w:t>
            </w:r>
            <w:r w:rsidRPr="0096143D">
              <w:rPr>
                <w:rFonts w:ascii="Calibri" w:hAnsi="Calibri" w:cs="Calibri"/>
                <w:b/>
                <w:bCs/>
                <w:szCs w:val="17"/>
              </w:rPr>
              <w:t>173</w:t>
            </w:r>
            <w:r w:rsidRPr="0096143D">
              <w:rPr>
                <w:rFonts w:ascii="Calibri" w:hAnsi="Calibri" w:cs="Calibri"/>
                <w:b/>
                <w:szCs w:val="17"/>
              </w:rPr>
              <w:t>)</w:t>
            </w:r>
          </w:p>
        </w:tc>
        <w:tc>
          <w:tcPr>
            <w:tcW w:w="845" w:type="dxa"/>
            <w:tcBorders>
              <w:top w:val="single" w:sz="4" w:space="0" w:color="auto"/>
              <w:left w:val="nil"/>
              <w:bottom w:val="nil"/>
            </w:tcBorders>
            <w:vAlign w:val="bottom"/>
          </w:tcPr>
          <w:p w14:paraId="1B447D62" w14:textId="77777777" w:rsidR="00AB205D" w:rsidRPr="00811C24" w:rsidRDefault="00471A3B">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96143D">
              <w:rPr>
                <w:rFonts w:ascii="Calibri" w:hAnsi="Calibri" w:cs="Calibri"/>
                <w:b/>
                <w:szCs w:val="17"/>
              </w:rPr>
              <w:t>(</w:t>
            </w:r>
            <w:r w:rsidRPr="0096143D">
              <w:rPr>
                <w:rFonts w:ascii="Calibri" w:hAnsi="Calibri" w:cs="Calibri"/>
                <w:b/>
                <w:bCs/>
                <w:szCs w:val="17"/>
              </w:rPr>
              <w:t>317</w:t>
            </w:r>
            <w:r w:rsidRPr="0096143D">
              <w:rPr>
                <w:rFonts w:ascii="Calibri" w:hAnsi="Calibri" w:cs="Calibri"/>
                <w:b/>
                <w:szCs w:val="17"/>
              </w:rPr>
              <w:t>)</w:t>
            </w:r>
          </w:p>
        </w:tc>
      </w:tr>
      <w:tr w:rsidR="009C6724" w:rsidRPr="00CF5471" w14:paraId="31A91538" w14:textId="77777777" w:rsidTr="009C672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3" w:type="dxa"/>
            <w:tcBorders>
              <w:top w:val="nil"/>
            </w:tcBorders>
            <w:hideMark/>
          </w:tcPr>
          <w:p w14:paraId="449DE094" w14:textId="77777777" w:rsidR="00AB205D" w:rsidRPr="00E21084" w:rsidRDefault="00471A3B">
            <w:pPr>
              <w:keepLines w:val="0"/>
              <w:autoSpaceDE w:val="0"/>
              <w:autoSpaceDN w:val="0"/>
              <w:adjustRightInd w:val="0"/>
              <w:rPr>
                <w:rFonts w:eastAsiaTheme="minorEastAsia" w:cstheme="majorBidi"/>
                <w:vertAlign w:val="superscript"/>
                <w:lang w:eastAsia="en-AU"/>
              </w:rPr>
            </w:pPr>
            <w:r w:rsidRPr="486CBCB0">
              <w:rPr>
                <w:rFonts w:eastAsiaTheme="minorEastAsia" w:cstheme="majorBidi"/>
                <w:lang w:eastAsia="en-AU"/>
              </w:rPr>
              <w:t xml:space="preserve">Net debt </w:t>
            </w:r>
            <w:r w:rsidRPr="486CBCB0">
              <w:rPr>
                <w:rFonts w:eastAsiaTheme="minorEastAsia" w:cstheme="majorBidi"/>
                <w:vertAlign w:val="superscript"/>
                <w:lang w:eastAsia="en-AU"/>
              </w:rPr>
              <w:t>(k)</w:t>
            </w:r>
          </w:p>
        </w:tc>
        <w:tc>
          <w:tcPr>
            <w:tcW w:w="844" w:type="dxa"/>
            <w:tcBorders>
              <w:top w:val="nil"/>
            </w:tcBorders>
            <w:vAlign w:val="bottom"/>
          </w:tcPr>
          <w:p w14:paraId="77BD6D12" w14:textId="77777777" w:rsidR="00AB205D" w:rsidRPr="00811C24" w:rsidRDefault="00471A3B">
            <w:pPr>
              <w:cnfStyle w:val="010000000000" w:firstRow="0" w:lastRow="1" w:firstColumn="0" w:lastColumn="0" w:oddVBand="0" w:evenVBand="0" w:oddHBand="0" w:evenHBand="0" w:firstRowFirstColumn="0" w:firstRowLastColumn="0" w:lastRowFirstColumn="0" w:lastRowLastColumn="0"/>
              <w:rPr>
                <w:rFonts w:cstheme="majorHAnsi"/>
                <w:szCs w:val="17"/>
              </w:rPr>
            </w:pPr>
            <w:r w:rsidRPr="00E43A10">
              <w:rPr>
                <w:rFonts w:ascii="Calibri" w:hAnsi="Calibri" w:cs="Calibri"/>
                <w:szCs w:val="17"/>
              </w:rPr>
              <w:t>(535)</w:t>
            </w:r>
          </w:p>
        </w:tc>
        <w:tc>
          <w:tcPr>
            <w:tcW w:w="844" w:type="dxa"/>
            <w:tcBorders>
              <w:top w:val="nil"/>
            </w:tcBorders>
            <w:vAlign w:val="bottom"/>
          </w:tcPr>
          <w:p w14:paraId="390E4D8A" w14:textId="77777777" w:rsidR="00AB205D" w:rsidRPr="00811C24" w:rsidRDefault="00471A3B">
            <w:pPr>
              <w:cnfStyle w:val="010000000000" w:firstRow="0" w:lastRow="1" w:firstColumn="0" w:lastColumn="0" w:oddVBand="0" w:evenVBand="0" w:oddHBand="0" w:evenHBand="0" w:firstRowFirstColumn="0" w:firstRowLastColumn="0" w:lastRowFirstColumn="0" w:lastRowLastColumn="0"/>
              <w:rPr>
                <w:rFonts w:cstheme="majorHAnsi"/>
                <w:szCs w:val="17"/>
              </w:rPr>
            </w:pPr>
            <w:r w:rsidRPr="00E43A10">
              <w:rPr>
                <w:rFonts w:ascii="Calibri" w:hAnsi="Calibri" w:cs="Calibri"/>
                <w:szCs w:val="17"/>
              </w:rPr>
              <w:t>(342)</w:t>
            </w:r>
          </w:p>
        </w:tc>
        <w:tc>
          <w:tcPr>
            <w:tcW w:w="845" w:type="dxa"/>
            <w:tcBorders>
              <w:top w:val="nil"/>
            </w:tcBorders>
            <w:vAlign w:val="bottom"/>
          </w:tcPr>
          <w:p w14:paraId="74C186AA" w14:textId="77777777" w:rsidR="00AB205D" w:rsidRPr="00811C24" w:rsidRDefault="00471A3B">
            <w:pPr>
              <w:cnfStyle w:val="010000000000" w:firstRow="0" w:lastRow="1" w:firstColumn="0" w:lastColumn="0" w:oddVBand="0" w:evenVBand="0" w:oddHBand="0" w:evenHBand="0" w:firstRowFirstColumn="0" w:firstRowLastColumn="0" w:lastRowFirstColumn="0" w:lastRowLastColumn="0"/>
              <w:rPr>
                <w:rFonts w:cstheme="majorHAnsi"/>
                <w:szCs w:val="17"/>
              </w:rPr>
            </w:pPr>
            <w:r w:rsidRPr="00E43A10">
              <w:rPr>
                <w:rFonts w:ascii="Calibri" w:hAnsi="Calibri" w:cs="Calibri"/>
                <w:szCs w:val="17"/>
              </w:rPr>
              <w:t>76</w:t>
            </w:r>
          </w:p>
        </w:tc>
        <w:tc>
          <w:tcPr>
            <w:tcW w:w="845" w:type="dxa"/>
            <w:tcBorders>
              <w:top w:val="nil"/>
            </w:tcBorders>
            <w:vAlign w:val="bottom"/>
          </w:tcPr>
          <w:p w14:paraId="3F58184D" w14:textId="77777777" w:rsidR="00AB205D" w:rsidRPr="00811C24" w:rsidRDefault="00471A3B">
            <w:pPr>
              <w:cnfStyle w:val="010000000000" w:firstRow="0" w:lastRow="1" w:firstColumn="0" w:lastColumn="0" w:oddVBand="0" w:evenVBand="0" w:oddHBand="0" w:evenHBand="0" w:firstRowFirstColumn="0" w:firstRowLastColumn="0" w:lastRowFirstColumn="0" w:lastRowLastColumn="0"/>
              <w:rPr>
                <w:rFonts w:cstheme="majorHAnsi"/>
                <w:szCs w:val="17"/>
              </w:rPr>
            </w:pPr>
            <w:r w:rsidRPr="00E43A10">
              <w:rPr>
                <w:rFonts w:ascii="Calibri" w:hAnsi="Calibri" w:cs="Calibri"/>
                <w:szCs w:val="17"/>
              </w:rPr>
              <w:t>750</w:t>
            </w:r>
          </w:p>
        </w:tc>
      </w:tr>
    </w:tbl>
    <w:bookmarkEnd w:id="142"/>
    <w:p w14:paraId="3E9FD79E" w14:textId="77777777" w:rsidR="00AB205D" w:rsidRDefault="00471A3B">
      <w:pPr>
        <w:pStyle w:val="Note"/>
      </w:pPr>
      <w:r>
        <w:t>Notes:</w:t>
      </w:r>
    </w:p>
    <w:p w14:paraId="151F8CD0" w14:textId="77777777" w:rsidR="00AB205D" w:rsidRDefault="00471A3B">
      <w:pPr>
        <w:pStyle w:val="Note"/>
      </w:pPr>
      <w:r>
        <w:t>(a)</w:t>
      </w:r>
      <w:r>
        <w:tab/>
        <w:t>Variations are applied to the economic variables effective from the first day in the budget year (1 July 2023). It is assumed that each variable’s growth rate matches that under a no-variation scenario for the forward estimates period. This implies that the level of all economic variables (other than interest rates) is 1 per cent higher in level terms in each year of the budget and forward estimates. Interest rates are assumed to be 1 percentage point higher in each year of the budget and forward estimates.</w:t>
      </w:r>
    </w:p>
    <w:p w14:paraId="7669B4D1" w14:textId="77777777" w:rsidR="00AB205D" w:rsidRDefault="00471A3B">
      <w:pPr>
        <w:pStyle w:val="Note"/>
      </w:pPr>
      <w:r>
        <w:t>(b)</w:t>
      </w:r>
      <w:r>
        <w:tab/>
        <w:t xml:space="preserve">A positive number for income from transactions denotes an increase in revenue. A positive number for expenses from transactions denotes an increase in expenses (and hence a reduction in the net result from transactions). A positive number for the net result from transactions denotes a higher surplus or smaller deficit. A positive number for net debt denotes a higher level of net debt in the relevant year compared with a no-variation scenario. </w:t>
      </w:r>
    </w:p>
    <w:p w14:paraId="504AAB0A" w14:textId="77777777" w:rsidR="00AB205D" w:rsidRDefault="00471A3B">
      <w:pPr>
        <w:pStyle w:val="Note"/>
      </w:pPr>
      <w:r>
        <w:t>(c)</w:t>
      </w:r>
      <w:r>
        <w:tab/>
        <w:t>Only reasonably quantifiable impacts have been included in the analysis.</w:t>
      </w:r>
    </w:p>
    <w:p w14:paraId="5B9074E0" w14:textId="77777777" w:rsidR="00AB205D" w:rsidRDefault="00471A3B">
      <w:pPr>
        <w:pStyle w:val="Note"/>
      </w:pPr>
      <w:r>
        <w:t>(d)</w:t>
      </w:r>
      <w:r>
        <w:tab/>
        <w:t xml:space="preserve">Figures may not add due to rounding. </w:t>
      </w:r>
    </w:p>
    <w:p w14:paraId="4FE091D6" w14:textId="77777777" w:rsidR="00AB205D" w:rsidRDefault="00471A3B">
      <w:pPr>
        <w:pStyle w:val="Note"/>
      </w:pPr>
      <w:r w:rsidRPr="00AE6CC7">
        <w:t>(e)</w:t>
      </w:r>
      <w:r w:rsidRPr="00AE6CC7">
        <w:tab/>
        <w:t>Estimates of net debt are approximately equal to the cumulative impact of the net result from transactions. The difference between the cumulative net result from transactions and net debt is due to non-cash expenses.</w:t>
      </w:r>
    </w:p>
    <w:p w14:paraId="75479E1F" w14:textId="77777777" w:rsidR="00AB205D" w:rsidRDefault="00471A3B">
      <w:pPr>
        <w:pStyle w:val="Note"/>
      </w:pPr>
      <w:r>
        <w:t>(f)</w:t>
      </w:r>
      <w:r>
        <w:tab/>
        <w:t xml:space="preserve">A shock to employment is assumed to impact payroll tax revenue. Both public and private sector employment levels are assumed to be 1 per cent higher across the four years, with the shares of full-time and part-time employment held constant; the rise in public sector employment increases general government sector employee expenses. </w:t>
      </w:r>
    </w:p>
    <w:p w14:paraId="578A143B" w14:textId="77777777" w:rsidR="00AB205D" w:rsidRDefault="00471A3B">
      <w:pPr>
        <w:pStyle w:val="Note"/>
      </w:pPr>
      <w:r>
        <w:t>(g)</w:t>
      </w:r>
      <w:r>
        <w:tab/>
      </w:r>
      <w:r w:rsidRPr="00701167">
        <w:t>Estimates assume that higher consumer prices flow through to government operating expenses, such as the purchase of supplies and consumables and the purchase of services. For simplicity, these estimates make no assumptions about agencies’ administrative actions or government policy responses to mitigate the effects of higher inflation on aggregate spending. It is assumed an increase in consumer prices within the budget year does not affect employee entitlements.</w:t>
      </w:r>
      <w:r w:rsidRPr="00701167" w:rsidDel="00701167">
        <w:t xml:space="preserve"> </w:t>
      </w:r>
    </w:p>
    <w:p w14:paraId="6736F6C5" w14:textId="77777777" w:rsidR="00AB205D" w:rsidRDefault="00471A3B">
      <w:pPr>
        <w:pStyle w:val="Note"/>
      </w:pPr>
      <w:r>
        <w:t>(h)</w:t>
      </w:r>
      <w:r>
        <w:tab/>
        <w:t xml:space="preserve">A positive shock to average weekly earnings increases the expenses of public financial and non-financial corporations and reduces the general government sector’s income from dividends and ITEs. </w:t>
      </w:r>
    </w:p>
    <w:p w14:paraId="42A5CD84" w14:textId="77777777" w:rsidR="00AB205D" w:rsidRDefault="00471A3B">
      <w:pPr>
        <w:pStyle w:val="Note"/>
      </w:pPr>
      <w:r>
        <w:t>(</w:t>
      </w:r>
      <w:r w:rsidRPr="00AE6CC7">
        <w:t>i)</w:t>
      </w:r>
      <w:r w:rsidRPr="00AE6CC7">
        <w:tab/>
        <w:t>The smaller impact on the net result from transactions, compared with the impact on net debt, reflects that only the income component of the State’s investment return (and not the capital gain) is recorded on the operating statement.</w:t>
      </w:r>
    </w:p>
    <w:p w14:paraId="6DCA14A5" w14:textId="77777777" w:rsidR="00AB205D" w:rsidRDefault="00471A3B">
      <w:pPr>
        <w:pStyle w:val="Note"/>
      </w:pPr>
      <w:r>
        <w:t>(j)</w:t>
      </w:r>
      <w:r>
        <w:tab/>
        <w:t xml:space="preserve">Interest rates are assumed to be 1 percentage point higher in each year of the budget and forward estimates. The fiscal impact is based on the portion of government debt that would change value due to being refinanced, as well as new debt issuance. </w:t>
      </w:r>
    </w:p>
    <w:p w14:paraId="7C86FA05" w14:textId="77777777" w:rsidR="00AB205D" w:rsidRDefault="00471A3B">
      <w:pPr>
        <w:pStyle w:val="Note"/>
      </w:pPr>
      <w:r>
        <w:t>(k)</w:t>
      </w:r>
      <w:r>
        <w:tab/>
        <w:t>The larger impact on the net debt, compared with the impact on the net result from transactions, reflects that a reduction in non</w:t>
      </w:r>
      <w:r>
        <w:noBreakHyphen/>
        <w:t>cash superannuation expenses reduces operating expenses but does not reduce the net debt.</w:t>
      </w:r>
    </w:p>
    <w:p w14:paraId="61328A39" w14:textId="77777777" w:rsidR="00AB205D" w:rsidRDefault="00471A3B">
      <w:pPr>
        <w:pStyle w:val="Note"/>
      </w:pPr>
      <w:r>
        <w:t xml:space="preserve"> </w:t>
      </w:r>
    </w:p>
    <w:p w14:paraId="6AEDA903" w14:textId="51633B42" w:rsidR="005F294E" w:rsidRDefault="005F294E">
      <w:pPr>
        <w:keepLines w:val="0"/>
        <w:rPr>
          <w:rFonts w:asciiTheme="majorHAnsi" w:hAnsiTheme="majorHAnsi" w:cstheme="minorBidi"/>
          <w:i/>
          <w:sz w:val="14"/>
        </w:rPr>
      </w:pPr>
      <w:r>
        <w:br w:type="page"/>
      </w:r>
    </w:p>
    <w:p w14:paraId="66E539DA" w14:textId="77777777" w:rsidR="00AB205D" w:rsidRDefault="00AB205D" w:rsidP="005F294E"/>
    <w:p w14:paraId="3A79BF0B" w14:textId="77777777" w:rsidR="00AB205D" w:rsidRPr="00532CD9" w:rsidRDefault="00AB205D"/>
    <w:p w14:paraId="6BA2D2A6" w14:textId="77777777" w:rsidR="00AB205D" w:rsidRDefault="00AB205D"/>
    <w:p w14:paraId="4573BD60" w14:textId="77777777" w:rsidR="00341416" w:rsidRDefault="00341416" w:rsidP="00341416">
      <w:pPr>
        <w:keepLines w:val="0"/>
      </w:pPr>
    </w:p>
    <w:p w14:paraId="0434EDF6" w14:textId="77777777" w:rsidR="00341416" w:rsidRDefault="00341416" w:rsidP="00341416">
      <w:pPr>
        <w:sectPr w:rsidR="00341416" w:rsidSect="00570639">
          <w:footerReference w:type="even" r:id="rId125"/>
          <w:footerReference w:type="default" r:id="rId126"/>
          <w:pgSz w:w="9979" w:h="14175" w:code="34"/>
          <w:pgMar w:top="1134" w:right="1134" w:bottom="1134" w:left="1134" w:header="624" w:footer="567" w:gutter="0"/>
          <w:cols w:space="708"/>
          <w:docGrid w:linePitch="360"/>
        </w:sectPr>
      </w:pPr>
    </w:p>
    <w:p w14:paraId="36FA1372" w14:textId="77777777" w:rsidR="00AB205D" w:rsidRDefault="00471A3B">
      <w:pPr>
        <w:pStyle w:val="ChapterHeading"/>
      </w:pPr>
      <w:bookmarkStart w:id="143" w:name="_Toc152933063"/>
      <w:r>
        <w:lastRenderedPageBreak/>
        <w:t xml:space="preserve">Appendix E – Requirements of the </w:t>
      </w:r>
      <w:r w:rsidRPr="00ED0ECB">
        <w:rPr>
          <w:i/>
          <w:iCs/>
        </w:rPr>
        <w:t>financial management act 1994</w:t>
      </w:r>
      <w:bookmarkEnd w:id="143"/>
    </w:p>
    <w:p w14:paraId="32C8BC2E" w14:textId="77777777" w:rsidR="00AB205D" w:rsidRDefault="00471A3B">
      <w:r>
        <w:t xml:space="preserve">The </w:t>
      </w:r>
      <w:r w:rsidRPr="00962EB8">
        <w:rPr>
          <w:i/>
          <w:iCs/>
        </w:rPr>
        <w:t>Financial Management Act 1994</w:t>
      </w:r>
      <w:r>
        <w:t xml:space="preserve"> (the Act) requires the Minister to prepare a budget update for tabling in Parliament each financial year. The provisions of the Act have been complied with in the </w:t>
      </w:r>
      <w:r w:rsidRPr="00B1038B">
        <w:rPr>
          <w:i/>
          <w:iCs/>
        </w:rPr>
        <w:t>202</w:t>
      </w:r>
      <w:r>
        <w:rPr>
          <w:i/>
          <w:iCs/>
        </w:rPr>
        <w:t>3</w:t>
      </w:r>
      <w:r w:rsidRPr="00B1038B">
        <w:rPr>
          <w:i/>
          <w:iCs/>
        </w:rPr>
        <w:noBreakHyphen/>
        <w:t>2</w:t>
      </w:r>
      <w:r>
        <w:rPr>
          <w:i/>
          <w:iCs/>
        </w:rPr>
        <w:t>4</w:t>
      </w:r>
      <w:r w:rsidRPr="00962EB8">
        <w:rPr>
          <w:i/>
          <w:iCs/>
        </w:rPr>
        <w:t xml:space="preserve"> Budget Update</w:t>
      </w:r>
      <w:r>
        <w:t>.</w:t>
      </w:r>
    </w:p>
    <w:p w14:paraId="59E7FA4A" w14:textId="77777777" w:rsidR="00AB205D" w:rsidRDefault="00471A3B">
      <w:r>
        <w:t>Table E.1 details the statements required to be included in this document under the provisions of the Act together with appropriate chapter references.</w:t>
      </w:r>
    </w:p>
    <w:p w14:paraId="3379D0F6" w14:textId="77777777" w:rsidR="00AB205D" w:rsidRDefault="00471A3B">
      <w:pPr>
        <w:pStyle w:val="TableHeading"/>
      </w:pPr>
      <w:r>
        <w:t>Table E.1:</w:t>
      </w:r>
      <w:r>
        <w:tab/>
        <w:t xml:space="preserve">Statements required by the </w:t>
      </w:r>
      <w:r w:rsidRPr="00962EB8">
        <w:rPr>
          <w:i/>
        </w:rPr>
        <w:t>Financial Management Act 1994</w:t>
      </w:r>
      <w:r>
        <w:t xml:space="preserve"> and their location in the </w:t>
      </w:r>
      <w:r w:rsidRPr="00B1038B">
        <w:rPr>
          <w:i/>
        </w:rPr>
        <w:t>202</w:t>
      </w:r>
      <w:r>
        <w:rPr>
          <w:i/>
        </w:rPr>
        <w:t>3</w:t>
      </w:r>
      <w:r w:rsidRPr="00B1038B">
        <w:rPr>
          <w:i/>
        </w:rPr>
        <w:noBreakHyphen/>
        <w:t>2</w:t>
      </w:r>
      <w:r>
        <w:rPr>
          <w:i/>
        </w:rPr>
        <w:t>4</w:t>
      </w:r>
      <w:r w:rsidRPr="00962EB8">
        <w:rPr>
          <w:i/>
        </w:rPr>
        <w:t xml:space="preserve"> Budget Update</w:t>
      </w:r>
    </w:p>
    <w:tbl>
      <w:tblPr>
        <w:tblStyle w:val="DTFTableText"/>
        <w:tblW w:w="0" w:type="auto"/>
        <w:tblLook w:val="0620" w:firstRow="1" w:lastRow="0" w:firstColumn="0" w:lastColumn="0" w:noHBand="1" w:noVBand="1"/>
      </w:tblPr>
      <w:tblGrid>
        <w:gridCol w:w="3973"/>
        <w:gridCol w:w="3738"/>
      </w:tblGrid>
      <w:tr w:rsidR="009C6724" w:rsidRPr="00231150" w14:paraId="14CD17BE" w14:textId="77777777" w:rsidTr="009C6724">
        <w:trPr>
          <w:cnfStyle w:val="100000000000" w:firstRow="1" w:lastRow="0" w:firstColumn="0" w:lastColumn="0" w:oddVBand="0" w:evenVBand="0" w:oddHBand="0" w:evenHBand="0" w:firstRowFirstColumn="0" w:firstRowLastColumn="0" w:lastRowFirstColumn="0" w:lastRowLastColumn="0"/>
        </w:trPr>
        <w:tc>
          <w:tcPr>
            <w:tcW w:w="3973" w:type="dxa"/>
          </w:tcPr>
          <w:p w14:paraId="63522C4E" w14:textId="77777777" w:rsidR="00AB205D" w:rsidRPr="00231150" w:rsidRDefault="00471A3B">
            <w:r w:rsidRPr="00231150">
              <w:t xml:space="preserve">Relevant section of the Act and </w:t>
            </w:r>
            <w:r w:rsidRPr="00231150">
              <w:br/>
              <w:t>corresponding requirement</w:t>
            </w:r>
          </w:p>
        </w:tc>
        <w:tc>
          <w:tcPr>
            <w:tcW w:w="3738" w:type="dxa"/>
          </w:tcPr>
          <w:p w14:paraId="627A9C5A" w14:textId="77777777" w:rsidR="00AB205D" w:rsidRPr="00231150" w:rsidRDefault="00471A3B">
            <w:r w:rsidRPr="00231150">
              <w:t>Location</w:t>
            </w:r>
          </w:p>
        </w:tc>
      </w:tr>
      <w:tr w:rsidR="009C6724" w:rsidRPr="00962EB8" w14:paraId="1070F9A9" w14:textId="77777777" w:rsidTr="009C6724">
        <w:tc>
          <w:tcPr>
            <w:tcW w:w="3973" w:type="dxa"/>
          </w:tcPr>
          <w:p w14:paraId="1B148ED8" w14:textId="77777777" w:rsidR="00AB205D" w:rsidRPr="00962EB8" w:rsidRDefault="00471A3B">
            <w:pPr>
              <w:rPr>
                <w:b/>
                <w:bCs/>
              </w:rPr>
            </w:pPr>
            <w:r w:rsidRPr="00962EB8">
              <w:rPr>
                <w:b/>
                <w:bCs/>
              </w:rPr>
              <w:t>Sections 23 E</w:t>
            </w:r>
            <w:r w:rsidRPr="00962EB8">
              <w:rPr>
                <w:b/>
                <w:bCs/>
              </w:rPr>
              <w:noBreakHyphen/>
              <w:t>G</w:t>
            </w:r>
          </w:p>
        </w:tc>
        <w:tc>
          <w:tcPr>
            <w:tcW w:w="3738" w:type="dxa"/>
          </w:tcPr>
          <w:p w14:paraId="7EB8BE7F" w14:textId="77777777" w:rsidR="00AB205D" w:rsidRPr="00962EB8" w:rsidRDefault="00AB205D">
            <w:pPr>
              <w:rPr>
                <w:b/>
                <w:bCs/>
              </w:rPr>
            </w:pPr>
          </w:p>
        </w:tc>
      </w:tr>
      <w:tr w:rsidR="009C6724" w:rsidRPr="00231150" w14:paraId="414B6D3A" w14:textId="77777777" w:rsidTr="009C6724">
        <w:tc>
          <w:tcPr>
            <w:tcW w:w="3973" w:type="dxa"/>
          </w:tcPr>
          <w:p w14:paraId="5926950C" w14:textId="77777777" w:rsidR="00AB205D" w:rsidRPr="00B364DA" w:rsidRDefault="00471A3B">
            <w:r w:rsidRPr="0006592E">
              <w:rPr>
                <w:rFonts w:cstheme="minorHAnsi"/>
              </w:rPr>
              <w:t>Statement of financial policy objectives and strategies for the year including the short- and long-term financial objectives, key financial measures, the relationship to the principles of sound financial management and any temporary financial policy actions</w:t>
            </w:r>
          </w:p>
        </w:tc>
        <w:tc>
          <w:tcPr>
            <w:tcW w:w="3738" w:type="dxa"/>
          </w:tcPr>
          <w:p w14:paraId="3830C03B" w14:textId="77777777" w:rsidR="00AB205D" w:rsidRPr="00231150" w:rsidRDefault="00471A3B">
            <w:r w:rsidRPr="00231150">
              <w:t xml:space="preserve">Chapter 1 </w:t>
            </w:r>
            <w:r w:rsidRPr="00962EB8">
              <w:rPr>
                <w:i/>
                <w:iCs/>
              </w:rPr>
              <w:t>Economic and fiscal overview</w:t>
            </w:r>
          </w:p>
        </w:tc>
      </w:tr>
      <w:tr w:rsidR="009C6724" w:rsidRPr="00962EB8" w14:paraId="7FBE3704" w14:textId="77777777" w:rsidTr="009C6724">
        <w:tc>
          <w:tcPr>
            <w:tcW w:w="3973" w:type="dxa"/>
          </w:tcPr>
          <w:p w14:paraId="05AA2317" w14:textId="77777777" w:rsidR="00AB205D" w:rsidRPr="00B364DA" w:rsidRDefault="00471A3B">
            <w:pPr>
              <w:rPr>
                <w:b/>
                <w:bCs/>
              </w:rPr>
            </w:pPr>
            <w:r w:rsidRPr="00B364DA">
              <w:rPr>
                <w:b/>
                <w:bCs/>
              </w:rPr>
              <w:t>Sections 23 H</w:t>
            </w:r>
            <w:r w:rsidRPr="00B364DA">
              <w:rPr>
                <w:b/>
                <w:bCs/>
              </w:rPr>
              <w:noBreakHyphen/>
              <w:t>N</w:t>
            </w:r>
          </w:p>
        </w:tc>
        <w:tc>
          <w:tcPr>
            <w:tcW w:w="3738" w:type="dxa"/>
          </w:tcPr>
          <w:p w14:paraId="6B10D4BD" w14:textId="77777777" w:rsidR="00AB205D" w:rsidRPr="00962EB8" w:rsidRDefault="00AB205D">
            <w:pPr>
              <w:rPr>
                <w:b/>
                <w:bCs/>
              </w:rPr>
            </w:pPr>
          </w:p>
        </w:tc>
      </w:tr>
      <w:tr w:rsidR="009C6724" w:rsidRPr="00231150" w14:paraId="06652F83" w14:textId="77777777" w:rsidTr="009C6724">
        <w:tc>
          <w:tcPr>
            <w:tcW w:w="3973" w:type="dxa"/>
          </w:tcPr>
          <w:p w14:paraId="3F518512" w14:textId="77777777" w:rsidR="00AB205D" w:rsidRPr="0006592E" w:rsidRDefault="00471A3B">
            <w:pPr>
              <w:rPr>
                <w:rFonts w:cstheme="minorHAnsi"/>
              </w:rPr>
            </w:pPr>
            <w:r w:rsidRPr="0006592E">
              <w:rPr>
                <w:rFonts w:cstheme="minorHAnsi"/>
              </w:rPr>
              <w:t>Estimated general government sector financial statements for the year comprising:</w:t>
            </w:r>
          </w:p>
          <w:p w14:paraId="356ADDAE" w14:textId="77777777" w:rsidR="00AB205D" w:rsidRPr="0006592E" w:rsidRDefault="00471A3B" w:rsidP="00570639">
            <w:pPr>
              <w:pStyle w:val="ListBullet"/>
              <w:numPr>
                <w:ilvl w:val="0"/>
                <w:numId w:val="14"/>
              </w:numPr>
            </w:pPr>
            <w:r w:rsidRPr="0006592E">
              <w:t>an estimated statement of financial performance</w:t>
            </w:r>
          </w:p>
          <w:p w14:paraId="5FC72364" w14:textId="77777777" w:rsidR="00AB205D" w:rsidRPr="0006592E" w:rsidRDefault="00471A3B" w:rsidP="00570639">
            <w:pPr>
              <w:pStyle w:val="ListBullet"/>
              <w:numPr>
                <w:ilvl w:val="0"/>
                <w:numId w:val="14"/>
              </w:numPr>
            </w:pPr>
            <w:r w:rsidRPr="0006592E">
              <w:t>an estimated statement of financial position at the end of the year</w:t>
            </w:r>
          </w:p>
          <w:p w14:paraId="75A5A298" w14:textId="77777777" w:rsidR="00AB205D" w:rsidRPr="0006592E" w:rsidRDefault="00471A3B" w:rsidP="00570639">
            <w:pPr>
              <w:pStyle w:val="ListBullet"/>
              <w:numPr>
                <w:ilvl w:val="0"/>
                <w:numId w:val="14"/>
              </w:numPr>
            </w:pPr>
            <w:r w:rsidRPr="0006592E">
              <w:t xml:space="preserve">an estimated statement of cash flows for the year </w:t>
            </w:r>
          </w:p>
          <w:p w14:paraId="6E5B974E" w14:textId="77777777" w:rsidR="00AB205D" w:rsidRPr="00A9029A" w:rsidRDefault="00471A3B" w:rsidP="00570639">
            <w:pPr>
              <w:pStyle w:val="ListBullet"/>
              <w:numPr>
                <w:ilvl w:val="0"/>
                <w:numId w:val="14"/>
              </w:numPr>
            </w:pPr>
            <w:r w:rsidRPr="0006592E">
              <w:t>a statement of the accounting policies on which these statements are based and explanatory notes</w:t>
            </w:r>
          </w:p>
        </w:tc>
        <w:tc>
          <w:tcPr>
            <w:tcW w:w="3738" w:type="dxa"/>
          </w:tcPr>
          <w:p w14:paraId="4AC86F5D" w14:textId="77777777" w:rsidR="00AB205D" w:rsidRPr="00231150" w:rsidRDefault="00471A3B">
            <w:r w:rsidRPr="00231150">
              <w:t xml:space="preserve">Chapter 4 </w:t>
            </w:r>
            <w:r w:rsidRPr="00962EB8">
              <w:rPr>
                <w:i/>
                <w:iCs/>
              </w:rPr>
              <w:t>Estimated financial statements and notes</w:t>
            </w:r>
            <w:r w:rsidRPr="00231150">
              <w:t xml:space="preserve"> (including estimated </w:t>
            </w:r>
            <w:r>
              <w:t xml:space="preserve">consolidated </w:t>
            </w:r>
            <w:r w:rsidRPr="00231150">
              <w:t xml:space="preserve">general government sector comprehensive operating statement, estimated </w:t>
            </w:r>
            <w:r>
              <w:t xml:space="preserve">consolidated </w:t>
            </w:r>
            <w:r w:rsidRPr="00231150">
              <w:t xml:space="preserve">general government sector balance sheet, estimated </w:t>
            </w:r>
            <w:r>
              <w:t xml:space="preserve">consolidated </w:t>
            </w:r>
            <w:r w:rsidRPr="00231150">
              <w:t xml:space="preserve">general government sector cash flow statement, and estimated </w:t>
            </w:r>
            <w:r>
              <w:t xml:space="preserve">consolidated </w:t>
            </w:r>
            <w:r w:rsidRPr="00231150">
              <w:t>general government sector statement of changes in equity provided as per AASB 1049)</w:t>
            </w:r>
          </w:p>
        </w:tc>
      </w:tr>
    </w:tbl>
    <w:p w14:paraId="72DC5734" w14:textId="77777777" w:rsidR="00AB205D" w:rsidRDefault="00471A3B">
      <w:pPr>
        <w:pStyle w:val="TableHeading"/>
        <w:pageBreakBefore/>
      </w:pPr>
      <w:r w:rsidRPr="00962EB8">
        <w:lastRenderedPageBreak/>
        <w:t xml:space="preserve">Table </w:t>
      </w:r>
      <w:r>
        <w:t>E</w:t>
      </w:r>
      <w:r w:rsidRPr="00962EB8">
        <w:t>.1:</w:t>
      </w:r>
      <w:r w:rsidRPr="00962EB8">
        <w:tab/>
        <w:t xml:space="preserve">Statements required by the </w:t>
      </w:r>
      <w:r w:rsidRPr="00962EB8">
        <w:rPr>
          <w:i/>
        </w:rPr>
        <w:t>Financial Management Act 1994</w:t>
      </w:r>
      <w:r w:rsidRPr="00962EB8">
        <w:t xml:space="preserve"> and their location in </w:t>
      </w:r>
      <w:r w:rsidRPr="00B1038B">
        <w:t xml:space="preserve">the </w:t>
      </w:r>
      <w:r w:rsidRPr="00B1038B">
        <w:rPr>
          <w:i/>
        </w:rPr>
        <w:t>202</w:t>
      </w:r>
      <w:r>
        <w:rPr>
          <w:i/>
        </w:rPr>
        <w:t>3</w:t>
      </w:r>
      <w:r w:rsidRPr="00B1038B">
        <w:rPr>
          <w:i/>
        </w:rPr>
        <w:t>-2</w:t>
      </w:r>
      <w:r>
        <w:rPr>
          <w:i/>
        </w:rPr>
        <w:t>4</w:t>
      </w:r>
      <w:r w:rsidRPr="00962EB8">
        <w:rPr>
          <w:i/>
        </w:rPr>
        <w:t xml:space="preserve"> Budget </w:t>
      </w:r>
      <w:r w:rsidRPr="00E343EB">
        <w:t xml:space="preserve">Update </w:t>
      </w:r>
      <w:r w:rsidRPr="00E343EB">
        <w:rPr>
          <w:i/>
          <w:iCs w:val="0"/>
          <w:sz w:val="18"/>
          <w:szCs w:val="16"/>
        </w:rPr>
        <w:t>(continued)</w:t>
      </w:r>
    </w:p>
    <w:tbl>
      <w:tblPr>
        <w:tblStyle w:val="DTFTableText"/>
        <w:tblW w:w="0" w:type="auto"/>
        <w:tblLook w:val="0620" w:firstRow="1" w:lastRow="0" w:firstColumn="0" w:lastColumn="0" w:noHBand="1" w:noVBand="1"/>
      </w:tblPr>
      <w:tblGrid>
        <w:gridCol w:w="3861"/>
        <w:gridCol w:w="3850"/>
      </w:tblGrid>
      <w:tr w:rsidR="009C6724" w:rsidRPr="00231150" w14:paraId="71BBEE2D" w14:textId="77777777" w:rsidTr="009C6724">
        <w:trPr>
          <w:cnfStyle w:val="100000000000" w:firstRow="1" w:lastRow="0" w:firstColumn="0" w:lastColumn="0" w:oddVBand="0" w:evenVBand="0" w:oddHBand="0" w:evenHBand="0" w:firstRowFirstColumn="0" w:firstRowLastColumn="0" w:lastRowFirstColumn="0" w:lastRowLastColumn="0"/>
        </w:trPr>
        <w:tc>
          <w:tcPr>
            <w:tcW w:w="3861" w:type="dxa"/>
          </w:tcPr>
          <w:p w14:paraId="0A0A62F3" w14:textId="77777777" w:rsidR="00AB205D" w:rsidRPr="00231150" w:rsidRDefault="00471A3B">
            <w:r w:rsidRPr="00231150">
              <w:t xml:space="preserve">Relevant section of the Act and </w:t>
            </w:r>
            <w:r w:rsidRPr="00231150">
              <w:br/>
              <w:t>corresponding requirement</w:t>
            </w:r>
          </w:p>
        </w:tc>
        <w:tc>
          <w:tcPr>
            <w:tcW w:w="3850" w:type="dxa"/>
          </w:tcPr>
          <w:p w14:paraId="4B82BDE6" w14:textId="77777777" w:rsidR="00AB205D" w:rsidRPr="00231150" w:rsidRDefault="00471A3B">
            <w:r w:rsidRPr="00231150">
              <w:t>Location</w:t>
            </w:r>
          </w:p>
        </w:tc>
      </w:tr>
      <w:tr w:rsidR="009C6724" w:rsidRPr="00231150" w14:paraId="6E22D664" w14:textId="77777777" w:rsidTr="009C6724">
        <w:trPr>
          <w:trHeight w:val="326"/>
        </w:trPr>
        <w:tc>
          <w:tcPr>
            <w:tcW w:w="3861" w:type="dxa"/>
          </w:tcPr>
          <w:p w14:paraId="51AD3B71" w14:textId="77777777" w:rsidR="00AB205D" w:rsidRPr="00577DD5" w:rsidRDefault="00471A3B">
            <w:pPr>
              <w:rPr>
                <w:b/>
                <w:bCs/>
              </w:rPr>
            </w:pPr>
            <w:r w:rsidRPr="00A9029A">
              <w:rPr>
                <w:rFonts w:cstheme="minorHAnsi"/>
              </w:rPr>
              <w:t>The estimated financial statements take into account Government decisions and other circumstances that may have a material effect on the estimated financial statements and are prepared on a basis consistent with the current financial policy objectives, strategies statement and have regard to appropriate financial reporting frameworks</w:t>
            </w:r>
          </w:p>
        </w:tc>
        <w:tc>
          <w:tcPr>
            <w:tcW w:w="3850" w:type="dxa"/>
          </w:tcPr>
          <w:p w14:paraId="7DCE4B11" w14:textId="77777777" w:rsidR="00AB205D" w:rsidRPr="00231150" w:rsidRDefault="00471A3B">
            <w:r w:rsidRPr="00231150">
              <w:t xml:space="preserve">Appendix A </w:t>
            </w:r>
            <w:r w:rsidRPr="00962EB8">
              <w:rPr>
                <w:i/>
                <w:iCs/>
              </w:rPr>
              <w:t xml:space="preserve">Specific policy initiatives affecting </w:t>
            </w:r>
            <w:r>
              <w:rPr>
                <w:i/>
                <w:iCs/>
              </w:rPr>
              <w:t xml:space="preserve">the </w:t>
            </w:r>
            <w:r w:rsidRPr="00962EB8">
              <w:rPr>
                <w:i/>
                <w:iCs/>
              </w:rPr>
              <w:t>budget position</w:t>
            </w:r>
          </w:p>
        </w:tc>
      </w:tr>
      <w:tr w:rsidR="009C6724" w:rsidRPr="00231150" w14:paraId="026B1595" w14:textId="77777777" w:rsidTr="009C6724">
        <w:trPr>
          <w:trHeight w:val="326"/>
        </w:trPr>
        <w:tc>
          <w:tcPr>
            <w:tcW w:w="3861" w:type="dxa"/>
          </w:tcPr>
          <w:p w14:paraId="4987A70C" w14:textId="77777777" w:rsidR="00AB205D" w:rsidRDefault="00471A3B">
            <w:pPr>
              <w:rPr>
                <w:b/>
                <w:bCs/>
              </w:rPr>
            </w:pPr>
            <w:r w:rsidRPr="00577DD5">
              <w:rPr>
                <w:b/>
                <w:bCs/>
              </w:rPr>
              <w:t xml:space="preserve">Section 23K </w:t>
            </w:r>
          </w:p>
          <w:p w14:paraId="742066C6" w14:textId="77777777" w:rsidR="00AB205D" w:rsidRPr="00231150" w:rsidRDefault="00471A3B">
            <w:r w:rsidRPr="00A9029A">
              <w:rPr>
                <w:rFonts w:cstheme="minorHAnsi"/>
              </w:rPr>
              <w:t>Accompanying statements which take into account Government decisions and other circumstances that may have a material effect on each set of estimated financial statements comprising:</w:t>
            </w:r>
          </w:p>
        </w:tc>
        <w:tc>
          <w:tcPr>
            <w:tcW w:w="3850" w:type="dxa"/>
          </w:tcPr>
          <w:p w14:paraId="1A13BDF5" w14:textId="77777777" w:rsidR="00AB205D" w:rsidRPr="00231150" w:rsidRDefault="00AB205D"/>
        </w:tc>
      </w:tr>
      <w:tr w:rsidR="009C6724" w:rsidRPr="00231150" w14:paraId="207FB9BF" w14:textId="77777777" w:rsidTr="009C6724">
        <w:tc>
          <w:tcPr>
            <w:tcW w:w="3861" w:type="dxa"/>
          </w:tcPr>
          <w:p w14:paraId="6127A3BC" w14:textId="77777777" w:rsidR="00AB205D" w:rsidRPr="00B364DA" w:rsidRDefault="00471A3B" w:rsidP="00570639">
            <w:pPr>
              <w:pStyle w:val="ListBullet"/>
              <w:numPr>
                <w:ilvl w:val="0"/>
                <w:numId w:val="14"/>
              </w:numPr>
            </w:pPr>
            <w:r w:rsidRPr="001D0543">
              <w:t>a statement of the material economic and other assumptions that have been used in preparing the estimated financial statements</w:t>
            </w:r>
          </w:p>
        </w:tc>
        <w:tc>
          <w:tcPr>
            <w:tcW w:w="3850" w:type="dxa"/>
          </w:tcPr>
          <w:p w14:paraId="48C13C64" w14:textId="77777777" w:rsidR="00AB205D" w:rsidRDefault="00471A3B">
            <w:pPr>
              <w:rPr>
                <w:i/>
                <w:iCs/>
              </w:rPr>
            </w:pPr>
            <w:r w:rsidRPr="00231150">
              <w:t xml:space="preserve">Chapter 2 </w:t>
            </w:r>
            <w:r w:rsidRPr="00962EB8">
              <w:rPr>
                <w:i/>
                <w:iCs/>
              </w:rPr>
              <w:t>Economic context</w:t>
            </w:r>
          </w:p>
          <w:p w14:paraId="383691AF" w14:textId="77777777" w:rsidR="00AB205D" w:rsidRPr="00231150" w:rsidRDefault="00471A3B">
            <w:r w:rsidRPr="00231150">
              <w:t xml:space="preserve">Chapter 4 </w:t>
            </w:r>
            <w:r w:rsidRPr="00962EB8">
              <w:rPr>
                <w:i/>
                <w:iCs/>
              </w:rPr>
              <w:t>Estimated financial statements and notes</w:t>
            </w:r>
          </w:p>
        </w:tc>
      </w:tr>
      <w:tr w:rsidR="009C6724" w:rsidRPr="00231150" w14:paraId="30D4EBA0" w14:textId="77777777" w:rsidTr="009C6724">
        <w:tc>
          <w:tcPr>
            <w:tcW w:w="3861" w:type="dxa"/>
          </w:tcPr>
          <w:p w14:paraId="5F059FB0" w14:textId="77777777" w:rsidR="00AB205D" w:rsidRPr="00B364DA" w:rsidRDefault="00471A3B" w:rsidP="00570639">
            <w:pPr>
              <w:pStyle w:val="ListBullet"/>
              <w:numPr>
                <w:ilvl w:val="0"/>
                <w:numId w:val="14"/>
              </w:numPr>
            </w:pPr>
            <w:r w:rsidRPr="001D0543">
              <w:t>a discussion of the sensitivity of the estimated financial statements to changes in those economic and other assumptions</w:t>
            </w:r>
          </w:p>
        </w:tc>
        <w:tc>
          <w:tcPr>
            <w:tcW w:w="3850" w:type="dxa"/>
          </w:tcPr>
          <w:p w14:paraId="75CC11D4" w14:textId="77777777" w:rsidR="00AB205D" w:rsidRPr="00231150" w:rsidRDefault="00471A3B">
            <w:r w:rsidRPr="00231150">
              <w:t xml:space="preserve">Appendix D </w:t>
            </w:r>
            <w:r w:rsidRPr="00962EB8">
              <w:rPr>
                <w:i/>
                <w:iCs/>
              </w:rPr>
              <w:t>Sensitivity analysis</w:t>
            </w:r>
          </w:p>
        </w:tc>
      </w:tr>
      <w:tr w:rsidR="009C6724" w:rsidRPr="00231150" w14:paraId="37C48EE4" w14:textId="77777777" w:rsidTr="009C6724">
        <w:tc>
          <w:tcPr>
            <w:tcW w:w="3861" w:type="dxa"/>
          </w:tcPr>
          <w:p w14:paraId="73602B78" w14:textId="77777777" w:rsidR="00AB205D" w:rsidRPr="00B364DA" w:rsidRDefault="00471A3B" w:rsidP="00570639">
            <w:pPr>
              <w:pStyle w:val="ListBullet"/>
              <w:numPr>
                <w:ilvl w:val="0"/>
                <w:numId w:val="14"/>
              </w:numPr>
            </w:pPr>
            <w:r w:rsidRPr="001D0543">
              <w:t>an overview of the estimated tax expenditures for the financial years covered by the estimated financial statements</w:t>
            </w:r>
          </w:p>
        </w:tc>
        <w:tc>
          <w:tcPr>
            <w:tcW w:w="3850" w:type="dxa"/>
          </w:tcPr>
          <w:p w14:paraId="4B708C56" w14:textId="77777777" w:rsidR="00AB205D" w:rsidRPr="00231150" w:rsidRDefault="00471A3B">
            <w:r w:rsidRPr="00231150">
              <w:t xml:space="preserve">Appendix C </w:t>
            </w:r>
            <w:r w:rsidRPr="00962EB8">
              <w:rPr>
                <w:i/>
                <w:iCs/>
              </w:rPr>
              <w:t>Tax expenditures and concessions</w:t>
            </w:r>
          </w:p>
        </w:tc>
      </w:tr>
      <w:tr w:rsidR="009C6724" w:rsidRPr="00231150" w14:paraId="49BB8E3F" w14:textId="77777777" w:rsidTr="009C6724">
        <w:tc>
          <w:tcPr>
            <w:tcW w:w="3861" w:type="dxa"/>
          </w:tcPr>
          <w:p w14:paraId="0AAA9DE5" w14:textId="77777777" w:rsidR="00AB205D" w:rsidRPr="00231150" w:rsidRDefault="00471A3B" w:rsidP="00570639">
            <w:pPr>
              <w:pStyle w:val="ListBullet"/>
              <w:numPr>
                <w:ilvl w:val="0"/>
                <w:numId w:val="14"/>
              </w:numPr>
            </w:pPr>
            <w:r w:rsidRPr="001D0543">
              <w:t>a statement of risks that may have a material effect on the estimated financial statements including contingent liabilities and publicly announced Government commitments that are not yet included in the estimated financial statements</w:t>
            </w:r>
          </w:p>
        </w:tc>
        <w:tc>
          <w:tcPr>
            <w:tcW w:w="3850" w:type="dxa"/>
          </w:tcPr>
          <w:p w14:paraId="4E77FE3B" w14:textId="77777777" w:rsidR="00AB205D" w:rsidRDefault="00471A3B">
            <w:pPr>
              <w:rPr>
                <w:i/>
                <w:iCs/>
              </w:rPr>
            </w:pPr>
            <w:r w:rsidRPr="00231150">
              <w:t xml:space="preserve">Chapter 2 </w:t>
            </w:r>
            <w:r w:rsidRPr="00962EB8">
              <w:rPr>
                <w:i/>
                <w:iCs/>
              </w:rPr>
              <w:t>Economic context</w:t>
            </w:r>
          </w:p>
          <w:p w14:paraId="6C61056F" w14:textId="77777777" w:rsidR="00AB205D" w:rsidRDefault="00471A3B">
            <w:pPr>
              <w:rPr>
                <w:i/>
                <w:iCs/>
              </w:rPr>
            </w:pPr>
            <w:r w:rsidRPr="00231150">
              <w:t xml:space="preserve">Chapter 3 </w:t>
            </w:r>
            <w:r w:rsidRPr="00962EB8">
              <w:rPr>
                <w:i/>
                <w:iCs/>
              </w:rPr>
              <w:t>Budget position and outlook</w:t>
            </w:r>
          </w:p>
          <w:p w14:paraId="611A51A8" w14:textId="77777777" w:rsidR="00AB205D" w:rsidRPr="00231150" w:rsidRDefault="00471A3B">
            <w:r w:rsidRPr="00231150">
              <w:t xml:space="preserve">Chapter 6 </w:t>
            </w:r>
            <w:r w:rsidRPr="00962EB8">
              <w:rPr>
                <w:i/>
                <w:iCs/>
              </w:rPr>
              <w:t>Contingent assets and contingent liabilities</w:t>
            </w:r>
          </w:p>
        </w:tc>
      </w:tr>
    </w:tbl>
    <w:p w14:paraId="3B4CD629" w14:textId="77777777" w:rsidR="00B84BA2" w:rsidRPr="00B1293F" w:rsidRDefault="00B84BA2"/>
    <w:p w14:paraId="5A42A1E3" w14:textId="77777777" w:rsidR="00703C50" w:rsidRDefault="00703C50" w:rsidP="00703C50">
      <w:pPr>
        <w:keepLines w:val="0"/>
      </w:pPr>
    </w:p>
    <w:p w14:paraId="494961E6" w14:textId="77777777" w:rsidR="00703C50" w:rsidRDefault="00703C50" w:rsidP="00703C50">
      <w:pPr>
        <w:sectPr w:rsidR="00703C50" w:rsidSect="00570639">
          <w:footerReference w:type="even" r:id="rId127"/>
          <w:footerReference w:type="default" r:id="rId128"/>
          <w:pgSz w:w="9979" w:h="14175" w:code="34"/>
          <w:pgMar w:top="1134" w:right="1134" w:bottom="1134" w:left="1134" w:header="624" w:footer="567" w:gutter="0"/>
          <w:cols w:space="708"/>
          <w:docGrid w:linePitch="360"/>
        </w:sectPr>
      </w:pPr>
    </w:p>
    <w:p w14:paraId="0CFB5F2C" w14:textId="77777777" w:rsidR="005F294E" w:rsidRDefault="005F294E" w:rsidP="005F294E">
      <w:pPr>
        <w:pStyle w:val="ChapterHeading"/>
      </w:pPr>
      <w:bookmarkStart w:id="144" w:name="_Toc152933064"/>
      <w:r>
        <w:lastRenderedPageBreak/>
        <w:t>Style conventions</w:t>
      </w:r>
      <w:bookmarkEnd w:id="144"/>
    </w:p>
    <w:p w14:paraId="227EDA73" w14:textId="77777777" w:rsidR="005F294E" w:rsidRDefault="005F294E" w:rsidP="005F294E">
      <w:pPr>
        <w:keepLines w:val="0"/>
        <w:rPr>
          <w:rFonts w:ascii="Garamond" w:eastAsia="Times New Roman" w:hAnsi="Garamond"/>
          <w:color w:val="000000"/>
          <w:lang w:eastAsia="en-AU"/>
        </w:rPr>
      </w:pPr>
      <w:r>
        <w:rPr>
          <w:rFonts w:ascii="Garamond" w:eastAsia="Times New Roman" w:hAnsi="Garamond"/>
          <w:color w:val="000000"/>
          <w:lang w:eastAsia="en-AU"/>
        </w:rPr>
        <w:t>The source of data for tables and charts is the Department of Treasury and Finance unless specified otherwise.</w:t>
      </w:r>
    </w:p>
    <w:p w14:paraId="778F41D8" w14:textId="77777777" w:rsidR="005F294E" w:rsidRPr="00290F2A" w:rsidRDefault="005F294E" w:rsidP="005F294E">
      <w:pPr>
        <w:keepLines w:val="0"/>
        <w:rPr>
          <w:rFonts w:ascii="Garamond" w:eastAsia="Times New Roman" w:hAnsi="Garamond"/>
          <w:color w:val="000000"/>
          <w:lang w:eastAsia="en-AU"/>
        </w:rPr>
      </w:pPr>
      <w:r w:rsidRPr="00290F2A">
        <w:rPr>
          <w:rFonts w:ascii="Garamond" w:eastAsia="Times New Roman" w:hAnsi="Garamond"/>
          <w:color w:val="000000"/>
          <w:lang w:eastAsia="en-AU"/>
        </w:rPr>
        <w:t>Figures in the tables and in the text have been rounded. Discrepancies in tables between totals and sums of components reflect rounding. Percentage variations in all tables are based on the underlying unrounded amounts.</w:t>
      </w:r>
    </w:p>
    <w:p w14:paraId="4DDDF407" w14:textId="77777777" w:rsidR="005F294E" w:rsidRPr="00290F2A" w:rsidRDefault="005F294E" w:rsidP="005F294E">
      <w:pPr>
        <w:keepLines w:val="0"/>
        <w:rPr>
          <w:rFonts w:ascii="Garamond" w:eastAsia="Times New Roman" w:hAnsi="Garamond"/>
          <w:color w:val="000000"/>
          <w:lang w:eastAsia="en-AU"/>
        </w:rPr>
      </w:pPr>
      <w:r w:rsidRPr="00290F2A">
        <w:rPr>
          <w:rFonts w:ascii="Garamond" w:eastAsia="Times New Roman" w:hAnsi="Garamond"/>
          <w:color w:val="000000"/>
          <w:lang w:eastAsia="en-AU"/>
        </w:rPr>
        <w:t>The notation used in the tables is as follows:</w:t>
      </w:r>
    </w:p>
    <w:p w14:paraId="56E7946C" w14:textId="77777777" w:rsidR="005F294E" w:rsidRPr="00290F2A" w:rsidRDefault="005F294E" w:rsidP="005F294E">
      <w:pPr>
        <w:keepLines w:val="0"/>
        <w:tabs>
          <w:tab w:val="left" w:pos="2410"/>
        </w:tabs>
        <w:ind w:left="851"/>
        <w:rPr>
          <w:rFonts w:ascii="Garamond" w:eastAsia="Times New Roman" w:hAnsi="Garamond"/>
          <w:color w:val="000000"/>
          <w:lang w:eastAsia="en-AU"/>
        </w:rPr>
      </w:pPr>
      <w:r w:rsidRPr="00290F2A">
        <w:rPr>
          <w:rFonts w:ascii="Garamond" w:eastAsia="Times New Roman" w:hAnsi="Garamond"/>
          <w:color w:val="000000"/>
          <w:lang w:eastAsia="en-AU"/>
        </w:rPr>
        <w:t>n.a.</w:t>
      </w:r>
      <w:r>
        <w:rPr>
          <w:rFonts w:ascii="Garamond" w:eastAsia="Times New Roman" w:hAnsi="Garamond"/>
          <w:color w:val="000000"/>
          <w:lang w:eastAsia="en-AU"/>
        </w:rPr>
        <w:tab/>
      </w:r>
      <w:r w:rsidRPr="00290F2A">
        <w:rPr>
          <w:rFonts w:ascii="Garamond" w:eastAsia="Times New Roman" w:hAnsi="Garamond"/>
          <w:color w:val="000000"/>
          <w:lang w:eastAsia="en-AU"/>
        </w:rPr>
        <w:t>not available or not applicable</w:t>
      </w:r>
    </w:p>
    <w:p w14:paraId="0D35D1F2" w14:textId="77777777" w:rsidR="005F294E" w:rsidRPr="00290F2A" w:rsidRDefault="005F294E" w:rsidP="005F294E">
      <w:pPr>
        <w:keepLines w:val="0"/>
        <w:tabs>
          <w:tab w:val="left" w:pos="2410"/>
        </w:tabs>
        <w:ind w:left="851"/>
        <w:rPr>
          <w:rFonts w:ascii="Garamond" w:eastAsia="Times New Roman" w:hAnsi="Garamond"/>
          <w:color w:val="000000"/>
          <w:lang w:eastAsia="en-AU"/>
        </w:rPr>
      </w:pPr>
      <w:r w:rsidRPr="00290F2A">
        <w:rPr>
          <w:rFonts w:ascii="Garamond" w:eastAsia="Times New Roman" w:hAnsi="Garamond"/>
          <w:color w:val="000000"/>
          <w:lang w:eastAsia="en-AU"/>
        </w:rPr>
        <w:t>1 billion</w:t>
      </w:r>
      <w:r>
        <w:rPr>
          <w:rFonts w:ascii="Garamond" w:eastAsia="Times New Roman" w:hAnsi="Garamond"/>
          <w:color w:val="000000"/>
          <w:lang w:eastAsia="en-AU"/>
        </w:rPr>
        <w:tab/>
      </w:r>
      <w:r w:rsidRPr="00290F2A">
        <w:rPr>
          <w:rFonts w:ascii="Garamond" w:eastAsia="Times New Roman" w:hAnsi="Garamond"/>
          <w:color w:val="000000"/>
          <w:lang w:eastAsia="en-AU"/>
        </w:rPr>
        <w:t>1 000 million</w:t>
      </w:r>
    </w:p>
    <w:p w14:paraId="64C3FB2B" w14:textId="77777777" w:rsidR="005F294E" w:rsidRPr="00290F2A" w:rsidRDefault="005F294E" w:rsidP="005F294E">
      <w:pPr>
        <w:keepLines w:val="0"/>
        <w:tabs>
          <w:tab w:val="left" w:pos="2410"/>
        </w:tabs>
        <w:ind w:left="851"/>
        <w:rPr>
          <w:rFonts w:ascii="Garamond" w:eastAsia="Times New Roman" w:hAnsi="Garamond"/>
          <w:color w:val="000000"/>
          <w:lang w:eastAsia="en-AU"/>
        </w:rPr>
      </w:pPr>
      <w:r w:rsidRPr="00290F2A">
        <w:rPr>
          <w:rFonts w:ascii="Garamond" w:eastAsia="Times New Roman" w:hAnsi="Garamond"/>
          <w:color w:val="000000"/>
          <w:lang w:eastAsia="en-AU"/>
        </w:rPr>
        <w:t>1 basis point</w:t>
      </w:r>
      <w:r>
        <w:rPr>
          <w:rFonts w:ascii="Garamond" w:eastAsia="Times New Roman" w:hAnsi="Garamond"/>
          <w:color w:val="000000"/>
          <w:lang w:eastAsia="en-AU"/>
        </w:rPr>
        <w:tab/>
      </w:r>
      <w:r w:rsidRPr="00290F2A">
        <w:rPr>
          <w:rFonts w:ascii="Garamond" w:eastAsia="Times New Roman" w:hAnsi="Garamond"/>
          <w:color w:val="000000"/>
          <w:lang w:eastAsia="en-AU"/>
        </w:rPr>
        <w:t>0.01 per cent</w:t>
      </w:r>
    </w:p>
    <w:p w14:paraId="4D877AAF" w14:textId="77777777" w:rsidR="005F294E" w:rsidRPr="00290F2A" w:rsidRDefault="005F294E" w:rsidP="005F294E">
      <w:pPr>
        <w:keepLines w:val="0"/>
        <w:tabs>
          <w:tab w:val="left" w:pos="2410"/>
        </w:tabs>
        <w:ind w:left="851"/>
        <w:rPr>
          <w:rFonts w:ascii="Garamond" w:eastAsia="Times New Roman" w:hAnsi="Garamond"/>
          <w:color w:val="000000"/>
          <w:lang w:eastAsia="en-AU"/>
        </w:rPr>
      </w:pPr>
      <w:r w:rsidRPr="00290F2A">
        <w:rPr>
          <w:rFonts w:ascii="Garamond" w:eastAsia="Times New Roman" w:hAnsi="Garamond"/>
          <w:color w:val="000000"/>
          <w:lang w:eastAsia="en-AU"/>
        </w:rPr>
        <w:t>..</w:t>
      </w:r>
      <w:r>
        <w:rPr>
          <w:rFonts w:ascii="Garamond" w:eastAsia="Times New Roman" w:hAnsi="Garamond"/>
          <w:color w:val="000000"/>
          <w:lang w:eastAsia="en-AU"/>
        </w:rPr>
        <w:tab/>
      </w:r>
      <w:r w:rsidRPr="00290F2A">
        <w:rPr>
          <w:rFonts w:ascii="Garamond" w:eastAsia="Times New Roman" w:hAnsi="Garamond"/>
          <w:color w:val="000000"/>
          <w:lang w:eastAsia="en-AU"/>
        </w:rPr>
        <w:t>zero, or rounded to zero</w:t>
      </w:r>
    </w:p>
    <w:p w14:paraId="617A7226" w14:textId="77777777" w:rsidR="005F294E" w:rsidRDefault="005F294E" w:rsidP="005F294E">
      <w:pPr>
        <w:keepLines w:val="0"/>
        <w:tabs>
          <w:tab w:val="left" w:pos="2410"/>
        </w:tabs>
        <w:ind w:left="851"/>
        <w:rPr>
          <w:rFonts w:ascii="Garamond" w:eastAsia="Times New Roman" w:hAnsi="Garamond"/>
          <w:color w:val="000000"/>
          <w:lang w:eastAsia="en-AU"/>
        </w:rPr>
      </w:pPr>
      <w:r>
        <w:rPr>
          <w:rFonts w:ascii="Garamond" w:eastAsia="Times New Roman" w:hAnsi="Garamond"/>
          <w:color w:val="000000"/>
          <w:lang w:eastAsia="en-AU"/>
        </w:rPr>
        <w:t>tbc</w:t>
      </w:r>
      <w:r>
        <w:rPr>
          <w:rFonts w:ascii="Garamond" w:eastAsia="Times New Roman" w:hAnsi="Garamond"/>
          <w:color w:val="000000"/>
          <w:lang w:eastAsia="en-AU"/>
        </w:rPr>
        <w:tab/>
        <w:t>to be confirmed</w:t>
      </w:r>
    </w:p>
    <w:p w14:paraId="317A0F32" w14:textId="77777777" w:rsidR="005F294E" w:rsidRPr="00290F2A" w:rsidRDefault="005F294E" w:rsidP="005F294E">
      <w:pPr>
        <w:keepLines w:val="0"/>
        <w:tabs>
          <w:tab w:val="left" w:pos="2410"/>
        </w:tabs>
        <w:ind w:left="851"/>
        <w:rPr>
          <w:rFonts w:ascii="Garamond" w:eastAsia="Times New Roman" w:hAnsi="Garamond"/>
          <w:color w:val="000000"/>
          <w:lang w:eastAsia="en-AU"/>
        </w:rPr>
      </w:pPr>
      <w:r w:rsidRPr="00290F2A">
        <w:rPr>
          <w:rFonts w:ascii="Garamond" w:eastAsia="Times New Roman" w:hAnsi="Garamond"/>
          <w:color w:val="000000"/>
          <w:lang w:eastAsia="en-AU"/>
        </w:rPr>
        <w:t>(x xxx.x)</w:t>
      </w:r>
      <w:r>
        <w:rPr>
          <w:rFonts w:ascii="Garamond" w:eastAsia="Times New Roman" w:hAnsi="Garamond"/>
          <w:color w:val="000000"/>
          <w:lang w:eastAsia="en-AU"/>
        </w:rPr>
        <w:tab/>
      </w:r>
      <w:r w:rsidRPr="00290F2A">
        <w:rPr>
          <w:rFonts w:ascii="Garamond" w:eastAsia="Times New Roman" w:hAnsi="Garamond"/>
          <w:color w:val="000000"/>
          <w:lang w:eastAsia="en-AU"/>
        </w:rPr>
        <w:t xml:space="preserve"> negative amount</w:t>
      </w:r>
    </w:p>
    <w:p w14:paraId="32A5C084" w14:textId="77777777" w:rsidR="005F294E" w:rsidRPr="00290F2A" w:rsidRDefault="005F294E" w:rsidP="005F294E">
      <w:pPr>
        <w:keepLines w:val="0"/>
        <w:tabs>
          <w:tab w:val="left" w:pos="2410"/>
        </w:tabs>
        <w:ind w:left="851"/>
        <w:rPr>
          <w:rFonts w:ascii="Garamond" w:eastAsia="Times New Roman" w:hAnsi="Garamond"/>
          <w:color w:val="000000"/>
          <w:lang w:eastAsia="en-AU"/>
        </w:rPr>
      </w:pPr>
      <w:r w:rsidRPr="00290F2A">
        <w:rPr>
          <w:rFonts w:ascii="Garamond" w:eastAsia="Times New Roman" w:hAnsi="Garamond"/>
          <w:color w:val="000000"/>
          <w:lang w:eastAsia="en-AU"/>
        </w:rPr>
        <w:t>x xxx.0</w:t>
      </w:r>
      <w:r>
        <w:rPr>
          <w:rFonts w:ascii="Garamond" w:eastAsia="Times New Roman" w:hAnsi="Garamond"/>
          <w:color w:val="000000"/>
          <w:lang w:eastAsia="en-AU"/>
        </w:rPr>
        <w:tab/>
      </w:r>
      <w:r w:rsidRPr="00290F2A">
        <w:rPr>
          <w:rFonts w:ascii="Garamond" w:eastAsia="Times New Roman" w:hAnsi="Garamond"/>
          <w:color w:val="000000"/>
          <w:lang w:eastAsia="en-AU"/>
        </w:rPr>
        <w:t>rounded amount</w:t>
      </w:r>
    </w:p>
    <w:p w14:paraId="1BD74925" w14:textId="77777777" w:rsidR="005F294E" w:rsidRPr="00290F2A" w:rsidRDefault="005F294E" w:rsidP="005F294E">
      <w:pPr>
        <w:keepLines w:val="0"/>
        <w:rPr>
          <w:rFonts w:ascii="Garamond" w:eastAsia="Times New Roman" w:hAnsi="Garamond"/>
          <w:color w:val="000000"/>
          <w:lang w:eastAsia="en-AU"/>
        </w:rPr>
      </w:pPr>
    </w:p>
    <w:p w14:paraId="2D1DC4F8" w14:textId="77777777" w:rsidR="005F294E" w:rsidRPr="00290F2A" w:rsidRDefault="005F294E" w:rsidP="005F294E">
      <w:pPr>
        <w:keepLines w:val="0"/>
        <w:rPr>
          <w:rFonts w:ascii="Garamond" w:eastAsia="Times New Roman" w:hAnsi="Garamond"/>
          <w:color w:val="000000"/>
          <w:lang w:eastAsia="en-AU"/>
        </w:rPr>
      </w:pPr>
      <w:r w:rsidRPr="00290F2A">
        <w:rPr>
          <w:rFonts w:ascii="Garamond" w:eastAsia="Times New Roman" w:hAnsi="Garamond"/>
          <w:color w:val="000000"/>
          <w:lang w:eastAsia="en-AU"/>
        </w:rPr>
        <w:t xml:space="preserve">Please refer to the </w:t>
      </w:r>
      <w:r w:rsidRPr="00290F2A">
        <w:rPr>
          <w:rFonts w:ascii="Garamond" w:eastAsia="Times New Roman" w:hAnsi="Garamond"/>
          <w:b/>
          <w:bCs/>
          <w:color w:val="000000"/>
          <w:lang w:eastAsia="en-AU"/>
        </w:rPr>
        <w:t>T</w:t>
      </w:r>
      <w:r>
        <w:rPr>
          <w:rFonts w:ascii="Garamond" w:eastAsia="Times New Roman" w:hAnsi="Garamond"/>
          <w:b/>
          <w:bCs/>
          <w:color w:val="000000"/>
          <w:lang w:eastAsia="en-AU"/>
        </w:rPr>
        <w:t>r</w:t>
      </w:r>
      <w:r w:rsidRPr="00290F2A">
        <w:rPr>
          <w:rFonts w:ascii="Garamond" w:eastAsia="Times New Roman" w:hAnsi="Garamond"/>
          <w:b/>
          <w:bCs/>
          <w:color w:val="000000"/>
          <w:lang w:eastAsia="en-AU"/>
        </w:rPr>
        <w:t xml:space="preserve">easury and Finance glossary for budget and financial reports </w:t>
      </w:r>
      <w:r w:rsidRPr="00290F2A">
        <w:rPr>
          <w:rFonts w:ascii="Garamond" w:eastAsia="Times New Roman" w:hAnsi="Garamond"/>
          <w:color w:val="000000"/>
          <w:lang w:eastAsia="en-AU"/>
        </w:rPr>
        <w:t xml:space="preserve">at </w:t>
      </w:r>
      <w:r w:rsidRPr="00290F2A">
        <w:rPr>
          <w:lang w:eastAsia="en-AU"/>
        </w:rPr>
        <w:t>dtf.vic.gov.au</w:t>
      </w:r>
      <w:r w:rsidRPr="00290F2A">
        <w:rPr>
          <w:rFonts w:ascii="Garamond" w:eastAsia="Times New Roman" w:hAnsi="Garamond"/>
          <w:color w:val="000000"/>
          <w:lang w:eastAsia="en-AU"/>
        </w:rPr>
        <w:t xml:space="preserve"> for additional terms and references.</w:t>
      </w:r>
    </w:p>
    <w:p w14:paraId="68CB6998" w14:textId="77777777" w:rsidR="00703C50" w:rsidRDefault="00703C50" w:rsidP="00703C50">
      <w:pPr>
        <w:keepLines w:val="0"/>
      </w:pPr>
    </w:p>
    <w:p w14:paraId="38AB23C3" w14:textId="77777777" w:rsidR="00DB4831" w:rsidRDefault="00DB4831" w:rsidP="005F294E">
      <w:pPr>
        <w:sectPr w:rsidR="00DB4831" w:rsidSect="00570639">
          <w:footerReference w:type="even" r:id="rId129"/>
          <w:footerReference w:type="default" r:id="rId130"/>
          <w:pgSz w:w="9979" w:h="14175" w:code="34"/>
          <w:pgMar w:top="1134" w:right="1134" w:bottom="1134" w:left="1134" w:header="624" w:footer="567" w:gutter="0"/>
          <w:cols w:space="708"/>
          <w:docGrid w:linePitch="360"/>
        </w:sectPr>
      </w:pPr>
    </w:p>
    <w:p w14:paraId="6886389F" w14:textId="0EA2F87C" w:rsidR="006E679A" w:rsidRDefault="00AB6359" w:rsidP="005F294E">
      <w:r w:rsidRPr="00E00690">
        <w:lastRenderedPageBreak/>
        <w:t>If you would like to receive this publication</w:t>
      </w:r>
      <w:r>
        <w:t xml:space="preserve"> </w:t>
      </w:r>
      <w:r>
        <w:br/>
      </w:r>
      <w:r w:rsidRPr="00E00690">
        <w:t xml:space="preserve">in an accessible format please email </w:t>
      </w:r>
      <w:r>
        <w:br/>
      </w:r>
      <w:r w:rsidRPr="00E00690">
        <w:t xml:space="preserve">information@dtf.vic.gov.au or telephone </w:t>
      </w:r>
      <w:r>
        <w:br/>
      </w:r>
      <w:r w:rsidRPr="00E00690">
        <w:t>(03) 9651 5111.</w:t>
      </w:r>
      <w:r w:rsidRPr="00E00690">
        <w:br/>
      </w:r>
      <w:r w:rsidRPr="00E00690">
        <w:br/>
        <w:t xml:space="preserve">This document is available in PDF and </w:t>
      </w:r>
      <w:r>
        <w:br/>
      </w:r>
      <w:r w:rsidRPr="00E00690">
        <w:t>Word format at dtf.vic.gov.au</w:t>
      </w:r>
      <w:r>
        <w:t>.</w:t>
      </w:r>
    </w:p>
    <w:sectPr w:rsidR="006E679A" w:rsidSect="00E00690">
      <w:footerReference w:type="even" r:id="rId131"/>
      <w:pgSz w:w="9979" w:h="14175" w:code="34"/>
      <w:pgMar w:top="1134" w:right="1134" w:bottom="1134" w:left="1134" w:header="624" w:footer="567"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152D4" w14:textId="77777777" w:rsidR="0082398F" w:rsidRDefault="0082398F" w:rsidP="00C60BFA">
      <w:pPr>
        <w:spacing w:before="0"/>
      </w:pPr>
      <w:r>
        <w:separator/>
      </w:r>
    </w:p>
  </w:endnote>
  <w:endnote w:type="continuationSeparator" w:id="0">
    <w:p w14:paraId="0293218D" w14:textId="77777777" w:rsidR="0082398F" w:rsidRDefault="0082398F" w:rsidP="00C60BFA">
      <w:pPr>
        <w:spacing w:before="0"/>
      </w:pPr>
      <w:r>
        <w:continuationSeparator/>
      </w:r>
    </w:p>
  </w:endnote>
  <w:endnote w:type="continuationNotice" w:id="1">
    <w:p w14:paraId="4066CAB8" w14:textId="77777777" w:rsidR="0082398F" w:rsidRDefault="0082398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11BA3" w14:textId="14502F92" w:rsidR="00C60BFA" w:rsidRPr="00DD11B1" w:rsidRDefault="00C60BFA" w:rsidP="00DD11B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917E5" w14:textId="77777777" w:rsidR="00341416" w:rsidRDefault="0034141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3CC2" w14:textId="221CA5FB" w:rsidR="00AB205D" w:rsidRDefault="00471A3B">
    <w:pPr>
      <w:pStyle w:val="FooterEvenPage"/>
    </w:pPr>
    <w:r>
      <w:fldChar w:fldCharType="begin"/>
    </w:r>
    <w:r>
      <w:instrText xml:space="preserve"> PAGE   \* MERGEFORMAT </w:instrText>
    </w:r>
    <w:r>
      <w:fldChar w:fldCharType="separate"/>
    </w:r>
    <w:r>
      <w:t>1</w:t>
    </w:r>
    <w:r>
      <w:fldChar w:fldCharType="end"/>
    </w:r>
    <w:r>
      <w:tab/>
      <w:t>Chapter 4</w:t>
    </w:r>
    <w:r>
      <w:tab/>
    </w:r>
    <w:fldSimple w:instr=" DOCPROPERTY  Title  \* MERGEFORMAT ">
      <w:r w:rsidR="00315D9A">
        <w:t>2023-24 Budget Update</w:t>
      </w:r>
    </w:fldSimple>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FDFA" w14:textId="003983F0" w:rsidR="00AB205D" w:rsidRPr="00E36759" w:rsidRDefault="00326F9D">
    <w:pPr>
      <w:pStyle w:val="FooterOddPage"/>
    </w:pPr>
    <w:fldSimple w:instr=" DOCPROPERTY  Title  \* MERGEFORMAT ">
      <w:r w:rsidR="00315D9A">
        <w:t>2023-24 Budget Update</w:t>
      </w:r>
    </w:fldSimple>
    <w:r w:rsidR="00471A3B" w:rsidRPr="00E36759">
      <w:tab/>
      <w:t xml:space="preserve">Chapter </w:t>
    </w:r>
    <w:r w:rsidR="00471A3B">
      <w:t>4</w:t>
    </w:r>
    <w:r w:rsidR="00471A3B" w:rsidRPr="00E36759">
      <w:tab/>
    </w:r>
    <w:r w:rsidR="00471A3B" w:rsidRPr="00E36759">
      <w:fldChar w:fldCharType="begin"/>
    </w:r>
    <w:r w:rsidR="00471A3B" w:rsidRPr="00E36759">
      <w:instrText xml:space="preserve"> PAGE   \* MERGEFORMAT </w:instrText>
    </w:r>
    <w:r w:rsidR="00471A3B" w:rsidRPr="00E36759">
      <w:fldChar w:fldCharType="separate"/>
    </w:r>
    <w:r w:rsidR="00471A3B" w:rsidRPr="00E36759">
      <w:t>1</w:t>
    </w:r>
    <w:r w:rsidR="00471A3B" w:rsidRPr="00E36759">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1B69" w14:textId="77777777" w:rsidR="00341416" w:rsidRDefault="00341416">
    <w:pPr>
      <w:pStyle w:val="Footer"/>
    </w:pPr>
  </w:p>
  <w:p w14:paraId="149B4C3C" w14:textId="77777777" w:rsidR="00762911" w:rsidRDefault="00762911"/>
  <w:p w14:paraId="79588BF4" w14:textId="14B28B26" w:rsidR="00AB205D" w:rsidRDefault="00471A3B">
    <w:pPr>
      <w:pStyle w:val="FooterOddPage"/>
    </w:pPr>
    <w:r>
      <w:fldChar w:fldCharType="begin"/>
    </w:r>
    <w:r>
      <w:instrText xml:space="preserve"> DOCPROPERTY  Subject  \* MERGEFORMAT </w:instrText>
    </w:r>
    <w:r>
      <w:fldChar w:fldCharType="end"/>
    </w:r>
    <w:r w:rsidRPr="00E36759">
      <w:tab/>
      <w:t xml:space="preserve">Chapter </w:t>
    </w:r>
    <w:r>
      <w:t>4</w:t>
    </w:r>
    <w:r w:rsidRPr="00E36759">
      <w:tab/>
    </w:r>
    <w:r w:rsidRPr="00E36759">
      <w:fldChar w:fldCharType="begin"/>
    </w:r>
    <w:r w:rsidRPr="00E36759">
      <w:instrText xml:space="preserve"> PAGE   \* MERGEFORMAT </w:instrText>
    </w:r>
    <w:r w:rsidRPr="00E36759">
      <w:fldChar w:fldCharType="separate"/>
    </w:r>
    <w:r>
      <w:t>3</w:t>
    </w:r>
    <w:r w:rsidRPr="00E36759">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B1A39" w14:textId="77777777" w:rsidR="00341416" w:rsidRPr="00E707C4" w:rsidRDefault="00341416" w:rsidP="00E707C4">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79EC" w14:textId="7521A6D4" w:rsidR="00341416" w:rsidRPr="002848AE" w:rsidRDefault="00326F9D" w:rsidP="00570639">
    <w:pPr>
      <w:pStyle w:val="FooterOddPage"/>
    </w:pPr>
    <w:fldSimple w:instr=" DOCPROPERTY  Title  \* MERGEFORMAT ">
      <w:r w:rsidR="00315D9A">
        <w:t>2023-24 Budget Update</w:t>
      </w:r>
    </w:fldSimple>
    <w:r w:rsidR="00570639" w:rsidRPr="00E36759">
      <w:tab/>
      <w:t xml:space="preserve">Chapter </w:t>
    </w:r>
    <w:r w:rsidR="00570639">
      <w:t>4</w:t>
    </w:r>
    <w:r w:rsidR="00570639" w:rsidRPr="00E36759">
      <w:tab/>
    </w:r>
    <w:r w:rsidR="00570639" w:rsidRPr="00E36759">
      <w:fldChar w:fldCharType="begin"/>
    </w:r>
    <w:r w:rsidR="00570639" w:rsidRPr="00E36759">
      <w:instrText xml:space="preserve"> PAGE   \* MERGEFORMAT </w:instrText>
    </w:r>
    <w:r w:rsidR="00570639" w:rsidRPr="00E36759">
      <w:fldChar w:fldCharType="separate"/>
    </w:r>
    <w:r w:rsidR="00570639">
      <w:t>41</w:t>
    </w:r>
    <w:r w:rsidR="00570639" w:rsidRPr="00E36759">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54AC0" w14:textId="77777777" w:rsidR="00341416" w:rsidRDefault="00341416">
    <w:pPr>
      <w:pStyle w:val="Footer"/>
    </w:pPr>
  </w:p>
  <w:p w14:paraId="523A0037" w14:textId="77777777" w:rsidR="00762911" w:rsidRDefault="00762911"/>
  <w:p w14:paraId="2E711443" w14:textId="4831416F" w:rsidR="00AB205D" w:rsidRPr="00647267" w:rsidRDefault="00471A3B">
    <w:pPr>
      <w:pStyle w:val="FooterEvenPage"/>
    </w:pPr>
    <w:r>
      <w:t xml:space="preserve">Page </w:t>
    </w:r>
    <w:r>
      <w:fldChar w:fldCharType="begin"/>
    </w:r>
    <w:r>
      <w:instrText xml:space="preserve"> PAGE   \* MERGEFORMAT </w:instrText>
    </w:r>
    <w:r>
      <w:fldChar w:fldCharType="separate"/>
    </w:r>
    <w:r>
      <w:t>14</w:t>
    </w:r>
    <w:r>
      <w:fldChar w:fldCharType="end"/>
    </w:r>
    <w:r>
      <w:tab/>
      <w:t>Chapter 4</w:t>
    </w:r>
    <w:r>
      <w:tab/>
    </w:r>
    <w:r>
      <w:fldChar w:fldCharType="begin"/>
    </w:r>
    <w:r>
      <w:instrText xml:space="preserve"> DOCPROPERTY  Subject  \* MERGEFORMAT </w:instrTex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DBDC" w14:textId="5F41D8C8" w:rsidR="00341416" w:rsidRPr="00E707C4" w:rsidRDefault="00570639" w:rsidP="00570639">
    <w:pPr>
      <w:pStyle w:val="FooterEvenPage"/>
    </w:pPr>
    <w:r>
      <w:fldChar w:fldCharType="begin"/>
    </w:r>
    <w:r>
      <w:instrText xml:space="preserve"> PAGE   \* MERGEFORMAT </w:instrText>
    </w:r>
    <w:r>
      <w:fldChar w:fldCharType="separate"/>
    </w:r>
    <w:r>
      <w:t>44</w:t>
    </w:r>
    <w:r>
      <w:fldChar w:fldCharType="end"/>
    </w:r>
    <w:r>
      <w:tab/>
      <w:t>Chapter 4</w:t>
    </w:r>
    <w:r>
      <w:tab/>
    </w:r>
    <w:fldSimple w:instr=" DOCPROPERTY  Title  \* MERGEFORMAT ">
      <w:r w:rsidR="00315D9A">
        <w:t>2023-24 Budget Update</w:t>
      </w:r>
    </w:fldSimple>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32FE" w14:textId="67EFEEAC" w:rsidR="00341416" w:rsidRPr="002848AE" w:rsidRDefault="00326F9D" w:rsidP="00570639">
    <w:pPr>
      <w:pStyle w:val="FooterOddPage"/>
    </w:pPr>
    <w:fldSimple w:instr=" DOCPROPERTY  Title  \* MERGEFORMAT ">
      <w:r w:rsidR="00315D9A">
        <w:t>2023-24 Budget Update</w:t>
      </w:r>
    </w:fldSimple>
    <w:r w:rsidR="00570639" w:rsidRPr="00E36759">
      <w:tab/>
      <w:t xml:space="preserve">Chapter </w:t>
    </w:r>
    <w:r w:rsidR="00570639">
      <w:t>4</w:t>
    </w:r>
    <w:r w:rsidR="00570639" w:rsidRPr="00E36759">
      <w:tab/>
    </w:r>
    <w:r w:rsidR="00570639" w:rsidRPr="00E36759">
      <w:fldChar w:fldCharType="begin"/>
    </w:r>
    <w:r w:rsidR="00570639" w:rsidRPr="00E36759">
      <w:instrText xml:space="preserve"> PAGE   \* MERGEFORMAT </w:instrText>
    </w:r>
    <w:r w:rsidR="00570639" w:rsidRPr="00E36759">
      <w:fldChar w:fldCharType="separate"/>
    </w:r>
    <w:r w:rsidR="00570639">
      <w:t>41</w:t>
    </w:r>
    <w:r w:rsidR="00570639" w:rsidRPr="00E36759">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7EFD1" w14:textId="77777777" w:rsidR="00341416" w:rsidRDefault="003414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61D78" w14:textId="727BD967" w:rsidR="00C60BFA" w:rsidRPr="00DD11B1" w:rsidRDefault="00C60BFA" w:rsidP="00DD11B1">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259E9" w14:textId="77777777" w:rsidR="00341416" w:rsidRDefault="00341416">
    <w:pPr>
      <w:pStyle w:val="Footer"/>
    </w:pPr>
  </w:p>
  <w:p w14:paraId="37535517" w14:textId="77777777" w:rsidR="00762911" w:rsidRDefault="00762911"/>
  <w:p w14:paraId="32BB8D12" w14:textId="06D91EB8" w:rsidR="00AB205D" w:rsidRPr="00647267" w:rsidRDefault="00471A3B">
    <w:pPr>
      <w:pStyle w:val="FooterEvenPage"/>
    </w:pPr>
    <w:r>
      <w:fldChar w:fldCharType="begin"/>
    </w:r>
    <w:r>
      <w:instrText xml:space="preserve"> PAGE   \* MERGEFORMAT </w:instrText>
    </w:r>
    <w:r>
      <w:fldChar w:fldCharType="separate"/>
    </w:r>
    <w:r>
      <w:t>14</w:t>
    </w:r>
    <w:r>
      <w:fldChar w:fldCharType="end"/>
    </w:r>
    <w:r>
      <w:tab/>
      <w:t>Chapter 4</w:t>
    </w:r>
    <w:r>
      <w:tab/>
    </w:r>
    <w:r>
      <w:fldChar w:fldCharType="begin"/>
    </w:r>
    <w:r>
      <w:instrText xml:space="preserve"> DOCPROPERTY  Subject  \* MERGEFORMAT </w:instrTex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DB4D" w14:textId="039176E0" w:rsidR="00C60BFA" w:rsidRDefault="00C60BFA" w:rsidP="00C60BFA">
    <w:pPr>
      <w:pStyle w:val="FooterEvenPage"/>
    </w:pPr>
    <w:r>
      <w:fldChar w:fldCharType="begin"/>
    </w:r>
    <w:r>
      <w:instrText xml:space="preserve"> PAGE   \* MERGEFORMAT </w:instrText>
    </w:r>
    <w:r>
      <w:fldChar w:fldCharType="separate"/>
    </w:r>
    <w:r>
      <w:t>2</w:t>
    </w:r>
    <w:r>
      <w:fldChar w:fldCharType="end"/>
    </w:r>
    <w:r>
      <w:tab/>
      <w:t xml:space="preserve">Chapter </w:t>
    </w:r>
    <w:r w:rsidR="00471A3B">
      <w:t>4</w:t>
    </w:r>
    <w:r>
      <w:tab/>
    </w:r>
    <w:fldSimple w:instr=" TITLE   \* MERGEFORMAT ">
      <w:r w:rsidR="00315D9A">
        <w:t>2023-24 Budget Update</w:t>
      </w:r>
    </w:fldSimple>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9965E" w14:textId="13EF1C4D" w:rsidR="00C60BFA" w:rsidRDefault="00326F9D" w:rsidP="00C60BFA">
    <w:pPr>
      <w:pStyle w:val="FooterOddPage"/>
    </w:pPr>
    <w:fldSimple w:instr=" TITLE   \* MERGEFORMAT ">
      <w:r w:rsidR="00315D9A">
        <w:t>2023-24 Budget Update</w:t>
      </w:r>
    </w:fldSimple>
    <w:r w:rsidR="00C60BFA" w:rsidRPr="00030025">
      <w:tab/>
      <w:t xml:space="preserve">Chapter </w:t>
    </w:r>
    <w:r w:rsidR="00471A3B">
      <w:t>4</w:t>
    </w:r>
    <w:r w:rsidR="00C60BFA" w:rsidRPr="00030025">
      <w:tab/>
    </w:r>
    <w:r w:rsidR="00C60BFA" w:rsidRPr="00030025">
      <w:fldChar w:fldCharType="begin"/>
    </w:r>
    <w:r w:rsidR="00C60BFA" w:rsidRPr="00030025">
      <w:instrText xml:space="preserve"> PAGE   \* MERGEFORMAT </w:instrText>
    </w:r>
    <w:r w:rsidR="00C60BFA" w:rsidRPr="00030025">
      <w:fldChar w:fldCharType="separate"/>
    </w:r>
    <w:r w:rsidR="00C60BFA">
      <w:t>1</w:t>
    </w:r>
    <w:r w:rsidR="00C60BFA" w:rsidRPr="00030025">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6640" w14:textId="77777777" w:rsidR="00341416" w:rsidRDefault="00341416">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CCCF2" w14:textId="21431158" w:rsidR="00341416" w:rsidRPr="00E707C4" w:rsidRDefault="00570639" w:rsidP="00570639">
    <w:pPr>
      <w:pStyle w:val="FooterEvenPage"/>
    </w:pPr>
    <w:r>
      <w:fldChar w:fldCharType="begin"/>
    </w:r>
    <w:r>
      <w:instrText xml:space="preserve"> PAGE   \* MERGEFORMAT </w:instrText>
    </w:r>
    <w:r>
      <w:fldChar w:fldCharType="separate"/>
    </w:r>
    <w:r>
      <w:t>44</w:t>
    </w:r>
    <w:r>
      <w:fldChar w:fldCharType="end"/>
    </w:r>
    <w:r>
      <w:tab/>
      <w:t>Chapter 4</w:t>
    </w:r>
    <w:r>
      <w:tab/>
    </w:r>
    <w:fldSimple w:instr=" DOCPROPERTY  Title  \* MERGEFORMAT ">
      <w:r w:rsidR="00315D9A">
        <w:t>2023-24 Budget Update</w:t>
      </w:r>
    </w:fldSimple>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5F5F9" w14:textId="77777777" w:rsidR="00341416" w:rsidRDefault="00341416">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02D06" w14:textId="1E3B56C2" w:rsidR="00341416" w:rsidRPr="00E707C4" w:rsidRDefault="00471A3B" w:rsidP="00471A3B">
    <w:pPr>
      <w:pStyle w:val="FooterEvenPage"/>
    </w:pPr>
    <w:r>
      <w:fldChar w:fldCharType="begin"/>
    </w:r>
    <w:r>
      <w:instrText xml:space="preserve"> PAGE   \* MERGEFORMAT </w:instrText>
    </w:r>
    <w:r>
      <w:fldChar w:fldCharType="separate"/>
    </w:r>
    <w:r>
      <w:t>66</w:t>
    </w:r>
    <w:r>
      <w:fldChar w:fldCharType="end"/>
    </w:r>
    <w:r>
      <w:tab/>
      <w:t>Chapter 4</w:t>
    </w:r>
    <w:r>
      <w:tab/>
    </w:r>
    <w:fldSimple w:instr=" DOCPROPERTY  Title  \* MERGEFORMAT ">
      <w:r w:rsidR="00315D9A">
        <w:t>2023-24 Budget Update</w:t>
      </w:r>
    </w:fldSimple>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A8332" w14:textId="77777777" w:rsidR="00341416" w:rsidRPr="002848AE" w:rsidRDefault="00341416" w:rsidP="002848AE">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2F73" w14:textId="77777777" w:rsidR="00341416" w:rsidRDefault="00341416">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C3FB" w14:textId="77777777" w:rsidR="00703C50" w:rsidRPr="00E707C4" w:rsidRDefault="00703C50" w:rsidP="00E7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DE236" w14:textId="01F84729" w:rsidR="00DD11B1" w:rsidRDefault="00DD11B1" w:rsidP="00C60BFA">
    <w:pPr>
      <w:pStyle w:val="FooterEvenPage"/>
    </w:pPr>
    <w:r>
      <w:fldChar w:fldCharType="begin"/>
    </w:r>
    <w:r>
      <w:instrText xml:space="preserve"> PAGE   \* MERGEFORMAT </w:instrText>
    </w:r>
    <w:r>
      <w:fldChar w:fldCharType="separate"/>
    </w:r>
    <w:r>
      <w:t>2</w:t>
    </w:r>
    <w:r>
      <w:fldChar w:fldCharType="end"/>
    </w:r>
    <w:r>
      <w:tab/>
      <w:t>Chapter 1</w:t>
    </w:r>
    <w:r>
      <w:tab/>
    </w:r>
    <w:fldSimple w:instr=" TITLE   \* MERGEFORMAT ">
      <w:r w:rsidR="00315D9A">
        <w:t>2023-24 Budget Update</w:t>
      </w:r>
    </w:fldSimple>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2E09" w14:textId="77777777" w:rsidR="00703C50" w:rsidRPr="002848AE" w:rsidRDefault="00703C50" w:rsidP="002848AE">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2D4E" w14:textId="77777777" w:rsidR="00703C50" w:rsidRDefault="00703C50">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D3EE" w14:textId="6273F084" w:rsidR="00703C50" w:rsidRPr="00E707C4" w:rsidRDefault="00570639" w:rsidP="00570639">
    <w:pPr>
      <w:pStyle w:val="FooterEvenPage"/>
    </w:pPr>
    <w:r>
      <w:fldChar w:fldCharType="begin"/>
    </w:r>
    <w:r>
      <w:instrText xml:space="preserve"> PAGE   \* MERGEFORMAT </w:instrText>
    </w:r>
    <w:r>
      <w:fldChar w:fldCharType="separate"/>
    </w:r>
    <w:r>
      <w:t>44</w:t>
    </w:r>
    <w:r>
      <w:fldChar w:fldCharType="end"/>
    </w:r>
    <w:r>
      <w:tab/>
      <w:t>Chapter 4</w:t>
    </w:r>
    <w:r>
      <w:tab/>
    </w:r>
    <w:fldSimple w:instr=" DOCPROPERTY  Title  \* MERGEFORMAT ">
      <w:r w:rsidR="00315D9A">
        <w:t>2023-24 Budget Update</w:t>
      </w:r>
    </w:fldSimple>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6DA7" w14:textId="47113D27" w:rsidR="00703C50" w:rsidRPr="002848AE" w:rsidRDefault="00326F9D" w:rsidP="00570639">
    <w:pPr>
      <w:pStyle w:val="FooterOddPage"/>
    </w:pPr>
    <w:fldSimple w:instr=" DOCPROPERTY  Title  \* MERGEFORMAT ">
      <w:r w:rsidR="00315D9A">
        <w:t>2023-24 Budget Update</w:t>
      </w:r>
    </w:fldSimple>
    <w:r w:rsidR="00570639" w:rsidRPr="00E36759">
      <w:tab/>
      <w:t xml:space="preserve">Chapter </w:t>
    </w:r>
    <w:r w:rsidR="00570639">
      <w:t>4</w:t>
    </w:r>
    <w:r w:rsidR="00570639" w:rsidRPr="00E36759">
      <w:tab/>
    </w:r>
    <w:r w:rsidR="00570639" w:rsidRPr="00E36759">
      <w:fldChar w:fldCharType="begin"/>
    </w:r>
    <w:r w:rsidR="00570639" w:rsidRPr="00E36759">
      <w:instrText xml:space="preserve"> PAGE   \* MERGEFORMAT </w:instrText>
    </w:r>
    <w:r w:rsidR="00570639" w:rsidRPr="00E36759">
      <w:fldChar w:fldCharType="separate"/>
    </w:r>
    <w:r w:rsidR="00570639">
      <w:t>41</w:t>
    </w:r>
    <w:r w:rsidR="00570639" w:rsidRPr="00E36759">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2C0C" w14:textId="77777777" w:rsidR="00703C50" w:rsidRDefault="00703C50">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477AB" w14:textId="77777777" w:rsidR="00703C50" w:rsidRPr="00E707C4" w:rsidRDefault="00703C50" w:rsidP="00E707C4">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78C35" w14:textId="77777777" w:rsidR="00703C50" w:rsidRPr="002848AE" w:rsidRDefault="00703C50" w:rsidP="002848AE">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21866" w14:textId="77777777" w:rsidR="00703C50" w:rsidRDefault="00703C50">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4B4E9" w14:textId="43149389" w:rsidR="00703C50" w:rsidRPr="00E707C4" w:rsidRDefault="00570639" w:rsidP="00570639">
    <w:pPr>
      <w:pStyle w:val="FooterEvenPage"/>
    </w:pPr>
    <w:r>
      <w:fldChar w:fldCharType="begin"/>
    </w:r>
    <w:r>
      <w:instrText xml:space="preserve"> PAGE   \* MERGEFORMAT </w:instrText>
    </w:r>
    <w:r>
      <w:fldChar w:fldCharType="separate"/>
    </w:r>
    <w:r>
      <w:t>44</w:t>
    </w:r>
    <w:r>
      <w:fldChar w:fldCharType="end"/>
    </w:r>
    <w:r>
      <w:tab/>
      <w:t>Chapter 4</w:t>
    </w:r>
    <w:r>
      <w:tab/>
    </w:r>
    <w:fldSimple w:instr=" DOCPROPERTY  Title  \* MERGEFORMAT ">
      <w:r w:rsidR="00315D9A">
        <w:t>2023-24 Budget Update</w:t>
      </w:r>
    </w:fldSimple>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B5EAE" w14:textId="70847AEE" w:rsidR="00703C50" w:rsidRPr="002848AE" w:rsidRDefault="00326F9D" w:rsidP="00570639">
    <w:pPr>
      <w:pStyle w:val="FooterOddPage"/>
    </w:pPr>
    <w:fldSimple w:instr=" DOCPROPERTY  Title  \* MERGEFORMAT ">
      <w:r w:rsidR="00315D9A">
        <w:t>2023-24 Budget Update</w:t>
      </w:r>
    </w:fldSimple>
    <w:r w:rsidR="00570639" w:rsidRPr="00E36759">
      <w:tab/>
      <w:t xml:space="preserve">Chapter </w:t>
    </w:r>
    <w:r w:rsidR="00570639">
      <w:t>4</w:t>
    </w:r>
    <w:r w:rsidR="00570639" w:rsidRPr="00E36759">
      <w:tab/>
    </w:r>
    <w:r w:rsidR="00570639" w:rsidRPr="00E36759">
      <w:fldChar w:fldCharType="begin"/>
    </w:r>
    <w:r w:rsidR="00570639" w:rsidRPr="00E36759">
      <w:instrText xml:space="preserve"> PAGE   \* MERGEFORMAT </w:instrText>
    </w:r>
    <w:r w:rsidR="00570639" w:rsidRPr="00E36759">
      <w:fldChar w:fldCharType="separate"/>
    </w:r>
    <w:r w:rsidR="00570639">
      <w:t>41</w:t>
    </w:r>
    <w:r w:rsidR="00570639" w:rsidRPr="00E36759">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3326B" w14:textId="0B396967" w:rsidR="00DD11B1" w:rsidRDefault="00326F9D" w:rsidP="00C60BFA">
    <w:pPr>
      <w:pStyle w:val="FooterOddPage"/>
    </w:pPr>
    <w:fldSimple w:instr=" TITLE   \* MERGEFORMAT ">
      <w:r w:rsidR="00315D9A">
        <w:t>2023-24 Budget Update</w:t>
      </w:r>
    </w:fldSimple>
    <w:r w:rsidR="00DD11B1" w:rsidRPr="00030025">
      <w:tab/>
      <w:t xml:space="preserve">Chapter </w:t>
    </w:r>
    <w:r w:rsidR="00DD11B1">
      <w:t>1</w:t>
    </w:r>
    <w:r w:rsidR="00DD11B1" w:rsidRPr="00030025">
      <w:tab/>
    </w:r>
    <w:r w:rsidR="00DD11B1" w:rsidRPr="00030025">
      <w:fldChar w:fldCharType="begin"/>
    </w:r>
    <w:r w:rsidR="00DD11B1" w:rsidRPr="00030025">
      <w:instrText xml:space="preserve"> PAGE   \* MERGEFORMAT </w:instrText>
    </w:r>
    <w:r w:rsidR="00DD11B1" w:rsidRPr="00030025">
      <w:fldChar w:fldCharType="separate"/>
    </w:r>
    <w:r w:rsidR="00DD11B1">
      <w:t>1</w:t>
    </w:r>
    <w:r w:rsidR="00DD11B1" w:rsidRPr="00030025">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E834" w14:textId="77777777" w:rsidR="00703C50" w:rsidRDefault="00703C50">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311E" w14:textId="77777777" w:rsidR="00703C50" w:rsidRPr="00E707C4" w:rsidRDefault="00703C50" w:rsidP="00E707C4">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0A5C" w14:textId="77777777" w:rsidR="00703C50" w:rsidRPr="002848AE" w:rsidRDefault="00703C50" w:rsidP="002848AE">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9784" w14:textId="77777777" w:rsidR="00703C50" w:rsidRDefault="00703C50">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F205" w14:textId="617C13A0" w:rsidR="00C60BFA" w:rsidRPr="002848AE" w:rsidRDefault="00570639" w:rsidP="00570639">
    <w:pPr>
      <w:pStyle w:val="FooterEvenPage"/>
    </w:pPr>
    <w:r>
      <w:fldChar w:fldCharType="begin"/>
    </w:r>
    <w:r>
      <w:instrText xml:space="preserve"> PAGE   \* MERGEFORMAT </w:instrText>
    </w:r>
    <w:r>
      <w:fldChar w:fldCharType="separate"/>
    </w:r>
    <w:r>
      <w:t>44</w:t>
    </w:r>
    <w:r>
      <w:fldChar w:fldCharType="end"/>
    </w:r>
    <w:r>
      <w:tab/>
      <w:t>Chapter 4</w:t>
    </w:r>
    <w:r>
      <w:tab/>
    </w:r>
    <w:fldSimple w:instr=" DOCPROPERTY  Title  \* MERGEFORMAT ">
      <w:r w:rsidR="00315D9A">
        <w:t>2023-24 Budget Update</w:t>
      </w:r>
    </w:fldSimple>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95B4" w14:textId="4008CAE5" w:rsidR="00C60BFA" w:rsidRPr="00E707C4" w:rsidRDefault="00326F9D" w:rsidP="00570639">
    <w:pPr>
      <w:pStyle w:val="FooterOddPage"/>
    </w:pPr>
    <w:fldSimple w:instr=" DOCPROPERTY  Title  \* MERGEFORMAT ">
      <w:r w:rsidR="00315D9A">
        <w:t>2023-24 Budget Update</w:t>
      </w:r>
    </w:fldSimple>
    <w:r w:rsidR="00570639" w:rsidRPr="00E36759">
      <w:tab/>
      <w:t xml:space="preserve">Chapter </w:t>
    </w:r>
    <w:r w:rsidR="00570639">
      <w:t>4</w:t>
    </w:r>
    <w:r w:rsidR="00570639" w:rsidRPr="00E36759">
      <w:tab/>
    </w:r>
    <w:r w:rsidR="00570639" w:rsidRPr="00E36759">
      <w:fldChar w:fldCharType="begin"/>
    </w:r>
    <w:r w:rsidR="00570639" w:rsidRPr="00E36759">
      <w:instrText xml:space="preserve"> PAGE   \* MERGEFORMAT </w:instrText>
    </w:r>
    <w:r w:rsidR="00570639" w:rsidRPr="00E36759">
      <w:fldChar w:fldCharType="separate"/>
    </w:r>
    <w:r w:rsidR="00570639">
      <w:t>41</w:t>
    </w:r>
    <w:r w:rsidR="00570639" w:rsidRPr="00E36759">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5DA3" w14:textId="74FA44D1" w:rsidR="00C60BFA" w:rsidRDefault="00C60BFA" w:rsidP="00C60BFA">
    <w:pPr>
      <w:pStyle w:val="FooterEvenPage"/>
    </w:pPr>
    <w:r>
      <w:fldChar w:fldCharType="begin"/>
    </w:r>
    <w:r>
      <w:instrText xml:space="preserve"> PAGE   \* MERGEFORMAT </w:instrText>
    </w:r>
    <w:r>
      <w:fldChar w:fldCharType="separate"/>
    </w:r>
    <w:r>
      <w:t>2</w:t>
    </w:r>
    <w:r>
      <w:fldChar w:fldCharType="end"/>
    </w:r>
    <w:r>
      <w:tab/>
      <w:t xml:space="preserve">Chapter </w:t>
    </w:r>
    <w:r w:rsidR="00471A3B">
      <w:t>5</w:t>
    </w:r>
    <w:r>
      <w:tab/>
    </w:r>
    <w:fldSimple w:instr=" TITLE   \* MERGEFORMAT ">
      <w:r w:rsidR="00315D9A">
        <w:t>2023-24 Budget Update</w:t>
      </w:r>
    </w:fldSimple>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C963" w14:textId="6710B179" w:rsidR="00C60BFA" w:rsidRDefault="00326F9D" w:rsidP="00C60BFA">
    <w:pPr>
      <w:pStyle w:val="FooterOddPage"/>
    </w:pPr>
    <w:fldSimple w:instr=" TITLE   \* MERGEFORMAT ">
      <w:r w:rsidR="00315D9A">
        <w:t>2023-24 Budget Update</w:t>
      </w:r>
    </w:fldSimple>
    <w:r w:rsidR="00C60BFA" w:rsidRPr="00030025">
      <w:tab/>
      <w:t xml:space="preserve">Chapter </w:t>
    </w:r>
    <w:r w:rsidR="00471A3B">
      <w:t>5</w:t>
    </w:r>
    <w:r w:rsidR="00C60BFA" w:rsidRPr="00030025">
      <w:tab/>
    </w:r>
    <w:r w:rsidR="00C60BFA" w:rsidRPr="00030025">
      <w:fldChar w:fldCharType="begin"/>
    </w:r>
    <w:r w:rsidR="00C60BFA" w:rsidRPr="00030025">
      <w:instrText xml:space="preserve"> PAGE   \* MERGEFORMAT </w:instrText>
    </w:r>
    <w:r w:rsidR="00C60BFA" w:rsidRPr="00030025">
      <w:fldChar w:fldCharType="separate"/>
    </w:r>
    <w:r w:rsidR="00C60BFA">
      <w:t>1</w:t>
    </w:r>
    <w:r w:rsidR="00C60BFA" w:rsidRPr="00030025">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0DA3" w14:textId="61F42C8A" w:rsidR="00C60BFA" w:rsidRDefault="00C60BFA" w:rsidP="00C60BFA">
    <w:pPr>
      <w:pStyle w:val="FooterEvenPage"/>
    </w:pPr>
    <w:r>
      <w:fldChar w:fldCharType="begin"/>
    </w:r>
    <w:r>
      <w:instrText xml:space="preserve"> PAGE   \* MERGEFORMAT </w:instrText>
    </w:r>
    <w:r>
      <w:fldChar w:fldCharType="separate"/>
    </w:r>
    <w:r>
      <w:t>2</w:t>
    </w:r>
    <w:r>
      <w:fldChar w:fldCharType="end"/>
    </w:r>
    <w:r>
      <w:tab/>
      <w:t xml:space="preserve">Chapter </w:t>
    </w:r>
    <w:r w:rsidR="00471A3B">
      <w:t>6</w:t>
    </w:r>
    <w:r>
      <w:tab/>
    </w:r>
    <w:fldSimple w:instr=" TITLE   \* MERGEFORMAT ">
      <w:r w:rsidR="00315D9A">
        <w:t>2023-24 Budget Update</w:t>
      </w:r>
    </w:fldSimple>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44E1" w14:textId="74403ABC" w:rsidR="00C60BFA" w:rsidRDefault="00326F9D" w:rsidP="00C60BFA">
    <w:pPr>
      <w:pStyle w:val="FooterOddPage"/>
    </w:pPr>
    <w:fldSimple w:instr=" TITLE   \* MERGEFORMAT ">
      <w:r w:rsidR="00315D9A">
        <w:t>2023-24 Budget Update</w:t>
      </w:r>
    </w:fldSimple>
    <w:r w:rsidR="00C60BFA" w:rsidRPr="00030025">
      <w:tab/>
      <w:t xml:space="preserve">Chapter </w:t>
    </w:r>
    <w:r w:rsidR="00471A3B">
      <w:t>6</w:t>
    </w:r>
    <w:r w:rsidR="00C60BFA" w:rsidRPr="00030025">
      <w:tab/>
    </w:r>
    <w:r w:rsidR="00C60BFA" w:rsidRPr="00030025">
      <w:fldChar w:fldCharType="begin"/>
    </w:r>
    <w:r w:rsidR="00C60BFA" w:rsidRPr="00030025">
      <w:instrText xml:space="preserve"> PAGE   \* MERGEFORMAT </w:instrText>
    </w:r>
    <w:r w:rsidR="00C60BFA" w:rsidRPr="00030025">
      <w:fldChar w:fldCharType="separate"/>
    </w:r>
    <w:r w:rsidR="00C60BFA">
      <w:t>1</w:t>
    </w:r>
    <w:r w:rsidR="00C60BFA" w:rsidRPr="00030025">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9ADB3" w14:textId="292063FB" w:rsidR="00C60BFA" w:rsidRDefault="00C60BFA" w:rsidP="00C60BFA">
    <w:pPr>
      <w:pStyle w:val="FooterEvenPage"/>
    </w:pPr>
    <w:r>
      <w:fldChar w:fldCharType="begin"/>
    </w:r>
    <w:r>
      <w:instrText xml:space="preserve"> PAGE   \* MERGEFORMAT </w:instrText>
    </w:r>
    <w:r>
      <w:fldChar w:fldCharType="separate"/>
    </w:r>
    <w:r>
      <w:t>2</w:t>
    </w:r>
    <w:r>
      <w:fldChar w:fldCharType="end"/>
    </w:r>
    <w:r>
      <w:tab/>
      <w:t xml:space="preserve">Chapter </w:t>
    </w:r>
    <w:r w:rsidR="00471A3B">
      <w:t>2</w:t>
    </w:r>
    <w:r>
      <w:tab/>
    </w:r>
    <w:fldSimple w:instr=" TITLE   \* MERGEFORMAT ">
      <w:r w:rsidR="00315D9A">
        <w:t>2023-24 Budget Update</w:t>
      </w:r>
    </w:fldSimple>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C696" w14:textId="0B66D710" w:rsidR="00C60BFA" w:rsidRDefault="00C60BFA" w:rsidP="00C60BFA">
    <w:pPr>
      <w:pStyle w:val="FooterEvenPage"/>
    </w:pPr>
    <w:r>
      <w:fldChar w:fldCharType="begin"/>
    </w:r>
    <w:r>
      <w:instrText xml:space="preserve"> PAGE   \* MERGEFORMAT </w:instrText>
    </w:r>
    <w:r>
      <w:fldChar w:fldCharType="separate"/>
    </w:r>
    <w:r>
      <w:t>2</w:t>
    </w:r>
    <w:r>
      <w:fldChar w:fldCharType="end"/>
    </w:r>
    <w:r>
      <w:tab/>
    </w:r>
    <w:r w:rsidR="00471A3B">
      <w:t>Appendix A</w:t>
    </w:r>
    <w:r>
      <w:tab/>
    </w:r>
    <w:fldSimple w:instr=" TITLE   \* MERGEFORMAT ">
      <w:r w:rsidR="00315D9A">
        <w:t>2023-24 Budget Update</w:t>
      </w:r>
    </w:fldSimple>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ED23" w14:textId="778A23A1" w:rsidR="00C60BFA" w:rsidRDefault="00326F9D" w:rsidP="00C60BFA">
    <w:pPr>
      <w:pStyle w:val="FooterOddPage"/>
    </w:pPr>
    <w:fldSimple w:instr=" TITLE   \* MERGEFORMAT ">
      <w:r w:rsidR="00315D9A">
        <w:t>2023-24 Budget Update</w:t>
      </w:r>
    </w:fldSimple>
    <w:r w:rsidR="00C60BFA" w:rsidRPr="00030025">
      <w:tab/>
    </w:r>
    <w:r w:rsidR="00471A3B">
      <w:t>Appendix A</w:t>
    </w:r>
    <w:r w:rsidR="00C60BFA" w:rsidRPr="00030025">
      <w:tab/>
    </w:r>
    <w:r w:rsidR="00C60BFA" w:rsidRPr="00030025">
      <w:fldChar w:fldCharType="begin"/>
    </w:r>
    <w:r w:rsidR="00C60BFA" w:rsidRPr="00030025">
      <w:instrText xml:space="preserve"> PAGE   \* MERGEFORMAT </w:instrText>
    </w:r>
    <w:r w:rsidR="00C60BFA" w:rsidRPr="00030025">
      <w:fldChar w:fldCharType="separate"/>
    </w:r>
    <w:r w:rsidR="00C60BFA">
      <w:t>1</w:t>
    </w:r>
    <w:r w:rsidR="00C60BFA" w:rsidRPr="00030025">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1F9E2" w14:textId="6C40C61D" w:rsidR="00C60BFA" w:rsidRDefault="00C60BFA" w:rsidP="00C60BFA">
    <w:pPr>
      <w:pStyle w:val="FooterEvenPage"/>
    </w:pPr>
    <w:r>
      <w:fldChar w:fldCharType="begin"/>
    </w:r>
    <w:r>
      <w:instrText xml:space="preserve"> PAGE   \* MERGEFORMAT </w:instrText>
    </w:r>
    <w:r>
      <w:fldChar w:fldCharType="separate"/>
    </w:r>
    <w:r>
      <w:t>2</w:t>
    </w:r>
    <w:r>
      <w:fldChar w:fldCharType="end"/>
    </w:r>
    <w:r>
      <w:tab/>
    </w:r>
    <w:r w:rsidR="00471A3B">
      <w:t>Appendix B</w:t>
    </w:r>
    <w:r>
      <w:tab/>
    </w:r>
    <w:fldSimple w:instr=" TITLE   \* MERGEFORMAT ">
      <w:r w:rsidR="00315D9A">
        <w:t>2023-24 Budget Update</w:t>
      </w:r>
    </w:fldSimple>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A9EBD" w14:textId="0A372462" w:rsidR="00C60BFA" w:rsidRDefault="00326F9D" w:rsidP="00C60BFA">
    <w:pPr>
      <w:pStyle w:val="FooterOddPage"/>
    </w:pPr>
    <w:fldSimple w:instr=" TITLE   \* MERGEFORMAT ">
      <w:r w:rsidR="00315D9A">
        <w:t>2023-24 Budget Update</w:t>
      </w:r>
    </w:fldSimple>
    <w:r w:rsidR="00C60BFA" w:rsidRPr="00030025">
      <w:tab/>
    </w:r>
    <w:r w:rsidR="00471A3B">
      <w:t>Appendix B</w:t>
    </w:r>
    <w:r w:rsidR="00C60BFA" w:rsidRPr="00030025">
      <w:tab/>
    </w:r>
    <w:r w:rsidR="00C60BFA" w:rsidRPr="00030025">
      <w:fldChar w:fldCharType="begin"/>
    </w:r>
    <w:r w:rsidR="00C60BFA" w:rsidRPr="00030025">
      <w:instrText xml:space="preserve"> PAGE   \* MERGEFORMAT </w:instrText>
    </w:r>
    <w:r w:rsidR="00C60BFA" w:rsidRPr="00030025">
      <w:fldChar w:fldCharType="separate"/>
    </w:r>
    <w:r w:rsidR="00C60BFA">
      <w:t>1</w:t>
    </w:r>
    <w:r w:rsidR="00C60BFA" w:rsidRPr="00030025">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C1C1A" w14:textId="77777777" w:rsidR="00AB205D" w:rsidRDefault="00AB205D">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767E" w14:textId="1ECD06D3" w:rsidR="00C60BFA" w:rsidRDefault="00C60BFA" w:rsidP="00C60BFA">
    <w:pPr>
      <w:pStyle w:val="FooterEvenPage"/>
    </w:pPr>
    <w:r>
      <w:fldChar w:fldCharType="begin"/>
    </w:r>
    <w:r>
      <w:instrText xml:space="preserve"> PAGE   \* MERGEFORMAT </w:instrText>
    </w:r>
    <w:r>
      <w:fldChar w:fldCharType="separate"/>
    </w:r>
    <w:r>
      <w:t>2</w:t>
    </w:r>
    <w:r>
      <w:fldChar w:fldCharType="end"/>
    </w:r>
    <w:r>
      <w:tab/>
    </w:r>
    <w:r w:rsidR="00471A3B">
      <w:t>Appendix C</w:t>
    </w:r>
    <w:r>
      <w:tab/>
    </w:r>
    <w:fldSimple w:instr=" TITLE   \* MERGEFORMAT ">
      <w:r w:rsidR="00315D9A">
        <w:t>2023-24 Budget Update</w:t>
      </w:r>
    </w:fldSimple>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FA02" w14:textId="15A824B0" w:rsidR="00C60BFA" w:rsidRDefault="00326F9D" w:rsidP="00C60BFA">
    <w:pPr>
      <w:pStyle w:val="FooterOddPage"/>
    </w:pPr>
    <w:fldSimple w:instr=" TITLE   \* MERGEFORMAT ">
      <w:r w:rsidR="00315D9A">
        <w:t>2023-24 Budget Update</w:t>
      </w:r>
    </w:fldSimple>
    <w:r w:rsidR="00C60BFA" w:rsidRPr="00030025">
      <w:tab/>
    </w:r>
    <w:r w:rsidR="00471A3B">
      <w:t>Appendix C</w:t>
    </w:r>
    <w:r w:rsidR="00C60BFA" w:rsidRPr="00030025">
      <w:tab/>
    </w:r>
    <w:r w:rsidR="00C60BFA" w:rsidRPr="00030025">
      <w:fldChar w:fldCharType="begin"/>
    </w:r>
    <w:r w:rsidR="00C60BFA" w:rsidRPr="00030025">
      <w:instrText xml:space="preserve"> PAGE   \* MERGEFORMAT </w:instrText>
    </w:r>
    <w:r w:rsidR="00C60BFA" w:rsidRPr="00030025">
      <w:fldChar w:fldCharType="separate"/>
    </w:r>
    <w:r w:rsidR="00C60BFA">
      <w:t>1</w:t>
    </w:r>
    <w:r w:rsidR="00C60BFA" w:rsidRPr="00030025">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14CA9" w14:textId="4892D2D2" w:rsidR="00AB205D" w:rsidRDefault="00471A3B">
    <w:pPr>
      <w:pStyle w:val="FooterEvenPage"/>
    </w:pPr>
    <w:r>
      <w:fldChar w:fldCharType="begin"/>
    </w:r>
    <w:r>
      <w:instrText xml:space="preserve"> PAGE   \* MERGEFORMAT </w:instrText>
    </w:r>
    <w:r>
      <w:fldChar w:fldCharType="separate"/>
    </w:r>
    <w:r>
      <w:t>68</w:t>
    </w:r>
    <w:r>
      <w:fldChar w:fldCharType="end"/>
    </w:r>
    <w:r>
      <w:tab/>
      <w:t>Appendix D</w:t>
    </w:r>
    <w:r>
      <w:tab/>
    </w:r>
    <w:fldSimple w:instr="DOCPROPERTY  Title  \* MERGEFORMAT">
      <w:r w:rsidR="00315D9A">
        <w:t>2023-24 Budget Update</w:t>
      </w:r>
    </w:fldSimple>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B5A4" w14:textId="1D7D2618" w:rsidR="00AB205D" w:rsidRDefault="00326F9D">
    <w:pPr>
      <w:pStyle w:val="FooterOddPage"/>
    </w:pPr>
    <w:fldSimple w:instr="TITLE   \* MERGEFORMAT">
      <w:r w:rsidR="00315D9A">
        <w:t>2023-24 Budget Update</w:t>
      </w:r>
    </w:fldSimple>
    <w:r w:rsidR="00471A3B" w:rsidRPr="00030025">
      <w:tab/>
    </w:r>
    <w:r w:rsidR="00471A3B">
      <w:t>Appendix D</w:t>
    </w:r>
    <w:r w:rsidR="00471A3B" w:rsidRPr="00030025">
      <w:tab/>
    </w:r>
    <w:r w:rsidR="00471A3B" w:rsidRPr="00030025">
      <w:fldChar w:fldCharType="begin"/>
    </w:r>
    <w:r w:rsidR="00471A3B" w:rsidRPr="00030025">
      <w:instrText xml:space="preserve"> PAGE   \* MERGEFORMAT </w:instrText>
    </w:r>
    <w:r w:rsidR="00471A3B" w:rsidRPr="00030025">
      <w:fldChar w:fldCharType="separate"/>
    </w:r>
    <w:r w:rsidR="00471A3B">
      <w:t>69</w:t>
    </w:r>
    <w:r w:rsidR="00471A3B" w:rsidRPr="00030025">
      <w:fldChar w:fldCharType="end"/>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C37B" w14:textId="41D23F40" w:rsidR="00C60BFA" w:rsidRDefault="00C60BFA" w:rsidP="00C60BFA">
    <w:pPr>
      <w:pStyle w:val="FooterEvenPage"/>
    </w:pPr>
    <w:r>
      <w:fldChar w:fldCharType="begin"/>
    </w:r>
    <w:r>
      <w:instrText xml:space="preserve"> PAGE   \* MERGEFORMAT </w:instrText>
    </w:r>
    <w:r>
      <w:fldChar w:fldCharType="separate"/>
    </w:r>
    <w:r>
      <w:t>2</w:t>
    </w:r>
    <w:r>
      <w:fldChar w:fldCharType="end"/>
    </w:r>
    <w:r>
      <w:tab/>
    </w:r>
    <w:r w:rsidR="00471A3B">
      <w:t>Appendix E</w:t>
    </w:r>
    <w:r>
      <w:tab/>
    </w:r>
    <w:fldSimple w:instr=" TITLE   \* MERGEFORMAT ">
      <w:r w:rsidR="00315D9A">
        <w:t>2023-24 Budget Update</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5CEC" w14:textId="06DFF867" w:rsidR="00C60BFA" w:rsidRDefault="00326F9D" w:rsidP="00C60BFA">
    <w:pPr>
      <w:pStyle w:val="FooterOddPage"/>
    </w:pPr>
    <w:fldSimple w:instr=" TITLE   \* MERGEFORMAT ">
      <w:r w:rsidR="00315D9A">
        <w:t>2023-24 Budget Update</w:t>
      </w:r>
    </w:fldSimple>
    <w:r w:rsidR="00C60BFA" w:rsidRPr="00030025">
      <w:tab/>
      <w:t xml:space="preserve">Chapter </w:t>
    </w:r>
    <w:r w:rsidR="00471A3B">
      <w:t>2</w:t>
    </w:r>
    <w:r w:rsidR="00C60BFA" w:rsidRPr="00030025">
      <w:tab/>
    </w:r>
    <w:r w:rsidR="00C60BFA" w:rsidRPr="00030025">
      <w:fldChar w:fldCharType="begin"/>
    </w:r>
    <w:r w:rsidR="00C60BFA" w:rsidRPr="00030025">
      <w:instrText xml:space="preserve"> PAGE   \* MERGEFORMAT </w:instrText>
    </w:r>
    <w:r w:rsidR="00C60BFA" w:rsidRPr="00030025">
      <w:fldChar w:fldCharType="separate"/>
    </w:r>
    <w:r w:rsidR="00C60BFA">
      <w:t>1</w:t>
    </w:r>
    <w:r w:rsidR="00C60BFA" w:rsidRPr="00030025">
      <w:fldChar w:fldCharType="end"/>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4C2A5" w14:textId="2DA812A2" w:rsidR="00C60BFA" w:rsidRDefault="00326F9D" w:rsidP="00C60BFA">
    <w:pPr>
      <w:pStyle w:val="FooterOddPage"/>
    </w:pPr>
    <w:fldSimple w:instr=" TITLE   \* MERGEFORMAT ">
      <w:r w:rsidR="00315D9A">
        <w:t>2023-24 Budget Update</w:t>
      </w:r>
    </w:fldSimple>
    <w:r w:rsidR="00C60BFA" w:rsidRPr="00030025">
      <w:tab/>
    </w:r>
    <w:r w:rsidR="00471A3B">
      <w:t>Appendix E</w:t>
    </w:r>
    <w:r w:rsidR="00C60BFA" w:rsidRPr="00030025">
      <w:tab/>
    </w:r>
    <w:r w:rsidR="00C60BFA" w:rsidRPr="00030025">
      <w:fldChar w:fldCharType="begin"/>
    </w:r>
    <w:r w:rsidR="00C60BFA" w:rsidRPr="00030025">
      <w:instrText xml:space="preserve"> PAGE   \* MERGEFORMAT </w:instrText>
    </w:r>
    <w:r w:rsidR="00C60BFA" w:rsidRPr="00030025">
      <w:fldChar w:fldCharType="separate"/>
    </w:r>
    <w:r w:rsidR="00C60BFA">
      <w:t>1</w:t>
    </w:r>
    <w:r w:rsidR="00C60BFA" w:rsidRPr="00030025">
      <w:fldChar w:fldCharType="end"/>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9C155" w14:textId="5579276C" w:rsidR="005F294E" w:rsidRDefault="005F294E" w:rsidP="00C60BFA">
    <w:pPr>
      <w:pStyle w:val="FooterEvenPage"/>
    </w:pPr>
    <w:r>
      <w:fldChar w:fldCharType="begin"/>
    </w:r>
    <w:r>
      <w:instrText xml:space="preserve"> PAGE   \* MERGEFORMAT </w:instrText>
    </w:r>
    <w:r>
      <w:fldChar w:fldCharType="separate"/>
    </w:r>
    <w:r>
      <w:t>2</w:t>
    </w:r>
    <w:r>
      <w:fldChar w:fldCharType="end"/>
    </w:r>
    <w:r>
      <w:tab/>
      <w:t>Style conventions</w:t>
    </w:r>
    <w:r>
      <w:tab/>
    </w:r>
    <w:fldSimple w:instr=" TITLE   \* MERGEFORMAT ">
      <w:r w:rsidR="00315D9A">
        <w:t>2023-24 Budget Update</w:t>
      </w:r>
    </w:fldSimple>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743DE" w14:textId="6BC843F8" w:rsidR="00471A3B" w:rsidRDefault="00326F9D" w:rsidP="00C60BFA">
    <w:pPr>
      <w:pStyle w:val="FooterOddPage"/>
    </w:pPr>
    <w:fldSimple w:instr=" TITLE   \* MERGEFORMAT ">
      <w:r w:rsidR="00315D9A">
        <w:t>2023-24 Budget Update</w:t>
      </w:r>
    </w:fldSimple>
    <w:r w:rsidR="00471A3B" w:rsidRPr="00030025">
      <w:tab/>
    </w:r>
    <w:r w:rsidR="00471A3B">
      <w:t>Style conventions</w:t>
    </w:r>
    <w:r w:rsidR="00471A3B" w:rsidRPr="00030025">
      <w:tab/>
    </w:r>
    <w:r w:rsidR="00471A3B" w:rsidRPr="00030025">
      <w:fldChar w:fldCharType="begin"/>
    </w:r>
    <w:r w:rsidR="00471A3B" w:rsidRPr="00030025">
      <w:instrText xml:space="preserve"> PAGE   \* MERGEFORMAT </w:instrText>
    </w:r>
    <w:r w:rsidR="00471A3B" w:rsidRPr="00030025">
      <w:fldChar w:fldCharType="separate"/>
    </w:r>
    <w:r w:rsidR="00471A3B">
      <w:t>1</w:t>
    </w:r>
    <w:r w:rsidR="00471A3B" w:rsidRPr="00030025">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5DC6" w14:textId="77777777" w:rsidR="00E00690" w:rsidRPr="00B8555F" w:rsidRDefault="00000000" w:rsidP="00E0069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F167" w14:textId="77777777" w:rsidR="00AB205D" w:rsidRDefault="00AB205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E04AC" w14:textId="6B4AFF01" w:rsidR="00C60BFA" w:rsidRDefault="00C60BFA" w:rsidP="00C60BFA">
    <w:pPr>
      <w:pStyle w:val="FooterEvenPage"/>
    </w:pPr>
    <w:r>
      <w:fldChar w:fldCharType="begin"/>
    </w:r>
    <w:r>
      <w:instrText xml:space="preserve"> PAGE   \* MERGEFORMAT </w:instrText>
    </w:r>
    <w:r>
      <w:fldChar w:fldCharType="separate"/>
    </w:r>
    <w:r>
      <w:t>2</w:t>
    </w:r>
    <w:r>
      <w:fldChar w:fldCharType="end"/>
    </w:r>
    <w:r>
      <w:tab/>
      <w:t xml:space="preserve">Chapter </w:t>
    </w:r>
    <w:r w:rsidR="00471A3B">
      <w:t>3</w:t>
    </w:r>
    <w:r>
      <w:tab/>
    </w:r>
    <w:fldSimple w:instr=" TITLE   \* MERGEFORMAT ">
      <w:r w:rsidR="00315D9A">
        <w:t>2023-24 Budget Update</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16E5" w14:textId="3EBE3C7E" w:rsidR="00C60BFA" w:rsidRDefault="00326F9D" w:rsidP="00C60BFA">
    <w:pPr>
      <w:pStyle w:val="FooterOddPage"/>
    </w:pPr>
    <w:fldSimple w:instr=" TITLE   \* MERGEFORMAT ">
      <w:r w:rsidR="00315D9A">
        <w:t>2023-24 Budget Update</w:t>
      </w:r>
    </w:fldSimple>
    <w:r w:rsidR="00C60BFA" w:rsidRPr="00030025">
      <w:tab/>
      <w:t xml:space="preserve">Chapter </w:t>
    </w:r>
    <w:r w:rsidR="00471A3B">
      <w:t>3</w:t>
    </w:r>
    <w:r w:rsidR="00C60BFA" w:rsidRPr="00030025">
      <w:tab/>
    </w:r>
    <w:r w:rsidR="00C60BFA" w:rsidRPr="00030025">
      <w:fldChar w:fldCharType="begin"/>
    </w:r>
    <w:r w:rsidR="00C60BFA" w:rsidRPr="00030025">
      <w:instrText xml:space="preserve"> PAGE   \* MERGEFORMAT </w:instrText>
    </w:r>
    <w:r w:rsidR="00C60BFA" w:rsidRPr="00030025">
      <w:fldChar w:fldCharType="separate"/>
    </w:r>
    <w:r w:rsidR="00C60BFA">
      <w:t>1</w:t>
    </w:r>
    <w:r w:rsidR="00C60BFA" w:rsidRPr="0003002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6F1BB" w14:textId="77777777" w:rsidR="0082398F" w:rsidRDefault="0082398F" w:rsidP="00C60BFA">
      <w:pPr>
        <w:spacing w:before="0"/>
      </w:pPr>
      <w:r>
        <w:separator/>
      </w:r>
    </w:p>
  </w:footnote>
  <w:footnote w:type="continuationSeparator" w:id="0">
    <w:p w14:paraId="1154A817" w14:textId="77777777" w:rsidR="0082398F" w:rsidRDefault="0082398F" w:rsidP="00C60BFA">
      <w:pPr>
        <w:spacing w:before="0"/>
      </w:pPr>
      <w:r>
        <w:continuationSeparator/>
      </w:r>
    </w:p>
  </w:footnote>
  <w:footnote w:type="continuationNotice" w:id="1">
    <w:p w14:paraId="4C4110EF" w14:textId="77777777" w:rsidR="0082398F" w:rsidRDefault="0082398F">
      <w:pPr>
        <w:spacing w:before="0"/>
      </w:pPr>
    </w:p>
  </w:footnote>
  <w:footnote w:id="2">
    <w:p w14:paraId="60781959" w14:textId="77777777" w:rsidR="00AB205D" w:rsidRPr="00F9018B" w:rsidRDefault="00471A3B">
      <w:pPr>
        <w:pStyle w:val="FootnoteText"/>
      </w:pPr>
      <w:r>
        <w:rPr>
          <w:rStyle w:val="FootnoteReference"/>
        </w:rPr>
        <w:footnoteRef/>
      </w:r>
      <w:r>
        <w:t xml:space="preserve"> </w:t>
      </w:r>
      <w:r w:rsidRPr="00F9018B">
        <w:t>The Department of Treasury and Finance maintains a set of elasticities covering the relationships between major economic parameters and revenue and expenditure lines, including superannuation, and dividends and income tax equivalents from the public financial and non-financial corporations.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C010" w14:textId="77777777" w:rsidR="00AB205D" w:rsidRDefault="00AB205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D987" w14:textId="77777777" w:rsidR="00341416" w:rsidRDefault="0034141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0BFB1" w14:textId="77777777" w:rsidR="00341416" w:rsidRDefault="0034141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8434" w14:textId="77777777" w:rsidR="00341416" w:rsidRDefault="0034141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E7C9" w14:textId="77777777" w:rsidR="00341416" w:rsidRDefault="0034141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27444" w14:textId="77777777" w:rsidR="00341416" w:rsidRDefault="0034141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B67F1" w14:textId="77777777" w:rsidR="00341416" w:rsidRDefault="0034141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FC8B" w14:textId="77777777" w:rsidR="00341416" w:rsidRDefault="0034141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D45D" w14:textId="77777777" w:rsidR="00341416" w:rsidRDefault="0034141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B5E2" w14:textId="77777777" w:rsidR="00341416" w:rsidRDefault="0034141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4F3C" w14:textId="77777777" w:rsidR="00341416" w:rsidRDefault="003414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3F2A" w14:textId="77777777" w:rsidR="00AB205D" w:rsidRDefault="00AB205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A70B5" w14:textId="77777777" w:rsidR="00341416" w:rsidRDefault="00341416">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3F4E6" w14:textId="77777777" w:rsidR="00341416" w:rsidRDefault="00341416">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D58F3" w14:textId="77777777" w:rsidR="00341416" w:rsidRDefault="00341416">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A684" w14:textId="77777777" w:rsidR="00341416" w:rsidRDefault="00341416">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8DEBC" w14:textId="77777777" w:rsidR="00341416" w:rsidRDefault="00341416">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A0EC" w14:textId="77777777" w:rsidR="00341416" w:rsidRDefault="00341416">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268F" w14:textId="77777777" w:rsidR="00341416" w:rsidRDefault="00341416">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713C1" w14:textId="77777777" w:rsidR="00341416" w:rsidRDefault="00341416">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D85A1" w14:textId="77777777" w:rsidR="00703C50" w:rsidRDefault="00703C50">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685F8" w14:textId="77777777" w:rsidR="00703C50" w:rsidRDefault="00703C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19368" w14:textId="77777777" w:rsidR="00AB205D" w:rsidRDefault="00AB205D">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83AD" w14:textId="77777777" w:rsidR="00703C50" w:rsidRDefault="00703C50">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ED23" w14:textId="77777777" w:rsidR="00703C50" w:rsidRDefault="00703C50">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4486" w14:textId="77777777" w:rsidR="00703C50" w:rsidRDefault="00703C50">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2E4C" w14:textId="77777777" w:rsidR="00703C50" w:rsidRDefault="00703C50">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097C1" w14:textId="77777777" w:rsidR="00703C50" w:rsidRDefault="00703C50">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8665" w14:textId="77777777" w:rsidR="00703C50" w:rsidRDefault="00703C50">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7AC9" w14:textId="77777777" w:rsidR="00703C50" w:rsidRDefault="00703C50">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26D6" w14:textId="77777777" w:rsidR="00703C50" w:rsidRDefault="00703C50">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641C" w14:textId="77777777" w:rsidR="00703C50" w:rsidRDefault="00703C50">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ABF2B" w14:textId="77777777" w:rsidR="00703C50" w:rsidRDefault="00703C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F9B8" w14:textId="77777777" w:rsidR="00341416" w:rsidRDefault="00341416">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2161" w14:textId="77777777" w:rsidR="00703C50" w:rsidRDefault="00703C50">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E088" w14:textId="77777777" w:rsidR="00703C50" w:rsidRDefault="00703C50">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92D28" w14:textId="77777777" w:rsidR="00703C50" w:rsidRDefault="00703C50">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E1A00" w14:textId="77777777" w:rsidR="00AB205D" w:rsidRDefault="00AB205D">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E2FD" w14:textId="77777777" w:rsidR="00AB205D" w:rsidRDefault="00AB205D">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DA56" w14:textId="77777777" w:rsidR="00AB205D" w:rsidRDefault="00AB205D">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C375E" w14:textId="77777777" w:rsidR="00AB205D" w:rsidRDefault="00AB205D">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463D" w14:textId="77777777" w:rsidR="00AB205D" w:rsidRDefault="00AB205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D9E4" w14:textId="77777777" w:rsidR="00341416" w:rsidRDefault="003414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DAC3A" w14:textId="77777777" w:rsidR="00341416" w:rsidRDefault="0034141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94AA" w14:textId="77777777" w:rsidR="00AB205D" w:rsidRPr="00570639" w:rsidRDefault="00AB205D" w:rsidP="0057063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1C10E" w14:textId="77777777" w:rsidR="00AB205D" w:rsidRPr="00637E59" w:rsidRDefault="00AB205D">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E158D" w14:textId="77777777" w:rsidR="00341416" w:rsidRDefault="00341416">
    <w:pPr>
      <w:pStyle w:val="Header"/>
    </w:pPr>
  </w:p>
  <w:p w14:paraId="52F82474" w14:textId="77777777" w:rsidR="00762911" w:rsidRDefault="00762911"/>
  <w:p w14:paraId="2BE164FD" w14:textId="77777777" w:rsidR="00AB205D" w:rsidRPr="00637E59" w:rsidRDefault="00AB205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1C094F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A17B05"/>
    <w:multiLevelType w:val="multilevel"/>
    <w:tmpl w:val="4446ACEE"/>
    <w:numStyleLink w:val="ListBullets"/>
  </w:abstractNum>
  <w:abstractNum w:abstractNumId="2" w15:restartNumberingAfterBreak="0">
    <w:nsid w:val="2E41314E"/>
    <w:multiLevelType w:val="multilevel"/>
    <w:tmpl w:val="3654BD38"/>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680" w:hanging="340"/>
      </w:pPr>
      <w:rPr>
        <w:rFonts w:hint="default"/>
      </w:rPr>
    </w:lvl>
    <w:lvl w:ilvl="2">
      <w:start w:val="1"/>
      <w:numFmt w:val="upperLetter"/>
      <w:pStyle w:val="ListAlpha3"/>
      <w:lvlText w:val="%3)"/>
      <w:lvlJc w:val="righ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361" w:hanging="1"/>
      </w:pPr>
      <w:rPr>
        <w:rFonts w:hint="default"/>
      </w:rPr>
    </w:lvl>
    <w:lvl w:ilvl="5">
      <w:start w:val="1"/>
      <w:numFmt w:val="lowerRoman"/>
      <w:lvlText w:val="%6."/>
      <w:lvlJc w:val="right"/>
      <w:pPr>
        <w:ind w:left="1701" w:hanging="1"/>
      </w:pPr>
      <w:rPr>
        <w:rFonts w:hint="default"/>
      </w:rPr>
    </w:lvl>
    <w:lvl w:ilvl="6">
      <w:start w:val="1"/>
      <w:numFmt w:val="decimal"/>
      <w:lvlText w:val="%7."/>
      <w:lvlJc w:val="left"/>
      <w:pPr>
        <w:ind w:left="2041" w:hanging="1"/>
      </w:pPr>
      <w:rPr>
        <w:rFonts w:hint="default"/>
      </w:rPr>
    </w:lvl>
    <w:lvl w:ilvl="7">
      <w:start w:val="1"/>
      <w:numFmt w:val="lowerLetter"/>
      <w:lvlText w:val="%8."/>
      <w:lvlJc w:val="left"/>
      <w:pPr>
        <w:ind w:left="2381" w:hanging="1"/>
      </w:pPr>
      <w:rPr>
        <w:rFonts w:hint="default"/>
      </w:rPr>
    </w:lvl>
    <w:lvl w:ilvl="8">
      <w:start w:val="1"/>
      <w:numFmt w:val="lowerRoman"/>
      <w:lvlText w:val="%9."/>
      <w:lvlJc w:val="right"/>
      <w:pPr>
        <w:ind w:left="2722" w:hanging="2"/>
      </w:pPr>
      <w:rPr>
        <w:rFonts w:hint="default"/>
      </w:rPr>
    </w:lvl>
  </w:abstractNum>
  <w:abstractNum w:abstractNumId="3" w15:restartNumberingAfterBreak="0">
    <w:nsid w:val="32940CD5"/>
    <w:multiLevelType w:val="multilevel"/>
    <w:tmpl w:val="5E22C0F8"/>
    <w:styleLink w:val="Bulle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32A931AF"/>
    <w:multiLevelType w:val="hybridMultilevel"/>
    <w:tmpl w:val="EB12AAD2"/>
    <w:lvl w:ilvl="0" w:tplc="302EACFA">
      <w:start w:val="1"/>
      <w:numFmt w:val="bullet"/>
      <w:pStyle w:val="Note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345B3509"/>
    <w:multiLevelType w:val="multilevel"/>
    <w:tmpl w:val="9E328A70"/>
    <w:lvl w:ilvl="0">
      <w:start w:val="1"/>
      <w:numFmt w:val="decimal"/>
      <w:pStyle w:val="Heading1"/>
      <w:lvlText w:val="%1."/>
      <w:lvlJc w:val="left"/>
      <w:pPr>
        <w:ind w:left="397" w:hanging="397"/>
      </w:pPr>
      <w:rPr>
        <w:rFonts w:hint="default"/>
      </w:rPr>
    </w:lvl>
    <w:lvl w:ilvl="1">
      <w:start w:val="1"/>
      <w:numFmt w:val="decimal"/>
      <w:pStyle w:val="Heading2"/>
      <w:lvlText w:val="%1.%2"/>
      <w:lvlJc w:val="left"/>
      <w:pPr>
        <w:tabs>
          <w:tab w:val="num" w:pos="1928"/>
        </w:tabs>
        <w:ind w:left="624" w:hanging="624"/>
      </w:pPr>
      <w:rPr>
        <w:rFonts w:hint="default"/>
      </w:rPr>
    </w:lvl>
    <w:lvl w:ilvl="2">
      <w:start w:val="1"/>
      <w:numFmt w:val="decimal"/>
      <w:pStyle w:val="Heading3"/>
      <w:lvlText w:val="%1.%2.%3"/>
      <w:lvlJc w:val="left"/>
      <w:pPr>
        <w:ind w:left="907" w:hanging="90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B695180"/>
    <w:multiLevelType w:val="multilevel"/>
    <w:tmpl w:val="5E22C0F8"/>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5BB7577B"/>
    <w:multiLevelType w:val="multilevel"/>
    <w:tmpl w:val="BF688622"/>
    <w:lvl w:ilvl="0">
      <w:start w:val="1"/>
      <w:numFmt w:val="bullet"/>
      <w:pStyle w:val="ListBullet"/>
      <w:lvlText w:val=""/>
      <w:lvlJc w:val="left"/>
      <w:pPr>
        <w:ind w:left="340" w:hanging="340"/>
      </w:pPr>
      <w:rPr>
        <w:rFonts w:ascii="Symbol" w:hAnsi="Symbol" w:hint="default"/>
        <w:color w:val="auto"/>
      </w:rPr>
    </w:lvl>
    <w:lvl w:ilvl="1">
      <w:start w:val="1"/>
      <w:numFmt w:val="bullet"/>
      <w:pStyle w:val="ListBullet2"/>
      <w:lvlText w:val=""/>
      <w:lvlJc w:val="left"/>
      <w:pPr>
        <w:ind w:left="680" w:hanging="340"/>
      </w:pPr>
      <w:rPr>
        <w:rFonts w:ascii="Symbol" w:hAnsi="Symbol" w:hint="default"/>
      </w:rPr>
    </w:lvl>
    <w:lvl w:ilvl="2">
      <w:start w:val="1"/>
      <w:numFmt w:val="bullet"/>
      <w:pStyle w:val="ListBullet3"/>
      <w:lvlText w:val=""/>
      <w:lvlJc w:val="left"/>
      <w:pPr>
        <w:ind w:left="1020" w:hanging="340"/>
      </w:pPr>
      <w:rPr>
        <w:rFonts w:ascii="Symbol" w:hAnsi="Symbol" w:hint="default"/>
        <w:color w:val="auto"/>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8" w15:restartNumberingAfterBreak="0">
    <w:nsid w:val="732530F3"/>
    <w:multiLevelType w:val="multilevel"/>
    <w:tmpl w:val="4446ACEE"/>
    <w:styleLink w:val="ListBullets"/>
    <w:lvl w:ilvl="0">
      <w:start w:val="1"/>
      <w:numFmt w:val="bullet"/>
      <w:lvlText w:val=""/>
      <w:lvlJc w:val="left"/>
      <w:pPr>
        <w:ind w:left="284" w:hanging="284"/>
      </w:pPr>
      <w:rPr>
        <w:rFonts w:ascii="Symbol" w:hAnsi="Symbol" w:hint="default"/>
      </w:rPr>
    </w:lvl>
    <w:lvl w:ilvl="1">
      <w:start w:val="1"/>
      <w:numFmt w:val="none"/>
      <w:lvlText w:val="–"/>
      <w:lvlJc w:val="left"/>
      <w:pPr>
        <w:ind w:left="567" w:hanging="283"/>
      </w:pPr>
      <w:rPr>
        <w:rFonts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C2740D6"/>
    <w:multiLevelType w:val="multilevel"/>
    <w:tmpl w:val="AA5AE64C"/>
    <w:lvl w:ilvl="0">
      <w:start w:val="1"/>
      <w:numFmt w:val="none"/>
      <w:pStyle w:val="ListContinue"/>
      <w:lvlText w:val=""/>
      <w:lvlJc w:val="left"/>
      <w:pPr>
        <w:ind w:left="340" w:firstLine="0"/>
      </w:pPr>
      <w:rPr>
        <w:rFonts w:hint="default"/>
      </w:rPr>
    </w:lvl>
    <w:lvl w:ilvl="1">
      <w:start w:val="1"/>
      <w:numFmt w:val="none"/>
      <w:pStyle w:val="ListContinue2"/>
      <w:lvlText w:val=""/>
      <w:lvlJc w:val="left"/>
      <w:pPr>
        <w:ind w:left="680" w:firstLine="0"/>
      </w:pPr>
      <w:rPr>
        <w:rFonts w:hint="default"/>
      </w:rPr>
    </w:lvl>
    <w:lvl w:ilvl="2">
      <w:start w:val="1"/>
      <w:numFmt w:val="none"/>
      <w:pStyle w:val="ListContinue3"/>
      <w:lvlText w:val=""/>
      <w:lvlJc w:val="right"/>
      <w:pPr>
        <w:ind w:left="1020" w:firstLine="0"/>
      </w:pPr>
      <w:rPr>
        <w:rFonts w:hint="default"/>
      </w:rPr>
    </w:lvl>
    <w:lvl w:ilvl="3">
      <w:start w:val="1"/>
      <w:numFmt w:val="none"/>
      <w:lvlText w:val=""/>
      <w:lvlJc w:val="left"/>
      <w:pPr>
        <w:ind w:left="1360" w:firstLine="0"/>
      </w:pPr>
      <w:rPr>
        <w:rFonts w:hint="default"/>
      </w:rPr>
    </w:lvl>
    <w:lvl w:ilvl="4">
      <w:start w:val="1"/>
      <w:numFmt w:val="none"/>
      <w:lvlText w:val=""/>
      <w:lvlJc w:val="left"/>
      <w:pPr>
        <w:ind w:left="1700" w:firstLine="0"/>
      </w:pPr>
      <w:rPr>
        <w:rFonts w:hint="default"/>
      </w:rPr>
    </w:lvl>
    <w:lvl w:ilvl="5">
      <w:start w:val="1"/>
      <w:numFmt w:val="none"/>
      <w:lvlText w:val=""/>
      <w:lvlJc w:val="right"/>
      <w:pPr>
        <w:ind w:left="2040" w:firstLine="0"/>
      </w:pPr>
      <w:rPr>
        <w:rFonts w:hint="default"/>
      </w:rPr>
    </w:lvl>
    <w:lvl w:ilvl="6">
      <w:start w:val="1"/>
      <w:numFmt w:val="none"/>
      <w:lvlText w:val=""/>
      <w:lvlJc w:val="left"/>
      <w:pPr>
        <w:ind w:left="2380" w:firstLine="0"/>
      </w:pPr>
      <w:rPr>
        <w:rFonts w:hint="default"/>
      </w:rPr>
    </w:lvl>
    <w:lvl w:ilvl="7">
      <w:start w:val="1"/>
      <w:numFmt w:val="none"/>
      <w:lvlText w:val=""/>
      <w:lvlJc w:val="left"/>
      <w:pPr>
        <w:ind w:left="2720" w:firstLine="0"/>
      </w:pPr>
      <w:rPr>
        <w:rFonts w:hint="default"/>
      </w:rPr>
    </w:lvl>
    <w:lvl w:ilvl="8">
      <w:start w:val="1"/>
      <w:numFmt w:val="none"/>
      <w:lvlText w:val=""/>
      <w:lvlJc w:val="right"/>
      <w:pPr>
        <w:ind w:left="3060" w:firstLine="0"/>
      </w:pPr>
      <w:rPr>
        <w:rFonts w:hint="default"/>
      </w:rPr>
    </w:lvl>
  </w:abstractNum>
  <w:abstractNum w:abstractNumId="10" w15:restartNumberingAfterBreak="0">
    <w:nsid w:val="7C6E4EBA"/>
    <w:multiLevelType w:val="multilevel"/>
    <w:tmpl w:val="B4BC2B18"/>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righ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361" w:hanging="1"/>
      </w:pPr>
      <w:rPr>
        <w:rFonts w:hint="default"/>
      </w:rPr>
    </w:lvl>
    <w:lvl w:ilvl="5">
      <w:start w:val="1"/>
      <w:numFmt w:val="lowerRoman"/>
      <w:lvlText w:val="%6."/>
      <w:lvlJc w:val="right"/>
      <w:pPr>
        <w:ind w:left="1701" w:hanging="1"/>
      </w:pPr>
      <w:rPr>
        <w:rFonts w:hint="default"/>
      </w:rPr>
    </w:lvl>
    <w:lvl w:ilvl="6">
      <w:start w:val="1"/>
      <w:numFmt w:val="decimal"/>
      <w:lvlText w:val="%7."/>
      <w:lvlJc w:val="left"/>
      <w:pPr>
        <w:ind w:left="2041" w:hanging="1"/>
      </w:pPr>
      <w:rPr>
        <w:rFonts w:hint="default"/>
      </w:rPr>
    </w:lvl>
    <w:lvl w:ilvl="7">
      <w:start w:val="1"/>
      <w:numFmt w:val="lowerLetter"/>
      <w:lvlText w:val="%8."/>
      <w:lvlJc w:val="left"/>
      <w:pPr>
        <w:ind w:left="2381" w:hanging="1"/>
      </w:pPr>
      <w:rPr>
        <w:rFonts w:hint="default"/>
      </w:rPr>
    </w:lvl>
    <w:lvl w:ilvl="8">
      <w:start w:val="1"/>
      <w:numFmt w:val="lowerRoman"/>
      <w:lvlText w:val="%9."/>
      <w:lvlJc w:val="right"/>
      <w:pPr>
        <w:ind w:left="2722" w:hanging="2"/>
      </w:pPr>
      <w:rPr>
        <w:rFonts w:hint="default"/>
      </w:rPr>
    </w:lvl>
  </w:abstractNum>
  <w:abstractNum w:abstractNumId="11" w15:restartNumberingAfterBreak="0">
    <w:nsid w:val="7D0624C7"/>
    <w:multiLevelType w:val="multilevel"/>
    <w:tmpl w:val="6166221C"/>
    <w:numStyleLink w:val="ListStyle-Bullet"/>
  </w:abstractNum>
  <w:abstractNum w:abstractNumId="12" w15:restartNumberingAfterBreak="0">
    <w:nsid w:val="7D5F0314"/>
    <w:multiLevelType w:val="multilevel"/>
    <w:tmpl w:val="6166221C"/>
    <w:styleLink w:val="ListStyle-Bullet"/>
    <w:lvl w:ilvl="0">
      <w:start w:val="1"/>
      <w:numFmt w:val="bullet"/>
      <w:lvlText w:val=""/>
      <w:lvlJc w:val="left"/>
      <w:pPr>
        <w:ind w:left="340" w:hanging="340"/>
      </w:pPr>
      <w:rPr>
        <w:rFonts w:ascii="Symbol" w:hAnsi="Symbol" w:hint="default"/>
        <w:color w:val="auto"/>
        <w:sz w:val="20"/>
      </w:rPr>
    </w:lvl>
    <w:lvl w:ilvl="1">
      <w:start w:val="1"/>
      <w:numFmt w:val="none"/>
      <w:lvlText w:val="–"/>
      <w:lvlJc w:val="left"/>
      <w:pPr>
        <w:ind w:left="680" w:hanging="340"/>
      </w:pPr>
      <w:rPr>
        <w:rFonts w:hint="default"/>
      </w:rPr>
    </w:lvl>
    <w:lvl w:ilvl="2">
      <w:start w:val="1"/>
      <w:numFmt w:val="bullet"/>
      <w:lvlText w:val=""/>
      <w:lvlJc w:val="left"/>
      <w:pPr>
        <w:ind w:left="1021" w:hanging="341"/>
      </w:pPr>
      <w:rPr>
        <w:rFonts w:ascii="Symbol" w:hAnsi="Symbol" w:hint="default"/>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3407141">
    <w:abstractNumId w:val="0"/>
  </w:num>
  <w:num w:numId="2" w16cid:durableId="1789936396">
    <w:abstractNumId w:val="7"/>
  </w:num>
  <w:num w:numId="3" w16cid:durableId="1876700632">
    <w:abstractNumId w:val="10"/>
  </w:num>
  <w:num w:numId="4" w16cid:durableId="1061946919">
    <w:abstractNumId w:val="2"/>
  </w:num>
  <w:num w:numId="5" w16cid:durableId="1445005625">
    <w:abstractNumId w:val="9"/>
  </w:num>
  <w:num w:numId="6" w16cid:durableId="1724713121">
    <w:abstractNumId w:val="4"/>
  </w:num>
  <w:num w:numId="7" w16cid:durableId="1298031833">
    <w:abstractNumId w:val="5"/>
  </w:num>
  <w:num w:numId="8" w16cid:durableId="1958292097">
    <w:abstractNumId w:val="6"/>
  </w:num>
  <w:num w:numId="9" w16cid:durableId="1894543187">
    <w:abstractNumId w:val="12"/>
  </w:num>
  <w:num w:numId="10" w16cid:durableId="1198083736">
    <w:abstractNumId w:val="11"/>
  </w:num>
  <w:num w:numId="11" w16cid:durableId="6808176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0641994">
    <w:abstractNumId w:val="3"/>
  </w:num>
  <w:num w:numId="13" w16cid:durableId="580483185">
    <w:abstractNumId w:val="8"/>
  </w:num>
  <w:num w:numId="14" w16cid:durableId="1360624770">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isplayBackgroundShap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trackedChanges"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9B3"/>
    <w:rsid w:val="00000435"/>
    <w:rsid w:val="000005E8"/>
    <w:rsid w:val="00001D49"/>
    <w:rsid w:val="000027A5"/>
    <w:rsid w:val="0000293A"/>
    <w:rsid w:val="00005615"/>
    <w:rsid w:val="0001036D"/>
    <w:rsid w:val="0001188A"/>
    <w:rsid w:val="00015843"/>
    <w:rsid w:val="000210B4"/>
    <w:rsid w:val="00024626"/>
    <w:rsid w:val="00026A86"/>
    <w:rsid w:val="00031C03"/>
    <w:rsid w:val="00032659"/>
    <w:rsid w:val="000341DF"/>
    <w:rsid w:val="00036690"/>
    <w:rsid w:val="00040864"/>
    <w:rsid w:val="000439EA"/>
    <w:rsid w:val="00043A0A"/>
    <w:rsid w:val="00051BD3"/>
    <w:rsid w:val="00052938"/>
    <w:rsid w:val="000530E4"/>
    <w:rsid w:val="00055D3E"/>
    <w:rsid w:val="00057084"/>
    <w:rsid w:val="00057357"/>
    <w:rsid w:val="00061FFC"/>
    <w:rsid w:val="00062BA8"/>
    <w:rsid w:val="00063AA0"/>
    <w:rsid w:val="00065296"/>
    <w:rsid w:val="00065537"/>
    <w:rsid w:val="00065A98"/>
    <w:rsid w:val="000662D1"/>
    <w:rsid w:val="00070444"/>
    <w:rsid w:val="00070FD6"/>
    <w:rsid w:val="00071B44"/>
    <w:rsid w:val="00072207"/>
    <w:rsid w:val="0007322F"/>
    <w:rsid w:val="00073DCE"/>
    <w:rsid w:val="000744CA"/>
    <w:rsid w:val="000759D4"/>
    <w:rsid w:val="00075F3E"/>
    <w:rsid w:val="000773F0"/>
    <w:rsid w:val="00077AFC"/>
    <w:rsid w:val="0008405C"/>
    <w:rsid w:val="00084B86"/>
    <w:rsid w:val="00084D5B"/>
    <w:rsid w:val="00090C45"/>
    <w:rsid w:val="000924C0"/>
    <w:rsid w:val="000977B7"/>
    <w:rsid w:val="000A03DC"/>
    <w:rsid w:val="000A4A33"/>
    <w:rsid w:val="000A4C3E"/>
    <w:rsid w:val="000A73B0"/>
    <w:rsid w:val="000B02D1"/>
    <w:rsid w:val="000B0B3D"/>
    <w:rsid w:val="000B1F69"/>
    <w:rsid w:val="000B3617"/>
    <w:rsid w:val="000B37C6"/>
    <w:rsid w:val="000B3CD3"/>
    <w:rsid w:val="000B3D9B"/>
    <w:rsid w:val="000B7AE2"/>
    <w:rsid w:val="000C0C5F"/>
    <w:rsid w:val="000C2777"/>
    <w:rsid w:val="000C454F"/>
    <w:rsid w:val="000C5026"/>
    <w:rsid w:val="000C5044"/>
    <w:rsid w:val="000C6526"/>
    <w:rsid w:val="000C6DB0"/>
    <w:rsid w:val="000C7FA7"/>
    <w:rsid w:val="000D1B37"/>
    <w:rsid w:val="000D2D61"/>
    <w:rsid w:val="000D2F64"/>
    <w:rsid w:val="000D4243"/>
    <w:rsid w:val="000D4E74"/>
    <w:rsid w:val="000D6284"/>
    <w:rsid w:val="000E015E"/>
    <w:rsid w:val="000E2098"/>
    <w:rsid w:val="000E2762"/>
    <w:rsid w:val="000E7D7B"/>
    <w:rsid w:val="000F0116"/>
    <w:rsid w:val="000F0C54"/>
    <w:rsid w:val="000F396C"/>
    <w:rsid w:val="000F3D0D"/>
    <w:rsid w:val="000F5E60"/>
    <w:rsid w:val="000F6423"/>
    <w:rsid w:val="000F6B35"/>
    <w:rsid w:val="000F6E94"/>
    <w:rsid w:val="00100033"/>
    <w:rsid w:val="001032EF"/>
    <w:rsid w:val="00105D3E"/>
    <w:rsid w:val="00110A5A"/>
    <w:rsid w:val="00112049"/>
    <w:rsid w:val="00113B33"/>
    <w:rsid w:val="00113D0A"/>
    <w:rsid w:val="00117A92"/>
    <w:rsid w:val="00117ADC"/>
    <w:rsid w:val="00122515"/>
    <w:rsid w:val="00122C6B"/>
    <w:rsid w:val="00123769"/>
    <w:rsid w:val="00124DE3"/>
    <w:rsid w:val="00124DF3"/>
    <w:rsid w:val="0012627C"/>
    <w:rsid w:val="0012710B"/>
    <w:rsid w:val="001276A6"/>
    <w:rsid w:val="00131691"/>
    <w:rsid w:val="00132766"/>
    <w:rsid w:val="00136EE8"/>
    <w:rsid w:val="001377B5"/>
    <w:rsid w:val="0014061B"/>
    <w:rsid w:val="00144A97"/>
    <w:rsid w:val="00146786"/>
    <w:rsid w:val="001473FD"/>
    <w:rsid w:val="00150315"/>
    <w:rsid w:val="001518B6"/>
    <w:rsid w:val="001520D4"/>
    <w:rsid w:val="00152322"/>
    <w:rsid w:val="00152DBE"/>
    <w:rsid w:val="001546C0"/>
    <w:rsid w:val="00156BA8"/>
    <w:rsid w:val="00161328"/>
    <w:rsid w:val="0016164A"/>
    <w:rsid w:val="00163E1D"/>
    <w:rsid w:val="001703D6"/>
    <w:rsid w:val="0017203B"/>
    <w:rsid w:val="00172AA0"/>
    <w:rsid w:val="00173D17"/>
    <w:rsid w:val="00174DB6"/>
    <w:rsid w:val="00175B5F"/>
    <w:rsid w:val="00175F51"/>
    <w:rsid w:val="00176462"/>
    <w:rsid w:val="00182D4E"/>
    <w:rsid w:val="00183DAD"/>
    <w:rsid w:val="001847DE"/>
    <w:rsid w:val="00184964"/>
    <w:rsid w:val="00184C88"/>
    <w:rsid w:val="001869A0"/>
    <w:rsid w:val="0018769E"/>
    <w:rsid w:val="00187E82"/>
    <w:rsid w:val="001921C5"/>
    <w:rsid w:val="00192EE1"/>
    <w:rsid w:val="001A0431"/>
    <w:rsid w:val="001A1796"/>
    <w:rsid w:val="001A25F0"/>
    <w:rsid w:val="001A779A"/>
    <w:rsid w:val="001B027B"/>
    <w:rsid w:val="001B0733"/>
    <w:rsid w:val="001B21A7"/>
    <w:rsid w:val="001B537C"/>
    <w:rsid w:val="001B5422"/>
    <w:rsid w:val="001B5A66"/>
    <w:rsid w:val="001B786F"/>
    <w:rsid w:val="001C05C9"/>
    <w:rsid w:val="001C612E"/>
    <w:rsid w:val="001C6628"/>
    <w:rsid w:val="001C709E"/>
    <w:rsid w:val="001C7C59"/>
    <w:rsid w:val="001D00F7"/>
    <w:rsid w:val="001D094C"/>
    <w:rsid w:val="001D4631"/>
    <w:rsid w:val="001E32D2"/>
    <w:rsid w:val="001E3499"/>
    <w:rsid w:val="001E462D"/>
    <w:rsid w:val="001E6F4A"/>
    <w:rsid w:val="001E7F62"/>
    <w:rsid w:val="001F07F4"/>
    <w:rsid w:val="001F66F4"/>
    <w:rsid w:val="001F6C35"/>
    <w:rsid w:val="001F7933"/>
    <w:rsid w:val="00202140"/>
    <w:rsid w:val="002021A0"/>
    <w:rsid w:val="00202307"/>
    <w:rsid w:val="00204FC2"/>
    <w:rsid w:val="00205A06"/>
    <w:rsid w:val="00206DAE"/>
    <w:rsid w:val="00207215"/>
    <w:rsid w:val="002077FA"/>
    <w:rsid w:val="002100D1"/>
    <w:rsid w:val="002112A9"/>
    <w:rsid w:val="0021149A"/>
    <w:rsid w:val="00213DA0"/>
    <w:rsid w:val="00215070"/>
    <w:rsid w:val="00220066"/>
    <w:rsid w:val="00220CFA"/>
    <w:rsid w:val="002213FF"/>
    <w:rsid w:val="002217FB"/>
    <w:rsid w:val="002238E9"/>
    <w:rsid w:val="00226609"/>
    <w:rsid w:val="0023097A"/>
    <w:rsid w:val="00231B1A"/>
    <w:rsid w:val="00234A6A"/>
    <w:rsid w:val="00235286"/>
    <w:rsid w:val="00235348"/>
    <w:rsid w:val="00235677"/>
    <w:rsid w:val="002359DA"/>
    <w:rsid w:val="0024286C"/>
    <w:rsid w:val="00243BEE"/>
    <w:rsid w:val="00251C3B"/>
    <w:rsid w:val="002576C8"/>
    <w:rsid w:val="00257873"/>
    <w:rsid w:val="002603DF"/>
    <w:rsid w:val="0026148A"/>
    <w:rsid w:val="00261E66"/>
    <w:rsid w:val="00262370"/>
    <w:rsid w:val="00266AF3"/>
    <w:rsid w:val="00272166"/>
    <w:rsid w:val="002728B4"/>
    <w:rsid w:val="0027318B"/>
    <w:rsid w:val="0027386D"/>
    <w:rsid w:val="002739AB"/>
    <w:rsid w:val="002802C9"/>
    <w:rsid w:val="0028205C"/>
    <w:rsid w:val="0028208F"/>
    <w:rsid w:val="002848AE"/>
    <w:rsid w:val="0028579C"/>
    <w:rsid w:val="002858EC"/>
    <w:rsid w:val="0028652C"/>
    <w:rsid w:val="002867FD"/>
    <w:rsid w:val="00286DE8"/>
    <w:rsid w:val="002910DA"/>
    <w:rsid w:val="00294D51"/>
    <w:rsid w:val="00295F68"/>
    <w:rsid w:val="00297A7F"/>
    <w:rsid w:val="00297B19"/>
    <w:rsid w:val="002A059E"/>
    <w:rsid w:val="002A317D"/>
    <w:rsid w:val="002A3C81"/>
    <w:rsid w:val="002A7B38"/>
    <w:rsid w:val="002B0265"/>
    <w:rsid w:val="002B12E6"/>
    <w:rsid w:val="002B562C"/>
    <w:rsid w:val="002B5E9E"/>
    <w:rsid w:val="002B60CB"/>
    <w:rsid w:val="002B63BC"/>
    <w:rsid w:val="002B68BB"/>
    <w:rsid w:val="002B6F54"/>
    <w:rsid w:val="002C257B"/>
    <w:rsid w:val="002C6DDC"/>
    <w:rsid w:val="002C6EB5"/>
    <w:rsid w:val="002C7A23"/>
    <w:rsid w:val="002D21CF"/>
    <w:rsid w:val="002D577D"/>
    <w:rsid w:val="002D7661"/>
    <w:rsid w:val="002E1118"/>
    <w:rsid w:val="002E5E46"/>
    <w:rsid w:val="002E7439"/>
    <w:rsid w:val="002E7A12"/>
    <w:rsid w:val="002F2263"/>
    <w:rsid w:val="002F22CD"/>
    <w:rsid w:val="002F4567"/>
    <w:rsid w:val="002F61E9"/>
    <w:rsid w:val="002F63A9"/>
    <w:rsid w:val="002F7B71"/>
    <w:rsid w:val="00304CCC"/>
    <w:rsid w:val="003056C1"/>
    <w:rsid w:val="003061AE"/>
    <w:rsid w:val="00307197"/>
    <w:rsid w:val="003078C1"/>
    <w:rsid w:val="00310EA8"/>
    <w:rsid w:val="00315D9A"/>
    <w:rsid w:val="003204EB"/>
    <w:rsid w:val="00321DA8"/>
    <w:rsid w:val="003228B9"/>
    <w:rsid w:val="00323C8E"/>
    <w:rsid w:val="00325216"/>
    <w:rsid w:val="003259A2"/>
    <w:rsid w:val="00326F9D"/>
    <w:rsid w:val="00332854"/>
    <w:rsid w:val="00337755"/>
    <w:rsid w:val="00340062"/>
    <w:rsid w:val="00341416"/>
    <w:rsid w:val="003419C2"/>
    <w:rsid w:val="00347275"/>
    <w:rsid w:val="003478C7"/>
    <w:rsid w:val="00351892"/>
    <w:rsid w:val="00357175"/>
    <w:rsid w:val="003574CE"/>
    <w:rsid w:val="0036066D"/>
    <w:rsid w:val="00360A49"/>
    <w:rsid w:val="003614FD"/>
    <w:rsid w:val="003632E2"/>
    <w:rsid w:val="0036340D"/>
    <w:rsid w:val="00370672"/>
    <w:rsid w:val="00370D89"/>
    <w:rsid w:val="00377863"/>
    <w:rsid w:val="00381D2E"/>
    <w:rsid w:val="00381DDD"/>
    <w:rsid w:val="003859D7"/>
    <w:rsid w:val="00386200"/>
    <w:rsid w:val="0038648F"/>
    <w:rsid w:val="003867E5"/>
    <w:rsid w:val="0038753A"/>
    <w:rsid w:val="00391AA9"/>
    <w:rsid w:val="003930CF"/>
    <w:rsid w:val="003950B2"/>
    <w:rsid w:val="003A0070"/>
    <w:rsid w:val="003A1452"/>
    <w:rsid w:val="003A463E"/>
    <w:rsid w:val="003B153C"/>
    <w:rsid w:val="003B1CC5"/>
    <w:rsid w:val="003B4D62"/>
    <w:rsid w:val="003B72F5"/>
    <w:rsid w:val="003B755D"/>
    <w:rsid w:val="003C12F4"/>
    <w:rsid w:val="003C2720"/>
    <w:rsid w:val="003C36AE"/>
    <w:rsid w:val="003C40DD"/>
    <w:rsid w:val="003D0FBF"/>
    <w:rsid w:val="003D2763"/>
    <w:rsid w:val="003D62A5"/>
    <w:rsid w:val="003D6F8D"/>
    <w:rsid w:val="003E385F"/>
    <w:rsid w:val="003E78E8"/>
    <w:rsid w:val="003E7ECE"/>
    <w:rsid w:val="003F17B5"/>
    <w:rsid w:val="003F2F3C"/>
    <w:rsid w:val="003F4741"/>
    <w:rsid w:val="003F5722"/>
    <w:rsid w:val="003F6D78"/>
    <w:rsid w:val="00400C0B"/>
    <w:rsid w:val="00401742"/>
    <w:rsid w:val="00401D8A"/>
    <w:rsid w:val="004025AC"/>
    <w:rsid w:val="004032D8"/>
    <w:rsid w:val="00403E74"/>
    <w:rsid w:val="00404FF1"/>
    <w:rsid w:val="0040682C"/>
    <w:rsid w:val="0040737C"/>
    <w:rsid w:val="00407CF0"/>
    <w:rsid w:val="004105A0"/>
    <w:rsid w:val="00415C7E"/>
    <w:rsid w:val="004232FF"/>
    <w:rsid w:val="00423D29"/>
    <w:rsid w:val="00426F48"/>
    <w:rsid w:val="0043071C"/>
    <w:rsid w:val="004334E5"/>
    <w:rsid w:val="004342B5"/>
    <w:rsid w:val="00434407"/>
    <w:rsid w:val="004348D8"/>
    <w:rsid w:val="004354DB"/>
    <w:rsid w:val="00436C64"/>
    <w:rsid w:val="00440F32"/>
    <w:rsid w:val="004414F8"/>
    <w:rsid w:val="00442453"/>
    <w:rsid w:val="00443C0C"/>
    <w:rsid w:val="00447950"/>
    <w:rsid w:val="00451B29"/>
    <w:rsid w:val="004540EF"/>
    <w:rsid w:val="00454E93"/>
    <w:rsid w:val="00455EC2"/>
    <w:rsid w:val="00456A33"/>
    <w:rsid w:val="00457BD5"/>
    <w:rsid w:val="00457FE9"/>
    <w:rsid w:val="0046234C"/>
    <w:rsid w:val="00463F0A"/>
    <w:rsid w:val="00463F7D"/>
    <w:rsid w:val="00467737"/>
    <w:rsid w:val="004709C0"/>
    <w:rsid w:val="00471A3B"/>
    <w:rsid w:val="00473199"/>
    <w:rsid w:val="004758BF"/>
    <w:rsid w:val="00481C12"/>
    <w:rsid w:val="00482101"/>
    <w:rsid w:val="004865DD"/>
    <w:rsid w:val="0049272E"/>
    <w:rsid w:val="004928F3"/>
    <w:rsid w:val="0049551C"/>
    <w:rsid w:val="0049626E"/>
    <w:rsid w:val="004A0C5A"/>
    <w:rsid w:val="004A0C65"/>
    <w:rsid w:val="004A3040"/>
    <w:rsid w:val="004A41E6"/>
    <w:rsid w:val="004A51DA"/>
    <w:rsid w:val="004A5431"/>
    <w:rsid w:val="004A5B47"/>
    <w:rsid w:val="004B1DBD"/>
    <w:rsid w:val="004B3718"/>
    <w:rsid w:val="004B6D12"/>
    <w:rsid w:val="004C13B8"/>
    <w:rsid w:val="004C1A0B"/>
    <w:rsid w:val="004C23C3"/>
    <w:rsid w:val="004C2E79"/>
    <w:rsid w:val="004D1126"/>
    <w:rsid w:val="004D2350"/>
    <w:rsid w:val="004D257A"/>
    <w:rsid w:val="004D28D4"/>
    <w:rsid w:val="004D5E86"/>
    <w:rsid w:val="004E1823"/>
    <w:rsid w:val="004E2295"/>
    <w:rsid w:val="004E22C8"/>
    <w:rsid w:val="004E3D16"/>
    <w:rsid w:val="004E6343"/>
    <w:rsid w:val="004E6CB1"/>
    <w:rsid w:val="004E6E24"/>
    <w:rsid w:val="004E730A"/>
    <w:rsid w:val="00505E1C"/>
    <w:rsid w:val="00506CA1"/>
    <w:rsid w:val="0051019F"/>
    <w:rsid w:val="00514C6D"/>
    <w:rsid w:val="0051587A"/>
    <w:rsid w:val="00516AD2"/>
    <w:rsid w:val="00521048"/>
    <w:rsid w:val="00521686"/>
    <w:rsid w:val="005242B1"/>
    <w:rsid w:val="00527C14"/>
    <w:rsid w:val="005324B5"/>
    <w:rsid w:val="00533D23"/>
    <w:rsid w:val="005342D7"/>
    <w:rsid w:val="00534C3E"/>
    <w:rsid w:val="0054284B"/>
    <w:rsid w:val="00543111"/>
    <w:rsid w:val="00544527"/>
    <w:rsid w:val="00544570"/>
    <w:rsid w:val="005467CD"/>
    <w:rsid w:val="005520FC"/>
    <w:rsid w:val="00552908"/>
    <w:rsid w:val="00552A8C"/>
    <w:rsid w:val="00560DF2"/>
    <w:rsid w:val="00563624"/>
    <w:rsid w:val="005670C9"/>
    <w:rsid w:val="005679F5"/>
    <w:rsid w:val="00570639"/>
    <w:rsid w:val="00572754"/>
    <w:rsid w:val="005730BC"/>
    <w:rsid w:val="005736B5"/>
    <w:rsid w:val="005737CF"/>
    <w:rsid w:val="00575549"/>
    <w:rsid w:val="005826F0"/>
    <w:rsid w:val="00583DB3"/>
    <w:rsid w:val="005851D7"/>
    <w:rsid w:val="0058736E"/>
    <w:rsid w:val="00587FF3"/>
    <w:rsid w:val="00590159"/>
    <w:rsid w:val="0059087E"/>
    <w:rsid w:val="005910F5"/>
    <w:rsid w:val="00593D39"/>
    <w:rsid w:val="00595F29"/>
    <w:rsid w:val="005A0053"/>
    <w:rsid w:val="005A3D98"/>
    <w:rsid w:val="005A67B5"/>
    <w:rsid w:val="005A7999"/>
    <w:rsid w:val="005C00DC"/>
    <w:rsid w:val="005C0E3F"/>
    <w:rsid w:val="005C167B"/>
    <w:rsid w:val="005C3B17"/>
    <w:rsid w:val="005C555E"/>
    <w:rsid w:val="005C6AAF"/>
    <w:rsid w:val="005D01C8"/>
    <w:rsid w:val="005D0627"/>
    <w:rsid w:val="005D0A2D"/>
    <w:rsid w:val="005D335A"/>
    <w:rsid w:val="005D567A"/>
    <w:rsid w:val="005D77BE"/>
    <w:rsid w:val="005E0EEE"/>
    <w:rsid w:val="005E4204"/>
    <w:rsid w:val="005E458E"/>
    <w:rsid w:val="005F0958"/>
    <w:rsid w:val="005F294E"/>
    <w:rsid w:val="005F5355"/>
    <w:rsid w:val="005F58A6"/>
    <w:rsid w:val="005F75FD"/>
    <w:rsid w:val="005F7EBF"/>
    <w:rsid w:val="00603AFD"/>
    <w:rsid w:val="0060487E"/>
    <w:rsid w:val="006060A6"/>
    <w:rsid w:val="006107DE"/>
    <w:rsid w:val="00614378"/>
    <w:rsid w:val="00614707"/>
    <w:rsid w:val="00615384"/>
    <w:rsid w:val="006157D2"/>
    <w:rsid w:val="00617924"/>
    <w:rsid w:val="00620999"/>
    <w:rsid w:val="00621AFA"/>
    <w:rsid w:val="00625F8F"/>
    <w:rsid w:val="006319A7"/>
    <w:rsid w:val="00633B95"/>
    <w:rsid w:val="00633DED"/>
    <w:rsid w:val="00637D1E"/>
    <w:rsid w:val="0064042D"/>
    <w:rsid w:val="0064166D"/>
    <w:rsid w:val="00646A3B"/>
    <w:rsid w:val="00646AE2"/>
    <w:rsid w:val="006504B3"/>
    <w:rsid w:val="006561CF"/>
    <w:rsid w:val="00657245"/>
    <w:rsid w:val="006613B2"/>
    <w:rsid w:val="00661A57"/>
    <w:rsid w:val="00663C79"/>
    <w:rsid w:val="00671848"/>
    <w:rsid w:val="0067450B"/>
    <w:rsid w:val="00675E14"/>
    <w:rsid w:val="006774D8"/>
    <w:rsid w:val="0068062C"/>
    <w:rsid w:val="00682465"/>
    <w:rsid w:val="00686321"/>
    <w:rsid w:val="00686AF8"/>
    <w:rsid w:val="00686FE4"/>
    <w:rsid w:val="006973E2"/>
    <w:rsid w:val="0069789D"/>
    <w:rsid w:val="006A0900"/>
    <w:rsid w:val="006A5704"/>
    <w:rsid w:val="006A5E1C"/>
    <w:rsid w:val="006B1CAA"/>
    <w:rsid w:val="006B26FA"/>
    <w:rsid w:val="006B3962"/>
    <w:rsid w:val="006B5EFF"/>
    <w:rsid w:val="006C15EE"/>
    <w:rsid w:val="006C3196"/>
    <w:rsid w:val="006C71CF"/>
    <w:rsid w:val="006D146A"/>
    <w:rsid w:val="006D1B26"/>
    <w:rsid w:val="006D3007"/>
    <w:rsid w:val="006D5E57"/>
    <w:rsid w:val="006D6C78"/>
    <w:rsid w:val="006D6FFD"/>
    <w:rsid w:val="006D7AB1"/>
    <w:rsid w:val="006E21BB"/>
    <w:rsid w:val="006E5908"/>
    <w:rsid w:val="006E6698"/>
    <w:rsid w:val="006E679A"/>
    <w:rsid w:val="006F3B55"/>
    <w:rsid w:val="00700BE2"/>
    <w:rsid w:val="00700D90"/>
    <w:rsid w:val="0070153A"/>
    <w:rsid w:val="00702550"/>
    <w:rsid w:val="00702EC8"/>
    <w:rsid w:val="007031BB"/>
    <w:rsid w:val="00703C50"/>
    <w:rsid w:val="00703E6C"/>
    <w:rsid w:val="0070617C"/>
    <w:rsid w:val="00706BB0"/>
    <w:rsid w:val="007103FB"/>
    <w:rsid w:val="00712416"/>
    <w:rsid w:val="0071297D"/>
    <w:rsid w:val="00714F6D"/>
    <w:rsid w:val="007163BE"/>
    <w:rsid w:val="0072075E"/>
    <w:rsid w:val="00723CC7"/>
    <w:rsid w:val="00725457"/>
    <w:rsid w:val="00725D55"/>
    <w:rsid w:val="00726FF0"/>
    <w:rsid w:val="00730876"/>
    <w:rsid w:val="007313E9"/>
    <w:rsid w:val="00731D85"/>
    <w:rsid w:val="00731FD2"/>
    <w:rsid w:val="00733825"/>
    <w:rsid w:val="007368EC"/>
    <w:rsid w:val="00741B42"/>
    <w:rsid w:val="00742FDF"/>
    <w:rsid w:val="00744236"/>
    <w:rsid w:val="00744BF4"/>
    <w:rsid w:val="00745D67"/>
    <w:rsid w:val="00746748"/>
    <w:rsid w:val="00750F3A"/>
    <w:rsid w:val="00752639"/>
    <w:rsid w:val="00753245"/>
    <w:rsid w:val="007555DB"/>
    <w:rsid w:val="00755A59"/>
    <w:rsid w:val="00756C98"/>
    <w:rsid w:val="00757811"/>
    <w:rsid w:val="00757B06"/>
    <w:rsid w:val="00761576"/>
    <w:rsid w:val="00762911"/>
    <w:rsid w:val="00762B76"/>
    <w:rsid w:val="00764C27"/>
    <w:rsid w:val="00764F71"/>
    <w:rsid w:val="00764FA6"/>
    <w:rsid w:val="007713FC"/>
    <w:rsid w:val="00772629"/>
    <w:rsid w:val="00772CF2"/>
    <w:rsid w:val="00774236"/>
    <w:rsid w:val="00775786"/>
    <w:rsid w:val="007804DF"/>
    <w:rsid w:val="007907D6"/>
    <w:rsid w:val="00790A8C"/>
    <w:rsid w:val="00790E9C"/>
    <w:rsid w:val="007912FB"/>
    <w:rsid w:val="00793493"/>
    <w:rsid w:val="00793CE6"/>
    <w:rsid w:val="00794F47"/>
    <w:rsid w:val="00795924"/>
    <w:rsid w:val="0079661B"/>
    <w:rsid w:val="007977A6"/>
    <w:rsid w:val="007A0299"/>
    <w:rsid w:val="007A0AF7"/>
    <w:rsid w:val="007A2364"/>
    <w:rsid w:val="007A43A4"/>
    <w:rsid w:val="007A62B9"/>
    <w:rsid w:val="007A6575"/>
    <w:rsid w:val="007B0CB9"/>
    <w:rsid w:val="007B6651"/>
    <w:rsid w:val="007C07CE"/>
    <w:rsid w:val="007C34AF"/>
    <w:rsid w:val="007C654C"/>
    <w:rsid w:val="007C7589"/>
    <w:rsid w:val="007D3028"/>
    <w:rsid w:val="007D389F"/>
    <w:rsid w:val="007D3E2D"/>
    <w:rsid w:val="007D3FA6"/>
    <w:rsid w:val="007D5D71"/>
    <w:rsid w:val="007D77CF"/>
    <w:rsid w:val="007E13AC"/>
    <w:rsid w:val="007E1A62"/>
    <w:rsid w:val="007E24B1"/>
    <w:rsid w:val="007E2A8F"/>
    <w:rsid w:val="007E4D3F"/>
    <w:rsid w:val="007F1F57"/>
    <w:rsid w:val="007F2233"/>
    <w:rsid w:val="007F3830"/>
    <w:rsid w:val="007F6285"/>
    <w:rsid w:val="0080012F"/>
    <w:rsid w:val="008016A5"/>
    <w:rsid w:val="00801C1E"/>
    <w:rsid w:val="00803F2D"/>
    <w:rsid w:val="0080505C"/>
    <w:rsid w:val="0080630B"/>
    <w:rsid w:val="0080656C"/>
    <w:rsid w:val="00806CD2"/>
    <w:rsid w:val="00810914"/>
    <w:rsid w:val="00811EE1"/>
    <w:rsid w:val="008130E7"/>
    <w:rsid w:val="008139F4"/>
    <w:rsid w:val="00814744"/>
    <w:rsid w:val="00814D85"/>
    <w:rsid w:val="0081524E"/>
    <w:rsid w:val="00817EA8"/>
    <w:rsid w:val="008210E9"/>
    <w:rsid w:val="00821124"/>
    <w:rsid w:val="008211CC"/>
    <w:rsid w:val="00821748"/>
    <w:rsid w:val="00821C78"/>
    <w:rsid w:val="0082398F"/>
    <w:rsid w:val="00824547"/>
    <w:rsid w:val="00824DB9"/>
    <w:rsid w:val="00825772"/>
    <w:rsid w:val="0082758E"/>
    <w:rsid w:val="008303F2"/>
    <w:rsid w:val="0083369A"/>
    <w:rsid w:val="00837C87"/>
    <w:rsid w:val="008403F0"/>
    <w:rsid w:val="00843B4C"/>
    <w:rsid w:val="008451A4"/>
    <w:rsid w:val="008474F8"/>
    <w:rsid w:val="00851186"/>
    <w:rsid w:val="0085704F"/>
    <w:rsid w:val="008622B0"/>
    <w:rsid w:val="008754FB"/>
    <w:rsid w:val="00882944"/>
    <w:rsid w:val="00883143"/>
    <w:rsid w:val="008840E8"/>
    <w:rsid w:val="008847D4"/>
    <w:rsid w:val="00885649"/>
    <w:rsid w:val="00890FE6"/>
    <w:rsid w:val="00893567"/>
    <w:rsid w:val="0089696E"/>
    <w:rsid w:val="008A11ED"/>
    <w:rsid w:val="008A1F5C"/>
    <w:rsid w:val="008A2450"/>
    <w:rsid w:val="008A40C8"/>
    <w:rsid w:val="008A516B"/>
    <w:rsid w:val="008A52F9"/>
    <w:rsid w:val="008A539B"/>
    <w:rsid w:val="008A5705"/>
    <w:rsid w:val="008A5D8F"/>
    <w:rsid w:val="008A6B3C"/>
    <w:rsid w:val="008A7429"/>
    <w:rsid w:val="008A7EDA"/>
    <w:rsid w:val="008B02D5"/>
    <w:rsid w:val="008B2610"/>
    <w:rsid w:val="008B583A"/>
    <w:rsid w:val="008C0EC0"/>
    <w:rsid w:val="008C27B2"/>
    <w:rsid w:val="008C36A7"/>
    <w:rsid w:val="008C5012"/>
    <w:rsid w:val="008C5339"/>
    <w:rsid w:val="008C59A1"/>
    <w:rsid w:val="008D12C1"/>
    <w:rsid w:val="008D2C87"/>
    <w:rsid w:val="008D4352"/>
    <w:rsid w:val="008D459B"/>
    <w:rsid w:val="008E021F"/>
    <w:rsid w:val="008E1FAB"/>
    <w:rsid w:val="008E46EB"/>
    <w:rsid w:val="008E7AA7"/>
    <w:rsid w:val="008F0920"/>
    <w:rsid w:val="008F1432"/>
    <w:rsid w:val="008F19AD"/>
    <w:rsid w:val="008F2437"/>
    <w:rsid w:val="008F587D"/>
    <w:rsid w:val="008F5B01"/>
    <w:rsid w:val="008F5B93"/>
    <w:rsid w:val="008F61E1"/>
    <w:rsid w:val="008F6E27"/>
    <w:rsid w:val="00900FE0"/>
    <w:rsid w:val="00901144"/>
    <w:rsid w:val="00901832"/>
    <w:rsid w:val="0090224A"/>
    <w:rsid w:val="00902B7A"/>
    <w:rsid w:val="0090317F"/>
    <w:rsid w:val="00903E18"/>
    <w:rsid w:val="0090405A"/>
    <w:rsid w:val="0090431C"/>
    <w:rsid w:val="009056D9"/>
    <w:rsid w:val="009069E6"/>
    <w:rsid w:val="009078E4"/>
    <w:rsid w:val="00910B05"/>
    <w:rsid w:val="00912FD8"/>
    <w:rsid w:val="0091634D"/>
    <w:rsid w:val="00922A51"/>
    <w:rsid w:val="00924C62"/>
    <w:rsid w:val="0092761A"/>
    <w:rsid w:val="00927CAE"/>
    <w:rsid w:val="00931F45"/>
    <w:rsid w:val="00943F56"/>
    <w:rsid w:val="0094565F"/>
    <w:rsid w:val="00946732"/>
    <w:rsid w:val="009529BD"/>
    <w:rsid w:val="009531FA"/>
    <w:rsid w:val="0095418E"/>
    <w:rsid w:val="009547F6"/>
    <w:rsid w:val="00955763"/>
    <w:rsid w:val="009601E5"/>
    <w:rsid w:val="0096215E"/>
    <w:rsid w:val="0096326F"/>
    <w:rsid w:val="009647C2"/>
    <w:rsid w:val="00964D67"/>
    <w:rsid w:val="00965073"/>
    <w:rsid w:val="00966B1C"/>
    <w:rsid w:val="00967759"/>
    <w:rsid w:val="0096779C"/>
    <w:rsid w:val="00970438"/>
    <w:rsid w:val="00972A1D"/>
    <w:rsid w:val="009757D1"/>
    <w:rsid w:val="00975E79"/>
    <w:rsid w:val="00976F94"/>
    <w:rsid w:val="00983C10"/>
    <w:rsid w:val="00987FFB"/>
    <w:rsid w:val="0099266B"/>
    <w:rsid w:val="00997FD2"/>
    <w:rsid w:val="009A12A1"/>
    <w:rsid w:val="009A161F"/>
    <w:rsid w:val="009A1BF1"/>
    <w:rsid w:val="009A7350"/>
    <w:rsid w:val="009B0122"/>
    <w:rsid w:val="009B0B5F"/>
    <w:rsid w:val="009B12D2"/>
    <w:rsid w:val="009B5F13"/>
    <w:rsid w:val="009B74CF"/>
    <w:rsid w:val="009C1CBA"/>
    <w:rsid w:val="009C60C6"/>
    <w:rsid w:val="009C6724"/>
    <w:rsid w:val="009C684B"/>
    <w:rsid w:val="009C6A5A"/>
    <w:rsid w:val="009C6A9D"/>
    <w:rsid w:val="009C7253"/>
    <w:rsid w:val="009C7D4D"/>
    <w:rsid w:val="009D0EB6"/>
    <w:rsid w:val="009D319B"/>
    <w:rsid w:val="009D4043"/>
    <w:rsid w:val="009D6EBE"/>
    <w:rsid w:val="009D7B32"/>
    <w:rsid w:val="009E019D"/>
    <w:rsid w:val="009E093D"/>
    <w:rsid w:val="009E200A"/>
    <w:rsid w:val="009E2D0D"/>
    <w:rsid w:val="009E5583"/>
    <w:rsid w:val="009F0AAA"/>
    <w:rsid w:val="009F192D"/>
    <w:rsid w:val="009F3233"/>
    <w:rsid w:val="009F35AC"/>
    <w:rsid w:val="009F425D"/>
    <w:rsid w:val="009F52F3"/>
    <w:rsid w:val="009F67C2"/>
    <w:rsid w:val="009F6B7F"/>
    <w:rsid w:val="00A00B13"/>
    <w:rsid w:val="00A05534"/>
    <w:rsid w:val="00A069E5"/>
    <w:rsid w:val="00A07772"/>
    <w:rsid w:val="00A07DF1"/>
    <w:rsid w:val="00A12BF4"/>
    <w:rsid w:val="00A16618"/>
    <w:rsid w:val="00A179D4"/>
    <w:rsid w:val="00A215A9"/>
    <w:rsid w:val="00A236E0"/>
    <w:rsid w:val="00A25282"/>
    <w:rsid w:val="00A26E91"/>
    <w:rsid w:val="00A27CED"/>
    <w:rsid w:val="00A27E34"/>
    <w:rsid w:val="00A30CFA"/>
    <w:rsid w:val="00A361B4"/>
    <w:rsid w:val="00A367CF"/>
    <w:rsid w:val="00A36AAC"/>
    <w:rsid w:val="00A3703C"/>
    <w:rsid w:val="00A37D01"/>
    <w:rsid w:val="00A44020"/>
    <w:rsid w:val="00A44C41"/>
    <w:rsid w:val="00A45A0B"/>
    <w:rsid w:val="00A45D1E"/>
    <w:rsid w:val="00A5287A"/>
    <w:rsid w:val="00A53F16"/>
    <w:rsid w:val="00A55D2A"/>
    <w:rsid w:val="00A574B6"/>
    <w:rsid w:val="00A577C1"/>
    <w:rsid w:val="00A60077"/>
    <w:rsid w:val="00A60301"/>
    <w:rsid w:val="00A60799"/>
    <w:rsid w:val="00A60981"/>
    <w:rsid w:val="00A61ED6"/>
    <w:rsid w:val="00A61F3B"/>
    <w:rsid w:val="00A67AE9"/>
    <w:rsid w:val="00A67B2E"/>
    <w:rsid w:val="00A72E35"/>
    <w:rsid w:val="00A738D8"/>
    <w:rsid w:val="00A765DB"/>
    <w:rsid w:val="00A84711"/>
    <w:rsid w:val="00A84FC2"/>
    <w:rsid w:val="00A866FF"/>
    <w:rsid w:val="00A93943"/>
    <w:rsid w:val="00A95AEF"/>
    <w:rsid w:val="00A964E2"/>
    <w:rsid w:val="00AA00CA"/>
    <w:rsid w:val="00AA12BF"/>
    <w:rsid w:val="00AA480D"/>
    <w:rsid w:val="00AA6B88"/>
    <w:rsid w:val="00AB0E06"/>
    <w:rsid w:val="00AB205D"/>
    <w:rsid w:val="00AB41A8"/>
    <w:rsid w:val="00AB6359"/>
    <w:rsid w:val="00AC4DB5"/>
    <w:rsid w:val="00AC5E56"/>
    <w:rsid w:val="00AC65E9"/>
    <w:rsid w:val="00AD1588"/>
    <w:rsid w:val="00AD3296"/>
    <w:rsid w:val="00AD4445"/>
    <w:rsid w:val="00AD4F56"/>
    <w:rsid w:val="00AE02AB"/>
    <w:rsid w:val="00AE4D7D"/>
    <w:rsid w:val="00AE6075"/>
    <w:rsid w:val="00AF2B4B"/>
    <w:rsid w:val="00AF4C77"/>
    <w:rsid w:val="00AF626A"/>
    <w:rsid w:val="00B0120F"/>
    <w:rsid w:val="00B044FB"/>
    <w:rsid w:val="00B05A27"/>
    <w:rsid w:val="00B07148"/>
    <w:rsid w:val="00B10A4B"/>
    <w:rsid w:val="00B1167F"/>
    <w:rsid w:val="00B11EFB"/>
    <w:rsid w:val="00B126B6"/>
    <w:rsid w:val="00B131FF"/>
    <w:rsid w:val="00B16FF7"/>
    <w:rsid w:val="00B218D0"/>
    <w:rsid w:val="00B31260"/>
    <w:rsid w:val="00B325DD"/>
    <w:rsid w:val="00B326E6"/>
    <w:rsid w:val="00B33B0F"/>
    <w:rsid w:val="00B357D6"/>
    <w:rsid w:val="00B36EF4"/>
    <w:rsid w:val="00B36FF3"/>
    <w:rsid w:val="00B37F02"/>
    <w:rsid w:val="00B40AAD"/>
    <w:rsid w:val="00B41050"/>
    <w:rsid w:val="00B44296"/>
    <w:rsid w:val="00B44A57"/>
    <w:rsid w:val="00B45848"/>
    <w:rsid w:val="00B45D33"/>
    <w:rsid w:val="00B502FC"/>
    <w:rsid w:val="00B55A7A"/>
    <w:rsid w:val="00B55AA4"/>
    <w:rsid w:val="00B61ECA"/>
    <w:rsid w:val="00B625C8"/>
    <w:rsid w:val="00B6401E"/>
    <w:rsid w:val="00B64484"/>
    <w:rsid w:val="00B6514E"/>
    <w:rsid w:val="00B71790"/>
    <w:rsid w:val="00B76BD0"/>
    <w:rsid w:val="00B80848"/>
    <w:rsid w:val="00B828D3"/>
    <w:rsid w:val="00B830FD"/>
    <w:rsid w:val="00B8396D"/>
    <w:rsid w:val="00B842B5"/>
    <w:rsid w:val="00B84BA2"/>
    <w:rsid w:val="00B8500A"/>
    <w:rsid w:val="00B86CD8"/>
    <w:rsid w:val="00B90DE2"/>
    <w:rsid w:val="00B919B8"/>
    <w:rsid w:val="00B91A80"/>
    <w:rsid w:val="00B94EFE"/>
    <w:rsid w:val="00B96D84"/>
    <w:rsid w:val="00B96EC8"/>
    <w:rsid w:val="00B97BA2"/>
    <w:rsid w:val="00B97C2E"/>
    <w:rsid w:val="00BA12CC"/>
    <w:rsid w:val="00BA394F"/>
    <w:rsid w:val="00BA5047"/>
    <w:rsid w:val="00BA72F8"/>
    <w:rsid w:val="00BB3ACC"/>
    <w:rsid w:val="00BB4FE3"/>
    <w:rsid w:val="00BB641B"/>
    <w:rsid w:val="00BC2E4E"/>
    <w:rsid w:val="00BC34D1"/>
    <w:rsid w:val="00BC7468"/>
    <w:rsid w:val="00BC76D4"/>
    <w:rsid w:val="00BD002D"/>
    <w:rsid w:val="00BD48C4"/>
    <w:rsid w:val="00BD789F"/>
    <w:rsid w:val="00BE23F1"/>
    <w:rsid w:val="00BE2551"/>
    <w:rsid w:val="00BE6090"/>
    <w:rsid w:val="00BF37CF"/>
    <w:rsid w:val="00BF4BB9"/>
    <w:rsid w:val="00BF4D17"/>
    <w:rsid w:val="00BF65B8"/>
    <w:rsid w:val="00BF6621"/>
    <w:rsid w:val="00C020B5"/>
    <w:rsid w:val="00C03541"/>
    <w:rsid w:val="00C038B4"/>
    <w:rsid w:val="00C05296"/>
    <w:rsid w:val="00C054E6"/>
    <w:rsid w:val="00C05EBE"/>
    <w:rsid w:val="00C07A1E"/>
    <w:rsid w:val="00C1158E"/>
    <w:rsid w:val="00C12538"/>
    <w:rsid w:val="00C142CA"/>
    <w:rsid w:val="00C1457A"/>
    <w:rsid w:val="00C149D9"/>
    <w:rsid w:val="00C15080"/>
    <w:rsid w:val="00C175EE"/>
    <w:rsid w:val="00C30BA8"/>
    <w:rsid w:val="00C332EC"/>
    <w:rsid w:val="00C36438"/>
    <w:rsid w:val="00C3736B"/>
    <w:rsid w:val="00C376F0"/>
    <w:rsid w:val="00C37A66"/>
    <w:rsid w:val="00C450EB"/>
    <w:rsid w:val="00C539B3"/>
    <w:rsid w:val="00C549E7"/>
    <w:rsid w:val="00C55366"/>
    <w:rsid w:val="00C559EB"/>
    <w:rsid w:val="00C55E41"/>
    <w:rsid w:val="00C57ABB"/>
    <w:rsid w:val="00C60BFA"/>
    <w:rsid w:val="00C614CC"/>
    <w:rsid w:val="00C63205"/>
    <w:rsid w:val="00C660F6"/>
    <w:rsid w:val="00C7066E"/>
    <w:rsid w:val="00C745B4"/>
    <w:rsid w:val="00C76983"/>
    <w:rsid w:val="00C82E55"/>
    <w:rsid w:val="00C83D08"/>
    <w:rsid w:val="00C84BF8"/>
    <w:rsid w:val="00C8762A"/>
    <w:rsid w:val="00C90A50"/>
    <w:rsid w:val="00C90BED"/>
    <w:rsid w:val="00C92149"/>
    <w:rsid w:val="00C95486"/>
    <w:rsid w:val="00C9768F"/>
    <w:rsid w:val="00CA026D"/>
    <w:rsid w:val="00CA0DBD"/>
    <w:rsid w:val="00CA45C2"/>
    <w:rsid w:val="00CA522C"/>
    <w:rsid w:val="00CA5337"/>
    <w:rsid w:val="00CA639D"/>
    <w:rsid w:val="00CA7B0D"/>
    <w:rsid w:val="00CB0439"/>
    <w:rsid w:val="00CB07F9"/>
    <w:rsid w:val="00CB34CC"/>
    <w:rsid w:val="00CB3806"/>
    <w:rsid w:val="00CB49B1"/>
    <w:rsid w:val="00CB4E9F"/>
    <w:rsid w:val="00CB5288"/>
    <w:rsid w:val="00CB65D0"/>
    <w:rsid w:val="00CC190E"/>
    <w:rsid w:val="00CD2220"/>
    <w:rsid w:val="00CD33F7"/>
    <w:rsid w:val="00CE1072"/>
    <w:rsid w:val="00CE4742"/>
    <w:rsid w:val="00CE4B2B"/>
    <w:rsid w:val="00CE51A1"/>
    <w:rsid w:val="00CE5FC8"/>
    <w:rsid w:val="00CE61F0"/>
    <w:rsid w:val="00CE67CA"/>
    <w:rsid w:val="00CF3FDC"/>
    <w:rsid w:val="00CF5BB0"/>
    <w:rsid w:val="00CF5E70"/>
    <w:rsid w:val="00CF6D08"/>
    <w:rsid w:val="00CF7252"/>
    <w:rsid w:val="00CF7799"/>
    <w:rsid w:val="00D00A37"/>
    <w:rsid w:val="00D03043"/>
    <w:rsid w:val="00D03BE6"/>
    <w:rsid w:val="00D03FE3"/>
    <w:rsid w:val="00D04A16"/>
    <w:rsid w:val="00D04B89"/>
    <w:rsid w:val="00D04C1E"/>
    <w:rsid w:val="00D0567B"/>
    <w:rsid w:val="00D1045A"/>
    <w:rsid w:val="00D10600"/>
    <w:rsid w:val="00D10D0A"/>
    <w:rsid w:val="00D13F6C"/>
    <w:rsid w:val="00D14C11"/>
    <w:rsid w:val="00D246C3"/>
    <w:rsid w:val="00D30692"/>
    <w:rsid w:val="00D31594"/>
    <w:rsid w:val="00D32A2F"/>
    <w:rsid w:val="00D33EED"/>
    <w:rsid w:val="00D359DF"/>
    <w:rsid w:val="00D35F2A"/>
    <w:rsid w:val="00D37C31"/>
    <w:rsid w:val="00D37ED4"/>
    <w:rsid w:val="00D4080A"/>
    <w:rsid w:val="00D40B21"/>
    <w:rsid w:val="00D4249D"/>
    <w:rsid w:val="00D45712"/>
    <w:rsid w:val="00D45A49"/>
    <w:rsid w:val="00D51271"/>
    <w:rsid w:val="00D5158C"/>
    <w:rsid w:val="00D552CF"/>
    <w:rsid w:val="00D637EA"/>
    <w:rsid w:val="00D710CA"/>
    <w:rsid w:val="00D741D7"/>
    <w:rsid w:val="00D75468"/>
    <w:rsid w:val="00D805ED"/>
    <w:rsid w:val="00D814E1"/>
    <w:rsid w:val="00D818A9"/>
    <w:rsid w:val="00D86C5C"/>
    <w:rsid w:val="00D872EA"/>
    <w:rsid w:val="00D87FE1"/>
    <w:rsid w:val="00D90D04"/>
    <w:rsid w:val="00D912AE"/>
    <w:rsid w:val="00D91E70"/>
    <w:rsid w:val="00D92171"/>
    <w:rsid w:val="00D92A39"/>
    <w:rsid w:val="00D9417C"/>
    <w:rsid w:val="00D94687"/>
    <w:rsid w:val="00D95FE1"/>
    <w:rsid w:val="00D9752F"/>
    <w:rsid w:val="00D97E9E"/>
    <w:rsid w:val="00DA04E3"/>
    <w:rsid w:val="00DA0945"/>
    <w:rsid w:val="00DA2FD2"/>
    <w:rsid w:val="00DA3679"/>
    <w:rsid w:val="00DA37FE"/>
    <w:rsid w:val="00DA7EBF"/>
    <w:rsid w:val="00DB2409"/>
    <w:rsid w:val="00DB4831"/>
    <w:rsid w:val="00DB4E06"/>
    <w:rsid w:val="00DB68AA"/>
    <w:rsid w:val="00DB7DA1"/>
    <w:rsid w:val="00DC0521"/>
    <w:rsid w:val="00DC1409"/>
    <w:rsid w:val="00DC21E4"/>
    <w:rsid w:val="00DC6260"/>
    <w:rsid w:val="00DC720C"/>
    <w:rsid w:val="00DD09BB"/>
    <w:rsid w:val="00DD106D"/>
    <w:rsid w:val="00DD11B1"/>
    <w:rsid w:val="00DD492D"/>
    <w:rsid w:val="00DD51D4"/>
    <w:rsid w:val="00DD675E"/>
    <w:rsid w:val="00DE37EB"/>
    <w:rsid w:val="00DE45B5"/>
    <w:rsid w:val="00DF0407"/>
    <w:rsid w:val="00DF50E3"/>
    <w:rsid w:val="00E01706"/>
    <w:rsid w:val="00E031BF"/>
    <w:rsid w:val="00E0435C"/>
    <w:rsid w:val="00E0438D"/>
    <w:rsid w:val="00E06CF7"/>
    <w:rsid w:val="00E12BD7"/>
    <w:rsid w:val="00E14539"/>
    <w:rsid w:val="00E21807"/>
    <w:rsid w:val="00E21CD2"/>
    <w:rsid w:val="00E240AF"/>
    <w:rsid w:val="00E249D8"/>
    <w:rsid w:val="00E254C3"/>
    <w:rsid w:val="00E30988"/>
    <w:rsid w:val="00E321B9"/>
    <w:rsid w:val="00E32CBA"/>
    <w:rsid w:val="00E360B4"/>
    <w:rsid w:val="00E36211"/>
    <w:rsid w:val="00E36D24"/>
    <w:rsid w:val="00E371F3"/>
    <w:rsid w:val="00E37F91"/>
    <w:rsid w:val="00E43802"/>
    <w:rsid w:val="00E460BB"/>
    <w:rsid w:val="00E46A76"/>
    <w:rsid w:val="00E52451"/>
    <w:rsid w:val="00E57086"/>
    <w:rsid w:val="00E57A8A"/>
    <w:rsid w:val="00E62454"/>
    <w:rsid w:val="00E6446D"/>
    <w:rsid w:val="00E64DD0"/>
    <w:rsid w:val="00E707C4"/>
    <w:rsid w:val="00E71C20"/>
    <w:rsid w:val="00E73500"/>
    <w:rsid w:val="00E75BA5"/>
    <w:rsid w:val="00E81934"/>
    <w:rsid w:val="00E826D4"/>
    <w:rsid w:val="00E82AF4"/>
    <w:rsid w:val="00E83B92"/>
    <w:rsid w:val="00E95093"/>
    <w:rsid w:val="00E9630C"/>
    <w:rsid w:val="00E97290"/>
    <w:rsid w:val="00E97736"/>
    <w:rsid w:val="00EA00C2"/>
    <w:rsid w:val="00EA15AF"/>
    <w:rsid w:val="00EA2128"/>
    <w:rsid w:val="00EA3B8D"/>
    <w:rsid w:val="00EA4936"/>
    <w:rsid w:val="00EA5358"/>
    <w:rsid w:val="00EA5435"/>
    <w:rsid w:val="00EA5769"/>
    <w:rsid w:val="00EA75EB"/>
    <w:rsid w:val="00EA7EE2"/>
    <w:rsid w:val="00EB5524"/>
    <w:rsid w:val="00EB6E43"/>
    <w:rsid w:val="00EC0F0C"/>
    <w:rsid w:val="00EC1602"/>
    <w:rsid w:val="00EC1D65"/>
    <w:rsid w:val="00EC3B5C"/>
    <w:rsid w:val="00EC54F3"/>
    <w:rsid w:val="00EC5CC4"/>
    <w:rsid w:val="00EC67AB"/>
    <w:rsid w:val="00EC7CDD"/>
    <w:rsid w:val="00EC7F4A"/>
    <w:rsid w:val="00ED0281"/>
    <w:rsid w:val="00ED20E5"/>
    <w:rsid w:val="00ED2604"/>
    <w:rsid w:val="00ED2758"/>
    <w:rsid w:val="00ED3542"/>
    <w:rsid w:val="00ED44CC"/>
    <w:rsid w:val="00ED4E01"/>
    <w:rsid w:val="00ED5076"/>
    <w:rsid w:val="00ED73F6"/>
    <w:rsid w:val="00EE444F"/>
    <w:rsid w:val="00EE5DF4"/>
    <w:rsid w:val="00EE60B0"/>
    <w:rsid w:val="00EE6574"/>
    <w:rsid w:val="00EE6A07"/>
    <w:rsid w:val="00EF1118"/>
    <w:rsid w:val="00EF155F"/>
    <w:rsid w:val="00EF277D"/>
    <w:rsid w:val="00EF4B59"/>
    <w:rsid w:val="00EF5405"/>
    <w:rsid w:val="00EF6653"/>
    <w:rsid w:val="00EF6BAD"/>
    <w:rsid w:val="00EF739A"/>
    <w:rsid w:val="00F050F6"/>
    <w:rsid w:val="00F10EB7"/>
    <w:rsid w:val="00F1547A"/>
    <w:rsid w:val="00F15897"/>
    <w:rsid w:val="00F20C9B"/>
    <w:rsid w:val="00F21FD1"/>
    <w:rsid w:val="00F23A14"/>
    <w:rsid w:val="00F23D74"/>
    <w:rsid w:val="00F26747"/>
    <w:rsid w:val="00F31D07"/>
    <w:rsid w:val="00F31FEB"/>
    <w:rsid w:val="00F352C4"/>
    <w:rsid w:val="00F36B55"/>
    <w:rsid w:val="00F3773D"/>
    <w:rsid w:val="00F44816"/>
    <w:rsid w:val="00F46F7C"/>
    <w:rsid w:val="00F551DA"/>
    <w:rsid w:val="00F55329"/>
    <w:rsid w:val="00F56D9C"/>
    <w:rsid w:val="00F60A91"/>
    <w:rsid w:val="00F60D85"/>
    <w:rsid w:val="00F63274"/>
    <w:rsid w:val="00F64523"/>
    <w:rsid w:val="00F64A4E"/>
    <w:rsid w:val="00F652C6"/>
    <w:rsid w:val="00F70422"/>
    <w:rsid w:val="00F72D5B"/>
    <w:rsid w:val="00F74C63"/>
    <w:rsid w:val="00F76B76"/>
    <w:rsid w:val="00F80223"/>
    <w:rsid w:val="00F828A6"/>
    <w:rsid w:val="00F840AF"/>
    <w:rsid w:val="00F858E5"/>
    <w:rsid w:val="00F96799"/>
    <w:rsid w:val="00F9682C"/>
    <w:rsid w:val="00FA005E"/>
    <w:rsid w:val="00FA0334"/>
    <w:rsid w:val="00FA07AF"/>
    <w:rsid w:val="00FA511C"/>
    <w:rsid w:val="00FA6C11"/>
    <w:rsid w:val="00FA6D96"/>
    <w:rsid w:val="00FA71B8"/>
    <w:rsid w:val="00FA781F"/>
    <w:rsid w:val="00FA792D"/>
    <w:rsid w:val="00FA7AF4"/>
    <w:rsid w:val="00FB0CD4"/>
    <w:rsid w:val="00FB20F9"/>
    <w:rsid w:val="00FB2586"/>
    <w:rsid w:val="00FB3EFC"/>
    <w:rsid w:val="00FB55D6"/>
    <w:rsid w:val="00FC0788"/>
    <w:rsid w:val="00FC1549"/>
    <w:rsid w:val="00FC2C14"/>
    <w:rsid w:val="00FC4726"/>
    <w:rsid w:val="00FD0E16"/>
    <w:rsid w:val="00FD7A2D"/>
    <w:rsid w:val="00FE0847"/>
    <w:rsid w:val="00FE0BA4"/>
    <w:rsid w:val="00FE31A4"/>
    <w:rsid w:val="00FE3742"/>
    <w:rsid w:val="00FE39A5"/>
    <w:rsid w:val="00FE47D9"/>
    <w:rsid w:val="00FE620D"/>
    <w:rsid w:val="00FE65A3"/>
    <w:rsid w:val="00FF0F66"/>
    <w:rsid w:val="00FF2F4E"/>
    <w:rsid w:val="00FF4181"/>
    <w:rsid w:val="00FF4D65"/>
    <w:rsid w:val="00FF6BC4"/>
    <w:rsid w:val="00FF6E82"/>
    <w:rsid w:val="00FF77AB"/>
    <w:rsid w:val="00FF7E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8B2B1A"/>
  <w14:defaultImageDpi w14:val="32767"/>
  <w15:chartTrackingRefBased/>
  <w15:docId w15:val="{DE36C9FB-D209-487C-A4AE-EFCFB206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AU"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98" w:unhideWhenUsed="1"/>
    <w:lsdException w:name="Normal Indent" w:semiHidden="1" w:unhideWhenUsed="1"/>
    <w:lsdException w:name="footnote text" w:semiHidden="1" w:unhideWhenUsed="1" w:qFormat="1"/>
    <w:lsdException w:name="annotation text" w:semiHidden="1" w:unhideWhenUsed="1"/>
    <w:lsdException w:name="header" w:semiHidden="1" w:uiPriority="8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9" w:unhideWhenUsed="1"/>
    <w:lsdException w:name="List Bullet 5" w:semiHidden="1" w:uiPriority="19" w:unhideWhenUsed="1"/>
    <w:lsdException w:name="List Number 2" w:semiHidden="1" w:unhideWhenUsed="1"/>
    <w:lsdException w:name="List Number 3" w:semiHidden="1" w:unhideWhenUsed="1"/>
    <w:lsdException w:name="List Number 4" w:semiHidden="1" w:uiPriority="19" w:unhideWhenUsed="1"/>
    <w:lsdException w:name="List Number 5" w:semiHidden="1" w:uiPriority="19"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26" w:unhideWhenUsed="1"/>
    <w:lsdException w:name="List Continue 5" w:semiHidden="1" w:uiPriority="26"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8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D78"/>
    <w:pPr>
      <w:keepLines/>
    </w:pPr>
  </w:style>
  <w:style w:type="paragraph" w:styleId="Heading10">
    <w:name w:val="heading 1"/>
    <w:basedOn w:val="Normal"/>
    <w:next w:val="Normal"/>
    <w:link w:val="Heading1Char"/>
    <w:uiPriority w:val="9"/>
    <w:qFormat/>
    <w:rsid w:val="00C60BFA"/>
    <w:pPr>
      <w:keepNext/>
      <w:spacing w:before="360"/>
      <w:outlineLvl w:val="0"/>
    </w:pPr>
    <w:rPr>
      <w:rFonts w:asciiTheme="majorHAnsi" w:eastAsiaTheme="majorEastAsia" w:hAnsiTheme="majorHAnsi" w:cstheme="majorBidi"/>
      <w:b/>
      <w:caps/>
      <w:sz w:val="27"/>
      <w:szCs w:val="32"/>
    </w:rPr>
  </w:style>
  <w:style w:type="paragraph" w:styleId="Heading20">
    <w:name w:val="heading 2"/>
    <w:basedOn w:val="Heading10"/>
    <w:next w:val="Normal"/>
    <w:link w:val="Heading2Char"/>
    <w:uiPriority w:val="9"/>
    <w:unhideWhenUsed/>
    <w:qFormat/>
    <w:rsid w:val="00C60BFA"/>
    <w:pPr>
      <w:spacing w:before="240"/>
      <w:outlineLvl w:val="1"/>
    </w:pPr>
    <w:rPr>
      <w:caps w:val="0"/>
      <w:szCs w:val="26"/>
    </w:rPr>
  </w:style>
  <w:style w:type="paragraph" w:styleId="Heading30">
    <w:name w:val="heading 3"/>
    <w:basedOn w:val="Heading20"/>
    <w:next w:val="Normal"/>
    <w:link w:val="Heading3Char"/>
    <w:uiPriority w:val="9"/>
    <w:unhideWhenUsed/>
    <w:qFormat/>
    <w:rsid w:val="00C60BFA"/>
    <w:pPr>
      <w:tabs>
        <w:tab w:val="right" w:pos="7711"/>
      </w:tabs>
      <w:spacing w:after="60"/>
      <w:outlineLvl w:val="2"/>
    </w:pPr>
    <w:rPr>
      <w:sz w:val="23"/>
      <w:szCs w:val="24"/>
    </w:rPr>
  </w:style>
  <w:style w:type="paragraph" w:styleId="Heading4">
    <w:name w:val="heading 4"/>
    <w:basedOn w:val="Heading30"/>
    <w:next w:val="Normal"/>
    <w:link w:val="Heading4Char"/>
    <w:uiPriority w:val="9"/>
    <w:unhideWhenUsed/>
    <w:qFormat/>
    <w:rsid w:val="00C60BFA"/>
    <w:pPr>
      <w:spacing w:before="180"/>
      <w:outlineLvl w:val="3"/>
    </w:pPr>
    <w:rPr>
      <w:b w:val="0"/>
      <w:i/>
      <w:iCs/>
      <w:sz w:val="22"/>
    </w:rPr>
  </w:style>
  <w:style w:type="paragraph" w:styleId="Heading5">
    <w:name w:val="heading 5"/>
    <w:basedOn w:val="Heading4"/>
    <w:next w:val="Normal"/>
    <w:link w:val="Heading5Char"/>
    <w:uiPriority w:val="9"/>
    <w:unhideWhenUsed/>
    <w:qFormat/>
    <w:rsid w:val="00C60BFA"/>
    <w:pPr>
      <w:outlineLvl w:val="4"/>
    </w:pPr>
    <w:rPr>
      <w:b/>
      <w:i w:val="0"/>
      <w:sz w:val="19"/>
    </w:rPr>
  </w:style>
  <w:style w:type="paragraph" w:styleId="Heading6">
    <w:name w:val="heading 6"/>
    <w:basedOn w:val="Normal"/>
    <w:next w:val="Normal"/>
    <w:link w:val="Heading6Char"/>
    <w:uiPriority w:val="9"/>
    <w:semiHidden/>
    <w:unhideWhenUsed/>
    <w:qFormat/>
    <w:rsid w:val="008A7429"/>
    <w:pPr>
      <w:keepNext/>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A7429"/>
    <w:pPr>
      <w:keepNext/>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A7429"/>
    <w:pPr>
      <w:keepNext/>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A7429"/>
    <w:pPr>
      <w:keepNext/>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ing">
    <w:name w:val="Chapter Heading"/>
    <w:basedOn w:val="Normal"/>
    <w:next w:val="Normal"/>
    <w:link w:val="ChapterHeadingChar"/>
    <w:uiPriority w:val="84"/>
    <w:qFormat/>
    <w:rsid w:val="008F6E27"/>
    <w:pPr>
      <w:keepNext/>
      <w:pBdr>
        <w:bottom w:val="single" w:sz="12" w:space="1" w:color="auto"/>
      </w:pBdr>
      <w:spacing w:before="1440" w:after="360"/>
      <w:outlineLvl w:val="0"/>
    </w:pPr>
    <w:rPr>
      <w:rFonts w:asciiTheme="majorHAnsi" w:hAnsiTheme="majorHAnsi" w:cstheme="minorBidi"/>
      <w:b/>
      <w:caps/>
      <w:sz w:val="36"/>
    </w:rPr>
  </w:style>
  <w:style w:type="paragraph" w:styleId="Header">
    <w:name w:val="header"/>
    <w:basedOn w:val="Normal"/>
    <w:link w:val="HeaderChar"/>
    <w:uiPriority w:val="84"/>
    <w:unhideWhenUsed/>
    <w:rsid w:val="00B84BA2"/>
    <w:pPr>
      <w:tabs>
        <w:tab w:val="center" w:pos="4513"/>
        <w:tab w:val="right" w:pos="9026"/>
      </w:tabs>
      <w:spacing w:after="180"/>
    </w:pPr>
    <w:rPr>
      <w:rFonts w:asciiTheme="majorHAnsi" w:hAnsiTheme="majorHAnsi"/>
      <w:b/>
      <w:color w:val="53565A"/>
    </w:rPr>
  </w:style>
  <w:style w:type="character" w:customStyle="1" w:styleId="HeaderChar">
    <w:name w:val="Header Char"/>
    <w:basedOn w:val="DefaultParagraphFont"/>
    <w:link w:val="Header"/>
    <w:uiPriority w:val="84"/>
    <w:rsid w:val="00B84BA2"/>
    <w:rPr>
      <w:rFonts w:asciiTheme="majorHAnsi" w:hAnsiTheme="majorHAnsi"/>
      <w:b/>
      <w:color w:val="53565A"/>
    </w:rPr>
  </w:style>
  <w:style w:type="paragraph" w:styleId="Footer">
    <w:name w:val="footer"/>
    <w:basedOn w:val="Normal"/>
    <w:link w:val="FooterChar"/>
    <w:uiPriority w:val="99"/>
    <w:semiHidden/>
    <w:rsid w:val="00C60BFA"/>
    <w:pPr>
      <w:tabs>
        <w:tab w:val="center" w:pos="4513"/>
        <w:tab w:val="right" w:pos="9026"/>
      </w:tabs>
      <w:spacing w:before="0"/>
    </w:pPr>
  </w:style>
  <w:style w:type="character" w:customStyle="1" w:styleId="FooterChar">
    <w:name w:val="Footer Char"/>
    <w:basedOn w:val="DefaultParagraphFont"/>
    <w:link w:val="Footer"/>
    <w:uiPriority w:val="99"/>
    <w:semiHidden/>
    <w:rsid w:val="00575549"/>
  </w:style>
  <w:style w:type="paragraph" w:customStyle="1" w:styleId="FooterOddPage">
    <w:name w:val="Footer [Odd Page]"/>
    <w:basedOn w:val="Normal"/>
    <w:uiPriority w:val="99"/>
    <w:qFormat/>
    <w:rsid w:val="005E4204"/>
    <w:pPr>
      <w:pBdr>
        <w:top w:val="single" w:sz="6" w:space="1" w:color="auto"/>
      </w:pBdr>
      <w:tabs>
        <w:tab w:val="center" w:pos="4366"/>
        <w:tab w:val="right" w:pos="7711"/>
      </w:tabs>
    </w:pPr>
    <w:rPr>
      <w:rFonts w:asciiTheme="majorHAnsi" w:hAnsiTheme="majorHAnsi" w:cstheme="minorBidi"/>
      <w:sz w:val="18"/>
    </w:rPr>
  </w:style>
  <w:style w:type="paragraph" w:customStyle="1" w:styleId="FooterEvenPage">
    <w:name w:val="Footer [Even Page]"/>
    <w:basedOn w:val="Normal"/>
    <w:uiPriority w:val="99"/>
    <w:qFormat/>
    <w:rsid w:val="005E4204"/>
    <w:pPr>
      <w:pBdr>
        <w:top w:val="single" w:sz="6" w:space="1" w:color="auto"/>
      </w:pBdr>
      <w:tabs>
        <w:tab w:val="center" w:pos="3289"/>
        <w:tab w:val="right" w:pos="7711"/>
      </w:tabs>
    </w:pPr>
    <w:rPr>
      <w:rFonts w:asciiTheme="majorHAnsi" w:hAnsiTheme="majorHAnsi" w:cstheme="minorBidi"/>
      <w:sz w:val="18"/>
    </w:rPr>
  </w:style>
  <w:style w:type="character" w:customStyle="1" w:styleId="Heading1Char">
    <w:name w:val="Heading 1 Char"/>
    <w:basedOn w:val="DefaultParagraphFont"/>
    <w:link w:val="Heading10"/>
    <w:uiPriority w:val="9"/>
    <w:rsid w:val="00C60BFA"/>
    <w:rPr>
      <w:rFonts w:asciiTheme="majorHAnsi" w:eastAsiaTheme="majorEastAsia" w:hAnsiTheme="majorHAnsi" w:cstheme="majorBidi"/>
      <w:b/>
      <w:caps/>
      <w:sz w:val="27"/>
      <w:szCs w:val="32"/>
    </w:rPr>
  </w:style>
  <w:style w:type="character" w:customStyle="1" w:styleId="Heading2Char">
    <w:name w:val="Heading 2 Char"/>
    <w:basedOn w:val="DefaultParagraphFont"/>
    <w:link w:val="Heading20"/>
    <w:uiPriority w:val="9"/>
    <w:rsid w:val="00C60BFA"/>
    <w:rPr>
      <w:rFonts w:asciiTheme="majorHAnsi" w:eastAsiaTheme="majorEastAsia" w:hAnsiTheme="majorHAnsi" w:cstheme="majorBidi"/>
      <w:b/>
      <w:sz w:val="27"/>
      <w:szCs w:val="26"/>
    </w:rPr>
  </w:style>
  <w:style w:type="character" w:customStyle="1" w:styleId="Heading3Char">
    <w:name w:val="Heading 3 Char"/>
    <w:basedOn w:val="DefaultParagraphFont"/>
    <w:link w:val="Heading30"/>
    <w:uiPriority w:val="9"/>
    <w:rsid w:val="00C60BFA"/>
    <w:rPr>
      <w:rFonts w:asciiTheme="majorHAnsi" w:eastAsiaTheme="majorEastAsia" w:hAnsiTheme="majorHAnsi" w:cstheme="majorBidi"/>
      <w:b/>
      <w:sz w:val="23"/>
      <w:szCs w:val="24"/>
    </w:rPr>
  </w:style>
  <w:style w:type="character" w:customStyle="1" w:styleId="Heading4Char">
    <w:name w:val="Heading 4 Char"/>
    <w:basedOn w:val="DefaultParagraphFont"/>
    <w:link w:val="Heading4"/>
    <w:uiPriority w:val="9"/>
    <w:rsid w:val="00C60BFA"/>
    <w:rPr>
      <w:rFonts w:asciiTheme="majorHAnsi" w:eastAsiaTheme="majorEastAsia" w:hAnsiTheme="majorHAnsi" w:cstheme="majorBidi"/>
      <w:i/>
      <w:iCs/>
      <w:szCs w:val="24"/>
    </w:rPr>
  </w:style>
  <w:style w:type="character" w:customStyle="1" w:styleId="Heading5Char">
    <w:name w:val="Heading 5 Char"/>
    <w:basedOn w:val="DefaultParagraphFont"/>
    <w:link w:val="Heading5"/>
    <w:uiPriority w:val="9"/>
    <w:rsid w:val="00C60BFA"/>
    <w:rPr>
      <w:rFonts w:asciiTheme="majorHAnsi" w:eastAsiaTheme="majorEastAsia" w:hAnsiTheme="majorHAnsi" w:cstheme="majorBidi"/>
      <w:b/>
      <w:iCs/>
      <w:sz w:val="19"/>
      <w:szCs w:val="24"/>
    </w:rPr>
  </w:style>
  <w:style w:type="paragraph" w:styleId="ListParagraph">
    <w:name w:val="List Paragraph"/>
    <w:basedOn w:val="Normal"/>
    <w:uiPriority w:val="34"/>
    <w:qFormat/>
    <w:rsid w:val="00BD48C4"/>
  </w:style>
  <w:style w:type="paragraph" w:styleId="ListBullet">
    <w:name w:val="List Bullet"/>
    <w:basedOn w:val="Normal"/>
    <w:uiPriority w:val="19"/>
    <w:qFormat/>
    <w:rsid w:val="00671848"/>
    <w:pPr>
      <w:numPr>
        <w:numId w:val="2"/>
      </w:numPr>
      <w:spacing w:before="60" w:after="60"/>
    </w:pPr>
  </w:style>
  <w:style w:type="paragraph" w:styleId="ListBullet2">
    <w:name w:val="List Bullet 2"/>
    <w:basedOn w:val="Normal"/>
    <w:uiPriority w:val="19"/>
    <w:unhideWhenUsed/>
    <w:rsid w:val="00671848"/>
    <w:pPr>
      <w:numPr>
        <w:ilvl w:val="1"/>
        <w:numId w:val="2"/>
      </w:numPr>
      <w:spacing w:before="60" w:after="60"/>
    </w:pPr>
  </w:style>
  <w:style w:type="paragraph" w:styleId="ListBullet3">
    <w:name w:val="List Bullet 3"/>
    <w:basedOn w:val="Normal"/>
    <w:uiPriority w:val="19"/>
    <w:unhideWhenUsed/>
    <w:rsid w:val="00671848"/>
    <w:pPr>
      <w:numPr>
        <w:ilvl w:val="2"/>
        <w:numId w:val="2"/>
      </w:numPr>
      <w:spacing w:before="60" w:after="60"/>
    </w:pPr>
  </w:style>
  <w:style w:type="paragraph" w:styleId="ListNumber">
    <w:name w:val="List Number"/>
    <w:basedOn w:val="Normal"/>
    <w:uiPriority w:val="19"/>
    <w:rsid w:val="00671848"/>
    <w:pPr>
      <w:numPr>
        <w:numId w:val="3"/>
      </w:numPr>
      <w:spacing w:before="60" w:after="60"/>
    </w:pPr>
  </w:style>
  <w:style w:type="paragraph" w:styleId="ListNumber2">
    <w:name w:val="List Number 2"/>
    <w:basedOn w:val="Normal"/>
    <w:uiPriority w:val="19"/>
    <w:unhideWhenUsed/>
    <w:rsid w:val="00671848"/>
    <w:pPr>
      <w:numPr>
        <w:ilvl w:val="1"/>
        <w:numId w:val="3"/>
      </w:numPr>
      <w:spacing w:before="60" w:after="60"/>
    </w:pPr>
  </w:style>
  <w:style w:type="paragraph" w:styleId="ListNumber3">
    <w:name w:val="List Number 3"/>
    <w:basedOn w:val="Normal"/>
    <w:uiPriority w:val="19"/>
    <w:unhideWhenUsed/>
    <w:rsid w:val="00671848"/>
    <w:pPr>
      <w:numPr>
        <w:ilvl w:val="2"/>
        <w:numId w:val="3"/>
      </w:numPr>
      <w:spacing w:before="60" w:after="60"/>
    </w:pPr>
  </w:style>
  <w:style w:type="paragraph" w:customStyle="1" w:styleId="ListAlpha">
    <w:name w:val="List Alpha"/>
    <w:basedOn w:val="Normal"/>
    <w:uiPriority w:val="20"/>
    <w:qFormat/>
    <w:rsid w:val="00671848"/>
    <w:pPr>
      <w:numPr>
        <w:numId w:val="4"/>
      </w:numPr>
      <w:spacing w:before="60" w:after="60"/>
    </w:pPr>
  </w:style>
  <w:style w:type="paragraph" w:customStyle="1" w:styleId="ListAlpha2">
    <w:name w:val="List Alpha 2"/>
    <w:basedOn w:val="Normal"/>
    <w:uiPriority w:val="20"/>
    <w:unhideWhenUsed/>
    <w:qFormat/>
    <w:rsid w:val="00671848"/>
    <w:pPr>
      <w:numPr>
        <w:ilvl w:val="1"/>
        <w:numId w:val="4"/>
      </w:numPr>
      <w:spacing w:before="60" w:after="60"/>
    </w:pPr>
  </w:style>
  <w:style w:type="paragraph" w:customStyle="1" w:styleId="ListAlpha3">
    <w:name w:val="List Alpha 3"/>
    <w:basedOn w:val="Normal"/>
    <w:uiPriority w:val="20"/>
    <w:unhideWhenUsed/>
    <w:qFormat/>
    <w:rsid w:val="00671848"/>
    <w:pPr>
      <w:numPr>
        <w:ilvl w:val="2"/>
        <w:numId w:val="4"/>
      </w:numPr>
      <w:spacing w:before="60" w:after="60"/>
    </w:pPr>
  </w:style>
  <w:style w:type="paragraph" w:styleId="ListContinue">
    <w:name w:val="List Continue"/>
    <w:basedOn w:val="Normal"/>
    <w:uiPriority w:val="26"/>
    <w:rsid w:val="005910F5"/>
    <w:pPr>
      <w:numPr>
        <w:numId w:val="5"/>
      </w:numPr>
      <w:spacing w:before="60" w:after="60"/>
    </w:pPr>
  </w:style>
  <w:style w:type="paragraph" w:styleId="ListContinue2">
    <w:name w:val="List Continue 2"/>
    <w:basedOn w:val="Normal"/>
    <w:uiPriority w:val="26"/>
    <w:unhideWhenUsed/>
    <w:rsid w:val="005910F5"/>
    <w:pPr>
      <w:numPr>
        <w:ilvl w:val="1"/>
        <w:numId w:val="5"/>
      </w:numPr>
      <w:spacing w:before="60" w:after="60"/>
    </w:pPr>
  </w:style>
  <w:style w:type="paragraph" w:styleId="ListContinue3">
    <w:name w:val="List Continue 3"/>
    <w:basedOn w:val="Normal"/>
    <w:uiPriority w:val="26"/>
    <w:unhideWhenUsed/>
    <w:rsid w:val="005910F5"/>
    <w:pPr>
      <w:numPr>
        <w:ilvl w:val="2"/>
        <w:numId w:val="5"/>
      </w:numPr>
      <w:spacing w:before="60" w:after="60"/>
    </w:pPr>
  </w:style>
  <w:style w:type="paragraph" w:customStyle="1" w:styleId="TableHeading">
    <w:name w:val="Table Heading"/>
    <w:basedOn w:val="Caption"/>
    <w:next w:val="Normal"/>
    <w:link w:val="TableHeadingChar"/>
    <w:uiPriority w:val="29"/>
    <w:qFormat/>
    <w:rsid w:val="00B84BA2"/>
    <w:pPr>
      <w:keepNext/>
      <w:tabs>
        <w:tab w:val="left" w:pos="1021"/>
        <w:tab w:val="right" w:pos="7711"/>
      </w:tabs>
      <w:spacing w:before="120" w:after="60"/>
      <w:ind w:left="1021" w:hanging="1021"/>
      <w:contextualSpacing/>
    </w:pPr>
    <w:rPr>
      <w:rFonts w:asciiTheme="majorHAnsi" w:hAnsiTheme="majorHAnsi" w:cstheme="minorBidi"/>
      <w:b/>
      <w:i w:val="0"/>
      <w:color w:val="auto"/>
      <w:sz w:val="20"/>
    </w:rPr>
  </w:style>
  <w:style w:type="character" w:customStyle="1" w:styleId="TableHeadingChar">
    <w:name w:val="Table Heading Char"/>
    <w:basedOn w:val="DefaultParagraphFont"/>
    <w:link w:val="TableHeading"/>
    <w:uiPriority w:val="29"/>
    <w:rsid w:val="00B84BA2"/>
    <w:rPr>
      <w:rFonts w:asciiTheme="majorHAnsi" w:hAnsiTheme="majorHAnsi" w:cstheme="minorBidi"/>
      <w:b/>
      <w:iCs/>
      <w:sz w:val="20"/>
      <w:szCs w:val="18"/>
    </w:rPr>
  </w:style>
  <w:style w:type="paragraph" w:styleId="Caption">
    <w:name w:val="caption"/>
    <w:basedOn w:val="Normal"/>
    <w:next w:val="Normal"/>
    <w:uiPriority w:val="35"/>
    <w:semiHidden/>
    <w:unhideWhenUsed/>
    <w:qFormat/>
    <w:rsid w:val="00B84BA2"/>
    <w:pPr>
      <w:spacing w:before="0" w:after="200"/>
    </w:pPr>
    <w:rPr>
      <w:i/>
      <w:iCs/>
      <w:color w:val="44546A" w:themeColor="text2"/>
      <w:sz w:val="18"/>
      <w:szCs w:val="18"/>
    </w:rPr>
  </w:style>
  <w:style w:type="paragraph" w:customStyle="1" w:styleId="Source">
    <w:name w:val="Source"/>
    <w:basedOn w:val="Note"/>
    <w:link w:val="SourceChar"/>
    <w:uiPriority w:val="30"/>
    <w:qFormat/>
    <w:rsid w:val="00B84BA2"/>
    <w:pPr>
      <w:spacing w:after="60"/>
    </w:pPr>
  </w:style>
  <w:style w:type="paragraph" w:customStyle="1" w:styleId="Note">
    <w:name w:val="Note"/>
    <w:basedOn w:val="Normal"/>
    <w:link w:val="NoteChar"/>
    <w:uiPriority w:val="31"/>
    <w:qFormat/>
    <w:rsid w:val="00B84BA2"/>
    <w:pPr>
      <w:tabs>
        <w:tab w:val="left" w:pos="284"/>
      </w:tabs>
      <w:spacing w:before="60"/>
      <w:ind w:left="284" w:hanging="284"/>
      <w:contextualSpacing/>
    </w:pPr>
    <w:rPr>
      <w:rFonts w:asciiTheme="majorHAnsi" w:hAnsiTheme="majorHAnsi" w:cstheme="minorBidi"/>
      <w:i/>
      <w:sz w:val="14"/>
    </w:rPr>
  </w:style>
  <w:style w:type="paragraph" w:customStyle="1" w:styleId="Note2">
    <w:name w:val="Note 2"/>
    <w:basedOn w:val="Note"/>
    <w:uiPriority w:val="31"/>
    <w:qFormat/>
    <w:rsid w:val="00B84BA2"/>
    <w:pPr>
      <w:numPr>
        <w:numId w:val="6"/>
      </w:numPr>
      <w:ind w:left="568" w:hanging="284"/>
    </w:pPr>
  </w:style>
  <w:style w:type="paragraph" w:customStyle="1" w:styleId="NoteContinue">
    <w:name w:val="Note Continue"/>
    <w:basedOn w:val="Note"/>
    <w:uiPriority w:val="31"/>
    <w:qFormat/>
    <w:rsid w:val="00B84BA2"/>
    <w:pPr>
      <w:ind w:firstLine="0"/>
    </w:pPr>
  </w:style>
  <w:style w:type="character" w:customStyle="1" w:styleId="NoteChar">
    <w:name w:val="Note Char"/>
    <w:basedOn w:val="DefaultParagraphFont"/>
    <w:link w:val="Note"/>
    <w:uiPriority w:val="31"/>
    <w:rsid w:val="00B84BA2"/>
    <w:rPr>
      <w:rFonts w:asciiTheme="majorHAnsi" w:hAnsiTheme="majorHAnsi" w:cstheme="minorBidi"/>
      <w:i/>
      <w:sz w:val="14"/>
    </w:rPr>
  </w:style>
  <w:style w:type="character" w:customStyle="1" w:styleId="SourceChar">
    <w:name w:val="Source Char"/>
    <w:link w:val="Source"/>
    <w:uiPriority w:val="30"/>
    <w:locked/>
    <w:rsid w:val="00B84BA2"/>
    <w:rPr>
      <w:rFonts w:asciiTheme="majorHAnsi" w:hAnsiTheme="majorHAnsi" w:cstheme="minorBidi"/>
      <w:i/>
      <w:sz w:val="14"/>
    </w:rPr>
  </w:style>
  <w:style w:type="paragraph" w:styleId="TOC3">
    <w:name w:val="toc 3"/>
    <w:basedOn w:val="Normal"/>
    <w:next w:val="Normal"/>
    <w:autoRedefine/>
    <w:uiPriority w:val="49"/>
    <w:semiHidden/>
    <w:rsid w:val="008A7429"/>
    <w:pPr>
      <w:spacing w:after="100"/>
      <w:ind w:left="440"/>
    </w:pPr>
  </w:style>
  <w:style w:type="paragraph" w:customStyle="1" w:styleId="ShadedBoxText">
    <w:name w:val="Shaded Box Text"/>
    <w:basedOn w:val="Normal"/>
    <w:uiPriority w:val="38"/>
    <w:qFormat/>
    <w:rsid w:val="00B84BA2"/>
    <w:pPr>
      <w:pBdr>
        <w:top w:val="single" w:sz="6" w:space="3" w:color="auto"/>
        <w:left w:val="single" w:sz="6" w:space="4" w:color="auto"/>
        <w:bottom w:val="single" w:sz="6" w:space="3" w:color="auto"/>
        <w:right w:val="single" w:sz="6" w:space="4" w:color="auto"/>
      </w:pBdr>
      <w:shd w:val="clear" w:color="auto" w:fill="F2F2F2" w:themeFill="background1" w:themeFillShade="F2"/>
    </w:pPr>
    <w:rPr>
      <w:rFonts w:cstheme="minorBidi"/>
    </w:rPr>
  </w:style>
  <w:style w:type="paragraph" w:customStyle="1" w:styleId="ShadedBoxHeading">
    <w:name w:val="Shaded Box Heading"/>
    <w:basedOn w:val="ShadedBoxText"/>
    <w:next w:val="ShadedBoxText"/>
    <w:uiPriority w:val="38"/>
    <w:qFormat/>
    <w:rsid w:val="00B84BA2"/>
    <w:pPr>
      <w:keepNext/>
    </w:pPr>
    <w:rPr>
      <w:rFonts w:asciiTheme="majorHAnsi" w:hAnsiTheme="majorHAnsi"/>
      <w:b/>
      <w:sz w:val="20"/>
    </w:rPr>
  </w:style>
  <w:style w:type="paragraph" w:customStyle="1" w:styleId="ShadedBoxBullet">
    <w:name w:val="Shaded Box Bullet"/>
    <w:basedOn w:val="ListBullet"/>
    <w:uiPriority w:val="39"/>
    <w:qFormat/>
    <w:rsid w:val="00B84BA2"/>
    <w:pPr>
      <w:pBdr>
        <w:top w:val="single" w:sz="6" w:space="3" w:color="auto"/>
        <w:left w:val="single" w:sz="6" w:space="4" w:color="auto"/>
        <w:bottom w:val="single" w:sz="6" w:space="3" w:color="auto"/>
        <w:right w:val="single" w:sz="6" w:space="4" w:color="auto"/>
      </w:pBdr>
      <w:shd w:val="clear" w:color="auto" w:fill="F2F2F2" w:themeFill="background1" w:themeFillShade="F2"/>
      <w:tabs>
        <w:tab w:val="num" w:pos="360"/>
      </w:tabs>
      <w:ind w:left="284" w:hanging="284"/>
    </w:pPr>
    <w:rPr>
      <w:rFonts w:cstheme="minorBidi"/>
    </w:rPr>
  </w:style>
  <w:style w:type="paragraph" w:customStyle="1" w:styleId="ShadedBoxBullet2">
    <w:name w:val="Shaded Box Bullet 2"/>
    <w:basedOn w:val="Normal"/>
    <w:next w:val="ShadedBoxText"/>
    <w:uiPriority w:val="39"/>
    <w:qFormat/>
    <w:rsid w:val="00B84BA2"/>
    <w:pPr>
      <w:pBdr>
        <w:top w:val="single" w:sz="6" w:space="3" w:color="auto"/>
        <w:left w:val="single" w:sz="6" w:space="4" w:color="auto"/>
        <w:bottom w:val="single" w:sz="6" w:space="3" w:color="auto"/>
        <w:right w:val="single" w:sz="6" w:space="4" w:color="auto"/>
      </w:pBdr>
      <w:shd w:val="clear" w:color="auto" w:fill="F2F2F2" w:themeFill="background1" w:themeFillShade="F2"/>
      <w:tabs>
        <w:tab w:val="left" w:pos="340"/>
        <w:tab w:val="left" w:pos="680"/>
      </w:tabs>
      <w:spacing w:before="60" w:after="60"/>
      <w:ind w:left="680" w:hanging="680"/>
    </w:pPr>
    <w:rPr>
      <w:rFonts w:cstheme="minorBidi"/>
    </w:rPr>
  </w:style>
  <w:style w:type="paragraph" w:styleId="TOC1">
    <w:name w:val="toc 1"/>
    <w:basedOn w:val="Normal"/>
    <w:next w:val="Normal"/>
    <w:uiPriority w:val="39"/>
    <w:unhideWhenUsed/>
    <w:rsid w:val="00F352C4"/>
    <w:pPr>
      <w:keepNext/>
      <w:tabs>
        <w:tab w:val="right" w:leader="dot" w:pos="9639"/>
      </w:tabs>
      <w:spacing w:before="60"/>
    </w:pPr>
    <w:rPr>
      <w:rFonts w:asciiTheme="majorHAnsi" w:hAnsiTheme="majorHAnsi" w:cstheme="minorBidi"/>
      <w:b/>
    </w:rPr>
  </w:style>
  <w:style w:type="paragraph" w:styleId="TOC2">
    <w:name w:val="toc 2"/>
    <w:basedOn w:val="TOC1"/>
    <w:uiPriority w:val="39"/>
    <w:unhideWhenUsed/>
    <w:rsid w:val="00F352C4"/>
    <w:pPr>
      <w:keepNext w:val="0"/>
      <w:ind w:left="568" w:hanging="284"/>
    </w:pPr>
    <w:rPr>
      <w:b w:val="0"/>
    </w:rPr>
  </w:style>
  <w:style w:type="paragraph" w:styleId="TOC9">
    <w:name w:val="toc 9"/>
    <w:basedOn w:val="Normal"/>
    <w:next w:val="Normal"/>
    <w:uiPriority w:val="98"/>
    <w:unhideWhenUsed/>
    <w:rsid w:val="00B84BA2"/>
    <w:pPr>
      <w:tabs>
        <w:tab w:val="left" w:pos="567"/>
        <w:tab w:val="right" w:leader="dot" w:pos="3629"/>
      </w:tabs>
      <w:ind w:left="567" w:hanging="567"/>
    </w:pPr>
    <w:rPr>
      <w:rFonts w:cstheme="minorBidi"/>
      <w:sz w:val="20"/>
    </w:rPr>
  </w:style>
  <w:style w:type="table" w:customStyle="1" w:styleId="DTFTableNumeric">
    <w:name w:val="DTF Table [Numeric]"/>
    <w:basedOn w:val="TableNormal"/>
    <w:uiPriority w:val="99"/>
    <w:rsid w:val="00B84BA2"/>
    <w:pPr>
      <w:spacing w:before="20" w:after="20"/>
      <w:jc w:val="right"/>
    </w:pPr>
    <w:rPr>
      <w:rFonts w:asciiTheme="majorHAnsi" w:hAnsiTheme="majorHAnsi" w:cstheme="minorBidi"/>
      <w:sz w:val="17"/>
    </w:rPr>
    <w:tblPr>
      <w:tblBorders>
        <w:bottom w:val="single" w:sz="12" w:space="0" w:color="auto"/>
      </w:tblBorders>
      <w:tblCellMar>
        <w:left w:w="57" w:type="dxa"/>
        <w:right w:w="57" w:type="dxa"/>
      </w:tblCellMar>
    </w:tblPr>
    <w:tblStylePr w:type="firstRow">
      <w:rPr>
        <w:i/>
      </w:rPr>
      <w:tblPr/>
      <w:tcPr>
        <w:tcBorders>
          <w:top w:val="nil"/>
          <w:left w:val="nil"/>
          <w:bottom w:val="nil"/>
          <w:right w:val="nil"/>
          <w:insideH w:val="nil"/>
          <w:insideV w:val="nil"/>
          <w:tl2br w:val="nil"/>
          <w:tr2bl w:val="nil"/>
        </w:tcBorders>
        <w:shd w:val="clear" w:color="auto" w:fill="000000" w:themeFill="text1"/>
        <w:vAlign w:val="bottom"/>
      </w:tcPr>
    </w:tblStylePr>
    <w:tblStylePr w:type="lastRow">
      <w:rPr>
        <w:b/>
      </w:rPr>
      <w:tblPr/>
      <w:tcPr>
        <w:tcBorders>
          <w:top w:val="single" w:sz="4" w:space="0" w:color="auto"/>
          <w:bottom w:val="single" w:sz="12" w:space="0" w:color="auto"/>
        </w:tcBorders>
      </w:tcPr>
    </w:tblStylePr>
    <w:tblStylePr w:type="firstCol">
      <w:pPr>
        <w:wordWrap/>
        <w:ind w:leftChars="0" w:left="170" w:firstLineChars="0" w:hanging="170"/>
        <w:jc w:val="left"/>
      </w:pPr>
    </w:tblStylePr>
  </w:style>
  <w:style w:type="table" w:customStyle="1" w:styleId="DTFTableText">
    <w:name w:val="DTF Table [Text]"/>
    <w:basedOn w:val="TableNormal"/>
    <w:uiPriority w:val="99"/>
    <w:rsid w:val="00B84BA2"/>
    <w:pPr>
      <w:spacing w:before="60" w:after="60"/>
    </w:pPr>
    <w:rPr>
      <w:rFonts w:asciiTheme="majorHAnsi" w:hAnsiTheme="majorHAnsi" w:cstheme="minorBidi"/>
      <w:sz w:val="19"/>
    </w:rPr>
    <w:tblPr>
      <w:tblStyleRowBandSize w:val="1"/>
      <w:tblStyleColBandSize w:val="1"/>
      <w:tblBorders>
        <w:bottom w:val="single" w:sz="6" w:space="0" w:color="auto"/>
      </w:tblBorders>
      <w:tblCellMar>
        <w:left w:w="57" w:type="dxa"/>
        <w:right w:w="57" w:type="dxa"/>
      </w:tblCellMar>
    </w:tblPr>
    <w:tblStylePr w:type="firstRow">
      <w:pPr>
        <w:jc w:val="left"/>
      </w:pPr>
      <w:rPr>
        <w:i/>
      </w:rPr>
      <w:tblPr/>
      <w:tcPr>
        <w:tcBorders>
          <w:top w:val="nil"/>
          <w:left w:val="nil"/>
          <w:bottom w:val="nil"/>
          <w:right w:val="nil"/>
          <w:insideH w:val="nil"/>
          <w:insideV w:val="nil"/>
          <w:tl2br w:val="nil"/>
          <w:tr2bl w:val="nil"/>
        </w:tcBorders>
        <w:shd w:val="clear" w:color="auto" w:fill="000000" w:themeFill="text1"/>
        <w:vAlign w:val="bottom"/>
      </w:tcPr>
    </w:tblStylePr>
    <w:tblStylePr w:type="lastRow">
      <w:rPr>
        <w:b/>
      </w:rPr>
      <w:tblPr/>
      <w:tcPr>
        <w:tcBorders>
          <w:top w:val="single" w:sz="6" w:space="0" w:color="auto"/>
          <w:left w:val="nil"/>
          <w:bottom w:val="single" w:sz="6" w:space="0" w:color="auto"/>
          <w:right w:val="nil"/>
          <w:insideH w:val="nil"/>
          <w:insideV w:val="nil"/>
          <w:tl2br w:val="nil"/>
          <w:tr2bl w:val="nil"/>
        </w:tcBorders>
      </w:tcPr>
    </w:tblStylePr>
    <w:tblStylePr w:type="firstCol">
      <w:rPr>
        <w:b/>
      </w:rPr>
    </w:tblStylePr>
    <w:tblStylePr w:type="lastCol">
      <w:rPr>
        <w:b/>
      </w:rPr>
    </w:tblStylePr>
    <w:tblStylePr w:type="band2Vert">
      <w:tblPr/>
      <w:tcPr>
        <w:tcBorders>
          <w:top w:val="nil"/>
          <w:left w:val="single" w:sz="6" w:space="0" w:color="auto"/>
          <w:bottom w:val="single" w:sz="6" w:space="0" w:color="auto"/>
          <w:right w:val="single" w:sz="6" w:space="0" w:color="auto"/>
          <w:insideH w:val="nil"/>
          <w:insideV w:val="nil"/>
          <w:tl2br w:val="nil"/>
          <w:tr2bl w:val="nil"/>
        </w:tcBorders>
      </w:tcPr>
    </w:tblStylePr>
    <w:tblStylePr w:type="band1Horz">
      <w:tblPr/>
      <w:tcPr>
        <w:tcBorders>
          <w:top w:val="nil"/>
          <w:left w:val="nil"/>
          <w:bottom w:val="single" w:sz="6" w:space="0" w:color="auto"/>
          <w:right w:val="nil"/>
          <w:insideH w:val="nil"/>
          <w:insideV w:val="nil"/>
          <w:tl2br w:val="nil"/>
          <w:tr2bl w:val="nil"/>
        </w:tcBorders>
      </w:tcPr>
    </w:tblStylePr>
    <w:tblStylePr w:type="band2Horz">
      <w:tblPr/>
      <w:tcPr>
        <w:tcBorders>
          <w:top w:val="nil"/>
          <w:left w:val="nil"/>
          <w:bottom w:val="single" w:sz="6" w:space="0" w:color="auto"/>
          <w:right w:val="nil"/>
          <w:insideH w:val="nil"/>
          <w:insideV w:val="nil"/>
          <w:tl2br w:val="nil"/>
          <w:tr2bl w:val="nil"/>
        </w:tcBorders>
      </w:tcPr>
    </w:tblStylePr>
  </w:style>
  <w:style w:type="table" w:customStyle="1" w:styleId="DTFTableShadedText">
    <w:name w:val="DTF Table [Shaded Text]"/>
    <w:basedOn w:val="DTFTableText"/>
    <w:uiPriority w:val="99"/>
    <w:rsid w:val="00B84BA2"/>
    <w:tblPr>
      <w:tblBorders>
        <w:top w:val="single" w:sz="6" w:space="0" w:color="auto"/>
        <w:bottom w:val="none" w:sz="0" w:space="0" w:color="auto"/>
      </w:tblBorders>
    </w:tblPr>
    <w:tblStylePr w:type="firstRow">
      <w:pPr>
        <w:jc w:val="left"/>
      </w:pPr>
      <w:rPr>
        <w:i/>
      </w:rPr>
      <w:tblPr/>
      <w:tcPr>
        <w:tcBorders>
          <w:top w:val="nil"/>
          <w:left w:val="nil"/>
          <w:bottom w:val="nil"/>
          <w:right w:val="nil"/>
          <w:insideH w:val="nil"/>
          <w:insideV w:val="nil"/>
          <w:tl2br w:val="nil"/>
          <w:tr2bl w:val="nil"/>
        </w:tcBorders>
        <w:shd w:val="clear" w:color="auto" w:fill="000000" w:themeFill="text1"/>
        <w:vAlign w:val="bottom"/>
      </w:tcPr>
    </w:tblStylePr>
    <w:tblStylePr w:type="lastRow">
      <w:rPr>
        <w:b/>
      </w:rPr>
      <w:tblPr/>
      <w:tcPr>
        <w:tcBorders>
          <w:top w:val="single" w:sz="6" w:space="0" w:color="auto"/>
          <w:left w:val="nil"/>
          <w:bottom w:val="single" w:sz="6" w:space="0" w:color="auto"/>
          <w:right w:val="nil"/>
          <w:insideH w:val="nil"/>
          <w:insideV w:val="nil"/>
          <w:tl2br w:val="nil"/>
          <w:tr2bl w:val="nil"/>
        </w:tcBorders>
      </w:tcPr>
    </w:tblStylePr>
    <w:tblStylePr w:type="firstCol">
      <w:rPr>
        <w:b/>
      </w:rPr>
      <w:tblPr/>
      <w:tcPr>
        <w:tcBorders>
          <w:top w:val="nil"/>
          <w:left w:val="nil"/>
          <w:bottom w:val="single" w:sz="6" w:space="0" w:color="auto"/>
          <w:right w:val="nil"/>
          <w:insideH w:val="nil"/>
          <w:insideV w:val="nil"/>
          <w:tl2br w:val="nil"/>
          <w:tr2bl w:val="nil"/>
        </w:tcBorders>
        <w:shd w:val="clear" w:color="auto" w:fill="F2F2F2" w:themeFill="background1" w:themeFillShade="F2"/>
      </w:tcPr>
    </w:tblStylePr>
    <w:tblStylePr w:type="lastCol">
      <w:rPr>
        <w:b/>
      </w:rPr>
      <w:tblPr/>
      <w:tcPr>
        <w:tcBorders>
          <w:top w:val="nil"/>
          <w:left w:val="nil"/>
          <w:bottom w:val="single" w:sz="6" w:space="0" w:color="auto"/>
          <w:right w:val="nil"/>
          <w:insideH w:val="nil"/>
          <w:insideV w:val="nil"/>
          <w:tl2br w:val="nil"/>
          <w:tr2bl w:val="nil"/>
        </w:tcBorders>
        <w:shd w:val="clear" w:color="auto" w:fill="F2F2F2" w:themeFill="background1" w:themeFillShade="F2"/>
      </w:tcPr>
    </w:tblStylePr>
    <w:tblStylePr w:type="band2Vert">
      <w:tblPr/>
      <w:tcPr>
        <w:tcBorders>
          <w:top w:val="nil"/>
          <w:left w:val="nil"/>
          <w:bottom w:val="single" w:sz="6" w:space="0" w:color="auto"/>
          <w:right w:val="nil"/>
          <w:insideH w:val="nil"/>
          <w:insideV w:val="nil"/>
          <w:tl2br w:val="nil"/>
          <w:tr2bl w:val="nil"/>
        </w:tcBorders>
        <w:shd w:val="clear" w:color="auto" w:fill="F2F2F2" w:themeFill="background1" w:themeFillShade="F2"/>
      </w:tcPr>
    </w:tblStylePr>
    <w:tblStylePr w:type="band1Horz">
      <w:tblPr/>
      <w:tcPr>
        <w:tcBorders>
          <w:top w:val="single" w:sz="6" w:space="0" w:color="auto"/>
          <w:left w:val="nil"/>
          <w:bottom w:val="single" w:sz="6" w:space="0" w:color="auto"/>
          <w:right w:val="nil"/>
          <w:insideH w:val="nil"/>
          <w:insideV w:val="nil"/>
          <w:tl2br w:val="nil"/>
          <w:tr2bl w:val="nil"/>
        </w:tcBorders>
      </w:tcPr>
    </w:tblStylePr>
    <w:tblStylePr w:type="band2Horz">
      <w:tblPr/>
      <w:tcPr>
        <w:tcBorders>
          <w:top w:val="single" w:sz="6" w:space="0" w:color="auto"/>
          <w:left w:val="nil"/>
          <w:bottom w:val="single" w:sz="6" w:space="0" w:color="auto"/>
          <w:right w:val="nil"/>
          <w:insideH w:val="nil"/>
          <w:insideV w:val="nil"/>
          <w:tl2br w:val="nil"/>
          <w:tr2bl w:val="nil"/>
        </w:tcBorders>
        <w:shd w:val="clear" w:color="auto" w:fill="F2F2F2"/>
      </w:tcPr>
    </w:tblStylePr>
  </w:style>
  <w:style w:type="paragraph" w:customStyle="1" w:styleId="Heading1">
    <w:name w:val="Heading 1 [#]"/>
    <w:basedOn w:val="Heading10"/>
    <w:next w:val="Normal"/>
    <w:uiPriority w:val="5"/>
    <w:qFormat/>
    <w:rsid w:val="00B84BA2"/>
    <w:pPr>
      <w:keepLines w:val="0"/>
      <w:numPr>
        <w:numId w:val="7"/>
      </w:numPr>
    </w:pPr>
  </w:style>
  <w:style w:type="paragraph" w:customStyle="1" w:styleId="Heading2">
    <w:name w:val="Heading 2 [#]"/>
    <w:basedOn w:val="Heading20"/>
    <w:next w:val="Normal"/>
    <w:uiPriority w:val="5"/>
    <w:qFormat/>
    <w:rsid w:val="002B562C"/>
    <w:pPr>
      <w:keepLines w:val="0"/>
      <w:numPr>
        <w:ilvl w:val="1"/>
        <w:numId w:val="7"/>
      </w:numPr>
    </w:pPr>
    <w:rPr>
      <w:caps/>
    </w:rPr>
  </w:style>
  <w:style w:type="paragraph" w:customStyle="1" w:styleId="Heading3">
    <w:name w:val="Heading 3 [#]"/>
    <w:basedOn w:val="Heading30"/>
    <w:next w:val="Normal"/>
    <w:uiPriority w:val="5"/>
    <w:qFormat/>
    <w:rsid w:val="00B84BA2"/>
    <w:pPr>
      <w:keepLines w:val="0"/>
      <w:numPr>
        <w:ilvl w:val="2"/>
        <w:numId w:val="7"/>
      </w:numPr>
    </w:pPr>
  </w:style>
  <w:style w:type="paragraph" w:styleId="TOC4">
    <w:name w:val="toc 4"/>
    <w:basedOn w:val="Normal"/>
    <w:next w:val="Normal"/>
    <w:autoRedefine/>
    <w:uiPriority w:val="49"/>
    <w:semiHidden/>
    <w:rsid w:val="008A7429"/>
    <w:pPr>
      <w:spacing w:after="100"/>
      <w:ind w:left="660"/>
    </w:pPr>
  </w:style>
  <w:style w:type="paragraph" w:styleId="TOC5">
    <w:name w:val="toc 5"/>
    <w:basedOn w:val="Normal"/>
    <w:next w:val="Normal"/>
    <w:autoRedefine/>
    <w:uiPriority w:val="49"/>
    <w:semiHidden/>
    <w:rsid w:val="008A7429"/>
    <w:pPr>
      <w:spacing w:after="100"/>
      <w:ind w:left="880"/>
    </w:pPr>
  </w:style>
  <w:style w:type="character" w:customStyle="1" w:styleId="Heading6Char">
    <w:name w:val="Heading 6 Char"/>
    <w:basedOn w:val="DefaultParagraphFont"/>
    <w:link w:val="Heading6"/>
    <w:uiPriority w:val="9"/>
    <w:semiHidden/>
    <w:rsid w:val="008A742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A742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A74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A7429"/>
    <w:rPr>
      <w:rFonts w:asciiTheme="majorHAnsi" w:eastAsiaTheme="majorEastAsia" w:hAnsiTheme="majorHAnsi" w:cstheme="majorBidi"/>
      <w:i/>
      <w:iCs/>
      <w:color w:val="272727" w:themeColor="text1" w:themeTint="D8"/>
      <w:sz w:val="21"/>
      <w:szCs w:val="21"/>
    </w:rPr>
  </w:style>
  <w:style w:type="paragraph" w:styleId="TOCHeading">
    <w:name w:val="TOC Heading"/>
    <w:basedOn w:val="ChapterHeading"/>
    <w:next w:val="Normal"/>
    <w:uiPriority w:val="89"/>
    <w:unhideWhenUsed/>
    <w:qFormat/>
    <w:rsid w:val="008F6E27"/>
    <w:pPr>
      <w:spacing w:after="240"/>
      <w:outlineLvl w:val="9"/>
    </w:pPr>
  </w:style>
  <w:style w:type="character" w:styleId="PlaceholderText">
    <w:name w:val="Placeholder Text"/>
    <w:basedOn w:val="DefaultParagraphFont"/>
    <w:uiPriority w:val="99"/>
    <w:semiHidden/>
    <w:rsid w:val="00E43802"/>
    <w:rPr>
      <w:color w:val="808080"/>
    </w:rPr>
  </w:style>
  <w:style w:type="table" w:customStyle="1" w:styleId="DTFTable">
    <w:name w:val="DTF Table"/>
    <w:basedOn w:val="TableNormal"/>
    <w:uiPriority w:val="99"/>
    <w:pPr>
      <w:spacing w:before="20" w:after="20"/>
      <w:jc w:val="right"/>
    </w:pPr>
    <w:rPr>
      <w:rFonts w:asciiTheme="majorHAnsi" w:hAnsiTheme="majorHAnsi" w:cstheme="minorBidi"/>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7E6E6" w:themeFill="background2"/>
      </w:tcPr>
    </w:tblStylePr>
    <w:tblStylePr w:type="band1Horz">
      <w:tblPr/>
      <w:tcPr>
        <w:shd w:val="clear" w:color="auto" w:fill="E7E6E6" w:themeFill="background2"/>
      </w:tcPr>
    </w:tblStylePr>
    <w:tblStylePr w:type="band2Horz">
      <w:tblPr/>
      <w:tcPr>
        <w:shd w:val="clear" w:color="auto" w:fill="FFFFFF" w:themeFill="background1"/>
      </w:tcPr>
    </w:tblStylePr>
  </w:style>
  <w:style w:type="paragraph" w:customStyle="1" w:styleId="NormalKeepWithNext">
    <w:name w:val="Normal [Keep With Next]"/>
    <w:basedOn w:val="Normal"/>
    <w:next w:val="Normal"/>
    <w:uiPriority w:val="1"/>
    <w:qFormat/>
    <w:pPr>
      <w:keepNext/>
    </w:pPr>
    <w:rPr>
      <w:rFonts w:cstheme="minorBidi"/>
    </w:rPr>
  </w:style>
  <w:style w:type="paragraph" w:customStyle="1" w:styleId="HighlightBoxBullet">
    <w:name w:val="Highlight Box Bullet"/>
    <w:basedOn w:val="ListBullet"/>
    <w:link w:val="HighlightBoxBulletChar"/>
    <w:uiPriority w:val="60"/>
    <w:qFormat/>
    <w:pPr>
      <w:pBdr>
        <w:top w:val="single" w:sz="6" w:space="1" w:color="auto"/>
        <w:left w:val="single" w:sz="6" w:space="4" w:color="auto"/>
        <w:bottom w:val="single" w:sz="6" w:space="1" w:color="auto"/>
        <w:right w:val="single" w:sz="6" w:space="4" w:color="auto"/>
      </w:pBdr>
      <w:shd w:val="clear" w:color="auto" w:fill="F2F2F2" w:themeFill="background1" w:themeFillShade="F2"/>
      <w:spacing w:after="0"/>
      <w:ind w:left="284" w:hanging="284"/>
    </w:pPr>
    <w:rPr>
      <w:rFonts w:cstheme="minorBidi"/>
    </w:rPr>
  </w:style>
  <w:style w:type="character" w:customStyle="1" w:styleId="HighlightBoxBulletChar">
    <w:name w:val="Highlight Box Bullet Char"/>
    <w:basedOn w:val="DefaultParagraphFont"/>
    <w:link w:val="HighlightBoxBullet"/>
    <w:uiPriority w:val="60"/>
    <w:rPr>
      <w:rFonts w:cstheme="minorBidi"/>
      <w:shd w:val="clear" w:color="auto" w:fill="F2F2F2" w:themeFill="background1" w:themeFillShade="F2"/>
    </w:rPr>
  </w:style>
  <w:style w:type="numbering" w:customStyle="1" w:styleId="ListStyle-Bullet">
    <w:name w:val="List Style - Bullet"/>
    <w:uiPriority w:val="99"/>
    <w:pPr>
      <w:numPr>
        <w:numId w:val="9"/>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before="0"/>
    </w:pPr>
  </w:style>
  <w:style w:type="character" w:styleId="Mention">
    <w:name w:val="Mention"/>
    <w:basedOn w:val="DefaultParagraphFont"/>
    <w:uiPriority w:val="99"/>
    <w:unhideWhenUsed/>
    <w:rPr>
      <w:color w:val="2B579A"/>
      <w:shd w:val="clear" w:color="auto" w:fill="E1DFDD"/>
    </w:rPr>
  </w:style>
  <w:style w:type="character" w:styleId="Hyperlink">
    <w:name w:val="Hyperlink"/>
    <w:basedOn w:val="DefaultParagraphFont"/>
    <w:uiPriority w:val="99"/>
    <w:rPr>
      <w:color w:val="0000FF"/>
      <w:u w:val="single"/>
    </w:rPr>
  </w:style>
  <w:style w:type="table" w:styleId="TableGrid">
    <w:name w:val="Table Grid"/>
    <w:basedOn w:val="TableNormal"/>
    <w:uiPriority w:val="3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0">
    <w:name w:val="heading 10"/>
    <w:basedOn w:val="Heading10"/>
    <w:next w:val="Normal"/>
    <w:uiPriority w:val="5"/>
    <w:qFormat/>
    <w:pPr>
      <w:keepLines w:val="0"/>
    </w:pPr>
  </w:style>
  <w:style w:type="paragraph" w:customStyle="1" w:styleId="heading200">
    <w:name w:val="heading 20"/>
    <w:basedOn w:val="Heading20"/>
    <w:next w:val="Normal"/>
    <w:uiPriority w:val="5"/>
    <w:qFormat/>
    <w:pPr>
      <w:keepLines w:val="0"/>
    </w:pPr>
  </w:style>
  <w:style w:type="paragraph" w:customStyle="1" w:styleId="heading300">
    <w:name w:val="heading 30"/>
    <w:basedOn w:val="Heading30"/>
    <w:next w:val="Normal"/>
    <w:uiPriority w:val="5"/>
    <w:qFormat/>
    <w:pPr>
      <w:keepLines w:val="0"/>
    </w:pPr>
  </w:style>
  <w:style w:type="paragraph" w:styleId="FootnoteText">
    <w:name w:val="footnote text"/>
    <w:basedOn w:val="Normal"/>
    <w:link w:val="FootnoteTextChar"/>
    <w:uiPriority w:val="99"/>
    <w:unhideWhenUsed/>
    <w:qFormat/>
    <w:pPr>
      <w:spacing w:before="0"/>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UnresolvedMention">
    <w:name w:val="Unresolved Mention"/>
    <w:basedOn w:val="DefaultParagraphFont"/>
    <w:uiPriority w:val="99"/>
    <w:semiHidden/>
    <w:unhideWhenUsed/>
    <w:rPr>
      <w:color w:val="605E5C"/>
      <w:shd w:val="clear" w:color="auto" w:fill="E1DFDD"/>
    </w:rPr>
  </w:style>
  <w:style w:type="numbering" w:customStyle="1" w:styleId="Bullet">
    <w:name w:val="Bullet"/>
    <w:uiPriority w:val="99"/>
    <w:pPr>
      <w:numPr>
        <w:numId w:val="12"/>
      </w:numPr>
    </w:pPr>
  </w:style>
  <w:style w:type="character" w:customStyle="1" w:styleId="ChapterHeadingChar">
    <w:name w:val="Chapter Heading Char"/>
    <w:basedOn w:val="DefaultParagraphFont"/>
    <w:link w:val="ChapterHeading"/>
    <w:uiPriority w:val="89"/>
    <w:rPr>
      <w:rFonts w:asciiTheme="majorHAnsi" w:hAnsiTheme="majorHAnsi" w:cstheme="minorBidi"/>
      <w:b/>
      <w:caps/>
      <w:sz w:val="36"/>
    </w:rPr>
  </w:style>
  <w:style w:type="numbering" w:customStyle="1" w:styleId="ListBullets">
    <w:name w:val="List Bullets"/>
    <w:uiPriority w:val="9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117" Type="http://schemas.openxmlformats.org/officeDocument/2006/relationships/header" Target="header46.xml"/><Relationship Id="rId21" Type="http://schemas.openxmlformats.org/officeDocument/2006/relationships/image" Target="media/image4.emf"/><Relationship Id="rId42" Type="http://schemas.openxmlformats.org/officeDocument/2006/relationships/footer" Target="footer13.xml"/><Relationship Id="rId47" Type="http://schemas.openxmlformats.org/officeDocument/2006/relationships/header" Target="header12.xml"/><Relationship Id="rId63" Type="http://schemas.openxmlformats.org/officeDocument/2006/relationships/header" Target="header21.xml"/><Relationship Id="rId68" Type="http://schemas.openxmlformats.org/officeDocument/2006/relationships/header" Target="header24.xml"/><Relationship Id="rId84" Type="http://schemas.openxmlformats.org/officeDocument/2006/relationships/footer" Target="footer32.xml"/><Relationship Id="rId89" Type="http://schemas.openxmlformats.org/officeDocument/2006/relationships/header" Target="header35.xml"/><Relationship Id="rId112" Type="http://schemas.openxmlformats.org/officeDocument/2006/relationships/footer" Target="footer49.xml"/><Relationship Id="rId133" Type="http://schemas.openxmlformats.org/officeDocument/2006/relationships/theme" Target="theme/theme1.xml"/><Relationship Id="rId16" Type="http://schemas.openxmlformats.org/officeDocument/2006/relationships/footer" Target="footer2.xml"/><Relationship Id="rId107" Type="http://schemas.openxmlformats.org/officeDocument/2006/relationships/footer" Target="footer45.xml"/><Relationship Id="rId11" Type="http://schemas.openxmlformats.org/officeDocument/2006/relationships/endnotes" Target="endnotes.xml"/><Relationship Id="rId32" Type="http://schemas.openxmlformats.org/officeDocument/2006/relationships/header" Target="header5.xml"/><Relationship Id="rId37" Type="http://schemas.openxmlformats.org/officeDocument/2006/relationships/header" Target="header7.xml"/><Relationship Id="rId53" Type="http://schemas.openxmlformats.org/officeDocument/2006/relationships/header" Target="header15.xml"/><Relationship Id="rId58" Type="http://schemas.openxmlformats.org/officeDocument/2006/relationships/footer" Target="footer20.xml"/><Relationship Id="rId74" Type="http://schemas.openxmlformats.org/officeDocument/2006/relationships/header" Target="header27.xml"/><Relationship Id="rId79" Type="http://schemas.openxmlformats.org/officeDocument/2006/relationships/footer" Target="footer30.xml"/><Relationship Id="rId102" Type="http://schemas.openxmlformats.org/officeDocument/2006/relationships/footer" Target="footer41.xml"/><Relationship Id="rId123" Type="http://schemas.openxmlformats.org/officeDocument/2006/relationships/footer" Target="footer56.xml"/><Relationship Id="rId128" Type="http://schemas.openxmlformats.org/officeDocument/2006/relationships/footer" Target="footer60.xml"/><Relationship Id="rId5" Type="http://schemas.openxmlformats.org/officeDocument/2006/relationships/customXml" Target="../customXml/item5.xml"/><Relationship Id="rId90" Type="http://schemas.openxmlformats.org/officeDocument/2006/relationships/footer" Target="footer35.xml"/><Relationship Id="rId95" Type="http://schemas.openxmlformats.org/officeDocument/2006/relationships/header" Target="header38.xml"/><Relationship Id="rId14" Type="http://schemas.openxmlformats.org/officeDocument/2006/relationships/image" Target="media/image2.png"/><Relationship Id="rId22" Type="http://schemas.openxmlformats.org/officeDocument/2006/relationships/image" Target="media/image5.emf"/><Relationship Id="rId27" Type="http://schemas.openxmlformats.org/officeDocument/2006/relationships/header" Target="header3.xml"/><Relationship Id="rId30" Type="http://schemas.openxmlformats.org/officeDocument/2006/relationships/image" Target="media/image7.emf"/><Relationship Id="rId35" Type="http://schemas.openxmlformats.org/officeDocument/2006/relationships/header" Target="header6.xml"/><Relationship Id="rId43" Type="http://schemas.openxmlformats.org/officeDocument/2006/relationships/header" Target="header10.xml"/><Relationship Id="rId48" Type="http://schemas.openxmlformats.org/officeDocument/2006/relationships/footer" Target="footer16.xml"/><Relationship Id="rId56" Type="http://schemas.openxmlformats.org/officeDocument/2006/relationships/header" Target="header17.xml"/><Relationship Id="rId64" Type="http://schemas.openxmlformats.org/officeDocument/2006/relationships/footer" Target="footer23.xml"/><Relationship Id="rId69" Type="http://schemas.openxmlformats.org/officeDocument/2006/relationships/footer" Target="footer25.xml"/><Relationship Id="rId77" Type="http://schemas.openxmlformats.org/officeDocument/2006/relationships/header" Target="header29.xml"/><Relationship Id="rId100" Type="http://schemas.openxmlformats.org/officeDocument/2006/relationships/header" Target="header40.xml"/><Relationship Id="rId105" Type="http://schemas.openxmlformats.org/officeDocument/2006/relationships/footer" Target="footer43.xml"/><Relationship Id="rId113" Type="http://schemas.openxmlformats.org/officeDocument/2006/relationships/header" Target="header44.xml"/><Relationship Id="rId118" Type="http://schemas.openxmlformats.org/officeDocument/2006/relationships/footer" Target="footer52.xml"/><Relationship Id="rId126" Type="http://schemas.openxmlformats.org/officeDocument/2006/relationships/footer" Target="footer58.xml"/><Relationship Id="rId8" Type="http://schemas.openxmlformats.org/officeDocument/2006/relationships/settings" Target="settings.xml"/><Relationship Id="rId51" Type="http://schemas.openxmlformats.org/officeDocument/2006/relationships/footer" Target="footer17.xml"/><Relationship Id="rId72" Type="http://schemas.openxmlformats.org/officeDocument/2006/relationships/footer" Target="footer26.xml"/><Relationship Id="rId80" Type="http://schemas.openxmlformats.org/officeDocument/2006/relationships/header" Target="header30.xml"/><Relationship Id="rId85" Type="http://schemas.openxmlformats.org/officeDocument/2006/relationships/footer" Target="footer33.xml"/><Relationship Id="rId93" Type="http://schemas.openxmlformats.org/officeDocument/2006/relationships/footer" Target="footer37.xml"/><Relationship Id="rId98" Type="http://schemas.openxmlformats.org/officeDocument/2006/relationships/header" Target="header39.xml"/><Relationship Id="rId121" Type="http://schemas.openxmlformats.org/officeDocument/2006/relationships/footer" Target="footer54.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hart" Target="charts/chart1.xml"/><Relationship Id="rId25" Type="http://schemas.openxmlformats.org/officeDocument/2006/relationships/footer" Target="footer5.xml"/><Relationship Id="rId33" Type="http://schemas.openxmlformats.org/officeDocument/2006/relationships/footer" Target="footer8.xml"/><Relationship Id="rId38" Type="http://schemas.openxmlformats.org/officeDocument/2006/relationships/header" Target="header8.xml"/><Relationship Id="rId46" Type="http://schemas.openxmlformats.org/officeDocument/2006/relationships/footer" Target="footer15.xml"/><Relationship Id="rId59" Type="http://schemas.openxmlformats.org/officeDocument/2006/relationships/header" Target="header19.xml"/><Relationship Id="rId67" Type="http://schemas.openxmlformats.org/officeDocument/2006/relationships/footer" Target="footer24.xml"/><Relationship Id="rId103" Type="http://schemas.openxmlformats.org/officeDocument/2006/relationships/footer" Target="footer42.xml"/><Relationship Id="rId108" Type="http://schemas.openxmlformats.org/officeDocument/2006/relationships/footer" Target="footer46.xml"/><Relationship Id="rId116" Type="http://schemas.openxmlformats.org/officeDocument/2006/relationships/header" Target="header45.xml"/><Relationship Id="rId124" Type="http://schemas.openxmlformats.org/officeDocument/2006/relationships/chart" Target="charts/chart2.xml"/><Relationship Id="rId129" Type="http://schemas.openxmlformats.org/officeDocument/2006/relationships/footer" Target="footer61.xml"/><Relationship Id="rId20" Type="http://schemas.openxmlformats.org/officeDocument/2006/relationships/image" Target="media/image3.emf"/><Relationship Id="rId41" Type="http://schemas.openxmlformats.org/officeDocument/2006/relationships/header" Target="header9.xml"/><Relationship Id="rId54" Type="http://schemas.openxmlformats.org/officeDocument/2006/relationships/footer" Target="footer19.xml"/><Relationship Id="rId62" Type="http://schemas.openxmlformats.org/officeDocument/2006/relationships/footer" Target="footer22.xml"/><Relationship Id="rId70" Type="http://schemas.openxmlformats.org/officeDocument/2006/relationships/header" Target="header25.xml"/><Relationship Id="rId75" Type="http://schemas.openxmlformats.org/officeDocument/2006/relationships/footer" Target="footer28.xml"/><Relationship Id="rId83" Type="http://schemas.openxmlformats.org/officeDocument/2006/relationships/header" Target="header32.xml"/><Relationship Id="rId88" Type="http://schemas.openxmlformats.org/officeDocument/2006/relationships/header" Target="header34.xml"/><Relationship Id="rId91" Type="http://schemas.openxmlformats.org/officeDocument/2006/relationships/footer" Target="footer36.xml"/><Relationship Id="rId96" Type="http://schemas.openxmlformats.org/officeDocument/2006/relationships/footer" Target="footer38.xml"/><Relationship Id="rId111" Type="http://schemas.openxmlformats.org/officeDocument/2006/relationships/footer" Target="footer48.xm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1.xml"/><Relationship Id="rId28" Type="http://schemas.openxmlformats.org/officeDocument/2006/relationships/footer" Target="footer7.xml"/><Relationship Id="rId36" Type="http://schemas.openxmlformats.org/officeDocument/2006/relationships/footer" Target="footer10.xml"/><Relationship Id="rId49" Type="http://schemas.openxmlformats.org/officeDocument/2006/relationships/header" Target="header13.xml"/><Relationship Id="rId57" Type="http://schemas.openxmlformats.org/officeDocument/2006/relationships/header" Target="header18.xml"/><Relationship Id="rId106" Type="http://schemas.openxmlformats.org/officeDocument/2006/relationships/footer" Target="footer44.xml"/><Relationship Id="rId114" Type="http://schemas.openxmlformats.org/officeDocument/2006/relationships/footer" Target="footer50.xml"/><Relationship Id="rId119" Type="http://schemas.openxmlformats.org/officeDocument/2006/relationships/footer" Target="footer53.xml"/><Relationship Id="rId127" Type="http://schemas.openxmlformats.org/officeDocument/2006/relationships/footer" Target="footer59.xml"/><Relationship Id="rId10" Type="http://schemas.openxmlformats.org/officeDocument/2006/relationships/footnotes" Target="footnotes.xml"/><Relationship Id="rId31" Type="http://schemas.openxmlformats.org/officeDocument/2006/relationships/header" Target="header4.xml"/><Relationship Id="rId44" Type="http://schemas.openxmlformats.org/officeDocument/2006/relationships/header" Target="header11.xml"/><Relationship Id="rId52" Type="http://schemas.openxmlformats.org/officeDocument/2006/relationships/footer" Target="footer18.xml"/><Relationship Id="rId60" Type="http://schemas.openxmlformats.org/officeDocument/2006/relationships/header" Target="header20.xml"/><Relationship Id="rId65" Type="http://schemas.openxmlformats.org/officeDocument/2006/relationships/header" Target="header22.xml"/><Relationship Id="rId73" Type="http://schemas.openxmlformats.org/officeDocument/2006/relationships/footer" Target="footer27.xml"/><Relationship Id="rId78" Type="http://schemas.openxmlformats.org/officeDocument/2006/relationships/footer" Target="footer29.xml"/><Relationship Id="rId81" Type="http://schemas.openxmlformats.org/officeDocument/2006/relationships/footer" Target="footer31.xml"/><Relationship Id="rId86" Type="http://schemas.openxmlformats.org/officeDocument/2006/relationships/header" Target="header33.xml"/><Relationship Id="rId94" Type="http://schemas.openxmlformats.org/officeDocument/2006/relationships/header" Target="header37.xml"/><Relationship Id="rId99" Type="http://schemas.openxmlformats.org/officeDocument/2006/relationships/footer" Target="footer40.xml"/><Relationship Id="rId101" Type="http://schemas.openxmlformats.org/officeDocument/2006/relationships/header" Target="header41.xml"/><Relationship Id="rId122" Type="http://schemas.openxmlformats.org/officeDocument/2006/relationships/footer" Target="footer55.xml"/><Relationship Id="rId130" Type="http://schemas.openxmlformats.org/officeDocument/2006/relationships/footer" Target="footer6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creativecommons.org/licenses/by/3.0/au/" TargetMode="External"/><Relationship Id="rId18" Type="http://schemas.openxmlformats.org/officeDocument/2006/relationships/footer" Target="footer3.xml"/><Relationship Id="rId39" Type="http://schemas.openxmlformats.org/officeDocument/2006/relationships/footer" Target="footer11.xml"/><Relationship Id="rId109" Type="http://schemas.openxmlformats.org/officeDocument/2006/relationships/footer" Target="footer47.xml"/><Relationship Id="rId34" Type="http://schemas.openxmlformats.org/officeDocument/2006/relationships/footer" Target="footer9.xml"/><Relationship Id="rId50" Type="http://schemas.openxmlformats.org/officeDocument/2006/relationships/header" Target="header14.xml"/><Relationship Id="rId55" Type="http://schemas.openxmlformats.org/officeDocument/2006/relationships/header" Target="header16.xml"/><Relationship Id="rId76" Type="http://schemas.openxmlformats.org/officeDocument/2006/relationships/header" Target="header28.xml"/><Relationship Id="rId97" Type="http://schemas.openxmlformats.org/officeDocument/2006/relationships/footer" Target="footer39.xml"/><Relationship Id="rId104" Type="http://schemas.openxmlformats.org/officeDocument/2006/relationships/header" Target="header42.xml"/><Relationship Id="rId120" Type="http://schemas.openxmlformats.org/officeDocument/2006/relationships/header" Target="header47.xml"/><Relationship Id="rId125" Type="http://schemas.openxmlformats.org/officeDocument/2006/relationships/footer" Target="footer57.xml"/><Relationship Id="rId7" Type="http://schemas.openxmlformats.org/officeDocument/2006/relationships/styles" Target="styles.xml"/><Relationship Id="rId71" Type="http://schemas.openxmlformats.org/officeDocument/2006/relationships/header" Target="header26.xml"/><Relationship Id="rId92" Type="http://schemas.openxmlformats.org/officeDocument/2006/relationships/header" Target="header36.xml"/><Relationship Id="rId2" Type="http://schemas.openxmlformats.org/officeDocument/2006/relationships/customXml" Target="../customXml/item2.xml"/><Relationship Id="rId29" Type="http://schemas.openxmlformats.org/officeDocument/2006/relationships/image" Target="media/image6.emf"/><Relationship Id="rId24" Type="http://schemas.openxmlformats.org/officeDocument/2006/relationships/header" Target="header2.xml"/><Relationship Id="rId40" Type="http://schemas.openxmlformats.org/officeDocument/2006/relationships/footer" Target="footer12.xml"/><Relationship Id="rId45" Type="http://schemas.openxmlformats.org/officeDocument/2006/relationships/footer" Target="footer14.xml"/><Relationship Id="rId66" Type="http://schemas.openxmlformats.org/officeDocument/2006/relationships/header" Target="header23.xml"/><Relationship Id="rId87" Type="http://schemas.openxmlformats.org/officeDocument/2006/relationships/footer" Target="footer34.xml"/><Relationship Id="rId110" Type="http://schemas.openxmlformats.org/officeDocument/2006/relationships/header" Target="header43.xml"/><Relationship Id="rId115" Type="http://schemas.openxmlformats.org/officeDocument/2006/relationships/footer" Target="footer51.xml"/><Relationship Id="rId131" Type="http://schemas.openxmlformats.org/officeDocument/2006/relationships/footer" Target="footer63.xml"/><Relationship Id="rId61" Type="http://schemas.openxmlformats.org/officeDocument/2006/relationships/footer" Target="footer21.xml"/><Relationship Id="rId82" Type="http://schemas.openxmlformats.org/officeDocument/2006/relationships/header" Target="header31.xml"/><Relationship Id="rId19" Type="http://schemas.openxmlformats.org/officeDocument/2006/relationships/footer" Target="footer4.xm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8623868782963647E-2"/>
          <c:y val="5.1353874883286646E-2"/>
          <c:w val="0.88245920166919201"/>
          <c:h val="0.84689560863715563"/>
        </c:manualLayout>
      </c:layout>
      <c:lineChart>
        <c:grouping val="standard"/>
        <c:varyColors val="0"/>
        <c:ser>
          <c:idx val="0"/>
          <c:order val="0"/>
          <c:spPr>
            <a:ln w="19050" cap="rnd">
              <a:solidFill>
                <a:schemeClr val="tx1">
                  <a:lumMod val="75000"/>
                  <a:lumOff val="25000"/>
                </a:schemeClr>
              </a:solidFill>
              <a:round/>
            </a:ln>
            <a:effectLst/>
          </c:spPr>
          <c:marker>
            <c:symbol val="none"/>
          </c:marker>
          <c:cat>
            <c:numRef>
              <c:f>'un rate'!$A$22:$A$559</c:f>
              <c:numCache>
                <c:formatCode>mmm\-yyyy</c:formatCode>
                <c:ptCount val="538"/>
                <c:pt idx="0">
                  <c:v>28856</c:v>
                </c:pt>
                <c:pt idx="1">
                  <c:v>28887</c:v>
                </c:pt>
                <c:pt idx="2">
                  <c:v>28915</c:v>
                </c:pt>
                <c:pt idx="3">
                  <c:v>28946</c:v>
                </c:pt>
                <c:pt idx="4">
                  <c:v>28976</c:v>
                </c:pt>
                <c:pt idx="5">
                  <c:v>29007</c:v>
                </c:pt>
                <c:pt idx="6">
                  <c:v>29037</c:v>
                </c:pt>
                <c:pt idx="7">
                  <c:v>29068</c:v>
                </c:pt>
                <c:pt idx="8">
                  <c:v>29099</c:v>
                </c:pt>
                <c:pt idx="9">
                  <c:v>29129</c:v>
                </c:pt>
                <c:pt idx="10">
                  <c:v>29160</c:v>
                </c:pt>
                <c:pt idx="11">
                  <c:v>29190</c:v>
                </c:pt>
                <c:pt idx="12">
                  <c:v>29221</c:v>
                </c:pt>
                <c:pt idx="13">
                  <c:v>29252</c:v>
                </c:pt>
                <c:pt idx="14">
                  <c:v>29281</c:v>
                </c:pt>
                <c:pt idx="15">
                  <c:v>29312</c:v>
                </c:pt>
                <c:pt idx="16">
                  <c:v>29342</c:v>
                </c:pt>
                <c:pt idx="17">
                  <c:v>29373</c:v>
                </c:pt>
                <c:pt idx="18">
                  <c:v>29403</c:v>
                </c:pt>
                <c:pt idx="19">
                  <c:v>29434</c:v>
                </c:pt>
                <c:pt idx="20">
                  <c:v>29465</c:v>
                </c:pt>
                <c:pt idx="21">
                  <c:v>29495</c:v>
                </c:pt>
                <c:pt idx="22">
                  <c:v>29526</c:v>
                </c:pt>
                <c:pt idx="23">
                  <c:v>29556</c:v>
                </c:pt>
                <c:pt idx="24">
                  <c:v>29587</c:v>
                </c:pt>
                <c:pt idx="25">
                  <c:v>29618</c:v>
                </c:pt>
                <c:pt idx="26">
                  <c:v>29646</c:v>
                </c:pt>
                <c:pt idx="27">
                  <c:v>29677</c:v>
                </c:pt>
                <c:pt idx="28">
                  <c:v>29707</c:v>
                </c:pt>
                <c:pt idx="29">
                  <c:v>29738</c:v>
                </c:pt>
                <c:pt idx="30">
                  <c:v>29768</c:v>
                </c:pt>
                <c:pt idx="31">
                  <c:v>29799</c:v>
                </c:pt>
                <c:pt idx="32">
                  <c:v>29830</c:v>
                </c:pt>
                <c:pt idx="33">
                  <c:v>29860</c:v>
                </c:pt>
                <c:pt idx="34">
                  <c:v>29891</c:v>
                </c:pt>
                <c:pt idx="35">
                  <c:v>29921</c:v>
                </c:pt>
                <c:pt idx="36">
                  <c:v>29952</c:v>
                </c:pt>
                <c:pt idx="37">
                  <c:v>29983</c:v>
                </c:pt>
                <c:pt idx="38">
                  <c:v>30011</c:v>
                </c:pt>
                <c:pt idx="39">
                  <c:v>30042</c:v>
                </c:pt>
                <c:pt idx="40">
                  <c:v>30072</c:v>
                </c:pt>
                <c:pt idx="41">
                  <c:v>30103</c:v>
                </c:pt>
                <c:pt idx="42">
                  <c:v>30133</c:v>
                </c:pt>
                <c:pt idx="43">
                  <c:v>30164</c:v>
                </c:pt>
                <c:pt idx="44">
                  <c:v>30195</c:v>
                </c:pt>
                <c:pt idx="45">
                  <c:v>30225</c:v>
                </c:pt>
                <c:pt idx="46">
                  <c:v>30256</c:v>
                </c:pt>
                <c:pt idx="47">
                  <c:v>30286</c:v>
                </c:pt>
                <c:pt idx="48">
                  <c:v>30317</c:v>
                </c:pt>
                <c:pt idx="49">
                  <c:v>30348</c:v>
                </c:pt>
                <c:pt idx="50">
                  <c:v>30376</c:v>
                </c:pt>
                <c:pt idx="51">
                  <c:v>30407</c:v>
                </c:pt>
                <c:pt idx="52">
                  <c:v>30437</c:v>
                </c:pt>
                <c:pt idx="53">
                  <c:v>30468</c:v>
                </c:pt>
                <c:pt idx="54">
                  <c:v>30498</c:v>
                </c:pt>
                <c:pt idx="55">
                  <c:v>30529</c:v>
                </c:pt>
                <c:pt idx="56">
                  <c:v>30560</c:v>
                </c:pt>
                <c:pt idx="57">
                  <c:v>30590</c:v>
                </c:pt>
                <c:pt idx="58">
                  <c:v>30621</c:v>
                </c:pt>
                <c:pt idx="59">
                  <c:v>30651</c:v>
                </c:pt>
                <c:pt idx="60">
                  <c:v>30682</c:v>
                </c:pt>
                <c:pt idx="61">
                  <c:v>30713</c:v>
                </c:pt>
                <c:pt idx="62">
                  <c:v>30742</c:v>
                </c:pt>
                <c:pt idx="63">
                  <c:v>30773</c:v>
                </c:pt>
                <c:pt idx="64">
                  <c:v>30803</c:v>
                </c:pt>
                <c:pt idx="65">
                  <c:v>30834</c:v>
                </c:pt>
                <c:pt idx="66">
                  <c:v>30864</c:v>
                </c:pt>
                <c:pt idx="67">
                  <c:v>30895</c:v>
                </c:pt>
                <c:pt idx="68">
                  <c:v>30926</c:v>
                </c:pt>
                <c:pt idx="69">
                  <c:v>30956</c:v>
                </c:pt>
                <c:pt idx="70">
                  <c:v>30987</c:v>
                </c:pt>
                <c:pt idx="71">
                  <c:v>31017</c:v>
                </c:pt>
                <c:pt idx="72">
                  <c:v>31048</c:v>
                </c:pt>
                <c:pt idx="73">
                  <c:v>31079</c:v>
                </c:pt>
                <c:pt idx="74">
                  <c:v>31107</c:v>
                </c:pt>
                <c:pt idx="75">
                  <c:v>31138</c:v>
                </c:pt>
                <c:pt idx="76">
                  <c:v>31168</c:v>
                </c:pt>
                <c:pt idx="77">
                  <c:v>31199</c:v>
                </c:pt>
                <c:pt idx="78">
                  <c:v>31229</c:v>
                </c:pt>
                <c:pt idx="79">
                  <c:v>31260</c:v>
                </c:pt>
                <c:pt idx="80">
                  <c:v>31291</c:v>
                </c:pt>
                <c:pt idx="81">
                  <c:v>31321</c:v>
                </c:pt>
                <c:pt idx="82">
                  <c:v>31352</c:v>
                </c:pt>
                <c:pt idx="83">
                  <c:v>31382</c:v>
                </c:pt>
                <c:pt idx="84">
                  <c:v>31413</c:v>
                </c:pt>
                <c:pt idx="85">
                  <c:v>31444</c:v>
                </c:pt>
                <c:pt idx="86">
                  <c:v>31472</c:v>
                </c:pt>
                <c:pt idx="87">
                  <c:v>31503</c:v>
                </c:pt>
                <c:pt idx="88">
                  <c:v>31533</c:v>
                </c:pt>
                <c:pt idx="89">
                  <c:v>31564</c:v>
                </c:pt>
                <c:pt idx="90">
                  <c:v>31594</c:v>
                </c:pt>
                <c:pt idx="91">
                  <c:v>31625</c:v>
                </c:pt>
                <c:pt idx="92">
                  <c:v>31656</c:v>
                </c:pt>
                <c:pt idx="93">
                  <c:v>31686</c:v>
                </c:pt>
                <c:pt idx="94">
                  <c:v>31717</c:v>
                </c:pt>
                <c:pt idx="95">
                  <c:v>31747</c:v>
                </c:pt>
                <c:pt idx="96">
                  <c:v>31778</c:v>
                </c:pt>
                <c:pt idx="97">
                  <c:v>31809</c:v>
                </c:pt>
                <c:pt idx="98">
                  <c:v>31837</c:v>
                </c:pt>
                <c:pt idx="99">
                  <c:v>31868</c:v>
                </c:pt>
                <c:pt idx="100">
                  <c:v>31898</c:v>
                </c:pt>
                <c:pt idx="101">
                  <c:v>31929</c:v>
                </c:pt>
                <c:pt idx="102">
                  <c:v>31959</c:v>
                </c:pt>
                <c:pt idx="103">
                  <c:v>31990</c:v>
                </c:pt>
                <c:pt idx="104">
                  <c:v>32021</c:v>
                </c:pt>
                <c:pt idx="105">
                  <c:v>32051</c:v>
                </c:pt>
                <c:pt idx="106">
                  <c:v>32082</c:v>
                </c:pt>
                <c:pt idx="107">
                  <c:v>32112</c:v>
                </c:pt>
                <c:pt idx="108">
                  <c:v>32143</c:v>
                </c:pt>
                <c:pt idx="109">
                  <c:v>32174</c:v>
                </c:pt>
                <c:pt idx="110">
                  <c:v>32203</c:v>
                </c:pt>
                <c:pt idx="111">
                  <c:v>32234</c:v>
                </c:pt>
                <c:pt idx="112">
                  <c:v>32264</c:v>
                </c:pt>
                <c:pt idx="113">
                  <c:v>32295</c:v>
                </c:pt>
                <c:pt idx="114">
                  <c:v>32325</c:v>
                </c:pt>
                <c:pt idx="115">
                  <c:v>32356</c:v>
                </c:pt>
                <c:pt idx="116">
                  <c:v>32387</c:v>
                </c:pt>
                <c:pt idx="117">
                  <c:v>32417</c:v>
                </c:pt>
                <c:pt idx="118">
                  <c:v>32448</c:v>
                </c:pt>
                <c:pt idx="119">
                  <c:v>32478</c:v>
                </c:pt>
                <c:pt idx="120">
                  <c:v>32509</c:v>
                </c:pt>
                <c:pt idx="121">
                  <c:v>32540</c:v>
                </c:pt>
                <c:pt idx="122">
                  <c:v>32568</c:v>
                </c:pt>
                <c:pt idx="123">
                  <c:v>32599</c:v>
                </c:pt>
                <c:pt idx="124">
                  <c:v>32629</c:v>
                </c:pt>
                <c:pt idx="125">
                  <c:v>32660</c:v>
                </c:pt>
                <c:pt idx="126">
                  <c:v>32690</c:v>
                </c:pt>
                <c:pt idx="127">
                  <c:v>32721</c:v>
                </c:pt>
                <c:pt idx="128">
                  <c:v>32752</c:v>
                </c:pt>
                <c:pt idx="129">
                  <c:v>32782</c:v>
                </c:pt>
                <c:pt idx="130">
                  <c:v>32813</c:v>
                </c:pt>
                <c:pt idx="131">
                  <c:v>32843</c:v>
                </c:pt>
                <c:pt idx="132">
                  <c:v>32874</c:v>
                </c:pt>
                <c:pt idx="133">
                  <c:v>32905</c:v>
                </c:pt>
                <c:pt idx="134">
                  <c:v>32933</c:v>
                </c:pt>
                <c:pt idx="135">
                  <c:v>32964</c:v>
                </c:pt>
                <c:pt idx="136">
                  <c:v>32994</c:v>
                </c:pt>
                <c:pt idx="137">
                  <c:v>33025</c:v>
                </c:pt>
                <c:pt idx="138">
                  <c:v>33055</c:v>
                </c:pt>
                <c:pt idx="139">
                  <c:v>33086</c:v>
                </c:pt>
                <c:pt idx="140">
                  <c:v>33117</c:v>
                </c:pt>
                <c:pt idx="141">
                  <c:v>33147</c:v>
                </c:pt>
                <c:pt idx="142">
                  <c:v>33178</c:v>
                </c:pt>
                <c:pt idx="143">
                  <c:v>33208</c:v>
                </c:pt>
                <c:pt idx="144">
                  <c:v>33239</c:v>
                </c:pt>
                <c:pt idx="145">
                  <c:v>33270</c:v>
                </c:pt>
                <c:pt idx="146">
                  <c:v>33298</c:v>
                </c:pt>
                <c:pt idx="147">
                  <c:v>33329</c:v>
                </c:pt>
                <c:pt idx="148">
                  <c:v>33359</c:v>
                </c:pt>
                <c:pt idx="149">
                  <c:v>33390</c:v>
                </c:pt>
                <c:pt idx="150">
                  <c:v>33420</c:v>
                </c:pt>
                <c:pt idx="151">
                  <c:v>33451</c:v>
                </c:pt>
                <c:pt idx="152">
                  <c:v>33482</c:v>
                </c:pt>
                <c:pt idx="153">
                  <c:v>33512</c:v>
                </c:pt>
                <c:pt idx="154">
                  <c:v>33543</c:v>
                </c:pt>
                <c:pt idx="155">
                  <c:v>33573</c:v>
                </c:pt>
                <c:pt idx="156">
                  <c:v>33604</c:v>
                </c:pt>
                <c:pt idx="157">
                  <c:v>33635</c:v>
                </c:pt>
                <c:pt idx="158">
                  <c:v>33664</c:v>
                </c:pt>
                <c:pt idx="159">
                  <c:v>33695</c:v>
                </c:pt>
                <c:pt idx="160">
                  <c:v>33725</c:v>
                </c:pt>
                <c:pt idx="161">
                  <c:v>33756</c:v>
                </c:pt>
                <c:pt idx="162">
                  <c:v>33786</c:v>
                </c:pt>
                <c:pt idx="163">
                  <c:v>33817</c:v>
                </c:pt>
                <c:pt idx="164">
                  <c:v>33848</c:v>
                </c:pt>
                <c:pt idx="165">
                  <c:v>33878</c:v>
                </c:pt>
                <c:pt idx="166">
                  <c:v>33909</c:v>
                </c:pt>
                <c:pt idx="167">
                  <c:v>33939</c:v>
                </c:pt>
                <c:pt idx="168">
                  <c:v>33970</c:v>
                </c:pt>
                <c:pt idx="169">
                  <c:v>34001</c:v>
                </c:pt>
                <c:pt idx="170">
                  <c:v>34029</c:v>
                </c:pt>
                <c:pt idx="171">
                  <c:v>34060</c:v>
                </c:pt>
                <c:pt idx="172">
                  <c:v>34090</c:v>
                </c:pt>
                <c:pt idx="173">
                  <c:v>34121</c:v>
                </c:pt>
                <c:pt idx="174">
                  <c:v>34151</c:v>
                </c:pt>
                <c:pt idx="175">
                  <c:v>34182</c:v>
                </c:pt>
                <c:pt idx="176">
                  <c:v>34213</c:v>
                </c:pt>
                <c:pt idx="177">
                  <c:v>34243</c:v>
                </c:pt>
                <c:pt idx="178">
                  <c:v>34274</c:v>
                </c:pt>
                <c:pt idx="179">
                  <c:v>34304</c:v>
                </c:pt>
                <c:pt idx="180">
                  <c:v>34335</c:v>
                </c:pt>
                <c:pt idx="181">
                  <c:v>34366</c:v>
                </c:pt>
                <c:pt idx="182">
                  <c:v>34394</c:v>
                </c:pt>
                <c:pt idx="183">
                  <c:v>34425</c:v>
                </c:pt>
                <c:pt idx="184">
                  <c:v>34455</c:v>
                </c:pt>
                <c:pt idx="185">
                  <c:v>34486</c:v>
                </c:pt>
                <c:pt idx="186">
                  <c:v>34516</c:v>
                </c:pt>
                <c:pt idx="187">
                  <c:v>34547</c:v>
                </c:pt>
                <c:pt idx="188">
                  <c:v>34578</c:v>
                </c:pt>
                <c:pt idx="189">
                  <c:v>34608</c:v>
                </c:pt>
                <c:pt idx="190">
                  <c:v>34639</c:v>
                </c:pt>
                <c:pt idx="191">
                  <c:v>34669</c:v>
                </c:pt>
                <c:pt idx="192">
                  <c:v>34700</c:v>
                </c:pt>
                <c:pt idx="193">
                  <c:v>34731</c:v>
                </c:pt>
                <c:pt idx="194">
                  <c:v>34759</c:v>
                </c:pt>
                <c:pt idx="195">
                  <c:v>34790</c:v>
                </c:pt>
                <c:pt idx="196">
                  <c:v>34820</c:v>
                </c:pt>
                <c:pt idx="197">
                  <c:v>34851</c:v>
                </c:pt>
                <c:pt idx="198">
                  <c:v>34881</c:v>
                </c:pt>
                <c:pt idx="199">
                  <c:v>34912</c:v>
                </c:pt>
                <c:pt idx="200">
                  <c:v>34943</c:v>
                </c:pt>
                <c:pt idx="201">
                  <c:v>34973</c:v>
                </c:pt>
                <c:pt idx="202">
                  <c:v>35004</c:v>
                </c:pt>
                <c:pt idx="203">
                  <c:v>35034</c:v>
                </c:pt>
                <c:pt idx="204">
                  <c:v>35065</c:v>
                </c:pt>
                <c:pt idx="205">
                  <c:v>35096</c:v>
                </c:pt>
                <c:pt idx="206">
                  <c:v>35125</c:v>
                </c:pt>
                <c:pt idx="207">
                  <c:v>35156</c:v>
                </c:pt>
                <c:pt idx="208">
                  <c:v>35186</c:v>
                </c:pt>
                <c:pt idx="209">
                  <c:v>35217</c:v>
                </c:pt>
                <c:pt idx="210">
                  <c:v>35247</c:v>
                </c:pt>
                <c:pt idx="211">
                  <c:v>35278</c:v>
                </c:pt>
                <c:pt idx="212">
                  <c:v>35309</c:v>
                </c:pt>
                <c:pt idx="213">
                  <c:v>35339</c:v>
                </c:pt>
                <c:pt idx="214">
                  <c:v>35370</c:v>
                </c:pt>
                <c:pt idx="215">
                  <c:v>35400</c:v>
                </c:pt>
                <c:pt idx="216">
                  <c:v>35431</c:v>
                </c:pt>
                <c:pt idx="217">
                  <c:v>35462</c:v>
                </c:pt>
                <c:pt idx="218">
                  <c:v>35490</c:v>
                </c:pt>
                <c:pt idx="219">
                  <c:v>35521</c:v>
                </c:pt>
                <c:pt idx="220">
                  <c:v>35551</c:v>
                </c:pt>
                <c:pt idx="221">
                  <c:v>35582</c:v>
                </c:pt>
                <c:pt idx="222">
                  <c:v>35612</c:v>
                </c:pt>
                <c:pt idx="223">
                  <c:v>35643</c:v>
                </c:pt>
                <c:pt idx="224">
                  <c:v>35674</c:v>
                </c:pt>
                <c:pt idx="225">
                  <c:v>35704</c:v>
                </c:pt>
                <c:pt idx="226">
                  <c:v>35735</c:v>
                </c:pt>
                <c:pt idx="227">
                  <c:v>35765</c:v>
                </c:pt>
                <c:pt idx="228">
                  <c:v>35796</c:v>
                </c:pt>
                <c:pt idx="229">
                  <c:v>35827</c:v>
                </c:pt>
                <c:pt idx="230">
                  <c:v>35855</c:v>
                </c:pt>
                <c:pt idx="231">
                  <c:v>35886</c:v>
                </c:pt>
                <c:pt idx="232">
                  <c:v>35916</c:v>
                </c:pt>
                <c:pt idx="233">
                  <c:v>35947</c:v>
                </c:pt>
                <c:pt idx="234">
                  <c:v>35977</c:v>
                </c:pt>
                <c:pt idx="235">
                  <c:v>36008</c:v>
                </c:pt>
                <c:pt idx="236">
                  <c:v>36039</c:v>
                </c:pt>
                <c:pt idx="237">
                  <c:v>36069</c:v>
                </c:pt>
                <c:pt idx="238">
                  <c:v>36100</c:v>
                </c:pt>
                <c:pt idx="239">
                  <c:v>36130</c:v>
                </c:pt>
                <c:pt idx="240">
                  <c:v>36161</c:v>
                </c:pt>
                <c:pt idx="241">
                  <c:v>36192</c:v>
                </c:pt>
                <c:pt idx="242">
                  <c:v>36220</c:v>
                </c:pt>
                <c:pt idx="243">
                  <c:v>36251</c:v>
                </c:pt>
                <c:pt idx="244">
                  <c:v>36281</c:v>
                </c:pt>
                <c:pt idx="245">
                  <c:v>36312</c:v>
                </c:pt>
                <c:pt idx="246">
                  <c:v>36342</c:v>
                </c:pt>
                <c:pt idx="247">
                  <c:v>36373</c:v>
                </c:pt>
                <c:pt idx="248">
                  <c:v>36404</c:v>
                </c:pt>
                <c:pt idx="249">
                  <c:v>36434</c:v>
                </c:pt>
                <c:pt idx="250">
                  <c:v>36465</c:v>
                </c:pt>
                <c:pt idx="251">
                  <c:v>36495</c:v>
                </c:pt>
                <c:pt idx="252">
                  <c:v>36526</c:v>
                </c:pt>
                <c:pt idx="253">
                  <c:v>36557</c:v>
                </c:pt>
                <c:pt idx="254">
                  <c:v>36586</c:v>
                </c:pt>
                <c:pt idx="255">
                  <c:v>36617</c:v>
                </c:pt>
                <c:pt idx="256">
                  <c:v>36647</c:v>
                </c:pt>
                <c:pt idx="257">
                  <c:v>36678</c:v>
                </c:pt>
                <c:pt idx="258">
                  <c:v>36708</c:v>
                </c:pt>
                <c:pt idx="259">
                  <c:v>36739</c:v>
                </c:pt>
                <c:pt idx="260">
                  <c:v>36770</c:v>
                </c:pt>
                <c:pt idx="261">
                  <c:v>36800</c:v>
                </c:pt>
                <c:pt idx="262">
                  <c:v>36831</c:v>
                </c:pt>
                <c:pt idx="263">
                  <c:v>36861</c:v>
                </c:pt>
                <c:pt idx="264">
                  <c:v>36892</c:v>
                </c:pt>
                <c:pt idx="265">
                  <c:v>36923</c:v>
                </c:pt>
                <c:pt idx="266">
                  <c:v>36951</c:v>
                </c:pt>
                <c:pt idx="267">
                  <c:v>36982</c:v>
                </c:pt>
                <c:pt idx="268">
                  <c:v>37012</c:v>
                </c:pt>
                <c:pt idx="269">
                  <c:v>37043</c:v>
                </c:pt>
                <c:pt idx="270">
                  <c:v>37073</c:v>
                </c:pt>
                <c:pt idx="271">
                  <c:v>37104</c:v>
                </c:pt>
                <c:pt idx="272">
                  <c:v>37135</c:v>
                </c:pt>
                <c:pt idx="273">
                  <c:v>37165</c:v>
                </c:pt>
                <c:pt idx="274">
                  <c:v>37196</c:v>
                </c:pt>
                <c:pt idx="275">
                  <c:v>37226</c:v>
                </c:pt>
                <c:pt idx="276">
                  <c:v>37257</c:v>
                </c:pt>
                <c:pt idx="277">
                  <c:v>37288</c:v>
                </c:pt>
                <c:pt idx="278">
                  <c:v>37316</c:v>
                </c:pt>
                <c:pt idx="279">
                  <c:v>37347</c:v>
                </c:pt>
                <c:pt idx="280">
                  <c:v>37377</c:v>
                </c:pt>
                <c:pt idx="281">
                  <c:v>37408</c:v>
                </c:pt>
                <c:pt idx="282">
                  <c:v>37438</c:v>
                </c:pt>
                <c:pt idx="283">
                  <c:v>37469</c:v>
                </c:pt>
                <c:pt idx="284">
                  <c:v>37500</c:v>
                </c:pt>
                <c:pt idx="285">
                  <c:v>37530</c:v>
                </c:pt>
                <c:pt idx="286">
                  <c:v>37561</c:v>
                </c:pt>
                <c:pt idx="287">
                  <c:v>37591</c:v>
                </c:pt>
                <c:pt idx="288">
                  <c:v>37622</c:v>
                </c:pt>
                <c:pt idx="289">
                  <c:v>37653</c:v>
                </c:pt>
                <c:pt idx="290">
                  <c:v>37681</c:v>
                </c:pt>
                <c:pt idx="291">
                  <c:v>37712</c:v>
                </c:pt>
                <c:pt idx="292">
                  <c:v>37742</c:v>
                </c:pt>
                <c:pt idx="293">
                  <c:v>37773</c:v>
                </c:pt>
                <c:pt idx="294">
                  <c:v>37803</c:v>
                </c:pt>
                <c:pt idx="295">
                  <c:v>37834</c:v>
                </c:pt>
                <c:pt idx="296">
                  <c:v>37865</c:v>
                </c:pt>
                <c:pt idx="297">
                  <c:v>37895</c:v>
                </c:pt>
                <c:pt idx="298">
                  <c:v>37926</c:v>
                </c:pt>
                <c:pt idx="299">
                  <c:v>37956</c:v>
                </c:pt>
                <c:pt idx="300">
                  <c:v>37987</c:v>
                </c:pt>
                <c:pt idx="301">
                  <c:v>38018</c:v>
                </c:pt>
                <c:pt idx="302">
                  <c:v>38047</c:v>
                </c:pt>
                <c:pt idx="303">
                  <c:v>38078</c:v>
                </c:pt>
                <c:pt idx="304">
                  <c:v>38108</c:v>
                </c:pt>
                <c:pt idx="305">
                  <c:v>38139</c:v>
                </c:pt>
                <c:pt idx="306">
                  <c:v>38169</c:v>
                </c:pt>
                <c:pt idx="307">
                  <c:v>38200</c:v>
                </c:pt>
                <c:pt idx="308">
                  <c:v>38231</c:v>
                </c:pt>
                <c:pt idx="309">
                  <c:v>38261</c:v>
                </c:pt>
                <c:pt idx="310">
                  <c:v>38292</c:v>
                </c:pt>
                <c:pt idx="311">
                  <c:v>38322</c:v>
                </c:pt>
                <c:pt idx="312">
                  <c:v>38353</c:v>
                </c:pt>
                <c:pt idx="313">
                  <c:v>38384</c:v>
                </c:pt>
                <c:pt idx="314">
                  <c:v>38412</c:v>
                </c:pt>
                <c:pt idx="315">
                  <c:v>38443</c:v>
                </c:pt>
                <c:pt idx="316">
                  <c:v>38473</c:v>
                </c:pt>
                <c:pt idx="317">
                  <c:v>38504</c:v>
                </c:pt>
                <c:pt idx="318">
                  <c:v>38534</c:v>
                </c:pt>
                <c:pt idx="319">
                  <c:v>38565</c:v>
                </c:pt>
                <c:pt idx="320">
                  <c:v>38596</c:v>
                </c:pt>
                <c:pt idx="321">
                  <c:v>38626</c:v>
                </c:pt>
                <c:pt idx="322">
                  <c:v>38657</c:v>
                </c:pt>
                <c:pt idx="323">
                  <c:v>38687</c:v>
                </c:pt>
                <c:pt idx="324">
                  <c:v>38718</c:v>
                </c:pt>
                <c:pt idx="325">
                  <c:v>38749</c:v>
                </c:pt>
                <c:pt idx="326">
                  <c:v>38777</c:v>
                </c:pt>
                <c:pt idx="327">
                  <c:v>38808</c:v>
                </c:pt>
                <c:pt idx="328">
                  <c:v>38838</c:v>
                </c:pt>
                <c:pt idx="329">
                  <c:v>38869</c:v>
                </c:pt>
                <c:pt idx="330">
                  <c:v>38899</c:v>
                </c:pt>
                <c:pt idx="331">
                  <c:v>38930</c:v>
                </c:pt>
                <c:pt idx="332">
                  <c:v>38961</c:v>
                </c:pt>
                <c:pt idx="333">
                  <c:v>38991</c:v>
                </c:pt>
                <c:pt idx="334">
                  <c:v>39022</c:v>
                </c:pt>
                <c:pt idx="335">
                  <c:v>39052</c:v>
                </c:pt>
                <c:pt idx="336">
                  <c:v>39083</c:v>
                </c:pt>
                <c:pt idx="337">
                  <c:v>39114</c:v>
                </c:pt>
                <c:pt idx="338">
                  <c:v>39142</c:v>
                </c:pt>
                <c:pt idx="339">
                  <c:v>39173</c:v>
                </c:pt>
                <c:pt idx="340">
                  <c:v>39203</c:v>
                </c:pt>
                <c:pt idx="341">
                  <c:v>39234</c:v>
                </c:pt>
                <c:pt idx="342">
                  <c:v>39264</c:v>
                </c:pt>
                <c:pt idx="343">
                  <c:v>39295</c:v>
                </c:pt>
                <c:pt idx="344">
                  <c:v>39326</c:v>
                </c:pt>
                <c:pt idx="345">
                  <c:v>39356</c:v>
                </c:pt>
                <c:pt idx="346">
                  <c:v>39387</c:v>
                </c:pt>
                <c:pt idx="347">
                  <c:v>39417</c:v>
                </c:pt>
                <c:pt idx="348">
                  <c:v>39448</c:v>
                </c:pt>
                <c:pt idx="349">
                  <c:v>39479</c:v>
                </c:pt>
                <c:pt idx="350">
                  <c:v>39508</c:v>
                </c:pt>
                <c:pt idx="351">
                  <c:v>39539</c:v>
                </c:pt>
                <c:pt idx="352">
                  <c:v>39569</c:v>
                </c:pt>
                <c:pt idx="353">
                  <c:v>39600</c:v>
                </c:pt>
                <c:pt idx="354">
                  <c:v>39630</c:v>
                </c:pt>
                <c:pt idx="355">
                  <c:v>39661</c:v>
                </c:pt>
                <c:pt idx="356">
                  <c:v>39692</c:v>
                </c:pt>
                <c:pt idx="357">
                  <c:v>39722</c:v>
                </c:pt>
                <c:pt idx="358">
                  <c:v>39753</c:v>
                </c:pt>
                <c:pt idx="359">
                  <c:v>39783</c:v>
                </c:pt>
                <c:pt idx="360">
                  <c:v>39814</c:v>
                </c:pt>
                <c:pt idx="361">
                  <c:v>39845</c:v>
                </c:pt>
                <c:pt idx="362">
                  <c:v>39873</c:v>
                </c:pt>
                <c:pt idx="363">
                  <c:v>39904</c:v>
                </c:pt>
                <c:pt idx="364">
                  <c:v>39934</c:v>
                </c:pt>
                <c:pt idx="365">
                  <c:v>39965</c:v>
                </c:pt>
                <c:pt idx="366">
                  <c:v>39995</c:v>
                </c:pt>
                <c:pt idx="367">
                  <c:v>40026</c:v>
                </c:pt>
                <c:pt idx="368">
                  <c:v>40057</c:v>
                </c:pt>
                <c:pt idx="369">
                  <c:v>40087</c:v>
                </c:pt>
                <c:pt idx="370">
                  <c:v>40118</c:v>
                </c:pt>
                <c:pt idx="371">
                  <c:v>40148</c:v>
                </c:pt>
                <c:pt idx="372">
                  <c:v>40179</c:v>
                </c:pt>
                <c:pt idx="373">
                  <c:v>40210</c:v>
                </c:pt>
                <c:pt idx="374">
                  <c:v>40238</c:v>
                </c:pt>
                <c:pt idx="375">
                  <c:v>40269</c:v>
                </c:pt>
                <c:pt idx="376">
                  <c:v>40299</c:v>
                </c:pt>
                <c:pt idx="377">
                  <c:v>40330</c:v>
                </c:pt>
                <c:pt idx="378">
                  <c:v>40360</c:v>
                </c:pt>
                <c:pt idx="379">
                  <c:v>40391</c:v>
                </c:pt>
                <c:pt idx="380">
                  <c:v>40422</c:v>
                </c:pt>
                <c:pt idx="381">
                  <c:v>40452</c:v>
                </c:pt>
                <c:pt idx="382">
                  <c:v>40483</c:v>
                </c:pt>
                <c:pt idx="383">
                  <c:v>40513</c:v>
                </c:pt>
                <c:pt idx="384">
                  <c:v>40544</c:v>
                </c:pt>
                <c:pt idx="385">
                  <c:v>40575</c:v>
                </c:pt>
                <c:pt idx="386">
                  <c:v>40603</c:v>
                </c:pt>
                <c:pt idx="387">
                  <c:v>40634</c:v>
                </c:pt>
                <c:pt idx="388">
                  <c:v>40664</c:v>
                </c:pt>
                <c:pt idx="389">
                  <c:v>40695</c:v>
                </c:pt>
                <c:pt idx="390">
                  <c:v>40725</c:v>
                </c:pt>
                <c:pt idx="391">
                  <c:v>40756</c:v>
                </c:pt>
                <c:pt idx="392">
                  <c:v>40787</c:v>
                </c:pt>
                <c:pt idx="393">
                  <c:v>40817</c:v>
                </c:pt>
                <c:pt idx="394">
                  <c:v>40848</c:v>
                </c:pt>
                <c:pt idx="395">
                  <c:v>40878</c:v>
                </c:pt>
                <c:pt idx="396">
                  <c:v>40909</c:v>
                </c:pt>
                <c:pt idx="397">
                  <c:v>40940</c:v>
                </c:pt>
                <c:pt idx="398">
                  <c:v>40969</c:v>
                </c:pt>
                <c:pt idx="399">
                  <c:v>41000</c:v>
                </c:pt>
                <c:pt idx="400">
                  <c:v>41030</c:v>
                </c:pt>
                <c:pt idx="401">
                  <c:v>41061</c:v>
                </c:pt>
                <c:pt idx="402">
                  <c:v>41091</c:v>
                </c:pt>
                <c:pt idx="403">
                  <c:v>41122</c:v>
                </c:pt>
                <c:pt idx="404">
                  <c:v>41153</c:v>
                </c:pt>
                <c:pt idx="405">
                  <c:v>41183</c:v>
                </c:pt>
                <c:pt idx="406">
                  <c:v>41214</c:v>
                </c:pt>
                <c:pt idx="407">
                  <c:v>41244</c:v>
                </c:pt>
                <c:pt idx="408">
                  <c:v>41275</c:v>
                </c:pt>
                <c:pt idx="409">
                  <c:v>41306</c:v>
                </c:pt>
                <c:pt idx="410">
                  <c:v>41334</c:v>
                </c:pt>
                <c:pt idx="411">
                  <c:v>41365</c:v>
                </c:pt>
                <c:pt idx="412">
                  <c:v>41395</c:v>
                </c:pt>
                <c:pt idx="413">
                  <c:v>41426</c:v>
                </c:pt>
                <c:pt idx="414">
                  <c:v>41456</c:v>
                </c:pt>
                <c:pt idx="415">
                  <c:v>41487</c:v>
                </c:pt>
                <c:pt idx="416">
                  <c:v>41518</c:v>
                </c:pt>
                <c:pt idx="417">
                  <c:v>41548</c:v>
                </c:pt>
                <c:pt idx="418">
                  <c:v>41579</c:v>
                </c:pt>
                <c:pt idx="419">
                  <c:v>41609</c:v>
                </c:pt>
                <c:pt idx="420">
                  <c:v>41640</c:v>
                </c:pt>
                <c:pt idx="421">
                  <c:v>41671</c:v>
                </c:pt>
                <c:pt idx="422">
                  <c:v>41699</c:v>
                </c:pt>
                <c:pt idx="423">
                  <c:v>41730</c:v>
                </c:pt>
                <c:pt idx="424">
                  <c:v>41760</c:v>
                </c:pt>
                <c:pt idx="425">
                  <c:v>41791</c:v>
                </c:pt>
                <c:pt idx="426">
                  <c:v>41821</c:v>
                </c:pt>
                <c:pt idx="427">
                  <c:v>41852</c:v>
                </c:pt>
                <c:pt idx="428">
                  <c:v>41883</c:v>
                </c:pt>
                <c:pt idx="429">
                  <c:v>41913</c:v>
                </c:pt>
                <c:pt idx="430">
                  <c:v>41944</c:v>
                </c:pt>
                <c:pt idx="431">
                  <c:v>41974</c:v>
                </c:pt>
                <c:pt idx="432">
                  <c:v>42005</c:v>
                </c:pt>
                <c:pt idx="433">
                  <c:v>42036</c:v>
                </c:pt>
                <c:pt idx="434">
                  <c:v>42064</c:v>
                </c:pt>
                <c:pt idx="435">
                  <c:v>42095</c:v>
                </c:pt>
                <c:pt idx="436">
                  <c:v>42125</c:v>
                </c:pt>
                <c:pt idx="437">
                  <c:v>42156</c:v>
                </c:pt>
                <c:pt idx="438">
                  <c:v>42186</c:v>
                </c:pt>
                <c:pt idx="439">
                  <c:v>42217</c:v>
                </c:pt>
                <c:pt idx="440">
                  <c:v>42248</c:v>
                </c:pt>
                <c:pt idx="441">
                  <c:v>42278</c:v>
                </c:pt>
                <c:pt idx="442">
                  <c:v>42309</c:v>
                </c:pt>
                <c:pt idx="443">
                  <c:v>42339</c:v>
                </c:pt>
                <c:pt idx="444">
                  <c:v>42370</c:v>
                </c:pt>
                <c:pt idx="445">
                  <c:v>42401</c:v>
                </c:pt>
                <c:pt idx="446">
                  <c:v>42430</c:v>
                </c:pt>
                <c:pt idx="447">
                  <c:v>42461</c:v>
                </c:pt>
                <c:pt idx="448">
                  <c:v>42491</c:v>
                </c:pt>
                <c:pt idx="449">
                  <c:v>42522</c:v>
                </c:pt>
                <c:pt idx="450">
                  <c:v>42552</c:v>
                </c:pt>
                <c:pt idx="451">
                  <c:v>42583</c:v>
                </c:pt>
                <c:pt idx="452">
                  <c:v>42614</c:v>
                </c:pt>
                <c:pt idx="453">
                  <c:v>42644</c:v>
                </c:pt>
                <c:pt idx="454">
                  <c:v>42675</c:v>
                </c:pt>
                <c:pt idx="455">
                  <c:v>42705</c:v>
                </c:pt>
                <c:pt idx="456">
                  <c:v>42736</c:v>
                </c:pt>
                <c:pt idx="457">
                  <c:v>42767</c:v>
                </c:pt>
                <c:pt idx="458">
                  <c:v>42795</c:v>
                </c:pt>
                <c:pt idx="459">
                  <c:v>42826</c:v>
                </c:pt>
                <c:pt idx="460">
                  <c:v>42856</c:v>
                </c:pt>
                <c:pt idx="461">
                  <c:v>42887</c:v>
                </c:pt>
                <c:pt idx="462">
                  <c:v>42917</c:v>
                </c:pt>
                <c:pt idx="463">
                  <c:v>42948</c:v>
                </c:pt>
                <c:pt idx="464">
                  <c:v>42979</c:v>
                </c:pt>
                <c:pt idx="465">
                  <c:v>43009</c:v>
                </c:pt>
                <c:pt idx="466">
                  <c:v>43040</c:v>
                </c:pt>
                <c:pt idx="467">
                  <c:v>43070</c:v>
                </c:pt>
                <c:pt idx="468">
                  <c:v>43101</c:v>
                </c:pt>
                <c:pt idx="469">
                  <c:v>43132</c:v>
                </c:pt>
                <c:pt idx="470">
                  <c:v>43160</c:v>
                </c:pt>
                <c:pt idx="471">
                  <c:v>43191</c:v>
                </c:pt>
                <c:pt idx="472">
                  <c:v>43221</c:v>
                </c:pt>
                <c:pt idx="473">
                  <c:v>43252</c:v>
                </c:pt>
                <c:pt idx="474">
                  <c:v>43282</c:v>
                </c:pt>
                <c:pt idx="475">
                  <c:v>43313</c:v>
                </c:pt>
                <c:pt idx="476">
                  <c:v>43344</c:v>
                </c:pt>
                <c:pt idx="477">
                  <c:v>43374</c:v>
                </c:pt>
                <c:pt idx="478">
                  <c:v>43405</c:v>
                </c:pt>
                <c:pt idx="479">
                  <c:v>43435</c:v>
                </c:pt>
                <c:pt idx="480">
                  <c:v>43466</c:v>
                </c:pt>
                <c:pt idx="481">
                  <c:v>43497</c:v>
                </c:pt>
                <c:pt idx="482">
                  <c:v>43525</c:v>
                </c:pt>
                <c:pt idx="483">
                  <c:v>43556</c:v>
                </c:pt>
                <c:pt idx="484">
                  <c:v>43586</c:v>
                </c:pt>
                <c:pt idx="485">
                  <c:v>43617</c:v>
                </c:pt>
                <c:pt idx="486">
                  <c:v>43647</c:v>
                </c:pt>
                <c:pt idx="487">
                  <c:v>43678</c:v>
                </c:pt>
                <c:pt idx="488">
                  <c:v>43709</c:v>
                </c:pt>
                <c:pt idx="489">
                  <c:v>43739</c:v>
                </c:pt>
                <c:pt idx="490">
                  <c:v>43770</c:v>
                </c:pt>
                <c:pt idx="491">
                  <c:v>43800</c:v>
                </c:pt>
                <c:pt idx="492">
                  <c:v>43831</c:v>
                </c:pt>
                <c:pt idx="493">
                  <c:v>43862</c:v>
                </c:pt>
                <c:pt idx="494">
                  <c:v>43891</c:v>
                </c:pt>
                <c:pt idx="495">
                  <c:v>43922</c:v>
                </c:pt>
                <c:pt idx="496">
                  <c:v>43952</c:v>
                </c:pt>
                <c:pt idx="497">
                  <c:v>43983</c:v>
                </c:pt>
                <c:pt idx="498">
                  <c:v>44013</c:v>
                </c:pt>
                <c:pt idx="499">
                  <c:v>44044</c:v>
                </c:pt>
                <c:pt idx="500">
                  <c:v>44075</c:v>
                </c:pt>
                <c:pt idx="501">
                  <c:v>44105</c:v>
                </c:pt>
                <c:pt idx="502">
                  <c:v>44136</c:v>
                </c:pt>
                <c:pt idx="503">
                  <c:v>44166</c:v>
                </c:pt>
                <c:pt idx="504">
                  <c:v>44197</c:v>
                </c:pt>
                <c:pt idx="505">
                  <c:v>44228</c:v>
                </c:pt>
                <c:pt idx="506">
                  <c:v>44256</c:v>
                </c:pt>
                <c:pt idx="507">
                  <c:v>44287</c:v>
                </c:pt>
                <c:pt idx="508">
                  <c:v>44317</c:v>
                </c:pt>
                <c:pt idx="509">
                  <c:v>44348</c:v>
                </c:pt>
                <c:pt idx="510">
                  <c:v>44378</c:v>
                </c:pt>
                <c:pt idx="511">
                  <c:v>44409</c:v>
                </c:pt>
                <c:pt idx="512">
                  <c:v>44440</c:v>
                </c:pt>
                <c:pt idx="513">
                  <c:v>44470</c:v>
                </c:pt>
                <c:pt idx="514">
                  <c:v>44501</c:v>
                </c:pt>
                <c:pt idx="515">
                  <c:v>44531</c:v>
                </c:pt>
                <c:pt idx="516">
                  <c:v>44562</c:v>
                </c:pt>
                <c:pt idx="517">
                  <c:v>44593</c:v>
                </c:pt>
                <c:pt idx="518">
                  <c:v>44621</c:v>
                </c:pt>
                <c:pt idx="519">
                  <c:v>44652</c:v>
                </c:pt>
                <c:pt idx="520">
                  <c:v>44682</c:v>
                </c:pt>
                <c:pt idx="521">
                  <c:v>44713</c:v>
                </c:pt>
                <c:pt idx="522">
                  <c:v>44743</c:v>
                </c:pt>
                <c:pt idx="523">
                  <c:v>44774</c:v>
                </c:pt>
                <c:pt idx="524">
                  <c:v>44805</c:v>
                </c:pt>
                <c:pt idx="525">
                  <c:v>44835</c:v>
                </c:pt>
                <c:pt idx="526">
                  <c:v>44866</c:v>
                </c:pt>
                <c:pt idx="527">
                  <c:v>44896</c:v>
                </c:pt>
                <c:pt idx="528">
                  <c:v>44927</c:v>
                </c:pt>
                <c:pt idx="529">
                  <c:v>44958</c:v>
                </c:pt>
                <c:pt idx="530">
                  <c:v>44986</c:v>
                </c:pt>
                <c:pt idx="531">
                  <c:v>45017</c:v>
                </c:pt>
                <c:pt idx="532">
                  <c:v>45047</c:v>
                </c:pt>
                <c:pt idx="533">
                  <c:v>45078</c:v>
                </c:pt>
                <c:pt idx="534">
                  <c:v>45108</c:v>
                </c:pt>
                <c:pt idx="535">
                  <c:v>45139</c:v>
                </c:pt>
                <c:pt idx="536">
                  <c:v>45170</c:v>
                </c:pt>
                <c:pt idx="537">
                  <c:v>45200</c:v>
                </c:pt>
              </c:numCache>
            </c:numRef>
          </c:cat>
          <c:val>
            <c:numRef>
              <c:f>'un rate'!$B$22:$B$559</c:f>
              <c:numCache>
                <c:formatCode>0.0;\-0.0;0.0;@</c:formatCode>
                <c:ptCount val="538"/>
                <c:pt idx="0">
                  <c:v>5.7526600999999999</c:v>
                </c:pt>
                <c:pt idx="1">
                  <c:v>5.6581340999999998</c:v>
                </c:pt>
                <c:pt idx="2">
                  <c:v>5.3921644999999998</c:v>
                </c:pt>
                <c:pt idx="3">
                  <c:v>5.7235648000000001</c:v>
                </c:pt>
                <c:pt idx="4">
                  <c:v>5.1457052000000001</c:v>
                </c:pt>
                <c:pt idx="5">
                  <c:v>5.5273709999999996</c:v>
                </c:pt>
                <c:pt idx="6">
                  <c:v>5.5728857999999999</c:v>
                </c:pt>
                <c:pt idx="7">
                  <c:v>5.7454254999999996</c:v>
                </c:pt>
                <c:pt idx="8">
                  <c:v>6.1145889999999996</c:v>
                </c:pt>
                <c:pt idx="9">
                  <c:v>6.1472661999999998</c:v>
                </c:pt>
                <c:pt idx="10">
                  <c:v>5.9838239</c:v>
                </c:pt>
                <c:pt idx="11">
                  <c:v>5.4510506000000003</c:v>
                </c:pt>
                <c:pt idx="12">
                  <c:v>5.6633195000000001</c:v>
                </c:pt>
                <c:pt idx="13">
                  <c:v>5.4903414000000001</c:v>
                </c:pt>
                <c:pt idx="14">
                  <c:v>5.6505726999999997</c:v>
                </c:pt>
                <c:pt idx="15">
                  <c:v>5.7948722000000004</c:v>
                </c:pt>
                <c:pt idx="16">
                  <c:v>5.7378875000000003</c:v>
                </c:pt>
                <c:pt idx="17">
                  <c:v>6.1215251000000004</c:v>
                </c:pt>
                <c:pt idx="18">
                  <c:v>6.0153435000000002</c:v>
                </c:pt>
                <c:pt idx="19">
                  <c:v>6.0435666000000001</c:v>
                </c:pt>
                <c:pt idx="20">
                  <c:v>5.9586294000000004</c:v>
                </c:pt>
                <c:pt idx="21">
                  <c:v>6.1074982999999996</c:v>
                </c:pt>
                <c:pt idx="22">
                  <c:v>5.8996554999999997</c:v>
                </c:pt>
                <c:pt idx="23">
                  <c:v>6.1514894</c:v>
                </c:pt>
                <c:pt idx="24">
                  <c:v>5.7188204999999996</c:v>
                </c:pt>
                <c:pt idx="25">
                  <c:v>5.7235667000000001</c:v>
                </c:pt>
                <c:pt idx="26">
                  <c:v>5.8298908000000003</c:v>
                </c:pt>
                <c:pt idx="27">
                  <c:v>5.3214870000000003</c:v>
                </c:pt>
                <c:pt idx="28">
                  <c:v>5.6736383000000004</c:v>
                </c:pt>
                <c:pt idx="29">
                  <c:v>5.3832544000000002</c:v>
                </c:pt>
                <c:pt idx="30">
                  <c:v>5.6393069999999996</c:v>
                </c:pt>
                <c:pt idx="31">
                  <c:v>5.8198290999999998</c:v>
                </c:pt>
                <c:pt idx="32">
                  <c:v>5.8402471</c:v>
                </c:pt>
                <c:pt idx="33">
                  <c:v>5.4965894000000004</c:v>
                </c:pt>
                <c:pt idx="34">
                  <c:v>5.5492676999999997</c:v>
                </c:pt>
                <c:pt idx="35">
                  <c:v>5.5988750999999999</c:v>
                </c:pt>
                <c:pt idx="36">
                  <c:v>5.5378698000000002</c:v>
                </c:pt>
                <c:pt idx="37">
                  <c:v>5.9946473999999998</c:v>
                </c:pt>
                <c:pt idx="38">
                  <c:v>6.1586550999999998</c:v>
                </c:pt>
                <c:pt idx="39">
                  <c:v>5.9870923999999999</c:v>
                </c:pt>
                <c:pt idx="40">
                  <c:v>6.3767183000000003</c:v>
                </c:pt>
                <c:pt idx="41">
                  <c:v>6.3976626000000003</c:v>
                </c:pt>
                <c:pt idx="42">
                  <c:v>6.6238507000000002</c:v>
                </c:pt>
                <c:pt idx="43">
                  <c:v>6.3400116999999998</c:v>
                </c:pt>
                <c:pt idx="44">
                  <c:v>6.8464125999999998</c:v>
                </c:pt>
                <c:pt idx="45">
                  <c:v>7.4817114</c:v>
                </c:pt>
                <c:pt idx="46">
                  <c:v>7.7817797999999998</c:v>
                </c:pt>
                <c:pt idx="47">
                  <c:v>8.1415278999999998</c:v>
                </c:pt>
                <c:pt idx="48">
                  <c:v>8.1315375999999997</c:v>
                </c:pt>
                <c:pt idx="49">
                  <c:v>8.4524241</c:v>
                </c:pt>
                <c:pt idx="50">
                  <c:v>8.7624809999999993</c:v>
                </c:pt>
                <c:pt idx="51">
                  <c:v>9.3465658000000005</c:v>
                </c:pt>
                <c:pt idx="52">
                  <c:v>9.6302386999999996</c:v>
                </c:pt>
                <c:pt idx="53">
                  <c:v>9.3434579000000006</c:v>
                </c:pt>
                <c:pt idx="54">
                  <c:v>9.4685337000000001</c:v>
                </c:pt>
                <c:pt idx="55">
                  <c:v>9.3256419000000008</c:v>
                </c:pt>
                <c:pt idx="56">
                  <c:v>9.6274116999999997</c:v>
                </c:pt>
                <c:pt idx="57">
                  <c:v>8.8470434999999998</c:v>
                </c:pt>
                <c:pt idx="58">
                  <c:v>8.7666643000000004</c:v>
                </c:pt>
                <c:pt idx="59">
                  <c:v>8.4476425000000006</c:v>
                </c:pt>
                <c:pt idx="60">
                  <c:v>8.6073357999999995</c:v>
                </c:pt>
                <c:pt idx="61">
                  <c:v>8.6782556</c:v>
                </c:pt>
                <c:pt idx="62">
                  <c:v>8.0298190999999992</c:v>
                </c:pt>
                <c:pt idx="63">
                  <c:v>8.1868985999999992</c:v>
                </c:pt>
                <c:pt idx="64">
                  <c:v>7.6779181000000003</c:v>
                </c:pt>
                <c:pt idx="65">
                  <c:v>7.7660343000000003</c:v>
                </c:pt>
                <c:pt idx="66">
                  <c:v>7.5898950999999997</c:v>
                </c:pt>
                <c:pt idx="67">
                  <c:v>7.3671457</c:v>
                </c:pt>
                <c:pt idx="68">
                  <c:v>7.3928073000000003</c:v>
                </c:pt>
                <c:pt idx="69">
                  <c:v>6.8604824999999998</c:v>
                </c:pt>
                <c:pt idx="70">
                  <c:v>7.3135424000000002</c:v>
                </c:pt>
                <c:pt idx="71">
                  <c:v>7.2560259</c:v>
                </c:pt>
                <c:pt idx="72">
                  <c:v>7.3569247999999998</c:v>
                </c:pt>
                <c:pt idx="73">
                  <c:v>7.0466021000000003</c:v>
                </c:pt>
                <c:pt idx="74">
                  <c:v>7.6185529000000001</c:v>
                </c:pt>
                <c:pt idx="75">
                  <c:v>7.1629011</c:v>
                </c:pt>
                <c:pt idx="76">
                  <c:v>6.8433267999999998</c:v>
                </c:pt>
                <c:pt idx="77">
                  <c:v>7.2007579000000002</c:v>
                </c:pt>
                <c:pt idx="78">
                  <c:v>6.8329801000000003</c:v>
                </c:pt>
                <c:pt idx="79">
                  <c:v>6.4875005000000003</c:v>
                </c:pt>
                <c:pt idx="80">
                  <c:v>6.6736367999999997</c:v>
                </c:pt>
                <c:pt idx="81">
                  <c:v>6.7354469000000003</c:v>
                </c:pt>
                <c:pt idx="82">
                  <c:v>6.5988958999999996</c:v>
                </c:pt>
                <c:pt idx="83">
                  <c:v>6.3654799000000004</c:v>
                </c:pt>
                <c:pt idx="84">
                  <c:v>6.4053472999999999</c:v>
                </c:pt>
                <c:pt idx="85">
                  <c:v>6.5901448</c:v>
                </c:pt>
                <c:pt idx="86">
                  <c:v>6.6029707000000002</c:v>
                </c:pt>
                <c:pt idx="87">
                  <c:v>6.6566666000000003</c:v>
                </c:pt>
                <c:pt idx="88">
                  <c:v>6.1960525000000004</c:v>
                </c:pt>
                <c:pt idx="89">
                  <c:v>5.9646876999999998</c:v>
                </c:pt>
                <c:pt idx="90">
                  <c:v>6.7675247000000001</c:v>
                </c:pt>
                <c:pt idx="91">
                  <c:v>7.1250073</c:v>
                </c:pt>
                <c:pt idx="92">
                  <c:v>7.1244510999999999</c:v>
                </c:pt>
                <c:pt idx="93">
                  <c:v>6.7867762000000003</c:v>
                </c:pt>
                <c:pt idx="94">
                  <c:v>6.8828873000000002</c:v>
                </c:pt>
                <c:pt idx="95">
                  <c:v>7.0032955000000001</c:v>
                </c:pt>
                <c:pt idx="96">
                  <c:v>6.6469402000000004</c:v>
                </c:pt>
                <c:pt idx="97">
                  <c:v>6.5809220000000002</c:v>
                </c:pt>
                <c:pt idx="98">
                  <c:v>6.7815244999999997</c:v>
                </c:pt>
                <c:pt idx="99">
                  <c:v>6.4963670999999996</c:v>
                </c:pt>
                <c:pt idx="100">
                  <c:v>6.2311594000000001</c:v>
                </c:pt>
                <c:pt idx="101">
                  <c:v>5.9166531999999998</c:v>
                </c:pt>
                <c:pt idx="102">
                  <c:v>6.0139715000000002</c:v>
                </c:pt>
                <c:pt idx="103">
                  <c:v>6.2949501999999997</c:v>
                </c:pt>
                <c:pt idx="104">
                  <c:v>5.7804831999999999</c:v>
                </c:pt>
                <c:pt idx="105">
                  <c:v>6.2066394999999996</c:v>
                </c:pt>
                <c:pt idx="106">
                  <c:v>6.0690815000000002</c:v>
                </c:pt>
                <c:pt idx="107">
                  <c:v>6.1498314000000001</c:v>
                </c:pt>
                <c:pt idx="108">
                  <c:v>6.1676995000000003</c:v>
                </c:pt>
                <c:pt idx="109">
                  <c:v>6.0151472999999998</c:v>
                </c:pt>
                <c:pt idx="110">
                  <c:v>6.1961373999999996</c:v>
                </c:pt>
                <c:pt idx="111">
                  <c:v>6.6157626</c:v>
                </c:pt>
                <c:pt idx="112">
                  <c:v>6.4198655999999996</c:v>
                </c:pt>
                <c:pt idx="113">
                  <c:v>6.2221937</c:v>
                </c:pt>
                <c:pt idx="114">
                  <c:v>5.4887059999999996</c:v>
                </c:pt>
                <c:pt idx="115">
                  <c:v>5.9665976000000001</c:v>
                </c:pt>
                <c:pt idx="116">
                  <c:v>5.5527156</c:v>
                </c:pt>
                <c:pt idx="117">
                  <c:v>5.6359187999999998</c:v>
                </c:pt>
                <c:pt idx="118">
                  <c:v>5.0050049999999997</c:v>
                </c:pt>
                <c:pt idx="119">
                  <c:v>5.4711105</c:v>
                </c:pt>
                <c:pt idx="120">
                  <c:v>5.5325118</c:v>
                </c:pt>
                <c:pt idx="121">
                  <c:v>5.6886296999999999</c:v>
                </c:pt>
                <c:pt idx="122">
                  <c:v>5.2006154000000002</c:v>
                </c:pt>
                <c:pt idx="123">
                  <c:v>5.1047694999999997</c:v>
                </c:pt>
                <c:pt idx="124">
                  <c:v>4.997109</c:v>
                </c:pt>
                <c:pt idx="125">
                  <c:v>4.5683132999999998</c:v>
                </c:pt>
                <c:pt idx="126">
                  <c:v>4.6730153000000003</c:v>
                </c:pt>
                <c:pt idx="127">
                  <c:v>4.6294192000000001</c:v>
                </c:pt>
                <c:pt idx="128">
                  <c:v>4.8188633999999997</c:v>
                </c:pt>
                <c:pt idx="129">
                  <c:v>4.6087429999999996</c:v>
                </c:pt>
                <c:pt idx="130">
                  <c:v>4.7763119999999999</c:v>
                </c:pt>
                <c:pt idx="131">
                  <c:v>4.5335827999999996</c:v>
                </c:pt>
                <c:pt idx="132">
                  <c:v>4.6023693999999997</c:v>
                </c:pt>
                <c:pt idx="133">
                  <c:v>5.0802966999999999</c:v>
                </c:pt>
                <c:pt idx="134">
                  <c:v>4.8250931000000001</c:v>
                </c:pt>
                <c:pt idx="135">
                  <c:v>4.8638994999999996</c:v>
                </c:pt>
                <c:pt idx="136">
                  <c:v>5.2933982000000004</c:v>
                </c:pt>
                <c:pt idx="137">
                  <c:v>5.3056964000000004</c:v>
                </c:pt>
                <c:pt idx="138">
                  <c:v>6.3803122999999999</c:v>
                </c:pt>
                <c:pt idx="139">
                  <c:v>6.5944789999999998</c:v>
                </c:pt>
                <c:pt idx="140">
                  <c:v>6.9269895999999997</c:v>
                </c:pt>
                <c:pt idx="141">
                  <c:v>7.4081903000000002</c:v>
                </c:pt>
                <c:pt idx="142">
                  <c:v>8.0136679999999991</c:v>
                </c:pt>
                <c:pt idx="143">
                  <c:v>7.8756830999999998</c:v>
                </c:pt>
                <c:pt idx="144">
                  <c:v>8.4682010999999999</c:v>
                </c:pt>
                <c:pt idx="145">
                  <c:v>8.4972086999999998</c:v>
                </c:pt>
                <c:pt idx="146">
                  <c:v>9.3000720999999995</c:v>
                </c:pt>
                <c:pt idx="147">
                  <c:v>10.5871137</c:v>
                </c:pt>
                <c:pt idx="148">
                  <c:v>10.0005728</c:v>
                </c:pt>
                <c:pt idx="149">
                  <c:v>10.292080500000001</c:v>
                </c:pt>
                <c:pt idx="150">
                  <c:v>10.0942355</c:v>
                </c:pt>
                <c:pt idx="151">
                  <c:v>10.156695600000001</c:v>
                </c:pt>
                <c:pt idx="152">
                  <c:v>10.771687200000001</c:v>
                </c:pt>
                <c:pt idx="153">
                  <c:v>10.3397269</c:v>
                </c:pt>
                <c:pt idx="154">
                  <c:v>10.7339073</c:v>
                </c:pt>
                <c:pt idx="155">
                  <c:v>11.018807600000001</c:v>
                </c:pt>
                <c:pt idx="156">
                  <c:v>10.933124299999999</c:v>
                </c:pt>
                <c:pt idx="157">
                  <c:v>10.9930558</c:v>
                </c:pt>
                <c:pt idx="158">
                  <c:v>11.520916100000001</c:v>
                </c:pt>
                <c:pt idx="159">
                  <c:v>11.452114999999999</c:v>
                </c:pt>
                <c:pt idx="160">
                  <c:v>11.6341813</c:v>
                </c:pt>
                <c:pt idx="161">
                  <c:v>11.594855300000001</c:v>
                </c:pt>
                <c:pt idx="162">
                  <c:v>11.9796108</c:v>
                </c:pt>
                <c:pt idx="163">
                  <c:v>11.3695419</c:v>
                </c:pt>
                <c:pt idx="164">
                  <c:v>11.1134451</c:v>
                </c:pt>
                <c:pt idx="165">
                  <c:v>11.6051754</c:v>
                </c:pt>
                <c:pt idx="166">
                  <c:v>11.8826474</c:v>
                </c:pt>
                <c:pt idx="167">
                  <c:v>11.5749747</c:v>
                </c:pt>
                <c:pt idx="168">
                  <c:v>11.5013234</c:v>
                </c:pt>
                <c:pt idx="169">
                  <c:v>11.615483100000001</c:v>
                </c:pt>
                <c:pt idx="170">
                  <c:v>11.5609669</c:v>
                </c:pt>
                <c:pt idx="171">
                  <c:v>11.3750082</c:v>
                </c:pt>
                <c:pt idx="172">
                  <c:v>12.309252499999999</c:v>
                </c:pt>
                <c:pt idx="173">
                  <c:v>12.3725518</c:v>
                </c:pt>
                <c:pt idx="174">
                  <c:v>12.467840799999999</c:v>
                </c:pt>
                <c:pt idx="175">
                  <c:v>12.5304562</c:v>
                </c:pt>
                <c:pt idx="176">
                  <c:v>12.070129</c:v>
                </c:pt>
                <c:pt idx="177">
                  <c:v>12.3301786</c:v>
                </c:pt>
                <c:pt idx="178">
                  <c:v>12.2824832</c:v>
                </c:pt>
                <c:pt idx="179">
                  <c:v>12.1895849</c:v>
                </c:pt>
                <c:pt idx="180">
                  <c:v>12.053980599999999</c:v>
                </c:pt>
                <c:pt idx="181">
                  <c:v>11.978336199999999</c:v>
                </c:pt>
                <c:pt idx="182">
                  <c:v>11.9173049</c:v>
                </c:pt>
                <c:pt idx="183">
                  <c:v>11.2288137</c:v>
                </c:pt>
                <c:pt idx="184">
                  <c:v>10.8967326</c:v>
                </c:pt>
                <c:pt idx="185">
                  <c:v>10.656667199999999</c:v>
                </c:pt>
                <c:pt idx="186">
                  <c:v>10.4219197</c:v>
                </c:pt>
                <c:pt idx="187">
                  <c:v>10.8316391</c:v>
                </c:pt>
                <c:pt idx="188">
                  <c:v>10.079230000000001</c:v>
                </c:pt>
                <c:pt idx="189">
                  <c:v>9.7289881000000005</c:v>
                </c:pt>
                <c:pt idx="190">
                  <c:v>9.9925865999999992</c:v>
                </c:pt>
                <c:pt idx="191">
                  <c:v>9.7134432999999998</c:v>
                </c:pt>
                <c:pt idx="192">
                  <c:v>9.8873934000000006</c:v>
                </c:pt>
                <c:pt idx="193">
                  <c:v>9.3068378999999997</c:v>
                </c:pt>
                <c:pt idx="194">
                  <c:v>8.9572661999999994</c:v>
                </c:pt>
                <c:pt idx="195">
                  <c:v>8.6785578999999995</c:v>
                </c:pt>
                <c:pt idx="196">
                  <c:v>8.7872363999999994</c:v>
                </c:pt>
                <c:pt idx="197">
                  <c:v>8.7558772000000005</c:v>
                </c:pt>
                <c:pt idx="198">
                  <c:v>9.0054163999999997</c:v>
                </c:pt>
                <c:pt idx="199">
                  <c:v>8.5393621</c:v>
                </c:pt>
                <c:pt idx="200">
                  <c:v>8.8748383000000004</c:v>
                </c:pt>
                <c:pt idx="201">
                  <c:v>9.3882157999999993</c:v>
                </c:pt>
                <c:pt idx="202">
                  <c:v>8.5365140999999998</c:v>
                </c:pt>
                <c:pt idx="203">
                  <c:v>8.3056514000000004</c:v>
                </c:pt>
                <c:pt idx="204">
                  <c:v>8.6033608000000008</c:v>
                </c:pt>
                <c:pt idx="205">
                  <c:v>8.9251381999999992</c:v>
                </c:pt>
                <c:pt idx="206">
                  <c:v>8.4861216000000006</c:v>
                </c:pt>
                <c:pt idx="207">
                  <c:v>8.8601741000000001</c:v>
                </c:pt>
                <c:pt idx="208">
                  <c:v>8.3547574000000004</c:v>
                </c:pt>
                <c:pt idx="209">
                  <c:v>8.0736484999999991</c:v>
                </c:pt>
                <c:pt idx="210">
                  <c:v>8.5886742999999992</c:v>
                </c:pt>
                <c:pt idx="211">
                  <c:v>8.9026451000000009</c:v>
                </c:pt>
                <c:pt idx="212">
                  <c:v>9.0416342000000007</c:v>
                </c:pt>
                <c:pt idx="213">
                  <c:v>9.3625694999999993</c:v>
                </c:pt>
                <c:pt idx="214">
                  <c:v>9.2649755999999996</c:v>
                </c:pt>
                <c:pt idx="215">
                  <c:v>9.1377967000000009</c:v>
                </c:pt>
                <c:pt idx="216">
                  <c:v>8.6766149000000006</c:v>
                </c:pt>
                <c:pt idx="217">
                  <c:v>9.0075318000000006</c:v>
                </c:pt>
                <c:pt idx="218">
                  <c:v>8.9861389999999997</c:v>
                </c:pt>
                <c:pt idx="219">
                  <c:v>8.9830393999999991</c:v>
                </c:pt>
                <c:pt idx="220">
                  <c:v>8.8918066000000007</c:v>
                </c:pt>
                <c:pt idx="221">
                  <c:v>9.1365879000000003</c:v>
                </c:pt>
                <c:pt idx="222">
                  <c:v>8.8805353</c:v>
                </c:pt>
                <c:pt idx="223">
                  <c:v>8.9681833999999991</c:v>
                </c:pt>
                <c:pt idx="224">
                  <c:v>8.5373587999999998</c:v>
                </c:pt>
                <c:pt idx="225">
                  <c:v>8.1149430000000002</c:v>
                </c:pt>
                <c:pt idx="226">
                  <c:v>7.9729681000000001</c:v>
                </c:pt>
                <c:pt idx="227">
                  <c:v>8.0333600000000001</c:v>
                </c:pt>
                <c:pt idx="228">
                  <c:v>8.2670528999999995</c:v>
                </c:pt>
                <c:pt idx="229">
                  <c:v>7.6506976</c:v>
                </c:pt>
                <c:pt idx="230">
                  <c:v>8.2268217999999997</c:v>
                </c:pt>
                <c:pt idx="231">
                  <c:v>8.0553083999999995</c:v>
                </c:pt>
                <c:pt idx="232">
                  <c:v>7.9387492999999996</c:v>
                </c:pt>
                <c:pt idx="233">
                  <c:v>7.9465570000000003</c:v>
                </c:pt>
                <c:pt idx="234">
                  <c:v>7.9322337000000003</c:v>
                </c:pt>
                <c:pt idx="235">
                  <c:v>7.7476298999999997</c:v>
                </c:pt>
                <c:pt idx="236">
                  <c:v>7.6123000999999997</c:v>
                </c:pt>
                <c:pt idx="237">
                  <c:v>7.4980631999999998</c:v>
                </c:pt>
                <c:pt idx="238">
                  <c:v>7.8227793999999999</c:v>
                </c:pt>
                <c:pt idx="239">
                  <c:v>7.0769609000000004</c:v>
                </c:pt>
                <c:pt idx="240">
                  <c:v>7.1345568000000004</c:v>
                </c:pt>
                <c:pt idx="241">
                  <c:v>7.3810111000000003</c:v>
                </c:pt>
                <c:pt idx="242">
                  <c:v>7.0410342000000004</c:v>
                </c:pt>
                <c:pt idx="243">
                  <c:v>7.3254986999999998</c:v>
                </c:pt>
                <c:pt idx="244">
                  <c:v>7.4040477999999998</c:v>
                </c:pt>
                <c:pt idx="245">
                  <c:v>7.0565642000000004</c:v>
                </c:pt>
                <c:pt idx="246">
                  <c:v>7.1361584000000002</c:v>
                </c:pt>
                <c:pt idx="247">
                  <c:v>6.9458441999999998</c:v>
                </c:pt>
                <c:pt idx="248">
                  <c:v>6.9779960000000001</c:v>
                </c:pt>
                <c:pt idx="249">
                  <c:v>6.5292935999999999</c:v>
                </c:pt>
                <c:pt idx="250">
                  <c:v>6.6161734000000001</c:v>
                </c:pt>
                <c:pt idx="251">
                  <c:v>6.5920620999999997</c:v>
                </c:pt>
                <c:pt idx="252">
                  <c:v>6.7807588000000001</c:v>
                </c:pt>
                <c:pt idx="253">
                  <c:v>6.6116833000000002</c:v>
                </c:pt>
                <c:pt idx="254">
                  <c:v>6.6210088999999996</c:v>
                </c:pt>
                <c:pt idx="255">
                  <c:v>6.3167384000000002</c:v>
                </c:pt>
                <c:pt idx="256">
                  <c:v>6.6387513</c:v>
                </c:pt>
                <c:pt idx="257">
                  <c:v>6.1304086</c:v>
                </c:pt>
                <c:pt idx="258">
                  <c:v>5.9323229</c:v>
                </c:pt>
                <c:pt idx="259">
                  <c:v>5.9287831000000004</c:v>
                </c:pt>
                <c:pt idx="260">
                  <c:v>5.9584520000000003</c:v>
                </c:pt>
                <c:pt idx="261">
                  <c:v>5.7958394999999996</c:v>
                </c:pt>
                <c:pt idx="262">
                  <c:v>5.8678694</c:v>
                </c:pt>
                <c:pt idx="263">
                  <c:v>5.7132107999999997</c:v>
                </c:pt>
                <c:pt idx="264">
                  <c:v>5.8263698000000002</c:v>
                </c:pt>
                <c:pt idx="265">
                  <c:v>6.0016245000000001</c:v>
                </c:pt>
                <c:pt idx="266">
                  <c:v>6.1234536999999998</c:v>
                </c:pt>
                <c:pt idx="267">
                  <c:v>6.2659684999999996</c:v>
                </c:pt>
                <c:pt idx="268">
                  <c:v>6.4174587000000001</c:v>
                </c:pt>
                <c:pt idx="269">
                  <c:v>6.3239673999999999</c:v>
                </c:pt>
                <c:pt idx="270">
                  <c:v>6.4584812999999999</c:v>
                </c:pt>
                <c:pt idx="271">
                  <c:v>6.5897473</c:v>
                </c:pt>
                <c:pt idx="272">
                  <c:v>6.3602767</c:v>
                </c:pt>
                <c:pt idx="273">
                  <c:v>7.1439009000000002</c:v>
                </c:pt>
                <c:pt idx="274">
                  <c:v>6.6758302</c:v>
                </c:pt>
                <c:pt idx="275">
                  <c:v>6.7446606999999998</c:v>
                </c:pt>
                <c:pt idx="276">
                  <c:v>6.5971545999999996</c:v>
                </c:pt>
                <c:pt idx="277">
                  <c:v>6.2693778</c:v>
                </c:pt>
                <c:pt idx="278">
                  <c:v>6.0335162999999996</c:v>
                </c:pt>
                <c:pt idx="279">
                  <c:v>5.6311283000000003</c:v>
                </c:pt>
                <c:pt idx="280">
                  <c:v>5.7912108</c:v>
                </c:pt>
                <c:pt idx="281">
                  <c:v>6.3210318000000001</c:v>
                </c:pt>
                <c:pt idx="282">
                  <c:v>5.5636739000000004</c:v>
                </c:pt>
                <c:pt idx="283">
                  <c:v>6.2234315999999996</c:v>
                </c:pt>
                <c:pt idx="284">
                  <c:v>5.8987112000000002</c:v>
                </c:pt>
                <c:pt idx="285">
                  <c:v>5.9673333</c:v>
                </c:pt>
                <c:pt idx="286">
                  <c:v>5.7732435000000004</c:v>
                </c:pt>
                <c:pt idx="287">
                  <c:v>5.5963652000000002</c:v>
                </c:pt>
                <c:pt idx="288">
                  <c:v>5.5753066000000002</c:v>
                </c:pt>
                <c:pt idx="289">
                  <c:v>5.0716866999999999</c:v>
                </c:pt>
                <c:pt idx="290">
                  <c:v>5.6173254999999997</c:v>
                </c:pt>
                <c:pt idx="291">
                  <c:v>5.7317727999999999</c:v>
                </c:pt>
                <c:pt idx="292">
                  <c:v>5.8866446999999997</c:v>
                </c:pt>
                <c:pt idx="293">
                  <c:v>5.8974354</c:v>
                </c:pt>
                <c:pt idx="294">
                  <c:v>5.6840913999999998</c:v>
                </c:pt>
                <c:pt idx="295">
                  <c:v>5.5142524999999996</c:v>
                </c:pt>
                <c:pt idx="296">
                  <c:v>5.3018095000000001</c:v>
                </c:pt>
                <c:pt idx="297">
                  <c:v>5.5509760999999997</c:v>
                </c:pt>
                <c:pt idx="298">
                  <c:v>5.2778438000000003</c:v>
                </c:pt>
                <c:pt idx="299">
                  <c:v>5.5584369999999996</c:v>
                </c:pt>
                <c:pt idx="300">
                  <c:v>5.4824438000000004</c:v>
                </c:pt>
                <c:pt idx="301">
                  <c:v>5.5886043000000001</c:v>
                </c:pt>
                <c:pt idx="302">
                  <c:v>5.2262616</c:v>
                </c:pt>
                <c:pt idx="303">
                  <c:v>5.5569236000000002</c:v>
                </c:pt>
                <c:pt idx="304">
                  <c:v>5.0559636000000001</c:v>
                </c:pt>
                <c:pt idx="305">
                  <c:v>5.3199389000000004</c:v>
                </c:pt>
                <c:pt idx="306">
                  <c:v>5.4191174000000002</c:v>
                </c:pt>
                <c:pt idx="307">
                  <c:v>5.8242266000000003</c:v>
                </c:pt>
                <c:pt idx="308">
                  <c:v>5.8141292</c:v>
                </c:pt>
                <c:pt idx="309">
                  <c:v>5.6586011000000003</c:v>
                </c:pt>
                <c:pt idx="310">
                  <c:v>5.6750603999999996</c:v>
                </c:pt>
                <c:pt idx="311">
                  <c:v>5.5512746000000002</c:v>
                </c:pt>
                <c:pt idx="312">
                  <c:v>5.3932251999999998</c:v>
                </c:pt>
                <c:pt idx="313">
                  <c:v>5.4570869000000002</c:v>
                </c:pt>
                <c:pt idx="314">
                  <c:v>5.3701800999999998</c:v>
                </c:pt>
                <c:pt idx="315">
                  <c:v>5.4109461999999997</c:v>
                </c:pt>
                <c:pt idx="316">
                  <c:v>5.3620169000000004</c:v>
                </c:pt>
                <c:pt idx="317">
                  <c:v>5.1737764999999998</c:v>
                </c:pt>
                <c:pt idx="318">
                  <c:v>5.2532335000000003</c:v>
                </c:pt>
                <c:pt idx="319">
                  <c:v>5.0850187</c:v>
                </c:pt>
                <c:pt idx="320">
                  <c:v>5.4777041999999998</c:v>
                </c:pt>
                <c:pt idx="321">
                  <c:v>5.3464818999999997</c:v>
                </c:pt>
                <c:pt idx="322">
                  <c:v>5.2993056000000003</c:v>
                </c:pt>
                <c:pt idx="323">
                  <c:v>5.3169076999999998</c:v>
                </c:pt>
                <c:pt idx="324">
                  <c:v>5.2732767999999997</c:v>
                </c:pt>
                <c:pt idx="325">
                  <c:v>5.3030667999999999</c:v>
                </c:pt>
                <c:pt idx="326">
                  <c:v>5.1148940999999999</c:v>
                </c:pt>
                <c:pt idx="327">
                  <c:v>5.1869806000000001</c:v>
                </c:pt>
                <c:pt idx="328">
                  <c:v>5.0297106999999999</c:v>
                </c:pt>
                <c:pt idx="329">
                  <c:v>5.0103350999999998</c:v>
                </c:pt>
                <c:pt idx="330">
                  <c:v>5.0549717999999997</c:v>
                </c:pt>
                <c:pt idx="331">
                  <c:v>4.5325496999999997</c:v>
                </c:pt>
                <c:pt idx="332">
                  <c:v>4.5795399000000003</c:v>
                </c:pt>
                <c:pt idx="333">
                  <c:v>4.9154574000000002</c:v>
                </c:pt>
                <c:pt idx="334">
                  <c:v>4.7350164000000001</c:v>
                </c:pt>
                <c:pt idx="335">
                  <c:v>5.0499881999999996</c:v>
                </c:pt>
                <c:pt idx="336">
                  <c:v>4.9519511999999999</c:v>
                </c:pt>
                <c:pt idx="337">
                  <c:v>4.8154425999999999</c:v>
                </c:pt>
                <c:pt idx="338">
                  <c:v>4.8381603999999996</c:v>
                </c:pt>
                <c:pt idx="339">
                  <c:v>4.7025952999999996</c:v>
                </c:pt>
                <c:pt idx="340">
                  <c:v>4.7121076000000004</c:v>
                </c:pt>
                <c:pt idx="341">
                  <c:v>4.6447029000000004</c:v>
                </c:pt>
                <c:pt idx="342">
                  <c:v>4.3211364000000003</c:v>
                </c:pt>
                <c:pt idx="343">
                  <c:v>4.7222654999999998</c:v>
                </c:pt>
                <c:pt idx="344">
                  <c:v>4.2498994000000003</c:v>
                </c:pt>
                <c:pt idx="345">
                  <c:v>4.3892565000000001</c:v>
                </c:pt>
                <c:pt idx="346">
                  <c:v>4.9319829999999998</c:v>
                </c:pt>
                <c:pt idx="347">
                  <c:v>4.8806919999999998</c:v>
                </c:pt>
                <c:pt idx="348">
                  <c:v>4.5083561000000003</c:v>
                </c:pt>
                <c:pt idx="349">
                  <c:v>4.1625103000000001</c:v>
                </c:pt>
                <c:pt idx="350">
                  <c:v>4.2687404000000004</c:v>
                </c:pt>
                <c:pt idx="351">
                  <c:v>4.6874833000000002</c:v>
                </c:pt>
                <c:pt idx="352">
                  <c:v>4.3177411000000001</c:v>
                </c:pt>
                <c:pt idx="353">
                  <c:v>4.6649947999999997</c:v>
                </c:pt>
                <c:pt idx="354">
                  <c:v>4.6314273999999997</c:v>
                </c:pt>
                <c:pt idx="355">
                  <c:v>4.1805028000000002</c:v>
                </c:pt>
                <c:pt idx="356">
                  <c:v>4.3674128999999997</c:v>
                </c:pt>
                <c:pt idx="357">
                  <c:v>4.3299934999999996</c:v>
                </c:pt>
                <c:pt idx="358">
                  <c:v>4.4912622999999998</c:v>
                </c:pt>
                <c:pt idx="359">
                  <c:v>4.8111869</c:v>
                </c:pt>
                <c:pt idx="360">
                  <c:v>4.9044150999999996</c:v>
                </c:pt>
                <c:pt idx="361">
                  <c:v>5.6498998</c:v>
                </c:pt>
                <c:pt idx="362">
                  <c:v>5.7029801000000004</c:v>
                </c:pt>
                <c:pt idx="363">
                  <c:v>5.7662826999999997</c:v>
                </c:pt>
                <c:pt idx="364">
                  <c:v>6.0155415999999997</c:v>
                </c:pt>
                <c:pt idx="365">
                  <c:v>6.1503572000000002</c:v>
                </c:pt>
                <c:pt idx="366">
                  <c:v>5.7758928000000003</c:v>
                </c:pt>
                <c:pt idx="367">
                  <c:v>6.0971738000000002</c:v>
                </c:pt>
                <c:pt idx="368">
                  <c:v>5.5699443999999998</c:v>
                </c:pt>
                <c:pt idx="369">
                  <c:v>5.5806347000000001</c:v>
                </c:pt>
                <c:pt idx="370">
                  <c:v>5.1820050000000002</c:v>
                </c:pt>
                <c:pt idx="371">
                  <c:v>5.3572227999999997</c:v>
                </c:pt>
                <c:pt idx="372">
                  <c:v>5.2700740000000001</c:v>
                </c:pt>
                <c:pt idx="373">
                  <c:v>5.3096509000000003</c:v>
                </c:pt>
                <c:pt idx="374">
                  <c:v>5.4505030000000003</c:v>
                </c:pt>
                <c:pt idx="375">
                  <c:v>5.4236763000000003</c:v>
                </c:pt>
                <c:pt idx="376">
                  <c:v>5.5115518000000003</c:v>
                </c:pt>
                <c:pt idx="377">
                  <c:v>5.5034345</c:v>
                </c:pt>
                <c:pt idx="378">
                  <c:v>5.4574673999999996</c:v>
                </c:pt>
                <c:pt idx="379">
                  <c:v>5.4300471999999997</c:v>
                </c:pt>
                <c:pt idx="380">
                  <c:v>5.1700279</c:v>
                </c:pt>
                <c:pt idx="381">
                  <c:v>5.4764632000000004</c:v>
                </c:pt>
                <c:pt idx="382">
                  <c:v>5.2128738999999999</c:v>
                </c:pt>
                <c:pt idx="383">
                  <c:v>4.8447123000000003</c:v>
                </c:pt>
                <c:pt idx="384">
                  <c:v>4.9606763999999997</c:v>
                </c:pt>
                <c:pt idx="385">
                  <c:v>5.0170645</c:v>
                </c:pt>
                <c:pt idx="386">
                  <c:v>4.4062802000000003</c:v>
                </c:pt>
                <c:pt idx="387">
                  <c:v>4.7354317999999997</c:v>
                </c:pt>
                <c:pt idx="388">
                  <c:v>5.1939228999999996</c:v>
                </c:pt>
                <c:pt idx="389">
                  <c:v>4.6593637000000001</c:v>
                </c:pt>
                <c:pt idx="390">
                  <c:v>5.1851858999999996</c:v>
                </c:pt>
                <c:pt idx="391">
                  <c:v>5.1620737999999999</c:v>
                </c:pt>
                <c:pt idx="392">
                  <c:v>5.3228342</c:v>
                </c:pt>
                <c:pt idx="393">
                  <c:v>5.3949791999999999</c:v>
                </c:pt>
                <c:pt idx="394">
                  <c:v>5.3914448999999998</c:v>
                </c:pt>
                <c:pt idx="395">
                  <c:v>5.1971936000000003</c:v>
                </c:pt>
                <c:pt idx="396">
                  <c:v>5.0211644</c:v>
                </c:pt>
                <c:pt idx="397">
                  <c:v>5.5166921000000002</c:v>
                </c:pt>
                <c:pt idx="398">
                  <c:v>5.8310439000000001</c:v>
                </c:pt>
                <c:pt idx="399">
                  <c:v>5.2994123999999996</c:v>
                </c:pt>
                <c:pt idx="400">
                  <c:v>5.5447658999999998</c:v>
                </c:pt>
                <c:pt idx="401">
                  <c:v>5.5335209000000001</c:v>
                </c:pt>
                <c:pt idx="402">
                  <c:v>5.4038560999999996</c:v>
                </c:pt>
                <c:pt idx="403">
                  <c:v>5.6067707000000002</c:v>
                </c:pt>
                <c:pt idx="404">
                  <c:v>5.6471799000000003</c:v>
                </c:pt>
                <c:pt idx="405">
                  <c:v>5.4821960000000001</c:v>
                </c:pt>
                <c:pt idx="406">
                  <c:v>5.4019484000000002</c:v>
                </c:pt>
                <c:pt idx="407">
                  <c:v>5.6620211999999999</c:v>
                </c:pt>
                <c:pt idx="408">
                  <c:v>5.9569483999999999</c:v>
                </c:pt>
                <c:pt idx="409">
                  <c:v>5.6204554</c:v>
                </c:pt>
                <c:pt idx="410">
                  <c:v>5.7080317000000003</c:v>
                </c:pt>
                <c:pt idx="411">
                  <c:v>5.9024726999999997</c:v>
                </c:pt>
                <c:pt idx="412">
                  <c:v>5.5913195</c:v>
                </c:pt>
                <c:pt idx="413">
                  <c:v>5.9218143000000003</c:v>
                </c:pt>
                <c:pt idx="414">
                  <c:v>5.6595645000000001</c:v>
                </c:pt>
                <c:pt idx="415">
                  <c:v>5.8188193999999998</c:v>
                </c:pt>
                <c:pt idx="416">
                  <c:v>5.8824965999999996</c:v>
                </c:pt>
                <c:pt idx="417">
                  <c:v>6.1469832999999996</c:v>
                </c:pt>
                <c:pt idx="418">
                  <c:v>6.1861221999999998</c:v>
                </c:pt>
                <c:pt idx="419">
                  <c:v>6.2657546000000002</c:v>
                </c:pt>
                <c:pt idx="420">
                  <c:v>6.3620191000000004</c:v>
                </c:pt>
                <c:pt idx="421">
                  <c:v>6.3394500000000003</c:v>
                </c:pt>
                <c:pt idx="422">
                  <c:v>6.4919272000000001</c:v>
                </c:pt>
                <c:pt idx="423">
                  <c:v>6.4584219000000003</c:v>
                </c:pt>
                <c:pt idx="424">
                  <c:v>6.2216866</c:v>
                </c:pt>
                <c:pt idx="425">
                  <c:v>6.6040209000000001</c:v>
                </c:pt>
                <c:pt idx="426">
                  <c:v>6.8164373999999999</c:v>
                </c:pt>
                <c:pt idx="427">
                  <c:v>6.8122417999999998</c:v>
                </c:pt>
                <c:pt idx="428">
                  <c:v>6.8556429000000003</c:v>
                </c:pt>
                <c:pt idx="429">
                  <c:v>6.9821901000000004</c:v>
                </c:pt>
                <c:pt idx="430">
                  <c:v>6.7479373999999996</c:v>
                </c:pt>
                <c:pt idx="431">
                  <c:v>6.4415551000000004</c:v>
                </c:pt>
                <c:pt idx="432">
                  <c:v>6.536797</c:v>
                </c:pt>
                <c:pt idx="433">
                  <c:v>5.9090515000000003</c:v>
                </c:pt>
                <c:pt idx="434">
                  <c:v>6.2235227999999996</c:v>
                </c:pt>
                <c:pt idx="435">
                  <c:v>6.1661073999999996</c:v>
                </c:pt>
                <c:pt idx="436">
                  <c:v>5.9403854999999997</c:v>
                </c:pt>
                <c:pt idx="437">
                  <c:v>6.0246285000000004</c:v>
                </c:pt>
                <c:pt idx="438">
                  <c:v>6.3639355999999996</c:v>
                </c:pt>
                <c:pt idx="439">
                  <c:v>5.9279903999999997</c:v>
                </c:pt>
                <c:pt idx="440">
                  <c:v>6.3166583999999997</c:v>
                </c:pt>
                <c:pt idx="441">
                  <c:v>5.6932758000000003</c:v>
                </c:pt>
                <c:pt idx="442">
                  <c:v>6.2285101999999997</c:v>
                </c:pt>
                <c:pt idx="443">
                  <c:v>5.9755634000000004</c:v>
                </c:pt>
                <c:pt idx="444">
                  <c:v>6.3291487999999996</c:v>
                </c:pt>
                <c:pt idx="445">
                  <c:v>5.8052061999999998</c:v>
                </c:pt>
                <c:pt idx="446">
                  <c:v>5.6369224000000004</c:v>
                </c:pt>
                <c:pt idx="447">
                  <c:v>5.5472203999999996</c:v>
                </c:pt>
                <c:pt idx="448">
                  <c:v>5.8095242999999996</c:v>
                </c:pt>
                <c:pt idx="449">
                  <c:v>5.6750528999999998</c:v>
                </c:pt>
                <c:pt idx="450">
                  <c:v>5.8666796999999997</c:v>
                </c:pt>
                <c:pt idx="451">
                  <c:v>5.5231973999999999</c:v>
                </c:pt>
                <c:pt idx="452">
                  <c:v>5.8139171000000003</c:v>
                </c:pt>
                <c:pt idx="453">
                  <c:v>5.8355487999999998</c:v>
                </c:pt>
                <c:pt idx="454">
                  <c:v>6.1007483999999996</c:v>
                </c:pt>
                <c:pt idx="455">
                  <c:v>6.0478233000000001</c:v>
                </c:pt>
                <c:pt idx="456">
                  <c:v>5.7603115000000003</c:v>
                </c:pt>
                <c:pt idx="457">
                  <c:v>5.9279149000000002</c:v>
                </c:pt>
                <c:pt idx="458">
                  <c:v>6.1581374000000002</c:v>
                </c:pt>
                <c:pt idx="459">
                  <c:v>6.1037844000000003</c:v>
                </c:pt>
                <c:pt idx="460">
                  <c:v>5.9771545000000001</c:v>
                </c:pt>
                <c:pt idx="461">
                  <c:v>5.9181495000000002</c:v>
                </c:pt>
                <c:pt idx="462">
                  <c:v>6.1330822999999999</c:v>
                </c:pt>
                <c:pt idx="463">
                  <c:v>6.0981576000000004</c:v>
                </c:pt>
                <c:pt idx="464">
                  <c:v>6.0179961999999998</c:v>
                </c:pt>
                <c:pt idx="465">
                  <c:v>5.7559664000000001</c:v>
                </c:pt>
                <c:pt idx="466">
                  <c:v>5.4914994000000004</c:v>
                </c:pt>
                <c:pt idx="467">
                  <c:v>6.1181548000000001</c:v>
                </c:pt>
                <c:pt idx="468">
                  <c:v>5.5351188000000002</c:v>
                </c:pt>
                <c:pt idx="469">
                  <c:v>5.6086733000000004</c:v>
                </c:pt>
                <c:pt idx="470">
                  <c:v>5.2125034000000001</c:v>
                </c:pt>
                <c:pt idx="471">
                  <c:v>5.1961399000000004</c:v>
                </c:pt>
                <c:pt idx="472">
                  <c:v>4.9877729999999998</c:v>
                </c:pt>
                <c:pt idx="473">
                  <c:v>5.5773469999999996</c:v>
                </c:pt>
                <c:pt idx="474">
                  <c:v>4.9781113000000001</c:v>
                </c:pt>
                <c:pt idx="475">
                  <c:v>4.750756</c:v>
                </c:pt>
                <c:pt idx="476">
                  <c:v>4.5845947999999996</c:v>
                </c:pt>
                <c:pt idx="477">
                  <c:v>4.5155959000000001</c:v>
                </c:pt>
                <c:pt idx="478">
                  <c:v>4.6042452999999997</c:v>
                </c:pt>
                <c:pt idx="479">
                  <c:v>4.1516862999999997</c:v>
                </c:pt>
                <c:pt idx="480">
                  <c:v>4.5420337999999996</c:v>
                </c:pt>
                <c:pt idx="481">
                  <c:v>4.7477339000000001</c:v>
                </c:pt>
                <c:pt idx="482">
                  <c:v>4.5801422000000001</c:v>
                </c:pt>
                <c:pt idx="483">
                  <c:v>4.8260500000000004</c:v>
                </c:pt>
                <c:pt idx="484">
                  <c:v>4.5198485000000002</c:v>
                </c:pt>
                <c:pt idx="485">
                  <c:v>4.8191914999999996</c:v>
                </c:pt>
                <c:pt idx="486">
                  <c:v>4.8862943000000003</c:v>
                </c:pt>
                <c:pt idx="487">
                  <c:v>4.9336552999999999</c:v>
                </c:pt>
                <c:pt idx="488">
                  <c:v>4.6987699999999997</c:v>
                </c:pt>
                <c:pt idx="489">
                  <c:v>4.7803025000000003</c:v>
                </c:pt>
                <c:pt idx="490">
                  <c:v>4.5485631</c:v>
                </c:pt>
                <c:pt idx="491">
                  <c:v>4.8480756999999999</c:v>
                </c:pt>
                <c:pt idx="492">
                  <c:v>5.2908659</c:v>
                </c:pt>
                <c:pt idx="493">
                  <c:v>5.2722737999999998</c:v>
                </c:pt>
                <c:pt idx="494">
                  <c:v>5.1139295000000002</c:v>
                </c:pt>
                <c:pt idx="495">
                  <c:v>5.9166705999999998</c:v>
                </c:pt>
                <c:pt idx="496">
                  <c:v>6.7465213000000004</c:v>
                </c:pt>
                <c:pt idx="497">
                  <c:v>7.5150787000000001</c:v>
                </c:pt>
                <c:pt idx="498">
                  <c:v>6.9474584999999998</c:v>
                </c:pt>
                <c:pt idx="499">
                  <c:v>7.0832269999999999</c:v>
                </c:pt>
                <c:pt idx="500">
                  <c:v>6.6902762999999998</c:v>
                </c:pt>
                <c:pt idx="501">
                  <c:v>7.2745331999999996</c:v>
                </c:pt>
                <c:pt idx="502">
                  <c:v>7.1295764999999998</c:v>
                </c:pt>
                <c:pt idx="503">
                  <c:v>6.4159566000000003</c:v>
                </c:pt>
                <c:pt idx="504">
                  <c:v>6.2286536000000003</c:v>
                </c:pt>
                <c:pt idx="505">
                  <c:v>5.6372159000000002</c:v>
                </c:pt>
                <c:pt idx="506">
                  <c:v>5.9818990999999997</c:v>
                </c:pt>
                <c:pt idx="507">
                  <c:v>5.3668563000000002</c:v>
                </c:pt>
                <c:pt idx="508">
                  <c:v>4.7251437000000003</c:v>
                </c:pt>
                <c:pt idx="509">
                  <c:v>4.5461140999999996</c:v>
                </c:pt>
                <c:pt idx="510">
                  <c:v>4.5627757000000004</c:v>
                </c:pt>
                <c:pt idx="511">
                  <c:v>4.019412</c:v>
                </c:pt>
                <c:pt idx="512">
                  <c:v>4.7186184000000004</c:v>
                </c:pt>
                <c:pt idx="513">
                  <c:v>5.5864621000000003</c:v>
                </c:pt>
                <c:pt idx="514">
                  <c:v>4.6947939999999999</c:v>
                </c:pt>
                <c:pt idx="515">
                  <c:v>4.2284113000000003</c:v>
                </c:pt>
                <c:pt idx="516">
                  <c:v>4.0406817000000004</c:v>
                </c:pt>
                <c:pt idx="517">
                  <c:v>4.1059396000000001</c:v>
                </c:pt>
                <c:pt idx="518">
                  <c:v>4.0348215999999999</c:v>
                </c:pt>
                <c:pt idx="519">
                  <c:v>4.1945011000000001</c:v>
                </c:pt>
                <c:pt idx="520">
                  <c:v>3.7557833999999999</c:v>
                </c:pt>
                <c:pt idx="521">
                  <c:v>3.298575</c:v>
                </c:pt>
                <c:pt idx="522">
                  <c:v>3.2225839000000001</c:v>
                </c:pt>
                <c:pt idx="523">
                  <c:v>3.7728720999999998</c:v>
                </c:pt>
                <c:pt idx="524">
                  <c:v>3.4854767</c:v>
                </c:pt>
                <c:pt idx="525">
                  <c:v>3.7061088999999998</c:v>
                </c:pt>
                <c:pt idx="526">
                  <c:v>3.6683517000000001</c:v>
                </c:pt>
                <c:pt idx="527">
                  <c:v>3.4830777999999998</c:v>
                </c:pt>
                <c:pt idx="528">
                  <c:v>4.0168536000000001</c:v>
                </c:pt>
                <c:pt idx="529">
                  <c:v>3.7169444999999999</c:v>
                </c:pt>
                <c:pt idx="530">
                  <c:v>3.6423306000000002</c:v>
                </c:pt>
                <c:pt idx="531">
                  <c:v>3.8823264000000002</c:v>
                </c:pt>
                <c:pt idx="532">
                  <c:v>3.6637773</c:v>
                </c:pt>
                <c:pt idx="533">
                  <c:v>3.6773362000000001</c:v>
                </c:pt>
                <c:pt idx="534">
                  <c:v>3.5819245</c:v>
                </c:pt>
                <c:pt idx="535">
                  <c:v>3.5134132</c:v>
                </c:pt>
                <c:pt idx="536">
                  <c:v>3.4643014000000001</c:v>
                </c:pt>
                <c:pt idx="537">
                  <c:v>3.7950892999999999</c:v>
                </c:pt>
              </c:numCache>
            </c:numRef>
          </c:val>
          <c:smooth val="0"/>
          <c:extLst>
            <c:ext xmlns:c16="http://schemas.microsoft.com/office/drawing/2014/chart" uri="{C3380CC4-5D6E-409C-BE32-E72D297353CC}">
              <c16:uniqueId val="{00000000-2D81-4E71-97DB-DD0C0265C2B8}"/>
            </c:ext>
          </c:extLst>
        </c:ser>
        <c:dLbls>
          <c:showLegendKey val="0"/>
          <c:showVal val="0"/>
          <c:showCatName val="0"/>
          <c:showSerName val="0"/>
          <c:showPercent val="0"/>
          <c:showBubbleSize val="0"/>
        </c:dLbls>
        <c:smooth val="0"/>
        <c:axId val="617058448"/>
        <c:axId val="617059888"/>
      </c:lineChart>
      <c:dateAx>
        <c:axId val="617058448"/>
        <c:scaling>
          <c:orientation val="minMax"/>
          <c:max val="45261"/>
        </c:scaling>
        <c:delete val="0"/>
        <c:axPos val="b"/>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75000"/>
                    <a:lumOff val="25000"/>
                  </a:schemeClr>
                </a:solidFill>
                <a:latin typeface="+mj-lt"/>
                <a:ea typeface="+mn-ea"/>
                <a:cs typeface="+mn-cs"/>
              </a:defRPr>
            </a:pPr>
            <a:endParaRPr lang="en-US"/>
          </a:p>
        </c:txPr>
        <c:crossAx val="617059888"/>
        <c:crosses val="autoZero"/>
        <c:auto val="1"/>
        <c:lblOffset val="100"/>
        <c:baseTimeUnit val="months"/>
        <c:majorUnit val="48"/>
        <c:majorTimeUnit val="months"/>
        <c:minorUnit val="12"/>
        <c:minorTimeUnit val="months"/>
      </c:dateAx>
      <c:valAx>
        <c:axId val="617059888"/>
        <c:scaling>
          <c:orientation val="minMax"/>
        </c:scaling>
        <c:delete val="0"/>
        <c:axPos val="l"/>
        <c:majorGridlines>
          <c:spPr>
            <a:ln w="6350" cap="flat" cmpd="sng" algn="ctr">
              <a:solidFill>
                <a:schemeClr val="tx1">
                  <a:lumMod val="50000"/>
                  <a:lumOff val="50000"/>
                </a:schemeClr>
              </a:solidFill>
              <a:prstDash val="lgDash"/>
              <a:round/>
            </a:ln>
            <a:effectLst/>
          </c:spPr>
        </c:majorGridlines>
        <c:title>
          <c:tx>
            <c:rich>
              <a:bodyPr rot="-5400000" spcFirstLastPara="1" vertOverflow="ellipsis" vert="horz" wrap="square" anchor="ctr" anchorCtr="1"/>
              <a:lstStyle/>
              <a:p>
                <a:pPr>
                  <a:defRPr sz="900" b="0" i="1" u="none" strike="noStrike" kern="1200" baseline="0">
                    <a:solidFill>
                      <a:schemeClr val="tx1">
                        <a:lumMod val="75000"/>
                        <a:lumOff val="25000"/>
                      </a:schemeClr>
                    </a:solidFill>
                    <a:latin typeface="+mj-lt"/>
                    <a:ea typeface="+mn-ea"/>
                    <a:cs typeface="+mn-cs"/>
                  </a:defRPr>
                </a:pPr>
                <a:r>
                  <a:rPr lang="en-AU" sz="900" i="1">
                    <a:latin typeface="+mj-lt"/>
                  </a:rPr>
                  <a:t>per cent</a:t>
                </a:r>
              </a:p>
            </c:rich>
          </c:tx>
          <c:overlay val="0"/>
          <c:spPr>
            <a:noFill/>
            <a:ln>
              <a:noFill/>
            </a:ln>
            <a:effectLst/>
          </c:spPr>
          <c:txPr>
            <a:bodyPr rot="-5400000" spcFirstLastPara="1" vertOverflow="ellipsis" vert="horz" wrap="square" anchor="ctr" anchorCtr="1"/>
            <a:lstStyle/>
            <a:p>
              <a:pPr>
                <a:defRPr sz="900" b="0" i="1" u="none" strike="noStrike" kern="1200" baseline="0">
                  <a:solidFill>
                    <a:schemeClr val="tx1">
                      <a:lumMod val="75000"/>
                      <a:lumOff val="25000"/>
                    </a:schemeClr>
                  </a:solidFill>
                  <a:latin typeface="+mj-lt"/>
                  <a:ea typeface="+mn-ea"/>
                  <a:cs typeface="+mn-cs"/>
                </a:defRPr>
              </a:pPr>
              <a:endParaRPr lang="en-US"/>
            </a:p>
          </c:txPr>
        </c:title>
        <c:numFmt formatCode="#,##0" sourceLinked="0"/>
        <c:majorTickMark val="out"/>
        <c:minorTickMark val="none"/>
        <c:tickLblPos val="nextTo"/>
        <c:spPr>
          <a:noFill/>
          <a:ln>
            <a:solidFill>
              <a:schemeClr val="tx1">
                <a:lumMod val="75000"/>
                <a:lumOff val="25000"/>
              </a:schemeClr>
            </a:solidFill>
          </a:ln>
          <a:effectLst/>
        </c:spPr>
        <c:txPr>
          <a:bodyPr rot="-6000000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crossAx val="6170584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lumMod val="75000"/>
              <a:lumOff val="25000"/>
            </a:schemeClr>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13945263884268"/>
          <c:y val="3.524609423822022E-2"/>
          <c:w val="0.85173487116927282"/>
          <c:h val="0.78185863297347624"/>
        </c:manualLayout>
      </c:layout>
      <c:lineChart>
        <c:grouping val="standard"/>
        <c:varyColors val="0"/>
        <c:ser>
          <c:idx val="3"/>
          <c:order val="0"/>
          <c:tx>
            <c:v>Real GSP</c:v>
          </c:tx>
          <c:spPr>
            <a:ln w="22225" cap="rnd">
              <a:solidFill>
                <a:sysClr val="windowText" lastClr="000000"/>
              </a:solidFill>
              <a:round/>
            </a:ln>
            <a:effectLst/>
          </c:spPr>
          <c:marker>
            <c:symbol val="none"/>
          </c:marker>
          <c:cat>
            <c:numRef>
              <c:f>'Comparsion with Budget Update'!$D$3:$Y$3</c:f>
              <c:numCache>
                <c:formatCode>mmm\-yy</c:formatCode>
                <c:ptCount val="22"/>
                <c:pt idx="0">
                  <c:v>44805</c:v>
                </c:pt>
                <c:pt idx="1">
                  <c:v>44896</c:v>
                </c:pt>
                <c:pt idx="2">
                  <c:v>44986</c:v>
                </c:pt>
                <c:pt idx="3">
                  <c:v>45078</c:v>
                </c:pt>
                <c:pt idx="4">
                  <c:v>45170</c:v>
                </c:pt>
                <c:pt idx="5">
                  <c:v>45261</c:v>
                </c:pt>
                <c:pt idx="6">
                  <c:v>45352</c:v>
                </c:pt>
                <c:pt idx="7">
                  <c:v>45444</c:v>
                </c:pt>
                <c:pt idx="8">
                  <c:v>45536</c:v>
                </c:pt>
                <c:pt idx="9">
                  <c:v>45627</c:v>
                </c:pt>
                <c:pt idx="10">
                  <c:v>45717</c:v>
                </c:pt>
                <c:pt idx="11">
                  <c:v>45809</c:v>
                </c:pt>
                <c:pt idx="12">
                  <c:v>45901</c:v>
                </c:pt>
                <c:pt idx="13">
                  <c:v>45992</c:v>
                </c:pt>
                <c:pt idx="14">
                  <c:v>46082</c:v>
                </c:pt>
                <c:pt idx="15">
                  <c:v>46174</c:v>
                </c:pt>
                <c:pt idx="16">
                  <c:v>46266</c:v>
                </c:pt>
                <c:pt idx="17">
                  <c:v>46357</c:v>
                </c:pt>
                <c:pt idx="18">
                  <c:v>46447</c:v>
                </c:pt>
                <c:pt idx="19">
                  <c:v>46539</c:v>
                </c:pt>
              </c:numCache>
            </c:numRef>
          </c:cat>
          <c:val>
            <c:numRef>
              <c:f>'Comparsion with Budget Update'!$D$4:$Y$4</c:f>
              <c:numCache>
                <c:formatCode>General</c:formatCode>
                <c:ptCount val="22"/>
                <c:pt idx="0">
                  <c:v>0</c:v>
                </c:pt>
                <c:pt idx="1">
                  <c:v>0</c:v>
                </c:pt>
                <c:pt idx="2">
                  <c:v>0</c:v>
                </c:pt>
                <c:pt idx="3" formatCode="0.00">
                  <c:v>0</c:v>
                </c:pt>
                <c:pt idx="4" formatCode="0.00">
                  <c:v>0</c:v>
                </c:pt>
                <c:pt idx="5" formatCode="0.00">
                  <c:v>0</c:v>
                </c:pt>
                <c:pt idx="6" formatCode="0.00">
                  <c:v>-7.9161400000000007E-2</c:v>
                </c:pt>
                <c:pt idx="7" formatCode="0.00">
                  <c:v>-0.47324500000000003</c:v>
                </c:pt>
                <c:pt idx="8" formatCode="0.00">
                  <c:v>-0.74312400000000001</c:v>
                </c:pt>
                <c:pt idx="9" formatCode="0.00">
                  <c:v>-0.652308</c:v>
                </c:pt>
                <c:pt idx="10" formatCode="0.00">
                  <c:v>-0.52602599999999999</c:v>
                </c:pt>
                <c:pt idx="11" formatCode="0.00">
                  <c:v>-0.39993499999999998</c:v>
                </c:pt>
                <c:pt idx="12" formatCode="0.00">
                  <c:v>-0.276418</c:v>
                </c:pt>
                <c:pt idx="13" formatCode="0.00">
                  <c:v>-0.15701999999999999</c:v>
                </c:pt>
                <c:pt idx="14" formatCode="0.00">
                  <c:v>-0.118131</c:v>
                </c:pt>
                <c:pt idx="15" formatCode="0.00">
                  <c:v>-0.119071</c:v>
                </c:pt>
                <c:pt idx="16" formatCode="0.00">
                  <c:v>-0.11726300000000001</c:v>
                </c:pt>
                <c:pt idx="17" formatCode="0.00">
                  <c:v>-0.11680699999999999</c:v>
                </c:pt>
                <c:pt idx="18" formatCode="0.00">
                  <c:v>-0.116935</c:v>
                </c:pt>
                <c:pt idx="19" formatCode="0.00">
                  <c:v>-0.117339</c:v>
                </c:pt>
              </c:numCache>
            </c:numRef>
          </c:val>
          <c:smooth val="0"/>
          <c:extLst>
            <c:ext xmlns:c16="http://schemas.microsoft.com/office/drawing/2014/chart" uri="{C3380CC4-5D6E-409C-BE32-E72D297353CC}">
              <c16:uniqueId val="{00000000-AD01-4D25-9FA0-2C433A0DDE23}"/>
            </c:ext>
          </c:extLst>
        </c:ser>
        <c:ser>
          <c:idx val="4"/>
          <c:order val="1"/>
          <c:tx>
            <c:v>Household consumption</c:v>
          </c:tx>
          <c:spPr>
            <a:ln>
              <a:solidFill>
                <a:srgbClr val="E7E6E6">
                  <a:lumMod val="50000"/>
                </a:srgbClr>
              </a:solidFill>
            </a:ln>
          </c:spPr>
          <c:marker>
            <c:symbol val="none"/>
          </c:marker>
          <c:cat>
            <c:numRef>
              <c:f>'Comparsion with Budget Update'!$D$3:$Y$3</c:f>
              <c:numCache>
                <c:formatCode>mmm\-yy</c:formatCode>
                <c:ptCount val="22"/>
                <c:pt idx="0">
                  <c:v>44805</c:v>
                </c:pt>
                <c:pt idx="1">
                  <c:v>44896</c:v>
                </c:pt>
                <c:pt idx="2">
                  <c:v>44986</c:v>
                </c:pt>
                <c:pt idx="3">
                  <c:v>45078</c:v>
                </c:pt>
                <c:pt idx="4">
                  <c:v>45170</c:v>
                </c:pt>
                <c:pt idx="5">
                  <c:v>45261</c:v>
                </c:pt>
                <c:pt idx="6">
                  <c:v>45352</c:v>
                </c:pt>
                <c:pt idx="7">
                  <c:v>45444</c:v>
                </c:pt>
                <c:pt idx="8">
                  <c:v>45536</c:v>
                </c:pt>
                <c:pt idx="9">
                  <c:v>45627</c:v>
                </c:pt>
                <c:pt idx="10">
                  <c:v>45717</c:v>
                </c:pt>
                <c:pt idx="11">
                  <c:v>45809</c:v>
                </c:pt>
                <c:pt idx="12">
                  <c:v>45901</c:v>
                </c:pt>
                <c:pt idx="13">
                  <c:v>45992</c:v>
                </c:pt>
                <c:pt idx="14">
                  <c:v>46082</c:v>
                </c:pt>
                <c:pt idx="15">
                  <c:v>46174</c:v>
                </c:pt>
                <c:pt idx="16">
                  <c:v>46266</c:v>
                </c:pt>
                <c:pt idx="17">
                  <c:v>46357</c:v>
                </c:pt>
                <c:pt idx="18">
                  <c:v>46447</c:v>
                </c:pt>
                <c:pt idx="19">
                  <c:v>46539</c:v>
                </c:pt>
              </c:numCache>
            </c:numRef>
          </c:cat>
          <c:val>
            <c:numRef>
              <c:f>'Comparsion with Budget Update'!$D$14:$Y$14</c:f>
              <c:numCache>
                <c:formatCode>General</c:formatCode>
                <c:ptCount val="22"/>
                <c:pt idx="0">
                  <c:v>0</c:v>
                </c:pt>
                <c:pt idx="1">
                  <c:v>0</c:v>
                </c:pt>
                <c:pt idx="2">
                  <c:v>0</c:v>
                </c:pt>
                <c:pt idx="3" formatCode="0.00">
                  <c:v>0</c:v>
                </c:pt>
                <c:pt idx="4" formatCode="0.00">
                  <c:v>0</c:v>
                </c:pt>
                <c:pt idx="5" formatCode="0.00">
                  <c:v>0</c:v>
                </c:pt>
                <c:pt idx="6" formatCode="0.00">
                  <c:v>-0.10276200000000001</c:v>
                </c:pt>
                <c:pt idx="7" formatCode="0.00">
                  <c:v>-0.61155800000000005</c:v>
                </c:pt>
                <c:pt idx="8" formatCode="0.00">
                  <c:v>-0.963198</c:v>
                </c:pt>
                <c:pt idx="9" formatCode="0.00">
                  <c:v>-0.86044100000000001</c:v>
                </c:pt>
                <c:pt idx="10" formatCode="0.00">
                  <c:v>-0.70804900000000004</c:v>
                </c:pt>
                <c:pt idx="11" formatCode="0.00">
                  <c:v>-0.55594200000000005</c:v>
                </c:pt>
                <c:pt idx="12" formatCode="0.00">
                  <c:v>-0.40431699999999998</c:v>
                </c:pt>
                <c:pt idx="13" formatCode="0.00">
                  <c:v>-0.25303199999999998</c:v>
                </c:pt>
                <c:pt idx="14" formatCode="0.00">
                  <c:v>-0.202457</c:v>
                </c:pt>
                <c:pt idx="15" formatCode="0.00">
                  <c:v>-0.20239299999999999</c:v>
                </c:pt>
                <c:pt idx="16" formatCode="0.00">
                  <c:v>-0.202071</c:v>
                </c:pt>
                <c:pt idx="17" formatCode="0.00">
                  <c:v>-0.201906</c:v>
                </c:pt>
                <c:pt idx="18" formatCode="0.00">
                  <c:v>-0.20180000000000001</c:v>
                </c:pt>
                <c:pt idx="19" formatCode="0.00">
                  <c:v>-0.20174</c:v>
                </c:pt>
              </c:numCache>
            </c:numRef>
          </c:val>
          <c:smooth val="0"/>
          <c:extLst>
            <c:ext xmlns:c16="http://schemas.microsoft.com/office/drawing/2014/chart" uri="{C3380CC4-5D6E-409C-BE32-E72D297353CC}">
              <c16:uniqueId val="{00000001-AD01-4D25-9FA0-2C433A0DDE23}"/>
            </c:ext>
          </c:extLst>
        </c:ser>
        <c:ser>
          <c:idx val="0"/>
          <c:order val="2"/>
          <c:tx>
            <c:v>Investment</c:v>
          </c:tx>
          <c:spPr>
            <a:ln>
              <a:solidFill>
                <a:sysClr val="window" lastClr="FFFFFF">
                  <a:lumMod val="85000"/>
                </a:sysClr>
              </a:solidFill>
            </a:ln>
          </c:spPr>
          <c:marker>
            <c:symbol val="none"/>
          </c:marker>
          <c:cat>
            <c:numRef>
              <c:f>'Comparsion with Budget Update'!$D$3:$Y$3</c:f>
              <c:numCache>
                <c:formatCode>mmm\-yy</c:formatCode>
                <c:ptCount val="22"/>
                <c:pt idx="0">
                  <c:v>44805</c:v>
                </c:pt>
                <c:pt idx="1">
                  <c:v>44896</c:v>
                </c:pt>
                <c:pt idx="2">
                  <c:v>44986</c:v>
                </c:pt>
                <c:pt idx="3">
                  <c:v>45078</c:v>
                </c:pt>
                <c:pt idx="4">
                  <c:v>45170</c:v>
                </c:pt>
                <c:pt idx="5">
                  <c:v>45261</c:v>
                </c:pt>
                <c:pt idx="6">
                  <c:v>45352</c:v>
                </c:pt>
                <c:pt idx="7">
                  <c:v>45444</c:v>
                </c:pt>
                <c:pt idx="8">
                  <c:v>45536</c:v>
                </c:pt>
                <c:pt idx="9">
                  <c:v>45627</c:v>
                </c:pt>
                <c:pt idx="10">
                  <c:v>45717</c:v>
                </c:pt>
                <c:pt idx="11">
                  <c:v>45809</c:v>
                </c:pt>
                <c:pt idx="12">
                  <c:v>45901</c:v>
                </c:pt>
                <c:pt idx="13">
                  <c:v>45992</c:v>
                </c:pt>
                <c:pt idx="14">
                  <c:v>46082</c:v>
                </c:pt>
                <c:pt idx="15">
                  <c:v>46174</c:v>
                </c:pt>
                <c:pt idx="16">
                  <c:v>46266</c:v>
                </c:pt>
                <c:pt idx="17">
                  <c:v>46357</c:v>
                </c:pt>
                <c:pt idx="18">
                  <c:v>46447</c:v>
                </c:pt>
                <c:pt idx="19">
                  <c:v>46539</c:v>
                </c:pt>
              </c:numCache>
            </c:numRef>
          </c:cat>
          <c:val>
            <c:numRef>
              <c:f>'Comparsion with Budget Update'!$D$26:$Y$26</c:f>
              <c:numCache>
                <c:formatCode>General</c:formatCode>
                <c:ptCount val="22"/>
                <c:pt idx="0">
                  <c:v>0</c:v>
                </c:pt>
                <c:pt idx="1">
                  <c:v>0</c:v>
                </c:pt>
                <c:pt idx="2">
                  <c:v>0</c:v>
                </c:pt>
                <c:pt idx="3" formatCode="0.00">
                  <c:v>0</c:v>
                </c:pt>
                <c:pt idx="4" formatCode="0.00">
                  <c:v>0</c:v>
                </c:pt>
                <c:pt idx="5" formatCode="0.00">
                  <c:v>0</c:v>
                </c:pt>
                <c:pt idx="6" formatCode="0.00">
                  <c:v>-0.111016</c:v>
                </c:pt>
                <c:pt idx="7" formatCode="0.00">
                  <c:v>-0.65556499999999995</c:v>
                </c:pt>
                <c:pt idx="8" formatCode="0.00">
                  <c:v>-1.0218700000000001</c:v>
                </c:pt>
                <c:pt idx="9" formatCode="0.00">
                  <c:v>-0.89558099999999996</c:v>
                </c:pt>
                <c:pt idx="10" formatCode="0.00">
                  <c:v>-0.71987400000000001</c:v>
                </c:pt>
                <c:pt idx="11" formatCode="0.00">
                  <c:v>-0.54888800000000004</c:v>
                </c:pt>
                <c:pt idx="12" formatCode="0.00">
                  <c:v>-0.38212200000000002</c:v>
                </c:pt>
                <c:pt idx="13" formatCode="0.00">
                  <c:v>-0.21878500000000001</c:v>
                </c:pt>
                <c:pt idx="14" formatCode="0.00">
                  <c:v>-0.165821</c:v>
                </c:pt>
                <c:pt idx="15" formatCode="0.00">
                  <c:v>-0.16774600000000001</c:v>
                </c:pt>
                <c:pt idx="16" formatCode="0.00">
                  <c:v>-0.16980799999999999</c:v>
                </c:pt>
                <c:pt idx="17" formatCode="0.00">
                  <c:v>-0.17166500000000001</c:v>
                </c:pt>
                <c:pt idx="18" formatCode="0.00">
                  <c:v>-0.173375</c:v>
                </c:pt>
                <c:pt idx="19" formatCode="0.00">
                  <c:v>-0.17496600000000001</c:v>
                </c:pt>
              </c:numCache>
            </c:numRef>
          </c:val>
          <c:smooth val="0"/>
          <c:extLst>
            <c:ext xmlns:c16="http://schemas.microsoft.com/office/drawing/2014/chart" uri="{C3380CC4-5D6E-409C-BE32-E72D297353CC}">
              <c16:uniqueId val="{00000002-AD01-4D25-9FA0-2C433A0DDE23}"/>
            </c:ext>
          </c:extLst>
        </c:ser>
        <c:dLbls>
          <c:showLegendKey val="0"/>
          <c:showVal val="0"/>
          <c:showCatName val="0"/>
          <c:showSerName val="0"/>
          <c:showPercent val="0"/>
          <c:showBubbleSize val="0"/>
        </c:dLbls>
        <c:smooth val="0"/>
        <c:axId val="1032676440"/>
        <c:axId val="1032677424"/>
        <c:extLst/>
      </c:lineChart>
      <c:dateAx>
        <c:axId val="1032676440"/>
        <c:scaling>
          <c:orientation val="minMax"/>
          <c:min val="44986"/>
        </c:scaling>
        <c:delete val="0"/>
        <c:axPos val="b"/>
        <c:numFmt formatCode="yyyy" sourceLinked="0"/>
        <c:majorTickMark val="out"/>
        <c:minorTickMark val="none"/>
        <c:tickLblPos val="low"/>
        <c:spPr>
          <a:noFill/>
          <a:ln w="9525" cap="flat" cmpd="sng" algn="ctr">
            <a:solidFill>
              <a:schemeClr val="tx1">
                <a:lumMod val="65000"/>
                <a:lumOff val="35000"/>
              </a:schemeClr>
            </a:solidFill>
            <a:round/>
          </a:ln>
          <a:effectLst/>
        </c:spPr>
        <c:txPr>
          <a:bodyPr rot="-60000000" vert="horz"/>
          <a:lstStyle/>
          <a:p>
            <a:pPr>
              <a:defRPr/>
            </a:pPr>
            <a:endParaRPr lang="en-US"/>
          </a:p>
        </c:txPr>
        <c:crossAx val="1032677424"/>
        <c:crosses val="autoZero"/>
        <c:auto val="0"/>
        <c:lblOffset val="100"/>
        <c:baseTimeUnit val="months"/>
        <c:majorUnit val="12"/>
        <c:majorTimeUnit val="months"/>
        <c:minorUnit val="1"/>
      </c:dateAx>
      <c:valAx>
        <c:axId val="1032677424"/>
        <c:scaling>
          <c:orientation val="minMax"/>
          <c:max val="0"/>
          <c:min val="-1.2"/>
        </c:scaling>
        <c:delete val="0"/>
        <c:axPos val="l"/>
        <c:majorGridlines>
          <c:spPr>
            <a:ln w="9525">
              <a:solidFill>
                <a:schemeClr val="bg1">
                  <a:lumMod val="65000"/>
                </a:schemeClr>
              </a:solidFill>
              <a:prstDash val="dash"/>
            </a:ln>
          </c:spPr>
        </c:majorGridlines>
        <c:title>
          <c:tx>
            <c:rich>
              <a:bodyPr/>
              <a:lstStyle/>
              <a:p>
                <a:pPr>
                  <a:defRPr b="0" i="1"/>
                </a:pPr>
                <a:r>
                  <a:rPr lang="en-AU" b="0" i="1"/>
                  <a:t>Percentage deviation from baseline</a:t>
                </a:r>
              </a:p>
            </c:rich>
          </c:tx>
          <c:layout>
            <c:manualLayout>
              <c:xMode val="edge"/>
              <c:yMode val="edge"/>
              <c:x val="2.5132314303015321E-3"/>
              <c:y val="0.13578207200082523"/>
            </c:manualLayout>
          </c:layout>
          <c:overlay val="0"/>
        </c:title>
        <c:numFmt formatCode="#,##0.0" sourceLinked="0"/>
        <c:majorTickMark val="out"/>
        <c:minorTickMark val="none"/>
        <c:tickLblPos val="nextTo"/>
        <c:spPr>
          <a:noFill/>
          <a:ln>
            <a:solidFill>
              <a:schemeClr val="tx1">
                <a:lumMod val="65000"/>
                <a:lumOff val="35000"/>
              </a:schemeClr>
            </a:solidFill>
          </a:ln>
          <a:effectLst/>
        </c:spPr>
        <c:txPr>
          <a:bodyPr rot="-60000000" vert="horz"/>
          <a:lstStyle/>
          <a:p>
            <a:pPr>
              <a:defRPr/>
            </a:pPr>
            <a:endParaRPr lang="en-US"/>
          </a:p>
        </c:txPr>
        <c:crossAx val="1032676440"/>
        <c:crossesAt val="1"/>
        <c:crossBetween val="between"/>
      </c:valAx>
      <c:spPr>
        <a:noFill/>
        <a:ln>
          <a:noFill/>
        </a:ln>
        <a:effectLst/>
      </c:spPr>
    </c:plotArea>
    <c:legend>
      <c:legendPos val="r"/>
      <c:layout>
        <c:manualLayout>
          <c:xMode val="edge"/>
          <c:yMode val="edge"/>
          <c:x val="0.1017950549271873"/>
          <c:y val="0.93071885870153392"/>
          <c:w val="0.85451351209209092"/>
          <c:h val="4.9558975265558268E-2"/>
        </c:manualLayout>
      </c:layout>
      <c:overlay val="0"/>
    </c:legend>
    <c:plotVisOnly val="1"/>
    <c:dispBlanksAs val="gap"/>
    <c:showDLblsOverMax val="0"/>
    <c:extLst/>
  </c:chart>
  <c:spPr>
    <a:solidFill>
      <a:sysClr val="window" lastClr="FFFFFF"/>
    </a:solidFill>
    <a:ln w="9525" cap="flat" cmpd="sng" algn="ctr">
      <a:noFill/>
      <a:round/>
    </a:ln>
    <a:effectLst/>
  </c:spPr>
  <c:txPr>
    <a:bodyPr/>
    <a:lstStyle/>
    <a:p>
      <a:pPr>
        <a:defRPr sz="900"/>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TF publications">
      <a:majorFont>
        <a:latin typeface="Calibri"/>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rtOrder xmlns="ec6be689-9527-440f-b175-31791d4b7128" xsi:nil="true"/>
    <Ordertoreviewin xmlns="ec6be689-9527-440f-b175-31791d4b7128" xsi:nil="true"/>
    <TaxCatchAll xmlns="0aed0524-ca5f-407b-8346-cce574c970c8" xsi:nil="true"/>
    <lcf76f155ced4ddcb4097134ff3c332f xmlns="ec6be689-9527-440f-b175-31791d4b7128">
      <Terms xmlns="http://schemas.microsoft.com/office/infopath/2007/PartnerControls"/>
    </lcf76f155ced4ddcb4097134ff3c332f>
    <SharedWithUsers xmlns="0aed0524-ca5f-407b-8346-cce574c970c8">
      <UserInfo>
        <DisplayName>Rick Harrison (DTF)</DisplayName>
        <AccountId>56</AccountId>
        <AccountType/>
      </UserInfo>
      <UserInfo>
        <DisplayName>Helen E Ratcliffe (DTF)</DisplayName>
        <AccountId>432</AccountId>
        <AccountType/>
      </UserInfo>
      <UserInfo>
        <DisplayName>Michael P Hutson (DTF)</DisplayName>
        <AccountId>41</AccountId>
        <AccountType/>
      </UserInfo>
      <UserInfo>
        <DisplayName>Sarah Colgan (DTF)</DisplayName>
        <AccountId>131</AccountId>
        <AccountType/>
      </UserInfo>
      <UserInfo>
        <DisplayName>Grace Cox (DTF)</DisplayName>
        <AccountId>160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BE71402CE03A44B01A26F91DBC9981" ma:contentTypeVersion="14" ma:contentTypeDescription="Create a new document." ma:contentTypeScope="" ma:versionID="6b61281211bfec4c27786b4b2e560569">
  <xsd:schema xmlns:xsd="http://www.w3.org/2001/XMLSchema" xmlns:xs="http://www.w3.org/2001/XMLSchema" xmlns:p="http://schemas.microsoft.com/office/2006/metadata/properties" xmlns:ns2="0aed0524-ca5f-407b-8346-cce574c970c8" xmlns:ns3="ec6be689-9527-440f-b175-31791d4b7128" targetNamespace="http://schemas.microsoft.com/office/2006/metadata/properties" ma:root="true" ma:fieldsID="a005663e509605b3dc4f29725ae5511f" ns2:_="" ns3:_="">
    <xsd:import namespace="0aed0524-ca5f-407b-8346-cce574c970c8"/>
    <xsd:import namespace="ec6be689-9527-440f-b175-31791d4b71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SortOrder" minOccurs="0"/>
                <xsd:element ref="ns3:Ordertoreviewin"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d0524-ca5f-407b-8346-cce574c970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bc82194-f5c9-4736-bc86-7bf91edf3e7e}" ma:internalName="TaxCatchAll" ma:showField="CatchAllData" ma:web="0aed0524-ca5f-407b-8346-cce574c970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6be689-9527-440f-b175-31791d4b71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SortOrder" ma:index="13" nillable="true" ma:displayName="SortOrder" ma:decimals="0" ma:description="Integer value to sort folder display non-alphabetically." ma:format="Dropdown" ma:internalName="SortOrder" ma:percentage="FALSE">
      <xsd:simpleType>
        <xsd:restriction base="dms:Number"/>
      </xsd:simpleType>
    </xsd:element>
    <xsd:element name="Ordertoreviewin" ma:index="14" nillable="true" ma:displayName="Order to review in" ma:format="Dropdown" ma:internalName="Ordertoreviewin" ma:percentage="FALSE">
      <xsd:simpleType>
        <xsd:restriction base="dms:Number"/>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F03A46BC-9BB5-4A55-805D-D2175A4FE77F}">
  <ds:schemaRefs>
    <ds:schemaRef ds:uri="http://schemas.openxmlformats.org/officeDocument/2006/bibliography"/>
  </ds:schemaRefs>
</ds:datastoreItem>
</file>

<file path=customXml/itemProps2.xml><?xml version="1.0" encoding="utf-8"?>
<ds:datastoreItem xmlns:ds="http://schemas.openxmlformats.org/officeDocument/2006/customXml" ds:itemID="{27695F57-A9D4-4146-BA95-24B201022014}">
  <ds:schemaRefs>
    <ds:schemaRef ds:uri="http://schemas.microsoft.com/sharepoint/v3/contenttype/forms"/>
  </ds:schemaRefs>
</ds:datastoreItem>
</file>

<file path=customXml/itemProps3.xml><?xml version="1.0" encoding="utf-8"?>
<ds:datastoreItem xmlns:ds="http://schemas.openxmlformats.org/officeDocument/2006/customXml" ds:itemID="{95967C85-5BC6-4288-ADFB-202D2E09C542}">
  <ds:schemaRefs>
    <ds:schemaRef ds:uri="http://schemas.microsoft.com/office/2006/metadata/properties"/>
    <ds:schemaRef ds:uri="http://schemas.microsoft.com/office/infopath/2007/PartnerControls"/>
    <ds:schemaRef ds:uri="ec6be689-9527-440f-b175-31791d4b7128"/>
    <ds:schemaRef ds:uri="0aed0524-ca5f-407b-8346-cce574c970c8"/>
  </ds:schemaRefs>
</ds:datastoreItem>
</file>

<file path=customXml/itemProps4.xml><?xml version="1.0" encoding="utf-8"?>
<ds:datastoreItem xmlns:ds="http://schemas.openxmlformats.org/officeDocument/2006/customXml" ds:itemID="{C7F548B0-492A-4353-A42A-538A8DE54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d0524-ca5f-407b-8346-cce574c970c8"/>
    <ds:schemaRef ds:uri="ec6be689-9527-440f-b175-31791d4b7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055459-FE85-415F-9FC8-371F1067D00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154</Pages>
  <Words>42091</Words>
  <Characters>239922</Characters>
  <Application>Microsoft Office Word</Application>
  <DocSecurity>0</DocSecurity>
  <Lines>1999</Lines>
  <Paragraphs>562</Paragraphs>
  <ScaleCrop>false</ScaleCrop>
  <HeadingPairs>
    <vt:vector size="2" baseType="variant">
      <vt:variant>
        <vt:lpstr>Title</vt:lpstr>
      </vt:variant>
      <vt:variant>
        <vt:i4>1</vt:i4>
      </vt:variant>
    </vt:vector>
  </HeadingPairs>
  <TitlesOfParts>
    <vt:vector size="1" baseType="lpstr">
      <vt:lpstr>2023-24 Budget Update</vt:lpstr>
    </vt:vector>
  </TitlesOfParts>
  <Company/>
  <LinksUpToDate>false</LinksUpToDate>
  <CharactersWithSpaces>281451</CharactersWithSpaces>
  <SharedDoc>false</SharedDoc>
  <HLinks>
    <vt:vector size="342" baseType="variant">
      <vt:variant>
        <vt:i4>1048635</vt:i4>
      </vt:variant>
      <vt:variant>
        <vt:i4>356</vt:i4>
      </vt:variant>
      <vt:variant>
        <vt:i4>0</vt:i4>
      </vt:variant>
      <vt:variant>
        <vt:i4>5</vt:i4>
      </vt:variant>
      <vt:variant>
        <vt:lpwstr/>
      </vt:variant>
      <vt:variant>
        <vt:lpwstr>_Toc149221100</vt:lpwstr>
      </vt:variant>
      <vt:variant>
        <vt:i4>1638458</vt:i4>
      </vt:variant>
      <vt:variant>
        <vt:i4>350</vt:i4>
      </vt:variant>
      <vt:variant>
        <vt:i4>0</vt:i4>
      </vt:variant>
      <vt:variant>
        <vt:i4>5</vt:i4>
      </vt:variant>
      <vt:variant>
        <vt:lpwstr/>
      </vt:variant>
      <vt:variant>
        <vt:lpwstr>_Toc149221099</vt:lpwstr>
      </vt:variant>
      <vt:variant>
        <vt:i4>1638458</vt:i4>
      </vt:variant>
      <vt:variant>
        <vt:i4>344</vt:i4>
      </vt:variant>
      <vt:variant>
        <vt:i4>0</vt:i4>
      </vt:variant>
      <vt:variant>
        <vt:i4>5</vt:i4>
      </vt:variant>
      <vt:variant>
        <vt:lpwstr/>
      </vt:variant>
      <vt:variant>
        <vt:lpwstr>_Toc149221098</vt:lpwstr>
      </vt:variant>
      <vt:variant>
        <vt:i4>1638458</vt:i4>
      </vt:variant>
      <vt:variant>
        <vt:i4>338</vt:i4>
      </vt:variant>
      <vt:variant>
        <vt:i4>0</vt:i4>
      </vt:variant>
      <vt:variant>
        <vt:i4>5</vt:i4>
      </vt:variant>
      <vt:variant>
        <vt:lpwstr/>
      </vt:variant>
      <vt:variant>
        <vt:lpwstr>_Toc149221097</vt:lpwstr>
      </vt:variant>
      <vt:variant>
        <vt:i4>1572922</vt:i4>
      </vt:variant>
      <vt:variant>
        <vt:i4>329</vt:i4>
      </vt:variant>
      <vt:variant>
        <vt:i4>0</vt:i4>
      </vt:variant>
      <vt:variant>
        <vt:i4>5</vt:i4>
      </vt:variant>
      <vt:variant>
        <vt:lpwstr/>
      </vt:variant>
      <vt:variant>
        <vt:lpwstr>_Toc149221083</vt:lpwstr>
      </vt:variant>
      <vt:variant>
        <vt:i4>1572922</vt:i4>
      </vt:variant>
      <vt:variant>
        <vt:i4>323</vt:i4>
      </vt:variant>
      <vt:variant>
        <vt:i4>0</vt:i4>
      </vt:variant>
      <vt:variant>
        <vt:i4>5</vt:i4>
      </vt:variant>
      <vt:variant>
        <vt:lpwstr/>
      </vt:variant>
      <vt:variant>
        <vt:lpwstr>_Toc149221082</vt:lpwstr>
      </vt:variant>
      <vt:variant>
        <vt:i4>1572922</vt:i4>
      </vt:variant>
      <vt:variant>
        <vt:i4>317</vt:i4>
      </vt:variant>
      <vt:variant>
        <vt:i4>0</vt:i4>
      </vt:variant>
      <vt:variant>
        <vt:i4>5</vt:i4>
      </vt:variant>
      <vt:variant>
        <vt:lpwstr/>
      </vt:variant>
      <vt:variant>
        <vt:lpwstr>_Toc149221081</vt:lpwstr>
      </vt:variant>
      <vt:variant>
        <vt:i4>1048626</vt:i4>
      </vt:variant>
      <vt:variant>
        <vt:i4>308</vt:i4>
      </vt:variant>
      <vt:variant>
        <vt:i4>0</vt:i4>
      </vt:variant>
      <vt:variant>
        <vt:i4>5</vt:i4>
      </vt:variant>
      <vt:variant>
        <vt:lpwstr/>
      </vt:variant>
      <vt:variant>
        <vt:lpwstr>_Toc150443758</vt:lpwstr>
      </vt:variant>
      <vt:variant>
        <vt:i4>1048626</vt:i4>
      </vt:variant>
      <vt:variant>
        <vt:i4>302</vt:i4>
      </vt:variant>
      <vt:variant>
        <vt:i4>0</vt:i4>
      </vt:variant>
      <vt:variant>
        <vt:i4>5</vt:i4>
      </vt:variant>
      <vt:variant>
        <vt:lpwstr/>
      </vt:variant>
      <vt:variant>
        <vt:lpwstr>_Toc150443757</vt:lpwstr>
      </vt:variant>
      <vt:variant>
        <vt:i4>1048626</vt:i4>
      </vt:variant>
      <vt:variant>
        <vt:i4>296</vt:i4>
      </vt:variant>
      <vt:variant>
        <vt:i4>0</vt:i4>
      </vt:variant>
      <vt:variant>
        <vt:i4>5</vt:i4>
      </vt:variant>
      <vt:variant>
        <vt:lpwstr/>
      </vt:variant>
      <vt:variant>
        <vt:lpwstr>_Toc150443756</vt:lpwstr>
      </vt:variant>
      <vt:variant>
        <vt:i4>1376314</vt:i4>
      </vt:variant>
      <vt:variant>
        <vt:i4>287</vt:i4>
      </vt:variant>
      <vt:variant>
        <vt:i4>0</vt:i4>
      </vt:variant>
      <vt:variant>
        <vt:i4>5</vt:i4>
      </vt:variant>
      <vt:variant>
        <vt:lpwstr/>
      </vt:variant>
      <vt:variant>
        <vt:lpwstr>_Toc149221059</vt:lpwstr>
      </vt:variant>
      <vt:variant>
        <vt:i4>1376314</vt:i4>
      </vt:variant>
      <vt:variant>
        <vt:i4>281</vt:i4>
      </vt:variant>
      <vt:variant>
        <vt:i4>0</vt:i4>
      </vt:variant>
      <vt:variant>
        <vt:i4>5</vt:i4>
      </vt:variant>
      <vt:variant>
        <vt:lpwstr/>
      </vt:variant>
      <vt:variant>
        <vt:lpwstr>_Toc149221058</vt:lpwstr>
      </vt:variant>
      <vt:variant>
        <vt:i4>1376314</vt:i4>
      </vt:variant>
      <vt:variant>
        <vt:i4>275</vt:i4>
      </vt:variant>
      <vt:variant>
        <vt:i4>0</vt:i4>
      </vt:variant>
      <vt:variant>
        <vt:i4>5</vt:i4>
      </vt:variant>
      <vt:variant>
        <vt:lpwstr/>
      </vt:variant>
      <vt:variant>
        <vt:lpwstr>_Toc149221057</vt:lpwstr>
      </vt:variant>
      <vt:variant>
        <vt:i4>1376314</vt:i4>
      </vt:variant>
      <vt:variant>
        <vt:i4>269</vt:i4>
      </vt:variant>
      <vt:variant>
        <vt:i4>0</vt:i4>
      </vt:variant>
      <vt:variant>
        <vt:i4>5</vt:i4>
      </vt:variant>
      <vt:variant>
        <vt:lpwstr/>
      </vt:variant>
      <vt:variant>
        <vt:lpwstr>_Toc149221056</vt:lpwstr>
      </vt:variant>
      <vt:variant>
        <vt:i4>1376314</vt:i4>
      </vt:variant>
      <vt:variant>
        <vt:i4>263</vt:i4>
      </vt:variant>
      <vt:variant>
        <vt:i4>0</vt:i4>
      </vt:variant>
      <vt:variant>
        <vt:i4>5</vt:i4>
      </vt:variant>
      <vt:variant>
        <vt:lpwstr/>
      </vt:variant>
      <vt:variant>
        <vt:lpwstr>_Toc149221055</vt:lpwstr>
      </vt:variant>
      <vt:variant>
        <vt:i4>1245242</vt:i4>
      </vt:variant>
      <vt:variant>
        <vt:i4>254</vt:i4>
      </vt:variant>
      <vt:variant>
        <vt:i4>0</vt:i4>
      </vt:variant>
      <vt:variant>
        <vt:i4>5</vt:i4>
      </vt:variant>
      <vt:variant>
        <vt:lpwstr/>
      </vt:variant>
      <vt:variant>
        <vt:lpwstr>_Toc149221034</vt:lpwstr>
      </vt:variant>
      <vt:variant>
        <vt:i4>1245242</vt:i4>
      </vt:variant>
      <vt:variant>
        <vt:i4>248</vt:i4>
      </vt:variant>
      <vt:variant>
        <vt:i4>0</vt:i4>
      </vt:variant>
      <vt:variant>
        <vt:i4>5</vt:i4>
      </vt:variant>
      <vt:variant>
        <vt:lpwstr/>
      </vt:variant>
      <vt:variant>
        <vt:lpwstr>_Toc149221033</vt:lpwstr>
      </vt:variant>
      <vt:variant>
        <vt:i4>1245242</vt:i4>
      </vt:variant>
      <vt:variant>
        <vt:i4>242</vt:i4>
      </vt:variant>
      <vt:variant>
        <vt:i4>0</vt:i4>
      </vt:variant>
      <vt:variant>
        <vt:i4>5</vt:i4>
      </vt:variant>
      <vt:variant>
        <vt:lpwstr/>
      </vt:variant>
      <vt:variant>
        <vt:lpwstr>_Toc149221032</vt:lpwstr>
      </vt:variant>
      <vt:variant>
        <vt:i4>1245242</vt:i4>
      </vt:variant>
      <vt:variant>
        <vt:i4>236</vt:i4>
      </vt:variant>
      <vt:variant>
        <vt:i4>0</vt:i4>
      </vt:variant>
      <vt:variant>
        <vt:i4>5</vt:i4>
      </vt:variant>
      <vt:variant>
        <vt:lpwstr/>
      </vt:variant>
      <vt:variant>
        <vt:lpwstr>_Toc149221031</vt:lpwstr>
      </vt:variant>
      <vt:variant>
        <vt:i4>1245242</vt:i4>
      </vt:variant>
      <vt:variant>
        <vt:i4>230</vt:i4>
      </vt:variant>
      <vt:variant>
        <vt:i4>0</vt:i4>
      </vt:variant>
      <vt:variant>
        <vt:i4>5</vt:i4>
      </vt:variant>
      <vt:variant>
        <vt:lpwstr/>
      </vt:variant>
      <vt:variant>
        <vt:lpwstr>_Toc149221030</vt:lpwstr>
      </vt:variant>
      <vt:variant>
        <vt:i4>1179706</vt:i4>
      </vt:variant>
      <vt:variant>
        <vt:i4>224</vt:i4>
      </vt:variant>
      <vt:variant>
        <vt:i4>0</vt:i4>
      </vt:variant>
      <vt:variant>
        <vt:i4>5</vt:i4>
      </vt:variant>
      <vt:variant>
        <vt:lpwstr/>
      </vt:variant>
      <vt:variant>
        <vt:lpwstr>_Toc149221029</vt:lpwstr>
      </vt:variant>
      <vt:variant>
        <vt:i4>1179706</vt:i4>
      </vt:variant>
      <vt:variant>
        <vt:i4>218</vt:i4>
      </vt:variant>
      <vt:variant>
        <vt:i4>0</vt:i4>
      </vt:variant>
      <vt:variant>
        <vt:i4>5</vt:i4>
      </vt:variant>
      <vt:variant>
        <vt:lpwstr/>
      </vt:variant>
      <vt:variant>
        <vt:lpwstr>_Toc149221028</vt:lpwstr>
      </vt:variant>
      <vt:variant>
        <vt:i4>1376307</vt:i4>
      </vt:variant>
      <vt:variant>
        <vt:i4>209</vt:i4>
      </vt:variant>
      <vt:variant>
        <vt:i4>0</vt:i4>
      </vt:variant>
      <vt:variant>
        <vt:i4>5</vt:i4>
      </vt:variant>
      <vt:variant>
        <vt:lpwstr/>
      </vt:variant>
      <vt:variant>
        <vt:lpwstr>_Toc150443605</vt:lpwstr>
      </vt:variant>
      <vt:variant>
        <vt:i4>1376307</vt:i4>
      </vt:variant>
      <vt:variant>
        <vt:i4>203</vt:i4>
      </vt:variant>
      <vt:variant>
        <vt:i4>0</vt:i4>
      </vt:variant>
      <vt:variant>
        <vt:i4>5</vt:i4>
      </vt:variant>
      <vt:variant>
        <vt:lpwstr/>
      </vt:variant>
      <vt:variant>
        <vt:lpwstr>_Toc150443604</vt:lpwstr>
      </vt:variant>
      <vt:variant>
        <vt:i4>1376307</vt:i4>
      </vt:variant>
      <vt:variant>
        <vt:i4>197</vt:i4>
      </vt:variant>
      <vt:variant>
        <vt:i4>0</vt:i4>
      </vt:variant>
      <vt:variant>
        <vt:i4>5</vt:i4>
      </vt:variant>
      <vt:variant>
        <vt:lpwstr/>
      </vt:variant>
      <vt:variant>
        <vt:lpwstr>_Toc150443603</vt:lpwstr>
      </vt:variant>
      <vt:variant>
        <vt:i4>1376307</vt:i4>
      </vt:variant>
      <vt:variant>
        <vt:i4>191</vt:i4>
      </vt:variant>
      <vt:variant>
        <vt:i4>0</vt:i4>
      </vt:variant>
      <vt:variant>
        <vt:i4>5</vt:i4>
      </vt:variant>
      <vt:variant>
        <vt:lpwstr/>
      </vt:variant>
      <vt:variant>
        <vt:lpwstr>_Toc150443602</vt:lpwstr>
      </vt:variant>
      <vt:variant>
        <vt:i4>1376307</vt:i4>
      </vt:variant>
      <vt:variant>
        <vt:i4>185</vt:i4>
      </vt:variant>
      <vt:variant>
        <vt:i4>0</vt:i4>
      </vt:variant>
      <vt:variant>
        <vt:i4>5</vt:i4>
      </vt:variant>
      <vt:variant>
        <vt:lpwstr/>
      </vt:variant>
      <vt:variant>
        <vt:lpwstr>_Toc150443601</vt:lpwstr>
      </vt:variant>
      <vt:variant>
        <vt:i4>1966128</vt:i4>
      </vt:variant>
      <vt:variant>
        <vt:i4>176</vt:i4>
      </vt:variant>
      <vt:variant>
        <vt:i4>0</vt:i4>
      </vt:variant>
      <vt:variant>
        <vt:i4>5</vt:i4>
      </vt:variant>
      <vt:variant>
        <vt:lpwstr/>
      </vt:variant>
      <vt:variant>
        <vt:lpwstr>_Toc152933064</vt:lpwstr>
      </vt:variant>
      <vt:variant>
        <vt:i4>1966128</vt:i4>
      </vt:variant>
      <vt:variant>
        <vt:i4>170</vt:i4>
      </vt:variant>
      <vt:variant>
        <vt:i4>0</vt:i4>
      </vt:variant>
      <vt:variant>
        <vt:i4>5</vt:i4>
      </vt:variant>
      <vt:variant>
        <vt:lpwstr/>
      </vt:variant>
      <vt:variant>
        <vt:lpwstr>_Toc152933063</vt:lpwstr>
      </vt:variant>
      <vt:variant>
        <vt:i4>1966128</vt:i4>
      </vt:variant>
      <vt:variant>
        <vt:i4>164</vt:i4>
      </vt:variant>
      <vt:variant>
        <vt:i4>0</vt:i4>
      </vt:variant>
      <vt:variant>
        <vt:i4>5</vt:i4>
      </vt:variant>
      <vt:variant>
        <vt:lpwstr/>
      </vt:variant>
      <vt:variant>
        <vt:lpwstr>_Toc152933060</vt:lpwstr>
      </vt:variant>
      <vt:variant>
        <vt:i4>1900592</vt:i4>
      </vt:variant>
      <vt:variant>
        <vt:i4>158</vt:i4>
      </vt:variant>
      <vt:variant>
        <vt:i4>0</vt:i4>
      </vt:variant>
      <vt:variant>
        <vt:i4>5</vt:i4>
      </vt:variant>
      <vt:variant>
        <vt:lpwstr/>
      </vt:variant>
      <vt:variant>
        <vt:lpwstr>_Toc152933057</vt:lpwstr>
      </vt:variant>
      <vt:variant>
        <vt:i4>1900592</vt:i4>
      </vt:variant>
      <vt:variant>
        <vt:i4>152</vt:i4>
      </vt:variant>
      <vt:variant>
        <vt:i4>0</vt:i4>
      </vt:variant>
      <vt:variant>
        <vt:i4>5</vt:i4>
      </vt:variant>
      <vt:variant>
        <vt:lpwstr/>
      </vt:variant>
      <vt:variant>
        <vt:lpwstr>_Toc152933056</vt:lpwstr>
      </vt:variant>
      <vt:variant>
        <vt:i4>1835056</vt:i4>
      </vt:variant>
      <vt:variant>
        <vt:i4>146</vt:i4>
      </vt:variant>
      <vt:variant>
        <vt:i4>0</vt:i4>
      </vt:variant>
      <vt:variant>
        <vt:i4>5</vt:i4>
      </vt:variant>
      <vt:variant>
        <vt:lpwstr/>
      </vt:variant>
      <vt:variant>
        <vt:lpwstr>_Toc152933042</vt:lpwstr>
      </vt:variant>
      <vt:variant>
        <vt:i4>1835056</vt:i4>
      </vt:variant>
      <vt:variant>
        <vt:i4>140</vt:i4>
      </vt:variant>
      <vt:variant>
        <vt:i4>0</vt:i4>
      </vt:variant>
      <vt:variant>
        <vt:i4>5</vt:i4>
      </vt:variant>
      <vt:variant>
        <vt:lpwstr/>
      </vt:variant>
      <vt:variant>
        <vt:lpwstr>_Toc152933041</vt:lpwstr>
      </vt:variant>
      <vt:variant>
        <vt:i4>1835056</vt:i4>
      </vt:variant>
      <vt:variant>
        <vt:i4>134</vt:i4>
      </vt:variant>
      <vt:variant>
        <vt:i4>0</vt:i4>
      </vt:variant>
      <vt:variant>
        <vt:i4>5</vt:i4>
      </vt:variant>
      <vt:variant>
        <vt:lpwstr/>
      </vt:variant>
      <vt:variant>
        <vt:lpwstr>_Toc152933040</vt:lpwstr>
      </vt:variant>
      <vt:variant>
        <vt:i4>1769520</vt:i4>
      </vt:variant>
      <vt:variant>
        <vt:i4>128</vt:i4>
      </vt:variant>
      <vt:variant>
        <vt:i4>0</vt:i4>
      </vt:variant>
      <vt:variant>
        <vt:i4>5</vt:i4>
      </vt:variant>
      <vt:variant>
        <vt:lpwstr/>
      </vt:variant>
      <vt:variant>
        <vt:lpwstr>_Toc152933039</vt:lpwstr>
      </vt:variant>
      <vt:variant>
        <vt:i4>1769520</vt:i4>
      </vt:variant>
      <vt:variant>
        <vt:i4>122</vt:i4>
      </vt:variant>
      <vt:variant>
        <vt:i4>0</vt:i4>
      </vt:variant>
      <vt:variant>
        <vt:i4>5</vt:i4>
      </vt:variant>
      <vt:variant>
        <vt:lpwstr/>
      </vt:variant>
      <vt:variant>
        <vt:lpwstr>_Toc152933038</vt:lpwstr>
      </vt:variant>
      <vt:variant>
        <vt:i4>1769520</vt:i4>
      </vt:variant>
      <vt:variant>
        <vt:i4>116</vt:i4>
      </vt:variant>
      <vt:variant>
        <vt:i4>0</vt:i4>
      </vt:variant>
      <vt:variant>
        <vt:i4>5</vt:i4>
      </vt:variant>
      <vt:variant>
        <vt:lpwstr/>
      </vt:variant>
      <vt:variant>
        <vt:lpwstr>_Toc152933037</vt:lpwstr>
      </vt:variant>
      <vt:variant>
        <vt:i4>1769520</vt:i4>
      </vt:variant>
      <vt:variant>
        <vt:i4>110</vt:i4>
      </vt:variant>
      <vt:variant>
        <vt:i4>0</vt:i4>
      </vt:variant>
      <vt:variant>
        <vt:i4>5</vt:i4>
      </vt:variant>
      <vt:variant>
        <vt:lpwstr/>
      </vt:variant>
      <vt:variant>
        <vt:lpwstr>_Toc152933035</vt:lpwstr>
      </vt:variant>
      <vt:variant>
        <vt:i4>1769520</vt:i4>
      </vt:variant>
      <vt:variant>
        <vt:i4>104</vt:i4>
      </vt:variant>
      <vt:variant>
        <vt:i4>0</vt:i4>
      </vt:variant>
      <vt:variant>
        <vt:i4>5</vt:i4>
      </vt:variant>
      <vt:variant>
        <vt:lpwstr/>
      </vt:variant>
      <vt:variant>
        <vt:lpwstr>_Toc152933034</vt:lpwstr>
      </vt:variant>
      <vt:variant>
        <vt:i4>1769520</vt:i4>
      </vt:variant>
      <vt:variant>
        <vt:i4>98</vt:i4>
      </vt:variant>
      <vt:variant>
        <vt:i4>0</vt:i4>
      </vt:variant>
      <vt:variant>
        <vt:i4>5</vt:i4>
      </vt:variant>
      <vt:variant>
        <vt:lpwstr/>
      </vt:variant>
      <vt:variant>
        <vt:lpwstr>_Toc152933032</vt:lpwstr>
      </vt:variant>
      <vt:variant>
        <vt:i4>1769520</vt:i4>
      </vt:variant>
      <vt:variant>
        <vt:i4>92</vt:i4>
      </vt:variant>
      <vt:variant>
        <vt:i4>0</vt:i4>
      </vt:variant>
      <vt:variant>
        <vt:i4>5</vt:i4>
      </vt:variant>
      <vt:variant>
        <vt:lpwstr/>
      </vt:variant>
      <vt:variant>
        <vt:lpwstr>_Toc152933031</vt:lpwstr>
      </vt:variant>
      <vt:variant>
        <vt:i4>1769520</vt:i4>
      </vt:variant>
      <vt:variant>
        <vt:i4>86</vt:i4>
      </vt:variant>
      <vt:variant>
        <vt:i4>0</vt:i4>
      </vt:variant>
      <vt:variant>
        <vt:i4>5</vt:i4>
      </vt:variant>
      <vt:variant>
        <vt:lpwstr/>
      </vt:variant>
      <vt:variant>
        <vt:lpwstr>_Toc152933030</vt:lpwstr>
      </vt:variant>
      <vt:variant>
        <vt:i4>1703984</vt:i4>
      </vt:variant>
      <vt:variant>
        <vt:i4>80</vt:i4>
      </vt:variant>
      <vt:variant>
        <vt:i4>0</vt:i4>
      </vt:variant>
      <vt:variant>
        <vt:i4>5</vt:i4>
      </vt:variant>
      <vt:variant>
        <vt:lpwstr/>
      </vt:variant>
      <vt:variant>
        <vt:lpwstr>_Toc152933029</vt:lpwstr>
      </vt:variant>
      <vt:variant>
        <vt:i4>1703984</vt:i4>
      </vt:variant>
      <vt:variant>
        <vt:i4>74</vt:i4>
      </vt:variant>
      <vt:variant>
        <vt:i4>0</vt:i4>
      </vt:variant>
      <vt:variant>
        <vt:i4>5</vt:i4>
      </vt:variant>
      <vt:variant>
        <vt:lpwstr/>
      </vt:variant>
      <vt:variant>
        <vt:lpwstr>_Toc152933028</vt:lpwstr>
      </vt:variant>
      <vt:variant>
        <vt:i4>1703984</vt:i4>
      </vt:variant>
      <vt:variant>
        <vt:i4>68</vt:i4>
      </vt:variant>
      <vt:variant>
        <vt:i4>0</vt:i4>
      </vt:variant>
      <vt:variant>
        <vt:i4>5</vt:i4>
      </vt:variant>
      <vt:variant>
        <vt:lpwstr/>
      </vt:variant>
      <vt:variant>
        <vt:lpwstr>_Toc152933027</vt:lpwstr>
      </vt:variant>
      <vt:variant>
        <vt:i4>1703984</vt:i4>
      </vt:variant>
      <vt:variant>
        <vt:i4>62</vt:i4>
      </vt:variant>
      <vt:variant>
        <vt:i4>0</vt:i4>
      </vt:variant>
      <vt:variant>
        <vt:i4>5</vt:i4>
      </vt:variant>
      <vt:variant>
        <vt:lpwstr/>
      </vt:variant>
      <vt:variant>
        <vt:lpwstr>_Toc152933026</vt:lpwstr>
      </vt:variant>
      <vt:variant>
        <vt:i4>1703984</vt:i4>
      </vt:variant>
      <vt:variant>
        <vt:i4>56</vt:i4>
      </vt:variant>
      <vt:variant>
        <vt:i4>0</vt:i4>
      </vt:variant>
      <vt:variant>
        <vt:i4>5</vt:i4>
      </vt:variant>
      <vt:variant>
        <vt:lpwstr/>
      </vt:variant>
      <vt:variant>
        <vt:lpwstr>_Toc152933025</vt:lpwstr>
      </vt:variant>
      <vt:variant>
        <vt:i4>1703984</vt:i4>
      </vt:variant>
      <vt:variant>
        <vt:i4>50</vt:i4>
      </vt:variant>
      <vt:variant>
        <vt:i4>0</vt:i4>
      </vt:variant>
      <vt:variant>
        <vt:i4>5</vt:i4>
      </vt:variant>
      <vt:variant>
        <vt:lpwstr/>
      </vt:variant>
      <vt:variant>
        <vt:lpwstr>_Toc152933024</vt:lpwstr>
      </vt:variant>
      <vt:variant>
        <vt:i4>1703984</vt:i4>
      </vt:variant>
      <vt:variant>
        <vt:i4>44</vt:i4>
      </vt:variant>
      <vt:variant>
        <vt:i4>0</vt:i4>
      </vt:variant>
      <vt:variant>
        <vt:i4>5</vt:i4>
      </vt:variant>
      <vt:variant>
        <vt:lpwstr/>
      </vt:variant>
      <vt:variant>
        <vt:lpwstr>_Toc152933023</vt:lpwstr>
      </vt:variant>
      <vt:variant>
        <vt:i4>1703984</vt:i4>
      </vt:variant>
      <vt:variant>
        <vt:i4>38</vt:i4>
      </vt:variant>
      <vt:variant>
        <vt:i4>0</vt:i4>
      </vt:variant>
      <vt:variant>
        <vt:i4>5</vt:i4>
      </vt:variant>
      <vt:variant>
        <vt:lpwstr/>
      </vt:variant>
      <vt:variant>
        <vt:lpwstr>_Toc152933022</vt:lpwstr>
      </vt:variant>
      <vt:variant>
        <vt:i4>1703984</vt:i4>
      </vt:variant>
      <vt:variant>
        <vt:i4>32</vt:i4>
      </vt:variant>
      <vt:variant>
        <vt:i4>0</vt:i4>
      </vt:variant>
      <vt:variant>
        <vt:i4>5</vt:i4>
      </vt:variant>
      <vt:variant>
        <vt:lpwstr/>
      </vt:variant>
      <vt:variant>
        <vt:lpwstr>_Toc152933021</vt:lpwstr>
      </vt:variant>
      <vt:variant>
        <vt:i4>1703984</vt:i4>
      </vt:variant>
      <vt:variant>
        <vt:i4>26</vt:i4>
      </vt:variant>
      <vt:variant>
        <vt:i4>0</vt:i4>
      </vt:variant>
      <vt:variant>
        <vt:i4>5</vt:i4>
      </vt:variant>
      <vt:variant>
        <vt:lpwstr/>
      </vt:variant>
      <vt:variant>
        <vt:lpwstr>_Toc152933020</vt:lpwstr>
      </vt:variant>
      <vt:variant>
        <vt:i4>1638448</vt:i4>
      </vt:variant>
      <vt:variant>
        <vt:i4>20</vt:i4>
      </vt:variant>
      <vt:variant>
        <vt:i4>0</vt:i4>
      </vt:variant>
      <vt:variant>
        <vt:i4>5</vt:i4>
      </vt:variant>
      <vt:variant>
        <vt:lpwstr/>
      </vt:variant>
      <vt:variant>
        <vt:lpwstr>_Toc152933019</vt:lpwstr>
      </vt:variant>
      <vt:variant>
        <vt:i4>1638448</vt:i4>
      </vt:variant>
      <vt:variant>
        <vt:i4>14</vt:i4>
      </vt:variant>
      <vt:variant>
        <vt:i4>0</vt:i4>
      </vt:variant>
      <vt:variant>
        <vt:i4>5</vt:i4>
      </vt:variant>
      <vt:variant>
        <vt:lpwstr/>
      </vt:variant>
      <vt:variant>
        <vt:lpwstr>_Toc152933018</vt:lpwstr>
      </vt:variant>
      <vt:variant>
        <vt:i4>1638448</vt:i4>
      </vt:variant>
      <vt:variant>
        <vt:i4>8</vt:i4>
      </vt:variant>
      <vt:variant>
        <vt:i4>0</vt:i4>
      </vt:variant>
      <vt:variant>
        <vt:i4>5</vt:i4>
      </vt:variant>
      <vt:variant>
        <vt:lpwstr/>
      </vt:variant>
      <vt:variant>
        <vt:lpwstr>_Toc152933017</vt:lpwstr>
      </vt:variant>
      <vt:variant>
        <vt:i4>1638448</vt:i4>
      </vt:variant>
      <vt:variant>
        <vt:i4>2</vt:i4>
      </vt:variant>
      <vt:variant>
        <vt:i4>0</vt:i4>
      </vt:variant>
      <vt:variant>
        <vt:i4>5</vt:i4>
      </vt:variant>
      <vt:variant>
        <vt:lpwstr/>
      </vt:variant>
      <vt:variant>
        <vt:lpwstr>_Toc152933016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Budget Update</dc:title>
  <dc:subject/>
  <dc:creator>Leigh Anlezark (DTF)</dc:creator>
  <cp:keywords/>
  <dc:description/>
  <cp:lastModifiedBy>Leigh Anlezark (DTF)</cp:lastModifiedBy>
  <cp:revision>408</cp:revision>
  <cp:lastPrinted>2023-11-12T09:36:00Z</cp:lastPrinted>
  <dcterms:created xsi:type="dcterms:W3CDTF">2023-10-29T01:29:00Z</dcterms:created>
  <dcterms:modified xsi:type="dcterms:W3CDTF">2023-12-13T23:57:00Z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4ee517-5ca4-4fff-98d2-ed4f906edd6d_Enabled">
    <vt:lpwstr>true</vt:lpwstr>
  </property>
  <property fmtid="{D5CDD505-2E9C-101B-9397-08002B2CF9AE}" pid="3" name="MSIP_Label_bb4ee517-5ca4-4fff-98d2-ed4f906edd6d_SetDate">
    <vt:lpwstr>2023-10-25T03:38:54Z</vt:lpwstr>
  </property>
  <property fmtid="{D5CDD505-2E9C-101B-9397-08002B2CF9AE}" pid="4" name="MSIP_Label_bb4ee517-5ca4-4fff-98d2-ed4f906edd6d_Method">
    <vt:lpwstr>Privileged</vt:lpwstr>
  </property>
  <property fmtid="{D5CDD505-2E9C-101B-9397-08002B2CF9AE}" pid="5" name="MSIP_Label_bb4ee517-5ca4-4fff-98d2-ed4f906edd6d_Name">
    <vt:lpwstr>bb4ee517-5ca4-4fff-98d2-ed4f906edd6d</vt:lpwstr>
  </property>
  <property fmtid="{D5CDD505-2E9C-101B-9397-08002B2CF9AE}" pid="6" name="MSIP_Label_bb4ee517-5ca4-4fff-98d2-ed4f906edd6d_SiteId">
    <vt:lpwstr>722ea0be-3e1c-4b11-ad6f-9401d6856e24</vt:lpwstr>
  </property>
  <property fmtid="{D5CDD505-2E9C-101B-9397-08002B2CF9AE}" pid="7" name="MSIP_Label_bb4ee517-5ca4-4fff-98d2-ed4f906edd6d_ActionId">
    <vt:lpwstr>a58b085f-52e9-4118-9194-e789a73f7c01</vt:lpwstr>
  </property>
  <property fmtid="{D5CDD505-2E9C-101B-9397-08002B2CF9AE}" pid="8" name="MSIP_Label_bb4ee517-5ca4-4fff-98d2-ed4f906edd6d_ContentBits">
    <vt:lpwstr>0</vt:lpwstr>
  </property>
  <property fmtid="{D5CDD505-2E9C-101B-9397-08002B2CF9AE}" pid="9" name="ContentTypeId">
    <vt:lpwstr>0x010100E4BE71402CE03A44B01A26F91DBC9981</vt:lpwstr>
  </property>
  <property fmtid="{D5CDD505-2E9C-101B-9397-08002B2CF9AE}" pid="10" name="MediaServiceImageTags">
    <vt:lpwstr/>
  </property>
</Properties>
</file>