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296" w:rsidRPr="004C7112" w:rsidRDefault="004C7112" w:rsidP="004C7112">
      <w:pPr>
        <w:pStyle w:val="Title"/>
      </w:pPr>
      <w:bookmarkStart w:id="0" w:name="_Toc442780672"/>
      <w:r w:rsidRPr="009E5E0A">
        <w:t>Community Support Fund</w:t>
      </w:r>
    </w:p>
    <w:p w:rsidR="006738C4" w:rsidRPr="001A636F" w:rsidRDefault="001A636F" w:rsidP="001A636F">
      <w:pPr>
        <w:pStyle w:val="TertiaryTitle"/>
        <w:rPr>
          <w:b/>
        </w:rPr>
      </w:pPr>
      <w:r w:rsidRPr="001A636F">
        <w:rPr>
          <w:b/>
        </w:rPr>
        <w:t>New Pr</w:t>
      </w:r>
      <w:r w:rsidR="00103F65">
        <w:rPr>
          <w:b/>
        </w:rPr>
        <w:t>ograms approved from 1 July 2017 to 30 June 2018</w:t>
      </w:r>
    </w:p>
    <w:tbl>
      <w:tblPr>
        <w:tblStyle w:val="DTFtexttable"/>
        <w:tblW w:w="9417" w:type="dxa"/>
        <w:tblLayout w:type="fixed"/>
        <w:tblLook w:val="0020" w:firstRow="1" w:lastRow="0" w:firstColumn="0" w:lastColumn="0" w:noHBand="0" w:noVBand="0"/>
      </w:tblPr>
      <w:tblGrid>
        <w:gridCol w:w="4877"/>
        <w:gridCol w:w="3118"/>
        <w:gridCol w:w="1422"/>
      </w:tblGrid>
      <w:tr w:rsidR="001A636F" w:rsidRPr="004C7112" w:rsidTr="00524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7" w:type="dxa"/>
          </w:tcPr>
          <w:bookmarkEnd w:id="0"/>
          <w:p w:rsidR="001A636F" w:rsidRPr="004C7112" w:rsidRDefault="001A636F" w:rsidP="004C7112">
            <w:pPr>
              <w:pStyle w:val="Tableheader"/>
            </w:pPr>
            <w:r w:rsidRPr="004C7112">
              <w:t>Program 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8" w:type="dxa"/>
          </w:tcPr>
          <w:p w:rsidR="001A636F" w:rsidRPr="004C7112" w:rsidRDefault="00134892" w:rsidP="004C7112">
            <w:pPr>
              <w:pStyle w:val="Tableheader"/>
            </w:pPr>
            <w:r w:rsidRPr="00134892">
              <w:t>Responsible area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1A636F" w:rsidRPr="004C7112" w:rsidRDefault="001A636F" w:rsidP="00FA3CD2">
            <w:pPr>
              <w:pStyle w:val="Tableheader"/>
              <w:jc w:val="right"/>
              <w:rPr>
                <w:highlight w:val="yellow"/>
              </w:rPr>
            </w:pPr>
            <w:r w:rsidRPr="004C7112">
              <w:t>$</w:t>
            </w:r>
          </w:p>
        </w:tc>
      </w:tr>
      <w:tr w:rsidR="00C21C07" w:rsidRPr="00C21C07" w:rsidTr="00794E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7" w:type="dxa"/>
            <w:gridSpan w:val="3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bCs/>
                <w:szCs w:val="17"/>
              </w:rPr>
            </w:pPr>
            <w:r w:rsidRPr="00A5422B">
              <w:rPr>
                <w:rFonts w:eastAsia="Times New Roman" w:cstheme="minorHAnsi"/>
                <w:b/>
                <w:i/>
                <w:color w:val="4D4D4D"/>
                <w:spacing w:val="0"/>
                <w:szCs w:val="17"/>
                <w:lang w:eastAsia="en-AU"/>
              </w:rPr>
              <w:t>Department of Economic Development, Jobs, Transport and Resources</w:t>
            </w:r>
          </w:p>
        </w:tc>
      </w:tr>
      <w:tr w:rsidR="00C21C07" w:rsidRPr="00C21C07" w:rsidTr="008578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7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>Barwon Heads Community Hall Upgrade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8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>Regional Development Victoria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C21C07" w:rsidRPr="00A5422B" w:rsidRDefault="00C21C07" w:rsidP="00C21C07">
            <w:pPr>
              <w:spacing w:before="30" w:after="30" w:line="240" w:lineRule="auto"/>
              <w:jc w:val="right"/>
              <w:rPr>
                <w:rFonts w:eastAsia="Times New Roman" w:cstheme="minorHAnsi"/>
                <w:bCs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bCs/>
                <w:color w:val="4D4D4D"/>
                <w:szCs w:val="17"/>
                <w:lang w:eastAsia="en-AU"/>
              </w:rPr>
              <w:t>110 000</w:t>
            </w:r>
          </w:p>
        </w:tc>
      </w:tr>
      <w:tr w:rsidR="00C21C07" w:rsidRPr="00C21C07" w:rsidTr="0085784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7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>Leopold Community Hall Upgrade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8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>Regional Development Victoria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C21C07" w:rsidRPr="00A5422B" w:rsidRDefault="00C21C07" w:rsidP="00C21C07">
            <w:pPr>
              <w:spacing w:before="30" w:after="30" w:line="240" w:lineRule="auto"/>
              <w:jc w:val="right"/>
              <w:rPr>
                <w:rFonts w:eastAsia="Times New Roman" w:cstheme="minorHAnsi"/>
                <w:bCs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bCs/>
                <w:color w:val="4D4D4D"/>
                <w:szCs w:val="17"/>
                <w:lang w:eastAsia="en-AU"/>
              </w:rPr>
              <w:t>75 400</w:t>
            </w:r>
          </w:p>
        </w:tc>
      </w:tr>
      <w:tr w:rsidR="00C21C07" w:rsidRPr="00C21C07" w:rsidTr="008578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7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>Port Fairy Streetscape Stage 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8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>Regional Development Victoria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C21C07" w:rsidRPr="00A5422B" w:rsidRDefault="00C21C07" w:rsidP="00C21C07">
            <w:pPr>
              <w:spacing w:before="30" w:after="30" w:line="240" w:lineRule="auto"/>
              <w:jc w:val="right"/>
              <w:rPr>
                <w:rFonts w:eastAsia="Times New Roman" w:cstheme="minorHAnsi"/>
                <w:bCs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bCs/>
                <w:color w:val="4D4D4D"/>
                <w:szCs w:val="17"/>
                <w:lang w:eastAsia="en-AU"/>
              </w:rPr>
              <w:t>500 000</w:t>
            </w:r>
          </w:p>
        </w:tc>
      </w:tr>
      <w:tr w:rsidR="00C21C07" w:rsidRPr="00C21C07" w:rsidTr="0085784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7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>3MBS Fine Music Melbourne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8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>Program Centre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C21C07" w:rsidRPr="00A5422B" w:rsidRDefault="00C21C07" w:rsidP="00C21C07">
            <w:pPr>
              <w:spacing w:before="30" w:after="30" w:line="240" w:lineRule="auto"/>
              <w:jc w:val="right"/>
              <w:rPr>
                <w:rFonts w:eastAsia="Times New Roman" w:cstheme="minorHAnsi"/>
                <w:bCs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bCs/>
                <w:color w:val="4D4D4D"/>
                <w:szCs w:val="17"/>
                <w:lang w:eastAsia="en-AU"/>
              </w:rPr>
              <w:t>100 000</w:t>
            </w:r>
          </w:p>
        </w:tc>
      </w:tr>
      <w:tr w:rsidR="00C21C07" w:rsidRPr="00C21C07" w:rsidTr="008578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7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>Relocation of PBS 106.7 FM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8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>Creative Victoria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C21C07" w:rsidRPr="00A5422B" w:rsidRDefault="00C21C07" w:rsidP="00C21C07">
            <w:pPr>
              <w:spacing w:before="30" w:after="30" w:line="240" w:lineRule="auto"/>
              <w:jc w:val="right"/>
              <w:rPr>
                <w:rFonts w:eastAsia="Times New Roman" w:cstheme="minorHAnsi"/>
                <w:bCs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bCs/>
                <w:color w:val="4D4D4D"/>
                <w:szCs w:val="17"/>
                <w:lang w:eastAsia="en-AU"/>
              </w:rPr>
              <w:t>500 000</w:t>
            </w:r>
          </w:p>
        </w:tc>
      </w:tr>
      <w:tr w:rsidR="00C21C07" w:rsidRPr="00C21C07" w:rsidTr="0085784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7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b/>
                <w:szCs w:val="17"/>
              </w:rPr>
            </w:pPr>
            <w:r w:rsidRPr="00A5422B">
              <w:rPr>
                <w:rFonts w:eastAsia="Times New Roman" w:cstheme="minorHAnsi"/>
                <w:b/>
                <w:bCs/>
                <w:i/>
                <w:szCs w:val="17"/>
              </w:rPr>
              <w:t>Department of Environment, Land, Water and Planning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8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szCs w:val="17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C21C07" w:rsidRPr="00A5422B" w:rsidRDefault="00C21C07" w:rsidP="00C21C07">
            <w:pPr>
              <w:spacing w:before="30" w:after="30" w:line="240" w:lineRule="auto"/>
              <w:jc w:val="right"/>
              <w:rPr>
                <w:rFonts w:eastAsia="Times New Roman" w:cstheme="minorHAnsi"/>
                <w:bCs/>
                <w:szCs w:val="17"/>
              </w:rPr>
            </w:pPr>
          </w:p>
        </w:tc>
      </w:tr>
      <w:tr w:rsidR="00C21C07" w:rsidRPr="00C21C07" w:rsidTr="008578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7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>Keep Victoria Beautiful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8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>Waste and Resource Recovery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C21C07" w:rsidRPr="00A5422B" w:rsidRDefault="00C21C07" w:rsidP="00C21C07">
            <w:pPr>
              <w:spacing w:before="30" w:after="30" w:line="240" w:lineRule="auto"/>
              <w:jc w:val="right"/>
              <w:rPr>
                <w:rFonts w:eastAsia="Times New Roman" w:cstheme="minorHAnsi"/>
                <w:bCs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bCs/>
                <w:color w:val="4D4D4D"/>
                <w:szCs w:val="17"/>
                <w:lang w:eastAsia="en-AU"/>
              </w:rPr>
              <w:t>529 500</w:t>
            </w:r>
          </w:p>
        </w:tc>
      </w:tr>
      <w:tr w:rsidR="00C21C07" w:rsidRPr="00C21C07" w:rsidTr="0085784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7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 xml:space="preserve">Eltham Girls Guide Hall Refurbishment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8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>Local Government Victoria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C21C07" w:rsidRPr="00A5422B" w:rsidRDefault="00C21C07" w:rsidP="00C21C07">
            <w:pPr>
              <w:spacing w:before="30" w:after="30" w:line="240" w:lineRule="auto"/>
              <w:jc w:val="right"/>
              <w:rPr>
                <w:rFonts w:eastAsia="Times New Roman" w:cstheme="minorHAnsi"/>
                <w:bCs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bCs/>
                <w:color w:val="4D4D4D"/>
                <w:szCs w:val="17"/>
                <w:lang w:eastAsia="en-AU"/>
              </w:rPr>
              <w:t>150 000</w:t>
            </w:r>
          </w:p>
        </w:tc>
      </w:tr>
      <w:tr w:rsidR="00C21C07" w:rsidRPr="00C21C07" w:rsidTr="008578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7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>Tallarook Community Hall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8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>Local Government Victoria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C21C07" w:rsidRPr="00A5422B" w:rsidRDefault="00C21C07" w:rsidP="00C21C07">
            <w:pPr>
              <w:spacing w:before="30" w:after="30" w:line="240" w:lineRule="auto"/>
              <w:jc w:val="right"/>
              <w:rPr>
                <w:rFonts w:eastAsia="Times New Roman" w:cstheme="minorHAnsi"/>
                <w:bCs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bCs/>
                <w:color w:val="4D4D4D"/>
                <w:szCs w:val="17"/>
                <w:lang w:eastAsia="en-AU"/>
              </w:rPr>
              <w:t>200 000</w:t>
            </w:r>
          </w:p>
        </w:tc>
      </w:tr>
      <w:tr w:rsidR="00C21C07" w:rsidRPr="00C21C07" w:rsidTr="0085784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7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b/>
                <w:szCs w:val="17"/>
              </w:rPr>
            </w:pPr>
            <w:r w:rsidRPr="00A5422B">
              <w:rPr>
                <w:rFonts w:eastAsia="Times New Roman" w:cstheme="minorHAnsi"/>
                <w:b/>
                <w:bCs/>
                <w:i/>
                <w:szCs w:val="17"/>
              </w:rPr>
              <w:t>Department of Education and Training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8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szCs w:val="17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C21C07" w:rsidRPr="00A5422B" w:rsidRDefault="00C21C07" w:rsidP="00C21C07">
            <w:pPr>
              <w:spacing w:before="30" w:after="30" w:line="240" w:lineRule="auto"/>
              <w:jc w:val="right"/>
              <w:rPr>
                <w:rFonts w:eastAsia="Times New Roman" w:cstheme="minorHAnsi"/>
                <w:bCs/>
                <w:szCs w:val="17"/>
              </w:rPr>
            </w:pPr>
          </w:p>
        </w:tc>
      </w:tr>
      <w:tr w:rsidR="00C21C07" w:rsidRPr="00C21C07" w:rsidTr="008578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7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>Fountain Gate Secondary College Rugby Academy Upgrade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8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>Victorian School Building Authority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C21C07" w:rsidRPr="00A5422B" w:rsidRDefault="00C21C07" w:rsidP="00C21C07">
            <w:pPr>
              <w:spacing w:before="30" w:after="30" w:line="240" w:lineRule="auto"/>
              <w:jc w:val="right"/>
              <w:rPr>
                <w:rFonts w:eastAsia="Times New Roman" w:cstheme="minorHAnsi"/>
                <w:bCs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bCs/>
                <w:color w:val="4D4D4D"/>
                <w:szCs w:val="17"/>
                <w:lang w:eastAsia="en-AU"/>
              </w:rPr>
              <w:t>500 000</w:t>
            </w:r>
          </w:p>
        </w:tc>
      </w:tr>
      <w:tr w:rsidR="00C21C07" w:rsidRPr="00C21C07" w:rsidTr="0085784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7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b/>
                <w:i/>
                <w:szCs w:val="17"/>
              </w:rPr>
            </w:pPr>
            <w:r w:rsidRPr="00A5422B">
              <w:rPr>
                <w:rFonts w:eastAsia="Times New Roman" w:cstheme="minorHAnsi"/>
                <w:b/>
                <w:i/>
                <w:szCs w:val="17"/>
              </w:rPr>
              <w:t>Department of Health and Human Services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8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szCs w:val="17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C21C07" w:rsidRPr="00A5422B" w:rsidRDefault="00C21C07" w:rsidP="00C21C07">
            <w:pPr>
              <w:spacing w:before="30" w:after="30" w:line="240" w:lineRule="auto"/>
              <w:jc w:val="right"/>
              <w:rPr>
                <w:rFonts w:eastAsia="Times New Roman" w:cstheme="minorHAnsi"/>
                <w:bCs/>
                <w:szCs w:val="17"/>
              </w:rPr>
            </w:pPr>
          </w:p>
        </w:tc>
      </w:tr>
      <w:tr w:rsidR="00C21C07" w:rsidRPr="00C21C07" w:rsidTr="008578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7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color w:val="4D4D4D"/>
                <w:szCs w:val="17"/>
                <w:lang w:eastAsia="en-AU"/>
              </w:rPr>
            </w:pPr>
            <w:proofErr w:type="spellStart"/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>Reclink</w:t>
            </w:r>
            <w:proofErr w:type="spellEnd"/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 xml:space="preserve"> Australia’s </w:t>
            </w:r>
            <w:proofErr w:type="spellStart"/>
            <w:r w:rsidR="003A763E">
              <w:rPr>
                <w:rFonts w:eastAsia="Times New Roman" w:cstheme="minorHAnsi"/>
                <w:color w:val="4D4D4D"/>
                <w:szCs w:val="17"/>
                <w:lang w:eastAsia="en-AU"/>
              </w:rPr>
              <w:t>ActiVic</w:t>
            </w:r>
            <w:bookmarkStart w:id="1" w:name="_GoBack"/>
            <w:bookmarkEnd w:id="1"/>
            <w:proofErr w:type="spellEnd"/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 xml:space="preserve"> Program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8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>Sport and Recreation Victoria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C21C07" w:rsidRPr="00A5422B" w:rsidRDefault="00C21C07" w:rsidP="00C21C07">
            <w:pPr>
              <w:spacing w:before="30" w:after="30" w:line="240" w:lineRule="auto"/>
              <w:jc w:val="right"/>
              <w:rPr>
                <w:rFonts w:eastAsia="Times New Roman" w:cstheme="minorHAnsi"/>
                <w:bCs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bCs/>
                <w:color w:val="4D4D4D"/>
                <w:szCs w:val="17"/>
                <w:lang w:eastAsia="en-AU"/>
              </w:rPr>
              <w:t>4 000 000</w:t>
            </w:r>
          </w:p>
        </w:tc>
      </w:tr>
      <w:tr w:rsidR="00C21C07" w:rsidRPr="00C21C07" w:rsidTr="0085784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7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>King George Reserve Pavilion Upgrade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8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>Sport and Recreation Victoria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C21C07" w:rsidRPr="00A5422B" w:rsidRDefault="00C21C07" w:rsidP="00C21C07">
            <w:pPr>
              <w:spacing w:before="30" w:after="30" w:line="240" w:lineRule="auto"/>
              <w:jc w:val="right"/>
              <w:rPr>
                <w:rFonts w:eastAsia="Times New Roman" w:cstheme="minorHAnsi"/>
                <w:bCs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bCs/>
                <w:color w:val="4D4D4D"/>
                <w:szCs w:val="17"/>
                <w:lang w:eastAsia="en-AU"/>
              </w:rPr>
              <w:t>275 000</w:t>
            </w:r>
          </w:p>
        </w:tc>
      </w:tr>
      <w:tr w:rsidR="00C21C07" w:rsidRPr="00C21C07" w:rsidTr="008578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7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 xml:space="preserve">Justice </w:t>
            </w:r>
            <w:proofErr w:type="spellStart"/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>Connect's</w:t>
            </w:r>
            <w:proofErr w:type="spellEnd"/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 xml:space="preserve"> Not-for-profit Law Program 2018-19 to 2019-20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8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>Diversity and Community Participation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C21C07" w:rsidRPr="00A5422B" w:rsidRDefault="00C21C07" w:rsidP="00C21C07">
            <w:pPr>
              <w:spacing w:before="30" w:after="30" w:line="240" w:lineRule="auto"/>
              <w:ind w:left="339"/>
              <w:jc w:val="right"/>
              <w:rPr>
                <w:rFonts w:eastAsia="Times New Roman" w:cstheme="minorHAnsi"/>
                <w:bCs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bCs/>
                <w:color w:val="4D4D4D"/>
                <w:szCs w:val="17"/>
                <w:lang w:eastAsia="en-AU"/>
              </w:rPr>
              <w:t>810 000</w:t>
            </w:r>
          </w:p>
        </w:tc>
      </w:tr>
      <w:tr w:rsidR="00C21C07" w:rsidRPr="00C21C07" w:rsidTr="0085784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7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>Extension for Alcohol and Drug Treatment Services Program 2018-19 to 2020-21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8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>Drug Policy and Reform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C21C07" w:rsidRPr="00A5422B" w:rsidRDefault="00C21C07" w:rsidP="00C21C07">
            <w:pPr>
              <w:spacing w:before="30" w:after="30" w:line="240" w:lineRule="auto"/>
              <w:jc w:val="right"/>
              <w:rPr>
                <w:rFonts w:eastAsia="Times New Roman" w:cstheme="minorHAnsi"/>
                <w:bCs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bCs/>
                <w:color w:val="4D4D4D"/>
                <w:szCs w:val="17"/>
                <w:lang w:eastAsia="en-AU"/>
              </w:rPr>
              <w:t>120 000 000</w:t>
            </w:r>
          </w:p>
        </w:tc>
      </w:tr>
      <w:tr w:rsidR="00C21C07" w:rsidRPr="00C21C07" w:rsidTr="008578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7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>Fitzroy Learning Network Upgrade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8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>Diversity and Community Participation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C21C07" w:rsidRPr="00A5422B" w:rsidRDefault="00C21C07" w:rsidP="00C21C07">
            <w:pPr>
              <w:spacing w:before="30" w:after="30" w:line="240" w:lineRule="auto"/>
              <w:jc w:val="right"/>
              <w:rPr>
                <w:rFonts w:eastAsia="Times New Roman" w:cstheme="minorHAnsi"/>
                <w:bCs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bCs/>
                <w:color w:val="4D4D4D"/>
                <w:szCs w:val="17"/>
                <w:lang w:eastAsia="en-AU"/>
              </w:rPr>
              <w:t>2 100 000</w:t>
            </w:r>
          </w:p>
        </w:tc>
      </w:tr>
      <w:tr w:rsidR="00C21C07" w:rsidRPr="00C21C07" w:rsidTr="0085784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7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>Her Heart Program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8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>Prevention, Population Health and Place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C21C07" w:rsidRPr="00A5422B" w:rsidRDefault="00C21C07" w:rsidP="00C21C07">
            <w:pPr>
              <w:spacing w:before="30" w:after="30" w:line="240" w:lineRule="auto"/>
              <w:jc w:val="right"/>
              <w:rPr>
                <w:rFonts w:eastAsia="Times New Roman" w:cstheme="minorHAnsi"/>
                <w:bCs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bCs/>
                <w:color w:val="4D4D4D"/>
                <w:szCs w:val="17"/>
                <w:lang w:eastAsia="en-AU"/>
              </w:rPr>
              <w:t>500 000</w:t>
            </w:r>
          </w:p>
        </w:tc>
      </w:tr>
      <w:tr w:rsidR="00C21C07" w:rsidRPr="00C21C07" w:rsidTr="008578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7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b/>
                <w:szCs w:val="17"/>
              </w:rPr>
            </w:pPr>
            <w:r w:rsidRPr="00A5422B">
              <w:rPr>
                <w:rFonts w:eastAsia="Times New Roman" w:cstheme="minorHAnsi"/>
                <w:b/>
                <w:bCs/>
                <w:i/>
                <w:szCs w:val="17"/>
              </w:rPr>
              <w:t>Department of Justice and Regulation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8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szCs w:val="17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C21C07" w:rsidRPr="00A5422B" w:rsidRDefault="00C21C07" w:rsidP="00C21C07">
            <w:pPr>
              <w:spacing w:before="30" w:after="30" w:line="240" w:lineRule="auto"/>
              <w:jc w:val="right"/>
              <w:rPr>
                <w:rFonts w:eastAsia="Times New Roman" w:cstheme="minorHAnsi"/>
                <w:bCs/>
                <w:szCs w:val="17"/>
              </w:rPr>
            </w:pPr>
          </w:p>
        </w:tc>
      </w:tr>
      <w:tr w:rsidR="00C21C07" w:rsidRPr="00C21C07" w:rsidTr="0085784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7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>Cape Paterson Lifesaving Club Redevelopment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8" w:type="dxa"/>
          </w:tcPr>
          <w:p w:rsidR="00C21C07" w:rsidRPr="00A5422B" w:rsidRDefault="00C21C07" w:rsidP="00C21C07">
            <w:pPr>
              <w:spacing w:before="30" w:after="30" w:line="240" w:lineRule="auto"/>
              <w:rPr>
                <w:rFonts w:eastAsia="Times New Roman" w:cstheme="minorHAnsi"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color w:val="4D4D4D"/>
                <w:szCs w:val="17"/>
                <w:lang w:eastAsia="en-AU"/>
              </w:rPr>
              <w:t>Emergency Management Victoria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C21C07" w:rsidRPr="00A5422B" w:rsidRDefault="00C21C07" w:rsidP="00C21C07">
            <w:pPr>
              <w:spacing w:before="30" w:after="30" w:line="240" w:lineRule="auto"/>
              <w:jc w:val="right"/>
              <w:rPr>
                <w:rFonts w:eastAsia="Times New Roman" w:cstheme="minorHAnsi"/>
                <w:bCs/>
                <w:color w:val="4D4D4D"/>
                <w:szCs w:val="17"/>
                <w:lang w:eastAsia="en-AU"/>
              </w:rPr>
            </w:pPr>
            <w:r w:rsidRPr="00A5422B">
              <w:rPr>
                <w:rFonts w:eastAsia="Times New Roman" w:cstheme="minorHAnsi"/>
                <w:bCs/>
                <w:color w:val="4D4D4D"/>
                <w:szCs w:val="17"/>
                <w:lang w:eastAsia="en-AU"/>
              </w:rPr>
              <w:t>800 000</w:t>
            </w:r>
          </w:p>
        </w:tc>
      </w:tr>
      <w:tr w:rsidR="00C21C07" w:rsidRPr="00203671" w:rsidTr="005243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7" w:type="dxa"/>
          </w:tcPr>
          <w:p w:rsidR="00C21C07" w:rsidRPr="00A5422B" w:rsidRDefault="00C21C07" w:rsidP="00C21C07">
            <w:pPr>
              <w:pStyle w:val="Tabletext"/>
              <w:rPr>
                <w:rFonts w:cstheme="minorHAnsi"/>
                <w:b/>
                <w:szCs w:val="17"/>
              </w:rPr>
            </w:pPr>
            <w:r w:rsidRPr="00A5422B">
              <w:rPr>
                <w:rFonts w:cstheme="minorHAnsi"/>
                <w:b/>
                <w:szCs w:val="17"/>
              </w:rPr>
              <w:t>Total program approvals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8" w:type="dxa"/>
          </w:tcPr>
          <w:p w:rsidR="00C21C07" w:rsidRPr="00A5422B" w:rsidRDefault="00C21C07" w:rsidP="00C21C07">
            <w:pPr>
              <w:pStyle w:val="Tabletext"/>
              <w:rPr>
                <w:rFonts w:cstheme="minorHAnsi"/>
                <w:b/>
                <w:szCs w:val="17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C21C07" w:rsidRPr="00A5422B" w:rsidRDefault="00C21C07" w:rsidP="00C21C07">
            <w:pPr>
              <w:pStyle w:val="Tabletextright"/>
              <w:rPr>
                <w:rFonts w:cstheme="minorHAnsi"/>
                <w:b/>
                <w:szCs w:val="17"/>
              </w:rPr>
            </w:pPr>
            <w:r w:rsidRPr="00A5422B">
              <w:rPr>
                <w:rFonts w:cstheme="minorHAnsi"/>
                <w:b/>
                <w:szCs w:val="17"/>
              </w:rPr>
              <w:t>131 149 900</w:t>
            </w:r>
          </w:p>
        </w:tc>
      </w:tr>
    </w:tbl>
    <w:p w:rsidR="001A636F" w:rsidRDefault="001A636F" w:rsidP="001A636F">
      <w:pPr>
        <w:pStyle w:val="NoteNormal"/>
      </w:pPr>
      <w:r>
        <w:t>Note:</w:t>
      </w:r>
    </w:p>
    <w:p w:rsidR="00227C39" w:rsidRDefault="001A636F" w:rsidP="001A636F">
      <w:pPr>
        <w:pStyle w:val="NoteNormal"/>
      </w:pPr>
      <w:r>
        <w:t>The list above shows total funding appro</w:t>
      </w:r>
      <w:r w:rsidR="00C80513">
        <w:t>ved for each program in the 2017-18</w:t>
      </w:r>
      <w:r>
        <w:t xml:space="preserve"> financial year. Expenditure has partially incurred in 201</w:t>
      </w:r>
      <w:r w:rsidR="00C80513">
        <w:t>7-18</w:t>
      </w:r>
      <w:r>
        <w:t xml:space="preserve"> and will</w:t>
      </w:r>
      <w:r w:rsidR="00C80513">
        <w:t xml:space="preserve"> continue to incur until 2020-21</w:t>
      </w:r>
      <w:r>
        <w:t>.</w:t>
      </w:r>
    </w:p>
    <w:p w:rsidR="001A636F" w:rsidRDefault="001A636F" w:rsidP="001A636F"/>
    <w:sectPr w:rsidR="001A636F" w:rsidSect="00F417C3">
      <w:headerReference w:type="default" r:id="rId8"/>
      <w:footerReference w:type="default" r:id="rId9"/>
      <w:pgSz w:w="11906" w:h="16838" w:code="9"/>
      <w:pgMar w:top="2160" w:right="1440" w:bottom="1350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F95" w:rsidRDefault="002E7F95" w:rsidP="002D711A">
      <w:pPr>
        <w:spacing w:after="0" w:line="240" w:lineRule="auto"/>
      </w:pPr>
      <w:r>
        <w:separator/>
      </w:r>
    </w:p>
  </w:endnote>
  <w:endnote w:type="continuationSeparator" w:id="0">
    <w:p w:rsidR="002E7F95" w:rsidRDefault="002E7F95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7C3" w:rsidRDefault="00F417C3" w:rsidP="004669E3">
    <w:pPr>
      <w:pStyle w:val="Spacer"/>
    </w:pPr>
  </w:p>
  <w:p w:rsidR="00F417C3" w:rsidRPr="004C7112" w:rsidRDefault="00F417C3" w:rsidP="0041689E">
    <w:pPr>
      <w:pStyle w:val="Footer"/>
      <w:rPr>
        <w:rFonts w:cstheme="minorHAnsi"/>
      </w:rPr>
    </w:pPr>
    <w:r w:rsidRPr="004C7112">
      <w:rPr>
        <w:rFonts w:cstheme="minorHAnsi"/>
        <w:b/>
        <w:noProof w:val="0"/>
        <w:color w:val="0063A6" w:themeColor="accent1"/>
      </w:rPr>
      <w:fldChar w:fldCharType="begin"/>
    </w:r>
    <w:r w:rsidRPr="004C7112">
      <w:rPr>
        <w:rFonts w:cstheme="minorHAnsi"/>
        <w:b/>
        <w:color w:val="0063A6" w:themeColor="accent1"/>
      </w:rPr>
      <w:instrText xml:space="preserve"> StyleRef “Title” </w:instrText>
    </w:r>
    <w:r w:rsidRPr="004C7112">
      <w:rPr>
        <w:rFonts w:cstheme="minorHAnsi"/>
        <w:b/>
        <w:noProof w:val="0"/>
        <w:color w:val="0063A6" w:themeColor="accent1"/>
      </w:rPr>
      <w:fldChar w:fldCharType="separate"/>
    </w:r>
    <w:r w:rsidR="003A763E">
      <w:rPr>
        <w:rFonts w:cstheme="minorHAnsi"/>
        <w:b/>
        <w:color w:val="0063A6" w:themeColor="accent1"/>
      </w:rPr>
      <w:t>Community Support Fund</w:t>
    </w:r>
    <w:r w:rsidRPr="004C7112">
      <w:rPr>
        <w:rFonts w:cstheme="minorHAnsi"/>
        <w:b/>
        <w:color w:val="0063A6" w:themeColor="accent1"/>
      </w:rPr>
      <w:fldChar w:fldCharType="end"/>
    </w:r>
    <w:r w:rsidR="006738C4" w:rsidRPr="004C7112">
      <w:rPr>
        <w:rFonts w:cstheme="minorHAnsi"/>
      </w:rPr>
      <w:t xml:space="preserve"> (</w:t>
    </w:r>
    <w:r w:rsidR="006738C4" w:rsidRPr="004C7112">
      <w:rPr>
        <w:rFonts w:cstheme="minorHAnsi"/>
        <w:noProof w:val="0"/>
      </w:rPr>
      <w:fldChar w:fldCharType="begin"/>
    </w:r>
    <w:r w:rsidR="006738C4" w:rsidRPr="004C7112">
      <w:rPr>
        <w:rFonts w:cstheme="minorHAnsi"/>
      </w:rPr>
      <w:instrText xml:space="preserve"> StyleRef “Tertiary Title” </w:instrText>
    </w:r>
    <w:r w:rsidR="006738C4" w:rsidRPr="004C7112">
      <w:rPr>
        <w:rFonts w:cstheme="minorHAnsi"/>
        <w:noProof w:val="0"/>
      </w:rPr>
      <w:fldChar w:fldCharType="separate"/>
    </w:r>
    <w:r w:rsidR="003A763E">
      <w:rPr>
        <w:rFonts w:cstheme="minorHAnsi"/>
      </w:rPr>
      <w:t>New Programs approved from 1 July 2017 to 30 June 2018</w:t>
    </w:r>
    <w:r w:rsidR="006738C4" w:rsidRPr="004C7112">
      <w:rPr>
        <w:rFonts w:cstheme="minorHAnsi"/>
      </w:rPr>
      <w:fldChar w:fldCharType="end"/>
    </w:r>
    <w:r w:rsidR="006738C4" w:rsidRPr="004C7112">
      <w:rPr>
        <w:rFonts w:cstheme="minorHAnsi"/>
      </w:rPr>
      <w:t xml:space="preserve">) </w:t>
    </w:r>
    <w:r w:rsidR="006738C4" w:rsidRPr="004C7112">
      <w:rPr>
        <w:rFonts w:cstheme="minorHAnsi"/>
      </w:rPr>
      <w:tab/>
    </w:r>
    <w:r w:rsidRPr="004C7112">
      <w:rPr>
        <w:rFonts w:cstheme="minorHAnsi"/>
      </w:rPr>
      <w:t xml:space="preserve">Page </w:t>
    </w:r>
    <w:r w:rsidRPr="004C7112">
      <w:rPr>
        <w:rStyle w:val="PageNumber"/>
        <w:rFonts w:cstheme="minorHAnsi"/>
      </w:rPr>
      <w:fldChar w:fldCharType="begin"/>
    </w:r>
    <w:r w:rsidRPr="004C7112">
      <w:rPr>
        <w:rStyle w:val="PageNumber"/>
        <w:rFonts w:cstheme="minorHAnsi"/>
      </w:rPr>
      <w:instrText xml:space="preserve"> Page </w:instrText>
    </w:r>
    <w:r w:rsidRPr="004C7112">
      <w:rPr>
        <w:rStyle w:val="PageNumber"/>
        <w:rFonts w:cstheme="minorHAnsi"/>
      </w:rPr>
      <w:fldChar w:fldCharType="separate"/>
    </w:r>
    <w:r w:rsidR="007A3B8C">
      <w:rPr>
        <w:rStyle w:val="PageNumber"/>
        <w:rFonts w:cstheme="minorHAnsi"/>
      </w:rPr>
      <w:t>1</w:t>
    </w:r>
    <w:r w:rsidRPr="004C7112">
      <w:rPr>
        <w:rStyle w:val="PageNumber"/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F95" w:rsidRDefault="002E7F95" w:rsidP="002D711A">
      <w:pPr>
        <w:spacing w:after="0" w:line="240" w:lineRule="auto"/>
      </w:pPr>
      <w:r>
        <w:separator/>
      </w:r>
    </w:p>
  </w:footnote>
  <w:footnote w:type="continuationSeparator" w:id="0">
    <w:p w:rsidR="002E7F95" w:rsidRDefault="002E7F95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7C3" w:rsidRPr="0041689E" w:rsidRDefault="00F417C3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5A46C3D9" wp14:editId="67D4397E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53AE728F" wp14:editId="666DC558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2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FF6861"/>
    <w:multiLevelType w:val="hybridMultilevel"/>
    <w:tmpl w:val="8ABE426E"/>
    <w:lvl w:ilvl="0" w:tplc="D376EB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4" w15:restartNumberingAfterBreak="0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6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2"/>
  </w:num>
  <w:num w:numId="18">
    <w:abstractNumId w:val="2"/>
  </w:num>
  <w:num w:numId="19">
    <w:abstractNumId w:val="5"/>
  </w:num>
  <w:num w:numId="20">
    <w:abstractNumId w:val="4"/>
  </w:num>
  <w:num w:numId="21">
    <w:abstractNumId w:val="0"/>
  </w:num>
  <w:num w:numId="22">
    <w:abstractNumId w:val="0"/>
  </w:num>
  <w:num w:numId="23">
    <w:abstractNumId w:val="0"/>
  </w:num>
  <w:num w:numId="24">
    <w:abstractNumId w:val="5"/>
  </w:num>
  <w:num w:numId="25">
    <w:abstractNumId w:val="6"/>
  </w:num>
  <w:num w:numId="26">
    <w:abstractNumId w:val="2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128"/>
    <w:rsid w:val="00012F6F"/>
    <w:rsid w:val="00014213"/>
    <w:rsid w:val="00014B55"/>
    <w:rsid w:val="00016D48"/>
    <w:rsid w:val="00020E3E"/>
    <w:rsid w:val="00023BF3"/>
    <w:rsid w:val="00026811"/>
    <w:rsid w:val="00043296"/>
    <w:rsid w:val="0004356D"/>
    <w:rsid w:val="00045296"/>
    <w:rsid w:val="00075E6C"/>
    <w:rsid w:val="000B29AD"/>
    <w:rsid w:val="000C0A64"/>
    <w:rsid w:val="000C6372"/>
    <w:rsid w:val="000D593F"/>
    <w:rsid w:val="000E392D"/>
    <w:rsid w:val="000F4288"/>
    <w:rsid w:val="000F5325"/>
    <w:rsid w:val="000F7165"/>
    <w:rsid w:val="00102379"/>
    <w:rsid w:val="00103365"/>
    <w:rsid w:val="00103F65"/>
    <w:rsid w:val="001065D6"/>
    <w:rsid w:val="00121252"/>
    <w:rsid w:val="00124609"/>
    <w:rsid w:val="001254CE"/>
    <w:rsid w:val="00126AF9"/>
    <w:rsid w:val="00134892"/>
    <w:rsid w:val="00134CEA"/>
    <w:rsid w:val="001422CC"/>
    <w:rsid w:val="001617B6"/>
    <w:rsid w:val="00165E66"/>
    <w:rsid w:val="001A3DD1"/>
    <w:rsid w:val="001A636F"/>
    <w:rsid w:val="001C7BAE"/>
    <w:rsid w:val="001D717E"/>
    <w:rsid w:val="001E31FA"/>
    <w:rsid w:val="001E64F6"/>
    <w:rsid w:val="00200BB3"/>
    <w:rsid w:val="00203671"/>
    <w:rsid w:val="00222BEB"/>
    <w:rsid w:val="00225E60"/>
    <w:rsid w:val="00227C39"/>
    <w:rsid w:val="0023202C"/>
    <w:rsid w:val="00236203"/>
    <w:rsid w:val="00245043"/>
    <w:rsid w:val="002501B3"/>
    <w:rsid w:val="00257760"/>
    <w:rsid w:val="00292D36"/>
    <w:rsid w:val="00297281"/>
    <w:rsid w:val="002C432F"/>
    <w:rsid w:val="002C54E0"/>
    <w:rsid w:val="002D711A"/>
    <w:rsid w:val="002D7336"/>
    <w:rsid w:val="002E3396"/>
    <w:rsid w:val="002E7F95"/>
    <w:rsid w:val="0031149C"/>
    <w:rsid w:val="003839FE"/>
    <w:rsid w:val="0038771C"/>
    <w:rsid w:val="00392A8F"/>
    <w:rsid w:val="0039405B"/>
    <w:rsid w:val="003A1C92"/>
    <w:rsid w:val="003A541A"/>
    <w:rsid w:val="003A6923"/>
    <w:rsid w:val="003A763E"/>
    <w:rsid w:val="003C2C67"/>
    <w:rsid w:val="003C2EA2"/>
    <w:rsid w:val="003C5BA4"/>
    <w:rsid w:val="003E3E26"/>
    <w:rsid w:val="003F1295"/>
    <w:rsid w:val="003F76FC"/>
    <w:rsid w:val="004002EB"/>
    <w:rsid w:val="00405C57"/>
    <w:rsid w:val="0041689E"/>
    <w:rsid w:val="004236C8"/>
    <w:rsid w:val="00427681"/>
    <w:rsid w:val="00433DB7"/>
    <w:rsid w:val="00453750"/>
    <w:rsid w:val="00456941"/>
    <w:rsid w:val="004669E3"/>
    <w:rsid w:val="004702EA"/>
    <w:rsid w:val="00482D02"/>
    <w:rsid w:val="004A7519"/>
    <w:rsid w:val="004B41CA"/>
    <w:rsid w:val="004C7112"/>
    <w:rsid w:val="004D3518"/>
    <w:rsid w:val="004D62D6"/>
    <w:rsid w:val="005243F5"/>
    <w:rsid w:val="0053416C"/>
    <w:rsid w:val="00541C2F"/>
    <w:rsid w:val="00563527"/>
    <w:rsid w:val="00563794"/>
    <w:rsid w:val="0058124E"/>
    <w:rsid w:val="00584301"/>
    <w:rsid w:val="005875A3"/>
    <w:rsid w:val="005A3416"/>
    <w:rsid w:val="005B27FE"/>
    <w:rsid w:val="005C3E6D"/>
    <w:rsid w:val="005D6FD8"/>
    <w:rsid w:val="005E6553"/>
    <w:rsid w:val="005F331D"/>
    <w:rsid w:val="005F61DF"/>
    <w:rsid w:val="006023F9"/>
    <w:rsid w:val="00610559"/>
    <w:rsid w:val="006332F6"/>
    <w:rsid w:val="006353D7"/>
    <w:rsid w:val="006361E7"/>
    <w:rsid w:val="00652625"/>
    <w:rsid w:val="006534B2"/>
    <w:rsid w:val="0065615D"/>
    <w:rsid w:val="00657011"/>
    <w:rsid w:val="006650B5"/>
    <w:rsid w:val="006651B1"/>
    <w:rsid w:val="00665778"/>
    <w:rsid w:val="006738C4"/>
    <w:rsid w:val="00685E2E"/>
    <w:rsid w:val="00691C09"/>
    <w:rsid w:val="006A5B34"/>
    <w:rsid w:val="006A5F5B"/>
    <w:rsid w:val="006B655C"/>
    <w:rsid w:val="006C6EE9"/>
    <w:rsid w:val="006C77A9"/>
    <w:rsid w:val="006F6693"/>
    <w:rsid w:val="00707FE8"/>
    <w:rsid w:val="00724962"/>
    <w:rsid w:val="00724A0F"/>
    <w:rsid w:val="0073072C"/>
    <w:rsid w:val="007320B4"/>
    <w:rsid w:val="00732162"/>
    <w:rsid w:val="00736732"/>
    <w:rsid w:val="00750CBE"/>
    <w:rsid w:val="00766B5A"/>
    <w:rsid w:val="00775BD6"/>
    <w:rsid w:val="0078201C"/>
    <w:rsid w:val="007834F2"/>
    <w:rsid w:val="00791020"/>
    <w:rsid w:val="007A3B8C"/>
    <w:rsid w:val="007A5F82"/>
    <w:rsid w:val="007B75A4"/>
    <w:rsid w:val="007D3128"/>
    <w:rsid w:val="007F1A4C"/>
    <w:rsid w:val="008022C3"/>
    <w:rsid w:val="008041E6"/>
    <w:rsid w:val="008065D2"/>
    <w:rsid w:val="0082194C"/>
    <w:rsid w:val="008220C4"/>
    <w:rsid w:val="008222FF"/>
    <w:rsid w:val="008241FF"/>
    <w:rsid w:val="008411E9"/>
    <w:rsid w:val="0084200F"/>
    <w:rsid w:val="00843B2C"/>
    <w:rsid w:val="008471C4"/>
    <w:rsid w:val="008A4900"/>
    <w:rsid w:val="008D0281"/>
    <w:rsid w:val="008E3C4E"/>
    <w:rsid w:val="008F6D45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C637A"/>
    <w:rsid w:val="009E3858"/>
    <w:rsid w:val="009E70DD"/>
    <w:rsid w:val="009F2ED9"/>
    <w:rsid w:val="009F3231"/>
    <w:rsid w:val="009F5C58"/>
    <w:rsid w:val="00A023A0"/>
    <w:rsid w:val="00A1562B"/>
    <w:rsid w:val="00A170F4"/>
    <w:rsid w:val="00A21E40"/>
    <w:rsid w:val="00A2559E"/>
    <w:rsid w:val="00A25FD9"/>
    <w:rsid w:val="00A41ED1"/>
    <w:rsid w:val="00A46BA8"/>
    <w:rsid w:val="00A47634"/>
    <w:rsid w:val="00A5422B"/>
    <w:rsid w:val="00A612FE"/>
    <w:rsid w:val="00AA26B8"/>
    <w:rsid w:val="00AA6FB5"/>
    <w:rsid w:val="00AB3FE2"/>
    <w:rsid w:val="00AD3322"/>
    <w:rsid w:val="00AD7E4E"/>
    <w:rsid w:val="00AE3362"/>
    <w:rsid w:val="00AF34DE"/>
    <w:rsid w:val="00AF4D58"/>
    <w:rsid w:val="00AF6666"/>
    <w:rsid w:val="00B10154"/>
    <w:rsid w:val="00B81B44"/>
    <w:rsid w:val="00B9053B"/>
    <w:rsid w:val="00BC3422"/>
    <w:rsid w:val="00BE0E80"/>
    <w:rsid w:val="00C015B9"/>
    <w:rsid w:val="00C022F9"/>
    <w:rsid w:val="00C032EA"/>
    <w:rsid w:val="00C06EB5"/>
    <w:rsid w:val="00C1145F"/>
    <w:rsid w:val="00C21C07"/>
    <w:rsid w:val="00C637E1"/>
    <w:rsid w:val="00C70D50"/>
    <w:rsid w:val="00C80513"/>
    <w:rsid w:val="00C8243E"/>
    <w:rsid w:val="00C907D7"/>
    <w:rsid w:val="00C92338"/>
    <w:rsid w:val="00CA7C3A"/>
    <w:rsid w:val="00CC2DB2"/>
    <w:rsid w:val="00CD0307"/>
    <w:rsid w:val="00CD3D1B"/>
    <w:rsid w:val="00CE62B3"/>
    <w:rsid w:val="00CF7DCA"/>
    <w:rsid w:val="00D211E9"/>
    <w:rsid w:val="00D2312F"/>
    <w:rsid w:val="00D269C1"/>
    <w:rsid w:val="00D44953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A3AAD"/>
    <w:rsid w:val="00DB312B"/>
    <w:rsid w:val="00DC5654"/>
    <w:rsid w:val="00DC658F"/>
    <w:rsid w:val="00DE60CC"/>
    <w:rsid w:val="00E26B32"/>
    <w:rsid w:val="00E31444"/>
    <w:rsid w:val="00E407B6"/>
    <w:rsid w:val="00E41EF1"/>
    <w:rsid w:val="00E42942"/>
    <w:rsid w:val="00E468A6"/>
    <w:rsid w:val="00E71BDF"/>
    <w:rsid w:val="00E83CA7"/>
    <w:rsid w:val="00EC171D"/>
    <w:rsid w:val="00ED487E"/>
    <w:rsid w:val="00EE7A0D"/>
    <w:rsid w:val="00EF0D21"/>
    <w:rsid w:val="00F17CE1"/>
    <w:rsid w:val="00F2115C"/>
    <w:rsid w:val="00F22ABA"/>
    <w:rsid w:val="00F36B12"/>
    <w:rsid w:val="00F417C3"/>
    <w:rsid w:val="00F60F9F"/>
    <w:rsid w:val="00F64F08"/>
    <w:rsid w:val="00F734F5"/>
    <w:rsid w:val="00F87283"/>
    <w:rsid w:val="00F872DB"/>
    <w:rsid w:val="00F966B1"/>
    <w:rsid w:val="00F97D48"/>
    <w:rsid w:val="00FA0311"/>
    <w:rsid w:val="00FA3CD2"/>
    <w:rsid w:val="00FC42E5"/>
    <w:rsid w:val="00FD640F"/>
    <w:rsid w:val="00FD6B4C"/>
    <w:rsid w:val="00FD6B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ADFF8"/>
  <w15:docId w15:val="{7690E6D5-4951-4BAD-83C8-62262BDE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8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24" w:unhideWhenUsed="1"/>
    <w:lsdException w:name="index heading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112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4C7112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4C7112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4C7112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4C71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4C71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4C7112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4C7112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4C7112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4C7112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4C7112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4C7112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4C7112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4C7112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4C7112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4C7112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4C7112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4C7112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4C7112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4C7112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4C7112"/>
    <w:pPr>
      <w:numPr>
        <w:ilvl w:val="2"/>
        <w:numId w:val="4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4C7112"/>
    <w:pPr>
      <w:numPr>
        <w:ilvl w:val="3"/>
        <w:numId w:val="4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4C7112"/>
    <w:pPr>
      <w:numPr>
        <w:ilvl w:val="4"/>
        <w:numId w:val="4"/>
      </w:numPr>
    </w:pPr>
  </w:style>
  <w:style w:type="character" w:customStyle="1" w:styleId="Heading3Char">
    <w:name w:val="Heading 3 Char"/>
    <w:basedOn w:val="DefaultParagraphFont"/>
    <w:link w:val="Heading3"/>
    <w:rsid w:val="004C7112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4C7112"/>
    <w:pPr>
      <w:numPr>
        <w:ilvl w:val="5"/>
        <w:numId w:val="4"/>
      </w:numPr>
    </w:pPr>
  </w:style>
  <w:style w:type="character" w:customStyle="1" w:styleId="Heading4Char">
    <w:name w:val="Heading 4 Char"/>
    <w:basedOn w:val="DefaultParagraphFont"/>
    <w:link w:val="Heading4"/>
    <w:rsid w:val="004C7112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4C7112"/>
    <w:pPr>
      <w:spacing w:line="252" w:lineRule="auto"/>
      <w:ind w:left="792"/>
    </w:pPr>
  </w:style>
  <w:style w:type="paragraph" w:customStyle="1" w:styleId="NoteNormal">
    <w:name w:val="Note Normal"/>
    <w:basedOn w:val="Normal"/>
    <w:rsid w:val="004C7112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4C7112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4C7112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4C7112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4C7112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4C7112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4C7112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4C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112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4C7112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4C7112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4C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112"/>
    <w:rPr>
      <w:spacing w:val="2"/>
    </w:rPr>
  </w:style>
  <w:style w:type="paragraph" w:styleId="Footer">
    <w:name w:val="footer"/>
    <w:basedOn w:val="Normal"/>
    <w:link w:val="FooterChar"/>
    <w:uiPriority w:val="24"/>
    <w:rsid w:val="004C7112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4C7112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4C7112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4C7112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4C7112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4C7112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4C7112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4C7112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4C7112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4C7112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4C7112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4C7112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4C7112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qFormat/>
    <w:rsid w:val="004C7112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qFormat/>
    <w:rsid w:val="004C7112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4C7112"/>
    <w:pPr>
      <w:numPr>
        <w:ilvl w:val="7"/>
        <w:numId w:val="4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4C7112"/>
    <w:pPr>
      <w:numPr>
        <w:ilvl w:val="6"/>
        <w:numId w:val="4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4C7112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C7112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5"/>
    <w:qFormat/>
    <w:rsid w:val="004C7112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4C7112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4C7112"/>
    <w:pPr>
      <w:numPr>
        <w:numId w:val="17"/>
      </w:numPr>
    </w:pPr>
  </w:style>
  <w:style w:type="paragraph" w:customStyle="1" w:styleId="Tabledash">
    <w:name w:val="Table dash"/>
    <w:basedOn w:val="Tablebullet"/>
    <w:uiPriority w:val="6"/>
    <w:rsid w:val="004C7112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4C7112"/>
    <w:pPr>
      <w:ind w:left="288"/>
    </w:pPr>
  </w:style>
  <w:style w:type="paragraph" w:customStyle="1" w:styleId="Numpara">
    <w:name w:val="Num para"/>
    <w:basedOn w:val="ListParagraph"/>
    <w:uiPriority w:val="2"/>
    <w:qFormat/>
    <w:rsid w:val="004C7112"/>
    <w:pPr>
      <w:numPr>
        <w:numId w:val="19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4C7112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4C7112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4C711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711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4C711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4C7112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4C7112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4C7112"/>
    <w:pPr>
      <w:numPr>
        <w:ilvl w:val="8"/>
        <w:numId w:val="4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4C7112"/>
    <w:pPr>
      <w:numPr>
        <w:ilvl w:val="2"/>
        <w:numId w:val="1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4C7112"/>
    <w:pPr>
      <w:numPr>
        <w:ilvl w:val="3"/>
        <w:numId w:val="1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4C7112"/>
    <w:pPr>
      <w:ind w:left="792"/>
    </w:pPr>
  </w:style>
  <w:style w:type="paragraph" w:styleId="Caption">
    <w:name w:val="caption"/>
    <w:basedOn w:val="Normal"/>
    <w:next w:val="Normal"/>
    <w:uiPriority w:val="35"/>
    <w:rsid w:val="004C7112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paragraph" w:customStyle="1" w:styleId="Tabletextrightbold">
    <w:name w:val="Table text right bold"/>
    <w:basedOn w:val="Tabletextright"/>
    <w:qFormat/>
    <w:rsid w:val="004C7112"/>
    <w:rPr>
      <w:lang w:val="en-CA" w:eastAsia="en-CA"/>
    </w:rPr>
  </w:style>
  <w:style w:type="paragraph" w:customStyle="1" w:styleId="Bullet">
    <w:name w:val="Bullet"/>
    <w:basedOn w:val="Normal"/>
    <w:qFormat/>
    <w:rsid w:val="001A636F"/>
    <w:pPr>
      <w:numPr>
        <w:numId w:val="28"/>
      </w:numPr>
      <w:spacing w:before="80" w:after="80" w:line="240" w:lineRule="auto"/>
      <w:ind w:left="360"/>
    </w:pPr>
    <w:rPr>
      <w:rFonts w:ascii="Calibri" w:eastAsia="Times New Roman" w:hAnsi="Calibri" w:cs="Times New Roman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5B623-AF60-4D36-AF1D-C278CDE3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Deidre Steain</dc:creator>
  <cp:lastModifiedBy>Jin Zhang (DTF)</cp:lastModifiedBy>
  <cp:revision>27</cp:revision>
  <cp:lastPrinted>2018-09-14T05:06:00Z</cp:lastPrinted>
  <dcterms:created xsi:type="dcterms:W3CDTF">2018-01-28T21:50:00Z</dcterms:created>
  <dcterms:modified xsi:type="dcterms:W3CDTF">2018-11-28T05:50:00Z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5c847e5c-c2db-47ef-8a57-b2db966f9f9a</vt:lpwstr>
  </property>
  <property fmtid="{D5CDD505-2E9C-101B-9397-08002B2CF9AE}" pid="3" name="PSPFClassification">
    <vt:lpwstr>Do Not Mark</vt:lpwstr>
  </property>
  <property fmtid="{D5CDD505-2E9C-101B-9397-08002B2CF9AE}" pid="4" name="Classification">
    <vt:lpwstr>Do Not Mark</vt:lpwstr>
  </property>
</Properties>
</file>