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564F" w14:textId="044C44C2" w:rsidR="002F2B06" w:rsidRPr="003E1EE8" w:rsidRDefault="002856ED" w:rsidP="00C53520">
      <w:pPr>
        <w:pStyle w:val="Title"/>
      </w:pPr>
      <w:r w:rsidRPr="003E1EE8">
        <w:t>Investment Lifecycle and High</w:t>
      </w:r>
      <w:r w:rsidR="00C53520" w:rsidRPr="003E1EE8">
        <w:t xml:space="preserve"> </w:t>
      </w:r>
      <w:r w:rsidRPr="003E1EE8">
        <w:t>Value</w:t>
      </w:r>
      <w:r w:rsidR="00D71EFC" w:rsidRPr="003E1EE8">
        <w:t xml:space="preserve"> </w:t>
      </w:r>
      <w:r w:rsidRPr="003E1EE8">
        <w:t>High Risk Guidelines</w:t>
      </w:r>
    </w:p>
    <w:p w14:paraId="29013B2E" w14:textId="5DA56EF5" w:rsidR="002856ED" w:rsidRPr="003E1EE8" w:rsidRDefault="002856ED" w:rsidP="0026112A">
      <w:pPr>
        <w:pStyle w:val="Subtitle"/>
      </w:pPr>
      <w:r w:rsidRPr="003E1EE8">
        <w:t>Overview</w:t>
      </w:r>
      <w:r w:rsidR="00243166" w:rsidRPr="003E1EE8">
        <w:t xml:space="preserve"> </w:t>
      </w:r>
      <w:r w:rsidR="00F13868" w:rsidRPr="003E1EE8">
        <w:t>and glossary</w:t>
      </w:r>
    </w:p>
    <w:p w14:paraId="2F482ED3" w14:textId="77777777" w:rsidR="00AF342B" w:rsidRPr="003E1EE8" w:rsidRDefault="00AF342B" w:rsidP="0034041F"/>
    <w:p w14:paraId="7F3929B1" w14:textId="77777777" w:rsidR="002856ED" w:rsidRPr="003E1EE8" w:rsidRDefault="002856ED" w:rsidP="0034041F">
      <w:pPr>
        <w:sectPr w:rsidR="002856ED" w:rsidRPr="003E1EE8" w:rsidSect="00661A0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72" w:right="1411" w:bottom="1440" w:left="1411" w:header="677" w:footer="461" w:gutter="0"/>
          <w:cols w:sep="1" w:space="567"/>
          <w:titlePg/>
          <w:docGrid w:linePitch="360"/>
        </w:sectPr>
      </w:pPr>
    </w:p>
    <w:p w14:paraId="5448DB76" w14:textId="77777777" w:rsidR="00661A02" w:rsidRDefault="00661A02">
      <w:pPr>
        <w:keepLines w:val="0"/>
        <w:spacing w:after="160" w:line="264" w:lineRule="auto"/>
      </w:pPr>
      <w:r>
        <w:br w:type="page"/>
      </w:r>
    </w:p>
    <w:p w14:paraId="4F0171B9" w14:textId="632D19EF" w:rsidR="0034041F" w:rsidRPr="003E1EE8" w:rsidRDefault="0034041F" w:rsidP="002F2B06">
      <w:pPr>
        <w:spacing w:before="0" w:after="0"/>
      </w:pPr>
      <w:r w:rsidRPr="003E1EE8">
        <w:lastRenderedPageBreak/>
        <w:t>The Secretary</w:t>
      </w:r>
    </w:p>
    <w:p w14:paraId="05749AF4" w14:textId="77777777" w:rsidR="0034041F" w:rsidRPr="003E1EE8" w:rsidRDefault="0034041F" w:rsidP="002F2B06">
      <w:pPr>
        <w:spacing w:before="0" w:after="0"/>
      </w:pPr>
      <w:r w:rsidRPr="003E1EE8">
        <w:t>Department of Treasury and Finance</w:t>
      </w:r>
    </w:p>
    <w:p w14:paraId="656946D3" w14:textId="77777777" w:rsidR="0034041F" w:rsidRPr="003E1EE8" w:rsidRDefault="0034041F" w:rsidP="002F2B06">
      <w:pPr>
        <w:spacing w:before="0" w:after="0"/>
      </w:pPr>
      <w:r w:rsidRPr="003E1EE8">
        <w:t>1 Treasury Place</w:t>
      </w:r>
    </w:p>
    <w:p w14:paraId="12CEF1BC" w14:textId="77777777" w:rsidR="0034041F" w:rsidRPr="003E1EE8" w:rsidRDefault="0034041F" w:rsidP="002F2B06">
      <w:pPr>
        <w:spacing w:before="0" w:after="0"/>
      </w:pPr>
      <w:r w:rsidRPr="003E1EE8">
        <w:t>Melbourne Victoria 3002</w:t>
      </w:r>
    </w:p>
    <w:p w14:paraId="281C6E0C" w14:textId="77777777" w:rsidR="0034041F" w:rsidRPr="003E1EE8" w:rsidRDefault="0034041F" w:rsidP="002F2B06">
      <w:pPr>
        <w:spacing w:before="0" w:after="0"/>
      </w:pPr>
      <w:r w:rsidRPr="003E1EE8">
        <w:t>Australia</w:t>
      </w:r>
    </w:p>
    <w:p w14:paraId="65B69767" w14:textId="77777777" w:rsidR="0034041F" w:rsidRPr="003E1EE8" w:rsidRDefault="0034041F" w:rsidP="002F2B06">
      <w:pPr>
        <w:spacing w:before="0" w:after="0"/>
      </w:pPr>
      <w:r w:rsidRPr="003E1EE8">
        <w:t>Telephone: +61 3 9651 5111</w:t>
      </w:r>
    </w:p>
    <w:p w14:paraId="28DB2A7A" w14:textId="77777777" w:rsidR="0034041F" w:rsidRPr="003E1EE8" w:rsidRDefault="0034041F" w:rsidP="002F2B06">
      <w:pPr>
        <w:spacing w:before="0" w:after="0"/>
      </w:pPr>
      <w:r w:rsidRPr="003E1EE8">
        <w:t>Facsimile: +61 3 9651 5298</w:t>
      </w:r>
    </w:p>
    <w:p w14:paraId="7AF95EE9" w14:textId="77777777" w:rsidR="0034041F" w:rsidRPr="003E1EE8" w:rsidRDefault="0034041F" w:rsidP="002F2B06">
      <w:pPr>
        <w:spacing w:before="0" w:after="0"/>
      </w:pPr>
      <w:r w:rsidRPr="003E1EE8">
        <w:t>www.dtf.vic.gov.au</w:t>
      </w:r>
    </w:p>
    <w:p w14:paraId="4BBB139E" w14:textId="77777777" w:rsidR="0034041F" w:rsidRPr="003E1EE8" w:rsidRDefault="0034041F" w:rsidP="002F2B06">
      <w:pPr>
        <w:spacing w:before="0" w:after="0"/>
      </w:pPr>
    </w:p>
    <w:p w14:paraId="62EC81B8" w14:textId="77777777" w:rsidR="0034041F" w:rsidRPr="003E1EE8" w:rsidRDefault="0034041F" w:rsidP="002F2B06">
      <w:pPr>
        <w:spacing w:before="0" w:after="0"/>
      </w:pPr>
      <w:r w:rsidRPr="003E1EE8">
        <w:t>Authorised by the Victorian Government</w:t>
      </w:r>
    </w:p>
    <w:p w14:paraId="26394A36" w14:textId="6ADA573F" w:rsidR="0034041F" w:rsidRDefault="0034041F" w:rsidP="002F2B06">
      <w:pPr>
        <w:spacing w:before="0" w:after="0"/>
      </w:pPr>
      <w:r w:rsidRPr="003E1EE8">
        <w:t>1 Treasury Place, Melbourne, 3002</w:t>
      </w:r>
    </w:p>
    <w:p w14:paraId="5551EAF8" w14:textId="42B01944" w:rsidR="00530829" w:rsidRDefault="00530829" w:rsidP="002F2B06">
      <w:pPr>
        <w:spacing w:before="0" w:after="0"/>
      </w:pPr>
    </w:p>
    <w:p w14:paraId="78C61220" w14:textId="1BBDAB83" w:rsidR="00530829" w:rsidRPr="003E1EE8" w:rsidRDefault="00530829" w:rsidP="002F2B06">
      <w:pPr>
        <w:spacing w:before="0" w:after="0"/>
      </w:pPr>
      <w:r>
        <w:rPr>
          <w:rFonts w:ascii="Arial" w:hAnsi="Arial" w:cs="Arial"/>
          <w:b/>
          <w:bCs/>
          <w:color w:val="000000"/>
        </w:rPr>
        <w:t xml:space="preserve">ISBN </w:t>
      </w:r>
      <w:r>
        <w:rPr>
          <w:rFonts w:ascii="Arial" w:hAnsi="Arial" w:cs="Arial"/>
          <w:color w:val="000000"/>
        </w:rPr>
        <w:t>978-1-925551-51-8</w:t>
      </w:r>
      <w:r>
        <w:rPr>
          <w:rFonts w:ascii="Arial" w:hAnsi="Arial" w:cs="Arial"/>
          <w:b/>
          <w:bCs/>
          <w:color w:val="000000"/>
        </w:rPr>
        <w:t xml:space="preserve"> (pdf/online/MS word)</w:t>
      </w:r>
    </w:p>
    <w:p w14:paraId="7EE0AF56" w14:textId="77777777" w:rsidR="0034041F" w:rsidRPr="003E1EE8" w:rsidRDefault="0034041F" w:rsidP="002F2B06">
      <w:pPr>
        <w:spacing w:before="0" w:after="0"/>
      </w:pPr>
    </w:p>
    <w:p w14:paraId="0CB37F84" w14:textId="7B2E2208" w:rsidR="0034041F" w:rsidRPr="003E1EE8" w:rsidRDefault="002F2B06" w:rsidP="002F2B06">
      <w:pPr>
        <w:spacing w:before="0" w:after="0"/>
      </w:pPr>
      <w:r w:rsidRPr="003E1EE8">
        <w:t xml:space="preserve">© State of Victoria </w:t>
      </w:r>
      <w:r w:rsidR="007C4EF0" w:rsidRPr="003E1EE8">
        <w:t>2019</w:t>
      </w:r>
    </w:p>
    <w:p w14:paraId="5D2F9570" w14:textId="77777777" w:rsidR="0034041F" w:rsidRPr="003E1EE8" w:rsidRDefault="002F2B06" w:rsidP="0034041F">
      <w:r w:rsidRPr="003E1EE8">
        <w:rPr>
          <w:rFonts w:cstheme="minorHAnsi"/>
          <w:noProof/>
          <w:lang w:val="en-US" w:eastAsia="en-US"/>
        </w:rPr>
        <w:drawing>
          <wp:inline distT="0" distB="0" distL="0" distR="0" wp14:anchorId="7521CDA6" wp14:editId="2CDB546A">
            <wp:extent cx="1117460" cy="393651"/>
            <wp:effectExtent l="0" t="0" r="6985" b="6985"/>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0584C328" w14:textId="77777777" w:rsidR="0034041F" w:rsidRPr="003E1EE8" w:rsidRDefault="0034041F" w:rsidP="0034041F">
      <w:r w:rsidRPr="003E1EE8">
        <w:t>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13F845C" w14:textId="77777777" w:rsidR="0034041F" w:rsidRPr="003E1EE8" w:rsidRDefault="0034041F" w:rsidP="0034041F">
      <w:r w:rsidRPr="003E1EE8">
        <w:t>Copyright queries may be directed to IPpolicy@dtf.vic.gov.au</w:t>
      </w:r>
    </w:p>
    <w:p w14:paraId="0CC5AB6C" w14:textId="583D4649" w:rsidR="0034041F" w:rsidRPr="003E1EE8" w:rsidRDefault="0034041F" w:rsidP="0034041F">
      <w:r w:rsidRPr="003E1EE8">
        <w:t>If you would like to receive this publication in an accessible format</w:t>
      </w:r>
      <w:r w:rsidR="00CD1D2F">
        <w:t>,</w:t>
      </w:r>
      <w:r w:rsidRPr="003E1EE8">
        <w:t xml:space="preserve"> please email information@dtf.vic.gov.au </w:t>
      </w:r>
    </w:p>
    <w:p w14:paraId="164DF43A" w14:textId="77777777" w:rsidR="002856ED" w:rsidRPr="003E1EE8" w:rsidRDefault="0034041F" w:rsidP="0034041F">
      <w:r w:rsidRPr="003E1EE8">
        <w:t>This document is also available in PDF format at www.dtf.vic.gov.au</w:t>
      </w:r>
    </w:p>
    <w:p w14:paraId="7AD7E52C" w14:textId="77777777" w:rsidR="0034041F" w:rsidRPr="003E1EE8" w:rsidRDefault="0034041F" w:rsidP="0034041F"/>
    <w:p w14:paraId="477FD447" w14:textId="77777777" w:rsidR="0016322A" w:rsidRPr="003E1EE8" w:rsidRDefault="0016322A" w:rsidP="0034041F">
      <w:pPr>
        <w:sectPr w:rsidR="0016322A" w:rsidRPr="003E1EE8" w:rsidSect="00661A02">
          <w:headerReference w:type="even" r:id="rId17"/>
          <w:headerReference w:type="default" r:id="rId18"/>
          <w:footerReference w:type="default" r:id="rId19"/>
          <w:headerReference w:type="first" r:id="rId20"/>
          <w:footerReference w:type="first" r:id="rId21"/>
          <w:type w:val="continuous"/>
          <w:pgSz w:w="11906" w:h="16838" w:code="9"/>
          <w:pgMar w:top="1871" w:right="1412" w:bottom="1440" w:left="1412" w:header="675" w:footer="459" w:gutter="0"/>
          <w:pgNumType w:fmt="lowerRoman" w:start="1"/>
          <w:cols w:sep="1" w:space="567"/>
          <w:vAlign w:val="bottom"/>
          <w:docGrid w:linePitch="360"/>
        </w:sectPr>
      </w:pPr>
    </w:p>
    <w:p w14:paraId="0DFF750C" w14:textId="77777777" w:rsidR="00FF3B45" w:rsidRPr="003E1EE8" w:rsidRDefault="008420DB" w:rsidP="00367473">
      <w:pPr>
        <w:pStyle w:val="TOCHeading"/>
      </w:pPr>
      <w:r w:rsidRPr="003E1EE8">
        <w:lastRenderedPageBreak/>
        <w:t>Contents</w:t>
      </w:r>
    </w:p>
    <w:p w14:paraId="138CFFDA" w14:textId="297E81FC" w:rsidR="00661A02" w:rsidRDefault="001807D4">
      <w:pPr>
        <w:pStyle w:val="TOC1"/>
        <w:rPr>
          <w:spacing w:val="0"/>
          <w:szCs w:val="22"/>
        </w:rPr>
      </w:pPr>
      <w:r w:rsidRPr="003E1EE8">
        <w:rPr>
          <w:rFonts w:asciiTheme="majorHAnsi" w:hAnsiTheme="majorHAnsi"/>
          <w:noProof w:val="0"/>
          <w:color w:val="53565A" w:themeColor="text2"/>
          <w:spacing w:val="-2"/>
          <w:sz w:val="24"/>
          <w:szCs w:val="19"/>
        </w:rPr>
        <w:fldChar w:fldCharType="begin"/>
      </w:r>
      <w:r w:rsidRPr="003E1EE8">
        <w:rPr>
          <w:noProof w:val="0"/>
        </w:rPr>
        <w:instrText xml:space="preserve"> TOC \h \z \t " Heading 1</w:instrText>
      </w:r>
      <w:r w:rsidR="007C4728" w:rsidRPr="003E1EE8">
        <w:rPr>
          <w:noProof w:val="0"/>
        </w:rPr>
        <w:instrText xml:space="preserve"> numbered</w:instrText>
      </w:r>
      <w:r w:rsidRPr="003E1EE8">
        <w:rPr>
          <w:noProof w:val="0"/>
        </w:rPr>
        <w:instrText>,1, Heading 2</w:instrText>
      </w:r>
      <w:r w:rsidR="007C4728" w:rsidRPr="003E1EE8">
        <w:rPr>
          <w:noProof w:val="0"/>
        </w:rPr>
        <w:instrText xml:space="preserve"> numbered</w:instrText>
      </w:r>
      <w:r w:rsidRPr="003E1EE8">
        <w:rPr>
          <w:noProof w:val="0"/>
        </w:rPr>
        <w:instrText xml:space="preserve">,2 \* MERGEFORMAT </w:instrText>
      </w:r>
      <w:r w:rsidRPr="003E1EE8">
        <w:rPr>
          <w:rFonts w:asciiTheme="majorHAnsi" w:hAnsiTheme="majorHAnsi"/>
          <w:noProof w:val="0"/>
          <w:color w:val="53565A" w:themeColor="text2"/>
          <w:spacing w:val="-2"/>
          <w:sz w:val="24"/>
          <w:szCs w:val="19"/>
        </w:rPr>
        <w:fldChar w:fldCharType="separate"/>
      </w:r>
      <w:hyperlink w:anchor="_Toc25935474" w:history="1">
        <w:r w:rsidR="00661A02" w:rsidRPr="00F260D3">
          <w:rPr>
            <w:rStyle w:val="Hyperlink"/>
          </w:rPr>
          <w:t>1.</w:t>
        </w:r>
        <w:r w:rsidR="00661A02">
          <w:rPr>
            <w:spacing w:val="0"/>
            <w:szCs w:val="22"/>
          </w:rPr>
          <w:tab/>
        </w:r>
        <w:r w:rsidR="00661A02" w:rsidRPr="00F260D3">
          <w:rPr>
            <w:rStyle w:val="Hyperlink"/>
          </w:rPr>
          <w:t>Introduction</w:t>
        </w:r>
        <w:r w:rsidR="00661A02">
          <w:rPr>
            <w:webHidden/>
          </w:rPr>
          <w:tab/>
        </w:r>
        <w:r w:rsidR="00661A02">
          <w:rPr>
            <w:webHidden/>
          </w:rPr>
          <w:fldChar w:fldCharType="begin"/>
        </w:r>
        <w:r w:rsidR="00661A02">
          <w:rPr>
            <w:webHidden/>
          </w:rPr>
          <w:instrText xml:space="preserve"> PAGEREF _Toc25935474 \h </w:instrText>
        </w:r>
        <w:r w:rsidR="00661A02">
          <w:rPr>
            <w:webHidden/>
          </w:rPr>
        </w:r>
        <w:r w:rsidR="00661A02">
          <w:rPr>
            <w:webHidden/>
          </w:rPr>
          <w:fldChar w:fldCharType="separate"/>
        </w:r>
        <w:r w:rsidR="00661A02">
          <w:rPr>
            <w:webHidden/>
          </w:rPr>
          <w:t>1</w:t>
        </w:r>
        <w:r w:rsidR="00661A02">
          <w:rPr>
            <w:webHidden/>
          </w:rPr>
          <w:fldChar w:fldCharType="end"/>
        </w:r>
      </w:hyperlink>
    </w:p>
    <w:p w14:paraId="233FF9E1" w14:textId="13B0A1B8" w:rsidR="00661A02" w:rsidRDefault="00D634AC">
      <w:pPr>
        <w:pStyle w:val="TOC2"/>
        <w:rPr>
          <w:spacing w:val="0"/>
          <w:sz w:val="22"/>
          <w:szCs w:val="22"/>
        </w:rPr>
      </w:pPr>
      <w:hyperlink w:anchor="_Toc25935475" w:history="1">
        <w:r w:rsidR="00661A02" w:rsidRPr="00F260D3">
          <w:rPr>
            <w:rStyle w:val="Hyperlink"/>
          </w:rPr>
          <w:t>1.1</w:t>
        </w:r>
        <w:r w:rsidR="00661A02">
          <w:rPr>
            <w:spacing w:val="0"/>
            <w:sz w:val="22"/>
            <w:szCs w:val="22"/>
          </w:rPr>
          <w:tab/>
        </w:r>
        <w:r w:rsidR="00661A02" w:rsidRPr="00F260D3">
          <w:rPr>
            <w:rStyle w:val="Hyperlink"/>
          </w:rPr>
          <w:t>What are the Investment Lifecycle and High Value High Risk Guidelines?</w:t>
        </w:r>
        <w:r w:rsidR="00661A02">
          <w:rPr>
            <w:webHidden/>
          </w:rPr>
          <w:tab/>
        </w:r>
        <w:r w:rsidR="00661A02">
          <w:rPr>
            <w:webHidden/>
          </w:rPr>
          <w:fldChar w:fldCharType="begin"/>
        </w:r>
        <w:r w:rsidR="00661A02">
          <w:rPr>
            <w:webHidden/>
          </w:rPr>
          <w:instrText xml:space="preserve"> PAGEREF _Toc25935475 \h </w:instrText>
        </w:r>
        <w:r w:rsidR="00661A02">
          <w:rPr>
            <w:webHidden/>
          </w:rPr>
        </w:r>
        <w:r w:rsidR="00661A02">
          <w:rPr>
            <w:webHidden/>
          </w:rPr>
          <w:fldChar w:fldCharType="separate"/>
        </w:r>
        <w:r w:rsidR="00661A02">
          <w:rPr>
            <w:webHidden/>
          </w:rPr>
          <w:t>1</w:t>
        </w:r>
        <w:r w:rsidR="00661A02">
          <w:rPr>
            <w:webHidden/>
          </w:rPr>
          <w:fldChar w:fldCharType="end"/>
        </w:r>
      </w:hyperlink>
    </w:p>
    <w:p w14:paraId="6862029B" w14:textId="7258C80A" w:rsidR="00661A02" w:rsidRDefault="00D634AC">
      <w:pPr>
        <w:pStyle w:val="TOC2"/>
        <w:rPr>
          <w:spacing w:val="0"/>
          <w:sz w:val="22"/>
          <w:szCs w:val="22"/>
        </w:rPr>
      </w:pPr>
      <w:hyperlink w:anchor="_Toc25935476" w:history="1">
        <w:r w:rsidR="00661A02" w:rsidRPr="00F260D3">
          <w:rPr>
            <w:rStyle w:val="Hyperlink"/>
          </w:rPr>
          <w:t>1.2</w:t>
        </w:r>
        <w:r w:rsidR="00661A02">
          <w:rPr>
            <w:spacing w:val="0"/>
            <w:sz w:val="22"/>
            <w:szCs w:val="22"/>
          </w:rPr>
          <w:tab/>
        </w:r>
        <w:r w:rsidR="00661A02" w:rsidRPr="00F260D3">
          <w:rPr>
            <w:rStyle w:val="Hyperlink"/>
          </w:rPr>
          <w:t>Document structure of the Guidelines</w:t>
        </w:r>
        <w:r w:rsidR="00661A02">
          <w:rPr>
            <w:webHidden/>
          </w:rPr>
          <w:tab/>
        </w:r>
        <w:r w:rsidR="00661A02">
          <w:rPr>
            <w:webHidden/>
          </w:rPr>
          <w:fldChar w:fldCharType="begin"/>
        </w:r>
        <w:r w:rsidR="00661A02">
          <w:rPr>
            <w:webHidden/>
          </w:rPr>
          <w:instrText xml:space="preserve"> PAGEREF _Toc25935476 \h </w:instrText>
        </w:r>
        <w:r w:rsidR="00661A02">
          <w:rPr>
            <w:webHidden/>
          </w:rPr>
        </w:r>
        <w:r w:rsidR="00661A02">
          <w:rPr>
            <w:webHidden/>
          </w:rPr>
          <w:fldChar w:fldCharType="separate"/>
        </w:r>
        <w:r w:rsidR="00661A02">
          <w:rPr>
            <w:webHidden/>
          </w:rPr>
          <w:t>4</w:t>
        </w:r>
        <w:r w:rsidR="00661A02">
          <w:rPr>
            <w:webHidden/>
          </w:rPr>
          <w:fldChar w:fldCharType="end"/>
        </w:r>
      </w:hyperlink>
    </w:p>
    <w:p w14:paraId="130AD44B" w14:textId="20439E87" w:rsidR="00661A02" w:rsidRDefault="00D634AC">
      <w:pPr>
        <w:pStyle w:val="TOC2"/>
        <w:rPr>
          <w:spacing w:val="0"/>
          <w:sz w:val="22"/>
          <w:szCs w:val="22"/>
        </w:rPr>
      </w:pPr>
      <w:hyperlink w:anchor="_Toc25935477" w:history="1">
        <w:r w:rsidR="00661A02" w:rsidRPr="00F260D3">
          <w:rPr>
            <w:rStyle w:val="Hyperlink"/>
          </w:rPr>
          <w:t>1.3</w:t>
        </w:r>
        <w:r w:rsidR="00661A02">
          <w:rPr>
            <w:spacing w:val="0"/>
            <w:sz w:val="22"/>
            <w:szCs w:val="22"/>
          </w:rPr>
          <w:tab/>
        </w:r>
        <w:r w:rsidR="00661A02" w:rsidRPr="00F260D3">
          <w:rPr>
            <w:rStyle w:val="Hyperlink"/>
          </w:rPr>
          <w:t>The recent history of Victorian investment guidelines</w:t>
        </w:r>
        <w:r w:rsidR="00661A02">
          <w:rPr>
            <w:webHidden/>
          </w:rPr>
          <w:tab/>
        </w:r>
        <w:r w:rsidR="00661A02">
          <w:rPr>
            <w:webHidden/>
          </w:rPr>
          <w:fldChar w:fldCharType="begin"/>
        </w:r>
        <w:r w:rsidR="00661A02">
          <w:rPr>
            <w:webHidden/>
          </w:rPr>
          <w:instrText xml:space="preserve"> PAGEREF _Toc25935477 \h </w:instrText>
        </w:r>
        <w:r w:rsidR="00661A02">
          <w:rPr>
            <w:webHidden/>
          </w:rPr>
        </w:r>
        <w:r w:rsidR="00661A02">
          <w:rPr>
            <w:webHidden/>
          </w:rPr>
          <w:fldChar w:fldCharType="separate"/>
        </w:r>
        <w:r w:rsidR="00661A02">
          <w:rPr>
            <w:webHidden/>
          </w:rPr>
          <w:t>5</w:t>
        </w:r>
        <w:r w:rsidR="00661A02">
          <w:rPr>
            <w:webHidden/>
          </w:rPr>
          <w:fldChar w:fldCharType="end"/>
        </w:r>
      </w:hyperlink>
    </w:p>
    <w:p w14:paraId="217F0EE0" w14:textId="7EF9C386" w:rsidR="00661A02" w:rsidRDefault="00D634AC">
      <w:pPr>
        <w:pStyle w:val="TOC2"/>
        <w:rPr>
          <w:spacing w:val="0"/>
          <w:sz w:val="22"/>
          <w:szCs w:val="22"/>
        </w:rPr>
      </w:pPr>
      <w:hyperlink w:anchor="_Toc25935478" w:history="1">
        <w:r w:rsidR="00661A02" w:rsidRPr="00F260D3">
          <w:rPr>
            <w:rStyle w:val="Hyperlink"/>
          </w:rPr>
          <w:t>1.4</w:t>
        </w:r>
        <w:r w:rsidR="00661A02">
          <w:rPr>
            <w:spacing w:val="0"/>
            <w:sz w:val="22"/>
            <w:szCs w:val="22"/>
          </w:rPr>
          <w:tab/>
        </w:r>
        <w:r w:rsidR="00661A02" w:rsidRPr="00F260D3">
          <w:rPr>
            <w:rStyle w:val="Hyperlink"/>
          </w:rPr>
          <w:t>Investment management versus project management</w:t>
        </w:r>
        <w:r w:rsidR="00661A02">
          <w:rPr>
            <w:webHidden/>
          </w:rPr>
          <w:tab/>
        </w:r>
        <w:r w:rsidR="00661A02">
          <w:rPr>
            <w:webHidden/>
          </w:rPr>
          <w:fldChar w:fldCharType="begin"/>
        </w:r>
        <w:r w:rsidR="00661A02">
          <w:rPr>
            <w:webHidden/>
          </w:rPr>
          <w:instrText xml:space="preserve"> PAGEREF _Toc25935478 \h </w:instrText>
        </w:r>
        <w:r w:rsidR="00661A02">
          <w:rPr>
            <w:webHidden/>
          </w:rPr>
        </w:r>
        <w:r w:rsidR="00661A02">
          <w:rPr>
            <w:webHidden/>
          </w:rPr>
          <w:fldChar w:fldCharType="separate"/>
        </w:r>
        <w:r w:rsidR="00661A02">
          <w:rPr>
            <w:webHidden/>
          </w:rPr>
          <w:t>5</w:t>
        </w:r>
        <w:r w:rsidR="00661A02">
          <w:rPr>
            <w:webHidden/>
          </w:rPr>
          <w:fldChar w:fldCharType="end"/>
        </w:r>
      </w:hyperlink>
    </w:p>
    <w:p w14:paraId="226A61BF" w14:textId="73616D17" w:rsidR="00661A02" w:rsidRDefault="00D634AC">
      <w:pPr>
        <w:pStyle w:val="TOC2"/>
        <w:rPr>
          <w:spacing w:val="0"/>
          <w:sz w:val="22"/>
          <w:szCs w:val="22"/>
        </w:rPr>
      </w:pPr>
      <w:hyperlink w:anchor="_Toc25935479" w:history="1">
        <w:r w:rsidR="00661A02" w:rsidRPr="00F260D3">
          <w:rPr>
            <w:rStyle w:val="Hyperlink"/>
          </w:rPr>
          <w:t>1.5</w:t>
        </w:r>
        <w:r w:rsidR="00661A02">
          <w:rPr>
            <w:spacing w:val="0"/>
            <w:sz w:val="22"/>
            <w:szCs w:val="22"/>
          </w:rPr>
          <w:tab/>
        </w:r>
        <w:r w:rsidR="00661A02" w:rsidRPr="00F260D3">
          <w:rPr>
            <w:rStyle w:val="Hyperlink"/>
          </w:rPr>
          <w:t>Projects versus programs</w:t>
        </w:r>
        <w:r w:rsidR="00661A02">
          <w:rPr>
            <w:webHidden/>
          </w:rPr>
          <w:tab/>
        </w:r>
        <w:r w:rsidR="00661A02">
          <w:rPr>
            <w:webHidden/>
          </w:rPr>
          <w:fldChar w:fldCharType="begin"/>
        </w:r>
        <w:r w:rsidR="00661A02">
          <w:rPr>
            <w:webHidden/>
          </w:rPr>
          <w:instrText xml:space="preserve"> PAGEREF _Toc25935479 \h </w:instrText>
        </w:r>
        <w:r w:rsidR="00661A02">
          <w:rPr>
            <w:webHidden/>
          </w:rPr>
        </w:r>
        <w:r w:rsidR="00661A02">
          <w:rPr>
            <w:webHidden/>
          </w:rPr>
          <w:fldChar w:fldCharType="separate"/>
        </w:r>
        <w:r w:rsidR="00661A02">
          <w:rPr>
            <w:webHidden/>
          </w:rPr>
          <w:t>6</w:t>
        </w:r>
        <w:r w:rsidR="00661A02">
          <w:rPr>
            <w:webHidden/>
          </w:rPr>
          <w:fldChar w:fldCharType="end"/>
        </w:r>
      </w:hyperlink>
    </w:p>
    <w:p w14:paraId="6634A2F8" w14:textId="36A679CD" w:rsidR="00661A02" w:rsidRDefault="00846FFA">
      <w:pPr>
        <w:pStyle w:val="TOC1"/>
        <w:rPr>
          <w:spacing w:val="0"/>
          <w:szCs w:val="22"/>
        </w:rPr>
      </w:pPr>
      <w:hyperlink w:anchor="_Toc25935480" w:history="1">
        <w:r w:rsidR="00661A02" w:rsidRPr="00F260D3">
          <w:rPr>
            <w:rStyle w:val="Hyperlink"/>
          </w:rPr>
          <w:t>2.</w:t>
        </w:r>
        <w:r w:rsidR="00661A02">
          <w:rPr>
            <w:spacing w:val="0"/>
            <w:szCs w:val="22"/>
          </w:rPr>
          <w:tab/>
        </w:r>
        <w:r w:rsidR="00661A02" w:rsidRPr="00F260D3">
          <w:rPr>
            <w:rStyle w:val="Hyperlink"/>
          </w:rPr>
          <w:t>The investment assurance processes</w:t>
        </w:r>
        <w:r w:rsidR="00661A02">
          <w:rPr>
            <w:webHidden/>
          </w:rPr>
          <w:tab/>
        </w:r>
        <w:r w:rsidR="00661A02">
          <w:rPr>
            <w:webHidden/>
          </w:rPr>
          <w:fldChar w:fldCharType="begin"/>
        </w:r>
        <w:r w:rsidR="00661A02">
          <w:rPr>
            <w:webHidden/>
          </w:rPr>
          <w:instrText xml:space="preserve"> PAGEREF _Toc25935480 \h </w:instrText>
        </w:r>
        <w:r w:rsidR="00661A02">
          <w:rPr>
            <w:webHidden/>
          </w:rPr>
        </w:r>
        <w:r w:rsidR="00661A02">
          <w:rPr>
            <w:webHidden/>
          </w:rPr>
          <w:fldChar w:fldCharType="separate"/>
        </w:r>
        <w:r w:rsidR="00661A02">
          <w:rPr>
            <w:webHidden/>
          </w:rPr>
          <w:t>7</w:t>
        </w:r>
        <w:r w:rsidR="00661A02">
          <w:rPr>
            <w:webHidden/>
          </w:rPr>
          <w:fldChar w:fldCharType="end"/>
        </w:r>
      </w:hyperlink>
    </w:p>
    <w:p w14:paraId="0C5CE1FB" w14:textId="078366AC" w:rsidR="00661A02" w:rsidRDefault="00846FFA">
      <w:pPr>
        <w:pStyle w:val="TOC2"/>
        <w:rPr>
          <w:spacing w:val="0"/>
          <w:sz w:val="22"/>
          <w:szCs w:val="22"/>
        </w:rPr>
      </w:pPr>
      <w:hyperlink w:anchor="_Toc25935481" w:history="1">
        <w:r w:rsidR="00661A02" w:rsidRPr="00F260D3">
          <w:rPr>
            <w:rStyle w:val="Hyperlink"/>
          </w:rPr>
          <w:t>2.1</w:t>
        </w:r>
        <w:r w:rsidR="00661A02">
          <w:rPr>
            <w:spacing w:val="0"/>
            <w:sz w:val="22"/>
            <w:szCs w:val="22"/>
          </w:rPr>
          <w:tab/>
        </w:r>
        <w:r w:rsidR="00661A02" w:rsidRPr="00F260D3">
          <w:rPr>
            <w:rStyle w:val="Hyperlink"/>
          </w:rPr>
          <w:t>Roles and responsibilities</w:t>
        </w:r>
        <w:r w:rsidR="00661A02">
          <w:rPr>
            <w:webHidden/>
          </w:rPr>
          <w:tab/>
        </w:r>
        <w:r w:rsidR="00661A02">
          <w:rPr>
            <w:webHidden/>
          </w:rPr>
          <w:fldChar w:fldCharType="begin"/>
        </w:r>
        <w:r w:rsidR="00661A02">
          <w:rPr>
            <w:webHidden/>
          </w:rPr>
          <w:instrText xml:space="preserve"> PAGEREF _Toc25935481 \h </w:instrText>
        </w:r>
        <w:r w:rsidR="00661A02">
          <w:rPr>
            <w:webHidden/>
          </w:rPr>
        </w:r>
        <w:r w:rsidR="00661A02">
          <w:rPr>
            <w:webHidden/>
          </w:rPr>
          <w:fldChar w:fldCharType="separate"/>
        </w:r>
        <w:r w:rsidR="00661A02">
          <w:rPr>
            <w:webHidden/>
          </w:rPr>
          <w:t>7</w:t>
        </w:r>
        <w:r w:rsidR="00661A02">
          <w:rPr>
            <w:webHidden/>
          </w:rPr>
          <w:fldChar w:fldCharType="end"/>
        </w:r>
      </w:hyperlink>
    </w:p>
    <w:p w14:paraId="62562483" w14:textId="2F0E0BE3" w:rsidR="00661A02" w:rsidRDefault="00D634AC">
      <w:pPr>
        <w:pStyle w:val="TOC2"/>
        <w:rPr>
          <w:spacing w:val="0"/>
          <w:sz w:val="22"/>
          <w:szCs w:val="22"/>
        </w:rPr>
      </w:pPr>
      <w:hyperlink w:anchor="_Toc25935482" w:history="1">
        <w:r w:rsidR="00661A02" w:rsidRPr="00F260D3">
          <w:rPr>
            <w:rStyle w:val="Hyperlink"/>
          </w:rPr>
          <w:t>2.2</w:t>
        </w:r>
        <w:r w:rsidR="00661A02">
          <w:rPr>
            <w:spacing w:val="0"/>
            <w:sz w:val="22"/>
            <w:szCs w:val="22"/>
          </w:rPr>
          <w:tab/>
        </w:r>
        <w:r w:rsidR="00661A02" w:rsidRPr="00F260D3">
          <w:rPr>
            <w:rStyle w:val="Hyperlink"/>
          </w:rPr>
          <w:t>Service planning</w:t>
        </w:r>
        <w:r w:rsidR="00661A02">
          <w:rPr>
            <w:webHidden/>
          </w:rPr>
          <w:tab/>
        </w:r>
        <w:r w:rsidR="00661A02">
          <w:rPr>
            <w:webHidden/>
          </w:rPr>
          <w:fldChar w:fldCharType="begin"/>
        </w:r>
        <w:r w:rsidR="00661A02">
          <w:rPr>
            <w:webHidden/>
          </w:rPr>
          <w:instrText xml:space="preserve"> PAGEREF _Toc25935482 \h </w:instrText>
        </w:r>
        <w:r w:rsidR="00661A02">
          <w:rPr>
            <w:webHidden/>
          </w:rPr>
        </w:r>
        <w:r w:rsidR="00661A02">
          <w:rPr>
            <w:webHidden/>
          </w:rPr>
          <w:fldChar w:fldCharType="separate"/>
        </w:r>
        <w:r w:rsidR="00661A02">
          <w:rPr>
            <w:webHidden/>
          </w:rPr>
          <w:t>8</w:t>
        </w:r>
        <w:r w:rsidR="00661A02">
          <w:rPr>
            <w:webHidden/>
          </w:rPr>
          <w:fldChar w:fldCharType="end"/>
        </w:r>
      </w:hyperlink>
    </w:p>
    <w:p w14:paraId="1DC396A0" w14:textId="7424D76C" w:rsidR="00661A02" w:rsidRDefault="00D634AC">
      <w:pPr>
        <w:pStyle w:val="TOC2"/>
        <w:rPr>
          <w:spacing w:val="0"/>
          <w:sz w:val="22"/>
          <w:szCs w:val="22"/>
        </w:rPr>
      </w:pPr>
      <w:hyperlink w:anchor="_Toc25935483" w:history="1">
        <w:r w:rsidR="00661A02" w:rsidRPr="00F260D3">
          <w:rPr>
            <w:rStyle w:val="Hyperlink"/>
          </w:rPr>
          <w:t>2.3</w:t>
        </w:r>
        <w:r w:rsidR="00661A02">
          <w:rPr>
            <w:spacing w:val="0"/>
            <w:sz w:val="22"/>
            <w:szCs w:val="22"/>
          </w:rPr>
          <w:tab/>
        </w:r>
        <w:r w:rsidR="00661A02" w:rsidRPr="00F260D3">
          <w:rPr>
            <w:rStyle w:val="Hyperlink"/>
          </w:rPr>
          <w:t>Asset Management Accountability Framework</w:t>
        </w:r>
        <w:r w:rsidR="00661A02">
          <w:rPr>
            <w:webHidden/>
          </w:rPr>
          <w:tab/>
        </w:r>
        <w:r w:rsidR="00661A02">
          <w:rPr>
            <w:webHidden/>
          </w:rPr>
          <w:fldChar w:fldCharType="begin"/>
        </w:r>
        <w:r w:rsidR="00661A02">
          <w:rPr>
            <w:webHidden/>
          </w:rPr>
          <w:instrText xml:space="preserve"> PAGEREF _Toc25935483 \h </w:instrText>
        </w:r>
        <w:r w:rsidR="00661A02">
          <w:rPr>
            <w:webHidden/>
          </w:rPr>
        </w:r>
        <w:r w:rsidR="00661A02">
          <w:rPr>
            <w:webHidden/>
          </w:rPr>
          <w:fldChar w:fldCharType="separate"/>
        </w:r>
        <w:r w:rsidR="00661A02">
          <w:rPr>
            <w:webHidden/>
          </w:rPr>
          <w:t>8</w:t>
        </w:r>
        <w:r w:rsidR="00661A02">
          <w:rPr>
            <w:webHidden/>
          </w:rPr>
          <w:fldChar w:fldCharType="end"/>
        </w:r>
      </w:hyperlink>
    </w:p>
    <w:p w14:paraId="73763437" w14:textId="12546ABC" w:rsidR="00661A02" w:rsidRDefault="00D634AC">
      <w:pPr>
        <w:pStyle w:val="TOC2"/>
        <w:rPr>
          <w:spacing w:val="0"/>
          <w:sz w:val="22"/>
          <w:szCs w:val="22"/>
        </w:rPr>
      </w:pPr>
      <w:hyperlink w:anchor="_Toc25935484" w:history="1">
        <w:r w:rsidR="00661A02" w:rsidRPr="00F260D3">
          <w:rPr>
            <w:rStyle w:val="Hyperlink"/>
          </w:rPr>
          <w:t>2.4</w:t>
        </w:r>
        <w:r w:rsidR="00661A02">
          <w:rPr>
            <w:spacing w:val="0"/>
            <w:sz w:val="22"/>
            <w:szCs w:val="22"/>
          </w:rPr>
          <w:tab/>
        </w:r>
        <w:r w:rsidR="00661A02" w:rsidRPr="00F260D3">
          <w:rPr>
            <w:rStyle w:val="Hyperlink"/>
          </w:rPr>
          <w:t>The High Value High Risk Project Assurance Framework</w:t>
        </w:r>
        <w:r w:rsidR="00661A02">
          <w:rPr>
            <w:webHidden/>
          </w:rPr>
          <w:tab/>
        </w:r>
        <w:r w:rsidR="00661A02">
          <w:rPr>
            <w:webHidden/>
          </w:rPr>
          <w:fldChar w:fldCharType="begin"/>
        </w:r>
        <w:r w:rsidR="00661A02">
          <w:rPr>
            <w:webHidden/>
          </w:rPr>
          <w:instrText xml:space="preserve"> PAGEREF _Toc25935484 \h </w:instrText>
        </w:r>
        <w:r w:rsidR="00661A02">
          <w:rPr>
            <w:webHidden/>
          </w:rPr>
        </w:r>
        <w:r w:rsidR="00661A02">
          <w:rPr>
            <w:webHidden/>
          </w:rPr>
          <w:fldChar w:fldCharType="separate"/>
        </w:r>
        <w:r w:rsidR="00661A02">
          <w:rPr>
            <w:webHidden/>
          </w:rPr>
          <w:t>9</w:t>
        </w:r>
        <w:r w:rsidR="00661A02">
          <w:rPr>
            <w:webHidden/>
          </w:rPr>
          <w:fldChar w:fldCharType="end"/>
        </w:r>
      </w:hyperlink>
    </w:p>
    <w:p w14:paraId="18BE15BF" w14:textId="5A417116" w:rsidR="00661A02" w:rsidRDefault="00D634AC">
      <w:pPr>
        <w:pStyle w:val="TOC2"/>
        <w:rPr>
          <w:spacing w:val="0"/>
          <w:sz w:val="22"/>
          <w:szCs w:val="22"/>
        </w:rPr>
      </w:pPr>
      <w:hyperlink w:anchor="_Toc25935485" w:history="1">
        <w:r w:rsidR="00661A02" w:rsidRPr="00F260D3">
          <w:rPr>
            <w:rStyle w:val="Hyperlink"/>
          </w:rPr>
          <w:t>2.5</w:t>
        </w:r>
        <w:r w:rsidR="00661A02">
          <w:rPr>
            <w:spacing w:val="0"/>
            <w:sz w:val="22"/>
            <w:szCs w:val="22"/>
          </w:rPr>
          <w:tab/>
        </w:r>
        <w:r w:rsidR="00661A02" w:rsidRPr="00F260D3">
          <w:rPr>
            <w:rStyle w:val="Hyperlink"/>
          </w:rPr>
          <w:t>Design advice and review</w:t>
        </w:r>
        <w:r w:rsidR="00661A02">
          <w:rPr>
            <w:webHidden/>
          </w:rPr>
          <w:tab/>
        </w:r>
        <w:r w:rsidR="00661A02">
          <w:rPr>
            <w:webHidden/>
          </w:rPr>
          <w:fldChar w:fldCharType="begin"/>
        </w:r>
        <w:r w:rsidR="00661A02">
          <w:rPr>
            <w:webHidden/>
          </w:rPr>
          <w:instrText xml:space="preserve"> PAGEREF _Toc25935485 \h </w:instrText>
        </w:r>
        <w:r w:rsidR="00661A02">
          <w:rPr>
            <w:webHidden/>
          </w:rPr>
        </w:r>
        <w:r w:rsidR="00661A02">
          <w:rPr>
            <w:webHidden/>
          </w:rPr>
          <w:fldChar w:fldCharType="separate"/>
        </w:r>
        <w:r w:rsidR="00661A02">
          <w:rPr>
            <w:webHidden/>
          </w:rPr>
          <w:t>14</w:t>
        </w:r>
        <w:r w:rsidR="00661A02">
          <w:rPr>
            <w:webHidden/>
          </w:rPr>
          <w:fldChar w:fldCharType="end"/>
        </w:r>
      </w:hyperlink>
    </w:p>
    <w:p w14:paraId="4F550C4A" w14:textId="553F658E" w:rsidR="00661A02" w:rsidRDefault="00D634AC">
      <w:pPr>
        <w:pStyle w:val="TOC1"/>
        <w:rPr>
          <w:spacing w:val="0"/>
          <w:szCs w:val="22"/>
        </w:rPr>
      </w:pPr>
      <w:hyperlink w:anchor="_Toc25935486" w:history="1">
        <w:r w:rsidR="00661A02" w:rsidRPr="00F260D3">
          <w:rPr>
            <w:rStyle w:val="Hyperlink"/>
          </w:rPr>
          <w:t>3.</w:t>
        </w:r>
        <w:r w:rsidR="00661A02">
          <w:rPr>
            <w:spacing w:val="0"/>
            <w:szCs w:val="22"/>
          </w:rPr>
          <w:tab/>
        </w:r>
        <w:r w:rsidR="00661A02" w:rsidRPr="00F260D3">
          <w:rPr>
            <w:rStyle w:val="Hyperlink"/>
          </w:rPr>
          <w:t>Issues to consider across stages</w:t>
        </w:r>
        <w:r w:rsidR="00661A02">
          <w:rPr>
            <w:webHidden/>
          </w:rPr>
          <w:tab/>
        </w:r>
        <w:r w:rsidR="00661A02">
          <w:rPr>
            <w:webHidden/>
          </w:rPr>
          <w:fldChar w:fldCharType="begin"/>
        </w:r>
        <w:r w:rsidR="00661A02">
          <w:rPr>
            <w:webHidden/>
          </w:rPr>
          <w:instrText xml:space="preserve"> PAGEREF _Toc25935486 \h </w:instrText>
        </w:r>
        <w:r w:rsidR="00661A02">
          <w:rPr>
            <w:webHidden/>
          </w:rPr>
        </w:r>
        <w:r w:rsidR="00661A02">
          <w:rPr>
            <w:webHidden/>
          </w:rPr>
          <w:fldChar w:fldCharType="separate"/>
        </w:r>
        <w:r w:rsidR="00661A02">
          <w:rPr>
            <w:webHidden/>
          </w:rPr>
          <w:t>15</w:t>
        </w:r>
        <w:r w:rsidR="00661A02">
          <w:rPr>
            <w:webHidden/>
          </w:rPr>
          <w:fldChar w:fldCharType="end"/>
        </w:r>
      </w:hyperlink>
    </w:p>
    <w:p w14:paraId="0CC54CCD" w14:textId="1FB4C647" w:rsidR="00661A02" w:rsidRDefault="00D634AC">
      <w:pPr>
        <w:pStyle w:val="TOC2"/>
        <w:rPr>
          <w:spacing w:val="0"/>
          <w:sz w:val="22"/>
          <w:szCs w:val="22"/>
        </w:rPr>
      </w:pPr>
      <w:hyperlink w:anchor="_Toc25935487" w:history="1">
        <w:r w:rsidR="00661A02" w:rsidRPr="00F260D3">
          <w:rPr>
            <w:rStyle w:val="Hyperlink"/>
          </w:rPr>
          <w:t>3.1</w:t>
        </w:r>
        <w:r w:rsidR="00661A02">
          <w:rPr>
            <w:spacing w:val="0"/>
            <w:sz w:val="22"/>
            <w:szCs w:val="22"/>
          </w:rPr>
          <w:tab/>
        </w:r>
        <w:r w:rsidR="00661A02" w:rsidRPr="00F260D3">
          <w:rPr>
            <w:rStyle w:val="Hyperlink"/>
          </w:rPr>
          <w:t>Investment development funding</w:t>
        </w:r>
        <w:r w:rsidR="00661A02">
          <w:rPr>
            <w:webHidden/>
          </w:rPr>
          <w:tab/>
        </w:r>
        <w:r w:rsidR="00661A02">
          <w:rPr>
            <w:webHidden/>
          </w:rPr>
          <w:fldChar w:fldCharType="begin"/>
        </w:r>
        <w:r w:rsidR="00661A02">
          <w:rPr>
            <w:webHidden/>
          </w:rPr>
          <w:instrText xml:space="preserve"> PAGEREF _Toc25935487 \h </w:instrText>
        </w:r>
        <w:r w:rsidR="00661A02">
          <w:rPr>
            <w:webHidden/>
          </w:rPr>
        </w:r>
        <w:r w:rsidR="00661A02">
          <w:rPr>
            <w:webHidden/>
          </w:rPr>
          <w:fldChar w:fldCharType="separate"/>
        </w:r>
        <w:r w:rsidR="00661A02">
          <w:rPr>
            <w:webHidden/>
          </w:rPr>
          <w:t>15</w:t>
        </w:r>
        <w:r w:rsidR="00661A02">
          <w:rPr>
            <w:webHidden/>
          </w:rPr>
          <w:fldChar w:fldCharType="end"/>
        </w:r>
      </w:hyperlink>
    </w:p>
    <w:p w14:paraId="082006C1" w14:textId="038A00D7" w:rsidR="00661A02" w:rsidRDefault="00D634AC">
      <w:pPr>
        <w:pStyle w:val="TOC2"/>
        <w:rPr>
          <w:spacing w:val="0"/>
          <w:sz w:val="22"/>
          <w:szCs w:val="22"/>
        </w:rPr>
      </w:pPr>
      <w:hyperlink w:anchor="_Toc25935488" w:history="1">
        <w:r w:rsidR="00661A02" w:rsidRPr="00F260D3">
          <w:rPr>
            <w:rStyle w:val="Hyperlink"/>
          </w:rPr>
          <w:t>3.2</w:t>
        </w:r>
        <w:r w:rsidR="00661A02">
          <w:rPr>
            <w:spacing w:val="0"/>
            <w:sz w:val="22"/>
            <w:szCs w:val="22"/>
          </w:rPr>
          <w:tab/>
        </w:r>
        <w:r w:rsidR="00661A02" w:rsidRPr="00F260D3">
          <w:rPr>
            <w:rStyle w:val="Hyperlink"/>
          </w:rPr>
          <w:t>Cost accuracy</w:t>
        </w:r>
        <w:r w:rsidR="00661A02">
          <w:rPr>
            <w:webHidden/>
          </w:rPr>
          <w:tab/>
        </w:r>
        <w:r w:rsidR="00661A02">
          <w:rPr>
            <w:webHidden/>
          </w:rPr>
          <w:fldChar w:fldCharType="begin"/>
        </w:r>
        <w:r w:rsidR="00661A02">
          <w:rPr>
            <w:webHidden/>
          </w:rPr>
          <w:instrText xml:space="preserve"> PAGEREF _Toc25935488 \h </w:instrText>
        </w:r>
        <w:r w:rsidR="00661A02">
          <w:rPr>
            <w:webHidden/>
          </w:rPr>
        </w:r>
        <w:r w:rsidR="00661A02">
          <w:rPr>
            <w:webHidden/>
          </w:rPr>
          <w:fldChar w:fldCharType="separate"/>
        </w:r>
        <w:r w:rsidR="00661A02">
          <w:rPr>
            <w:webHidden/>
          </w:rPr>
          <w:t>16</w:t>
        </w:r>
        <w:r w:rsidR="00661A02">
          <w:rPr>
            <w:webHidden/>
          </w:rPr>
          <w:fldChar w:fldCharType="end"/>
        </w:r>
      </w:hyperlink>
    </w:p>
    <w:p w14:paraId="4FAFC905" w14:textId="4D1E16E8" w:rsidR="00661A02" w:rsidRDefault="00D634AC">
      <w:pPr>
        <w:pStyle w:val="TOC2"/>
        <w:rPr>
          <w:spacing w:val="0"/>
          <w:sz w:val="22"/>
          <w:szCs w:val="22"/>
        </w:rPr>
      </w:pPr>
      <w:hyperlink w:anchor="_Toc25935489" w:history="1">
        <w:r w:rsidR="00661A02" w:rsidRPr="00F260D3">
          <w:rPr>
            <w:rStyle w:val="Hyperlink"/>
          </w:rPr>
          <w:t>3.3</w:t>
        </w:r>
        <w:r w:rsidR="00661A02">
          <w:rPr>
            <w:spacing w:val="0"/>
            <w:sz w:val="22"/>
            <w:szCs w:val="22"/>
          </w:rPr>
          <w:tab/>
        </w:r>
        <w:r w:rsidR="00661A02" w:rsidRPr="00F260D3">
          <w:rPr>
            <w:rStyle w:val="Hyperlink"/>
          </w:rPr>
          <w:t>Project Development and Due Diligence (PDDD)</w:t>
        </w:r>
        <w:r w:rsidR="00661A02">
          <w:rPr>
            <w:webHidden/>
          </w:rPr>
          <w:tab/>
        </w:r>
        <w:r w:rsidR="00661A02">
          <w:rPr>
            <w:webHidden/>
          </w:rPr>
          <w:fldChar w:fldCharType="begin"/>
        </w:r>
        <w:r w:rsidR="00661A02">
          <w:rPr>
            <w:webHidden/>
          </w:rPr>
          <w:instrText xml:space="preserve"> PAGEREF _Toc25935489 \h </w:instrText>
        </w:r>
        <w:r w:rsidR="00661A02">
          <w:rPr>
            <w:webHidden/>
          </w:rPr>
        </w:r>
        <w:r w:rsidR="00661A02">
          <w:rPr>
            <w:webHidden/>
          </w:rPr>
          <w:fldChar w:fldCharType="separate"/>
        </w:r>
        <w:r w:rsidR="00661A02">
          <w:rPr>
            <w:webHidden/>
          </w:rPr>
          <w:t>18</w:t>
        </w:r>
        <w:r w:rsidR="00661A02">
          <w:rPr>
            <w:webHidden/>
          </w:rPr>
          <w:fldChar w:fldCharType="end"/>
        </w:r>
      </w:hyperlink>
    </w:p>
    <w:p w14:paraId="25BF936B" w14:textId="39D76120" w:rsidR="00661A02" w:rsidRDefault="00D634AC">
      <w:pPr>
        <w:pStyle w:val="TOC2"/>
        <w:rPr>
          <w:spacing w:val="0"/>
          <w:sz w:val="22"/>
          <w:szCs w:val="22"/>
        </w:rPr>
      </w:pPr>
      <w:hyperlink w:anchor="_Toc25935490" w:history="1">
        <w:r w:rsidR="00661A02" w:rsidRPr="00F260D3">
          <w:rPr>
            <w:rStyle w:val="Hyperlink"/>
          </w:rPr>
          <w:t>3.4</w:t>
        </w:r>
        <w:r w:rsidR="00661A02">
          <w:rPr>
            <w:spacing w:val="0"/>
            <w:sz w:val="22"/>
            <w:szCs w:val="22"/>
          </w:rPr>
          <w:tab/>
        </w:r>
        <w:r w:rsidR="00661A02" w:rsidRPr="00F260D3">
          <w:rPr>
            <w:rStyle w:val="Hyperlink"/>
          </w:rPr>
          <w:t>Value Creation and Capture Framework</w:t>
        </w:r>
        <w:r w:rsidR="00661A02">
          <w:rPr>
            <w:webHidden/>
          </w:rPr>
          <w:tab/>
        </w:r>
        <w:r w:rsidR="00661A02">
          <w:rPr>
            <w:webHidden/>
          </w:rPr>
          <w:fldChar w:fldCharType="begin"/>
        </w:r>
        <w:r w:rsidR="00661A02">
          <w:rPr>
            <w:webHidden/>
          </w:rPr>
          <w:instrText xml:space="preserve"> PAGEREF _Toc25935490 \h </w:instrText>
        </w:r>
        <w:r w:rsidR="00661A02">
          <w:rPr>
            <w:webHidden/>
          </w:rPr>
        </w:r>
        <w:r w:rsidR="00661A02">
          <w:rPr>
            <w:webHidden/>
          </w:rPr>
          <w:fldChar w:fldCharType="separate"/>
        </w:r>
        <w:r w:rsidR="00661A02">
          <w:rPr>
            <w:webHidden/>
          </w:rPr>
          <w:t>18</w:t>
        </w:r>
        <w:r w:rsidR="00661A02">
          <w:rPr>
            <w:webHidden/>
          </w:rPr>
          <w:fldChar w:fldCharType="end"/>
        </w:r>
      </w:hyperlink>
    </w:p>
    <w:p w14:paraId="4187381A" w14:textId="57C6E30B" w:rsidR="00661A02" w:rsidRDefault="00D634AC">
      <w:pPr>
        <w:pStyle w:val="TOC2"/>
        <w:rPr>
          <w:spacing w:val="0"/>
          <w:sz w:val="22"/>
          <w:szCs w:val="22"/>
        </w:rPr>
      </w:pPr>
      <w:hyperlink w:anchor="_Toc25935491" w:history="1">
        <w:r w:rsidR="00661A02" w:rsidRPr="00F260D3">
          <w:rPr>
            <w:rStyle w:val="Hyperlink"/>
          </w:rPr>
          <w:t>3.5</w:t>
        </w:r>
        <w:r w:rsidR="00661A02">
          <w:rPr>
            <w:spacing w:val="0"/>
            <w:sz w:val="22"/>
            <w:szCs w:val="22"/>
          </w:rPr>
          <w:tab/>
        </w:r>
        <w:r w:rsidR="00661A02" w:rsidRPr="00F260D3">
          <w:rPr>
            <w:rStyle w:val="Hyperlink"/>
            <w:i/>
          </w:rPr>
          <w:t>Climate Change Act 2017</w:t>
        </w:r>
        <w:r w:rsidR="00661A02" w:rsidRPr="00F260D3">
          <w:rPr>
            <w:rStyle w:val="Hyperlink"/>
          </w:rPr>
          <w:t xml:space="preserve"> and related climate change initiatives</w:t>
        </w:r>
        <w:r w:rsidR="00661A02">
          <w:rPr>
            <w:webHidden/>
          </w:rPr>
          <w:tab/>
        </w:r>
        <w:r w:rsidR="00661A02">
          <w:rPr>
            <w:webHidden/>
          </w:rPr>
          <w:fldChar w:fldCharType="begin"/>
        </w:r>
        <w:r w:rsidR="00661A02">
          <w:rPr>
            <w:webHidden/>
          </w:rPr>
          <w:instrText xml:space="preserve"> PAGEREF _Toc25935491 \h </w:instrText>
        </w:r>
        <w:r w:rsidR="00661A02">
          <w:rPr>
            <w:webHidden/>
          </w:rPr>
        </w:r>
        <w:r w:rsidR="00661A02">
          <w:rPr>
            <w:webHidden/>
          </w:rPr>
          <w:fldChar w:fldCharType="separate"/>
        </w:r>
        <w:r w:rsidR="00661A02">
          <w:rPr>
            <w:webHidden/>
          </w:rPr>
          <w:t>19</w:t>
        </w:r>
        <w:r w:rsidR="00661A02">
          <w:rPr>
            <w:webHidden/>
          </w:rPr>
          <w:fldChar w:fldCharType="end"/>
        </w:r>
      </w:hyperlink>
    </w:p>
    <w:p w14:paraId="7B801B2D" w14:textId="3609EA65" w:rsidR="00661A02" w:rsidRDefault="00D634AC">
      <w:pPr>
        <w:pStyle w:val="TOC2"/>
        <w:rPr>
          <w:spacing w:val="0"/>
          <w:sz w:val="22"/>
          <w:szCs w:val="22"/>
        </w:rPr>
      </w:pPr>
      <w:hyperlink w:anchor="_Toc25935492" w:history="1">
        <w:r w:rsidR="00661A02" w:rsidRPr="00F260D3">
          <w:rPr>
            <w:rStyle w:val="Hyperlink"/>
          </w:rPr>
          <w:t>3.6</w:t>
        </w:r>
        <w:r w:rsidR="00661A02">
          <w:rPr>
            <w:spacing w:val="0"/>
            <w:sz w:val="22"/>
            <w:szCs w:val="22"/>
          </w:rPr>
          <w:tab/>
        </w:r>
        <w:r w:rsidR="00661A02" w:rsidRPr="00F260D3">
          <w:rPr>
            <w:rStyle w:val="Hyperlink"/>
          </w:rPr>
          <w:t>Managing risks</w:t>
        </w:r>
        <w:r w:rsidR="00661A02">
          <w:rPr>
            <w:webHidden/>
          </w:rPr>
          <w:tab/>
        </w:r>
        <w:r w:rsidR="00661A02">
          <w:rPr>
            <w:webHidden/>
          </w:rPr>
          <w:fldChar w:fldCharType="begin"/>
        </w:r>
        <w:r w:rsidR="00661A02">
          <w:rPr>
            <w:webHidden/>
          </w:rPr>
          <w:instrText xml:space="preserve"> PAGEREF _Toc25935492 \h </w:instrText>
        </w:r>
        <w:r w:rsidR="00661A02">
          <w:rPr>
            <w:webHidden/>
          </w:rPr>
        </w:r>
        <w:r w:rsidR="00661A02">
          <w:rPr>
            <w:webHidden/>
          </w:rPr>
          <w:fldChar w:fldCharType="separate"/>
        </w:r>
        <w:r w:rsidR="00661A02">
          <w:rPr>
            <w:webHidden/>
          </w:rPr>
          <w:t>19</w:t>
        </w:r>
        <w:r w:rsidR="00661A02">
          <w:rPr>
            <w:webHidden/>
          </w:rPr>
          <w:fldChar w:fldCharType="end"/>
        </w:r>
      </w:hyperlink>
    </w:p>
    <w:p w14:paraId="7C9F9677" w14:textId="707B01DF" w:rsidR="00661A02" w:rsidRDefault="00D634AC">
      <w:pPr>
        <w:pStyle w:val="TOC2"/>
        <w:rPr>
          <w:spacing w:val="0"/>
          <w:sz w:val="22"/>
          <w:szCs w:val="22"/>
        </w:rPr>
      </w:pPr>
      <w:hyperlink w:anchor="_Toc25935493" w:history="1">
        <w:r w:rsidR="00661A02" w:rsidRPr="00F260D3">
          <w:rPr>
            <w:rStyle w:val="Hyperlink"/>
          </w:rPr>
          <w:t>3.7</w:t>
        </w:r>
        <w:r w:rsidR="00661A02">
          <w:rPr>
            <w:spacing w:val="0"/>
            <w:sz w:val="22"/>
            <w:szCs w:val="22"/>
          </w:rPr>
          <w:tab/>
        </w:r>
        <w:r w:rsidR="00661A02" w:rsidRPr="00F260D3">
          <w:rPr>
            <w:rStyle w:val="Hyperlink"/>
          </w:rPr>
          <w:t>Uncertainties</w:t>
        </w:r>
        <w:r w:rsidR="00661A02">
          <w:rPr>
            <w:webHidden/>
          </w:rPr>
          <w:tab/>
        </w:r>
        <w:r w:rsidR="00661A02">
          <w:rPr>
            <w:webHidden/>
          </w:rPr>
          <w:fldChar w:fldCharType="begin"/>
        </w:r>
        <w:r w:rsidR="00661A02">
          <w:rPr>
            <w:webHidden/>
          </w:rPr>
          <w:instrText xml:space="preserve"> PAGEREF _Toc25935493 \h </w:instrText>
        </w:r>
        <w:r w:rsidR="00661A02">
          <w:rPr>
            <w:webHidden/>
          </w:rPr>
        </w:r>
        <w:r w:rsidR="00661A02">
          <w:rPr>
            <w:webHidden/>
          </w:rPr>
          <w:fldChar w:fldCharType="separate"/>
        </w:r>
        <w:r w:rsidR="00661A02">
          <w:rPr>
            <w:webHidden/>
          </w:rPr>
          <w:t>20</w:t>
        </w:r>
        <w:r w:rsidR="00661A02">
          <w:rPr>
            <w:webHidden/>
          </w:rPr>
          <w:fldChar w:fldCharType="end"/>
        </w:r>
      </w:hyperlink>
    </w:p>
    <w:p w14:paraId="115C3CA8" w14:textId="3A14268B" w:rsidR="00661A02" w:rsidRDefault="00D634AC">
      <w:pPr>
        <w:pStyle w:val="TOC2"/>
        <w:rPr>
          <w:spacing w:val="0"/>
          <w:sz w:val="22"/>
          <w:szCs w:val="22"/>
        </w:rPr>
      </w:pPr>
      <w:hyperlink w:anchor="_Toc25935494" w:history="1">
        <w:r w:rsidR="00661A02" w:rsidRPr="00F260D3">
          <w:rPr>
            <w:rStyle w:val="Hyperlink"/>
          </w:rPr>
          <w:t>3.8</w:t>
        </w:r>
        <w:r w:rsidR="00661A02">
          <w:rPr>
            <w:spacing w:val="0"/>
            <w:sz w:val="22"/>
            <w:szCs w:val="22"/>
          </w:rPr>
          <w:tab/>
        </w:r>
        <w:r w:rsidR="00661A02" w:rsidRPr="00F260D3">
          <w:rPr>
            <w:rStyle w:val="Hyperlink"/>
          </w:rPr>
          <w:t>Resourcing</w:t>
        </w:r>
        <w:r w:rsidR="00661A02">
          <w:rPr>
            <w:webHidden/>
          </w:rPr>
          <w:tab/>
        </w:r>
        <w:r w:rsidR="00661A02">
          <w:rPr>
            <w:webHidden/>
          </w:rPr>
          <w:fldChar w:fldCharType="begin"/>
        </w:r>
        <w:r w:rsidR="00661A02">
          <w:rPr>
            <w:webHidden/>
          </w:rPr>
          <w:instrText xml:space="preserve"> PAGEREF _Toc25935494 \h </w:instrText>
        </w:r>
        <w:r w:rsidR="00661A02">
          <w:rPr>
            <w:webHidden/>
          </w:rPr>
        </w:r>
        <w:r w:rsidR="00661A02">
          <w:rPr>
            <w:webHidden/>
          </w:rPr>
          <w:fldChar w:fldCharType="separate"/>
        </w:r>
        <w:r w:rsidR="00661A02">
          <w:rPr>
            <w:webHidden/>
          </w:rPr>
          <w:t>22</w:t>
        </w:r>
        <w:r w:rsidR="00661A02">
          <w:rPr>
            <w:webHidden/>
          </w:rPr>
          <w:fldChar w:fldCharType="end"/>
        </w:r>
      </w:hyperlink>
    </w:p>
    <w:p w14:paraId="1A8FC263" w14:textId="4A5D1D2A" w:rsidR="00661A02" w:rsidRDefault="00D634AC">
      <w:pPr>
        <w:pStyle w:val="TOC1"/>
        <w:rPr>
          <w:spacing w:val="0"/>
          <w:szCs w:val="22"/>
        </w:rPr>
      </w:pPr>
      <w:hyperlink w:anchor="_Toc25935495" w:history="1">
        <w:r w:rsidR="00661A02" w:rsidRPr="00F260D3">
          <w:rPr>
            <w:rStyle w:val="Hyperlink"/>
          </w:rPr>
          <w:t>4.</w:t>
        </w:r>
        <w:r w:rsidR="00661A02">
          <w:rPr>
            <w:spacing w:val="0"/>
            <w:szCs w:val="22"/>
          </w:rPr>
          <w:tab/>
        </w:r>
        <w:r w:rsidR="00661A02" w:rsidRPr="00F260D3">
          <w:rPr>
            <w:rStyle w:val="Hyperlink"/>
          </w:rPr>
          <w:t>Glossary</w:t>
        </w:r>
        <w:r w:rsidR="00661A02">
          <w:rPr>
            <w:webHidden/>
          </w:rPr>
          <w:tab/>
        </w:r>
        <w:r w:rsidR="00661A02">
          <w:rPr>
            <w:webHidden/>
          </w:rPr>
          <w:fldChar w:fldCharType="begin"/>
        </w:r>
        <w:r w:rsidR="00661A02">
          <w:rPr>
            <w:webHidden/>
          </w:rPr>
          <w:instrText xml:space="preserve"> PAGEREF _Toc25935495 \h </w:instrText>
        </w:r>
        <w:r w:rsidR="00661A02">
          <w:rPr>
            <w:webHidden/>
          </w:rPr>
        </w:r>
        <w:r w:rsidR="00661A02">
          <w:rPr>
            <w:webHidden/>
          </w:rPr>
          <w:fldChar w:fldCharType="separate"/>
        </w:r>
        <w:r w:rsidR="00661A02">
          <w:rPr>
            <w:webHidden/>
          </w:rPr>
          <w:t>22</w:t>
        </w:r>
        <w:r w:rsidR="00661A02">
          <w:rPr>
            <w:webHidden/>
          </w:rPr>
          <w:fldChar w:fldCharType="end"/>
        </w:r>
      </w:hyperlink>
    </w:p>
    <w:p w14:paraId="0FEFB27A" w14:textId="3107CE95" w:rsidR="00CA29CB" w:rsidRPr="003E1EE8" w:rsidRDefault="001807D4" w:rsidP="00A171DC">
      <w:pPr>
        <w:rPr>
          <w:sz w:val="18"/>
        </w:rPr>
      </w:pPr>
      <w:r w:rsidRPr="003E1EE8">
        <w:fldChar w:fldCharType="end"/>
      </w:r>
    </w:p>
    <w:p w14:paraId="17516E0A" w14:textId="77777777" w:rsidR="00367473" w:rsidRPr="003E1EE8" w:rsidRDefault="00367473" w:rsidP="00A51425"/>
    <w:p w14:paraId="2C9D166E" w14:textId="2172457E" w:rsidR="00A51425" w:rsidRPr="003E1EE8" w:rsidRDefault="00A51425">
      <w:pPr>
        <w:spacing w:after="160" w:line="264" w:lineRule="auto"/>
      </w:pPr>
      <w:r w:rsidRPr="003E1EE8">
        <w:br w:type="page"/>
      </w:r>
    </w:p>
    <w:p w14:paraId="49F016A0" w14:textId="77777777" w:rsidR="00A51425" w:rsidRPr="003E1EE8" w:rsidRDefault="00A51425" w:rsidP="00A51425">
      <w:pPr>
        <w:pStyle w:val="TOCHeading"/>
      </w:pPr>
      <w:r w:rsidRPr="003E1EE8">
        <w:lastRenderedPageBreak/>
        <w:t>Acknowledgements</w:t>
      </w:r>
    </w:p>
    <w:p w14:paraId="1AA0C9A6" w14:textId="2D3113DA" w:rsidR="00A51425" w:rsidRPr="003E1EE8" w:rsidRDefault="00A51425" w:rsidP="00A51425">
      <w:r w:rsidRPr="003E1EE8">
        <w:t xml:space="preserve">The Department of Treasury and Finance wishes to acknowledge those who contributed to the thinking, development and production of this guide. In particular, the agencies of the Victorian Government </w:t>
      </w:r>
      <w:r w:rsidR="00CD1D2F">
        <w:t>that</w:t>
      </w:r>
      <w:r w:rsidR="00CD1D2F" w:rsidRPr="003E1EE8">
        <w:t xml:space="preserve"> </w:t>
      </w:r>
      <w:r w:rsidRPr="003E1EE8">
        <w:t>participated in the consultation process for the 2019 update.</w:t>
      </w:r>
    </w:p>
    <w:p w14:paraId="37E0A9D9" w14:textId="77777777" w:rsidR="00A51425" w:rsidRPr="003E1EE8" w:rsidRDefault="00A51425" w:rsidP="00A51425"/>
    <w:p w14:paraId="0D094B48" w14:textId="0FB1D491" w:rsidR="00A51425" w:rsidRPr="003E1EE8" w:rsidRDefault="00A51425" w:rsidP="00A51425">
      <w:pPr>
        <w:pStyle w:val="NormalIndent"/>
        <w:sectPr w:rsidR="00A51425" w:rsidRPr="003E1EE8" w:rsidSect="00A51425">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1872" w:right="1411" w:bottom="1440" w:left="1411" w:header="677" w:footer="461" w:gutter="0"/>
          <w:pgNumType w:fmt="lowerRoman" w:start="1"/>
          <w:cols w:sep="1" w:space="567"/>
          <w:docGrid w:linePitch="360"/>
        </w:sectPr>
      </w:pPr>
    </w:p>
    <w:p w14:paraId="622C0132" w14:textId="283B7BCE" w:rsidR="00BB5876" w:rsidRPr="003E1EE8" w:rsidRDefault="00BB5876" w:rsidP="00367473">
      <w:pPr>
        <w:pStyle w:val="Heading1numbered"/>
      </w:pPr>
      <w:bookmarkStart w:id="0" w:name="_Toc25935474"/>
      <w:r w:rsidRPr="003E1EE8">
        <w:lastRenderedPageBreak/>
        <w:t>Introduction</w:t>
      </w:r>
      <w:bookmarkEnd w:id="0"/>
    </w:p>
    <w:p w14:paraId="4D36B7A0" w14:textId="6AEAD2BE" w:rsidR="00BB5876" w:rsidRPr="003E1EE8" w:rsidRDefault="00BB5876" w:rsidP="00367473">
      <w:pPr>
        <w:pStyle w:val="Heading2numbered"/>
      </w:pPr>
      <w:bookmarkStart w:id="1" w:name="_Toc25935475"/>
      <w:r w:rsidRPr="003E1EE8">
        <w:t xml:space="preserve">What are the </w:t>
      </w:r>
      <w:r w:rsidR="00EE0D12" w:rsidRPr="003E1EE8">
        <w:t>I</w:t>
      </w:r>
      <w:r w:rsidRPr="003E1EE8">
        <w:t xml:space="preserve">nvestment </w:t>
      </w:r>
      <w:r w:rsidR="00EE0D12" w:rsidRPr="003E1EE8">
        <w:t>L</w:t>
      </w:r>
      <w:r w:rsidRPr="003E1EE8">
        <w:t xml:space="preserve">ifecycle and </w:t>
      </w:r>
      <w:r w:rsidR="00EE0D12" w:rsidRPr="003E1EE8">
        <w:t>H</w:t>
      </w:r>
      <w:r w:rsidRPr="003E1EE8">
        <w:t xml:space="preserve">igh </w:t>
      </w:r>
      <w:r w:rsidR="00EE0D12" w:rsidRPr="003E1EE8">
        <w:t>V</w:t>
      </w:r>
      <w:r w:rsidRPr="003E1EE8">
        <w:t>alue</w:t>
      </w:r>
      <w:r w:rsidR="00D71EFC" w:rsidRPr="003E1EE8">
        <w:t xml:space="preserve"> </w:t>
      </w:r>
      <w:r w:rsidR="00EE0D12" w:rsidRPr="003E1EE8">
        <w:t>H</w:t>
      </w:r>
      <w:r w:rsidRPr="003E1EE8">
        <w:t xml:space="preserve">igh </w:t>
      </w:r>
      <w:r w:rsidR="00EE0D12" w:rsidRPr="003E1EE8">
        <w:t>R</w:t>
      </w:r>
      <w:r w:rsidRPr="003E1EE8">
        <w:t xml:space="preserve">isk </w:t>
      </w:r>
      <w:r w:rsidR="00EE0D12" w:rsidRPr="003E1EE8">
        <w:t>G</w:t>
      </w:r>
      <w:r w:rsidRPr="003E1EE8">
        <w:t>uidelines?</w:t>
      </w:r>
      <w:bookmarkEnd w:id="1"/>
    </w:p>
    <w:p w14:paraId="65A3B41C" w14:textId="0EE1C5EC" w:rsidR="00B74582" w:rsidRPr="003E1EE8" w:rsidRDefault="00504B18" w:rsidP="00B817BF">
      <w:pPr>
        <w:pStyle w:val="NormalIndent"/>
      </w:pPr>
      <w:bookmarkStart w:id="2" w:name="_Hlk8128491"/>
      <w:r w:rsidRPr="003E1EE8">
        <w:t xml:space="preserve">The process of planning, proposing and delivering investments is known as the investment lifecycle. </w:t>
      </w:r>
      <w:r w:rsidR="00B817BF" w:rsidRPr="003E1EE8">
        <w:t>The</w:t>
      </w:r>
      <w:r w:rsidR="00715CD9" w:rsidRPr="003E1EE8">
        <w:t xml:space="preserve"> Investment Lifecycle and High Value High Risk (HVHR) Guidelines</w:t>
      </w:r>
      <w:r w:rsidR="00790434">
        <w:t xml:space="preserve"> (the Guidelines)</w:t>
      </w:r>
      <w:r w:rsidR="00B817BF" w:rsidRPr="003E1EE8">
        <w:t xml:space="preserve"> help shape proposals, inform investment decisions, monitor project delivery and track the benefits projects achieve</w:t>
      </w:r>
      <w:r w:rsidR="00B16092" w:rsidRPr="003E1EE8">
        <w:t xml:space="preserve"> throughout the investment lifecycle</w:t>
      </w:r>
      <w:r w:rsidR="00B817BF" w:rsidRPr="003E1EE8">
        <w:t xml:space="preserve">. </w:t>
      </w:r>
    </w:p>
    <w:p w14:paraId="0DFB92A1" w14:textId="66481A6E" w:rsidR="00B817BF" w:rsidRPr="003E1EE8" w:rsidRDefault="00B16092" w:rsidP="00B817BF">
      <w:pPr>
        <w:pStyle w:val="NormalIndent"/>
      </w:pPr>
      <w:r w:rsidRPr="003E1EE8">
        <w:t xml:space="preserve">The Guidelines outline Government’s processes for investment decision-making, and expectations for successfully delivering the intended benefits on time and on budget. </w:t>
      </w:r>
      <w:r w:rsidR="00B817BF" w:rsidRPr="003E1EE8">
        <w:t>Using the Guidelines help</w:t>
      </w:r>
      <w:r w:rsidR="00504B18" w:rsidRPr="003E1EE8">
        <w:t>s to</w:t>
      </w:r>
      <w:r w:rsidR="00B817BF" w:rsidRPr="003E1EE8">
        <w:t xml:space="preserve"> ensure </w:t>
      </w:r>
      <w:r w:rsidR="00504B18" w:rsidRPr="003E1EE8">
        <w:t xml:space="preserve">that </w:t>
      </w:r>
      <w:r w:rsidR="00B817BF" w:rsidRPr="003E1EE8">
        <w:t>government investments provide maximum benefit to Victoria.</w:t>
      </w:r>
    </w:p>
    <w:p w14:paraId="0734DC05" w14:textId="77777777" w:rsidR="00B817BF" w:rsidRPr="003E1EE8" w:rsidRDefault="00B817BF" w:rsidP="00B817BF">
      <w:pPr>
        <w:pStyle w:val="NormalIndent"/>
      </w:pPr>
      <w:r w:rsidRPr="003E1EE8">
        <w:t xml:space="preserve">The Guidelines help ensure the Government: </w:t>
      </w:r>
    </w:p>
    <w:p w14:paraId="11E961C5" w14:textId="77777777" w:rsidR="00B817BF" w:rsidRPr="003E1EE8" w:rsidRDefault="00B817BF" w:rsidP="00B817BF">
      <w:pPr>
        <w:pStyle w:val="Bulletindent"/>
      </w:pPr>
      <w:r w:rsidRPr="003E1EE8">
        <w:t>delivers investment objectives that are aligned with government and organisational priorities;</w:t>
      </w:r>
    </w:p>
    <w:p w14:paraId="41586DA7" w14:textId="77777777" w:rsidR="00B817BF" w:rsidRPr="003E1EE8" w:rsidRDefault="00B817BF" w:rsidP="00B817BF">
      <w:pPr>
        <w:pStyle w:val="Bulletindent"/>
      </w:pPr>
      <w:r w:rsidRPr="003E1EE8">
        <w:t>clearly defines accountabilities and responsibilities for delivering projects and programs;</w:t>
      </w:r>
    </w:p>
    <w:p w14:paraId="78736426" w14:textId="77777777" w:rsidR="00B817BF" w:rsidRPr="003E1EE8" w:rsidRDefault="00B817BF" w:rsidP="00B817BF">
      <w:pPr>
        <w:pStyle w:val="Bulletindent"/>
      </w:pPr>
      <w:r w:rsidRPr="003E1EE8">
        <w:t>realises the benefits it sets out to achieve by establishing clear and consistent processes for decision-making and delivery;</w:t>
      </w:r>
    </w:p>
    <w:p w14:paraId="7DD606C1" w14:textId="77777777" w:rsidR="00B817BF" w:rsidRPr="003E1EE8" w:rsidRDefault="00B817BF" w:rsidP="00B817BF">
      <w:pPr>
        <w:pStyle w:val="Bulletindent"/>
      </w:pPr>
      <w:r w:rsidRPr="003E1EE8">
        <w:t xml:space="preserve">provides a proportionate level of oversight of projects and programs in delivery; and </w:t>
      </w:r>
    </w:p>
    <w:p w14:paraId="16CE0B2F" w14:textId="77777777" w:rsidR="00B817BF" w:rsidRPr="003E1EE8" w:rsidRDefault="00B817BF" w:rsidP="00B817BF">
      <w:pPr>
        <w:pStyle w:val="Bulletindent"/>
      </w:pPr>
      <w:r w:rsidRPr="003E1EE8">
        <w:t>captures and shares lessons and uses them to promote performance improvements.</w:t>
      </w:r>
    </w:p>
    <w:p w14:paraId="1AF7556E" w14:textId="629E6B43" w:rsidR="00B817BF" w:rsidRPr="003E1EE8" w:rsidRDefault="00504B18" w:rsidP="00B817BF">
      <w:pPr>
        <w:pStyle w:val="NormalIndent"/>
      </w:pPr>
      <w:r w:rsidRPr="003E1EE8">
        <w:t>T</w:t>
      </w:r>
      <w:r w:rsidR="00B817BF" w:rsidRPr="003E1EE8">
        <w:t xml:space="preserve">he Guidelines are designed to help agencies </w:t>
      </w:r>
      <w:r w:rsidRPr="003E1EE8">
        <w:t>improve the quality of analysis and information provided to Government</w:t>
      </w:r>
      <w:r w:rsidR="00B817BF" w:rsidRPr="003E1EE8">
        <w:t>. They do this by stepping agencies through the process from the investment concept through to the beneficial delivery of an investment.</w:t>
      </w:r>
    </w:p>
    <w:p w14:paraId="0CD6185C" w14:textId="77777777" w:rsidR="008A4B86" w:rsidRDefault="008A4B86">
      <w:pPr>
        <w:keepLines w:val="0"/>
        <w:spacing w:after="160" w:line="264" w:lineRule="auto"/>
        <w:rPr>
          <w:b/>
          <w:bCs/>
          <w:color w:val="383834" w:themeColor="background2" w:themeShade="40"/>
          <w:sz w:val="18"/>
          <w:szCs w:val="18"/>
        </w:rPr>
      </w:pPr>
      <w:r>
        <w:br w:type="page"/>
      </w:r>
    </w:p>
    <w:p w14:paraId="1D95281E" w14:textId="2EABBAA4" w:rsidR="00B817BF" w:rsidRPr="003E1EE8" w:rsidRDefault="00B817BF" w:rsidP="00B817BF">
      <w:pPr>
        <w:pStyle w:val="Caption"/>
        <w:ind w:left="792"/>
      </w:pPr>
      <w:r w:rsidRPr="003E1EE8">
        <w:lastRenderedPageBreak/>
        <w:t xml:space="preserve">Figure </w:t>
      </w:r>
      <w:fldSimple w:instr=" SEQ Figure \* ARABIC ">
        <w:r w:rsidR="00661A02">
          <w:rPr>
            <w:noProof/>
          </w:rPr>
          <w:t>1</w:t>
        </w:r>
      </w:fldSimple>
      <w:r w:rsidRPr="003E1EE8">
        <w:t>: The three stages of the investment management process</w:t>
      </w:r>
    </w:p>
    <w:p w14:paraId="7E30C17D" w14:textId="77777777" w:rsidR="00B817BF" w:rsidRPr="003E1EE8" w:rsidRDefault="00B817BF" w:rsidP="00B817BF">
      <w:pPr>
        <w:pStyle w:val="NormalIndent"/>
      </w:pPr>
      <w:r w:rsidRPr="003E1EE8">
        <w:rPr>
          <w:noProof/>
          <w:lang w:val="en-US" w:eastAsia="en-US"/>
        </w:rPr>
        <w:drawing>
          <wp:inline distT="0" distB="0" distL="0" distR="0" wp14:anchorId="6DB6850C" wp14:editId="0E1B09C9">
            <wp:extent cx="4446270" cy="387350"/>
            <wp:effectExtent l="19050" t="19050" r="30480" b="50800"/>
            <wp:docPr id="371" name="Diagram 3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leGrid"/>
        <w:tblW w:w="9115" w:type="dxa"/>
        <w:tblInd w:w="7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115" w:type="dxa"/>
          <w:right w:w="115" w:type="dxa"/>
        </w:tblCellMar>
        <w:tblLook w:val="04A0" w:firstRow="1" w:lastRow="0" w:firstColumn="1" w:lastColumn="0" w:noHBand="0" w:noVBand="1"/>
      </w:tblPr>
      <w:tblGrid>
        <w:gridCol w:w="2324"/>
        <w:gridCol w:w="2324"/>
        <w:gridCol w:w="2325"/>
        <w:gridCol w:w="2142"/>
      </w:tblGrid>
      <w:tr w:rsidR="00B817BF" w:rsidRPr="003E1EE8" w14:paraId="67D62431" w14:textId="77777777" w:rsidTr="00CA0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shd w:val="clear" w:color="auto" w:fill="004EA8" w:themeFill="accent2"/>
          </w:tcPr>
          <w:p w14:paraId="2F7BDA43" w14:textId="77777777" w:rsidR="00B817BF" w:rsidRPr="003E1EE8" w:rsidRDefault="00B817BF" w:rsidP="00CA03C9">
            <w:pPr>
              <w:rPr>
                <w:b/>
                <w:sz w:val="18"/>
                <w:szCs w:val="18"/>
              </w:rPr>
            </w:pPr>
            <w:r w:rsidRPr="003E1EE8">
              <w:rPr>
                <w:b/>
                <w:sz w:val="18"/>
                <w:szCs w:val="18"/>
              </w:rPr>
              <w:t>Business case</w:t>
            </w:r>
          </w:p>
        </w:tc>
        <w:tc>
          <w:tcPr>
            <w:tcW w:w="2324" w:type="dxa"/>
            <w:shd w:val="clear" w:color="auto" w:fill="004EA8" w:themeFill="accent2"/>
          </w:tcPr>
          <w:p w14:paraId="3D710DF0" w14:textId="77777777" w:rsidR="00B817BF" w:rsidRPr="003E1EE8" w:rsidRDefault="00B817BF" w:rsidP="00CA03C9">
            <w:pPr>
              <w:cnfStyle w:val="100000000000" w:firstRow="1" w:lastRow="0" w:firstColumn="0" w:lastColumn="0" w:oddVBand="0" w:evenVBand="0" w:oddHBand="0" w:evenHBand="0" w:firstRowFirstColumn="0" w:firstRowLastColumn="0" w:lastRowFirstColumn="0" w:lastRowLastColumn="0"/>
              <w:rPr>
                <w:b/>
                <w:sz w:val="18"/>
                <w:szCs w:val="18"/>
              </w:rPr>
            </w:pPr>
            <w:r w:rsidRPr="003E1EE8">
              <w:rPr>
                <w:b/>
                <w:sz w:val="18"/>
                <w:szCs w:val="18"/>
              </w:rPr>
              <w:t>Procurement</w:t>
            </w:r>
          </w:p>
        </w:tc>
        <w:tc>
          <w:tcPr>
            <w:tcW w:w="2325" w:type="dxa"/>
            <w:shd w:val="clear" w:color="auto" w:fill="004EA8" w:themeFill="accent2"/>
          </w:tcPr>
          <w:p w14:paraId="3530829C" w14:textId="77777777" w:rsidR="00B817BF" w:rsidRPr="003E1EE8" w:rsidRDefault="00B817BF" w:rsidP="00CA03C9">
            <w:pPr>
              <w:cnfStyle w:val="100000000000" w:firstRow="1" w:lastRow="0" w:firstColumn="0" w:lastColumn="0" w:oddVBand="0" w:evenVBand="0" w:oddHBand="0" w:evenHBand="0" w:firstRowFirstColumn="0" w:firstRowLastColumn="0" w:lastRowFirstColumn="0" w:lastRowLastColumn="0"/>
              <w:rPr>
                <w:b/>
                <w:sz w:val="18"/>
                <w:szCs w:val="18"/>
              </w:rPr>
            </w:pPr>
            <w:r w:rsidRPr="003E1EE8">
              <w:rPr>
                <w:b/>
                <w:sz w:val="18"/>
                <w:szCs w:val="18"/>
              </w:rPr>
              <w:t>Delivery</w:t>
            </w:r>
          </w:p>
        </w:tc>
        <w:tc>
          <w:tcPr>
            <w:tcW w:w="2142" w:type="dxa"/>
            <w:vMerge w:val="restart"/>
            <w:shd w:val="clear" w:color="auto" w:fill="auto"/>
            <w:vAlign w:val="center"/>
          </w:tcPr>
          <w:p w14:paraId="210F6D05" w14:textId="77777777" w:rsidR="00B817BF" w:rsidRPr="003E1EE8" w:rsidRDefault="00B817BF" w:rsidP="00CA03C9">
            <w:pPr>
              <w:cnfStyle w:val="100000000000" w:firstRow="1" w:lastRow="0" w:firstColumn="0" w:lastColumn="0" w:oddVBand="0" w:evenVBand="0" w:oddHBand="0" w:evenHBand="0" w:firstRowFirstColumn="0" w:firstRowLastColumn="0" w:lastRowFirstColumn="0" w:lastRowLastColumn="0"/>
              <w:rPr>
                <w:b/>
                <w:sz w:val="18"/>
                <w:szCs w:val="18"/>
              </w:rPr>
            </w:pPr>
            <w:r w:rsidRPr="003E1EE8">
              <w:rPr>
                <w:noProof/>
                <w:lang w:val="en-US" w:eastAsia="en-US"/>
              </w:rPr>
              <mc:AlternateContent>
                <mc:Choice Requires="wps">
                  <w:drawing>
                    <wp:inline distT="0" distB="0" distL="0" distR="0" wp14:anchorId="3E531134" wp14:editId="13C7BFAD">
                      <wp:extent cx="1170214" cy="850739"/>
                      <wp:effectExtent l="0" t="0" r="0" b="6985"/>
                      <wp:docPr id="370" name="Arrow: Striped Right 136">
                        <a:extLst xmlns:a="http://schemas.openxmlformats.org/drawingml/2006/main"/>
                      </wp:docPr>
                      <wp:cNvGraphicFramePr/>
                      <a:graphic xmlns:a="http://schemas.openxmlformats.org/drawingml/2006/main">
                        <a:graphicData uri="http://schemas.microsoft.com/office/word/2010/wordprocessingShape">
                          <wps:wsp>
                            <wps:cNvSpPr/>
                            <wps:spPr>
                              <a:xfrm>
                                <a:off x="0" y="0"/>
                                <a:ext cx="1170214" cy="850739"/>
                              </a:xfrm>
                              <a:prstGeom prst="stripedRightArrow">
                                <a:avLst>
                                  <a:gd name="adj1" fmla="val 50000"/>
                                  <a:gd name="adj2" fmla="val 49776"/>
                                </a:avLst>
                              </a:prstGeom>
                              <a:solidFill>
                                <a:schemeClr val="bg2">
                                  <a:lumMod val="75000"/>
                                </a:schemeClr>
                              </a:solidFill>
                              <a:ln w="12700" cap="flat" cmpd="sng" algn="ctr">
                                <a:noFill/>
                                <a:prstDash val="solid"/>
                                <a:miter lim="800000"/>
                              </a:ln>
                              <a:effectLst/>
                            </wps:spPr>
                            <wps:txbx>
                              <w:txbxContent>
                                <w:p w14:paraId="23690055" w14:textId="50DAE163" w:rsidR="004E4E0B" w:rsidRPr="007C5013" w:rsidRDefault="004E4E0B" w:rsidP="00B817BF">
                                  <w:pPr>
                                    <w:spacing w:before="0" w:after="0"/>
                                    <w:rPr>
                                      <w:sz w:val="16"/>
                                      <w:szCs w:val="16"/>
                                    </w:rPr>
                                  </w:pPr>
                                  <w:r w:rsidRPr="007C5013">
                                    <w:rPr>
                                      <w:b/>
                                      <w:sz w:val="16"/>
                                      <w:szCs w:val="16"/>
                                    </w:rPr>
                                    <w:t>Gateway– Benefits evaluation</w:t>
                                  </w:r>
                                </w:p>
                              </w:txbxContent>
                            </wps:txbx>
                            <wps:bodyPr wrap="square" lIns="27432" tIns="0" rIns="27432" bIns="0" rtlCol="0" anchor="ctr">
                              <a:noAutofit/>
                            </wps:bodyPr>
                          </wps:wsp>
                        </a:graphicData>
                      </a:graphic>
                    </wp:inline>
                  </w:drawing>
                </mc:Choice>
                <mc:Fallback>
                  <w:pict>
                    <v:shapetype w14:anchorId="3E53113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36" o:spid="_x0000_s1026" type="#_x0000_t93" style="width:92.15pt;height: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01jRwIAAI4EAAAOAAAAZHJzL2Uyb0RvYy54bWysVMlu2zAQvRfoPxC811rsWIlgOQhipCjQ&#10;JajbD6BJSmLBrSRtKX/fIaXYbnsrqgPFTW/eezOjzf2oJDpx54XRDS4WOUZcU8OE7hr8/dvTu1uM&#10;fCCaEWk0b/AL9/h++/bNZrA1L01vJOMOAYj29WAb3Idg6yzztOeK+IWxXMNha5wiAZauy5gjA6Ar&#10;mZV5vs4G45h1hnLvYXc3HeJtwm9bTsOXtvU8INlg4BbS6NJ4iGO23ZC6c8T2gs40yD+wUERoCHqG&#10;2pFA0NGJv6CUoM5404YFNSozbSsoTxpATZH/oWbfE8uTFjDH27NN/v/B0s+nZ4cEa/CyAn80UZCk&#10;B+fMUKN9cMJyhr6Krg+oWK6TQj6Gjz6Ab9lgfZ2+j26n6d4+OziJKw/TaMjYOhXfIBWNyfeXs+8A&#10;hShsFkWVl8UKIwpntzd5tbyLickuX1vnw3tuFIqTBvuJWSKWyCZm5ATEUhLYLISwHwVGrZKQ0xOR&#10;6CaHZ8751Z3y+s7qrqrWc/gZEYi8Eojw3kjBnoSUaRErlT9KhyBAgw9dmbjIo/pk2LRXxbAzYirs&#10;eD3J+w1JajSAF2UFlxEl0AytJAGmykJ6vO4wIrKDLqPBpRjaRBKpgiO9HfH9FDDBTjKVCNBfUigw&#10;Nop/5SF1JM9Th1ylc8pazF8YD+OcyoNhL1AkA3QJ8Ph5JI5jJD9oKMOyWi3BvZAWQNtd7x7Ou0E+&#10;mqkBiaa9gf67aHg4BtOKc0FNwebqgqJPPs0NGrvqep1uXX4j218AAAD//wMAUEsDBBQABgAIAAAA&#10;IQCiEoKS2gAAAAUBAAAPAAAAZHJzL2Rvd25yZXYueG1sTI9BT8MwDIXvSPsPkSdxY8lYNZXSdAIE&#10;4syGmHrzGtOWNU7VZF3592Rc4GI961nvfc43k+3ESINvHWtYLhQI4sqZlmsN77uXmxSED8gGO8ek&#10;4Zs8bIrZVY6ZcWd+o3EbahFD2GeooQmhz6T0VUMW/cL1xNH7dIPFENehlmbAcwy3nbxVai0tthwb&#10;GuzpqaHquD1ZDWt+3N3tS/X6XCVTWo5fzB/lXuvr+fRwDyLQFP6O4YIf0aGITAd3YuNFpyE+En7n&#10;xUuTFYhDFKtEgSxy+Z+++AEAAP//AwBQSwECLQAUAAYACAAAACEAtoM4kv4AAADhAQAAEwAAAAAA&#10;AAAAAAAAAAAAAAAAW0NvbnRlbnRfVHlwZXNdLnhtbFBLAQItABQABgAIAAAAIQA4/SH/1gAAAJQB&#10;AAALAAAAAAAAAAAAAAAAAC8BAABfcmVscy8ucmVsc1BLAQItABQABgAIAAAAIQCKL01jRwIAAI4E&#10;AAAOAAAAAAAAAAAAAAAAAC4CAABkcnMvZTJvRG9jLnhtbFBLAQItABQABgAIAAAAIQCiEoKS2gAA&#10;AAUBAAAPAAAAAAAAAAAAAAAAAKEEAABkcnMvZG93bnJldi54bWxQSwUGAAAAAAQABADzAAAAqAUA&#10;AAAA&#10;" adj="13784" fillcolor="#a5a59d [2414]" stroked="f" strokeweight="1pt">
                      <v:textbox inset="2.16pt,0,2.16pt,0">
                        <w:txbxContent>
                          <w:p w14:paraId="23690055" w14:textId="50DAE163" w:rsidR="004E4E0B" w:rsidRPr="007C5013" w:rsidRDefault="004E4E0B" w:rsidP="00B817BF">
                            <w:pPr>
                              <w:spacing w:before="0" w:after="0"/>
                              <w:rPr>
                                <w:sz w:val="16"/>
                                <w:szCs w:val="16"/>
                              </w:rPr>
                            </w:pPr>
                            <w:r w:rsidRPr="007C5013">
                              <w:rPr>
                                <w:b/>
                                <w:sz w:val="16"/>
                                <w:szCs w:val="16"/>
                              </w:rPr>
                              <w:t>Gateway– Benefits evaluation</w:t>
                            </w:r>
                          </w:p>
                        </w:txbxContent>
                      </v:textbox>
                      <w10:anchorlock/>
                    </v:shape>
                  </w:pict>
                </mc:Fallback>
              </mc:AlternateContent>
            </w:r>
          </w:p>
        </w:tc>
      </w:tr>
      <w:tr w:rsidR="00B817BF" w:rsidRPr="003E1EE8" w14:paraId="4CF6A977" w14:textId="77777777" w:rsidTr="00CA03C9">
        <w:tc>
          <w:tcPr>
            <w:cnfStyle w:val="001000000000" w:firstRow="0" w:lastRow="0" w:firstColumn="1" w:lastColumn="0" w:oddVBand="0" w:evenVBand="0" w:oddHBand="0" w:evenHBand="0" w:firstRowFirstColumn="0" w:firstRowLastColumn="0" w:lastRowFirstColumn="0" w:lastRowLastColumn="0"/>
            <w:tcW w:w="2324" w:type="dxa"/>
            <w:shd w:val="clear" w:color="auto" w:fill="DBDCDE" w:themeFill="text2" w:themeFillTint="33"/>
          </w:tcPr>
          <w:p w14:paraId="1D3761AA" w14:textId="77777777" w:rsidR="00B817BF" w:rsidRPr="003E1EE8" w:rsidRDefault="00B817BF" w:rsidP="00CA03C9">
            <w:pPr>
              <w:pStyle w:val="Tabletext0"/>
              <w:rPr>
                <w:b/>
              </w:rPr>
            </w:pPr>
            <w:r w:rsidRPr="003E1EE8">
              <w:rPr>
                <w:b/>
              </w:rPr>
              <w:t>Establishes need, defines benefits, explores interventions, estimates costs, identifies delivery process.</w:t>
            </w:r>
          </w:p>
        </w:tc>
        <w:tc>
          <w:tcPr>
            <w:tcW w:w="2324" w:type="dxa"/>
            <w:shd w:val="clear" w:color="auto" w:fill="DBDCDE" w:themeFill="text2" w:themeFillTint="33"/>
          </w:tcPr>
          <w:p w14:paraId="70AA85E1" w14:textId="77777777" w:rsidR="00B817BF" w:rsidRPr="003E1EE8" w:rsidRDefault="00B817BF" w:rsidP="00CA03C9">
            <w:pPr>
              <w:pStyle w:val="Tabletext0"/>
              <w:cnfStyle w:val="000000000000" w:firstRow="0" w:lastRow="0" w:firstColumn="0" w:lastColumn="0" w:oddVBand="0" w:evenVBand="0" w:oddHBand="0" w:evenHBand="0" w:firstRowFirstColumn="0" w:firstRowLastColumn="0" w:lastRowFirstColumn="0" w:lastRowLastColumn="0"/>
              <w:rPr>
                <w:b/>
              </w:rPr>
            </w:pPr>
            <w:r w:rsidRPr="003E1EE8">
              <w:rPr>
                <w:b/>
              </w:rPr>
              <w:t>Explores delivery options, finalises delivery plan, engages the market, awards the contract.</w:t>
            </w:r>
          </w:p>
        </w:tc>
        <w:tc>
          <w:tcPr>
            <w:tcW w:w="2325" w:type="dxa"/>
            <w:shd w:val="clear" w:color="auto" w:fill="D9D9D9" w:themeFill="background1" w:themeFillShade="D9"/>
          </w:tcPr>
          <w:p w14:paraId="58DF01BF" w14:textId="77777777" w:rsidR="00B817BF" w:rsidRPr="003E1EE8" w:rsidRDefault="00B817BF" w:rsidP="00CA03C9">
            <w:pPr>
              <w:pStyle w:val="Tabletext0"/>
              <w:cnfStyle w:val="000000000000" w:firstRow="0" w:lastRow="0" w:firstColumn="0" w:lastColumn="0" w:oddVBand="0" w:evenVBand="0" w:oddHBand="0" w:evenHBand="0" w:firstRowFirstColumn="0" w:firstRowLastColumn="0" w:lastRowFirstColumn="0" w:lastRowLastColumn="0"/>
              <w:rPr>
                <w:b/>
              </w:rPr>
            </w:pPr>
            <w:r w:rsidRPr="003E1EE8">
              <w:rPr>
                <w:b/>
              </w:rPr>
              <w:t>Implements solution, transitions investment into normal business.</w:t>
            </w:r>
          </w:p>
        </w:tc>
        <w:tc>
          <w:tcPr>
            <w:tcW w:w="2142" w:type="dxa"/>
            <w:vMerge/>
            <w:shd w:val="clear" w:color="auto" w:fill="auto"/>
          </w:tcPr>
          <w:p w14:paraId="7E52E3B6" w14:textId="77777777" w:rsidR="00B817BF" w:rsidRPr="003E1EE8" w:rsidRDefault="00B817BF" w:rsidP="00CA03C9">
            <w:pPr>
              <w:cnfStyle w:val="000000000000" w:firstRow="0" w:lastRow="0" w:firstColumn="0" w:lastColumn="0" w:oddVBand="0" w:evenVBand="0" w:oddHBand="0" w:evenHBand="0" w:firstRowFirstColumn="0" w:firstRowLastColumn="0" w:lastRowFirstColumn="0" w:lastRowLastColumn="0"/>
              <w:rPr>
                <w:sz w:val="18"/>
              </w:rPr>
            </w:pPr>
          </w:p>
        </w:tc>
      </w:tr>
      <w:tr w:rsidR="00B817BF" w:rsidRPr="003E1EE8" w14:paraId="13C76B1C" w14:textId="77777777" w:rsidTr="00CA03C9">
        <w:tc>
          <w:tcPr>
            <w:cnfStyle w:val="001000000000" w:firstRow="0" w:lastRow="0" w:firstColumn="1" w:lastColumn="0" w:oddVBand="0" w:evenVBand="0" w:oddHBand="0" w:evenHBand="0" w:firstRowFirstColumn="0" w:firstRowLastColumn="0" w:lastRowFirstColumn="0" w:lastRowLastColumn="0"/>
            <w:tcW w:w="2324" w:type="dxa"/>
            <w:shd w:val="clear" w:color="auto" w:fill="DBDCDE" w:themeFill="text2" w:themeFillTint="33"/>
          </w:tcPr>
          <w:p w14:paraId="2DD006E2" w14:textId="77777777" w:rsidR="00B817BF" w:rsidRPr="003E1EE8" w:rsidRDefault="00B817BF" w:rsidP="00CA03C9">
            <w:pPr>
              <w:pStyle w:val="Tabletext0"/>
              <w:rPr>
                <w:szCs w:val="14"/>
              </w:rPr>
            </w:pPr>
            <w:r w:rsidRPr="003E1EE8">
              <w:rPr>
                <w:szCs w:val="14"/>
              </w:rPr>
              <w:t>What is the problem, issue or service need?</w:t>
            </w:r>
          </w:p>
          <w:p w14:paraId="20A4DEF9" w14:textId="77777777" w:rsidR="00B817BF" w:rsidRPr="003E1EE8" w:rsidRDefault="00B817BF" w:rsidP="00CA03C9">
            <w:pPr>
              <w:pStyle w:val="Tabletext0"/>
              <w:rPr>
                <w:szCs w:val="14"/>
              </w:rPr>
            </w:pPr>
            <w:r w:rsidRPr="003E1EE8">
              <w:rPr>
                <w:szCs w:val="14"/>
              </w:rPr>
              <w:t>What are the benefits from addressing the problem?</w:t>
            </w:r>
          </w:p>
          <w:p w14:paraId="700ACC3F" w14:textId="77777777" w:rsidR="00B817BF" w:rsidRPr="003E1EE8" w:rsidRDefault="00B817BF" w:rsidP="00CA03C9">
            <w:pPr>
              <w:pStyle w:val="Tabletext0"/>
              <w:rPr>
                <w:szCs w:val="14"/>
              </w:rPr>
            </w:pPr>
            <w:r w:rsidRPr="003E1EE8">
              <w:rPr>
                <w:szCs w:val="14"/>
              </w:rPr>
              <w:t>Is there a compelling case for investing?</w:t>
            </w:r>
          </w:p>
          <w:p w14:paraId="694A8C43" w14:textId="77777777" w:rsidR="00B817BF" w:rsidRPr="003E1EE8" w:rsidRDefault="00B817BF" w:rsidP="00CA03C9">
            <w:pPr>
              <w:pStyle w:val="Tabletext0"/>
            </w:pPr>
            <w:r w:rsidRPr="003E1EE8">
              <w:rPr>
                <w:szCs w:val="14"/>
              </w:rPr>
              <w:t>Can the project be delivered as planned?</w:t>
            </w:r>
          </w:p>
        </w:tc>
        <w:tc>
          <w:tcPr>
            <w:tcW w:w="2324" w:type="dxa"/>
            <w:shd w:val="clear" w:color="auto" w:fill="DBDCDE" w:themeFill="text2" w:themeFillTint="33"/>
          </w:tcPr>
          <w:p w14:paraId="6BF3DE73" w14:textId="77777777" w:rsidR="00B817BF" w:rsidRPr="003E1EE8" w:rsidRDefault="00B817BF" w:rsidP="00CA03C9">
            <w:pPr>
              <w:pStyle w:val="Tabletext0"/>
              <w:cnfStyle w:val="000000000000" w:firstRow="0" w:lastRow="0" w:firstColumn="0" w:lastColumn="0" w:oddVBand="0" w:evenVBand="0" w:oddHBand="0" w:evenHBand="0" w:firstRowFirstColumn="0" w:firstRowLastColumn="0" w:lastRowFirstColumn="0" w:lastRowLastColumn="0"/>
            </w:pPr>
            <w:r w:rsidRPr="003E1EE8">
              <w:rPr>
                <w:szCs w:val="14"/>
              </w:rPr>
              <w:t>What is the preferred method for delivering the investment?</w:t>
            </w:r>
          </w:p>
        </w:tc>
        <w:tc>
          <w:tcPr>
            <w:tcW w:w="2325" w:type="dxa"/>
            <w:shd w:val="clear" w:color="auto" w:fill="D9D9D9" w:themeFill="background1" w:themeFillShade="D9"/>
          </w:tcPr>
          <w:p w14:paraId="05A9C224" w14:textId="77777777" w:rsidR="00B817BF" w:rsidRPr="003E1EE8" w:rsidRDefault="00B817BF" w:rsidP="00CA03C9">
            <w:pPr>
              <w:pStyle w:val="Tabletext0"/>
              <w:cnfStyle w:val="000000000000" w:firstRow="0" w:lastRow="0" w:firstColumn="0" w:lastColumn="0" w:oddVBand="0" w:evenVBand="0" w:oddHBand="0" w:evenHBand="0" w:firstRowFirstColumn="0" w:firstRowLastColumn="0" w:lastRowFirstColumn="0" w:lastRowLastColumn="0"/>
              <w:rPr>
                <w:szCs w:val="14"/>
              </w:rPr>
            </w:pPr>
            <w:r w:rsidRPr="003E1EE8">
              <w:rPr>
                <w:szCs w:val="14"/>
              </w:rPr>
              <w:t>Is the investment proceeding as planned?</w:t>
            </w:r>
          </w:p>
          <w:p w14:paraId="5C8982F8" w14:textId="77777777" w:rsidR="00B817BF" w:rsidRPr="003E1EE8" w:rsidRDefault="00B817BF" w:rsidP="00CA03C9">
            <w:pPr>
              <w:pStyle w:val="Tabletext0"/>
              <w:cnfStyle w:val="000000000000" w:firstRow="0" w:lastRow="0" w:firstColumn="0" w:lastColumn="0" w:oddVBand="0" w:evenVBand="0" w:oddHBand="0" w:evenHBand="0" w:firstRowFirstColumn="0" w:firstRowLastColumn="0" w:lastRowFirstColumn="0" w:lastRowLastColumn="0"/>
            </w:pPr>
            <w:r w:rsidRPr="003E1EE8">
              <w:rPr>
                <w:szCs w:val="14"/>
              </w:rPr>
              <w:t>Are changes to the investment needed?</w:t>
            </w:r>
          </w:p>
        </w:tc>
        <w:tc>
          <w:tcPr>
            <w:tcW w:w="2142" w:type="dxa"/>
            <w:vMerge/>
            <w:shd w:val="clear" w:color="auto" w:fill="auto"/>
          </w:tcPr>
          <w:p w14:paraId="22723E29" w14:textId="77777777" w:rsidR="00B817BF" w:rsidRPr="003E1EE8" w:rsidRDefault="00B817BF" w:rsidP="00CA03C9">
            <w:pPr>
              <w:spacing w:before="60"/>
              <w:cnfStyle w:val="000000000000" w:firstRow="0" w:lastRow="0" w:firstColumn="0" w:lastColumn="0" w:oddVBand="0" w:evenVBand="0" w:oddHBand="0" w:evenHBand="0" w:firstRowFirstColumn="0" w:firstRowLastColumn="0" w:lastRowFirstColumn="0" w:lastRowLastColumn="0"/>
              <w:rPr>
                <w:i/>
                <w:sz w:val="18"/>
                <w:szCs w:val="14"/>
              </w:rPr>
            </w:pPr>
          </w:p>
        </w:tc>
      </w:tr>
    </w:tbl>
    <w:p w14:paraId="6464DE32" w14:textId="77777777" w:rsidR="00B817BF" w:rsidRPr="003E1EE8" w:rsidRDefault="00B817BF" w:rsidP="00B817BF">
      <w:pPr>
        <w:pStyle w:val="Spacer"/>
      </w:pPr>
    </w:p>
    <w:p w14:paraId="48C2B6B3" w14:textId="77777777" w:rsidR="00B817BF" w:rsidRPr="003E1EE8" w:rsidRDefault="00B817BF" w:rsidP="00B817BF">
      <w:pPr>
        <w:pStyle w:val="NormalIndent"/>
      </w:pPr>
      <w:r w:rsidRPr="003E1EE8">
        <w:t xml:space="preserve">To assist the Government in this process, the information that government agencies provide throughout the lifecycle should constantly aspire to objectivity and the highest standards of probity when handling and presenting information and evidence. </w:t>
      </w:r>
    </w:p>
    <w:p w14:paraId="7DC9E1D4" w14:textId="1E4BE50D" w:rsidR="000827B0" w:rsidRPr="003E1EE8" w:rsidRDefault="007B75C0" w:rsidP="00367473">
      <w:pPr>
        <w:pStyle w:val="NormalIndent"/>
      </w:pPr>
      <w:bookmarkStart w:id="3" w:name="_Hlk8128501"/>
      <w:bookmarkEnd w:id="2"/>
      <w:r w:rsidRPr="003E1EE8">
        <w:t xml:space="preserve">The Guidelines are </w:t>
      </w:r>
      <w:r w:rsidR="000827B0" w:rsidRPr="003E1EE8">
        <w:t>part of a</w:t>
      </w:r>
      <w:r w:rsidR="007275B3" w:rsidRPr="003E1EE8">
        <w:t>n integrated</w:t>
      </w:r>
      <w:r w:rsidR="000827B0" w:rsidRPr="003E1EE8">
        <w:t xml:space="preserve"> framework that </w:t>
      </w:r>
      <w:r w:rsidR="007275B3" w:rsidRPr="003E1EE8">
        <w:t>include</w:t>
      </w:r>
      <w:r w:rsidR="00853031" w:rsidRPr="003E1EE8">
        <w:t>s</w:t>
      </w:r>
      <w:r w:rsidR="007275B3" w:rsidRPr="003E1EE8">
        <w:t xml:space="preserve"> government and </w:t>
      </w:r>
      <w:r w:rsidR="000827B0" w:rsidRPr="003E1EE8">
        <w:t xml:space="preserve">departmental objectives </w:t>
      </w:r>
      <w:r w:rsidR="007275B3" w:rsidRPr="003E1EE8">
        <w:t xml:space="preserve">(such as those </w:t>
      </w:r>
      <w:r w:rsidR="00137839" w:rsidRPr="003E1EE8">
        <w:t xml:space="preserve">in corporate </w:t>
      </w:r>
      <w:r w:rsidR="000827B0" w:rsidRPr="003E1EE8">
        <w:t>plans and annual reports</w:t>
      </w:r>
      <w:r w:rsidR="007275B3" w:rsidRPr="003E1EE8">
        <w:t>)</w:t>
      </w:r>
      <w:r w:rsidR="000827B0" w:rsidRPr="003E1EE8">
        <w:t>,</w:t>
      </w:r>
      <w:r w:rsidR="00137839" w:rsidRPr="003E1EE8">
        <w:t xml:space="preserve"> </w:t>
      </w:r>
      <w:r w:rsidR="007275B3" w:rsidRPr="003E1EE8">
        <w:t xml:space="preserve">and portfolio level </w:t>
      </w:r>
      <w:r w:rsidR="000827B0" w:rsidRPr="003E1EE8">
        <w:t>service plan</w:t>
      </w:r>
      <w:r w:rsidR="00137839" w:rsidRPr="003E1EE8">
        <w:t>s</w:t>
      </w:r>
      <w:r w:rsidR="000827B0" w:rsidRPr="003E1EE8">
        <w:t xml:space="preserve"> and asset management documents. </w:t>
      </w:r>
    </w:p>
    <w:p w14:paraId="4FFB6B7B" w14:textId="125E346D" w:rsidR="00504B18" w:rsidRPr="003E1EE8" w:rsidRDefault="00504B18" w:rsidP="00C846F7">
      <w:pPr>
        <w:pStyle w:val="NormalIndent"/>
      </w:pPr>
      <w:r w:rsidRPr="003E1EE8">
        <w:t xml:space="preserve">The Guidelines emphasise the need to align delivery objectives to government policy and organisational objectives and provide practical assistance to those proposing investment projects in Victoria. </w:t>
      </w:r>
    </w:p>
    <w:bookmarkEnd w:id="3"/>
    <w:p w14:paraId="44E983B7" w14:textId="196A1FF0" w:rsidR="000827B0" w:rsidRPr="003E1EE8" w:rsidRDefault="003860B3" w:rsidP="006F66C9">
      <w:pPr>
        <w:pStyle w:val="Caption"/>
        <w:ind w:left="792"/>
      </w:pPr>
      <w:r w:rsidRPr="003E1EE8">
        <w:lastRenderedPageBreak/>
        <w:t xml:space="preserve">Figure </w:t>
      </w:r>
      <w:fldSimple w:instr=" SEQ Figure \* ARABIC ">
        <w:r w:rsidR="00661A02">
          <w:rPr>
            <w:noProof/>
          </w:rPr>
          <w:t>2</w:t>
        </w:r>
      </w:fldSimple>
      <w:r w:rsidR="004C70C0" w:rsidRPr="003E1EE8">
        <w:t>:</w:t>
      </w:r>
      <w:r w:rsidRPr="003E1EE8">
        <w:t xml:space="preserve"> </w:t>
      </w:r>
      <w:bookmarkStart w:id="4" w:name="_Hlk8128961"/>
      <w:r w:rsidRPr="003E1EE8">
        <w:t>Investment planning and management framework</w:t>
      </w:r>
      <w:r w:rsidR="007B75C0" w:rsidRPr="003E1EE8">
        <w:t xml:space="preserve"> </w:t>
      </w:r>
    </w:p>
    <w:bookmarkEnd w:id="4"/>
    <w:p w14:paraId="1AF30EAA" w14:textId="6472199E" w:rsidR="002F33CD" w:rsidRPr="003E1EE8" w:rsidRDefault="006F66C9" w:rsidP="006F66C9">
      <w:pPr>
        <w:pStyle w:val="NormalIndent"/>
      </w:pPr>
      <w:r w:rsidRPr="003E1EE8">
        <w:object w:dxaOrig="11220" w:dyaOrig="6975" w14:anchorId="7BBBC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55pt" o:ole="">
            <v:imagedata r:id="rId33" o:title=""/>
          </v:shape>
          <o:OLEObject Type="Embed" ProgID="Visio.Drawing.15" ShapeID="_x0000_i1025" DrawAspect="Content" ObjectID="_1636959351" r:id="rId34"/>
        </w:object>
      </w:r>
    </w:p>
    <w:p w14:paraId="72765C1F" w14:textId="77777777" w:rsidR="00715CD9" w:rsidRPr="003E1EE8" w:rsidRDefault="00715CD9" w:rsidP="00715CD9">
      <w:pPr>
        <w:pStyle w:val="NormalIndent"/>
      </w:pPr>
    </w:p>
    <w:p w14:paraId="05CA67B1" w14:textId="7FE57DAE" w:rsidR="00715CD9" w:rsidRPr="003E1EE8" w:rsidRDefault="00715CD9" w:rsidP="00715CD9">
      <w:pPr>
        <w:pStyle w:val="NormalIndent"/>
      </w:pPr>
      <w:r w:rsidRPr="003E1EE8">
        <w:t xml:space="preserve">The Guidelines apply to all government departments, corporations, authorities and other bodies falling under the </w:t>
      </w:r>
      <w:r w:rsidRPr="003E1EE8">
        <w:rPr>
          <w:i/>
        </w:rPr>
        <w:t>Financial Management Act 1994</w:t>
      </w:r>
      <w:r w:rsidRPr="003E1EE8">
        <w:t xml:space="preserve">. The Guidelines </w:t>
      </w:r>
      <w:r w:rsidR="00CF788E" w:rsidRPr="003E1EE8">
        <w:t xml:space="preserve">are applicable to any investment proposal (asset or output), and </w:t>
      </w:r>
      <w:r w:rsidRPr="003E1EE8">
        <w:t>support the development of business cases, which are mandatory for capital investments with a total estimated investment (TEI) of $10 million or more. Further mandatory requirements exist for HVHR projects throughout the lifecycle of projects, which are outlined in the Guidelines.</w:t>
      </w:r>
    </w:p>
    <w:p w14:paraId="15527886" w14:textId="55C9B55F" w:rsidR="00B34B7F" w:rsidRPr="003E1EE8" w:rsidRDefault="00B34B7F">
      <w:r w:rsidRPr="003E1EE8">
        <w:br w:type="page"/>
      </w:r>
    </w:p>
    <w:p w14:paraId="764E55B3" w14:textId="1754A491" w:rsidR="00640B95" w:rsidRPr="003E1EE8" w:rsidRDefault="00083711" w:rsidP="00367473">
      <w:pPr>
        <w:pStyle w:val="Heading2numbered"/>
      </w:pPr>
      <w:bookmarkStart w:id="5" w:name="_Toc25935476"/>
      <w:r w:rsidRPr="003E1EE8">
        <w:lastRenderedPageBreak/>
        <w:t xml:space="preserve">Document </w:t>
      </w:r>
      <w:r w:rsidR="00223AB6" w:rsidRPr="003E1EE8">
        <w:t xml:space="preserve">structure of the </w:t>
      </w:r>
      <w:r w:rsidRPr="003E1EE8">
        <w:t>G</w:t>
      </w:r>
      <w:r w:rsidR="00597453" w:rsidRPr="003E1EE8">
        <w:t>uidelines</w:t>
      </w:r>
      <w:bookmarkEnd w:id="5"/>
    </w:p>
    <w:p w14:paraId="223D5866" w14:textId="680B0495" w:rsidR="007B75C0" w:rsidRPr="003E1EE8" w:rsidRDefault="00640B95" w:rsidP="00367473">
      <w:pPr>
        <w:pStyle w:val="NormalIndent"/>
      </w:pPr>
      <w:r w:rsidRPr="003E1EE8">
        <w:t xml:space="preserve">The </w:t>
      </w:r>
      <w:r w:rsidR="003860B3" w:rsidRPr="003E1EE8">
        <w:t>G</w:t>
      </w:r>
      <w:r w:rsidRPr="003E1EE8">
        <w:t xml:space="preserve">uidelines are made up of several </w:t>
      </w:r>
      <w:r w:rsidR="003860B3" w:rsidRPr="003E1EE8">
        <w:t xml:space="preserve">documents across </w:t>
      </w:r>
      <w:r w:rsidR="00223AB6" w:rsidRPr="003E1EE8">
        <w:t>three</w:t>
      </w:r>
      <w:r w:rsidR="003860B3" w:rsidRPr="003E1EE8">
        <w:t xml:space="preserve"> key lifecycle sta</w:t>
      </w:r>
      <w:r w:rsidR="00223AB6" w:rsidRPr="003E1EE8">
        <w:t>g</w:t>
      </w:r>
      <w:r w:rsidR="003860B3" w:rsidRPr="003E1EE8">
        <w:t>es</w:t>
      </w:r>
      <w:r w:rsidRPr="003E1EE8">
        <w:t xml:space="preserve">. </w:t>
      </w:r>
      <w:r w:rsidR="003860B3" w:rsidRPr="003E1EE8">
        <w:t>A separate guide supports each stage.</w:t>
      </w:r>
      <w:r w:rsidRPr="003E1EE8">
        <w:t xml:space="preserve"> </w:t>
      </w:r>
      <w:r w:rsidR="00223AB6" w:rsidRPr="003E1EE8">
        <w:t>There are also</w:t>
      </w:r>
      <w:r w:rsidR="003860B3" w:rsidRPr="003E1EE8">
        <w:t xml:space="preserve"> further t</w:t>
      </w:r>
      <w:r w:rsidRPr="003E1EE8">
        <w:t>echnical material</w:t>
      </w:r>
      <w:r w:rsidR="00790434">
        <w:t>s</w:t>
      </w:r>
      <w:r w:rsidRPr="003E1EE8">
        <w:t xml:space="preserve"> and tools and templates</w:t>
      </w:r>
      <w:r w:rsidR="003860B3" w:rsidRPr="003E1EE8">
        <w:t xml:space="preserve"> to support practitioners</w:t>
      </w:r>
      <w:r w:rsidRPr="003E1EE8">
        <w:t>.</w:t>
      </w:r>
      <w:r w:rsidR="004C70C0" w:rsidRPr="003E1EE8">
        <w:t xml:space="preserve"> </w:t>
      </w:r>
    </w:p>
    <w:p w14:paraId="53A48482" w14:textId="71498EE0" w:rsidR="00C5045B" w:rsidRPr="003E1EE8" w:rsidRDefault="00C5045B" w:rsidP="00367473">
      <w:pPr>
        <w:pStyle w:val="NormalIndent"/>
      </w:pPr>
      <w:r w:rsidRPr="003E1EE8">
        <w:fldChar w:fldCharType="begin"/>
      </w:r>
      <w:r w:rsidRPr="003E1EE8">
        <w:instrText xml:space="preserve"> REF _Ref21687781 \h  \* MERGEFORMAT </w:instrText>
      </w:r>
      <w:r w:rsidRPr="003E1EE8">
        <w:fldChar w:fldCharType="separate"/>
      </w:r>
      <w:r w:rsidR="00661A02" w:rsidRPr="003E1EE8">
        <w:t xml:space="preserve">Figure </w:t>
      </w:r>
      <w:r w:rsidR="00661A02">
        <w:t>3</w:t>
      </w:r>
      <w:r w:rsidRPr="003E1EE8">
        <w:fldChar w:fldCharType="end"/>
      </w:r>
      <w:r w:rsidRPr="003E1EE8">
        <w:t xml:space="preserve"> outlines the document structure of the Guidelines.</w:t>
      </w:r>
    </w:p>
    <w:p w14:paraId="21248608" w14:textId="424EED90" w:rsidR="00C5045B" w:rsidRPr="003E1EE8" w:rsidRDefault="00C5045B" w:rsidP="00C5045B">
      <w:pPr>
        <w:pStyle w:val="Caption"/>
        <w:ind w:left="792"/>
      </w:pPr>
      <w:bookmarkStart w:id="6" w:name="_Ref21687781"/>
      <w:r w:rsidRPr="003E1EE8">
        <w:t xml:space="preserve">Figure </w:t>
      </w:r>
      <w:fldSimple w:instr=" SEQ Figure \* ARABIC ">
        <w:r w:rsidR="00661A02">
          <w:rPr>
            <w:noProof/>
          </w:rPr>
          <w:t>3</w:t>
        </w:r>
      </w:fldSimple>
      <w:bookmarkEnd w:id="6"/>
      <w:r w:rsidRPr="003E1EE8">
        <w:t xml:space="preserve">: Investment Lifecycle and HVHR Guidelines – </w:t>
      </w:r>
      <w:r w:rsidR="00790434">
        <w:t>d</w:t>
      </w:r>
      <w:r w:rsidR="00790434" w:rsidRPr="003E1EE8">
        <w:t xml:space="preserve">ocument </w:t>
      </w:r>
      <w:r w:rsidRPr="003E1EE8">
        <w:t>structure</w:t>
      </w:r>
    </w:p>
    <w:tbl>
      <w:tblPr>
        <w:tblStyle w:val="TableGrid"/>
        <w:tblW w:w="8413" w:type="dxa"/>
        <w:tblInd w:w="7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115" w:type="dxa"/>
          <w:right w:w="115" w:type="dxa"/>
        </w:tblCellMar>
        <w:tblLook w:val="04A0" w:firstRow="1" w:lastRow="0" w:firstColumn="1" w:lastColumn="0" w:noHBand="0" w:noVBand="1"/>
      </w:tblPr>
      <w:tblGrid>
        <w:gridCol w:w="8413"/>
      </w:tblGrid>
      <w:tr w:rsidR="00C5045B" w:rsidRPr="003E1EE8" w14:paraId="2A0987D5" w14:textId="77777777" w:rsidTr="007C4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3" w:type="dxa"/>
            <w:shd w:val="clear" w:color="auto" w:fill="004EA8" w:themeFill="accent2"/>
          </w:tcPr>
          <w:p w14:paraId="2B4C5299" w14:textId="2556827F" w:rsidR="00C5045B" w:rsidRPr="003E1EE8" w:rsidRDefault="00C5045B" w:rsidP="00C5045B">
            <w:pPr>
              <w:jc w:val="center"/>
              <w:rPr>
                <w:b/>
                <w:sz w:val="18"/>
                <w:szCs w:val="18"/>
              </w:rPr>
            </w:pPr>
            <w:r w:rsidRPr="003E1EE8">
              <w:rPr>
                <w:b/>
                <w:bCs/>
                <w:sz w:val="18"/>
                <w:szCs w:val="16"/>
              </w:rPr>
              <w:t>Investment Lifecycle and High Value High Risk Guidelines</w:t>
            </w:r>
          </w:p>
        </w:tc>
      </w:tr>
      <w:tr w:rsidR="00C5045B" w:rsidRPr="003E1EE8" w14:paraId="7EBACCA2" w14:textId="77777777" w:rsidTr="007C4728">
        <w:tc>
          <w:tcPr>
            <w:cnfStyle w:val="001000000000" w:firstRow="0" w:lastRow="0" w:firstColumn="1" w:lastColumn="0" w:oddVBand="0" w:evenVBand="0" w:oddHBand="0" w:evenHBand="0" w:firstRowFirstColumn="0" w:firstRowLastColumn="0" w:lastRowFirstColumn="0" w:lastRowLastColumn="0"/>
            <w:tcW w:w="8413" w:type="dxa"/>
            <w:shd w:val="clear" w:color="auto" w:fill="DBDCDE" w:themeFill="text2" w:themeFillTint="33"/>
          </w:tcPr>
          <w:p w14:paraId="5FC3985C" w14:textId="77777777" w:rsidR="00C5045B" w:rsidRPr="003E1EE8" w:rsidRDefault="00C5045B" w:rsidP="00C5045B">
            <w:pPr>
              <w:pStyle w:val="Tabletext0"/>
              <w:rPr>
                <w:b/>
                <w:color w:val="004EA8" w:themeColor="accent2"/>
              </w:rPr>
            </w:pPr>
            <w:r w:rsidRPr="003E1EE8">
              <w:rPr>
                <w:b/>
                <w:color w:val="004EA8" w:themeColor="accent2"/>
              </w:rPr>
              <w:t>Overview guide</w:t>
            </w:r>
          </w:p>
          <w:p w14:paraId="6DB8F9D4" w14:textId="77777777" w:rsidR="00C5045B" w:rsidRPr="003E1EE8" w:rsidRDefault="00C5045B" w:rsidP="00C5045B">
            <w:pPr>
              <w:pStyle w:val="Tabletext0"/>
              <w:rPr>
                <w:b/>
              </w:rPr>
            </w:pPr>
            <w:r w:rsidRPr="003E1EE8">
              <w:rPr>
                <w:b/>
              </w:rPr>
              <w:t>Technical documents relevant to all stages</w:t>
            </w:r>
          </w:p>
          <w:p w14:paraId="6C55363F" w14:textId="77777777" w:rsidR="00C5045B" w:rsidRPr="003E1EE8" w:rsidRDefault="00C5045B" w:rsidP="00C5045B">
            <w:pPr>
              <w:pStyle w:val="Tablebullet"/>
              <w:contextualSpacing/>
            </w:pPr>
            <w:r w:rsidRPr="003E1EE8">
              <w:t>Developing ICT investments technical guide</w:t>
            </w:r>
          </w:p>
          <w:p w14:paraId="1C0EEF06" w14:textId="1B563E96" w:rsidR="00C5045B" w:rsidRPr="003E1EE8" w:rsidRDefault="00C5045B" w:rsidP="00C5045B">
            <w:pPr>
              <w:pStyle w:val="Tablebullet"/>
              <w:contextualSpacing/>
            </w:pPr>
            <w:r w:rsidRPr="003E1EE8">
              <w:t xml:space="preserve">Project Development and Due Diligence </w:t>
            </w:r>
            <w:r w:rsidR="00665DE5">
              <w:t>Guidelines</w:t>
            </w:r>
          </w:p>
          <w:p w14:paraId="03F46E75" w14:textId="77777777" w:rsidR="00C5045B" w:rsidRPr="003E1EE8" w:rsidRDefault="00C5045B" w:rsidP="00C5045B">
            <w:pPr>
              <w:pStyle w:val="Tablebullet"/>
              <w:contextualSpacing/>
            </w:pPr>
            <w:r w:rsidRPr="003E1EE8">
              <w:t>Real options analysis technical guide</w:t>
            </w:r>
          </w:p>
          <w:p w14:paraId="533E3799" w14:textId="4D810C93" w:rsidR="00C5045B" w:rsidRPr="003E1EE8" w:rsidRDefault="00C5045B" w:rsidP="00C5045B">
            <w:pPr>
              <w:pStyle w:val="Tablebullet"/>
              <w:contextualSpacing/>
            </w:pPr>
            <w:r w:rsidRPr="003E1EE8">
              <w:t xml:space="preserve">Application of HVHR </w:t>
            </w:r>
            <w:r w:rsidR="009658FB" w:rsidRPr="003E1EE8">
              <w:t xml:space="preserve">Project Assurance Framework </w:t>
            </w:r>
            <w:r w:rsidRPr="003E1EE8">
              <w:t>to market-led proposals</w:t>
            </w:r>
          </w:p>
          <w:p w14:paraId="14E7D229" w14:textId="77777777" w:rsidR="00C5045B" w:rsidRPr="003E1EE8" w:rsidRDefault="00C5045B" w:rsidP="00C5045B">
            <w:pPr>
              <w:pStyle w:val="Tablebullet"/>
              <w:contextualSpacing/>
              <w:rPr>
                <w:b/>
              </w:rPr>
            </w:pPr>
            <w:r w:rsidRPr="003E1EE8">
              <w:t>Value Creation and Capture (see Department of Premier and Cabinet website)</w:t>
            </w:r>
          </w:p>
          <w:p w14:paraId="1C761FC0" w14:textId="77777777" w:rsidR="00C5045B" w:rsidRPr="003E1EE8" w:rsidRDefault="00C5045B" w:rsidP="00C5045B">
            <w:pPr>
              <w:pStyle w:val="Tabletext0"/>
              <w:rPr>
                <w:b/>
              </w:rPr>
            </w:pPr>
            <w:r w:rsidRPr="003E1EE8">
              <w:rPr>
                <w:b/>
              </w:rPr>
              <w:t>Tools and templates relevant to all stages</w:t>
            </w:r>
          </w:p>
          <w:p w14:paraId="7AACCCB5" w14:textId="126575E1" w:rsidR="00C5045B" w:rsidRPr="003E1EE8" w:rsidRDefault="00C5045B" w:rsidP="00C5045B">
            <w:pPr>
              <w:pStyle w:val="Tablebullet"/>
              <w:contextualSpacing/>
            </w:pPr>
            <w:r w:rsidRPr="003E1EE8">
              <w:t xml:space="preserve">Benefit </w:t>
            </w:r>
            <w:r w:rsidR="002C1AAC" w:rsidRPr="003E1EE8">
              <w:t>management plan</w:t>
            </w:r>
          </w:p>
          <w:p w14:paraId="5236324A" w14:textId="363F67A2" w:rsidR="00C5045B" w:rsidRPr="003E1EE8" w:rsidRDefault="00C5045B" w:rsidP="00C5045B">
            <w:pPr>
              <w:pStyle w:val="Tablebullet"/>
              <w:contextualSpacing/>
            </w:pPr>
            <w:r w:rsidRPr="003E1EE8">
              <w:t xml:space="preserve">Risk </w:t>
            </w:r>
            <w:r w:rsidR="002C1AAC" w:rsidRPr="003E1EE8">
              <w:t>management plan</w:t>
            </w:r>
          </w:p>
          <w:p w14:paraId="04342883" w14:textId="2D5DF50E" w:rsidR="00C5045B" w:rsidRPr="003E1EE8" w:rsidRDefault="00C5045B" w:rsidP="00C5045B">
            <w:pPr>
              <w:pStyle w:val="Tablebullet"/>
              <w:contextualSpacing/>
            </w:pPr>
            <w:r w:rsidRPr="003E1EE8">
              <w:t xml:space="preserve">Project </w:t>
            </w:r>
            <w:r w:rsidR="002C1AAC" w:rsidRPr="003E1EE8">
              <w:t xml:space="preserve">assurance plan </w:t>
            </w:r>
            <w:r w:rsidRPr="003E1EE8">
              <w:t>for HVHR projects (developed by DTF in consultation with relevant departments)</w:t>
            </w:r>
          </w:p>
          <w:p w14:paraId="6002E515" w14:textId="77777777" w:rsidR="00C5045B" w:rsidRPr="003E1EE8" w:rsidRDefault="00C5045B" w:rsidP="00C5045B">
            <w:pPr>
              <w:pStyle w:val="Tablebullet"/>
              <w:contextualSpacing/>
            </w:pPr>
            <w:r w:rsidRPr="003E1EE8">
              <w:t>Financial impact report</w:t>
            </w:r>
          </w:p>
          <w:p w14:paraId="67D558C1" w14:textId="6A1B3902" w:rsidR="00C5045B" w:rsidRPr="003E1EE8" w:rsidRDefault="00C5045B" w:rsidP="00C5045B">
            <w:pPr>
              <w:pStyle w:val="Tablebullet"/>
              <w:contextualSpacing/>
              <w:rPr>
                <w:b/>
              </w:rPr>
            </w:pPr>
            <w:r w:rsidRPr="003E1EE8">
              <w:t>Change control register</w:t>
            </w:r>
          </w:p>
        </w:tc>
      </w:tr>
    </w:tbl>
    <w:p w14:paraId="22C3C3A7" w14:textId="694264A7" w:rsidR="00C5045B" w:rsidRPr="003E1EE8" w:rsidRDefault="00C5045B" w:rsidP="00C65510">
      <w:pPr>
        <w:pStyle w:val="NormalIndent"/>
        <w:spacing w:after="0"/>
        <w:ind w:left="630"/>
      </w:pPr>
      <w:r w:rsidRPr="003E1EE8">
        <w:rPr>
          <w:noProof/>
          <w:lang w:val="en-US" w:eastAsia="en-US"/>
        </w:rPr>
        <w:drawing>
          <wp:inline distT="0" distB="0" distL="0" distR="0" wp14:anchorId="0D674C8D" wp14:editId="34C5E2F3">
            <wp:extent cx="5496286" cy="387350"/>
            <wp:effectExtent l="19050" t="0" r="9525" b="12700"/>
            <wp:docPr id="225" name="Diagram 2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tbl>
      <w:tblPr>
        <w:tblStyle w:val="TableGrid"/>
        <w:tblW w:w="8413" w:type="dxa"/>
        <w:tblInd w:w="7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115" w:type="dxa"/>
          <w:right w:w="115" w:type="dxa"/>
        </w:tblCellMar>
        <w:tblLook w:val="04A0" w:firstRow="1" w:lastRow="0" w:firstColumn="1" w:lastColumn="0" w:noHBand="0" w:noVBand="1"/>
      </w:tblPr>
      <w:tblGrid>
        <w:gridCol w:w="2804"/>
        <w:gridCol w:w="2804"/>
        <w:gridCol w:w="2805"/>
      </w:tblGrid>
      <w:tr w:rsidR="00C5045B" w:rsidRPr="003E1EE8" w14:paraId="18923385" w14:textId="77777777" w:rsidTr="00C65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4" w:type="dxa"/>
            <w:tcBorders>
              <w:top w:val="nil"/>
            </w:tcBorders>
            <w:shd w:val="clear" w:color="auto" w:fill="004EA8" w:themeFill="accent2"/>
          </w:tcPr>
          <w:p w14:paraId="4B359C3C" w14:textId="40051C66" w:rsidR="00C5045B" w:rsidRPr="003E1EE8" w:rsidRDefault="00C5045B" w:rsidP="008B27D6">
            <w:pPr>
              <w:spacing w:before="0" w:after="0"/>
              <w:jc w:val="center"/>
              <w:rPr>
                <w:sz w:val="16"/>
                <w:szCs w:val="16"/>
              </w:rPr>
            </w:pPr>
          </w:p>
        </w:tc>
        <w:tc>
          <w:tcPr>
            <w:tcW w:w="2804" w:type="dxa"/>
            <w:tcBorders>
              <w:top w:val="nil"/>
            </w:tcBorders>
            <w:shd w:val="clear" w:color="auto" w:fill="004EA8" w:themeFill="accent2"/>
          </w:tcPr>
          <w:p w14:paraId="62B776F9" w14:textId="4806CA05" w:rsidR="00C5045B" w:rsidRPr="003E1EE8" w:rsidRDefault="00C5045B" w:rsidP="008B27D6">
            <w:pPr>
              <w:spacing w:before="0" w:after="0"/>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805" w:type="dxa"/>
            <w:tcBorders>
              <w:top w:val="nil"/>
            </w:tcBorders>
            <w:shd w:val="clear" w:color="auto" w:fill="004EA8" w:themeFill="accent2"/>
          </w:tcPr>
          <w:p w14:paraId="335C0BBE" w14:textId="1C2D8F73" w:rsidR="00C5045B" w:rsidRPr="003E1EE8" w:rsidRDefault="00C5045B" w:rsidP="008B27D6">
            <w:pPr>
              <w:spacing w:before="0" w:after="0"/>
              <w:jc w:val="center"/>
              <w:cnfStyle w:val="100000000000" w:firstRow="1" w:lastRow="0" w:firstColumn="0" w:lastColumn="0" w:oddVBand="0" w:evenVBand="0" w:oddHBand="0" w:evenHBand="0" w:firstRowFirstColumn="0" w:firstRowLastColumn="0" w:lastRowFirstColumn="0" w:lastRowLastColumn="0"/>
              <w:rPr>
                <w:sz w:val="16"/>
                <w:szCs w:val="16"/>
              </w:rPr>
            </w:pPr>
          </w:p>
        </w:tc>
      </w:tr>
      <w:tr w:rsidR="00C5045B" w:rsidRPr="003E1EE8" w14:paraId="1BFE7F53" w14:textId="77777777" w:rsidTr="00C5045B">
        <w:tc>
          <w:tcPr>
            <w:cnfStyle w:val="001000000000" w:firstRow="0" w:lastRow="0" w:firstColumn="1" w:lastColumn="0" w:oddVBand="0" w:evenVBand="0" w:oddHBand="0" w:evenHBand="0" w:firstRowFirstColumn="0" w:firstRowLastColumn="0" w:lastRowFirstColumn="0" w:lastRowLastColumn="0"/>
            <w:tcW w:w="2804" w:type="dxa"/>
            <w:shd w:val="clear" w:color="auto" w:fill="DBDCDE" w:themeFill="text2" w:themeFillTint="33"/>
          </w:tcPr>
          <w:p w14:paraId="1761EBE7" w14:textId="77777777" w:rsidR="00C5045B" w:rsidRPr="003E1EE8" w:rsidRDefault="00C5045B" w:rsidP="00C5045B">
            <w:pPr>
              <w:pStyle w:val="Tabletext0"/>
              <w:rPr>
                <w:b/>
                <w:color w:val="004EA8" w:themeColor="accent2"/>
                <w:sz w:val="19"/>
                <w:szCs w:val="19"/>
              </w:rPr>
            </w:pPr>
            <w:r w:rsidRPr="003E1EE8">
              <w:rPr>
                <w:b/>
                <w:color w:val="004EA8" w:themeColor="accent2"/>
                <w:sz w:val="19"/>
                <w:szCs w:val="19"/>
              </w:rPr>
              <w:t>Business case guide</w:t>
            </w:r>
          </w:p>
          <w:p w14:paraId="22A3BF9B" w14:textId="77777777" w:rsidR="00C5045B" w:rsidRPr="003E1EE8" w:rsidRDefault="00C5045B" w:rsidP="00C5045B">
            <w:pPr>
              <w:pStyle w:val="Tabletext0"/>
              <w:rPr>
                <w:b/>
              </w:rPr>
            </w:pPr>
            <w:r w:rsidRPr="003E1EE8">
              <w:rPr>
                <w:b/>
              </w:rPr>
              <w:t>Technical guides</w:t>
            </w:r>
          </w:p>
          <w:p w14:paraId="7EFA6A1B" w14:textId="77777777" w:rsidR="00C5045B" w:rsidRPr="003E1EE8" w:rsidRDefault="00C5045B" w:rsidP="00C65510">
            <w:pPr>
              <w:pStyle w:val="Tablebullet"/>
              <w:contextualSpacing/>
            </w:pPr>
            <w:r w:rsidRPr="003E1EE8">
              <w:t xml:space="preserve">Economic evaluation </w:t>
            </w:r>
          </w:p>
          <w:p w14:paraId="67C594FA" w14:textId="77777777" w:rsidR="00C5045B" w:rsidRPr="003E1EE8" w:rsidRDefault="00C5045B" w:rsidP="00C65510">
            <w:pPr>
              <w:pStyle w:val="Tablebullet"/>
              <w:contextualSpacing/>
            </w:pPr>
            <w:r w:rsidRPr="003E1EE8">
              <w:t xml:space="preserve">Procurement strategy </w:t>
            </w:r>
          </w:p>
          <w:p w14:paraId="21F12EBD" w14:textId="77777777" w:rsidR="00C5045B" w:rsidRPr="003E1EE8" w:rsidRDefault="00C5045B" w:rsidP="00C65510">
            <w:pPr>
              <w:pStyle w:val="Tablebullet"/>
              <w:contextualSpacing/>
            </w:pPr>
            <w:r w:rsidRPr="003E1EE8">
              <w:t>Project budget</w:t>
            </w:r>
          </w:p>
          <w:p w14:paraId="3C9ABC10" w14:textId="77777777" w:rsidR="00C5045B" w:rsidRPr="003E1EE8" w:rsidRDefault="00C5045B" w:rsidP="00C65510">
            <w:pPr>
              <w:pStyle w:val="Tablebullet"/>
              <w:contextualSpacing/>
            </w:pPr>
            <w:r w:rsidRPr="003E1EE8">
              <w:t xml:space="preserve">Project governance </w:t>
            </w:r>
          </w:p>
          <w:p w14:paraId="172D7C85" w14:textId="77777777" w:rsidR="00C5045B" w:rsidRPr="003E1EE8" w:rsidRDefault="00C5045B" w:rsidP="00C65510">
            <w:pPr>
              <w:pStyle w:val="Tablebullet"/>
              <w:contextualSpacing/>
            </w:pPr>
            <w:r w:rsidRPr="003E1EE8">
              <w:t xml:space="preserve">Risk management </w:t>
            </w:r>
          </w:p>
          <w:p w14:paraId="470EB177" w14:textId="77777777" w:rsidR="00C5045B" w:rsidRPr="003E1EE8" w:rsidRDefault="00C5045B" w:rsidP="00C5045B">
            <w:pPr>
              <w:pStyle w:val="Tabletext0"/>
              <w:rPr>
                <w:b/>
              </w:rPr>
            </w:pPr>
            <w:r w:rsidRPr="003E1EE8">
              <w:rPr>
                <w:b/>
              </w:rPr>
              <w:t>Tools and templates</w:t>
            </w:r>
          </w:p>
          <w:p w14:paraId="19BAF015" w14:textId="77777777" w:rsidR="00C5045B" w:rsidRPr="003E1EE8" w:rsidRDefault="00C5045B" w:rsidP="00C65510">
            <w:pPr>
              <w:pStyle w:val="Tablebullet"/>
              <w:contextualSpacing/>
            </w:pPr>
            <w:r w:rsidRPr="003E1EE8">
              <w:t xml:space="preserve">Business case template </w:t>
            </w:r>
          </w:p>
          <w:p w14:paraId="339924E7" w14:textId="77777777" w:rsidR="00C5045B" w:rsidRPr="003E1EE8" w:rsidRDefault="00C5045B" w:rsidP="00C65510">
            <w:pPr>
              <w:pStyle w:val="Tablebullet"/>
              <w:contextualSpacing/>
            </w:pPr>
            <w:r w:rsidRPr="003E1EE8">
              <w:t>Project Profile Model</w:t>
            </w:r>
          </w:p>
          <w:p w14:paraId="15299281" w14:textId="77777777" w:rsidR="00C5045B" w:rsidRPr="003E1EE8" w:rsidRDefault="00C5045B" w:rsidP="00C65510">
            <w:pPr>
              <w:pStyle w:val="Tablebullet"/>
              <w:contextualSpacing/>
            </w:pPr>
            <w:r w:rsidRPr="003E1EE8">
              <w:t>Procurement strategy template</w:t>
            </w:r>
          </w:p>
          <w:p w14:paraId="58323CEE" w14:textId="78942BB7" w:rsidR="00C5045B" w:rsidRPr="00665DE5" w:rsidRDefault="00C5045B" w:rsidP="00665DE5">
            <w:pPr>
              <w:pStyle w:val="Tablebullet"/>
              <w:contextualSpacing/>
            </w:pPr>
            <w:r w:rsidRPr="003E1EE8">
              <w:t xml:space="preserve">Recommendation </w:t>
            </w:r>
            <w:r w:rsidR="002C1AAC" w:rsidRPr="003E1EE8">
              <w:t xml:space="preserve">action plan </w:t>
            </w:r>
            <w:r w:rsidRPr="003E1EE8">
              <w:t>template</w:t>
            </w:r>
          </w:p>
        </w:tc>
        <w:tc>
          <w:tcPr>
            <w:tcW w:w="2804" w:type="dxa"/>
            <w:shd w:val="clear" w:color="auto" w:fill="DBDCDE" w:themeFill="text2" w:themeFillTint="33"/>
          </w:tcPr>
          <w:p w14:paraId="7C490D3C" w14:textId="77777777" w:rsidR="00C5045B" w:rsidRPr="003E1EE8" w:rsidRDefault="00C5045B" w:rsidP="00C5045B">
            <w:pPr>
              <w:pStyle w:val="Tabletext0"/>
              <w:cnfStyle w:val="000000000000" w:firstRow="0" w:lastRow="0" w:firstColumn="0" w:lastColumn="0" w:oddVBand="0" w:evenVBand="0" w:oddHBand="0" w:evenHBand="0" w:firstRowFirstColumn="0" w:firstRowLastColumn="0" w:lastRowFirstColumn="0" w:lastRowLastColumn="0"/>
              <w:rPr>
                <w:b/>
                <w:color w:val="004EA8" w:themeColor="accent2"/>
                <w:sz w:val="19"/>
                <w:szCs w:val="19"/>
              </w:rPr>
            </w:pPr>
            <w:r w:rsidRPr="003E1EE8">
              <w:rPr>
                <w:b/>
                <w:color w:val="004EA8" w:themeColor="accent2"/>
                <w:sz w:val="19"/>
                <w:szCs w:val="19"/>
              </w:rPr>
              <w:t>Procurement guide</w:t>
            </w:r>
          </w:p>
          <w:p w14:paraId="198D9EF3" w14:textId="77777777" w:rsidR="00C5045B" w:rsidRPr="003E1EE8" w:rsidRDefault="00C5045B" w:rsidP="00C5045B">
            <w:pPr>
              <w:pStyle w:val="Tabletext0"/>
              <w:cnfStyle w:val="000000000000" w:firstRow="0" w:lastRow="0" w:firstColumn="0" w:lastColumn="0" w:oddVBand="0" w:evenVBand="0" w:oddHBand="0" w:evenHBand="0" w:firstRowFirstColumn="0" w:firstRowLastColumn="0" w:lastRowFirstColumn="0" w:lastRowLastColumn="0"/>
              <w:rPr>
                <w:b/>
              </w:rPr>
            </w:pPr>
            <w:r w:rsidRPr="003E1EE8">
              <w:rPr>
                <w:b/>
              </w:rPr>
              <w:t>Technical information</w:t>
            </w:r>
          </w:p>
          <w:p w14:paraId="69179655" w14:textId="77777777"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Ministerial Directions for Public Construction Procurement in Victoria</w:t>
            </w:r>
          </w:p>
          <w:p w14:paraId="48EF34B6" w14:textId="77777777"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Construction Supplier Register</w:t>
            </w:r>
            <w:r w:rsidRPr="003E1EE8" w:rsidDel="004C70C0">
              <w:t xml:space="preserve"> </w:t>
            </w:r>
          </w:p>
          <w:p w14:paraId="1BC6114C" w14:textId="77777777"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 xml:space="preserve">Partnerships Victoria Requirements </w:t>
            </w:r>
          </w:p>
          <w:p w14:paraId="189248A9" w14:textId="77777777"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Partnerships Victoria Contract Management Guide</w:t>
            </w:r>
          </w:p>
          <w:p w14:paraId="3EFA29C7" w14:textId="77777777"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 xml:space="preserve">Market-led Proposals Guideline </w:t>
            </w:r>
          </w:p>
          <w:p w14:paraId="1E217B7B" w14:textId="77777777"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National Alliancing Contracting Policy and Guidelines (Commonwealth)</w:t>
            </w:r>
          </w:p>
          <w:p w14:paraId="1A58534D" w14:textId="058ADC67"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National PPP Policy and Guidelines (Commonwealth)</w:t>
            </w:r>
          </w:p>
        </w:tc>
        <w:tc>
          <w:tcPr>
            <w:tcW w:w="2805" w:type="dxa"/>
            <w:shd w:val="clear" w:color="auto" w:fill="D9D9D9" w:themeFill="background1" w:themeFillShade="D9"/>
          </w:tcPr>
          <w:p w14:paraId="241716AB" w14:textId="77777777" w:rsidR="00C5045B" w:rsidRPr="003E1EE8" w:rsidRDefault="00C5045B" w:rsidP="00C5045B">
            <w:pPr>
              <w:pStyle w:val="Tabletext0"/>
              <w:cnfStyle w:val="000000000000" w:firstRow="0" w:lastRow="0" w:firstColumn="0" w:lastColumn="0" w:oddVBand="0" w:evenVBand="0" w:oddHBand="0" w:evenHBand="0" w:firstRowFirstColumn="0" w:firstRowLastColumn="0" w:lastRowFirstColumn="0" w:lastRowLastColumn="0"/>
              <w:rPr>
                <w:b/>
                <w:color w:val="004EA8" w:themeColor="accent2"/>
                <w:sz w:val="19"/>
                <w:szCs w:val="19"/>
              </w:rPr>
            </w:pPr>
            <w:r w:rsidRPr="003E1EE8">
              <w:rPr>
                <w:b/>
                <w:color w:val="004EA8" w:themeColor="accent2"/>
                <w:sz w:val="19"/>
                <w:szCs w:val="19"/>
              </w:rPr>
              <w:t>Delivery guide</w:t>
            </w:r>
          </w:p>
          <w:p w14:paraId="24CD57D1" w14:textId="4A679B02" w:rsidR="00C5045B" w:rsidRPr="003E1EE8" w:rsidRDefault="00C5045B" w:rsidP="00C5045B">
            <w:pPr>
              <w:pStyle w:val="Tabletext0"/>
              <w:cnfStyle w:val="000000000000" w:firstRow="0" w:lastRow="0" w:firstColumn="0" w:lastColumn="0" w:oddVBand="0" w:evenVBand="0" w:oddHBand="0" w:evenHBand="0" w:firstRowFirstColumn="0" w:firstRowLastColumn="0" w:lastRowFirstColumn="0" w:lastRowLastColumn="0"/>
              <w:rPr>
                <w:b/>
              </w:rPr>
            </w:pPr>
            <w:r w:rsidRPr="003E1EE8">
              <w:rPr>
                <w:b/>
              </w:rPr>
              <w:t>Tools and templates</w:t>
            </w:r>
          </w:p>
          <w:p w14:paraId="5DE7FDF5" w14:textId="74AEC184" w:rsidR="00C5045B" w:rsidRPr="003E1EE8" w:rsidRDefault="00C5045B" w:rsidP="00C65510">
            <w:pPr>
              <w:pStyle w:val="Tablebullet"/>
              <w:contextualSpacing/>
              <w:cnfStyle w:val="000000000000" w:firstRow="0" w:lastRow="0" w:firstColumn="0" w:lastColumn="0" w:oddVBand="0" w:evenVBand="0" w:oddHBand="0" w:evenHBand="0" w:firstRowFirstColumn="0" w:firstRowLastColumn="0" w:lastRowFirstColumn="0" w:lastRowLastColumn="0"/>
            </w:pPr>
            <w:r w:rsidRPr="003E1EE8">
              <w:t>Project closure report template</w:t>
            </w:r>
          </w:p>
        </w:tc>
      </w:tr>
    </w:tbl>
    <w:p w14:paraId="40EC90A4" w14:textId="73661250" w:rsidR="00640B95" w:rsidRPr="003E1EE8" w:rsidRDefault="00640B95" w:rsidP="009108D3">
      <w:pPr>
        <w:pStyle w:val="NormalIndent"/>
      </w:pPr>
    </w:p>
    <w:p w14:paraId="68589C68" w14:textId="77777777" w:rsidR="00151399" w:rsidRPr="003E1EE8" w:rsidRDefault="00151399" w:rsidP="00367473">
      <w:pPr>
        <w:pStyle w:val="Heading2numbered"/>
      </w:pPr>
      <w:bookmarkStart w:id="7" w:name="_Toc19713610"/>
      <w:bookmarkStart w:id="8" w:name="_Toc19714459"/>
      <w:bookmarkStart w:id="9" w:name="_Toc19715298"/>
      <w:bookmarkStart w:id="10" w:name="_Toc19713614"/>
      <w:bookmarkStart w:id="11" w:name="_Toc19714463"/>
      <w:bookmarkStart w:id="12" w:name="_Toc19715302"/>
      <w:bookmarkStart w:id="13" w:name="_Toc6322368"/>
      <w:bookmarkStart w:id="14" w:name="_Toc19713688"/>
      <w:bookmarkStart w:id="15" w:name="_Toc19714537"/>
      <w:bookmarkStart w:id="16" w:name="_Toc19715376"/>
      <w:bookmarkStart w:id="17" w:name="_Toc6322369"/>
      <w:bookmarkStart w:id="18" w:name="_Toc19713689"/>
      <w:bookmarkStart w:id="19" w:name="_Toc19714538"/>
      <w:bookmarkStart w:id="20" w:name="_Toc19715377"/>
      <w:bookmarkStart w:id="21" w:name="_Toc6322370"/>
      <w:bookmarkStart w:id="22" w:name="_Toc19713690"/>
      <w:bookmarkStart w:id="23" w:name="_Toc19714539"/>
      <w:bookmarkStart w:id="24" w:name="_Toc19715378"/>
      <w:bookmarkStart w:id="25" w:name="_Toc6322371"/>
      <w:bookmarkStart w:id="26" w:name="_Toc19713691"/>
      <w:bookmarkStart w:id="27" w:name="_Toc19714540"/>
      <w:bookmarkStart w:id="28" w:name="_Toc19715379"/>
      <w:bookmarkStart w:id="29" w:name="_Toc6322372"/>
      <w:bookmarkStart w:id="30" w:name="_Toc19713692"/>
      <w:bookmarkStart w:id="31" w:name="_Toc19714541"/>
      <w:bookmarkStart w:id="32" w:name="_Toc19715380"/>
      <w:bookmarkStart w:id="33" w:name="_Toc6322373"/>
      <w:bookmarkStart w:id="34" w:name="_Toc19713693"/>
      <w:bookmarkStart w:id="35" w:name="_Toc19714542"/>
      <w:bookmarkStart w:id="36" w:name="_Toc19715381"/>
      <w:bookmarkStart w:id="37" w:name="_Toc259354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E1EE8">
        <w:lastRenderedPageBreak/>
        <w:t>The recent history of Victorian investment guidelines</w:t>
      </w:r>
      <w:bookmarkEnd w:id="37"/>
    </w:p>
    <w:p w14:paraId="2A752A75" w14:textId="5BA8C001" w:rsidR="00151399" w:rsidRPr="003E1EE8" w:rsidRDefault="00151399" w:rsidP="00367473">
      <w:pPr>
        <w:pStyle w:val="NormalIndent"/>
      </w:pPr>
      <w:r w:rsidRPr="003E1EE8">
        <w:t xml:space="preserve">The Investment Evaluation Policy and Guidelines were introduced in 1996 to help ensure Victoria had the infrastructure in place to attract new business and contribute to a more productive economy. </w:t>
      </w:r>
    </w:p>
    <w:p w14:paraId="6BEA9AD3" w14:textId="77777777" w:rsidR="00151399" w:rsidRPr="003E1EE8" w:rsidRDefault="00151399" w:rsidP="00367473">
      <w:pPr>
        <w:pStyle w:val="NormalIndent"/>
      </w:pPr>
      <w:r w:rsidRPr="003E1EE8">
        <w:t xml:space="preserve">The first business case guidelines incorporated documents covering strategic assessment, options analysis and business case development. This initiated a move towards consistent and better practice across a broad sector of government entities. </w:t>
      </w:r>
    </w:p>
    <w:p w14:paraId="6D1E05ED" w14:textId="55119C2E" w:rsidR="00F13868" w:rsidRPr="003E1EE8" w:rsidRDefault="00151399" w:rsidP="00367473">
      <w:pPr>
        <w:pStyle w:val="NormalIndent"/>
      </w:pPr>
      <w:r w:rsidRPr="003E1EE8">
        <w:t xml:space="preserve">The 2008 </w:t>
      </w:r>
      <w:r w:rsidR="001B0E6C" w:rsidRPr="003E1EE8">
        <w:t>G</w:t>
      </w:r>
      <w:r w:rsidRPr="003E1EE8">
        <w:t xml:space="preserve">uidelines updated and extended the series to address tendering, implementation and benefit evaluation stages of the investment lifecycle. The </w:t>
      </w:r>
      <w:r w:rsidR="001B0E6C" w:rsidRPr="003E1EE8">
        <w:t>G</w:t>
      </w:r>
      <w:r w:rsidRPr="003E1EE8">
        <w:t>uidelines and supporting tools have evolved significantly since 2008</w:t>
      </w:r>
      <w:r w:rsidR="000F01D1" w:rsidRPr="003E1EE8">
        <w:t xml:space="preserve">. </w:t>
      </w:r>
    </w:p>
    <w:p w14:paraId="33D64770" w14:textId="00D4944C" w:rsidR="00151399" w:rsidRPr="003E1EE8" w:rsidRDefault="000F01D1" w:rsidP="00367473">
      <w:pPr>
        <w:pStyle w:val="NormalIndent"/>
      </w:pPr>
      <w:r w:rsidRPr="003E1EE8">
        <w:t xml:space="preserve">In 2019 </w:t>
      </w:r>
      <w:r w:rsidR="008B5C29" w:rsidRPr="003E1EE8">
        <w:t xml:space="preserve">the </w:t>
      </w:r>
      <w:r w:rsidR="001B0E6C" w:rsidRPr="003E1EE8">
        <w:t>Guidelines were updated to</w:t>
      </w:r>
      <w:r w:rsidR="008B5C29" w:rsidRPr="003E1EE8">
        <w:t>:</w:t>
      </w:r>
    </w:p>
    <w:p w14:paraId="3E7F74B8" w14:textId="05032D94" w:rsidR="008B5C29" w:rsidRPr="003E1EE8" w:rsidRDefault="00C65510" w:rsidP="00367473">
      <w:pPr>
        <w:pStyle w:val="Bulletindent"/>
      </w:pPr>
      <w:r w:rsidRPr="003E1EE8">
        <w:t xml:space="preserve">merge </w:t>
      </w:r>
      <w:r w:rsidR="008B5C29" w:rsidRPr="003E1EE8">
        <w:t>the first two stages (</w:t>
      </w:r>
      <w:r w:rsidR="001B0E6C" w:rsidRPr="003E1EE8">
        <w:t>C</w:t>
      </w:r>
      <w:r w:rsidR="008B5C29" w:rsidRPr="003E1EE8">
        <w:t xml:space="preserve">onceptualise and </w:t>
      </w:r>
      <w:r w:rsidR="001B0E6C" w:rsidRPr="003E1EE8">
        <w:t>P</w:t>
      </w:r>
      <w:r w:rsidR="008B5C29" w:rsidRPr="003E1EE8">
        <w:t>rove) into one stage (</w:t>
      </w:r>
      <w:r w:rsidR="001B0E6C" w:rsidRPr="003E1EE8">
        <w:t>B</w:t>
      </w:r>
      <w:r w:rsidR="008B5C29" w:rsidRPr="003E1EE8">
        <w:t xml:space="preserve">usiness </w:t>
      </w:r>
      <w:r w:rsidR="002C1AAC" w:rsidRPr="003E1EE8">
        <w:t>case</w:t>
      </w:r>
      <w:r w:rsidR="008B5C29" w:rsidRPr="003E1EE8">
        <w:t>)</w:t>
      </w:r>
      <w:r w:rsidR="001B0E6C" w:rsidRPr="003E1EE8">
        <w:t>;</w:t>
      </w:r>
    </w:p>
    <w:p w14:paraId="2AAA41B7" w14:textId="6E056B65" w:rsidR="009070F6" w:rsidRPr="003E1EE8" w:rsidRDefault="009070F6" w:rsidP="00367473">
      <w:pPr>
        <w:pStyle w:val="Bulletindent"/>
      </w:pPr>
      <w:r w:rsidRPr="003E1EE8">
        <w:t>remove Stage 5 (Realise) from the Guidelines;</w:t>
      </w:r>
    </w:p>
    <w:p w14:paraId="3AAD994D" w14:textId="14927A5E" w:rsidR="0032355A" w:rsidRPr="003E1EE8" w:rsidRDefault="00C65510" w:rsidP="00367473">
      <w:pPr>
        <w:pStyle w:val="Bulletindent"/>
      </w:pPr>
      <w:r w:rsidRPr="003E1EE8">
        <w:t xml:space="preserve">change </w:t>
      </w:r>
      <w:r w:rsidR="0032355A" w:rsidRPr="003E1EE8">
        <w:t xml:space="preserve">the title of stages to better reflect the activities </w:t>
      </w:r>
      <w:r w:rsidR="001C0654" w:rsidRPr="003E1EE8">
        <w:t xml:space="preserve">undertaken at </w:t>
      </w:r>
      <w:r w:rsidR="0032355A" w:rsidRPr="003E1EE8">
        <w:t>each stage;</w:t>
      </w:r>
    </w:p>
    <w:p w14:paraId="30DEEC60" w14:textId="54E70673" w:rsidR="008B5C29" w:rsidRPr="003E1EE8" w:rsidRDefault="00C65510" w:rsidP="00367473">
      <w:pPr>
        <w:pStyle w:val="Bulletindent"/>
      </w:pPr>
      <w:r w:rsidRPr="003E1EE8">
        <w:t xml:space="preserve">reduce </w:t>
      </w:r>
      <w:r w:rsidR="008B05AD" w:rsidRPr="003E1EE8">
        <w:t>the number of documents</w:t>
      </w:r>
      <w:r w:rsidR="001B0E6C" w:rsidRPr="003E1EE8">
        <w:t xml:space="preserve"> to </w:t>
      </w:r>
      <w:r w:rsidR="008B05AD" w:rsidRPr="003E1EE8">
        <w:t>s</w:t>
      </w:r>
      <w:r w:rsidR="008B5C29" w:rsidRPr="003E1EE8">
        <w:t xml:space="preserve">implify navigation and strengthen guidance; </w:t>
      </w:r>
    </w:p>
    <w:p w14:paraId="731EEAB3" w14:textId="06863B55" w:rsidR="008B05AD" w:rsidRPr="003E1EE8" w:rsidRDefault="00C65510" w:rsidP="00367473">
      <w:pPr>
        <w:pStyle w:val="Bulletindent"/>
      </w:pPr>
      <w:r w:rsidRPr="003E1EE8">
        <w:t xml:space="preserve">reflect </w:t>
      </w:r>
      <w:r w:rsidR="008B05AD" w:rsidRPr="003E1EE8">
        <w:t>new best practi</w:t>
      </w:r>
      <w:r w:rsidR="001B0E6C" w:rsidRPr="003E1EE8">
        <w:t>c</w:t>
      </w:r>
      <w:r w:rsidR="008B05AD" w:rsidRPr="003E1EE8">
        <w:t xml:space="preserve">e material including </w:t>
      </w:r>
      <w:r w:rsidR="001B0E6C" w:rsidRPr="003E1EE8">
        <w:t>Project Development and Due Diligence</w:t>
      </w:r>
      <w:r w:rsidR="008B05AD" w:rsidRPr="003E1EE8">
        <w:t xml:space="preserve">, </w:t>
      </w:r>
      <w:r w:rsidR="001B0E6C" w:rsidRPr="003E1EE8">
        <w:t>V</w:t>
      </w:r>
      <w:r w:rsidR="008B05AD" w:rsidRPr="003E1EE8">
        <w:t xml:space="preserve">alue </w:t>
      </w:r>
      <w:r w:rsidR="001B0E6C" w:rsidRPr="003E1EE8">
        <w:t>C</w:t>
      </w:r>
      <w:r w:rsidR="008B05AD" w:rsidRPr="003E1EE8">
        <w:t>reation</w:t>
      </w:r>
      <w:r w:rsidR="001B0E6C" w:rsidRPr="003E1EE8">
        <w:t xml:space="preserve"> and Capture; and</w:t>
      </w:r>
    </w:p>
    <w:p w14:paraId="041ECE57" w14:textId="0CE0ED95" w:rsidR="008B5C29" w:rsidRPr="003E1EE8" w:rsidRDefault="00C65510" w:rsidP="00CA03C9">
      <w:pPr>
        <w:pStyle w:val="Bulletindent"/>
      </w:pPr>
      <w:r w:rsidRPr="003E1EE8">
        <w:t xml:space="preserve">introduce </w:t>
      </w:r>
      <w:r w:rsidR="008B5C29" w:rsidRPr="003E1EE8">
        <w:t>new requirements</w:t>
      </w:r>
      <w:r w:rsidR="001B0E6C" w:rsidRPr="003E1EE8">
        <w:t>,</w:t>
      </w:r>
      <w:r w:rsidR="008B5C29" w:rsidRPr="003E1EE8">
        <w:t xml:space="preserve"> </w:t>
      </w:r>
      <w:r w:rsidR="0032355A" w:rsidRPr="003E1EE8">
        <w:t xml:space="preserve">including the </w:t>
      </w:r>
      <w:r w:rsidR="008B5C29" w:rsidRPr="003E1EE8">
        <w:t>attestation of the Senior Responsible Owner</w:t>
      </w:r>
      <w:r w:rsidRPr="003E1EE8">
        <w:t> </w:t>
      </w:r>
      <w:r w:rsidR="008B5C29" w:rsidRPr="003E1EE8">
        <w:t xml:space="preserve">(SRO) in the business case submission process, </w:t>
      </w:r>
      <w:r w:rsidR="009070F6" w:rsidRPr="003E1EE8">
        <w:t xml:space="preserve">submission of detailed project schedules with business cases, </w:t>
      </w:r>
      <w:r w:rsidR="00AF1286">
        <w:t>periodic</w:t>
      </w:r>
      <w:r w:rsidR="009070F6" w:rsidRPr="003E1EE8">
        <w:t xml:space="preserve"> financial impact reporting</w:t>
      </w:r>
      <w:r w:rsidR="00AF1286">
        <w:t xml:space="preserve"> to be submitted to DTF quarterly (together with the Major Projects Performance Reporting)</w:t>
      </w:r>
      <w:r w:rsidR="009070F6" w:rsidRPr="003E1EE8">
        <w:t xml:space="preserve">, a change control register </w:t>
      </w:r>
      <w:r w:rsidR="00A14C60">
        <w:t>to</w:t>
      </w:r>
      <w:r w:rsidR="00A14C60" w:rsidRPr="00A14C60">
        <w:t xml:space="preserve"> be maintained throughout the project lifecycle and made available to </w:t>
      </w:r>
      <w:r w:rsidR="00691E63">
        <w:t>s</w:t>
      </w:r>
      <w:r w:rsidR="00A14C60" w:rsidRPr="00A14C60">
        <w:t xml:space="preserve">teering </w:t>
      </w:r>
      <w:r w:rsidR="00691E63">
        <w:t>c</w:t>
      </w:r>
      <w:r w:rsidR="00A14C60" w:rsidRPr="00A14C60">
        <w:t>ommittee members and submitted to DTF at key approval milestones</w:t>
      </w:r>
      <w:r w:rsidR="009070F6" w:rsidRPr="003E1EE8">
        <w:t xml:space="preserve">, a project closure report to be completed at the point of handover, </w:t>
      </w:r>
      <w:r w:rsidR="008B5C29" w:rsidRPr="003E1EE8">
        <w:t xml:space="preserve">and </w:t>
      </w:r>
      <w:r w:rsidR="00043E33" w:rsidRPr="003E1EE8">
        <w:t>strengthening</w:t>
      </w:r>
      <w:r w:rsidR="008B5C29" w:rsidRPr="003E1EE8">
        <w:t xml:space="preserve"> the post</w:t>
      </w:r>
      <w:r w:rsidRPr="003E1EE8">
        <w:noBreakHyphen/>
      </w:r>
      <w:r w:rsidR="008B5C29" w:rsidRPr="003E1EE8">
        <w:t>implementation review process</w:t>
      </w:r>
      <w:r w:rsidR="001B0E6C" w:rsidRPr="003E1EE8">
        <w:t>.</w:t>
      </w:r>
    </w:p>
    <w:p w14:paraId="2CDE9614" w14:textId="4E165C43" w:rsidR="00151399" w:rsidRPr="003E1EE8" w:rsidRDefault="00151399" w:rsidP="00367473">
      <w:pPr>
        <w:pStyle w:val="Heading2numbered"/>
      </w:pPr>
      <w:bookmarkStart w:id="38" w:name="_Toc499709551"/>
      <w:bookmarkStart w:id="39" w:name="_Toc499734211"/>
      <w:bookmarkStart w:id="40" w:name="_Toc499709552"/>
      <w:bookmarkStart w:id="41" w:name="_Toc499734212"/>
      <w:bookmarkStart w:id="42" w:name="_Toc499709553"/>
      <w:bookmarkStart w:id="43" w:name="_Toc499734213"/>
      <w:bookmarkStart w:id="44" w:name="_Toc499709554"/>
      <w:bookmarkStart w:id="45" w:name="_Toc499734214"/>
      <w:bookmarkStart w:id="46" w:name="_Toc499709555"/>
      <w:bookmarkStart w:id="47" w:name="_Toc499734215"/>
      <w:bookmarkStart w:id="48" w:name="_Toc499709556"/>
      <w:bookmarkStart w:id="49" w:name="_Toc499734216"/>
      <w:bookmarkStart w:id="50" w:name="_Toc499709557"/>
      <w:bookmarkStart w:id="51" w:name="_Toc499734217"/>
      <w:bookmarkStart w:id="52" w:name="_Toc499709558"/>
      <w:bookmarkStart w:id="53" w:name="_Toc499734218"/>
      <w:bookmarkStart w:id="54" w:name="_Toc499709559"/>
      <w:bookmarkStart w:id="55" w:name="_Toc499734219"/>
      <w:bookmarkStart w:id="56" w:name="_Toc499709560"/>
      <w:bookmarkStart w:id="57" w:name="_Toc499734220"/>
      <w:bookmarkStart w:id="58" w:name="_Toc499709561"/>
      <w:bookmarkStart w:id="59" w:name="_Toc499734221"/>
      <w:bookmarkStart w:id="60" w:name="_Toc499709562"/>
      <w:bookmarkStart w:id="61" w:name="_Toc499734222"/>
      <w:bookmarkStart w:id="62" w:name="_Toc2593547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E1EE8">
        <w:t>Investment management versus project management</w:t>
      </w:r>
      <w:bookmarkEnd w:id="62"/>
    </w:p>
    <w:p w14:paraId="72305920" w14:textId="77777777" w:rsidR="00562B88" w:rsidRPr="003E1EE8" w:rsidRDefault="00043E33" w:rsidP="00367473">
      <w:pPr>
        <w:pStyle w:val="NormalIndent"/>
      </w:pPr>
      <w:r w:rsidRPr="003E1EE8">
        <w:t xml:space="preserve">There are some important distinctions between investment management and project management. </w:t>
      </w:r>
    </w:p>
    <w:p w14:paraId="43D814FD" w14:textId="77777777" w:rsidR="00562B88" w:rsidRPr="003E1EE8" w:rsidRDefault="00043E33" w:rsidP="00367473">
      <w:pPr>
        <w:pStyle w:val="NormalIndent"/>
      </w:pPr>
      <w:r w:rsidRPr="003E1EE8">
        <w:rPr>
          <w:i/>
        </w:rPr>
        <w:t>Investment management</w:t>
      </w:r>
      <w:r w:rsidRPr="003E1EE8">
        <w:t xml:space="preserve"> focuses on the benefits government is buying to address the problem and on the delivery of those benefits. </w:t>
      </w:r>
      <w:r w:rsidR="00562B88" w:rsidRPr="003E1EE8">
        <w:t>Investment management considers a proposal, program or project from the viewpoint of the investor rather than the project manager. The timescales are often longer given realising benefits from investment may not be achieved immediately after the project is delivered.</w:t>
      </w:r>
    </w:p>
    <w:p w14:paraId="4983CBAD" w14:textId="77777777" w:rsidR="00151399" w:rsidRPr="003E1EE8" w:rsidRDefault="00043E33" w:rsidP="00367473">
      <w:pPr>
        <w:pStyle w:val="NormalIndent"/>
      </w:pPr>
      <w:r w:rsidRPr="003E1EE8">
        <w:rPr>
          <w:i/>
        </w:rPr>
        <w:t>Project management</w:t>
      </w:r>
      <w:r w:rsidRPr="003E1EE8">
        <w:t xml:space="preserve"> focuses on managing the timelines and budget.</w:t>
      </w:r>
      <w:r w:rsidR="00562B88" w:rsidRPr="003E1EE8">
        <w:t xml:space="preserve"> </w:t>
      </w:r>
      <w:r w:rsidRPr="003E1EE8">
        <w:t>P</w:t>
      </w:r>
      <w:r w:rsidR="00151399" w:rsidRPr="003E1EE8">
        <w:t xml:space="preserve">roject management </w:t>
      </w:r>
      <w:r w:rsidRPr="003E1EE8">
        <w:t xml:space="preserve">tools are </w:t>
      </w:r>
      <w:r w:rsidR="00151399" w:rsidRPr="003E1EE8">
        <w:t>commonly used to support investment management. Good project management is critical to the success of an investment</w:t>
      </w:r>
      <w:r w:rsidR="00562B88" w:rsidRPr="003E1EE8">
        <w:t xml:space="preserve"> and </w:t>
      </w:r>
      <w:r w:rsidR="00151399" w:rsidRPr="003E1EE8">
        <w:t xml:space="preserve">complements </w:t>
      </w:r>
      <w:r w:rsidR="00562B88" w:rsidRPr="003E1EE8">
        <w:t>the investment management process</w:t>
      </w:r>
      <w:r w:rsidR="00151399" w:rsidRPr="003E1EE8">
        <w:t>.</w:t>
      </w:r>
    </w:p>
    <w:p w14:paraId="6C89B068" w14:textId="77777777" w:rsidR="008A4B86" w:rsidRDefault="008A4B86">
      <w:pPr>
        <w:keepLines w:val="0"/>
        <w:spacing w:after="160" w:line="264" w:lineRule="auto"/>
        <w:rPr>
          <w:b/>
          <w:bCs/>
          <w:color w:val="383834" w:themeColor="background2" w:themeShade="40"/>
          <w:sz w:val="18"/>
          <w:szCs w:val="18"/>
        </w:rPr>
      </w:pPr>
      <w:r>
        <w:br w:type="page"/>
      </w:r>
    </w:p>
    <w:p w14:paraId="2234511A" w14:textId="0F4809FE" w:rsidR="00B42DF4" w:rsidRPr="003E1EE8" w:rsidRDefault="00FC2738" w:rsidP="007C4728">
      <w:pPr>
        <w:pStyle w:val="Caption"/>
        <w:ind w:left="792"/>
      </w:pPr>
      <w:r w:rsidRPr="003E1EE8">
        <w:lastRenderedPageBreak/>
        <w:t xml:space="preserve">Figure </w:t>
      </w:r>
      <w:fldSimple w:instr=" SEQ Figure \* ARABIC ">
        <w:r w:rsidR="00661A02">
          <w:rPr>
            <w:noProof/>
          </w:rPr>
          <w:t>4</w:t>
        </w:r>
      </w:fldSimple>
      <w:r w:rsidRPr="003E1EE8">
        <w:t>: The different focuses of investment management vs project management</w:t>
      </w:r>
    </w:p>
    <w:tbl>
      <w:tblPr>
        <w:tblStyle w:val="DTFTextTable"/>
        <w:tblW w:w="4501" w:type="pct"/>
        <w:tblInd w:w="867" w:type="dxa"/>
        <w:tblLook w:val="04A0" w:firstRow="1" w:lastRow="0" w:firstColumn="1" w:lastColumn="0" w:noHBand="0" w:noVBand="1"/>
      </w:tblPr>
      <w:tblGrid>
        <w:gridCol w:w="3960"/>
        <w:gridCol w:w="350"/>
        <w:gridCol w:w="3970"/>
      </w:tblGrid>
      <w:tr w:rsidR="00C65510" w:rsidRPr="003E1EE8" w14:paraId="51AD9A77" w14:textId="77777777" w:rsidTr="00C65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pct"/>
          </w:tcPr>
          <w:p w14:paraId="23E48F37" w14:textId="76ADE4C8" w:rsidR="00C65510" w:rsidRPr="003E1EE8" w:rsidRDefault="00C65510" w:rsidP="00C65510">
            <w:pPr>
              <w:pStyle w:val="Tableheader"/>
              <w:jc w:val="center"/>
            </w:pPr>
            <w:r w:rsidRPr="003E1EE8">
              <w:t>Investment management</w:t>
            </w:r>
          </w:p>
        </w:tc>
        <w:tc>
          <w:tcPr>
            <w:tcW w:w="211" w:type="pct"/>
          </w:tcPr>
          <w:p w14:paraId="1256F9E4" w14:textId="77777777" w:rsidR="00C65510" w:rsidRPr="003E1EE8" w:rsidRDefault="00C65510" w:rsidP="00C65510">
            <w:pPr>
              <w:pStyle w:val="Tableheader"/>
              <w:jc w:val="center"/>
              <w:cnfStyle w:val="100000000000" w:firstRow="1" w:lastRow="0" w:firstColumn="0" w:lastColumn="0" w:oddVBand="0" w:evenVBand="0" w:oddHBand="0" w:evenHBand="0" w:firstRowFirstColumn="0" w:firstRowLastColumn="0" w:lastRowFirstColumn="0" w:lastRowLastColumn="0"/>
            </w:pPr>
          </w:p>
        </w:tc>
        <w:tc>
          <w:tcPr>
            <w:tcW w:w="2397" w:type="pct"/>
          </w:tcPr>
          <w:p w14:paraId="2DBD4931" w14:textId="69282D1F" w:rsidR="00C65510" w:rsidRPr="003E1EE8" w:rsidRDefault="00C65510" w:rsidP="00C65510">
            <w:pPr>
              <w:pStyle w:val="Tableheader"/>
              <w:jc w:val="center"/>
              <w:cnfStyle w:val="100000000000" w:firstRow="1" w:lastRow="0" w:firstColumn="0" w:lastColumn="0" w:oddVBand="0" w:evenVBand="0" w:oddHBand="0" w:evenHBand="0" w:firstRowFirstColumn="0" w:firstRowLastColumn="0" w:lastRowFirstColumn="0" w:lastRowLastColumn="0"/>
            </w:pPr>
            <w:r w:rsidRPr="003E1EE8">
              <w:t>Project management</w:t>
            </w:r>
          </w:p>
        </w:tc>
      </w:tr>
      <w:tr w:rsidR="00C65510" w:rsidRPr="003E1EE8" w14:paraId="7DE613D8" w14:textId="77777777" w:rsidTr="00C65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pct"/>
          </w:tcPr>
          <w:p w14:paraId="0C0BB3E1" w14:textId="09AEEBE0" w:rsidR="00C65510" w:rsidRPr="003E1EE8" w:rsidRDefault="00C65510" w:rsidP="00C65510">
            <w:pPr>
              <w:spacing w:before="0" w:after="0"/>
              <w:jc w:val="center"/>
            </w:pPr>
            <w:r w:rsidRPr="003E1EE8">
              <w:rPr>
                <w:noProof/>
                <w:lang w:val="en-US" w:eastAsia="en-US"/>
              </w:rPr>
              <mc:AlternateContent>
                <mc:Choice Requires="wps">
                  <w:drawing>
                    <wp:inline distT="0" distB="0" distL="0" distR="0" wp14:anchorId="169B9F95" wp14:editId="3D6E5960">
                      <wp:extent cx="0" cy="274320"/>
                      <wp:effectExtent l="76200" t="0" r="57150" b="49530"/>
                      <wp:docPr id="229" name="Straight Arrow Connector 229"/>
                      <wp:cNvGraphicFramePr/>
                      <a:graphic xmlns:a="http://schemas.openxmlformats.org/drawingml/2006/main">
                        <a:graphicData uri="http://schemas.microsoft.com/office/word/2010/wordprocessingShape">
                          <wps:wsp>
                            <wps:cNvCnPr/>
                            <wps:spPr>
                              <a:xfrm>
                                <a:off x="0" y="0"/>
                                <a:ext cx="0" cy="274320"/>
                              </a:xfrm>
                              <a:prstGeom prst="straightConnector1">
                                <a:avLst/>
                              </a:prstGeom>
                              <a:ln w="19050">
                                <a:solidFill>
                                  <a:schemeClr val="accent2"/>
                                </a:solidFill>
                                <a:tailEnd type="stealth"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6D6DA368" id="_x0000_t32" coordsize="21600,21600" o:spt="32" o:oned="t" path="m,l21600,21600e" filled="f">
                      <v:path arrowok="t" fillok="f" o:connecttype="none"/>
                      <o:lock v:ext="edit" shapetype="t"/>
                    </v:shapetype>
                    <v:shape id="Straight Arrow Connector 229" o:spid="_x0000_s1026" type="#_x0000_t32" style="width:0;height:2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4iC+gEAAFUEAAAOAAAAZHJzL2Uyb0RvYy54bWysVNuO0zAQfUfiHyy/06ThulXTFeqyvCCo&#10;WPgArzNuLPkme2jSv2fspFl24QXEi+PLnDNnjsfZXo/WsBPEpL1r+XpVcwZO+k67Y8u/f7t98Y6z&#10;hMJ1wngHLT9D4te758+2Q9hA43tvOoiMSFzaDKHlPWLYVFWSPViRVj6Ao0PloxVIy3isuigGYrem&#10;aur6TTX42IXoJaREuzfTId8VfqVA4helEiAzLSdtWMZYxvs8Vrut2ByjCL2WswzxDyqs0I6SLlQ3&#10;AgX7EfVvVFbL6JNXuJLeVl4pLaHUQNWs6yfV3PUiQKmFzElhsSn9P1r5+XSITHctb5orzpywdEl3&#10;GIU+9sjex+gHtvfOkZE+shxDjg0hbQi4d4c4r1I4xFz+qKLNXyqMjcXl8+IyjMjktClpt3n76mVT&#10;LqB6wIWY8CN4y/Kk5WkWsihYF5PF6VNCykzACyAnNY4N1INX9eu6hCVvdHerjcmHpaNgbyI7CeoF&#10;ISU4bHI1xPIoEoU2H1zH8BzIi4QgDPY8U1voODNAjZ5nE9Q4YsiGTBaUGZ4NTIK+giJzqehJ+B9F&#10;rBcmis4wRZIX4FxKfg9P1V+Ac3yGQmn5vwEviJLZO1zAVjsfJyMfZ8dxyTzFXxyY6s4W3PvuXJqj&#10;WEO9W2ye31l+HL+uC/zhb7D7CQAA//8DAFBLAwQUAAYACAAAACEAB4A+odkAAAABAQAADwAAAGRy&#10;cy9kb3ducmV2LnhtbEyPQUvDQBCF74L/YRnBm90YJUiaTSlCL9aDtmLxNs1Ok9DsbMhum+ivd/Si&#10;l+ENb3jvm2IxuU6daQitZwO3swQUceVty7WBt+3q5gFUiMgWO89k4JMCLMrLiwJz60d+pfMm1kpC&#10;OORooImxz7UOVUMOw8z3xOId/OAwyjrU2g44SrjrdJokmXbYsjQ02NNjQ9Vxc3IG1nHn1y+rD3zv&#10;vuxhTLPsuHt+Mub6alrOQUWa4t8x/OALOpTCtPcntkF1BuSR+DvFE703cH+Xgi4L/Z+8/AYAAP//&#10;AwBQSwECLQAUAAYACAAAACEAtoM4kv4AAADhAQAAEwAAAAAAAAAAAAAAAAAAAAAAW0NvbnRlbnRf&#10;VHlwZXNdLnhtbFBLAQItABQABgAIAAAAIQA4/SH/1gAAAJQBAAALAAAAAAAAAAAAAAAAAC8BAABf&#10;cmVscy8ucmVsc1BLAQItABQABgAIAAAAIQAd54iC+gEAAFUEAAAOAAAAAAAAAAAAAAAAAC4CAABk&#10;cnMvZTJvRG9jLnhtbFBLAQItABQABgAIAAAAIQAHgD6h2QAAAAEBAAAPAAAAAAAAAAAAAAAAAFQE&#10;AABkcnMvZG93bnJldi54bWxQSwUGAAAAAAQABADzAAAAWgUAAAAA&#10;" strokecolor="#004ea8 [3205]" strokeweight="1.5pt">
                      <v:stroke endarrow="classic"/>
                      <w10:anchorlock/>
                    </v:shape>
                  </w:pict>
                </mc:Fallback>
              </mc:AlternateContent>
            </w:r>
          </w:p>
        </w:tc>
        <w:tc>
          <w:tcPr>
            <w:tcW w:w="211" w:type="pct"/>
          </w:tcPr>
          <w:p w14:paraId="380080C0" w14:textId="77777777" w:rsidR="00C65510" w:rsidRPr="003E1EE8" w:rsidRDefault="00C65510" w:rsidP="007C4728">
            <w:pPr>
              <w:cnfStyle w:val="000000100000" w:firstRow="0" w:lastRow="0" w:firstColumn="0" w:lastColumn="0" w:oddVBand="0" w:evenVBand="0" w:oddHBand="1" w:evenHBand="0" w:firstRowFirstColumn="0" w:firstRowLastColumn="0" w:lastRowFirstColumn="0" w:lastRowLastColumn="0"/>
            </w:pPr>
          </w:p>
        </w:tc>
        <w:tc>
          <w:tcPr>
            <w:tcW w:w="2397" w:type="pct"/>
          </w:tcPr>
          <w:p w14:paraId="06582091" w14:textId="426FFF72" w:rsidR="00C65510" w:rsidRPr="003E1EE8" w:rsidRDefault="00C65510" w:rsidP="00C65510">
            <w:pPr>
              <w:spacing w:before="0" w:after="0"/>
              <w:jc w:val="center"/>
              <w:cnfStyle w:val="000000100000" w:firstRow="0" w:lastRow="0" w:firstColumn="0" w:lastColumn="0" w:oddVBand="0" w:evenVBand="0" w:oddHBand="1" w:evenHBand="0" w:firstRowFirstColumn="0" w:firstRowLastColumn="0" w:lastRowFirstColumn="0" w:lastRowLastColumn="0"/>
            </w:pPr>
            <w:r w:rsidRPr="003E1EE8">
              <w:rPr>
                <w:noProof/>
                <w:lang w:val="en-US" w:eastAsia="en-US"/>
              </w:rPr>
              <mc:AlternateContent>
                <mc:Choice Requires="wps">
                  <w:drawing>
                    <wp:inline distT="0" distB="0" distL="0" distR="0" wp14:anchorId="5DA7A0B6" wp14:editId="02CD6054">
                      <wp:extent cx="0" cy="274320"/>
                      <wp:effectExtent l="76200" t="0" r="57150" b="49530"/>
                      <wp:docPr id="230" name="Straight Arrow Connector 230"/>
                      <wp:cNvGraphicFramePr/>
                      <a:graphic xmlns:a="http://schemas.openxmlformats.org/drawingml/2006/main">
                        <a:graphicData uri="http://schemas.microsoft.com/office/word/2010/wordprocessingShape">
                          <wps:wsp>
                            <wps:cNvCnPr/>
                            <wps:spPr>
                              <a:xfrm>
                                <a:off x="0" y="0"/>
                                <a:ext cx="0" cy="274320"/>
                              </a:xfrm>
                              <a:prstGeom prst="straightConnector1">
                                <a:avLst/>
                              </a:prstGeom>
                              <a:ln w="19050">
                                <a:solidFill>
                                  <a:schemeClr val="accent2"/>
                                </a:solidFill>
                                <a:tailEnd type="stealth" w="med" len="me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260B8D88" id="Straight Arrow Connector 230" o:spid="_x0000_s1026" type="#_x0000_t32" style="width:0;height:2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GS+QEAAFUEAAAOAAAAZHJzL2Uyb0RvYy54bWysVMuO0zAU3SPxD5b3NGmGZ9V0hDoMGwQV&#10;Ax/gca4bS37p2jTp33PtpBlmYANi4/p1zj3n9Drb69EadgKM2ruWr1c1Z+Ck77Q7tvz7t9sXbzmL&#10;SbhOGO+g5WeI/Hr3/Nl2CBtofO9NB8iIxMXNEFrepxQ2VRVlD1bElQ/g6FB5tCLREo9Vh2Igdmuq&#10;pq5fV4PHLqCXECPt3kyHfFf4lQKZvigVITHTctKWyohlvM9jtduKzRFF6LWcZYh/UGGFdlR0oboR&#10;SbAfqH+jslqij16llfS28kppCcUDuVnXT9zc9SJA8ULhxLDEFP8frfx8OiDTXcubK8rHCUt/0l1C&#10;oY99Yu8R/cD23jkK0iPLdyixIcQNAffugPMqhgNm+6NCm3/JGBtLyuclZRgTk9OmpN3mzcurptBV&#10;D7iAMX0Eb1metDzOQhYF6xKyOH2KiSoT8ALIRY1jA/Xgu/pVXa5Fb3R3q43Jh6WjYG+QnQT1gpAS&#10;XGqyG2J5dDMJbT64jqVzoCxiAmFSzzO1hY4zA9ToeTZBjSOGHMgUQZmls4FJ0FdQFC6ZnoT/UcR6&#10;YaLbGaZI8gKcreT38FT9BTjfz1AoLf834AVRKnuXFrDVzuMU5OPqaVwqT/cvCUy+cwT3vjuX5ijR&#10;UO+WmOd3lh/Hr+sCf/ga7H4CAAD//wMAUEsDBBQABgAIAAAAIQAHgD6h2QAAAAEBAAAPAAAAZHJz&#10;L2Rvd25yZXYueG1sTI9BS8NAEIXvgv9hGcGb3RglSJpNKUIv1oO2YvE2zU6T0OxsyG6b6K939KKX&#10;4Q1veO+bYjG5Tp1pCK1nA7ezBBRx5W3LtYG37ermAVSIyBY7z2TgkwIsysuLAnPrR36l8ybWSkI4&#10;5GigibHPtQ5VQw7DzPfE4h384DDKOtTaDjhKuOt0miSZdtiyNDTY02ND1XFzcgbWcefXL6sPfO++&#10;7GFMs+y4e34y5vpqWs5BRZri3zH84As6lMK09ye2QXUG5JH4O8UTvTdwf5eCLgv9n7z8BgAA//8D&#10;AFBLAQItABQABgAIAAAAIQC2gziS/gAAAOEBAAATAAAAAAAAAAAAAAAAAAAAAABbQ29udGVudF9U&#10;eXBlc10ueG1sUEsBAi0AFAAGAAgAAAAhADj9If/WAAAAlAEAAAsAAAAAAAAAAAAAAAAALwEAAF9y&#10;ZWxzLy5yZWxzUEsBAi0AFAAGAAgAAAAhAOoVwZL5AQAAVQQAAA4AAAAAAAAAAAAAAAAALgIAAGRy&#10;cy9lMm9Eb2MueG1sUEsBAi0AFAAGAAgAAAAhAAeAPqHZAAAAAQEAAA8AAAAAAAAAAAAAAAAAUwQA&#10;AGRycy9kb3ducmV2LnhtbFBLBQYAAAAABAAEAPMAAABZBQAAAAA=&#10;" strokecolor="#004ea8 [3205]" strokeweight="1.5pt">
                      <v:stroke endarrow="classic"/>
                      <w10:anchorlock/>
                    </v:shape>
                  </w:pict>
                </mc:Fallback>
              </mc:AlternateContent>
            </w:r>
          </w:p>
        </w:tc>
      </w:tr>
      <w:tr w:rsidR="00C65510" w:rsidRPr="003E1EE8" w14:paraId="4D87313C" w14:textId="77777777" w:rsidTr="00C65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pct"/>
            <w:shd w:val="clear" w:color="auto" w:fill="EAF0F8" w:themeFill="accent5" w:themeFillTint="33"/>
          </w:tcPr>
          <w:p w14:paraId="7E943602" w14:textId="77777777" w:rsidR="00C65510" w:rsidRPr="003E1EE8" w:rsidRDefault="00C65510" w:rsidP="007C4728">
            <w:r w:rsidRPr="003E1EE8">
              <w:t>Is the logic for the planned investment clear?</w:t>
            </w:r>
          </w:p>
        </w:tc>
        <w:tc>
          <w:tcPr>
            <w:tcW w:w="211" w:type="pct"/>
          </w:tcPr>
          <w:p w14:paraId="16E8E457" w14:textId="77777777" w:rsidR="00C65510" w:rsidRPr="003E1EE8" w:rsidRDefault="00C65510" w:rsidP="007C4728">
            <w:pPr>
              <w:cnfStyle w:val="000000010000" w:firstRow="0" w:lastRow="0" w:firstColumn="0" w:lastColumn="0" w:oddVBand="0" w:evenVBand="0" w:oddHBand="0" w:evenHBand="1" w:firstRowFirstColumn="0" w:firstRowLastColumn="0" w:lastRowFirstColumn="0" w:lastRowLastColumn="0"/>
            </w:pPr>
          </w:p>
        </w:tc>
        <w:tc>
          <w:tcPr>
            <w:tcW w:w="2397" w:type="pct"/>
            <w:shd w:val="clear" w:color="auto" w:fill="EAF0F8" w:themeFill="accent5" w:themeFillTint="33"/>
          </w:tcPr>
          <w:p w14:paraId="7F8C8996" w14:textId="77777777" w:rsidR="00C65510" w:rsidRPr="003E1EE8" w:rsidRDefault="00C65510" w:rsidP="007C4728">
            <w:pPr>
              <w:cnfStyle w:val="000000010000" w:firstRow="0" w:lastRow="0" w:firstColumn="0" w:lastColumn="0" w:oddVBand="0" w:evenVBand="0" w:oddHBand="0" w:evenHBand="1" w:firstRowFirstColumn="0" w:firstRowLastColumn="0" w:lastRowFirstColumn="0" w:lastRowLastColumn="0"/>
            </w:pPr>
            <w:r w:rsidRPr="003E1EE8">
              <w:t>Will the project be completed within budget?</w:t>
            </w:r>
          </w:p>
        </w:tc>
      </w:tr>
      <w:tr w:rsidR="00C65510" w:rsidRPr="003E1EE8" w14:paraId="5CF62F48" w14:textId="77777777" w:rsidTr="00C65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pct"/>
            <w:shd w:val="clear" w:color="auto" w:fill="EAF0F8" w:themeFill="accent5" w:themeFillTint="33"/>
          </w:tcPr>
          <w:p w14:paraId="56789A72" w14:textId="77777777" w:rsidR="00C65510" w:rsidRPr="003E1EE8" w:rsidRDefault="00C65510" w:rsidP="007C4728">
            <w:r w:rsidRPr="003E1EE8">
              <w:t>Is there a sound business case to proceed?</w:t>
            </w:r>
          </w:p>
        </w:tc>
        <w:tc>
          <w:tcPr>
            <w:tcW w:w="211" w:type="pct"/>
          </w:tcPr>
          <w:p w14:paraId="6BC9E479" w14:textId="77777777" w:rsidR="00C65510" w:rsidRPr="003E1EE8" w:rsidRDefault="00C65510" w:rsidP="007C4728">
            <w:pPr>
              <w:cnfStyle w:val="000000100000" w:firstRow="0" w:lastRow="0" w:firstColumn="0" w:lastColumn="0" w:oddVBand="0" w:evenVBand="0" w:oddHBand="1" w:evenHBand="0" w:firstRowFirstColumn="0" w:firstRowLastColumn="0" w:lastRowFirstColumn="0" w:lastRowLastColumn="0"/>
            </w:pPr>
          </w:p>
        </w:tc>
        <w:tc>
          <w:tcPr>
            <w:tcW w:w="2397" w:type="pct"/>
            <w:shd w:val="clear" w:color="auto" w:fill="EAF0F8" w:themeFill="accent5" w:themeFillTint="33"/>
          </w:tcPr>
          <w:p w14:paraId="3B4EE6BA" w14:textId="77777777" w:rsidR="00C65510" w:rsidRPr="003E1EE8" w:rsidRDefault="00C65510" w:rsidP="007C4728">
            <w:pPr>
              <w:cnfStyle w:val="000000100000" w:firstRow="0" w:lastRow="0" w:firstColumn="0" w:lastColumn="0" w:oddVBand="0" w:evenVBand="0" w:oddHBand="1" w:evenHBand="0" w:firstRowFirstColumn="0" w:firstRowLastColumn="0" w:lastRowFirstColumn="0" w:lastRowLastColumn="0"/>
            </w:pPr>
            <w:r w:rsidRPr="003E1EE8">
              <w:t>Will it be delivered to its planned schedule?</w:t>
            </w:r>
          </w:p>
        </w:tc>
      </w:tr>
      <w:tr w:rsidR="00C65510" w:rsidRPr="003E1EE8" w14:paraId="3F73D57A" w14:textId="77777777" w:rsidTr="00C655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pct"/>
            <w:shd w:val="clear" w:color="auto" w:fill="EAF0F8" w:themeFill="accent5" w:themeFillTint="33"/>
          </w:tcPr>
          <w:p w14:paraId="6B80C275" w14:textId="77777777" w:rsidR="00C65510" w:rsidRPr="003E1EE8" w:rsidRDefault="00C65510" w:rsidP="007C4728">
            <w:r w:rsidRPr="003E1EE8">
              <w:t>Were the expected benefits delivered?</w:t>
            </w:r>
          </w:p>
        </w:tc>
        <w:tc>
          <w:tcPr>
            <w:tcW w:w="211" w:type="pct"/>
          </w:tcPr>
          <w:p w14:paraId="45B0F286" w14:textId="77777777" w:rsidR="00C65510" w:rsidRPr="003E1EE8" w:rsidRDefault="00C65510" w:rsidP="007C4728">
            <w:pPr>
              <w:cnfStyle w:val="000000010000" w:firstRow="0" w:lastRow="0" w:firstColumn="0" w:lastColumn="0" w:oddVBand="0" w:evenVBand="0" w:oddHBand="0" w:evenHBand="1" w:firstRowFirstColumn="0" w:firstRowLastColumn="0" w:lastRowFirstColumn="0" w:lastRowLastColumn="0"/>
            </w:pPr>
          </w:p>
        </w:tc>
        <w:tc>
          <w:tcPr>
            <w:tcW w:w="2397" w:type="pct"/>
            <w:shd w:val="clear" w:color="auto" w:fill="EAF0F8" w:themeFill="accent5" w:themeFillTint="33"/>
          </w:tcPr>
          <w:p w14:paraId="3054C770" w14:textId="77777777" w:rsidR="00C65510" w:rsidRPr="003E1EE8" w:rsidRDefault="00C65510" w:rsidP="007C4728">
            <w:pPr>
              <w:cnfStyle w:val="000000010000" w:firstRow="0" w:lastRow="0" w:firstColumn="0" w:lastColumn="0" w:oddVBand="0" w:evenVBand="0" w:oddHBand="0" w:evenHBand="1" w:firstRowFirstColumn="0" w:firstRowLastColumn="0" w:lastRowFirstColumn="0" w:lastRowLastColumn="0"/>
            </w:pPr>
            <w:r w:rsidRPr="003E1EE8">
              <w:t>Were the expected products delivered?</w:t>
            </w:r>
          </w:p>
        </w:tc>
      </w:tr>
    </w:tbl>
    <w:p w14:paraId="0E49BFD4" w14:textId="7BC982AD" w:rsidR="00A47927" w:rsidRPr="003E1EE8" w:rsidRDefault="00A47927" w:rsidP="00367473">
      <w:pPr>
        <w:pStyle w:val="Heading2numbered"/>
      </w:pPr>
      <w:bookmarkStart w:id="63" w:name="_Toc19715384"/>
      <w:bookmarkStart w:id="64" w:name="_Toc20296280"/>
      <w:bookmarkStart w:id="65" w:name="_Toc25935479"/>
      <w:bookmarkEnd w:id="63"/>
      <w:bookmarkEnd w:id="64"/>
      <w:r w:rsidRPr="003E1EE8">
        <w:t>Project</w:t>
      </w:r>
      <w:r w:rsidR="009F3042" w:rsidRPr="003E1EE8">
        <w:t>s</w:t>
      </w:r>
      <w:r w:rsidRPr="003E1EE8">
        <w:t xml:space="preserve"> </w:t>
      </w:r>
      <w:r w:rsidR="009F3042" w:rsidRPr="003E1EE8">
        <w:t>versus</w:t>
      </w:r>
      <w:r w:rsidRPr="003E1EE8">
        <w:t xml:space="preserve"> program</w:t>
      </w:r>
      <w:r w:rsidR="009F3042" w:rsidRPr="003E1EE8">
        <w:t>s</w:t>
      </w:r>
      <w:bookmarkEnd w:id="65"/>
    </w:p>
    <w:p w14:paraId="3FC79986" w14:textId="7C18CD17" w:rsidR="00A47927" w:rsidRPr="003E1EE8" w:rsidRDefault="00A47927" w:rsidP="00367473">
      <w:pPr>
        <w:pStyle w:val="NormalIndent"/>
      </w:pPr>
      <w:r w:rsidRPr="003E1EE8">
        <w:t>Investment decisions are based on projects, or a program of projects. Projects are single investments with a discrete set of objectives. A project is typically stand-alone and may have its own dedicated resources including staffing for its delivery.</w:t>
      </w:r>
    </w:p>
    <w:p w14:paraId="67597342" w14:textId="0694191F" w:rsidR="00A47927" w:rsidRPr="003E1EE8" w:rsidRDefault="00A47927" w:rsidP="00367473">
      <w:pPr>
        <w:pStyle w:val="NormalIndent"/>
      </w:pPr>
      <w:r w:rsidRPr="003E1EE8">
        <w:t xml:space="preserve">In some cases, there may be benefits to investing in a program, or a package of projects, that can be coordinated and delivered </w:t>
      </w:r>
      <w:r w:rsidR="00F13868" w:rsidRPr="003E1EE8">
        <w:t>jointly</w:t>
      </w:r>
      <w:r w:rsidRPr="003E1EE8">
        <w:t>, and where implementing the individual components achieve</w:t>
      </w:r>
      <w:r w:rsidR="001D2D5D">
        <w:t>s</w:t>
      </w:r>
      <w:r w:rsidRPr="003E1EE8">
        <w:t xml:space="preserve"> single delivery outcomes and benefits.</w:t>
      </w:r>
    </w:p>
    <w:p w14:paraId="6DA7930D" w14:textId="77777777" w:rsidR="00A47927" w:rsidRPr="003E1EE8" w:rsidRDefault="00A47927" w:rsidP="00367473">
      <w:pPr>
        <w:pStyle w:val="NormalIndent"/>
      </w:pPr>
      <w:r w:rsidRPr="003E1EE8">
        <w:t>In both cases, projects and programs can be delivered in one or more phases, and can set out the expected benefits to be delivered by phase.</w:t>
      </w:r>
    </w:p>
    <w:p w14:paraId="576FFC54" w14:textId="77777777" w:rsidR="00E03892" w:rsidRPr="00E03892" w:rsidRDefault="00E03892" w:rsidP="00E03892">
      <w:bookmarkStart w:id="66" w:name="_Toc6322377"/>
      <w:bookmarkStart w:id="67" w:name="_Toc19713697"/>
      <w:bookmarkStart w:id="68" w:name="_Toc19714546"/>
      <w:bookmarkStart w:id="69" w:name="_Toc19715386"/>
      <w:bookmarkStart w:id="70" w:name="_Toc6322378"/>
      <w:bookmarkStart w:id="71" w:name="_Toc19713698"/>
      <w:bookmarkStart w:id="72" w:name="_Toc19714547"/>
      <w:bookmarkStart w:id="73" w:name="_Toc19715387"/>
      <w:bookmarkStart w:id="74" w:name="_Toc6322398"/>
      <w:bookmarkStart w:id="75" w:name="_Toc19713718"/>
      <w:bookmarkStart w:id="76" w:name="_Toc19714567"/>
      <w:bookmarkStart w:id="77" w:name="_Toc19715407"/>
      <w:bookmarkStart w:id="78" w:name="_Toc6322399"/>
      <w:bookmarkStart w:id="79" w:name="_Toc19713719"/>
      <w:bookmarkStart w:id="80" w:name="_Toc19714568"/>
      <w:bookmarkStart w:id="81" w:name="_Toc19715408"/>
      <w:bookmarkStart w:id="82" w:name="_Toc6322400"/>
      <w:bookmarkStart w:id="83" w:name="_Toc19713720"/>
      <w:bookmarkStart w:id="84" w:name="_Toc19714569"/>
      <w:bookmarkStart w:id="85" w:name="_Toc19715409"/>
      <w:bookmarkStart w:id="86" w:name="_Toc6322426"/>
      <w:bookmarkStart w:id="87" w:name="_Toc19713746"/>
      <w:bookmarkStart w:id="88" w:name="_Toc19714595"/>
      <w:bookmarkStart w:id="89" w:name="_Toc1971543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E03892">
        <w:br w:type="page"/>
      </w:r>
    </w:p>
    <w:p w14:paraId="1CE84D1D" w14:textId="27F404FC" w:rsidR="002C27AF" w:rsidRPr="003E1EE8" w:rsidRDefault="002C27AF" w:rsidP="00367473">
      <w:pPr>
        <w:pStyle w:val="Heading1numbered"/>
      </w:pPr>
      <w:bookmarkStart w:id="90" w:name="_Toc25935480"/>
      <w:r w:rsidRPr="003E1EE8">
        <w:lastRenderedPageBreak/>
        <w:t xml:space="preserve">The investment </w:t>
      </w:r>
      <w:r w:rsidR="00FB0AA4" w:rsidRPr="003E1EE8">
        <w:t xml:space="preserve">assurance </w:t>
      </w:r>
      <w:r w:rsidRPr="003E1EE8">
        <w:t>processes</w:t>
      </w:r>
      <w:bookmarkEnd w:id="90"/>
    </w:p>
    <w:p w14:paraId="16E31127" w14:textId="77777777" w:rsidR="00A47927" w:rsidRPr="003E1EE8" w:rsidRDefault="00FC2738" w:rsidP="00367473">
      <w:pPr>
        <w:pStyle w:val="Heading2numbered"/>
      </w:pPr>
      <w:bookmarkStart w:id="91" w:name="_Toc25935481"/>
      <w:r w:rsidRPr="003E1EE8">
        <w:t>Roles and responsibilities</w:t>
      </w:r>
      <w:bookmarkEnd w:id="91"/>
    </w:p>
    <w:p w14:paraId="0C75B2C7" w14:textId="0F230D36" w:rsidR="008B27D6" w:rsidRPr="003E1EE8" w:rsidRDefault="00FC2738" w:rsidP="009108D3">
      <w:pPr>
        <w:pStyle w:val="NormalIndent"/>
      </w:pPr>
      <w:r w:rsidRPr="003E1EE8">
        <w:rPr>
          <w:noProof/>
          <w:lang w:val="en-US" w:eastAsia="en-US"/>
        </w:rPr>
        <mc:AlternateContent>
          <mc:Choice Requires="wps">
            <w:drawing>
              <wp:anchor distT="0" distB="0" distL="114300" distR="114300" simplePos="0" relativeHeight="251661824" behindDoc="0" locked="0" layoutInCell="1" allowOverlap="1" wp14:anchorId="177FE1B2" wp14:editId="3ED3087A">
                <wp:simplePos x="0" y="0"/>
                <wp:positionH relativeFrom="column">
                  <wp:posOffset>12949081</wp:posOffset>
                </wp:positionH>
                <wp:positionV relativeFrom="page">
                  <wp:posOffset>1598295</wp:posOffset>
                </wp:positionV>
                <wp:extent cx="841248" cy="850392"/>
                <wp:effectExtent l="0" t="0" r="0" b="6985"/>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1248" cy="850392"/>
                        </a:xfrm>
                        <a:custGeom>
                          <a:avLst/>
                          <a:gdLst>
                            <a:gd name="T0" fmla="*/ 0 w 1027"/>
                            <a:gd name="T1" fmla="*/ 0 h 1032"/>
                            <a:gd name="T2" fmla="*/ 1027 w 1027"/>
                            <a:gd name="T3" fmla="*/ 0 h 1032"/>
                            <a:gd name="T4" fmla="*/ 1027 w 1027"/>
                            <a:gd name="T5" fmla="*/ 1032 h 1032"/>
                            <a:gd name="T6" fmla="*/ 0 w 1027"/>
                            <a:gd name="T7" fmla="*/ 0 h 1032"/>
                            <a:gd name="T8" fmla="*/ 0 w 1027"/>
                            <a:gd name="T9" fmla="*/ 0 h 1032"/>
                          </a:gdLst>
                          <a:ahLst/>
                          <a:cxnLst>
                            <a:cxn ang="0">
                              <a:pos x="T0" y="T1"/>
                            </a:cxn>
                            <a:cxn ang="0">
                              <a:pos x="T2" y="T3"/>
                            </a:cxn>
                            <a:cxn ang="0">
                              <a:pos x="T4" y="T5"/>
                            </a:cxn>
                            <a:cxn ang="0">
                              <a:pos x="T6" y="T7"/>
                            </a:cxn>
                            <a:cxn ang="0">
                              <a:pos x="T8" y="T9"/>
                            </a:cxn>
                          </a:cxnLst>
                          <a:rect l="0" t="0" r="r" b="b"/>
                          <a:pathLst>
                            <a:path w="1027" h="1032">
                              <a:moveTo>
                                <a:pt x="0" y="0"/>
                              </a:moveTo>
                              <a:lnTo>
                                <a:pt x="1027" y="0"/>
                              </a:lnTo>
                              <a:lnTo>
                                <a:pt x="1027" y="1032"/>
                              </a:lnTo>
                              <a:lnTo>
                                <a:pt x="0" y="0"/>
                              </a:lnTo>
                              <a:lnTo>
                                <a:pt x="0" y="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219E0" id="Freeform 10" o:spid="_x0000_s1026" style="position:absolute;margin-left:1019.6pt;margin-top:125.85pt;width:66.25pt;height:6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27,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dfEwMAAKsHAAAOAAAAZHJzL2Uyb0RvYy54bWysVV1v2jAUfZ+0/2D5cRLNB6GQqFCtrZgm&#10;7aNS2Q8wjkOiJXZmG0I37b/vXiehoYOqmtaH1MbHx/eeY997db2vSrIT2hRKzmlw4VMiJFdpITdz&#10;+m21HM0oMZbJlJVKijl9FIZeL96+uWrqRIQqV2UqNAESaZKmntPc2jrxPMNzUTFzoWohYTFTumIW&#10;pnrjpZo1wF6VXuj7l16jdFprxYUx8Otdu0gXjj/LBLdfs8wIS8o5hdis+2r3XePXW1yxZKNZnRe8&#10;C4P9QxQVKyQceqC6Y5aRrS7+oqoKrpVRmb3gqvJUlhVcuBwgm8B/ls1DzmrhcgFxTH2Qyfw/Wv5l&#10;d69JkYJ3lEhWgUVLLQQKTgInT1ObBFAP9b3GBE39SfHvBnTzjlZwYgBD1s1nlQIN21rlJNlnusKd&#10;kCzZO+UfD8qLvSUcfpxFQRjBVeGwNJv44zhEZzyW9Jv51tgPQjkitvtkbGtcCiMne9oFvwKTs6oE&#10;D995xCcNJBFOO5cPGEh1gMkBM3bngX0HTDjAIMcZqvEA5pPTVNEA8wLV5Ag2Ds+wXQ5g5xKcHmFO&#10;RwVqD0Q4LVR8hHniAWM2vfQs793ge9nZASPCsAL47gbUyqDz6A34uwo6bwGF3p0BgwEIHr8KDBIj&#10;ePIqMCiIYHctIJOXwwCZEBwPmdtNXa4aaszz6qIpgeqyxj0sqZlFifohaeCt4aUkOQ7g5uFKpXZi&#10;pRzGPnslcNrTaimHqJYH4nMvFYD9cv+/dmQHWH/RzyJbh15mO43hpTKifbOYsHu8h8xRsMEDNqos&#10;0mVRlpiv0Zv1banJjkGJXrq/TusjWOnuilS4rT2m/QUqSCcu1hJXcn/FUEz8mzAeLS9n01GURZNR&#10;PPVnIz+Ib+JLP4qju+Xv7pB+v6tmWMCwdZhkrdJHKGZatR0DOhwMcqV/UtJAt5hT82PLtKCk/Cih&#10;HMdBFIEu1k2iyTSEiR6urIcrTHKgmlNL4ZXg8Na2LWlb62KTw0mBuxRSvYcimhVY7Fx8bVTdBDqC&#10;U7nrXthyhnOHeuqxiz8AAAD//wMAUEsDBBQABgAIAAAAIQCfvomN4AAAAA0BAAAPAAAAZHJzL2Rv&#10;d25yZXYueG1sTI/BToNAEIbvJr7DZky82QUaSkWWptEQk16MaO9bdgQiO0vYbcG3d3rS2z+ZL/98&#10;U+wWO4gLTr53pCBeRSCQGmd6ahV8flQPWxA+aDJ6cIQKftDDrry9KXRu3EzveKlDK7iEfK4VdCGM&#10;uZS+6dBqv3IjEu++3GR14HFqpZn0zOV2kEkUbaTVPfGFTo/43GHzXZ+tgnp+OVYVZa9z6vfap2+H&#10;I+FBqfu7Zf8EIuAS/mC46rM6lOx0cmcyXgwKkmj9mDDLKY0zEIwkcXZNJwXrbboBWRby/xflLwAA&#10;AP//AwBQSwECLQAUAAYACAAAACEAtoM4kv4AAADhAQAAEwAAAAAAAAAAAAAAAAAAAAAAW0NvbnRl&#10;bnRfVHlwZXNdLnhtbFBLAQItABQABgAIAAAAIQA4/SH/1gAAAJQBAAALAAAAAAAAAAAAAAAAAC8B&#10;AABfcmVscy8ucmVsc1BLAQItABQABgAIAAAAIQBkl6dfEwMAAKsHAAAOAAAAAAAAAAAAAAAAAC4C&#10;AABkcnMvZTJvRG9jLnhtbFBLAQItABQABgAIAAAAIQCfvomN4AAAAA0BAAAPAAAAAAAAAAAAAAAA&#10;AG0FAABkcnMvZG93bnJldi54bWxQSwUGAAAAAAQABADzAAAAegYAAAAA&#10;" path="m,l1027,r,1032l,,,xe" stroked="f">
                <v:path arrowok="t" o:connecttype="custom" o:connectlocs="0,0;841248,0;841248,850392;0,0;0,0" o:connectangles="0,0,0,0,0"/>
                <w10:wrap anchory="page"/>
              </v:shape>
            </w:pict>
          </mc:Fallback>
        </mc:AlternateContent>
      </w:r>
      <w:r w:rsidR="009108D3" w:rsidRPr="003E1EE8">
        <w:fldChar w:fldCharType="begin"/>
      </w:r>
      <w:r w:rsidR="009108D3" w:rsidRPr="003E1EE8">
        <w:instrText xml:space="preserve"> REF _Ref21687799 \h  \* MERGEFORMAT </w:instrText>
      </w:r>
      <w:r w:rsidR="009108D3" w:rsidRPr="003E1EE8">
        <w:fldChar w:fldCharType="separate"/>
      </w:r>
      <w:r w:rsidR="00661A02" w:rsidRPr="003E1EE8">
        <w:t>Figure</w:t>
      </w:r>
      <w:r w:rsidR="00661A02" w:rsidRPr="00661A02">
        <w:rPr>
          <w:b/>
        </w:rPr>
        <w:t xml:space="preserve"> </w:t>
      </w:r>
      <w:r w:rsidR="00661A02">
        <w:rPr>
          <w:noProof/>
        </w:rPr>
        <w:t>5</w:t>
      </w:r>
      <w:r w:rsidR="009108D3" w:rsidRPr="003E1EE8">
        <w:fldChar w:fldCharType="end"/>
      </w:r>
      <w:r w:rsidR="009108D3" w:rsidRPr="003E1EE8">
        <w:t xml:space="preserve"> </w:t>
      </w:r>
      <w:r w:rsidRPr="003E1EE8">
        <w:t xml:space="preserve">outlines the relationships between roles of Government, government agencies, </w:t>
      </w:r>
      <w:r w:rsidR="001D2D5D">
        <w:t xml:space="preserve">and </w:t>
      </w:r>
      <w:r w:rsidRPr="003E1EE8">
        <w:t xml:space="preserve">central agencies. </w:t>
      </w:r>
    </w:p>
    <w:p w14:paraId="2478A8B8" w14:textId="63EA0E51" w:rsidR="008F6581" w:rsidRPr="003E1EE8" w:rsidRDefault="00D533EA" w:rsidP="00D377A3">
      <w:pPr>
        <w:pStyle w:val="Caption"/>
        <w:ind w:left="792"/>
      </w:pPr>
      <w:bookmarkStart w:id="92" w:name="_Ref21687799"/>
      <w:r w:rsidRPr="003E1EE8">
        <w:t xml:space="preserve">Figure </w:t>
      </w:r>
      <w:fldSimple w:instr=" SEQ Figure \* ARABIC ">
        <w:r w:rsidR="00661A02">
          <w:rPr>
            <w:noProof/>
          </w:rPr>
          <w:t>5</w:t>
        </w:r>
      </w:fldSimple>
      <w:bookmarkEnd w:id="92"/>
      <w:r w:rsidR="008606B3" w:rsidRPr="003E1EE8">
        <w:t>:</w:t>
      </w:r>
      <w:r w:rsidRPr="003E1EE8">
        <w:t xml:space="preserve"> Roles and responsibilities </w:t>
      </w:r>
    </w:p>
    <w:tbl>
      <w:tblPr>
        <w:tblStyle w:val="TableGrid"/>
        <w:tblW w:w="8503" w:type="dxa"/>
        <w:tblInd w:w="7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115" w:type="dxa"/>
          <w:right w:w="115" w:type="dxa"/>
        </w:tblCellMar>
        <w:tblLook w:val="04A0" w:firstRow="1" w:lastRow="0" w:firstColumn="1" w:lastColumn="0" w:noHBand="0" w:noVBand="1"/>
      </w:tblPr>
      <w:tblGrid>
        <w:gridCol w:w="583"/>
        <w:gridCol w:w="2640"/>
        <w:gridCol w:w="2640"/>
        <w:gridCol w:w="2640"/>
      </w:tblGrid>
      <w:tr w:rsidR="008B27D6" w:rsidRPr="003E1EE8" w14:paraId="0FDD44D9" w14:textId="77777777" w:rsidTr="00E038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Borders>
              <w:bottom w:val="single" w:sz="24" w:space="0" w:color="FFFFFF" w:themeColor="background1"/>
            </w:tcBorders>
            <w:shd w:val="clear" w:color="auto" w:fill="auto"/>
          </w:tcPr>
          <w:p w14:paraId="7B0C2F5D" w14:textId="77777777" w:rsidR="008B27D6" w:rsidRPr="003E1EE8" w:rsidRDefault="008B27D6" w:rsidP="007C4728">
            <w:pPr>
              <w:spacing w:before="0" w:after="0"/>
            </w:pPr>
          </w:p>
        </w:tc>
        <w:tc>
          <w:tcPr>
            <w:tcW w:w="7920" w:type="dxa"/>
            <w:gridSpan w:val="3"/>
            <w:tcBorders>
              <w:bottom w:val="single" w:sz="6" w:space="0" w:color="004EA8" w:themeColor="accent2"/>
            </w:tcBorders>
            <w:shd w:val="clear" w:color="auto" w:fill="auto"/>
          </w:tcPr>
          <w:p w14:paraId="3E098FC5" w14:textId="32FEFBBC" w:rsidR="008B27D6" w:rsidRPr="003E1EE8" w:rsidRDefault="008B27D6" w:rsidP="007C4728">
            <w:pPr>
              <w:spacing w:before="0" w:after="0"/>
              <w:cnfStyle w:val="100000000000" w:firstRow="1" w:lastRow="0" w:firstColumn="0" w:lastColumn="0" w:oddVBand="0" w:evenVBand="0" w:oddHBand="0" w:evenHBand="0" w:firstRowFirstColumn="0" w:firstRowLastColumn="0" w:lastRowFirstColumn="0" w:lastRowLastColumn="0"/>
              <w:rPr>
                <w:b/>
                <w:sz w:val="18"/>
                <w:szCs w:val="18"/>
              </w:rPr>
            </w:pPr>
            <w:r w:rsidRPr="003E1EE8">
              <w:rPr>
                <w:noProof/>
                <w:lang w:val="en-US" w:eastAsia="en-US"/>
              </w:rPr>
              <w:drawing>
                <wp:inline distT="0" distB="0" distL="0" distR="0" wp14:anchorId="5239E9F6" wp14:editId="19A332EE">
                  <wp:extent cx="4888450" cy="387350"/>
                  <wp:effectExtent l="19050" t="0" r="26670" b="12700"/>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tc>
      </w:tr>
      <w:tr w:rsidR="008B27D6" w:rsidRPr="003E1EE8" w14:paraId="737DCB2D"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583" w:type="dxa"/>
            <w:tcBorders>
              <w:right w:val="single" w:sz="24" w:space="0" w:color="FFFFFF" w:themeColor="background1"/>
            </w:tcBorders>
            <w:shd w:val="clear" w:color="auto" w:fill="DBDCDE" w:themeFill="text2" w:themeFillTint="33"/>
            <w:textDirection w:val="btLr"/>
            <w:vAlign w:val="center"/>
          </w:tcPr>
          <w:p w14:paraId="6C7267BF" w14:textId="2DCF4BB4" w:rsidR="008B27D6" w:rsidRPr="003E1EE8" w:rsidRDefault="008B27D6" w:rsidP="008B27D6">
            <w:pPr>
              <w:pStyle w:val="Tabletext0"/>
              <w:ind w:left="113" w:right="113"/>
              <w:jc w:val="center"/>
            </w:pPr>
            <w:r w:rsidRPr="003E1EE8">
              <w:rPr>
                <w:rFonts w:ascii="Arial" w:hAnsi="Arial" w:cs="Arial"/>
                <w:b/>
                <w:sz w:val="18"/>
                <w:szCs w:val="18"/>
              </w:rPr>
              <w:t>Departments</w:t>
            </w:r>
          </w:p>
        </w:tc>
        <w:tc>
          <w:tcPr>
            <w:tcW w:w="2640" w:type="dxa"/>
            <w:tcBorders>
              <w:top w:val="single" w:sz="6" w:space="0" w:color="004EA8" w:themeColor="accent2"/>
              <w:left w:val="single" w:sz="24" w:space="0" w:color="FFFFFF" w:themeColor="background1"/>
              <w:bottom w:val="single" w:sz="6" w:space="0" w:color="004EA8" w:themeColor="accent2"/>
              <w:right w:val="nil"/>
            </w:tcBorders>
            <w:shd w:val="clear" w:color="auto" w:fill="auto"/>
          </w:tcPr>
          <w:p w14:paraId="0497F397"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Sets departmental objectives.</w:t>
            </w:r>
          </w:p>
          <w:p w14:paraId="54688800"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Leads departmental planning including corporate plans, service planning and asset management.</w:t>
            </w:r>
          </w:p>
          <w:p w14:paraId="2A3CDE6D" w14:textId="49363EEB"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Prepares and delivers business cases.</w:t>
            </w:r>
          </w:p>
        </w:tc>
        <w:tc>
          <w:tcPr>
            <w:tcW w:w="2640" w:type="dxa"/>
            <w:tcBorders>
              <w:top w:val="single" w:sz="6" w:space="0" w:color="004EA8" w:themeColor="accent2"/>
              <w:left w:val="nil"/>
              <w:bottom w:val="single" w:sz="6" w:space="0" w:color="004EA8" w:themeColor="accent2"/>
              <w:right w:val="nil"/>
            </w:tcBorders>
            <w:shd w:val="clear" w:color="auto" w:fill="auto"/>
          </w:tcPr>
          <w:p w14:paraId="41188BD2"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Undertakes tender process.</w:t>
            </w:r>
          </w:p>
          <w:p w14:paraId="7C2DBF68" w14:textId="65B8D7F2"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Updates Major Projects Performance Reporting (MPPR) and Quarterly Asset Investment Report (QAIR).</w:t>
            </w:r>
          </w:p>
        </w:tc>
        <w:tc>
          <w:tcPr>
            <w:tcW w:w="2640" w:type="dxa"/>
            <w:tcBorders>
              <w:top w:val="single" w:sz="6" w:space="0" w:color="004EA8" w:themeColor="accent2"/>
              <w:left w:val="nil"/>
              <w:bottom w:val="single" w:sz="6" w:space="0" w:color="004EA8" w:themeColor="accent2"/>
              <w:right w:val="nil"/>
            </w:tcBorders>
            <w:shd w:val="clear" w:color="auto" w:fill="auto"/>
          </w:tcPr>
          <w:p w14:paraId="7F4144E3"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Delivers investment.</w:t>
            </w:r>
          </w:p>
          <w:p w14:paraId="761735F4" w14:textId="05FCC0D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Updates MPPR and QAIR.</w:t>
            </w:r>
          </w:p>
        </w:tc>
      </w:tr>
      <w:tr w:rsidR="008B27D6" w:rsidRPr="003E1EE8" w14:paraId="35C208E3"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583" w:type="dxa"/>
            <w:tcBorders>
              <w:right w:val="single" w:sz="24" w:space="0" w:color="FFFFFF" w:themeColor="background1"/>
            </w:tcBorders>
            <w:shd w:val="clear" w:color="auto" w:fill="DBDCDE" w:themeFill="text2" w:themeFillTint="33"/>
            <w:textDirection w:val="btLr"/>
            <w:vAlign w:val="center"/>
          </w:tcPr>
          <w:p w14:paraId="53D6010C" w14:textId="3ABE2148" w:rsidR="008B27D6" w:rsidRPr="003E1EE8" w:rsidRDefault="008B27D6" w:rsidP="008B27D6">
            <w:pPr>
              <w:pStyle w:val="Tabletext0"/>
              <w:ind w:left="113" w:right="113"/>
              <w:jc w:val="center"/>
              <w:rPr>
                <w:rFonts w:ascii="Arial" w:hAnsi="Arial" w:cs="Arial"/>
                <w:b/>
                <w:sz w:val="18"/>
                <w:szCs w:val="18"/>
              </w:rPr>
            </w:pPr>
            <w:r w:rsidRPr="003E1EE8">
              <w:rPr>
                <w:rFonts w:ascii="Arial" w:hAnsi="Arial" w:cs="Arial"/>
                <w:b/>
                <w:sz w:val="18"/>
                <w:szCs w:val="18"/>
              </w:rPr>
              <w:t>DTF/OPV</w:t>
            </w:r>
          </w:p>
        </w:tc>
        <w:tc>
          <w:tcPr>
            <w:tcW w:w="2640" w:type="dxa"/>
            <w:tcBorders>
              <w:top w:val="single" w:sz="6" w:space="0" w:color="004EA8" w:themeColor="accent2"/>
              <w:left w:val="single" w:sz="24" w:space="0" w:color="FFFFFF" w:themeColor="background1"/>
              <w:bottom w:val="single" w:sz="6" w:space="0" w:color="004EA8" w:themeColor="accent2"/>
              <w:right w:val="nil"/>
            </w:tcBorders>
            <w:shd w:val="clear" w:color="auto" w:fill="auto"/>
          </w:tcPr>
          <w:p w14:paraId="2B0F8DD1"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Determines HVHR status of asset proposals through Project Profile Model.</w:t>
            </w:r>
          </w:p>
          <w:p w14:paraId="0EC0496B"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Assesses business cases with DPC and advises Government on investment decisions.</w:t>
            </w:r>
          </w:p>
          <w:p w14:paraId="01CD5415"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Develops Project Assurance Plans (PAP) for HVHR investments.</w:t>
            </w:r>
          </w:p>
          <w:p w14:paraId="3D1F64AC"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HVHR investments.</w:t>
            </w:r>
          </w:p>
          <w:p w14:paraId="7865F96B" w14:textId="1FC95221"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 xml:space="preserve">Assesses Gateway and Project Assurance Review (PAR) </w:t>
            </w:r>
            <w:r w:rsidR="001E363A" w:rsidRPr="003E1EE8">
              <w:rPr>
                <w:sz w:val="16"/>
              </w:rPr>
              <w:t xml:space="preserve">recommendation action plans </w:t>
            </w:r>
            <w:r w:rsidRPr="003E1EE8">
              <w:rPr>
                <w:sz w:val="16"/>
              </w:rPr>
              <w:t>(RAP) if required.</w:t>
            </w:r>
          </w:p>
          <w:p w14:paraId="7B1E7408"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With OPV undertakes:</w:t>
            </w:r>
          </w:p>
          <w:p w14:paraId="5A5641FA" w14:textId="77777777" w:rsidR="008B27D6" w:rsidRPr="003E1EE8" w:rsidRDefault="008B27D6" w:rsidP="008B27D6">
            <w:pPr>
              <w:pStyle w:val="Tablebullet"/>
              <w:cnfStyle w:val="000000000000" w:firstRow="0" w:lastRow="0" w:firstColumn="0" w:lastColumn="0" w:oddVBand="0" w:evenVBand="0" w:oddHBand="0" w:evenHBand="0" w:firstRowFirstColumn="0" w:firstRowLastColumn="0" w:lastRowFirstColumn="0" w:lastRowLastColumn="0"/>
              <w:rPr>
                <w:sz w:val="16"/>
              </w:rPr>
            </w:pPr>
            <w:r w:rsidRPr="003E1EE8">
              <w:rPr>
                <w:sz w:val="16"/>
              </w:rPr>
              <w:t>Gate 1 (investment case);</w:t>
            </w:r>
          </w:p>
          <w:p w14:paraId="3A2E0364" w14:textId="77777777" w:rsidR="008B27D6" w:rsidRPr="003E1EE8" w:rsidRDefault="008B27D6" w:rsidP="008B27D6">
            <w:pPr>
              <w:pStyle w:val="Tablebullet"/>
              <w:cnfStyle w:val="000000000000" w:firstRow="0" w:lastRow="0" w:firstColumn="0" w:lastColumn="0" w:oddVBand="0" w:evenVBand="0" w:oddHBand="0" w:evenHBand="0" w:firstRowFirstColumn="0" w:firstRowLastColumn="0" w:lastRowFirstColumn="0" w:lastRowLastColumn="0"/>
              <w:rPr>
                <w:sz w:val="16"/>
              </w:rPr>
            </w:pPr>
            <w:r w:rsidRPr="003E1EE8">
              <w:rPr>
                <w:sz w:val="16"/>
              </w:rPr>
              <w:t>Gate 2 (delivery case) (typically combined reviews with 1); and</w:t>
            </w:r>
          </w:p>
          <w:p w14:paraId="53F30B11" w14:textId="1244D891" w:rsidR="008B27D6" w:rsidRPr="003E1EE8" w:rsidRDefault="008B27D6" w:rsidP="008B27D6">
            <w:pPr>
              <w:pStyle w:val="Tablebullet"/>
              <w:cnfStyle w:val="000000000000" w:firstRow="0" w:lastRow="0" w:firstColumn="0" w:lastColumn="0" w:oddVBand="0" w:evenVBand="0" w:oddHBand="0" w:evenHBand="0" w:firstRowFirstColumn="0" w:firstRowLastColumn="0" w:lastRowFirstColumn="0" w:lastRowLastColumn="0"/>
              <w:rPr>
                <w:sz w:val="16"/>
              </w:rPr>
            </w:pPr>
            <w:r w:rsidRPr="003E1EE8">
              <w:rPr>
                <w:sz w:val="16"/>
              </w:rPr>
              <w:t>PAR, as required.</w:t>
            </w:r>
          </w:p>
        </w:tc>
        <w:tc>
          <w:tcPr>
            <w:tcW w:w="2640" w:type="dxa"/>
            <w:tcBorders>
              <w:top w:val="single" w:sz="6" w:space="0" w:color="004EA8" w:themeColor="accent2"/>
              <w:left w:val="nil"/>
              <w:bottom w:val="single" w:sz="6" w:space="0" w:color="004EA8" w:themeColor="accent2"/>
              <w:right w:val="nil"/>
            </w:tcBorders>
            <w:shd w:val="clear" w:color="auto" w:fill="auto"/>
          </w:tcPr>
          <w:p w14:paraId="7634DFDB"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HVHR investments.</w:t>
            </w:r>
          </w:p>
          <w:p w14:paraId="657CC2B4"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Monitors projects through QAIR.</w:t>
            </w:r>
          </w:p>
          <w:p w14:paraId="7E464DD3"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Considers RAP from Gates 2 and 3 and PAR.</w:t>
            </w:r>
          </w:p>
          <w:p w14:paraId="6A24A112"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With OPV undertakes:</w:t>
            </w:r>
          </w:p>
          <w:p w14:paraId="1A440E7A" w14:textId="77777777" w:rsidR="008B27D6" w:rsidRPr="003E1EE8" w:rsidRDefault="008B27D6" w:rsidP="008B27D6">
            <w:pPr>
              <w:pStyle w:val="Tablebullet"/>
              <w:cnfStyle w:val="000000000000" w:firstRow="0" w:lastRow="0" w:firstColumn="0" w:lastColumn="0" w:oddVBand="0" w:evenVBand="0" w:oddHBand="0" w:evenHBand="0" w:firstRowFirstColumn="0" w:firstRowLastColumn="0" w:lastRowFirstColumn="0" w:lastRowLastColumn="0"/>
              <w:rPr>
                <w:sz w:val="16"/>
              </w:rPr>
            </w:pPr>
            <w:r w:rsidRPr="003E1EE8">
              <w:rPr>
                <w:sz w:val="16"/>
              </w:rPr>
              <w:t>Gate 3 (readiness for market);</w:t>
            </w:r>
          </w:p>
          <w:p w14:paraId="3FEC171E" w14:textId="77777777" w:rsidR="008B27D6" w:rsidRPr="003E1EE8" w:rsidRDefault="008B27D6" w:rsidP="008B27D6">
            <w:pPr>
              <w:pStyle w:val="Tablebullet"/>
              <w:cnfStyle w:val="000000000000" w:firstRow="0" w:lastRow="0" w:firstColumn="0" w:lastColumn="0" w:oddVBand="0" w:evenVBand="0" w:oddHBand="0" w:evenHBand="0" w:firstRowFirstColumn="0" w:firstRowLastColumn="0" w:lastRowFirstColumn="0" w:lastRowLastColumn="0"/>
              <w:rPr>
                <w:sz w:val="16"/>
              </w:rPr>
            </w:pPr>
            <w:r w:rsidRPr="003E1EE8">
              <w:rPr>
                <w:sz w:val="16"/>
              </w:rPr>
              <w:t>Gate 4 (tender decision); and</w:t>
            </w:r>
          </w:p>
          <w:p w14:paraId="5F3FA799" w14:textId="77777777" w:rsidR="008B27D6" w:rsidRPr="003E1EE8" w:rsidRDefault="008B27D6" w:rsidP="008B27D6">
            <w:pPr>
              <w:pStyle w:val="Tablebullet"/>
              <w:cnfStyle w:val="000000000000" w:firstRow="0" w:lastRow="0" w:firstColumn="0" w:lastColumn="0" w:oddVBand="0" w:evenVBand="0" w:oddHBand="0" w:evenHBand="0" w:firstRowFirstColumn="0" w:firstRowLastColumn="0" w:lastRowFirstColumn="0" w:lastRowLastColumn="0"/>
              <w:rPr>
                <w:sz w:val="16"/>
              </w:rPr>
            </w:pPr>
            <w:r w:rsidRPr="003E1EE8">
              <w:rPr>
                <w:sz w:val="16"/>
              </w:rPr>
              <w:t>PAR, as required.</w:t>
            </w:r>
          </w:p>
          <w:p w14:paraId="2DFC5F9F" w14:textId="6479E8B7" w:rsidR="008B27D6" w:rsidRPr="003E1EE8" w:rsidRDefault="008B27D6" w:rsidP="008B27D6">
            <w:pPr>
              <w:spacing w:before="120"/>
              <w:cnfStyle w:val="000000000000" w:firstRow="0" w:lastRow="0" w:firstColumn="0" w:lastColumn="0" w:oddVBand="0" w:evenVBand="0" w:oddHBand="0" w:evenHBand="0" w:firstRowFirstColumn="0" w:firstRowLastColumn="0" w:lastRowFirstColumn="0" w:lastRowLastColumn="0"/>
              <w:rPr>
                <w:rFonts w:cs="Arial"/>
                <w:sz w:val="16"/>
                <w:szCs w:val="18"/>
              </w:rPr>
            </w:pPr>
            <w:r w:rsidRPr="003E1EE8">
              <w:rPr>
                <w:rFonts w:cs="Arial"/>
                <w:sz w:val="16"/>
                <w:szCs w:val="18"/>
              </w:rPr>
              <w:t>OPV reports to Government on MPPR for HVHR projects.</w:t>
            </w:r>
          </w:p>
        </w:tc>
        <w:tc>
          <w:tcPr>
            <w:tcW w:w="2640" w:type="dxa"/>
            <w:tcBorders>
              <w:top w:val="single" w:sz="6" w:space="0" w:color="004EA8" w:themeColor="accent2"/>
              <w:left w:val="nil"/>
              <w:bottom w:val="single" w:sz="6" w:space="0" w:color="004EA8" w:themeColor="accent2"/>
              <w:right w:val="nil"/>
            </w:tcBorders>
            <w:shd w:val="clear" w:color="auto" w:fill="auto"/>
          </w:tcPr>
          <w:p w14:paraId="28FF32FC"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HVHR investments.</w:t>
            </w:r>
          </w:p>
          <w:p w14:paraId="6153A571"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Monitors projects through QAIR.</w:t>
            </w:r>
          </w:p>
          <w:p w14:paraId="60FECD38"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Considers RAP from PAR.</w:t>
            </w:r>
          </w:p>
          <w:p w14:paraId="2A13D023"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With OPV undertakes PAR as required.</w:t>
            </w:r>
          </w:p>
          <w:p w14:paraId="45ED2570" w14:textId="273AE32D"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OPV reports to Government on MPPR for HVHR projects.</w:t>
            </w:r>
          </w:p>
        </w:tc>
      </w:tr>
      <w:tr w:rsidR="008B27D6" w:rsidRPr="003E1EE8" w14:paraId="07EF6519"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583" w:type="dxa"/>
            <w:tcBorders>
              <w:right w:val="single" w:sz="24" w:space="0" w:color="FFFFFF" w:themeColor="background1"/>
            </w:tcBorders>
            <w:shd w:val="clear" w:color="auto" w:fill="DBDCDE" w:themeFill="text2" w:themeFillTint="33"/>
            <w:textDirection w:val="btLr"/>
            <w:vAlign w:val="center"/>
          </w:tcPr>
          <w:p w14:paraId="74457928" w14:textId="06062E20" w:rsidR="008B27D6" w:rsidRPr="003E1EE8" w:rsidRDefault="008B27D6" w:rsidP="008B27D6">
            <w:pPr>
              <w:pStyle w:val="Tabletext0"/>
              <w:ind w:left="113" w:right="113"/>
              <w:jc w:val="center"/>
              <w:rPr>
                <w:rFonts w:ascii="Arial" w:hAnsi="Arial" w:cs="Arial"/>
                <w:b/>
                <w:sz w:val="18"/>
                <w:szCs w:val="18"/>
              </w:rPr>
            </w:pPr>
            <w:r w:rsidRPr="003E1EE8">
              <w:rPr>
                <w:rFonts w:ascii="Arial" w:hAnsi="Arial" w:cs="Arial"/>
                <w:b/>
                <w:sz w:val="18"/>
                <w:szCs w:val="18"/>
              </w:rPr>
              <w:t>DPC</w:t>
            </w:r>
          </w:p>
        </w:tc>
        <w:tc>
          <w:tcPr>
            <w:tcW w:w="2640" w:type="dxa"/>
            <w:tcBorders>
              <w:top w:val="single" w:sz="6" w:space="0" w:color="004EA8" w:themeColor="accent2"/>
              <w:left w:val="single" w:sz="24" w:space="0" w:color="FFFFFF" w:themeColor="background1"/>
              <w:bottom w:val="single" w:sz="6" w:space="0" w:color="004EA8" w:themeColor="accent2"/>
              <w:right w:val="nil"/>
            </w:tcBorders>
            <w:shd w:val="clear" w:color="auto" w:fill="auto"/>
          </w:tcPr>
          <w:p w14:paraId="36244463"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Assesses business cases with DTF and advises Government.</w:t>
            </w:r>
          </w:p>
          <w:p w14:paraId="28605DBD"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some investments.</w:t>
            </w:r>
          </w:p>
          <w:p w14:paraId="2845F4DC" w14:textId="13F8D1FC"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Undertakes assessment of Value Creation and Capture (VCC) documentation for required investments.</w:t>
            </w:r>
          </w:p>
        </w:tc>
        <w:tc>
          <w:tcPr>
            <w:tcW w:w="2640" w:type="dxa"/>
            <w:tcBorders>
              <w:top w:val="single" w:sz="6" w:space="0" w:color="004EA8" w:themeColor="accent2"/>
              <w:left w:val="nil"/>
              <w:bottom w:val="single" w:sz="6" w:space="0" w:color="004EA8" w:themeColor="accent2"/>
              <w:right w:val="nil"/>
            </w:tcBorders>
            <w:shd w:val="clear" w:color="auto" w:fill="auto"/>
          </w:tcPr>
          <w:p w14:paraId="4B9C7E79"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HVHR investments.</w:t>
            </w:r>
          </w:p>
          <w:p w14:paraId="1ECF632E" w14:textId="4DACBE33"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VCC as required.</w:t>
            </w:r>
          </w:p>
        </w:tc>
        <w:tc>
          <w:tcPr>
            <w:tcW w:w="2640" w:type="dxa"/>
            <w:tcBorders>
              <w:top w:val="single" w:sz="6" w:space="0" w:color="004EA8" w:themeColor="accent2"/>
              <w:left w:val="nil"/>
              <w:bottom w:val="single" w:sz="6" w:space="0" w:color="004EA8" w:themeColor="accent2"/>
              <w:right w:val="nil"/>
            </w:tcBorders>
            <w:shd w:val="clear" w:color="auto" w:fill="auto"/>
          </w:tcPr>
          <w:p w14:paraId="770986FC"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HVHR investments.</w:t>
            </w:r>
          </w:p>
          <w:p w14:paraId="151CAB96" w14:textId="438C774B"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Ongoing involvement for VCC as required.</w:t>
            </w:r>
          </w:p>
        </w:tc>
      </w:tr>
      <w:tr w:rsidR="008B27D6" w:rsidRPr="003E1EE8" w14:paraId="7661E067"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583" w:type="dxa"/>
            <w:tcBorders>
              <w:right w:val="single" w:sz="24" w:space="0" w:color="FFFFFF" w:themeColor="background1"/>
            </w:tcBorders>
            <w:shd w:val="clear" w:color="auto" w:fill="DBDCDE" w:themeFill="text2" w:themeFillTint="33"/>
            <w:textDirection w:val="btLr"/>
            <w:vAlign w:val="center"/>
          </w:tcPr>
          <w:p w14:paraId="0E9A7234" w14:textId="23EAB985" w:rsidR="008B27D6" w:rsidRPr="003E1EE8" w:rsidRDefault="008B27D6" w:rsidP="008B27D6">
            <w:pPr>
              <w:pStyle w:val="Tabletext0"/>
              <w:ind w:left="113" w:right="113"/>
              <w:jc w:val="center"/>
              <w:rPr>
                <w:rFonts w:ascii="Arial" w:hAnsi="Arial" w:cs="Arial"/>
                <w:b/>
                <w:sz w:val="18"/>
                <w:szCs w:val="18"/>
              </w:rPr>
            </w:pPr>
            <w:r w:rsidRPr="003E1EE8">
              <w:rPr>
                <w:rFonts w:ascii="Arial" w:hAnsi="Arial" w:cs="Arial"/>
                <w:b/>
                <w:sz w:val="18"/>
                <w:szCs w:val="18"/>
              </w:rPr>
              <w:t>Government</w:t>
            </w:r>
          </w:p>
        </w:tc>
        <w:tc>
          <w:tcPr>
            <w:tcW w:w="2640" w:type="dxa"/>
            <w:tcBorders>
              <w:top w:val="single" w:sz="6" w:space="0" w:color="004EA8" w:themeColor="accent2"/>
              <w:left w:val="single" w:sz="24" w:space="0" w:color="FFFFFF" w:themeColor="background1"/>
              <w:bottom w:val="single" w:sz="6" w:space="0" w:color="004EA8" w:themeColor="accent2"/>
              <w:right w:val="nil"/>
            </w:tcBorders>
            <w:shd w:val="clear" w:color="auto" w:fill="auto"/>
          </w:tcPr>
          <w:p w14:paraId="7EDBDE95"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Sets government priorities and context.</w:t>
            </w:r>
          </w:p>
          <w:p w14:paraId="53F6EDF8"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Undertakes early filtering of asset proposals, if required.</w:t>
            </w:r>
          </w:p>
          <w:p w14:paraId="561BF255" w14:textId="4314160A"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Approves investments and funding.</w:t>
            </w:r>
          </w:p>
        </w:tc>
        <w:tc>
          <w:tcPr>
            <w:tcW w:w="2640" w:type="dxa"/>
            <w:tcBorders>
              <w:top w:val="single" w:sz="6" w:space="0" w:color="004EA8" w:themeColor="accent2"/>
              <w:left w:val="nil"/>
              <w:bottom w:val="single" w:sz="6" w:space="0" w:color="004EA8" w:themeColor="accent2"/>
              <w:right w:val="nil"/>
            </w:tcBorders>
            <w:shd w:val="clear" w:color="auto" w:fill="auto"/>
          </w:tcPr>
          <w:p w14:paraId="749E5A64"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Considers MPPR and QAIR.</w:t>
            </w:r>
          </w:p>
          <w:p w14:paraId="092C7EA0" w14:textId="5CB54B5E"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Approves material changes to projects, if required.</w:t>
            </w:r>
          </w:p>
        </w:tc>
        <w:tc>
          <w:tcPr>
            <w:tcW w:w="2640" w:type="dxa"/>
            <w:tcBorders>
              <w:top w:val="single" w:sz="6" w:space="0" w:color="004EA8" w:themeColor="accent2"/>
              <w:left w:val="nil"/>
              <w:bottom w:val="single" w:sz="6" w:space="0" w:color="004EA8" w:themeColor="accent2"/>
              <w:right w:val="nil"/>
            </w:tcBorders>
            <w:shd w:val="clear" w:color="auto" w:fill="auto"/>
          </w:tcPr>
          <w:p w14:paraId="39BCB1B0"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Considers MPPR and QAIR.</w:t>
            </w:r>
          </w:p>
          <w:p w14:paraId="0B026824" w14:textId="485FDCD8"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Approves material changes to projects, if required.</w:t>
            </w:r>
          </w:p>
        </w:tc>
      </w:tr>
      <w:tr w:rsidR="008B27D6" w:rsidRPr="003E1EE8" w14:paraId="7CEA13B3"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583" w:type="dxa"/>
            <w:tcBorders>
              <w:right w:val="single" w:sz="24" w:space="0" w:color="FFFFFF" w:themeColor="background1"/>
            </w:tcBorders>
            <w:shd w:val="clear" w:color="auto" w:fill="DBDCDE" w:themeFill="text2" w:themeFillTint="33"/>
            <w:textDirection w:val="btLr"/>
            <w:vAlign w:val="center"/>
          </w:tcPr>
          <w:p w14:paraId="57674E96" w14:textId="3B02BB34" w:rsidR="008B27D6" w:rsidRPr="003E1EE8" w:rsidRDefault="008B27D6" w:rsidP="008B27D6">
            <w:pPr>
              <w:pStyle w:val="Tabletext0"/>
              <w:ind w:left="113" w:right="113"/>
              <w:jc w:val="center"/>
              <w:rPr>
                <w:rFonts w:ascii="Arial" w:hAnsi="Arial" w:cs="Arial"/>
                <w:b/>
                <w:sz w:val="18"/>
                <w:szCs w:val="18"/>
              </w:rPr>
            </w:pPr>
            <w:r w:rsidRPr="003E1EE8">
              <w:rPr>
                <w:rFonts w:ascii="Arial" w:hAnsi="Arial" w:cs="Arial"/>
                <w:b/>
                <w:sz w:val="18"/>
                <w:szCs w:val="18"/>
              </w:rPr>
              <w:lastRenderedPageBreak/>
              <w:t>Treasurer</w:t>
            </w:r>
          </w:p>
        </w:tc>
        <w:tc>
          <w:tcPr>
            <w:tcW w:w="2640" w:type="dxa"/>
            <w:tcBorders>
              <w:top w:val="single" w:sz="6" w:space="0" w:color="004EA8" w:themeColor="accent2"/>
              <w:left w:val="single" w:sz="24" w:space="0" w:color="FFFFFF" w:themeColor="background1"/>
              <w:bottom w:val="single" w:sz="6" w:space="0" w:color="004EA8" w:themeColor="accent2"/>
              <w:right w:val="nil"/>
            </w:tcBorders>
            <w:shd w:val="clear" w:color="auto" w:fill="auto"/>
          </w:tcPr>
          <w:p w14:paraId="72D4996C"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Announces State Budget.</w:t>
            </w:r>
          </w:p>
          <w:p w14:paraId="313EC695" w14:textId="610EB4C6"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Approves PAPs for budget-funded projects.</w:t>
            </w:r>
          </w:p>
        </w:tc>
        <w:tc>
          <w:tcPr>
            <w:tcW w:w="2640" w:type="dxa"/>
            <w:tcBorders>
              <w:top w:val="single" w:sz="6" w:space="0" w:color="004EA8" w:themeColor="accent2"/>
              <w:left w:val="nil"/>
              <w:bottom w:val="single" w:sz="6" w:space="0" w:color="004EA8" w:themeColor="accent2"/>
              <w:right w:val="nil"/>
            </w:tcBorders>
            <w:shd w:val="clear" w:color="auto" w:fill="auto"/>
          </w:tcPr>
          <w:p w14:paraId="0C3A098B" w14:textId="7777777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Approves procurement documentation, including Expressions of Interest (for some projects) and contract award for HVHR projects.</w:t>
            </w:r>
          </w:p>
          <w:p w14:paraId="5054FFCB" w14:textId="298CC568"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Approves major variations to scope, time and cost of projects.</w:t>
            </w:r>
          </w:p>
        </w:tc>
        <w:tc>
          <w:tcPr>
            <w:tcW w:w="2640" w:type="dxa"/>
            <w:tcBorders>
              <w:top w:val="single" w:sz="6" w:space="0" w:color="004EA8" w:themeColor="accent2"/>
              <w:left w:val="nil"/>
              <w:bottom w:val="single" w:sz="6" w:space="0" w:color="004EA8" w:themeColor="accent2"/>
              <w:right w:val="nil"/>
            </w:tcBorders>
            <w:shd w:val="clear" w:color="auto" w:fill="auto"/>
          </w:tcPr>
          <w:p w14:paraId="67E5FB64" w14:textId="0A029217" w:rsidR="008B27D6" w:rsidRPr="003E1EE8" w:rsidRDefault="008B27D6" w:rsidP="008B27D6">
            <w:pPr>
              <w:pStyle w:val="Tabletext0"/>
              <w:cnfStyle w:val="000000000000" w:firstRow="0" w:lastRow="0" w:firstColumn="0" w:lastColumn="0" w:oddVBand="0" w:evenVBand="0" w:oddHBand="0" w:evenHBand="0" w:firstRowFirstColumn="0" w:firstRowLastColumn="0" w:lastRowFirstColumn="0" w:lastRowLastColumn="0"/>
              <w:rPr>
                <w:sz w:val="16"/>
              </w:rPr>
            </w:pPr>
            <w:r w:rsidRPr="003E1EE8">
              <w:rPr>
                <w:sz w:val="16"/>
              </w:rPr>
              <w:t>Treasurer approves some material changes to projects where these are not required to go through Cabinet.</w:t>
            </w:r>
          </w:p>
        </w:tc>
      </w:tr>
    </w:tbl>
    <w:p w14:paraId="154F3C13" w14:textId="77777777" w:rsidR="008B27D6" w:rsidRPr="003E1EE8" w:rsidRDefault="008B27D6" w:rsidP="008B27D6">
      <w:pPr>
        <w:pStyle w:val="Spacer"/>
      </w:pPr>
    </w:p>
    <w:p w14:paraId="04427FD4" w14:textId="5C170D68" w:rsidR="002C27AF" w:rsidRPr="003E1EE8" w:rsidRDefault="004C0857" w:rsidP="00367473">
      <w:pPr>
        <w:pStyle w:val="Heading2numbered"/>
      </w:pPr>
      <w:bookmarkStart w:id="93" w:name="_Toc19713749"/>
      <w:bookmarkStart w:id="94" w:name="_Toc19714598"/>
      <w:bookmarkStart w:id="95" w:name="_Toc19715438"/>
      <w:bookmarkStart w:id="96" w:name="_Toc19713750"/>
      <w:bookmarkStart w:id="97" w:name="_Toc19714599"/>
      <w:bookmarkStart w:id="98" w:name="_Toc19715439"/>
      <w:bookmarkStart w:id="99" w:name="_Toc19713753"/>
      <w:bookmarkStart w:id="100" w:name="_Toc19714602"/>
      <w:bookmarkStart w:id="101" w:name="_Toc19715442"/>
      <w:bookmarkStart w:id="102" w:name="_Toc19713767"/>
      <w:bookmarkStart w:id="103" w:name="_Toc19714616"/>
      <w:bookmarkStart w:id="104" w:name="_Toc19715456"/>
      <w:bookmarkStart w:id="105" w:name="_Toc19713817"/>
      <w:bookmarkStart w:id="106" w:name="_Toc19714666"/>
      <w:bookmarkStart w:id="107" w:name="_Toc19715506"/>
      <w:bookmarkStart w:id="108" w:name="_Toc19713864"/>
      <w:bookmarkStart w:id="109" w:name="_Toc19714713"/>
      <w:bookmarkStart w:id="110" w:name="_Toc19715553"/>
      <w:bookmarkStart w:id="111" w:name="_Toc19713873"/>
      <w:bookmarkStart w:id="112" w:name="_Toc19714722"/>
      <w:bookmarkStart w:id="113" w:name="_Toc19715562"/>
      <w:bookmarkStart w:id="114" w:name="_Toc19713890"/>
      <w:bookmarkStart w:id="115" w:name="_Toc19714739"/>
      <w:bookmarkStart w:id="116" w:name="_Toc19715579"/>
      <w:bookmarkStart w:id="117" w:name="_Toc19713903"/>
      <w:bookmarkStart w:id="118" w:name="_Toc19714752"/>
      <w:bookmarkStart w:id="119" w:name="_Toc19715592"/>
      <w:bookmarkStart w:id="120" w:name="_Toc19713922"/>
      <w:bookmarkStart w:id="121" w:name="_Toc19714771"/>
      <w:bookmarkStart w:id="122" w:name="_Toc19715611"/>
      <w:bookmarkStart w:id="123" w:name="_Toc19713936"/>
      <w:bookmarkStart w:id="124" w:name="_Toc19714785"/>
      <w:bookmarkStart w:id="125" w:name="_Toc19715625"/>
      <w:bookmarkStart w:id="126" w:name="_Toc19713945"/>
      <w:bookmarkStart w:id="127" w:name="_Toc19714794"/>
      <w:bookmarkStart w:id="128" w:name="_Toc19715634"/>
      <w:bookmarkStart w:id="129" w:name="_Toc19713967"/>
      <w:bookmarkStart w:id="130" w:name="_Toc19714816"/>
      <w:bookmarkStart w:id="131" w:name="_Toc19715656"/>
      <w:bookmarkStart w:id="132" w:name="_Toc19713996"/>
      <w:bookmarkStart w:id="133" w:name="_Toc19714845"/>
      <w:bookmarkStart w:id="134" w:name="_Toc19715685"/>
      <w:bookmarkStart w:id="135" w:name="_Toc2593548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3E1EE8">
        <w:t>Service</w:t>
      </w:r>
      <w:r w:rsidR="002C27AF" w:rsidRPr="003E1EE8">
        <w:t xml:space="preserve"> planning</w:t>
      </w:r>
      <w:bookmarkEnd w:id="135"/>
    </w:p>
    <w:p w14:paraId="10E081D7" w14:textId="1B78A5D1" w:rsidR="00B42847" w:rsidRPr="003E1EE8" w:rsidRDefault="00B42847" w:rsidP="007C4728">
      <w:pPr>
        <w:pStyle w:val="NormalIndent"/>
        <w:keepNext/>
      </w:pPr>
      <w:r w:rsidRPr="003E1EE8">
        <w:t>Departmental long-term planning and strategic asset management should be considered a prequel to investment management, where investment needs are first identified and articulated.</w:t>
      </w:r>
    </w:p>
    <w:p w14:paraId="062EA370" w14:textId="50DD05C2" w:rsidR="002C27AF" w:rsidRPr="003E1EE8" w:rsidRDefault="00CC38AF" w:rsidP="00367473">
      <w:pPr>
        <w:pStyle w:val="NormalIndent"/>
      </w:pPr>
      <w:r w:rsidRPr="003E1EE8">
        <w:t xml:space="preserve">Departments should consider any investments in new or existing assets within the context of overarching service delivery planning. </w:t>
      </w:r>
      <w:r w:rsidR="002C27AF" w:rsidRPr="003E1EE8">
        <w:t xml:space="preserve">Primarily, </w:t>
      </w:r>
      <w:r w:rsidR="00705408" w:rsidRPr="003E1EE8">
        <w:t xml:space="preserve">service delivery planning allows </w:t>
      </w:r>
      <w:r w:rsidR="00CC2629" w:rsidRPr="003E1EE8">
        <w:t xml:space="preserve">departments </w:t>
      </w:r>
      <w:r w:rsidR="002C27AF" w:rsidRPr="003E1EE8">
        <w:t xml:space="preserve">to consider and prioritise </w:t>
      </w:r>
      <w:r w:rsidR="00CC2629" w:rsidRPr="003E1EE8">
        <w:t xml:space="preserve">their </w:t>
      </w:r>
      <w:r w:rsidR="002C27AF" w:rsidRPr="003E1EE8">
        <w:t>service delivery needs and investment proposals</w:t>
      </w:r>
      <w:r w:rsidR="004C0857" w:rsidRPr="003E1EE8">
        <w:t xml:space="preserve">. </w:t>
      </w:r>
      <w:r w:rsidR="00350037" w:rsidRPr="003E1EE8">
        <w:t>It</w:t>
      </w:r>
      <w:r w:rsidR="002C27AF" w:rsidRPr="003E1EE8">
        <w:t xml:space="preserve"> </w:t>
      </w:r>
      <w:r w:rsidR="00CC2629" w:rsidRPr="003E1EE8">
        <w:t xml:space="preserve">can </w:t>
      </w:r>
      <w:r w:rsidR="002C27AF" w:rsidRPr="003E1EE8">
        <w:t xml:space="preserve">provide critical context to guide </w:t>
      </w:r>
      <w:r w:rsidR="00350037" w:rsidRPr="003E1EE8">
        <w:t>the department</w:t>
      </w:r>
      <w:r w:rsidR="001E363A">
        <w:t>’</w:t>
      </w:r>
      <w:r w:rsidR="00350037" w:rsidRPr="003E1EE8">
        <w:t>s</w:t>
      </w:r>
      <w:r w:rsidR="002C27AF" w:rsidRPr="003E1EE8">
        <w:t xml:space="preserve"> short and medium-term budget deliberations and resource allocation decisions. </w:t>
      </w:r>
    </w:p>
    <w:p w14:paraId="4640B4BD" w14:textId="597D22BA" w:rsidR="002C27AF" w:rsidRPr="003E1EE8" w:rsidRDefault="002C27AF" w:rsidP="00367473">
      <w:pPr>
        <w:pStyle w:val="NormalIndent"/>
      </w:pPr>
      <w:r w:rsidRPr="003E1EE8">
        <w:t>The long-term planning process anticipates future demand for services</w:t>
      </w:r>
      <w:r w:rsidR="00CC2629" w:rsidRPr="003E1EE8">
        <w:t xml:space="preserve"> and supporting infrastructure and assets</w:t>
      </w:r>
      <w:r w:rsidRPr="003E1EE8">
        <w:t>. It also promotes early identification of potential service delivery risks and challenges.</w:t>
      </w:r>
      <w:r w:rsidR="00534D43" w:rsidRPr="003E1EE8">
        <w:t xml:space="preserve"> Real options (discussed in section </w:t>
      </w:r>
      <w:r w:rsidR="00E03892">
        <w:fldChar w:fldCharType="begin"/>
      </w:r>
      <w:r w:rsidR="00E03892">
        <w:instrText xml:space="preserve"> REF _Ref25934918 \r \h </w:instrText>
      </w:r>
      <w:r w:rsidR="00E03892">
        <w:fldChar w:fldCharType="separate"/>
      </w:r>
      <w:r w:rsidR="00661A02">
        <w:t>3.6</w:t>
      </w:r>
      <w:r w:rsidR="00E03892">
        <w:fldChar w:fldCharType="end"/>
      </w:r>
      <w:r w:rsidR="00534D43" w:rsidRPr="003E1EE8">
        <w:t>) can also be considered at a portfolio level where uncertainties such as population growth and change or new technologies may affect a range of service delivery outcomes or investments</w:t>
      </w:r>
      <w:r w:rsidR="00EC183B" w:rsidRPr="003E1EE8">
        <w:t xml:space="preserve">. </w:t>
      </w:r>
    </w:p>
    <w:p w14:paraId="0166257D" w14:textId="77777777" w:rsidR="002C27AF" w:rsidRPr="003E1EE8" w:rsidRDefault="002C27AF" w:rsidP="00367473">
      <w:pPr>
        <w:pStyle w:val="NormalIndent"/>
      </w:pPr>
      <w:r w:rsidRPr="003E1EE8">
        <w:t xml:space="preserve">New investments should align with a department’s long-term vision, facilitate ongoing service delivery objectives, and enable service challenges and risks to be managed in a planned, timely and affordable way. </w:t>
      </w:r>
    </w:p>
    <w:p w14:paraId="3A66E20E" w14:textId="538F7DE8" w:rsidR="00350037" w:rsidRPr="003E1EE8" w:rsidRDefault="002C27AF" w:rsidP="00367473">
      <w:pPr>
        <w:pStyle w:val="NormalIndent"/>
      </w:pPr>
      <w:r w:rsidRPr="003E1EE8">
        <w:t>An investment may be only part of a response to a service need or challenge</w:t>
      </w:r>
      <w:r w:rsidR="00350037" w:rsidRPr="003E1EE8">
        <w:t xml:space="preserve">. </w:t>
      </w:r>
      <w:r w:rsidR="00CC6ACB" w:rsidRPr="003E1EE8">
        <w:t>R</w:t>
      </w:r>
      <w:r w:rsidR="00350037" w:rsidRPr="003E1EE8">
        <w:t>esponse</w:t>
      </w:r>
      <w:r w:rsidR="00CC6ACB" w:rsidRPr="003E1EE8">
        <w:t xml:space="preserve"> options</w:t>
      </w:r>
      <w:r w:rsidR="00350037" w:rsidRPr="003E1EE8">
        <w:t xml:space="preserve"> to service delivery challenges may include:</w:t>
      </w:r>
    </w:p>
    <w:p w14:paraId="17FAFEC4" w14:textId="77777777" w:rsidR="00350037" w:rsidRPr="003E1EE8" w:rsidRDefault="00350037" w:rsidP="007C4728">
      <w:pPr>
        <w:pStyle w:val="Bulletindent"/>
        <w:contextualSpacing/>
      </w:pPr>
      <w:r w:rsidRPr="003E1EE8">
        <w:t>demand management;</w:t>
      </w:r>
    </w:p>
    <w:p w14:paraId="130C6A37" w14:textId="77777777" w:rsidR="00350037" w:rsidRPr="003E1EE8" w:rsidRDefault="00350037" w:rsidP="007C4728">
      <w:pPr>
        <w:pStyle w:val="Bulletindent"/>
        <w:contextualSpacing/>
      </w:pPr>
      <w:r w:rsidRPr="003E1EE8">
        <w:t>changing regulations or policies;</w:t>
      </w:r>
    </w:p>
    <w:p w14:paraId="5E537E9E" w14:textId="77777777" w:rsidR="00350037" w:rsidRPr="003E1EE8" w:rsidRDefault="00350037" w:rsidP="007C4728">
      <w:pPr>
        <w:pStyle w:val="Bulletindent"/>
        <w:contextualSpacing/>
      </w:pPr>
      <w:r w:rsidRPr="003E1EE8">
        <w:t>increasing productivity;</w:t>
      </w:r>
    </w:p>
    <w:p w14:paraId="442D6DE8" w14:textId="77777777" w:rsidR="00350037" w:rsidRPr="003E1EE8" w:rsidRDefault="00350037" w:rsidP="007C4728">
      <w:pPr>
        <w:pStyle w:val="Bulletindent"/>
        <w:contextualSpacing/>
      </w:pPr>
      <w:r w:rsidRPr="003E1EE8">
        <w:t>changes to service delivery models;</w:t>
      </w:r>
    </w:p>
    <w:p w14:paraId="1DDE3673" w14:textId="77777777" w:rsidR="00350037" w:rsidRPr="003E1EE8" w:rsidRDefault="00350037" w:rsidP="007C4728">
      <w:pPr>
        <w:pStyle w:val="Bulletindent"/>
        <w:contextualSpacing/>
      </w:pPr>
      <w:r w:rsidRPr="003E1EE8">
        <w:t>re-purposing, improving performance or optimising operations of existing assets; and</w:t>
      </w:r>
    </w:p>
    <w:p w14:paraId="70DB9318" w14:textId="77777777" w:rsidR="00350037" w:rsidRPr="003E1EE8" w:rsidRDefault="00350037" w:rsidP="007C4728">
      <w:pPr>
        <w:pStyle w:val="Bulletindent"/>
        <w:contextualSpacing/>
      </w:pPr>
      <w:r w:rsidRPr="003E1EE8">
        <w:t xml:space="preserve">asset responses. </w:t>
      </w:r>
    </w:p>
    <w:p w14:paraId="46B8D65F" w14:textId="5B624F74" w:rsidR="002C27AF" w:rsidRPr="003E1EE8" w:rsidRDefault="00350037" w:rsidP="00367473">
      <w:pPr>
        <w:pStyle w:val="NormalIndent"/>
      </w:pPr>
      <w:r w:rsidRPr="003E1EE8">
        <w:t>I</w:t>
      </w:r>
      <w:r w:rsidR="002C27AF" w:rsidRPr="003E1EE8">
        <w:t>nvestors will need to align existing and proposed service delivery mechanisms and supporting infrastructure</w:t>
      </w:r>
      <w:r w:rsidR="00EC183B" w:rsidRPr="003E1EE8">
        <w:t xml:space="preserve">. </w:t>
      </w:r>
      <w:r w:rsidR="002C27AF" w:rsidRPr="003E1EE8">
        <w:t>Departments must also consider the impacts of investments on current and future asset management responsibilities and requirements.</w:t>
      </w:r>
    </w:p>
    <w:p w14:paraId="1EB57075" w14:textId="77777777" w:rsidR="00CC2629" w:rsidRPr="003E1EE8" w:rsidRDefault="00CC2629" w:rsidP="00367473">
      <w:pPr>
        <w:pStyle w:val="Heading2numbered"/>
      </w:pPr>
      <w:bookmarkStart w:id="136" w:name="_Toc19713998"/>
      <w:bookmarkStart w:id="137" w:name="_Toc19714847"/>
      <w:bookmarkStart w:id="138" w:name="_Toc19715687"/>
      <w:bookmarkStart w:id="139" w:name="_Toc25935483"/>
      <w:bookmarkEnd w:id="136"/>
      <w:bookmarkEnd w:id="137"/>
      <w:bookmarkEnd w:id="138"/>
      <w:r w:rsidRPr="003E1EE8">
        <w:t>Asset Management Accountability Framework</w:t>
      </w:r>
      <w:bookmarkEnd w:id="139"/>
      <w:r w:rsidRPr="003E1EE8">
        <w:t xml:space="preserve"> </w:t>
      </w:r>
    </w:p>
    <w:p w14:paraId="31A7F57F" w14:textId="76CA34DA" w:rsidR="00CC2629" w:rsidRPr="003E1EE8" w:rsidRDefault="00CC2629" w:rsidP="00367473">
      <w:pPr>
        <w:pStyle w:val="NormalIndent"/>
      </w:pPr>
      <w:r w:rsidRPr="003E1EE8">
        <w:t xml:space="preserve">The Government’s Asset Management Accountability Framework (AMAF) </w:t>
      </w:r>
      <w:bookmarkStart w:id="140" w:name="_Hlk19776654"/>
      <w:r w:rsidRPr="003E1EE8">
        <w:t xml:space="preserve">establishes the requirements for how </w:t>
      </w:r>
      <w:r w:rsidR="00C07B6F" w:rsidRPr="003E1EE8">
        <w:t>g</w:t>
      </w:r>
      <w:r w:rsidRPr="003E1EE8">
        <w:t xml:space="preserve">overnment assets should be managed across their lifecycle to meet service delivery objectives. </w:t>
      </w:r>
      <w:bookmarkEnd w:id="140"/>
    </w:p>
    <w:p w14:paraId="6D26157A" w14:textId="7D4616B5" w:rsidR="004B3BD7" w:rsidRPr="003E1EE8" w:rsidRDefault="00CC2629" w:rsidP="00367473">
      <w:pPr>
        <w:pStyle w:val="NormalIndent"/>
      </w:pPr>
      <w:r w:rsidRPr="003E1EE8">
        <w:lastRenderedPageBreak/>
        <w:t xml:space="preserve">The AMAF was released in February 2016 and </w:t>
      </w:r>
      <w:r w:rsidR="004B3BD7" w:rsidRPr="003E1EE8">
        <w:t xml:space="preserve">is </w:t>
      </w:r>
      <w:r w:rsidRPr="003E1EE8">
        <w:t>improv</w:t>
      </w:r>
      <w:r w:rsidR="004B3BD7" w:rsidRPr="003E1EE8">
        <w:t>ing</w:t>
      </w:r>
      <w:r w:rsidRPr="003E1EE8">
        <w:t xml:space="preserve"> the way Victoria’s public assets are planned, used and maintained. </w:t>
      </w:r>
      <w:r w:rsidR="004B3BD7" w:rsidRPr="003E1EE8">
        <w:t>The AMAF is improving asset management practices across Government and helps agencies to:</w:t>
      </w:r>
    </w:p>
    <w:p w14:paraId="6912D0A5" w14:textId="7EAF5476" w:rsidR="004B3BD7" w:rsidRPr="003E1EE8" w:rsidRDefault="004B3BD7" w:rsidP="00367473">
      <w:pPr>
        <w:pStyle w:val="Bulletindent"/>
      </w:pPr>
      <w:r w:rsidRPr="003E1EE8">
        <w:t>better understand the assets they hold and the purpose they serve;</w:t>
      </w:r>
    </w:p>
    <w:p w14:paraId="11DB365E" w14:textId="7DAC52AE" w:rsidR="004B3BD7" w:rsidRPr="003E1EE8" w:rsidRDefault="004B3BD7" w:rsidP="00367473">
      <w:pPr>
        <w:pStyle w:val="Bulletindent"/>
      </w:pPr>
      <w:r w:rsidRPr="003E1EE8">
        <w:t>get the best value from asset investments by understanding where to direct funding;</w:t>
      </w:r>
    </w:p>
    <w:p w14:paraId="21C16142" w14:textId="7839CDE0" w:rsidR="004B3BD7" w:rsidRPr="003E1EE8" w:rsidRDefault="004B3BD7" w:rsidP="00367473">
      <w:pPr>
        <w:pStyle w:val="Bulletindent"/>
      </w:pPr>
      <w:r w:rsidRPr="003E1EE8">
        <w:t>optimise the use and lifespan of existing assets; and</w:t>
      </w:r>
    </w:p>
    <w:p w14:paraId="794535D0" w14:textId="20A86681" w:rsidR="004B3BD7" w:rsidRPr="003E1EE8" w:rsidRDefault="004B3BD7" w:rsidP="00367473">
      <w:pPr>
        <w:pStyle w:val="Bulletindent"/>
      </w:pPr>
      <w:r w:rsidRPr="003E1EE8">
        <w:t>better understand asset risks.</w:t>
      </w:r>
    </w:p>
    <w:p w14:paraId="1381DD6F" w14:textId="39B1E905" w:rsidR="00CC2629" w:rsidRPr="003E1EE8" w:rsidRDefault="00CC2629" w:rsidP="00367473">
      <w:pPr>
        <w:pStyle w:val="NormalIndent"/>
      </w:pPr>
      <w:bookmarkStart w:id="141" w:name="_Hlk19776695"/>
      <w:r w:rsidRPr="003E1EE8">
        <w:t xml:space="preserve">The AMAF strengthens accountability for asset management by requiring departmental secretaries and agency boards to attest each year to compliance with a set of mandatory requirements. </w:t>
      </w:r>
      <w:bookmarkEnd w:id="141"/>
      <w:r w:rsidRPr="003E1EE8">
        <w:t xml:space="preserve">These are consistent with international good practice. However, the framework provides flexibility for public sector agencies to tailor their asset management processes to their operational needs. </w:t>
      </w:r>
    </w:p>
    <w:p w14:paraId="7ACD5529" w14:textId="77777777" w:rsidR="003F4315" w:rsidRPr="003E1EE8" w:rsidRDefault="00CC2629" w:rsidP="00367473">
      <w:pPr>
        <w:pStyle w:val="NormalIndent"/>
      </w:pPr>
      <w:r w:rsidRPr="003E1EE8">
        <w:t xml:space="preserve">One of the key requirements of the AMAF is to develop an asset management strategy. This should identify an organisation’s service delivery and asset needs over time and plan for how assets will be managed throughout their lifecycle, individually and collectively. </w:t>
      </w:r>
    </w:p>
    <w:p w14:paraId="60036251" w14:textId="58BA3698" w:rsidR="004B3BD7" w:rsidRPr="003E1EE8" w:rsidRDefault="00CC2629" w:rsidP="00367473">
      <w:pPr>
        <w:pStyle w:val="NormalIndent"/>
      </w:pPr>
      <w:r w:rsidRPr="003E1EE8">
        <w:t>Asset management strategies should be key inputs to inform the case for a new investment.</w:t>
      </w:r>
    </w:p>
    <w:p w14:paraId="010B5A26" w14:textId="7B52AAF0" w:rsidR="002C27AF" w:rsidRPr="003E1EE8" w:rsidRDefault="002C27AF" w:rsidP="00367473">
      <w:pPr>
        <w:pStyle w:val="Heading2numbered"/>
      </w:pPr>
      <w:bookmarkStart w:id="142" w:name="_Toc25935484"/>
      <w:r w:rsidRPr="003E1EE8">
        <w:t>The High</w:t>
      </w:r>
      <w:r w:rsidR="003F4315" w:rsidRPr="003E1EE8">
        <w:t xml:space="preserve"> </w:t>
      </w:r>
      <w:r w:rsidRPr="003E1EE8">
        <w:t>Value</w:t>
      </w:r>
      <w:r w:rsidR="00D71EFC" w:rsidRPr="003E1EE8">
        <w:t xml:space="preserve"> </w:t>
      </w:r>
      <w:r w:rsidRPr="003E1EE8">
        <w:t>High</w:t>
      </w:r>
      <w:r w:rsidR="003F4315" w:rsidRPr="003E1EE8">
        <w:t xml:space="preserve"> </w:t>
      </w:r>
      <w:r w:rsidRPr="003E1EE8">
        <w:t xml:space="preserve">Risk </w:t>
      </w:r>
      <w:r w:rsidR="003F4315" w:rsidRPr="003E1EE8">
        <w:t>Project Assurance Framework</w:t>
      </w:r>
      <w:bookmarkEnd w:id="142"/>
    </w:p>
    <w:p w14:paraId="2B8E0E84" w14:textId="3C36BC11" w:rsidR="00CC2629" w:rsidRPr="003E1EE8" w:rsidRDefault="00CC2629" w:rsidP="00367473">
      <w:pPr>
        <w:pStyle w:val="NormalIndent"/>
      </w:pPr>
      <w:r w:rsidRPr="003E1EE8">
        <w:t>The HVHR</w:t>
      </w:r>
      <w:r w:rsidR="00CC38AF" w:rsidRPr="003E1EE8">
        <w:t xml:space="preserve"> process</w:t>
      </w:r>
      <w:r w:rsidRPr="003E1EE8">
        <w:t xml:space="preserve"> </w:t>
      </w:r>
      <w:r w:rsidR="003F4315" w:rsidRPr="003E1EE8">
        <w:t xml:space="preserve">has been </w:t>
      </w:r>
      <w:r w:rsidRPr="003E1EE8">
        <w:t>updated in 201</w:t>
      </w:r>
      <w:r w:rsidR="003F4315" w:rsidRPr="003E1EE8">
        <w:t xml:space="preserve">9 </w:t>
      </w:r>
      <w:r w:rsidR="00CC38AF" w:rsidRPr="003E1EE8">
        <w:t>and</w:t>
      </w:r>
      <w:r w:rsidRPr="003E1EE8">
        <w:t xml:space="preserve"> comprises a series of project assurance checks and processes that provide greater scrutiny of major infrastructure and information and communications technology (ICT) investments</w:t>
      </w:r>
      <w:r w:rsidR="00EC183B" w:rsidRPr="003E1EE8">
        <w:t xml:space="preserve">. </w:t>
      </w:r>
    </w:p>
    <w:p w14:paraId="03CFA5F7" w14:textId="77777777" w:rsidR="00CC2629" w:rsidRPr="003E1EE8" w:rsidRDefault="00CC2629" w:rsidP="00367473">
      <w:pPr>
        <w:pStyle w:val="NormalIndent"/>
      </w:pPr>
      <w:r w:rsidRPr="003E1EE8">
        <w:t>To this end, the HVHR Framework seeks to:</w:t>
      </w:r>
    </w:p>
    <w:p w14:paraId="179736E8" w14:textId="64AF0ABD" w:rsidR="003F4315" w:rsidRPr="003E1EE8" w:rsidRDefault="003F4315" w:rsidP="00367473">
      <w:pPr>
        <w:pStyle w:val="Bulletindent"/>
      </w:pPr>
      <w:r w:rsidRPr="003E1EE8">
        <w:t>increase the likelihood that projects will achieve their stated benefits and be delivered successfully, on time and on budget;</w:t>
      </w:r>
    </w:p>
    <w:p w14:paraId="501EA2B3" w14:textId="70B62ADC" w:rsidR="00CC2629" w:rsidRPr="003E1EE8" w:rsidRDefault="00CC2629" w:rsidP="00367473">
      <w:pPr>
        <w:pStyle w:val="Bulletindent"/>
      </w:pPr>
      <w:r w:rsidRPr="003E1EE8">
        <w:t>verify that robust project planning and procurement processes have been followed to support quality project planning and procurement processes and documentation; and</w:t>
      </w:r>
    </w:p>
    <w:p w14:paraId="4254846E" w14:textId="77777777" w:rsidR="00CC2629" w:rsidRPr="003E1EE8" w:rsidRDefault="00CC2629" w:rsidP="00367473">
      <w:pPr>
        <w:pStyle w:val="Bulletindent"/>
      </w:pPr>
      <w:r w:rsidRPr="003E1EE8">
        <w:t>provide impartial and informed advice to Government on deliverability risks.</w:t>
      </w:r>
    </w:p>
    <w:p w14:paraId="3F695890" w14:textId="77777777" w:rsidR="002C27AF" w:rsidRPr="003E1EE8" w:rsidRDefault="002C27AF" w:rsidP="00367473">
      <w:pPr>
        <w:pStyle w:val="Heading3numbered"/>
      </w:pPr>
      <w:r w:rsidRPr="003E1EE8">
        <w:t>Which investments are HVHR</w:t>
      </w:r>
      <w:r w:rsidR="00CC2629" w:rsidRPr="003E1EE8">
        <w:t>?</w:t>
      </w:r>
    </w:p>
    <w:p w14:paraId="24B66334" w14:textId="2BAA690D" w:rsidR="003F4315" w:rsidRPr="003E1EE8" w:rsidRDefault="003F4315" w:rsidP="007C4728">
      <w:pPr>
        <w:pStyle w:val="NormalIndent"/>
        <w:keepNext/>
      </w:pPr>
      <w:r w:rsidRPr="003E1EE8">
        <w:t>A project will be classified HVHR if it is a budget-funded project that is:</w:t>
      </w:r>
    </w:p>
    <w:p w14:paraId="040884F5" w14:textId="77777777" w:rsidR="003F4315" w:rsidRPr="003E1EE8" w:rsidRDefault="003F4315" w:rsidP="007C4728">
      <w:pPr>
        <w:pStyle w:val="Bulletindent"/>
        <w:keepNext/>
      </w:pPr>
      <w:r w:rsidRPr="003E1EE8">
        <w:t>considered high risk using DTF’s risk assessment tool, the Project Profile Model (PPM) (available on the DTF website);</w:t>
      </w:r>
    </w:p>
    <w:p w14:paraId="55E14DEB" w14:textId="77777777" w:rsidR="003F4315" w:rsidRPr="003E1EE8" w:rsidRDefault="003F4315" w:rsidP="00367473">
      <w:pPr>
        <w:pStyle w:val="Bulletindent"/>
      </w:pPr>
      <w:r w:rsidRPr="003E1EE8">
        <w:t>considered medium risk using the PPM and has a TEI of between $100 million and $250 million;</w:t>
      </w:r>
    </w:p>
    <w:p w14:paraId="3F7722F0" w14:textId="200CDA17" w:rsidR="003F4315" w:rsidRPr="003E1EE8" w:rsidRDefault="003F4315" w:rsidP="00367473">
      <w:pPr>
        <w:pStyle w:val="Bulletindent"/>
      </w:pPr>
      <w:r w:rsidRPr="003E1EE8">
        <w:t>considered low risk using the PPM</w:t>
      </w:r>
      <w:r w:rsidR="00EB0DB4">
        <w:t>,</w:t>
      </w:r>
      <w:r w:rsidRPr="003E1EE8">
        <w:t xml:space="preserve"> but has a TEI over $250 million; or</w:t>
      </w:r>
    </w:p>
    <w:p w14:paraId="5884209C" w14:textId="77777777" w:rsidR="003F4315" w:rsidRPr="003E1EE8" w:rsidRDefault="003F4315" w:rsidP="00367473">
      <w:pPr>
        <w:pStyle w:val="Bulletindent"/>
      </w:pPr>
      <w:r w:rsidRPr="003E1EE8">
        <w:t>identified by Government as warranting the rigour applied to HVHR investments.</w:t>
      </w:r>
    </w:p>
    <w:p w14:paraId="09E99014" w14:textId="3825A58E" w:rsidR="00A843B3" w:rsidRPr="003E1EE8" w:rsidRDefault="00A843B3" w:rsidP="007C4728">
      <w:pPr>
        <w:pStyle w:val="Caption"/>
        <w:ind w:left="792"/>
      </w:pPr>
      <w:r w:rsidRPr="003E1EE8">
        <w:lastRenderedPageBreak/>
        <w:t xml:space="preserve">Figure </w:t>
      </w:r>
      <w:fldSimple w:instr=" SEQ Figure \* ARABIC ">
        <w:r w:rsidR="00661A02">
          <w:rPr>
            <w:noProof/>
          </w:rPr>
          <w:t>6</w:t>
        </w:r>
      </w:fldSimple>
      <w:r w:rsidRPr="003E1EE8">
        <w:t>: Determining the HVHR status of projects</w:t>
      </w:r>
    </w:p>
    <w:p w14:paraId="6B0C6F6D" w14:textId="77777777" w:rsidR="00604D80" w:rsidRPr="003E1EE8" w:rsidRDefault="00604D80" w:rsidP="008B27D6">
      <w:pPr>
        <w:pStyle w:val="NormalIndent"/>
      </w:pPr>
      <w:r w:rsidRPr="003E1EE8">
        <w:object w:dxaOrig="7879" w:dyaOrig="4558" w14:anchorId="25C998D6">
          <v:shape id="_x0000_i1026" type="#_x0000_t75" style="width:326.25pt;height:189.75pt" o:ole="">
            <v:imagedata r:id="rId45" o:title=""/>
          </v:shape>
          <o:OLEObject Type="Embed" ProgID="Visio.Drawing.11" ShapeID="_x0000_i1026" DrawAspect="Content" ObjectID="_1636959352" r:id="rId46"/>
        </w:object>
      </w:r>
    </w:p>
    <w:p w14:paraId="571BA521" w14:textId="77777777" w:rsidR="00F22144" w:rsidRPr="003E1EE8" w:rsidRDefault="00F22144" w:rsidP="008B27D6">
      <w:pPr>
        <w:pStyle w:val="NormalIndent"/>
        <w:keepNext/>
      </w:pPr>
      <w:r w:rsidRPr="003E1EE8">
        <w:t>All HVHR investments must:</w:t>
      </w:r>
    </w:p>
    <w:p w14:paraId="5A9AB8A1" w14:textId="77777777" w:rsidR="00F22144" w:rsidRPr="003E1EE8" w:rsidRDefault="00F22144" w:rsidP="008B27D6">
      <w:pPr>
        <w:pStyle w:val="Bulletindent"/>
        <w:keepNext/>
      </w:pPr>
      <w:r w:rsidRPr="003E1EE8">
        <w:t>prepare a full business case;</w:t>
      </w:r>
    </w:p>
    <w:p w14:paraId="7CA9E9ED" w14:textId="77777777" w:rsidR="00F22144" w:rsidRPr="003E1EE8" w:rsidRDefault="00F22144" w:rsidP="00367473">
      <w:pPr>
        <w:pStyle w:val="Bulletindent"/>
      </w:pPr>
      <w:r w:rsidRPr="003E1EE8">
        <w:t>complete Gateway reviews and Project Assurance Reviews (where required);</w:t>
      </w:r>
    </w:p>
    <w:p w14:paraId="1D802974" w14:textId="1AA56242" w:rsidR="00F22144" w:rsidRPr="003E1EE8" w:rsidRDefault="00BE0237" w:rsidP="00367473">
      <w:pPr>
        <w:pStyle w:val="Bulletindent"/>
      </w:pPr>
      <w:r w:rsidRPr="003E1EE8">
        <w:t xml:space="preserve">complete </w:t>
      </w:r>
      <w:r w:rsidR="001E363A" w:rsidRPr="003E1EE8">
        <w:t xml:space="preserve">recommendation action plans </w:t>
      </w:r>
      <w:r w:rsidRPr="003E1EE8">
        <w:t>(RAPs) for any red flag recommendations arising out of Gateway</w:t>
      </w:r>
      <w:r w:rsidR="00167C49" w:rsidRPr="003E1EE8">
        <w:t xml:space="preserve"> and Project Assurance</w:t>
      </w:r>
      <w:r w:rsidRPr="003E1EE8">
        <w:t xml:space="preserve"> </w:t>
      </w:r>
      <w:r w:rsidR="00167C49" w:rsidRPr="003E1EE8">
        <w:t>R</w:t>
      </w:r>
      <w:r w:rsidRPr="003E1EE8">
        <w:t>eviews</w:t>
      </w:r>
      <w:r w:rsidR="00F22144" w:rsidRPr="003E1EE8">
        <w:t>; and</w:t>
      </w:r>
    </w:p>
    <w:p w14:paraId="58C30076" w14:textId="0AB5980D" w:rsidR="00604D80" w:rsidRPr="003E1EE8" w:rsidRDefault="00F22144" w:rsidP="00367473">
      <w:pPr>
        <w:pStyle w:val="Bulletindent"/>
      </w:pPr>
      <w:r w:rsidRPr="003E1EE8">
        <w:t>provide quarterly updates as part of the</w:t>
      </w:r>
      <w:r w:rsidR="00CB784B" w:rsidRPr="003E1EE8">
        <w:t xml:space="preserve"> QAIR and</w:t>
      </w:r>
      <w:r w:rsidRPr="003E1EE8">
        <w:t xml:space="preserve"> </w:t>
      </w:r>
      <w:r w:rsidR="00BE0237" w:rsidRPr="003E1EE8">
        <w:t>MPPR</w:t>
      </w:r>
      <w:r w:rsidRPr="003E1EE8">
        <w:t>.</w:t>
      </w:r>
    </w:p>
    <w:p w14:paraId="4BF586FC" w14:textId="77777777" w:rsidR="002C27AF" w:rsidRPr="003E1EE8" w:rsidRDefault="002C27AF" w:rsidP="00367473">
      <w:pPr>
        <w:pStyle w:val="Heading3numbered"/>
      </w:pPr>
      <w:r w:rsidRPr="003E1EE8">
        <w:t>Heightened DTF involvement</w:t>
      </w:r>
    </w:p>
    <w:p w14:paraId="25483C67" w14:textId="77777777" w:rsidR="00550975" w:rsidRPr="003E1EE8" w:rsidRDefault="00550975" w:rsidP="00367473">
      <w:pPr>
        <w:pStyle w:val="NormalIndent"/>
      </w:pPr>
      <w:r w:rsidRPr="003E1EE8">
        <w:t>HVHR investments are subject to greater and ongoing DTF and Office of Projects Victoria (OPV) involvement across the investment lifecycle, with more rigorous assessment at each stage:</w:t>
      </w:r>
    </w:p>
    <w:p w14:paraId="5F420080" w14:textId="77777777" w:rsidR="00550975" w:rsidRPr="003E1EE8" w:rsidRDefault="00550975" w:rsidP="00367473">
      <w:pPr>
        <w:pStyle w:val="Bulletindent"/>
      </w:pPr>
      <w:r w:rsidRPr="003E1EE8">
        <w:t xml:space="preserve">project concept, feasibility and validation – business case development and assessments; </w:t>
      </w:r>
    </w:p>
    <w:p w14:paraId="021A1A7A" w14:textId="5D9F5DA7" w:rsidR="00550975" w:rsidRPr="003E1EE8" w:rsidRDefault="00550975" w:rsidP="00367473">
      <w:pPr>
        <w:pStyle w:val="Bulletindent"/>
      </w:pPr>
      <w:r w:rsidRPr="003E1EE8">
        <w:t xml:space="preserve">project tendering – </w:t>
      </w:r>
      <w:r w:rsidR="001E363A" w:rsidRPr="003E1EE8">
        <w:t xml:space="preserve">Expression Of Interest </w:t>
      </w:r>
      <w:r w:rsidRPr="003E1EE8">
        <w:t xml:space="preserve">(EOI) (if the EOI is deemed by DTF to be high risk), </w:t>
      </w:r>
      <w:r w:rsidR="001E363A" w:rsidRPr="003E1EE8">
        <w:t xml:space="preserve">Request For Tender </w:t>
      </w:r>
      <w:r w:rsidRPr="003E1EE8">
        <w:t xml:space="preserve">(RFT), evaluation and contract award; and </w:t>
      </w:r>
    </w:p>
    <w:p w14:paraId="3E7663FB" w14:textId="77777777" w:rsidR="00550975" w:rsidRPr="003E1EE8" w:rsidRDefault="00550975" w:rsidP="00367473">
      <w:pPr>
        <w:pStyle w:val="Bulletindent"/>
      </w:pPr>
      <w:r w:rsidRPr="003E1EE8">
        <w:t>project implementation – schedule, budget, scope, governance and risk assessments.</w:t>
      </w:r>
    </w:p>
    <w:p w14:paraId="71FBFD64" w14:textId="73ED4AA6" w:rsidR="00FC5CA0" w:rsidRPr="003E1EE8" w:rsidRDefault="00FC5CA0" w:rsidP="007C4728">
      <w:pPr>
        <w:pStyle w:val="NormalIndent"/>
        <w:keepNext/>
      </w:pPr>
      <w:r w:rsidRPr="003E1EE8">
        <w:t xml:space="preserve">The HVHR Project Assurance Framework in </w:t>
      </w:r>
      <w:r w:rsidR="00E03892">
        <w:fldChar w:fldCharType="begin"/>
      </w:r>
      <w:r w:rsidR="00E03892">
        <w:instrText xml:space="preserve"> REF _Ref25934977 \h </w:instrText>
      </w:r>
      <w:r w:rsidR="00E03892">
        <w:fldChar w:fldCharType="separate"/>
      </w:r>
      <w:r w:rsidR="00661A02" w:rsidRPr="003E1EE8">
        <w:t xml:space="preserve">Figure </w:t>
      </w:r>
      <w:r w:rsidR="00661A02">
        <w:rPr>
          <w:noProof/>
        </w:rPr>
        <w:t>7</w:t>
      </w:r>
      <w:r w:rsidR="00E03892">
        <w:fldChar w:fldCharType="end"/>
      </w:r>
      <w:r w:rsidR="00E03892">
        <w:t xml:space="preserve"> </w:t>
      </w:r>
      <w:r w:rsidRPr="003E1EE8">
        <w:t>outlines the project assurance process for HVHR investments.</w:t>
      </w:r>
    </w:p>
    <w:p w14:paraId="62B08C64" w14:textId="2EFA890D" w:rsidR="00FC5CA0" w:rsidRPr="003E1EE8" w:rsidRDefault="00FC5CA0" w:rsidP="00367473">
      <w:pPr>
        <w:pStyle w:val="NormalIndent"/>
      </w:pPr>
      <w:r w:rsidRPr="003E1EE8">
        <w:t>The level of DTF or OPV involvement will vary for each project. The Project Assurance Plan (PAP) requires DTF, in consultation with departments, to assess project risks at each stage and determine whether there is a case for exemption from certain project assurance functions or whether there are additional functions (above the standard set) that should apply.</w:t>
      </w:r>
    </w:p>
    <w:p w14:paraId="74D4D507" w14:textId="56CFB057" w:rsidR="009108D3" w:rsidRPr="003E1EE8" w:rsidRDefault="009108D3" w:rsidP="008B27D6">
      <w:pPr>
        <w:pStyle w:val="Caption"/>
        <w:ind w:left="792"/>
      </w:pPr>
      <w:bookmarkStart w:id="143" w:name="_Ref25934977"/>
      <w:bookmarkStart w:id="144" w:name="_Ref25063428"/>
      <w:r w:rsidRPr="003E1EE8">
        <w:lastRenderedPageBreak/>
        <w:t xml:space="preserve">Figure </w:t>
      </w:r>
      <w:fldSimple w:instr=" SEQ Figure \* ARABIC ">
        <w:r w:rsidR="00661A02">
          <w:rPr>
            <w:noProof/>
          </w:rPr>
          <w:t>7</w:t>
        </w:r>
      </w:fldSimple>
      <w:bookmarkEnd w:id="143"/>
      <w:r w:rsidRPr="003E1EE8">
        <w:t xml:space="preserve">: HVHR </w:t>
      </w:r>
      <w:r w:rsidR="008B27D6" w:rsidRPr="003E1EE8">
        <w:t>project assurance</w:t>
      </w:r>
      <w:bookmarkEnd w:id="144"/>
    </w:p>
    <w:bookmarkStart w:id="145" w:name="_GoBack"/>
    <w:p w14:paraId="1BFDB496" w14:textId="7E030FC9" w:rsidR="00572677" w:rsidRPr="003E1EE8" w:rsidRDefault="00473A1F" w:rsidP="00572677">
      <w:pPr>
        <w:pStyle w:val="NormalIndent"/>
      </w:pPr>
      <w:r>
        <w:object w:dxaOrig="11280" w:dyaOrig="11790" w14:anchorId="6BB7E055">
          <v:shape id="_x0000_i1029" type="#_x0000_t75" style="width:444pt;height:462.75pt" o:ole="">
            <v:imagedata r:id="rId47" o:title=""/>
          </v:shape>
          <o:OLEObject Type="Embed" ProgID="Visio.Drawing.15" ShapeID="_x0000_i1029" DrawAspect="Content" ObjectID="_1636959353" r:id="rId48"/>
        </w:object>
      </w:r>
      <w:bookmarkEnd w:id="145"/>
    </w:p>
    <w:p w14:paraId="64D77DCE" w14:textId="77777777" w:rsidR="00E03892" w:rsidRDefault="00E03892">
      <w:pPr>
        <w:keepLines w:val="0"/>
        <w:spacing w:after="160" w:line="264" w:lineRule="auto"/>
        <w:rPr>
          <w:rFonts w:asciiTheme="majorHAnsi" w:eastAsiaTheme="majorEastAsia" w:hAnsiTheme="majorHAnsi" w:cstheme="majorBidi"/>
          <w:b/>
          <w:bCs/>
          <w:color w:val="53565A" w:themeColor="text2"/>
          <w:sz w:val="22"/>
          <w:szCs w:val="22"/>
        </w:rPr>
      </w:pPr>
      <w:r>
        <w:br w:type="page"/>
      </w:r>
    </w:p>
    <w:p w14:paraId="28C0D992" w14:textId="0855F653" w:rsidR="00FB5E4B" w:rsidRPr="003E1EE8" w:rsidRDefault="00FB5E4B" w:rsidP="00367473">
      <w:pPr>
        <w:pStyle w:val="Heading3numbered"/>
      </w:pPr>
      <w:r w:rsidRPr="003E1EE8">
        <w:lastRenderedPageBreak/>
        <w:t>Project governance for HVHR projects</w:t>
      </w:r>
    </w:p>
    <w:p w14:paraId="096779B4" w14:textId="44FC5326" w:rsidR="00C7388F" w:rsidRPr="003E1EE8" w:rsidRDefault="005567AB" w:rsidP="00367473">
      <w:pPr>
        <w:pStyle w:val="NormalIndent"/>
      </w:pPr>
      <w:r w:rsidRPr="003E1EE8">
        <w:t xml:space="preserve">A Senior Responsible Owner (SRO) </w:t>
      </w:r>
      <w:r w:rsidR="00A32B6F" w:rsidRPr="003E1EE8">
        <w:t xml:space="preserve">must </w:t>
      </w:r>
      <w:r w:rsidRPr="003E1EE8">
        <w:t xml:space="preserve">be appointed for </w:t>
      </w:r>
      <w:r w:rsidR="005155F5" w:rsidRPr="003E1EE8">
        <w:t xml:space="preserve">all </w:t>
      </w:r>
      <w:r w:rsidRPr="003E1EE8">
        <w:t>HVHR projects</w:t>
      </w:r>
      <w:r w:rsidR="00A32B6F" w:rsidRPr="003E1EE8">
        <w:t xml:space="preserve"> and is the person responsible for the project or program.</w:t>
      </w:r>
      <w:r w:rsidR="00C2517C" w:rsidRPr="003E1EE8">
        <w:t xml:space="preserve"> </w:t>
      </w:r>
      <w:r w:rsidR="00EF5D61" w:rsidRPr="003E1EE8">
        <w:t xml:space="preserve">Appointed SROs have appropriate responsibility for overseeing the delivery of the project and transitioning the project into operation. </w:t>
      </w:r>
      <w:r w:rsidR="00C2517C" w:rsidRPr="003E1EE8">
        <w:t>This is also important where an asset is handed back from an agency to the department upon completion of the project or program, and where the delivery SRO is no longer responsible for monitoring and evaluating the benefits.</w:t>
      </w:r>
    </w:p>
    <w:p w14:paraId="61B4A2B0" w14:textId="27FE7324" w:rsidR="005567AB" w:rsidRPr="003E1EE8" w:rsidRDefault="00C2517C" w:rsidP="00367473">
      <w:pPr>
        <w:pStyle w:val="NormalIndent"/>
      </w:pPr>
      <w:r w:rsidRPr="003E1EE8">
        <w:t>The</w:t>
      </w:r>
      <w:r w:rsidR="005567AB" w:rsidRPr="003E1EE8">
        <w:t xml:space="preserve"> department </w:t>
      </w:r>
      <w:r w:rsidRPr="003E1EE8">
        <w:t xml:space="preserve">can </w:t>
      </w:r>
      <w:r w:rsidR="005567AB" w:rsidRPr="003E1EE8">
        <w:t xml:space="preserve">identify an additional </w:t>
      </w:r>
      <w:r w:rsidR="00C7388F" w:rsidRPr="003E1EE8">
        <w:t xml:space="preserve">departmental </w:t>
      </w:r>
      <w:r w:rsidR="005567AB" w:rsidRPr="003E1EE8">
        <w:t xml:space="preserve">SRO with an appropriate level of responsibility </w:t>
      </w:r>
      <w:r w:rsidRPr="003E1EE8">
        <w:t>for delivery outcomes</w:t>
      </w:r>
      <w:r w:rsidR="005567AB" w:rsidRPr="003E1EE8">
        <w:t xml:space="preserve">. </w:t>
      </w:r>
    </w:p>
    <w:p w14:paraId="69D231E5" w14:textId="58002F7B" w:rsidR="00ED6C63" w:rsidRPr="003E1EE8" w:rsidRDefault="00ED6C63" w:rsidP="00367473">
      <w:pPr>
        <w:pStyle w:val="NormalIndent"/>
      </w:pPr>
      <w:r w:rsidRPr="003E1EE8">
        <w:t>It is expected that departments will involve DTF in its</w:t>
      </w:r>
      <w:r w:rsidR="00331006" w:rsidRPr="003E1EE8">
        <w:t xml:space="preserve"> business case</w:t>
      </w:r>
      <w:r w:rsidRPr="003E1EE8">
        <w:t xml:space="preserve"> preparation, for example through workshops to complete the </w:t>
      </w:r>
      <w:r w:rsidR="002F2E09" w:rsidRPr="003E1EE8">
        <w:t xml:space="preserve">investment logic map </w:t>
      </w:r>
      <w:r w:rsidRPr="003E1EE8">
        <w:t>and Benefit Management Plan, and in any ongoing meetings</w:t>
      </w:r>
      <w:r w:rsidR="00331006" w:rsidRPr="003E1EE8">
        <w:t>,</w:t>
      </w:r>
      <w:r w:rsidRPr="003E1EE8">
        <w:t xml:space="preserve"> such as </w:t>
      </w:r>
      <w:r w:rsidR="00331006" w:rsidRPr="003E1EE8">
        <w:t>p</w:t>
      </w:r>
      <w:r w:rsidRPr="003E1EE8">
        <w:t xml:space="preserve">roject </w:t>
      </w:r>
      <w:r w:rsidR="00331006" w:rsidRPr="003E1EE8">
        <w:t>s</w:t>
      </w:r>
      <w:r w:rsidRPr="003E1EE8">
        <w:t xml:space="preserve">teering </w:t>
      </w:r>
      <w:r w:rsidR="00331006" w:rsidRPr="003E1EE8">
        <w:t>c</w:t>
      </w:r>
      <w:r w:rsidRPr="003E1EE8">
        <w:t>ommittee</w:t>
      </w:r>
      <w:r w:rsidR="00331006" w:rsidRPr="003E1EE8">
        <w:t xml:space="preserve"> meetings</w:t>
      </w:r>
      <w:r w:rsidRPr="003E1EE8">
        <w:t>.</w:t>
      </w:r>
    </w:p>
    <w:p w14:paraId="0DA87F6B" w14:textId="490BD407" w:rsidR="002C27AF" w:rsidRPr="003E1EE8" w:rsidRDefault="00C7388F" w:rsidP="00367473">
      <w:pPr>
        <w:pStyle w:val="NormalIndent"/>
        <w:rPr>
          <w:rFonts w:asciiTheme="majorHAnsi" w:eastAsiaTheme="majorEastAsia" w:hAnsiTheme="majorHAnsi" w:cstheme="majorBidi"/>
          <w:bCs/>
          <w:color w:val="53565A" w:themeColor="text2"/>
          <w:spacing w:val="-2"/>
          <w:sz w:val="24"/>
          <w:szCs w:val="26"/>
        </w:rPr>
      </w:pPr>
      <w:r w:rsidRPr="003E1EE8">
        <w:t xml:space="preserve">Further guidance is provided in the </w:t>
      </w:r>
      <w:r w:rsidR="00197997" w:rsidRPr="003E1EE8">
        <w:rPr>
          <w:b/>
          <w:color w:val="004EA8" w:themeColor="accent2"/>
        </w:rPr>
        <w:t xml:space="preserve">Project </w:t>
      </w:r>
      <w:r w:rsidRPr="003E1EE8">
        <w:rPr>
          <w:b/>
          <w:color w:val="004EA8" w:themeColor="accent2"/>
        </w:rPr>
        <w:t>Governance</w:t>
      </w:r>
      <w:r w:rsidRPr="003E1EE8">
        <w:rPr>
          <w:color w:val="004EA8" w:themeColor="accent2"/>
        </w:rPr>
        <w:t xml:space="preserve"> </w:t>
      </w:r>
      <w:r w:rsidRPr="003E1EE8">
        <w:t xml:space="preserve">technical </w:t>
      </w:r>
      <w:r w:rsidR="00197997" w:rsidRPr="003E1EE8">
        <w:t>guide</w:t>
      </w:r>
      <w:r w:rsidRPr="003E1EE8">
        <w:t>.</w:t>
      </w:r>
    </w:p>
    <w:p w14:paraId="142CEEA3" w14:textId="77777777" w:rsidR="002C27AF" w:rsidRPr="003E1EE8" w:rsidRDefault="002C27AF" w:rsidP="00367473">
      <w:pPr>
        <w:pStyle w:val="Heading3numbered"/>
      </w:pPr>
      <w:r w:rsidRPr="003E1EE8">
        <w:t xml:space="preserve">Information and communications technology </w:t>
      </w:r>
    </w:p>
    <w:p w14:paraId="1ACB90A0" w14:textId="51EA4B3E" w:rsidR="00C7388F" w:rsidRPr="003E1EE8" w:rsidRDefault="00C7388F" w:rsidP="00367473">
      <w:pPr>
        <w:pStyle w:val="NormalIndent"/>
      </w:pPr>
      <w:r w:rsidRPr="003E1EE8">
        <w:t xml:space="preserve">The Guidelines </w:t>
      </w:r>
      <w:r w:rsidR="002C27AF" w:rsidRPr="003E1EE8">
        <w:t xml:space="preserve">support the development of robust business cases and delivery of </w:t>
      </w:r>
      <w:r w:rsidR="00275B0D" w:rsidRPr="003E1EE8">
        <w:t>p</w:t>
      </w:r>
      <w:r w:rsidR="002C27AF" w:rsidRPr="003E1EE8">
        <w:t>rojects</w:t>
      </w:r>
      <w:r w:rsidR="00275B0D" w:rsidRPr="003E1EE8">
        <w:t xml:space="preserve"> with an ICT component</w:t>
      </w:r>
      <w:r w:rsidR="002C27AF" w:rsidRPr="003E1EE8">
        <w:t xml:space="preserve">. However, there are some </w:t>
      </w:r>
      <w:r w:rsidRPr="003E1EE8">
        <w:t xml:space="preserve">specific considerations </w:t>
      </w:r>
      <w:r w:rsidR="00FB2A78" w:rsidRPr="003E1EE8">
        <w:t xml:space="preserve">for </w:t>
      </w:r>
      <w:r w:rsidR="002C27AF" w:rsidRPr="003E1EE8">
        <w:t>ICT projects</w:t>
      </w:r>
      <w:r w:rsidR="00275B0D" w:rsidRPr="003E1EE8">
        <w:t>, as they are a special-case HVHR category</w:t>
      </w:r>
      <w:r w:rsidR="002C27AF" w:rsidRPr="003E1EE8">
        <w:t xml:space="preserve">. </w:t>
      </w:r>
    </w:p>
    <w:p w14:paraId="23734773" w14:textId="77777777" w:rsidR="002C27AF" w:rsidRPr="003E1EE8" w:rsidRDefault="002C27AF" w:rsidP="00367473">
      <w:pPr>
        <w:pStyle w:val="NormalIndent"/>
      </w:pPr>
      <w:r w:rsidRPr="003E1EE8">
        <w:t xml:space="preserve">Many ICT-enabled projects experience significant cost overruns and time delays. These issues are commonly driven by: </w:t>
      </w:r>
    </w:p>
    <w:p w14:paraId="1888C306" w14:textId="0341A38F" w:rsidR="002C27AF" w:rsidRPr="003E1EE8" w:rsidRDefault="002C27AF" w:rsidP="00367473">
      <w:pPr>
        <w:pStyle w:val="Bulletindent"/>
      </w:pPr>
      <w:r w:rsidRPr="003E1EE8">
        <w:t xml:space="preserve">underdeveloped business cases; </w:t>
      </w:r>
    </w:p>
    <w:p w14:paraId="51AE7227" w14:textId="77777777" w:rsidR="002C27AF" w:rsidRPr="003E1EE8" w:rsidRDefault="002C27AF" w:rsidP="00367473">
      <w:pPr>
        <w:pStyle w:val="Bulletindent"/>
      </w:pPr>
      <w:r w:rsidRPr="003E1EE8">
        <w:t>poorly scoped projects, resulting in difficulties in estimating cost and insufficient specification of business requirements;</w:t>
      </w:r>
    </w:p>
    <w:p w14:paraId="2C5E2C1E" w14:textId="77777777" w:rsidR="002C27AF" w:rsidRPr="003E1EE8" w:rsidRDefault="002C27AF" w:rsidP="00367473">
      <w:pPr>
        <w:pStyle w:val="Bulletindent"/>
      </w:pPr>
      <w:r w:rsidRPr="003E1EE8">
        <w:t>poor project governance and project management;</w:t>
      </w:r>
    </w:p>
    <w:p w14:paraId="33CF4E98" w14:textId="77777777" w:rsidR="002C27AF" w:rsidRPr="003E1EE8" w:rsidRDefault="002C27AF" w:rsidP="00367473">
      <w:pPr>
        <w:pStyle w:val="Bulletindent"/>
      </w:pPr>
      <w:r w:rsidRPr="003E1EE8">
        <w:t>insufficient engagement with, and commitment from, stakeholders and users in developing or implementing technology solutions and business changes; and</w:t>
      </w:r>
    </w:p>
    <w:p w14:paraId="3306F2F0" w14:textId="21D5618E" w:rsidR="002C27AF" w:rsidRPr="003E1EE8" w:rsidRDefault="002C27AF" w:rsidP="00367473">
      <w:pPr>
        <w:pStyle w:val="Bulletindent"/>
      </w:pPr>
      <w:r w:rsidRPr="003E1EE8">
        <w:t>lack of contingency planning, identification of exit strategies or alternative options and failure to evaluate or exercise these options once a project has commenced.</w:t>
      </w:r>
    </w:p>
    <w:p w14:paraId="15EA0982" w14:textId="77777777" w:rsidR="00013583" w:rsidRPr="003E1EE8" w:rsidRDefault="00013583" w:rsidP="00367473">
      <w:pPr>
        <w:pStyle w:val="NormalIndent"/>
      </w:pPr>
      <w:r w:rsidRPr="003E1EE8">
        <w:t xml:space="preserve">Departments are required to quantify the total or full lifecycle cost and timelines years in advance. This may include deciding between commercial off-the-shelf (COTS) and custom-built products before products are tested, evaluated and compared. </w:t>
      </w:r>
    </w:p>
    <w:p w14:paraId="78C2DAA9" w14:textId="6102D003" w:rsidR="002C27AF" w:rsidRPr="003E1EE8" w:rsidRDefault="00013583" w:rsidP="00367473">
      <w:pPr>
        <w:pStyle w:val="NormalIndent"/>
      </w:pPr>
      <w:r w:rsidRPr="003E1EE8">
        <w:t>However, t</w:t>
      </w:r>
      <w:r w:rsidR="002C27AF" w:rsidRPr="003E1EE8">
        <w:t>raditional budgeting approaches place pressure on departments to make final decisions on ICT-enabled solutions before sufficient detail is available to reliably estimate cost</w:t>
      </w:r>
      <w:r w:rsidRPr="003E1EE8">
        <w:t>s</w:t>
      </w:r>
      <w:r w:rsidR="002C27AF" w:rsidRPr="003E1EE8">
        <w:t xml:space="preserve"> and timelines. </w:t>
      </w:r>
    </w:p>
    <w:p w14:paraId="664B8BBD" w14:textId="7D8E9CC7" w:rsidR="002C27AF" w:rsidRPr="003E1EE8" w:rsidRDefault="002C27AF" w:rsidP="007C4728">
      <w:pPr>
        <w:pStyle w:val="NormalIndent"/>
      </w:pPr>
      <w:r w:rsidRPr="003E1EE8">
        <w:t xml:space="preserve">The fast pace of change in the ICT market also makes </w:t>
      </w:r>
      <w:r w:rsidR="00AC57EB" w:rsidRPr="003E1EE8">
        <w:t xml:space="preserve">estimating </w:t>
      </w:r>
      <w:r w:rsidRPr="003E1EE8">
        <w:t xml:space="preserve">reliable total lifecycle cost difficult, as the detailed understanding and scoping of solutions has not been tested. Often agencies are only able to make informed decisions on technology solutions following detailed engagement with suppliers and as stages of an ICT project are being tested and implemented, rather than years in advance. </w:t>
      </w:r>
    </w:p>
    <w:p w14:paraId="1293F2F8" w14:textId="4AAFD117" w:rsidR="008B074C" w:rsidRPr="003E1EE8" w:rsidRDefault="00AC57EB" w:rsidP="00367473">
      <w:pPr>
        <w:pStyle w:val="NormalIndent"/>
      </w:pPr>
      <w:r w:rsidRPr="003E1EE8">
        <w:lastRenderedPageBreak/>
        <w:t>Refer to t</w:t>
      </w:r>
      <w:r w:rsidR="008B074C" w:rsidRPr="003E1EE8">
        <w:t xml:space="preserve">he </w:t>
      </w:r>
      <w:r w:rsidR="008B074C" w:rsidRPr="003E1EE8">
        <w:rPr>
          <w:b/>
          <w:color w:val="004EA8" w:themeColor="accent2"/>
        </w:rPr>
        <w:t>Developing ICT Investments</w:t>
      </w:r>
      <w:r w:rsidR="008B074C" w:rsidRPr="003E1EE8">
        <w:t xml:space="preserve"> </w:t>
      </w:r>
      <w:r w:rsidR="00FF497D" w:rsidRPr="003E1EE8">
        <w:t xml:space="preserve">and the </w:t>
      </w:r>
      <w:r w:rsidR="00FF497D" w:rsidRPr="003E1EE8">
        <w:rPr>
          <w:b/>
          <w:color w:val="004EA8" w:themeColor="accent2"/>
        </w:rPr>
        <w:t>Procure ICT Projects</w:t>
      </w:r>
      <w:r w:rsidR="00FF497D" w:rsidRPr="003E1EE8">
        <w:rPr>
          <w:color w:val="004EA8" w:themeColor="accent2"/>
        </w:rPr>
        <w:t xml:space="preserve"> </w:t>
      </w:r>
      <w:r w:rsidR="008B074C" w:rsidRPr="003E1EE8">
        <w:t>technical guide</w:t>
      </w:r>
      <w:r w:rsidR="00FF497D" w:rsidRPr="003E1EE8">
        <w:t>s</w:t>
      </w:r>
      <w:r w:rsidR="008B074C" w:rsidRPr="003E1EE8">
        <w:t xml:space="preserve"> for </w:t>
      </w:r>
      <w:r w:rsidRPr="003E1EE8">
        <w:t xml:space="preserve">more information on </w:t>
      </w:r>
      <w:r w:rsidR="008B074C" w:rsidRPr="003E1EE8">
        <w:t>address</w:t>
      </w:r>
      <w:r w:rsidRPr="003E1EE8">
        <w:t>ing</w:t>
      </w:r>
      <w:r w:rsidR="008B074C" w:rsidRPr="003E1EE8">
        <w:t xml:space="preserve"> the additional issues and considerations for </w:t>
      </w:r>
      <w:r w:rsidRPr="003E1EE8">
        <w:t>HVHR ICT</w:t>
      </w:r>
      <w:r w:rsidR="008B074C" w:rsidRPr="003E1EE8">
        <w:t xml:space="preserve"> project</w:t>
      </w:r>
      <w:r w:rsidRPr="003E1EE8">
        <w:t>s</w:t>
      </w:r>
      <w:r w:rsidR="008B074C" w:rsidRPr="003E1EE8">
        <w:t>.</w:t>
      </w:r>
      <w:r w:rsidR="00C2517C" w:rsidRPr="003E1EE8">
        <w:t xml:space="preserve"> </w:t>
      </w:r>
    </w:p>
    <w:p w14:paraId="657A31E8" w14:textId="77777777" w:rsidR="002C27AF" w:rsidRPr="003E1EE8" w:rsidRDefault="002C27AF" w:rsidP="00367473">
      <w:pPr>
        <w:pStyle w:val="Heading3numbered"/>
      </w:pPr>
      <w:r w:rsidRPr="003E1EE8">
        <w:t>Gateway review process</w:t>
      </w:r>
    </w:p>
    <w:p w14:paraId="012E3C13" w14:textId="2DBA885D" w:rsidR="002C27AF" w:rsidRPr="003E1EE8" w:rsidRDefault="002C27AF" w:rsidP="00367473">
      <w:pPr>
        <w:pStyle w:val="NormalIndent"/>
      </w:pPr>
      <w:r w:rsidRPr="003E1EE8">
        <w:t xml:space="preserve">The Gateway review process delivers peer reviews to the project’s SRO at key decision points throughout the investment lifecycle. </w:t>
      </w:r>
    </w:p>
    <w:p w14:paraId="65C34558" w14:textId="2F1000DA" w:rsidR="002C27AF" w:rsidRPr="003E1EE8" w:rsidRDefault="002C27AF" w:rsidP="00367473">
      <w:pPr>
        <w:pStyle w:val="NormalIndent"/>
      </w:pPr>
      <w:r w:rsidRPr="003E1EE8">
        <w:t>The review provides advice on current progress of an investment and assurance that it can proceed successfully to the next stage. The review team also provide</w:t>
      </w:r>
      <w:r w:rsidR="00DE22D4">
        <w:t>s</w:t>
      </w:r>
      <w:r w:rsidRPr="003E1EE8">
        <w:t xml:space="preserve"> an indication regarding </w:t>
      </w:r>
      <w:r w:rsidR="00DE22D4">
        <w:t>its</w:t>
      </w:r>
      <w:r w:rsidR="00DE22D4" w:rsidRPr="003E1EE8">
        <w:t xml:space="preserve"> </w:t>
      </w:r>
      <w:r w:rsidRPr="003E1EE8">
        <w:t>confidence as to the likelihood for successful delivery of the project or program to time, cost and quality parameters.</w:t>
      </w:r>
    </w:p>
    <w:p w14:paraId="0F4833C3" w14:textId="4F53A2FC" w:rsidR="002C27AF" w:rsidRPr="003E1EE8" w:rsidRDefault="002C27AF" w:rsidP="00367473">
      <w:pPr>
        <w:pStyle w:val="NormalIndent"/>
      </w:pPr>
      <w:r w:rsidRPr="003E1EE8">
        <w:t xml:space="preserve">Gateway reviews should be </w:t>
      </w:r>
      <w:r w:rsidR="00B04C01" w:rsidRPr="003E1EE8">
        <w:t xml:space="preserve">considered </w:t>
      </w:r>
      <w:r w:rsidRPr="003E1EE8">
        <w:t>complementary to internal assurance processes, and not a substitute or replacement. The review is not an ‘audit’ and should not be regarded as an alternative to appropriate project and program management. Each review is short and focused on the work that is complete at the time, and is performed shortly before key decisions are made to allow sufficient time for any recommendations to be implemented.</w:t>
      </w:r>
    </w:p>
    <w:p w14:paraId="5FF68945" w14:textId="20F28F3B" w:rsidR="00C03A77" w:rsidRPr="003E1EE8" w:rsidRDefault="00C03A77" w:rsidP="00367473">
      <w:pPr>
        <w:pStyle w:val="NormalIndent"/>
      </w:pPr>
      <w:r w:rsidRPr="003E1EE8">
        <w:t xml:space="preserve">All Gateway reviews are conducted on a confidential basis for the SRO, except for Gate </w:t>
      </w:r>
      <w:r w:rsidR="00D9704C" w:rsidRPr="003E1EE8">
        <w:t>6</w:t>
      </w:r>
      <w:r w:rsidRPr="003E1EE8">
        <w:t xml:space="preserve"> </w:t>
      </w:r>
      <w:r w:rsidR="00A46731" w:rsidRPr="003E1EE8">
        <w:t>(B</w:t>
      </w:r>
      <w:r w:rsidR="00192FB1" w:rsidRPr="003E1EE8">
        <w:t xml:space="preserve">enefits </w:t>
      </w:r>
      <w:r w:rsidR="00A46731" w:rsidRPr="003E1EE8">
        <w:t>E</w:t>
      </w:r>
      <w:r w:rsidR="00192FB1" w:rsidRPr="003E1EE8">
        <w:t>valuation</w:t>
      </w:r>
      <w:r w:rsidR="00A46731" w:rsidRPr="003E1EE8">
        <w:t>)</w:t>
      </w:r>
      <w:r w:rsidR="00D9704C" w:rsidRPr="003E1EE8">
        <w:t xml:space="preserve"> r</w:t>
      </w:r>
      <w:r w:rsidRPr="003E1EE8">
        <w:t xml:space="preserve">eviews, which can be made available to </w:t>
      </w:r>
      <w:r w:rsidR="00B04C01" w:rsidRPr="003E1EE8">
        <w:t>G</w:t>
      </w:r>
      <w:r w:rsidRPr="003E1EE8">
        <w:t xml:space="preserve">overnment. </w:t>
      </w:r>
    </w:p>
    <w:p w14:paraId="0FFCF635" w14:textId="17D62643" w:rsidR="00C03A77" w:rsidRPr="003E1EE8" w:rsidRDefault="00C03A77" w:rsidP="00E03892">
      <w:pPr>
        <w:pStyle w:val="NormalIndent"/>
        <w:ind w:right="-272"/>
      </w:pPr>
      <w:r w:rsidRPr="003E1EE8">
        <w:t xml:space="preserve">The Gateway confidentiality guideline is intended to ensure project owners and their teams can be frank and honest with reviewers without fear of consequence. However, the purpose of Gate </w:t>
      </w:r>
      <w:r w:rsidR="00D9704C" w:rsidRPr="003E1EE8">
        <w:t>6</w:t>
      </w:r>
      <w:r w:rsidR="00AB1CF0" w:rsidRPr="003E1EE8">
        <w:t xml:space="preserve"> </w:t>
      </w:r>
      <w:r w:rsidRPr="003E1EE8">
        <w:t>reviews is to evaluate the effectiveness of projects when delivered</w:t>
      </w:r>
      <w:r w:rsidR="00D9704C" w:rsidRPr="003E1EE8">
        <w:t xml:space="preserve"> – </w:t>
      </w:r>
      <w:r w:rsidRPr="003E1EE8">
        <w:t>a</w:t>
      </w:r>
      <w:r w:rsidR="00D9704C" w:rsidRPr="003E1EE8">
        <w:t xml:space="preserve"> </w:t>
      </w:r>
      <w:r w:rsidRPr="003E1EE8">
        <w:t xml:space="preserve">retrospective look at how the actual project benefits compare to those in the business case. Therefore, the confidentiality requirements for other Gates are not applied for Gate </w:t>
      </w:r>
      <w:r w:rsidR="00D9704C" w:rsidRPr="003E1EE8">
        <w:t xml:space="preserve">6 reviews </w:t>
      </w:r>
      <w:r w:rsidRPr="003E1EE8">
        <w:t xml:space="preserve">and the reports </w:t>
      </w:r>
      <w:r w:rsidR="00D9704C" w:rsidRPr="003E1EE8">
        <w:t>are</w:t>
      </w:r>
      <w:r w:rsidRPr="003E1EE8">
        <w:t xml:space="preserve"> presented to DTF. </w:t>
      </w:r>
    </w:p>
    <w:p w14:paraId="5E2F8F97" w14:textId="61C71E8E" w:rsidR="00747E57" w:rsidRPr="003E1EE8" w:rsidRDefault="002C27AF" w:rsidP="00367473">
      <w:pPr>
        <w:pStyle w:val="NormalIndent"/>
      </w:pPr>
      <w:r w:rsidRPr="003E1EE8">
        <w:t xml:space="preserve">The SRO has ownership of the </w:t>
      </w:r>
      <w:r w:rsidR="00DF583B" w:rsidRPr="003E1EE8">
        <w:t xml:space="preserve">Gateway review </w:t>
      </w:r>
      <w:r w:rsidRPr="003E1EE8">
        <w:t>report</w:t>
      </w:r>
      <w:r w:rsidR="002D20EE" w:rsidRPr="003E1EE8">
        <w:t>s</w:t>
      </w:r>
      <w:r w:rsidRPr="003E1EE8">
        <w:t xml:space="preserve"> and is accountable for the implementation of any recommended remedial action and the progress of the program or project. It is important that the SRO is involved throughout the entire review process to ensure a collaborative, measured outcome.</w:t>
      </w:r>
    </w:p>
    <w:p w14:paraId="61A48A04" w14:textId="57D5BA7B" w:rsidR="002C27AF" w:rsidRPr="003E1EE8" w:rsidRDefault="00B04C01" w:rsidP="00367473">
      <w:pPr>
        <w:pStyle w:val="Heading3numbered"/>
      </w:pPr>
      <w:r w:rsidRPr="003E1EE8">
        <w:t>Project Assurance Review</w:t>
      </w:r>
    </w:p>
    <w:p w14:paraId="0AB1724E" w14:textId="5D97F74C" w:rsidR="00747E57" w:rsidRPr="003E1EE8" w:rsidRDefault="00B04C01" w:rsidP="007C4728">
      <w:pPr>
        <w:pStyle w:val="NormalIndent"/>
        <w:keepNext/>
      </w:pPr>
      <w:r w:rsidRPr="003E1EE8">
        <w:t>Project Assurance Reviews (PARs) are undertaken by a team of public and private sector reviewers and provide timely advice to Government, department</w:t>
      </w:r>
      <w:r w:rsidR="00A46731" w:rsidRPr="003E1EE8">
        <w:t>s</w:t>
      </w:r>
      <w:r w:rsidRPr="003E1EE8">
        <w:t xml:space="preserve"> </w:t>
      </w:r>
      <w:r w:rsidR="00D07231" w:rsidRPr="003E1EE8">
        <w:t>or</w:t>
      </w:r>
      <w:r w:rsidRPr="003E1EE8">
        <w:t xml:space="preserve"> agenc</w:t>
      </w:r>
      <w:r w:rsidR="00A46731" w:rsidRPr="003E1EE8">
        <w:t>ies</w:t>
      </w:r>
      <w:r w:rsidRPr="003E1EE8">
        <w:t xml:space="preserve"> and DTF on a project or program’s progress, objectives, governance and readiness. PARs are designed to improve delivery confidence, reduce ‘scope creep’ and allow a wider stakeholder engagement than other processes may allow. </w:t>
      </w:r>
    </w:p>
    <w:p w14:paraId="547ADCB9" w14:textId="1B93F199" w:rsidR="00747E57" w:rsidRPr="003E1EE8" w:rsidRDefault="00747E57" w:rsidP="00367473">
      <w:pPr>
        <w:pStyle w:val="NormalIndent"/>
      </w:pPr>
      <w:r w:rsidRPr="003E1EE8">
        <w:t xml:space="preserve">PARs </w:t>
      </w:r>
      <w:r w:rsidR="00A46731" w:rsidRPr="003E1EE8">
        <w:t>follow</w:t>
      </w:r>
      <w:r w:rsidRPr="003E1EE8">
        <w:t xml:space="preserve"> bespoke terms of reference developed by DTF</w:t>
      </w:r>
      <w:r w:rsidR="00A46731" w:rsidRPr="003E1EE8">
        <w:t>,</w:t>
      </w:r>
      <w:r w:rsidRPr="003E1EE8">
        <w:t xml:space="preserve"> in consultation with the Office of Projects Victoria and individual project teams. PARs will usually be conducted shortly before a decision point or key milestone is reached or during construction when there is a long period between Gates</w:t>
      </w:r>
      <w:r w:rsidR="00A46731" w:rsidRPr="003E1EE8">
        <w:t xml:space="preserve"> 4</w:t>
      </w:r>
      <w:r w:rsidRPr="003E1EE8">
        <w:t xml:space="preserve"> (Tender Decision) and </w:t>
      </w:r>
      <w:r w:rsidR="00A46731" w:rsidRPr="003E1EE8">
        <w:t>5</w:t>
      </w:r>
      <w:r w:rsidRPr="003E1EE8">
        <w:t xml:space="preserve"> (Readiness for Service). PARs can also be requested by the Treasurer, the responsible minister, department or agency.</w:t>
      </w:r>
    </w:p>
    <w:p w14:paraId="1AAC2982" w14:textId="457E8067" w:rsidR="00AF26E5" w:rsidRPr="003E1EE8" w:rsidRDefault="00747E57" w:rsidP="00367473">
      <w:pPr>
        <w:pStyle w:val="NormalIndent"/>
        <w:rPr>
          <w:rFonts w:asciiTheme="majorHAnsi" w:eastAsiaTheme="majorEastAsia" w:hAnsiTheme="majorHAnsi" w:cstheme="majorBidi"/>
          <w:color w:val="201547" w:themeColor="accent1"/>
          <w:spacing w:val="-2"/>
          <w:sz w:val="28"/>
          <w:szCs w:val="26"/>
        </w:rPr>
      </w:pPr>
      <w:r w:rsidRPr="003E1EE8">
        <w:t>All HVHR ICT projects are required to complete PARs due to the unique risks associated with ICT projects. </w:t>
      </w:r>
    </w:p>
    <w:p w14:paraId="59C11520" w14:textId="77777777" w:rsidR="002A7B5A" w:rsidRPr="003E1EE8" w:rsidRDefault="002A7B5A" w:rsidP="00367473">
      <w:pPr>
        <w:pStyle w:val="Heading2numbered"/>
      </w:pPr>
      <w:bookmarkStart w:id="146" w:name="_Toc25935485"/>
      <w:r w:rsidRPr="003E1EE8">
        <w:lastRenderedPageBreak/>
        <w:t>Design advice and review</w:t>
      </w:r>
      <w:bookmarkEnd w:id="146"/>
    </w:p>
    <w:p w14:paraId="5F544F9B" w14:textId="77777777" w:rsidR="002A7B5A" w:rsidRPr="003E1EE8" w:rsidRDefault="002A7B5A" w:rsidP="007C4728">
      <w:pPr>
        <w:pStyle w:val="Heading3numbered"/>
      </w:pPr>
      <w:r w:rsidRPr="003E1EE8">
        <w:t>Office of the Victorian Government Architect</w:t>
      </w:r>
    </w:p>
    <w:p w14:paraId="407EC520" w14:textId="209D6206" w:rsidR="002A7B5A" w:rsidRPr="003E1EE8" w:rsidRDefault="002A7B5A" w:rsidP="00367473">
      <w:pPr>
        <w:pStyle w:val="NormalIndent"/>
      </w:pPr>
      <w:r w:rsidRPr="003E1EE8">
        <w:t xml:space="preserve">The Office of the Victorian Government Architect (OVGA) provides independent advice to </w:t>
      </w:r>
      <w:r w:rsidR="00FB5A13" w:rsidRPr="003E1EE8">
        <w:t>G</w:t>
      </w:r>
      <w:r w:rsidRPr="003E1EE8">
        <w:t xml:space="preserve">overnment on architecture and urban design, and champions quality of design in the built environment. The OVGA supports public sector clients to embed design quality in their projects from project inception and feasibility stage, including providing assistance with writing the brief, defining the best procurement route, and selecting the right design team to match the brief. </w:t>
      </w:r>
    </w:p>
    <w:p w14:paraId="5A5D31F8" w14:textId="2FD2FFE5" w:rsidR="00980F0B" w:rsidRPr="003E1EE8" w:rsidRDefault="002A7B5A" w:rsidP="00367473">
      <w:pPr>
        <w:pStyle w:val="NormalIndent"/>
      </w:pPr>
      <w:r w:rsidRPr="003E1EE8">
        <w:t>The OVGA also provides support throughout the design development process, offering design review. This is offered by the OVGA in three ways</w:t>
      </w:r>
      <w:r w:rsidR="00DE22D4">
        <w:t>:</w:t>
      </w:r>
      <w:r w:rsidR="00DE22D4" w:rsidRPr="003E1EE8">
        <w:t xml:space="preserve"> </w:t>
      </w:r>
      <w:r w:rsidRPr="003E1EE8">
        <w:t>through the Victorian Design Review Panel</w:t>
      </w:r>
      <w:r w:rsidR="00DE22D4">
        <w:t>;</w:t>
      </w:r>
      <w:r w:rsidR="00DE22D4" w:rsidRPr="003E1EE8">
        <w:t xml:space="preserve"> </w:t>
      </w:r>
      <w:r w:rsidRPr="003E1EE8">
        <w:t>through Design Quality Teams (DQT)</w:t>
      </w:r>
      <w:r w:rsidR="00DE22D4">
        <w:t>;</w:t>
      </w:r>
      <w:r w:rsidRPr="003E1EE8">
        <w:t xml:space="preserve"> and through internal peer review, undertaken by the OVGA team.</w:t>
      </w:r>
      <w:r w:rsidR="00980F0B" w:rsidRPr="003E1EE8">
        <w:t xml:space="preserve"> </w:t>
      </w:r>
    </w:p>
    <w:p w14:paraId="4452CCA9" w14:textId="77777777" w:rsidR="002A7B5A" w:rsidRPr="003E1EE8" w:rsidRDefault="002A7B5A" w:rsidP="007C4728">
      <w:pPr>
        <w:pStyle w:val="Heading3numbered"/>
      </w:pPr>
      <w:r w:rsidRPr="003E1EE8">
        <w:t>Victorian Design Review Panel</w:t>
      </w:r>
    </w:p>
    <w:p w14:paraId="378259DE" w14:textId="6FD366C0" w:rsidR="002A7B5A" w:rsidRPr="003E1EE8" w:rsidRDefault="002A7B5A" w:rsidP="00367473">
      <w:pPr>
        <w:pStyle w:val="NormalIndent"/>
      </w:pPr>
      <w:r w:rsidRPr="003E1EE8">
        <w:t xml:space="preserve">The Victorian Design Review Panel (VDRP) has been established by the OVGA to offer design advice at key stages of the design process through formal independent peer review undertaken by a panel of highly experienced design and development professionals, a specialist technical panel and Government design specialists. The VDRP, the </w:t>
      </w:r>
      <w:r w:rsidR="001E363A" w:rsidRPr="003E1EE8">
        <w:t xml:space="preserve">panel members and the terms of reference </w:t>
      </w:r>
      <w:r w:rsidRPr="003E1EE8">
        <w:t xml:space="preserve">have been endorsed by the Government. The aim of the VDRP is to raise the design quality of proposals, achieve best value and ensure that all opportunities are realised for all Victorians in public projects. </w:t>
      </w:r>
    </w:p>
    <w:p w14:paraId="1EBE77C3" w14:textId="43B50E67" w:rsidR="002A7B5A" w:rsidRPr="003E1EE8" w:rsidRDefault="002A7B5A" w:rsidP="00367473">
      <w:pPr>
        <w:pStyle w:val="NormalIndent"/>
      </w:pPr>
      <w:r w:rsidRPr="003E1EE8">
        <w:t xml:space="preserve">The VDRP offers design review of significant projects that are seeking or have funding from Government. It offers a structured design review process at the earliest stage of the project, during the feasibility and concept phase and then progressively as the design develops. The VDRP is directed and managed through the OVGA and is offered as a free service for Government clients and departments to support the delivery of </w:t>
      </w:r>
      <w:r w:rsidR="00AB1CF0" w:rsidRPr="003E1EE8">
        <w:t>high-quality</w:t>
      </w:r>
      <w:r w:rsidRPr="003E1EE8">
        <w:t xml:space="preserve"> projects. It is advisory only and undertaken in a confidential environment. </w:t>
      </w:r>
    </w:p>
    <w:p w14:paraId="4ED3F7F3" w14:textId="77777777" w:rsidR="00E03892" w:rsidRPr="00E03892" w:rsidRDefault="00E03892" w:rsidP="00E03892">
      <w:bookmarkStart w:id="147" w:name="_Toc6322452"/>
      <w:bookmarkStart w:id="148" w:name="_Toc19714020"/>
      <w:bookmarkStart w:id="149" w:name="_Toc19714869"/>
      <w:bookmarkStart w:id="150" w:name="_Toc19715709"/>
      <w:bookmarkStart w:id="151" w:name="_Toc6322453"/>
      <w:bookmarkStart w:id="152" w:name="_Toc19714021"/>
      <w:bookmarkStart w:id="153" w:name="_Toc19714870"/>
      <w:bookmarkStart w:id="154" w:name="_Toc19715710"/>
      <w:bookmarkStart w:id="155" w:name="_Toc6322454"/>
      <w:bookmarkStart w:id="156" w:name="_Toc19714022"/>
      <w:bookmarkStart w:id="157" w:name="_Toc19714871"/>
      <w:bookmarkStart w:id="158" w:name="_Toc19715711"/>
      <w:bookmarkStart w:id="159" w:name="_Toc6322455"/>
      <w:bookmarkStart w:id="160" w:name="_Toc19714023"/>
      <w:bookmarkStart w:id="161" w:name="_Toc19714872"/>
      <w:bookmarkStart w:id="162" w:name="_Toc19715712"/>
      <w:bookmarkStart w:id="163" w:name="_Toc6322462"/>
      <w:bookmarkStart w:id="164" w:name="_Toc19714030"/>
      <w:bookmarkStart w:id="165" w:name="_Toc19714879"/>
      <w:bookmarkStart w:id="166" w:name="_Toc19715719"/>
      <w:bookmarkStart w:id="167" w:name="_Toc6322463"/>
      <w:bookmarkStart w:id="168" w:name="_Toc19714031"/>
      <w:bookmarkStart w:id="169" w:name="_Toc19714880"/>
      <w:bookmarkStart w:id="170" w:name="_Toc19715720"/>
      <w:bookmarkStart w:id="171" w:name="_Toc6322470"/>
      <w:bookmarkStart w:id="172" w:name="_Toc19714038"/>
      <w:bookmarkStart w:id="173" w:name="_Toc19714887"/>
      <w:bookmarkStart w:id="174" w:name="_Toc19715727"/>
      <w:bookmarkStart w:id="175" w:name="_Toc6322546"/>
      <w:bookmarkStart w:id="176" w:name="_Toc19714114"/>
      <w:bookmarkStart w:id="177" w:name="_Toc19714963"/>
      <w:bookmarkStart w:id="178" w:name="_Toc19715803"/>
      <w:bookmarkStart w:id="179" w:name="_Toc6322553"/>
      <w:bookmarkStart w:id="180" w:name="_Toc19714121"/>
      <w:bookmarkStart w:id="181" w:name="_Toc19714970"/>
      <w:bookmarkStart w:id="182" w:name="_Toc19715810"/>
      <w:bookmarkStart w:id="183" w:name="_Toc6322554"/>
      <w:bookmarkStart w:id="184" w:name="_Toc19714122"/>
      <w:bookmarkStart w:id="185" w:name="_Toc19714971"/>
      <w:bookmarkStart w:id="186" w:name="_Toc19715811"/>
      <w:bookmarkStart w:id="187" w:name="_Toc6322555"/>
      <w:bookmarkStart w:id="188" w:name="_Toc19714123"/>
      <w:bookmarkStart w:id="189" w:name="_Toc19714972"/>
      <w:bookmarkStart w:id="190" w:name="_Toc19715812"/>
      <w:bookmarkStart w:id="191" w:name="_Toc6322556"/>
      <w:bookmarkStart w:id="192" w:name="_Toc19714124"/>
      <w:bookmarkStart w:id="193" w:name="_Toc19714973"/>
      <w:bookmarkStart w:id="194" w:name="_Toc19715813"/>
      <w:bookmarkStart w:id="195" w:name="_Toc6322557"/>
      <w:bookmarkStart w:id="196" w:name="_Toc19714125"/>
      <w:bookmarkStart w:id="197" w:name="_Toc19714974"/>
      <w:bookmarkStart w:id="198" w:name="_Toc19715814"/>
      <w:bookmarkStart w:id="199" w:name="_Toc6322558"/>
      <w:bookmarkStart w:id="200" w:name="_Toc19714126"/>
      <w:bookmarkStart w:id="201" w:name="_Toc19714975"/>
      <w:bookmarkStart w:id="202" w:name="_Toc19715815"/>
      <w:bookmarkStart w:id="203" w:name="_Toc6322559"/>
      <w:bookmarkStart w:id="204" w:name="_Toc19714127"/>
      <w:bookmarkStart w:id="205" w:name="_Toc19714976"/>
      <w:bookmarkStart w:id="206" w:name="_Toc19715816"/>
      <w:bookmarkStart w:id="207" w:name="_Toc6322560"/>
      <w:bookmarkStart w:id="208" w:name="_Toc19714128"/>
      <w:bookmarkStart w:id="209" w:name="_Toc19714977"/>
      <w:bookmarkStart w:id="210" w:name="_Toc19715817"/>
      <w:bookmarkStart w:id="211" w:name="_Toc6322561"/>
      <w:bookmarkStart w:id="212" w:name="_Toc19714129"/>
      <w:bookmarkStart w:id="213" w:name="_Toc19714978"/>
      <w:bookmarkStart w:id="214" w:name="_Toc19715818"/>
      <w:bookmarkStart w:id="215" w:name="_Toc6322562"/>
      <w:bookmarkStart w:id="216" w:name="_Toc19714130"/>
      <w:bookmarkStart w:id="217" w:name="_Toc19714979"/>
      <w:bookmarkStart w:id="218" w:name="_Toc19715819"/>
      <w:bookmarkStart w:id="219" w:name="_Toc6322563"/>
      <w:bookmarkStart w:id="220" w:name="_Toc19714131"/>
      <w:bookmarkStart w:id="221" w:name="_Toc19714980"/>
      <w:bookmarkStart w:id="222" w:name="_Toc19715820"/>
      <w:bookmarkStart w:id="223" w:name="_Toc6322564"/>
      <w:bookmarkStart w:id="224" w:name="_Toc19714132"/>
      <w:bookmarkStart w:id="225" w:name="_Toc19714981"/>
      <w:bookmarkStart w:id="226" w:name="_Toc19715821"/>
      <w:bookmarkStart w:id="227" w:name="_Toc6322565"/>
      <w:bookmarkStart w:id="228" w:name="_Toc19714133"/>
      <w:bookmarkStart w:id="229" w:name="_Toc19714982"/>
      <w:bookmarkStart w:id="230" w:name="_Toc19715822"/>
      <w:bookmarkStart w:id="231" w:name="_Toc6322566"/>
      <w:bookmarkStart w:id="232" w:name="_Toc19714134"/>
      <w:bookmarkStart w:id="233" w:name="_Toc19714983"/>
      <w:bookmarkStart w:id="234" w:name="_Toc19715823"/>
      <w:bookmarkStart w:id="235" w:name="_Toc6322567"/>
      <w:bookmarkStart w:id="236" w:name="_Toc19714135"/>
      <w:bookmarkStart w:id="237" w:name="_Toc19714984"/>
      <w:bookmarkStart w:id="238" w:name="_Toc19715824"/>
      <w:bookmarkStart w:id="239" w:name="_Toc6322574"/>
      <w:bookmarkStart w:id="240" w:name="_Toc19714142"/>
      <w:bookmarkStart w:id="241" w:name="_Toc19714991"/>
      <w:bookmarkStart w:id="242" w:name="_Toc19715831"/>
      <w:bookmarkStart w:id="243" w:name="_Toc6322575"/>
      <w:bookmarkStart w:id="244" w:name="_Toc19714143"/>
      <w:bookmarkStart w:id="245" w:name="_Toc19714992"/>
      <w:bookmarkStart w:id="246" w:name="_Toc19715832"/>
      <w:bookmarkStart w:id="247" w:name="_Toc6322576"/>
      <w:bookmarkStart w:id="248" w:name="_Toc19714144"/>
      <w:bookmarkStart w:id="249" w:name="_Toc19714993"/>
      <w:bookmarkStart w:id="250" w:name="_Toc19715833"/>
      <w:bookmarkStart w:id="251" w:name="_Toc6322577"/>
      <w:bookmarkStart w:id="252" w:name="_Toc19714145"/>
      <w:bookmarkStart w:id="253" w:name="_Toc19714994"/>
      <w:bookmarkStart w:id="254" w:name="_Toc19715834"/>
      <w:bookmarkStart w:id="255" w:name="_Toc6322578"/>
      <w:bookmarkStart w:id="256" w:name="_Toc19714146"/>
      <w:bookmarkStart w:id="257" w:name="_Toc19714995"/>
      <w:bookmarkStart w:id="258" w:name="_Toc19715835"/>
      <w:bookmarkStart w:id="259" w:name="_Toc6322579"/>
      <w:bookmarkStart w:id="260" w:name="_Toc19714147"/>
      <w:bookmarkStart w:id="261" w:name="_Toc19714996"/>
      <w:bookmarkStart w:id="262" w:name="_Toc19715836"/>
      <w:bookmarkStart w:id="263" w:name="_Toc6322580"/>
      <w:bookmarkStart w:id="264" w:name="_Toc19714148"/>
      <w:bookmarkStart w:id="265" w:name="_Toc19714997"/>
      <w:bookmarkStart w:id="266" w:name="_Toc19715837"/>
      <w:bookmarkStart w:id="267" w:name="_Toc6322581"/>
      <w:bookmarkStart w:id="268" w:name="_Toc19714149"/>
      <w:bookmarkStart w:id="269" w:name="_Toc19714998"/>
      <w:bookmarkStart w:id="270" w:name="_Toc19715838"/>
      <w:bookmarkStart w:id="271" w:name="_Toc6322582"/>
      <w:bookmarkStart w:id="272" w:name="_Toc19714150"/>
      <w:bookmarkStart w:id="273" w:name="_Toc19714999"/>
      <w:bookmarkStart w:id="274" w:name="_Toc19715839"/>
      <w:bookmarkStart w:id="275" w:name="_Toc6322583"/>
      <w:bookmarkStart w:id="276" w:name="_Toc19714151"/>
      <w:bookmarkStart w:id="277" w:name="_Toc19715000"/>
      <w:bookmarkStart w:id="278" w:name="_Toc19715840"/>
      <w:bookmarkStart w:id="279" w:name="_Toc6322584"/>
      <w:bookmarkStart w:id="280" w:name="_Toc19714152"/>
      <w:bookmarkStart w:id="281" w:name="_Toc19715001"/>
      <w:bookmarkStart w:id="282" w:name="_Toc19715841"/>
      <w:bookmarkStart w:id="283" w:name="_Toc6322585"/>
      <w:bookmarkStart w:id="284" w:name="_Toc19714153"/>
      <w:bookmarkStart w:id="285" w:name="_Toc19715002"/>
      <w:bookmarkStart w:id="286" w:name="_Toc19715842"/>
      <w:bookmarkStart w:id="287" w:name="_Toc6322600"/>
      <w:bookmarkStart w:id="288" w:name="_Toc19714168"/>
      <w:bookmarkStart w:id="289" w:name="_Toc19715017"/>
      <w:bookmarkStart w:id="290" w:name="_Toc19715857"/>
      <w:bookmarkStart w:id="291" w:name="_Toc6322615"/>
      <w:bookmarkStart w:id="292" w:name="_Toc19714183"/>
      <w:bookmarkStart w:id="293" w:name="_Toc19715032"/>
      <w:bookmarkStart w:id="294" w:name="_Toc19715872"/>
      <w:bookmarkStart w:id="295" w:name="_Toc6322616"/>
      <w:bookmarkStart w:id="296" w:name="_Toc19714184"/>
      <w:bookmarkStart w:id="297" w:name="_Toc19715033"/>
      <w:bookmarkStart w:id="298" w:name="_Toc19715873"/>
      <w:bookmarkStart w:id="299" w:name="_Toc6322617"/>
      <w:bookmarkStart w:id="300" w:name="_Toc19714185"/>
      <w:bookmarkStart w:id="301" w:name="_Toc19715034"/>
      <w:bookmarkStart w:id="302" w:name="_Toc19715874"/>
      <w:bookmarkStart w:id="303" w:name="_Toc6322618"/>
      <w:bookmarkStart w:id="304" w:name="_Toc19714186"/>
      <w:bookmarkStart w:id="305" w:name="_Toc19715035"/>
      <w:bookmarkStart w:id="306" w:name="_Toc19715875"/>
      <w:bookmarkStart w:id="307" w:name="_Toc6322619"/>
      <w:bookmarkStart w:id="308" w:name="_Toc19714187"/>
      <w:bookmarkStart w:id="309" w:name="_Toc19715036"/>
      <w:bookmarkStart w:id="310" w:name="_Toc19715876"/>
      <w:bookmarkStart w:id="311" w:name="_Toc6322620"/>
      <w:bookmarkStart w:id="312" w:name="_Toc19714188"/>
      <w:bookmarkStart w:id="313" w:name="_Toc19715037"/>
      <w:bookmarkStart w:id="314" w:name="_Toc19715877"/>
      <w:bookmarkStart w:id="315" w:name="_Toc6322621"/>
      <w:bookmarkStart w:id="316" w:name="_Toc19714189"/>
      <w:bookmarkStart w:id="317" w:name="_Toc19715038"/>
      <w:bookmarkStart w:id="318" w:name="_Toc19715878"/>
      <w:bookmarkStart w:id="319" w:name="_Toc6322622"/>
      <w:bookmarkStart w:id="320" w:name="_Toc19714190"/>
      <w:bookmarkStart w:id="321" w:name="_Toc19715039"/>
      <w:bookmarkStart w:id="322" w:name="_Toc19715879"/>
      <w:bookmarkStart w:id="323" w:name="_Toc6322623"/>
      <w:bookmarkStart w:id="324" w:name="_Toc19714191"/>
      <w:bookmarkStart w:id="325" w:name="_Toc19715040"/>
      <w:bookmarkStart w:id="326" w:name="_Toc19715880"/>
      <w:bookmarkStart w:id="327" w:name="_Toc6322624"/>
      <w:bookmarkStart w:id="328" w:name="_Toc19714192"/>
      <w:bookmarkStart w:id="329" w:name="_Toc19715041"/>
      <w:bookmarkStart w:id="330" w:name="_Toc19715881"/>
      <w:bookmarkStart w:id="331" w:name="_Toc6322625"/>
      <w:bookmarkStart w:id="332" w:name="_Toc19714193"/>
      <w:bookmarkStart w:id="333" w:name="_Toc19715042"/>
      <w:bookmarkStart w:id="334" w:name="_Toc19715882"/>
      <w:bookmarkStart w:id="335" w:name="_Toc6322626"/>
      <w:bookmarkStart w:id="336" w:name="_Toc19714194"/>
      <w:bookmarkStart w:id="337" w:name="_Toc19715043"/>
      <w:bookmarkStart w:id="338" w:name="_Toc19715883"/>
      <w:bookmarkStart w:id="339" w:name="_Toc6322627"/>
      <w:bookmarkStart w:id="340" w:name="_Toc19714195"/>
      <w:bookmarkStart w:id="341" w:name="_Toc19715044"/>
      <w:bookmarkStart w:id="342" w:name="_Toc19715884"/>
      <w:bookmarkStart w:id="343" w:name="_Toc6322628"/>
      <w:bookmarkStart w:id="344" w:name="_Toc19714196"/>
      <w:bookmarkStart w:id="345" w:name="_Toc19715045"/>
      <w:bookmarkStart w:id="346" w:name="_Toc19715885"/>
      <w:bookmarkStart w:id="347" w:name="_Toc6322629"/>
      <w:bookmarkStart w:id="348" w:name="_Toc19714197"/>
      <w:bookmarkStart w:id="349" w:name="_Toc19715046"/>
      <w:bookmarkStart w:id="350" w:name="_Toc19715886"/>
      <w:bookmarkStart w:id="351" w:name="_Toc6322630"/>
      <w:bookmarkStart w:id="352" w:name="_Toc19714198"/>
      <w:bookmarkStart w:id="353" w:name="_Toc19715047"/>
      <w:bookmarkStart w:id="354" w:name="_Toc19715887"/>
      <w:bookmarkStart w:id="355" w:name="_Toc6322631"/>
      <w:bookmarkStart w:id="356" w:name="_Toc19714199"/>
      <w:bookmarkStart w:id="357" w:name="_Toc19715048"/>
      <w:bookmarkStart w:id="358" w:name="_Toc19715888"/>
      <w:bookmarkStart w:id="359" w:name="_Toc6322632"/>
      <w:bookmarkStart w:id="360" w:name="_Toc19714200"/>
      <w:bookmarkStart w:id="361" w:name="_Toc19715049"/>
      <w:bookmarkStart w:id="362" w:name="_Toc19715889"/>
      <w:bookmarkStart w:id="363" w:name="_Toc6322633"/>
      <w:bookmarkStart w:id="364" w:name="_Toc19714201"/>
      <w:bookmarkStart w:id="365" w:name="_Toc19715050"/>
      <w:bookmarkStart w:id="366" w:name="_Toc19715890"/>
      <w:bookmarkStart w:id="367" w:name="_Toc6322634"/>
      <w:bookmarkStart w:id="368" w:name="_Toc19714202"/>
      <w:bookmarkStart w:id="369" w:name="_Toc19715051"/>
      <w:bookmarkStart w:id="370" w:name="_Toc19715891"/>
      <w:bookmarkStart w:id="371" w:name="_Toc6322635"/>
      <w:bookmarkStart w:id="372" w:name="_Toc19714203"/>
      <w:bookmarkStart w:id="373" w:name="_Toc19715052"/>
      <w:bookmarkStart w:id="374" w:name="_Toc19715892"/>
      <w:bookmarkStart w:id="375" w:name="_Toc6322636"/>
      <w:bookmarkStart w:id="376" w:name="_Toc19714204"/>
      <w:bookmarkStart w:id="377" w:name="_Toc19715053"/>
      <w:bookmarkStart w:id="378" w:name="_Toc19715893"/>
      <w:bookmarkStart w:id="379" w:name="_Toc6322640"/>
      <w:bookmarkStart w:id="380" w:name="_Toc19714208"/>
      <w:bookmarkStart w:id="381" w:name="_Toc19715057"/>
      <w:bookmarkStart w:id="382" w:name="_Toc19715897"/>
      <w:bookmarkStart w:id="383" w:name="_Toc6322641"/>
      <w:bookmarkStart w:id="384" w:name="_Toc19714209"/>
      <w:bookmarkStart w:id="385" w:name="_Toc19715058"/>
      <w:bookmarkStart w:id="386" w:name="_Toc19715898"/>
      <w:bookmarkStart w:id="387" w:name="_Toc6322642"/>
      <w:bookmarkStart w:id="388" w:name="_Toc19714210"/>
      <w:bookmarkStart w:id="389" w:name="_Toc19715059"/>
      <w:bookmarkStart w:id="390" w:name="_Toc19715899"/>
      <w:bookmarkStart w:id="391" w:name="_Toc6322643"/>
      <w:bookmarkStart w:id="392" w:name="_Toc19714211"/>
      <w:bookmarkStart w:id="393" w:name="_Toc19715060"/>
      <w:bookmarkStart w:id="394" w:name="_Toc19715900"/>
      <w:bookmarkStart w:id="395" w:name="_Toc6322644"/>
      <w:bookmarkStart w:id="396" w:name="_Toc19714212"/>
      <w:bookmarkStart w:id="397" w:name="_Toc19715061"/>
      <w:bookmarkStart w:id="398" w:name="_Toc19715901"/>
      <w:bookmarkStart w:id="399" w:name="_Toc6322645"/>
      <w:bookmarkStart w:id="400" w:name="_Toc19714213"/>
      <w:bookmarkStart w:id="401" w:name="_Toc19715062"/>
      <w:bookmarkStart w:id="402" w:name="_Toc19715902"/>
      <w:bookmarkStart w:id="403" w:name="_Toc6322646"/>
      <w:bookmarkStart w:id="404" w:name="_Toc19714214"/>
      <w:bookmarkStart w:id="405" w:name="_Toc19715063"/>
      <w:bookmarkStart w:id="406" w:name="_Toc19715903"/>
      <w:bookmarkStart w:id="407" w:name="_Toc6322647"/>
      <w:bookmarkStart w:id="408" w:name="_Toc19714215"/>
      <w:bookmarkStart w:id="409" w:name="_Toc19715064"/>
      <w:bookmarkStart w:id="410" w:name="_Toc19715904"/>
      <w:bookmarkStart w:id="411" w:name="_Toc6322648"/>
      <w:bookmarkStart w:id="412" w:name="_Toc19714216"/>
      <w:bookmarkStart w:id="413" w:name="_Toc19715065"/>
      <w:bookmarkStart w:id="414" w:name="_Toc19715905"/>
      <w:bookmarkStart w:id="415" w:name="_Toc6322649"/>
      <w:bookmarkStart w:id="416" w:name="_Toc19714217"/>
      <w:bookmarkStart w:id="417" w:name="_Toc19715066"/>
      <w:bookmarkStart w:id="418" w:name="_Toc19715906"/>
      <w:bookmarkStart w:id="419" w:name="_Toc6322650"/>
      <w:bookmarkStart w:id="420" w:name="_Toc19714218"/>
      <w:bookmarkStart w:id="421" w:name="_Toc19715067"/>
      <w:bookmarkStart w:id="422" w:name="_Toc19715907"/>
      <w:bookmarkStart w:id="423" w:name="_Toc6322651"/>
      <w:bookmarkStart w:id="424" w:name="_Toc19714219"/>
      <w:bookmarkStart w:id="425" w:name="_Toc19715068"/>
      <w:bookmarkStart w:id="426" w:name="_Toc19715908"/>
      <w:bookmarkStart w:id="427" w:name="_Toc6322652"/>
      <w:bookmarkStart w:id="428" w:name="_Toc19714220"/>
      <w:bookmarkStart w:id="429" w:name="_Toc19715069"/>
      <w:bookmarkStart w:id="430" w:name="_Toc19715909"/>
      <w:bookmarkStart w:id="431" w:name="_Toc6322653"/>
      <w:bookmarkStart w:id="432" w:name="_Toc19714221"/>
      <w:bookmarkStart w:id="433" w:name="_Toc19715070"/>
      <w:bookmarkStart w:id="434" w:name="_Toc19715910"/>
      <w:bookmarkStart w:id="435" w:name="_Toc6322654"/>
      <w:bookmarkStart w:id="436" w:name="_Toc19714222"/>
      <w:bookmarkStart w:id="437" w:name="_Toc19715071"/>
      <w:bookmarkStart w:id="438" w:name="_Toc19715911"/>
      <w:bookmarkStart w:id="439" w:name="_Toc6322655"/>
      <w:bookmarkStart w:id="440" w:name="_Toc19714223"/>
      <w:bookmarkStart w:id="441" w:name="_Toc19715072"/>
      <w:bookmarkStart w:id="442" w:name="_Toc19715912"/>
      <w:bookmarkStart w:id="443" w:name="_Toc6322656"/>
      <w:bookmarkStart w:id="444" w:name="_Toc19714224"/>
      <w:bookmarkStart w:id="445" w:name="_Toc19715073"/>
      <w:bookmarkStart w:id="446" w:name="_Toc19715913"/>
      <w:bookmarkStart w:id="447" w:name="_Toc6322657"/>
      <w:bookmarkStart w:id="448" w:name="_Toc19714225"/>
      <w:bookmarkStart w:id="449" w:name="_Toc19715074"/>
      <w:bookmarkStart w:id="450" w:name="_Toc19715914"/>
      <w:bookmarkStart w:id="451" w:name="_Toc6322658"/>
      <w:bookmarkStart w:id="452" w:name="_Toc19714226"/>
      <w:bookmarkStart w:id="453" w:name="_Toc19715075"/>
      <w:bookmarkStart w:id="454" w:name="_Toc19715915"/>
      <w:bookmarkStart w:id="455" w:name="_Toc6322659"/>
      <w:bookmarkStart w:id="456" w:name="_Toc19714227"/>
      <w:bookmarkStart w:id="457" w:name="_Toc19715076"/>
      <w:bookmarkStart w:id="458" w:name="_Toc19715916"/>
      <w:bookmarkStart w:id="459" w:name="_Toc6322660"/>
      <w:bookmarkStart w:id="460" w:name="_Toc19714228"/>
      <w:bookmarkStart w:id="461" w:name="_Toc19715077"/>
      <w:bookmarkStart w:id="462" w:name="_Toc19715917"/>
      <w:bookmarkStart w:id="463" w:name="_Toc6322661"/>
      <w:bookmarkStart w:id="464" w:name="_Toc19714229"/>
      <w:bookmarkStart w:id="465" w:name="_Toc19715078"/>
      <w:bookmarkStart w:id="466" w:name="_Toc19715918"/>
      <w:bookmarkStart w:id="467" w:name="_Toc6322662"/>
      <w:bookmarkStart w:id="468" w:name="_Toc19714230"/>
      <w:bookmarkStart w:id="469" w:name="_Toc19715079"/>
      <w:bookmarkStart w:id="470" w:name="_Toc19715919"/>
      <w:bookmarkStart w:id="471" w:name="_Toc6322663"/>
      <w:bookmarkStart w:id="472" w:name="_Toc19714231"/>
      <w:bookmarkStart w:id="473" w:name="_Toc19715080"/>
      <w:bookmarkStart w:id="474" w:name="_Toc19715920"/>
      <w:bookmarkStart w:id="475" w:name="_Toc6322664"/>
      <w:bookmarkStart w:id="476" w:name="_Toc19714232"/>
      <w:bookmarkStart w:id="477" w:name="_Toc19715081"/>
      <w:bookmarkStart w:id="478" w:name="_Toc19715921"/>
      <w:bookmarkStart w:id="479" w:name="_Toc6322665"/>
      <w:bookmarkStart w:id="480" w:name="_Toc19714233"/>
      <w:bookmarkStart w:id="481" w:name="_Toc19715082"/>
      <w:bookmarkStart w:id="482" w:name="_Toc19715922"/>
      <w:bookmarkStart w:id="483" w:name="_Toc6322666"/>
      <w:bookmarkStart w:id="484" w:name="_Toc19714234"/>
      <w:bookmarkStart w:id="485" w:name="_Toc19715083"/>
      <w:bookmarkStart w:id="486" w:name="_Toc19715923"/>
      <w:bookmarkStart w:id="487" w:name="_Toc6322667"/>
      <w:bookmarkStart w:id="488" w:name="_Toc19714235"/>
      <w:bookmarkStart w:id="489" w:name="_Toc19715084"/>
      <w:bookmarkStart w:id="490" w:name="_Toc19715924"/>
      <w:bookmarkStart w:id="491" w:name="_Toc6322668"/>
      <w:bookmarkStart w:id="492" w:name="_Toc19714236"/>
      <w:bookmarkStart w:id="493" w:name="_Toc19715085"/>
      <w:bookmarkStart w:id="494" w:name="_Toc19715925"/>
      <w:bookmarkStart w:id="495" w:name="_Toc6322669"/>
      <w:bookmarkStart w:id="496" w:name="_Toc19714237"/>
      <w:bookmarkStart w:id="497" w:name="_Toc19715086"/>
      <w:bookmarkStart w:id="498" w:name="_Toc19715926"/>
      <w:bookmarkStart w:id="499" w:name="_Toc6322670"/>
      <w:bookmarkStart w:id="500" w:name="_Toc19714238"/>
      <w:bookmarkStart w:id="501" w:name="_Toc19715087"/>
      <w:bookmarkStart w:id="502" w:name="_Toc19715927"/>
      <w:bookmarkStart w:id="503" w:name="_Toc6322671"/>
      <w:bookmarkStart w:id="504" w:name="_Toc19714239"/>
      <w:bookmarkStart w:id="505" w:name="_Toc19715088"/>
      <w:bookmarkStart w:id="506" w:name="_Toc19715928"/>
      <w:bookmarkStart w:id="507" w:name="_Toc6322672"/>
      <w:bookmarkStart w:id="508" w:name="_Toc19714240"/>
      <w:bookmarkStart w:id="509" w:name="_Toc19715089"/>
      <w:bookmarkStart w:id="510" w:name="_Toc19715929"/>
      <w:bookmarkStart w:id="511" w:name="_Toc6322673"/>
      <w:bookmarkStart w:id="512" w:name="_Toc19714241"/>
      <w:bookmarkStart w:id="513" w:name="_Toc19715090"/>
      <w:bookmarkStart w:id="514" w:name="_Toc19715930"/>
      <w:bookmarkStart w:id="515" w:name="_Toc6322674"/>
      <w:bookmarkStart w:id="516" w:name="_Toc19714242"/>
      <w:bookmarkStart w:id="517" w:name="_Toc19715091"/>
      <w:bookmarkStart w:id="518" w:name="_Toc19715931"/>
      <w:bookmarkStart w:id="519" w:name="_Toc6322675"/>
      <w:bookmarkStart w:id="520" w:name="_Toc19714243"/>
      <w:bookmarkStart w:id="521" w:name="_Toc19715092"/>
      <w:bookmarkStart w:id="522" w:name="_Toc19715932"/>
      <w:bookmarkStart w:id="523" w:name="_Toc6322676"/>
      <w:bookmarkStart w:id="524" w:name="_Toc19714244"/>
      <w:bookmarkStart w:id="525" w:name="_Toc19715093"/>
      <w:bookmarkStart w:id="526" w:name="_Toc19715933"/>
      <w:bookmarkStart w:id="527" w:name="_Toc6322677"/>
      <w:bookmarkStart w:id="528" w:name="_Toc19714245"/>
      <w:bookmarkStart w:id="529" w:name="_Toc19715094"/>
      <w:bookmarkStart w:id="530" w:name="_Toc19715934"/>
      <w:bookmarkStart w:id="531" w:name="_Toc6322678"/>
      <w:bookmarkStart w:id="532" w:name="_Toc19714246"/>
      <w:bookmarkStart w:id="533" w:name="_Toc19715095"/>
      <w:bookmarkStart w:id="534" w:name="_Toc19715935"/>
      <w:bookmarkStart w:id="535" w:name="_Toc6322679"/>
      <w:bookmarkStart w:id="536" w:name="_Toc19714247"/>
      <w:bookmarkStart w:id="537" w:name="_Toc19715096"/>
      <w:bookmarkStart w:id="538" w:name="_Toc19715936"/>
      <w:bookmarkStart w:id="539" w:name="_Toc6322680"/>
      <w:bookmarkStart w:id="540" w:name="_Toc19714248"/>
      <w:bookmarkStart w:id="541" w:name="_Toc19715097"/>
      <w:bookmarkStart w:id="542" w:name="_Toc19715937"/>
      <w:bookmarkStart w:id="543" w:name="_Toc6322681"/>
      <w:bookmarkStart w:id="544" w:name="_Toc19714249"/>
      <w:bookmarkStart w:id="545" w:name="_Toc19715098"/>
      <w:bookmarkStart w:id="546" w:name="_Toc19715938"/>
      <w:bookmarkStart w:id="547" w:name="_Toc6322682"/>
      <w:bookmarkStart w:id="548" w:name="_Toc19714250"/>
      <w:bookmarkStart w:id="549" w:name="_Toc19715099"/>
      <w:bookmarkStart w:id="550" w:name="_Toc19715939"/>
      <w:bookmarkStart w:id="551" w:name="_Toc6322683"/>
      <w:bookmarkStart w:id="552" w:name="_Toc19714251"/>
      <w:bookmarkStart w:id="553" w:name="_Toc19715100"/>
      <w:bookmarkStart w:id="554" w:name="_Toc19715940"/>
      <w:bookmarkStart w:id="555" w:name="_Toc6322684"/>
      <w:bookmarkStart w:id="556" w:name="_Toc19714252"/>
      <w:bookmarkStart w:id="557" w:name="_Toc19715101"/>
      <w:bookmarkStart w:id="558" w:name="_Toc19715941"/>
      <w:bookmarkStart w:id="559" w:name="_Toc6322685"/>
      <w:bookmarkStart w:id="560" w:name="_Toc19714253"/>
      <w:bookmarkStart w:id="561" w:name="_Toc19715102"/>
      <w:bookmarkStart w:id="562" w:name="_Toc19715942"/>
      <w:bookmarkStart w:id="563" w:name="_Toc6322686"/>
      <w:bookmarkStart w:id="564" w:name="_Toc19714254"/>
      <w:bookmarkStart w:id="565" w:name="_Toc19715103"/>
      <w:bookmarkStart w:id="566" w:name="_Toc19715943"/>
      <w:bookmarkStart w:id="567" w:name="_Toc6322687"/>
      <w:bookmarkStart w:id="568" w:name="_Toc19714255"/>
      <w:bookmarkStart w:id="569" w:name="_Toc19715104"/>
      <w:bookmarkStart w:id="570" w:name="_Toc19715944"/>
      <w:bookmarkStart w:id="571" w:name="_Toc6322688"/>
      <w:bookmarkStart w:id="572" w:name="_Toc19714256"/>
      <w:bookmarkStart w:id="573" w:name="_Toc19715105"/>
      <w:bookmarkStart w:id="574" w:name="_Toc19715945"/>
      <w:bookmarkStart w:id="575" w:name="_Toc6322689"/>
      <w:bookmarkStart w:id="576" w:name="_Toc19714257"/>
      <w:bookmarkStart w:id="577" w:name="_Toc19715106"/>
      <w:bookmarkStart w:id="578" w:name="_Toc19715946"/>
      <w:bookmarkStart w:id="579" w:name="_Toc6322690"/>
      <w:bookmarkStart w:id="580" w:name="_Toc19714258"/>
      <w:bookmarkStart w:id="581" w:name="_Toc19715107"/>
      <w:bookmarkStart w:id="582" w:name="_Toc19715947"/>
      <w:bookmarkStart w:id="583" w:name="_Toc6322691"/>
      <w:bookmarkStart w:id="584" w:name="_Toc19714259"/>
      <w:bookmarkStart w:id="585" w:name="_Toc19715108"/>
      <w:bookmarkStart w:id="586" w:name="_Toc19715948"/>
      <w:bookmarkStart w:id="587" w:name="_Toc6322692"/>
      <w:bookmarkStart w:id="588" w:name="_Toc19714260"/>
      <w:bookmarkStart w:id="589" w:name="_Toc19715109"/>
      <w:bookmarkStart w:id="590" w:name="_Toc19715949"/>
      <w:bookmarkStart w:id="591" w:name="_Toc6322693"/>
      <w:bookmarkStart w:id="592" w:name="_Toc19714261"/>
      <w:bookmarkStart w:id="593" w:name="_Toc19715110"/>
      <w:bookmarkStart w:id="594" w:name="_Toc19715950"/>
      <w:bookmarkStart w:id="595" w:name="_Toc6322694"/>
      <w:bookmarkStart w:id="596" w:name="_Toc19714262"/>
      <w:bookmarkStart w:id="597" w:name="_Toc19715111"/>
      <w:bookmarkStart w:id="598" w:name="_Toc19715951"/>
      <w:bookmarkStart w:id="599" w:name="_Toc6322695"/>
      <w:bookmarkStart w:id="600" w:name="_Toc19714263"/>
      <w:bookmarkStart w:id="601" w:name="_Toc19715112"/>
      <w:bookmarkStart w:id="602" w:name="_Toc19715952"/>
      <w:bookmarkStart w:id="603" w:name="_Toc6322696"/>
      <w:bookmarkStart w:id="604" w:name="_Toc19714264"/>
      <w:bookmarkStart w:id="605" w:name="_Toc19715113"/>
      <w:bookmarkStart w:id="606" w:name="_Toc19715953"/>
      <w:bookmarkStart w:id="607" w:name="_Toc6322697"/>
      <w:bookmarkStart w:id="608" w:name="_Toc19714265"/>
      <w:bookmarkStart w:id="609" w:name="_Toc19715114"/>
      <w:bookmarkStart w:id="610" w:name="_Toc19715954"/>
      <w:bookmarkStart w:id="611" w:name="_Toc6322698"/>
      <w:bookmarkStart w:id="612" w:name="_Toc19714266"/>
      <w:bookmarkStart w:id="613" w:name="_Toc19715115"/>
      <w:bookmarkStart w:id="614" w:name="_Toc19715955"/>
      <w:bookmarkStart w:id="615" w:name="_Toc6322699"/>
      <w:bookmarkStart w:id="616" w:name="_Toc19714267"/>
      <w:bookmarkStart w:id="617" w:name="_Toc19715116"/>
      <w:bookmarkStart w:id="618" w:name="_Toc19715956"/>
      <w:bookmarkStart w:id="619" w:name="_Toc6322700"/>
      <w:bookmarkStart w:id="620" w:name="_Toc19714268"/>
      <w:bookmarkStart w:id="621" w:name="_Toc19715117"/>
      <w:bookmarkStart w:id="622" w:name="_Toc19715957"/>
      <w:bookmarkStart w:id="623" w:name="_Toc6322701"/>
      <w:bookmarkStart w:id="624" w:name="_Toc19714269"/>
      <w:bookmarkStart w:id="625" w:name="_Toc19715118"/>
      <w:bookmarkStart w:id="626" w:name="_Toc19715958"/>
      <w:bookmarkStart w:id="627" w:name="_Toc6322702"/>
      <w:bookmarkStart w:id="628" w:name="_Toc19714270"/>
      <w:bookmarkStart w:id="629" w:name="_Toc19715119"/>
      <w:bookmarkStart w:id="630" w:name="_Toc19715959"/>
      <w:bookmarkStart w:id="631" w:name="_Toc6322703"/>
      <w:bookmarkStart w:id="632" w:name="_Toc19714271"/>
      <w:bookmarkStart w:id="633" w:name="_Toc19715120"/>
      <w:bookmarkStart w:id="634" w:name="_Toc19715960"/>
      <w:bookmarkStart w:id="635" w:name="_Toc6322704"/>
      <w:bookmarkStart w:id="636" w:name="_Toc19714272"/>
      <w:bookmarkStart w:id="637" w:name="_Toc19715121"/>
      <w:bookmarkStart w:id="638" w:name="_Toc19715961"/>
      <w:bookmarkStart w:id="639" w:name="_Toc6322705"/>
      <w:bookmarkStart w:id="640" w:name="_Toc19714273"/>
      <w:bookmarkStart w:id="641" w:name="_Toc19715122"/>
      <w:bookmarkStart w:id="642" w:name="_Toc19715962"/>
      <w:bookmarkStart w:id="643" w:name="_Toc6322706"/>
      <w:bookmarkStart w:id="644" w:name="_Toc19714274"/>
      <w:bookmarkStart w:id="645" w:name="_Toc19715123"/>
      <w:bookmarkStart w:id="646" w:name="_Toc19715963"/>
      <w:bookmarkStart w:id="647" w:name="_Toc6322707"/>
      <w:bookmarkStart w:id="648" w:name="_Toc19714275"/>
      <w:bookmarkStart w:id="649" w:name="_Toc19715124"/>
      <w:bookmarkStart w:id="650" w:name="_Toc19715964"/>
      <w:bookmarkStart w:id="651" w:name="_Toc6322708"/>
      <w:bookmarkStart w:id="652" w:name="_Toc19714276"/>
      <w:bookmarkStart w:id="653" w:name="_Toc19715125"/>
      <w:bookmarkStart w:id="654" w:name="_Toc19715965"/>
      <w:bookmarkStart w:id="655" w:name="_Toc6322709"/>
      <w:bookmarkStart w:id="656" w:name="_Toc19714277"/>
      <w:bookmarkStart w:id="657" w:name="_Toc19715126"/>
      <w:bookmarkStart w:id="658" w:name="_Toc19715966"/>
      <w:bookmarkStart w:id="659" w:name="_Toc6322710"/>
      <w:bookmarkStart w:id="660" w:name="_Toc19714278"/>
      <w:bookmarkStart w:id="661" w:name="_Toc19715127"/>
      <w:bookmarkStart w:id="662" w:name="_Toc19715967"/>
      <w:bookmarkStart w:id="663" w:name="_Toc6322711"/>
      <w:bookmarkStart w:id="664" w:name="_Toc19714279"/>
      <w:bookmarkStart w:id="665" w:name="_Toc19715128"/>
      <w:bookmarkStart w:id="666" w:name="_Toc19715968"/>
      <w:bookmarkStart w:id="667" w:name="_Toc6322712"/>
      <w:bookmarkStart w:id="668" w:name="_Toc19714280"/>
      <w:bookmarkStart w:id="669" w:name="_Toc19715129"/>
      <w:bookmarkStart w:id="670" w:name="_Toc19715969"/>
      <w:bookmarkStart w:id="671" w:name="_Toc6322713"/>
      <w:bookmarkStart w:id="672" w:name="_Toc19714281"/>
      <w:bookmarkStart w:id="673" w:name="_Toc19715130"/>
      <w:bookmarkStart w:id="674" w:name="_Toc19715970"/>
      <w:bookmarkStart w:id="675" w:name="_Toc6322714"/>
      <w:bookmarkStart w:id="676" w:name="_Toc19714282"/>
      <w:bookmarkStart w:id="677" w:name="_Toc19715131"/>
      <w:bookmarkStart w:id="678" w:name="_Toc19715971"/>
      <w:bookmarkStart w:id="679" w:name="_Toc6322715"/>
      <w:bookmarkStart w:id="680" w:name="_Toc19714283"/>
      <w:bookmarkStart w:id="681" w:name="_Toc19715132"/>
      <w:bookmarkStart w:id="682" w:name="_Toc19715972"/>
      <w:bookmarkStart w:id="683" w:name="_Toc6322716"/>
      <w:bookmarkStart w:id="684" w:name="_Toc19714284"/>
      <w:bookmarkStart w:id="685" w:name="_Toc19715133"/>
      <w:bookmarkStart w:id="686" w:name="_Toc19715973"/>
      <w:bookmarkStart w:id="687" w:name="_Toc6322717"/>
      <w:bookmarkStart w:id="688" w:name="_Toc19714285"/>
      <w:bookmarkStart w:id="689" w:name="_Toc19715134"/>
      <w:bookmarkStart w:id="690" w:name="_Toc19715974"/>
      <w:bookmarkStart w:id="691" w:name="_Toc6322718"/>
      <w:bookmarkStart w:id="692" w:name="_Toc19714286"/>
      <w:bookmarkStart w:id="693" w:name="_Toc19715135"/>
      <w:bookmarkStart w:id="694" w:name="_Toc19715975"/>
      <w:bookmarkStart w:id="695" w:name="_Toc6322719"/>
      <w:bookmarkStart w:id="696" w:name="_Toc19714287"/>
      <w:bookmarkStart w:id="697" w:name="_Toc19715136"/>
      <w:bookmarkStart w:id="698" w:name="_Toc19715976"/>
      <w:bookmarkStart w:id="699" w:name="_Toc6322720"/>
      <w:bookmarkStart w:id="700" w:name="_Toc19714288"/>
      <w:bookmarkStart w:id="701" w:name="_Toc19715137"/>
      <w:bookmarkStart w:id="702" w:name="_Toc19715977"/>
      <w:bookmarkStart w:id="703" w:name="_Toc6322721"/>
      <w:bookmarkStart w:id="704" w:name="_Toc19714289"/>
      <w:bookmarkStart w:id="705" w:name="_Toc19715138"/>
      <w:bookmarkStart w:id="706" w:name="_Toc19715978"/>
      <w:bookmarkStart w:id="707" w:name="_Toc6322722"/>
      <w:bookmarkStart w:id="708" w:name="_Toc19714290"/>
      <w:bookmarkStart w:id="709" w:name="_Toc19715139"/>
      <w:bookmarkStart w:id="710" w:name="_Toc19715979"/>
      <w:bookmarkStart w:id="711" w:name="_Toc6322723"/>
      <w:bookmarkStart w:id="712" w:name="_Toc19714291"/>
      <w:bookmarkStart w:id="713" w:name="_Toc19715140"/>
      <w:bookmarkStart w:id="714" w:name="_Toc19715980"/>
      <w:bookmarkStart w:id="715" w:name="_Toc6322724"/>
      <w:bookmarkStart w:id="716" w:name="_Toc19714292"/>
      <w:bookmarkStart w:id="717" w:name="_Toc19715141"/>
      <w:bookmarkStart w:id="718" w:name="_Toc19715981"/>
      <w:bookmarkStart w:id="719" w:name="_Toc6322725"/>
      <w:bookmarkStart w:id="720" w:name="_Toc19714293"/>
      <w:bookmarkStart w:id="721" w:name="_Toc19715142"/>
      <w:bookmarkStart w:id="722" w:name="_Toc19715982"/>
      <w:bookmarkStart w:id="723" w:name="_Toc6322726"/>
      <w:bookmarkStart w:id="724" w:name="_Toc19714294"/>
      <w:bookmarkStart w:id="725" w:name="_Toc19715143"/>
      <w:bookmarkStart w:id="726" w:name="_Toc19715983"/>
      <w:bookmarkStart w:id="727" w:name="_Toc6322727"/>
      <w:bookmarkStart w:id="728" w:name="_Toc19714295"/>
      <w:bookmarkStart w:id="729" w:name="_Toc19715144"/>
      <w:bookmarkStart w:id="730" w:name="_Toc19715984"/>
      <w:bookmarkStart w:id="731" w:name="_Toc6322728"/>
      <w:bookmarkStart w:id="732" w:name="_Toc19714296"/>
      <w:bookmarkStart w:id="733" w:name="_Toc19715145"/>
      <w:bookmarkStart w:id="734" w:name="_Toc19715985"/>
      <w:bookmarkStart w:id="735" w:name="_Toc6322729"/>
      <w:bookmarkStart w:id="736" w:name="_Toc19714297"/>
      <w:bookmarkStart w:id="737" w:name="_Toc19715146"/>
      <w:bookmarkStart w:id="738" w:name="_Toc19715986"/>
      <w:bookmarkStart w:id="739" w:name="_Toc6322730"/>
      <w:bookmarkStart w:id="740" w:name="_Toc19714298"/>
      <w:bookmarkStart w:id="741" w:name="_Toc19715147"/>
      <w:bookmarkStart w:id="742" w:name="_Toc19715987"/>
      <w:bookmarkStart w:id="743" w:name="_Toc6322731"/>
      <w:bookmarkStart w:id="744" w:name="_Toc19714299"/>
      <w:bookmarkStart w:id="745" w:name="_Toc19715148"/>
      <w:bookmarkStart w:id="746" w:name="_Toc19715988"/>
      <w:bookmarkStart w:id="747" w:name="_Toc6322732"/>
      <w:bookmarkStart w:id="748" w:name="_Toc19714300"/>
      <w:bookmarkStart w:id="749" w:name="_Toc19715149"/>
      <w:bookmarkStart w:id="750" w:name="_Toc19715989"/>
      <w:bookmarkStart w:id="751" w:name="_Toc6322733"/>
      <w:bookmarkStart w:id="752" w:name="_Toc19714301"/>
      <w:bookmarkStart w:id="753" w:name="_Toc19715150"/>
      <w:bookmarkStart w:id="754" w:name="_Toc19715990"/>
      <w:bookmarkStart w:id="755" w:name="_Toc6322734"/>
      <w:bookmarkStart w:id="756" w:name="_Toc19714302"/>
      <w:bookmarkStart w:id="757" w:name="_Toc19715151"/>
      <w:bookmarkStart w:id="758" w:name="_Toc19715991"/>
      <w:bookmarkStart w:id="759" w:name="_Toc6322735"/>
      <w:bookmarkStart w:id="760" w:name="_Toc19714303"/>
      <w:bookmarkStart w:id="761" w:name="_Toc19715152"/>
      <w:bookmarkStart w:id="762" w:name="_Toc19715992"/>
      <w:bookmarkStart w:id="763" w:name="_Toc6322736"/>
      <w:bookmarkStart w:id="764" w:name="_Toc19714304"/>
      <w:bookmarkStart w:id="765" w:name="_Toc19715153"/>
      <w:bookmarkStart w:id="766" w:name="_Toc19715993"/>
      <w:bookmarkStart w:id="767" w:name="_Toc6322737"/>
      <w:bookmarkStart w:id="768" w:name="_Toc19714305"/>
      <w:bookmarkStart w:id="769" w:name="_Toc19715154"/>
      <w:bookmarkStart w:id="770" w:name="_Toc19715994"/>
      <w:bookmarkStart w:id="771" w:name="_Toc6322738"/>
      <w:bookmarkStart w:id="772" w:name="_Toc19714306"/>
      <w:bookmarkStart w:id="773" w:name="_Toc19715155"/>
      <w:bookmarkStart w:id="774" w:name="_Toc19715995"/>
      <w:bookmarkStart w:id="775" w:name="_Toc6322739"/>
      <w:bookmarkStart w:id="776" w:name="_Toc19714307"/>
      <w:bookmarkStart w:id="777" w:name="_Toc19715156"/>
      <w:bookmarkStart w:id="778" w:name="_Toc19715996"/>
      <w:bookmarkStart w:id="779" w:name="_Toc6322740"/>
      <w:bookmarkStart w:id="780" w:name="_Toc19714308"/>
      <w:bookmarkStart w:id="781" w:name="_Toc19715157"/>
      <w:bookmarkStart w:id="782" w:name="_Toc19715997"/>
      <w:bookmarkStart w:id="783" w:name="_Toc6322741"/>
      <w:bookmarkStart w:id="784" w:name="_Toc19714309"/>
      <w:bookmarkStart w:id="785" w:name="_Toc19715158"/>
      <w:bookmarkStart w:id="786" w:name="_Toc19715998"/>
      <w:bookmarkStart w:id="787" w:name="_Toc6322742"/>
      <w:bookmarkStart w:id="788" w:name="_Toc19714310"/>
      <w:bookmarkStart w:id="789" w:name="_Toc19715159"/>
      <w:bookmarkStart w:id="790" w:name="_Toc19715999"/>
      <w:bookmarkStart w:id="791" w:name="_Toc6322743"/>
      <w:bookmarkStart w:id="792" w:name="_Toc19714311"/>
      <w:bookmarkStart w:id="793" w:name="_Toc19715160"/>
      <w:bookmarkStart w:id="794" w:name="_Toc19716000"/>
      <w:bookmarkStart w:id="795" w:name="_Toc6322744"/>
      <w:bookmarkStart w:id="796" w:name="_Toc19714312"/>
      <w:bookmarkStart w:id="797" w:name="_Toc19715161"/>
      <w:bookmarkStart w:id="798" w:name="_Toc19716001"/>
      <w:bookmarkStart w:id="799" w:name="_Toc6322745"/>
      <w:bookmarkStart w:id="800" w:name="_Toc19714313"/>
      <w:bookmarkStart w:id="801" w:name="_Toc19715162"/>
      <w:bookmarkStart w:id="802" w:name="_Toc19716002"/>
      <w:bookmarkStart w:id="803" w:name="_Toc6322746"/>
      <w:bookmarkStart w:id="804" w:name="_Toc19714314"/>
      <w:bookmarkStart w:id="805" w:name="_Toc19715163"/>
      <w:bookmarkStart w:id="806" w:name="_Toc19716003"/>
      <w:bookmarkStart w:id="807" w:name="_Toc6322747"/>
      <w:bookmarkStart w:id="808" w:name="_Toc19714315"/>
      <w:bookmarkStart w:id="809" w:name="_Toc19715164"/>
      <w:bookmarkStart w:id="810" w:name="_Toc19716004"/>
      <w:bookmarkStart w:id="811" w:name="_Toc6322748"/>
      <w:bookmarkStart w:id="812" w:name="_Toc19714316"/>
      <w:bookmarkStart w:id="813" w:name="_Toc19715165"/>
      <w:bookmarkStart w:id="814" w:name="_Toc19716005"/>
      <w:bookmarkStart w:id="815" w:name="_Toc6322749"/>
      <w:bookmarkStart w:id="816" w:name="_Toc19714317"/>
      <w:bookmarkStart w:id="817" w:name="_Toc19715166"/>
      <w:bookmarkStart w:id="818" w:name="_Toc19716006"/>
      <w:bookmarkStart w:id="819" w:name="_Toc6322750"/>
      <w:bookmarkStart w:id="820" w:name="_Toc19714318"/>
      <w:bookmarkStart w:id="821" w:name="_Toc19715167"/>
      <w:bookmarkStart w:id="822" w:name="_Toc19716007"/>
      <w:bookmarkStart w:id="823" w:name="_Toc6322751"/>
      <w:bookmarkStart w:id="824" w:name="_Toc19714319"/>
      <w:bookmarkStart w:id="825" w:name="_Toc19715168"/>
      <w:bookmarkStart w:id="826" w:name="_Toc19716008"/>
      <w:bookmarkStart w:id="827" w:name="_Toc6322752"/>
      <w:bookmarkStart w:id="828" w:name="_Toc19714320"/>
      <w:bookmarkStart w:id="829" w:name="_Toc19715169"/>
      <w:bookmarkStart w:id="830" w:name="_Toc19716009"/>
      <w:bookmarkStart w:id="831" w:name="_Toc6322753"/>
      <w:bookmarkStart w:id="832" w:name="_Toc19714321"/>
      <w:bookmarkStart w:id="833" w:name="_Toc19715170"/>
      <w:bookmarkStart w:id="834" w:name="_Toc19716010"/>
      <w:bookmarkStart w:id="835" w:name="_Toc6322754"/>
      <w:bookmarkStart w:id="836" w:name="_Toc19714322"/>
      <w:bookmarkStart w:id="837" w:name="_Toc19715171"/>
      <w:bookmarkStart w:id="838" w:name="_Toc19716011"/>
      <w:bookmarkStart w:id="839" w:name="_Toc6322755"/>
      <w:bookmarkStart w:id="840" w:name="_Toc19714323"/>
      <w:bookmarkStart w:id="841" w:name="_Toc19715172"/>
      <w:bookmarkStart w:id="842" w:name="_Toc19716012"/>
      <w:bookmarkStart w:id="843" w:name="_Toc6322756"/>
      <w:bookmarkStart w:id="844" w:name="_Toc19714324"/>
      <w:bookmarkStart w:id="845" w:name="_Toc19715173"/>
      <w:bookmarkStart w:id="846" w:name="_Toc19716013"/>
      <w:bookmarkStart w:id="847" w:name="_Toc6322757"/>
      <w:bookmarkStart w:id="848" w:name="_Toc19714325"/>
      <w:bookmarkStart w:id="849" w:name="_Toc19715174"/>
      <w:bookmarkStart w:id="850" w:name="_Toc19716014"/>
      <w:bookmarkStart w:id="851" w:name="_Toc6322758"/>
      <w:bookmarkStart w:id="852" w:name="_Toc19714326"/>
      <w:bookmarkStart w:id="853" w:name="_Toc19715175"/>
      <w:bookmarkStart w:id="854" w:name="_Toc19716015"/>
      <w:bookmarkStart w:id="855" w:name="_Toc6322759"/>
      <w:bookmarkStart w:id="856" w:name="_Toc19714327"/>
      <w:bookmarkStart w:id="857" w:name="_Toc19715176"/>
      <w:bookmarkStart w:id="858" w:name="_Toc19716016"/>
      <w:bookmarkStart w:id="859" w:name="_Toc6322760"/>
      <w:bookmarkStart w:id="860" w:name="_Toc19714328"/>
      <w:bookmarkStart w:id="861" w:name="_Toc19715177"/>
      <w:bookmarkStart w:id="862" w:name="_Toc19716017"/>
      <w:bookmarkStart w:id="863" w:name="_Toc6322761"/>
      <w:bookmarkStart w:id="864" w:name="_Toc19714329"/>
      <w:bookmarkStart w:id="865" w:name="_Toc19715178"/>
      <w:bookmarkStart w:id="866" w:name="_Toc19716018"/>
      <w:bookmarkStart w:id="867" w:name="_Toc6322762"/>
      <w:bookmarkStart w:id="868" w:name="_Toc19714330"/>
      <w:bookmarkStart w:id="869" w:name="_Toc19715179"/>
      <w:bookmarkStart w:id="870" w:name="_Toc19716019"/>
      <w:bookmarkStart w:id="871" w:name="_Toc6322763"/>
      <w:bookmarkStart w:id="872" w:name="_Toc19714331"/>
      <w:bookmarkStart w:id="873" w:name="_Toc19715180"/>
      <w:bookmarkStart w:id="874" w:name="_Toc19716020"/>
      <w:bookmarkStart w:id="875" w:name="_Toc6322764"/>
      <w:bookmarkStart w:id="876" w:name="_Toc19714332"/>
      <w:bookmarkStart w:id="877" w:name="_Toc19715181"/>
      <w:bookmarkStart w:id="878" w:name="_Toc19716021"/>
      <w:bookmarkStart w:id="879" w:name="_Toc6322765"/>
      <w:bookmarkStart w:id="880" w:name="_Toc19714333"/>
      <w:bookmarkStart w:id="881" w:name="_Toc19715182"/>
      <w:bookmarkStart w:id="882" w:name="_Toc19716022"/>
      <w:bookmarkStart w:id="883" w:name="_Toc6322766"/>
      <w:bookmarkStart w:id="884" w:name="_Toc19714334"/>
      <w:bookmarkStart w:id="885" w:name="_Toc19715183"/>
      <w:bookmarkStart w:id="886" w:name="_Toc19716023"/>
      <w:bookmarkStart w:id="887" w:name="_Toc6322767"/>
      <w:bookmarkStart w:id="888" w:name="_Toc19714335"/>
      <w:bookmarkStart w:id="889" w:name="_Toc19715184"/>
      <w:bookmarkStart w:id="890" w:name="_Toc19716024"/>
      <w:bookmarkStart w:id="891" w:name="_Toc6322768"/>
      <w:bookmarkStart w:id="892" w:name="_Toc19714336"/>
      <w:bookmarkStart w:id="893" w:name="_Toc19715185"/>
      <w:bookmarkStart w:id="894" w:name="_Toc19716025"/>
      <w:bookmarkStart w:id="895" w:name="_Toc6322769"/>
      <w:bookmarkStart w:id="896" w:name="_Toc19714337"/>
      <w:bookmarkStart w:id="897" w:name="_Toc19715186"/>
      <w:bookmarkStart w:id="898" w:name="_Toc19716026"/>
      <w:bookmarkStart w:id="899" w:name="_Toc6322770"/>
      <w:bookmarkStart w:id="900" w:name="_Toc19714338"/>
      <w:bookmarkStart w:id="901" w:name="_Toc19715187"/>
      <w:bookmarkStart w:id="902" w:name="_Toc19716027"/>
      <w:bookmarkStart w:id="903" w:name="_Toc6322771"/>
      <w:bookmarkStart w:id="904" w:name="_Toc19714339"/>
      <w:bookmarkStart w:id="905" w:name="_Toc19715188"/>
      <w:bookmarkStart w:id="906" w:name="_Toc19716028"/>
      <w:bookmarkStart w:id="907" w:name="_Toc6322772"/>
      <w:bookmarkStart w:id="908" w:name="_Toc19714340"/>
      <w:bookmarkStart w:id="909" w:name="_Toc19715189"/>
      <w:bookmarkStart w:id="910" w:name="_Toc19716029"/>
      <w:bookmarkStart w:id="911" w:name="_Toc6322773"/>
      <w:bookmarkStart w:id="912" w:name="_Toc19714341"/>
      <w:bookmarkStart w:id="913" w:name="_Toc19715190"/>
      <w:bookmarkStart w:id="914" w:name="_Toc19716030"/>
      <w:bookmarkStart w:id="915" w:name="_Toc6322774"/>
      <w:bookmarkStart w:id="916" w:name="_Toc19714342"/>
      <w:bookmarkStart w:id="917" w:name="_Toc19715191"/>
      <w:bookmarkStart w:id="918" w:name="_Toc19716031"/>
      <w:bookmarkStart w:id="919" w:name="_Toc6322775"/>
      <w:bookmarkStart w:id="920" w:name="_Toc19714343"/>
      <w:bookmarkStart w:id="921" w:name="_Toc19715192"/>
      <w:bookmarkStart w:id="922" w:name="_Toc1971603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E03892">
        <w:br w:type="page"/>
      </w:r>
    </w:p>
    <w:p w14:paraId="35D378B5" w14:textId="5F836559" w:rsidR="0087327E" w:rsidRPr="003E1EE8" w:rsidRDefault="005155F5" w:rsidP="00367473">
      <w:pPr>
        <w:pStyle w:val="Heading1numbered"/>
      </w:pPr>
      <w:bookmarkStart w:id="923" w:name="_Toc25935486"/>
      <w:r w:rsidRPr="003E1EE8">
        <w:lastRenderedPageBreak/>
        <w:t>Issues to consider across stages</w:t>
      </w:r>
      <w:bookmarkEnd w:id="923"/>
    </w:p>
    <w:p w14:paraId="10B1F6D1" w14:textId="77777777" w:rsidR="000E54E4" w:rsidRPr="003E1EE8" w:rsidRDefault="000E54E4" w:rsidP="00367473">
      <w:pPr>
        <w:pStyle w:val="Heading2numbered"/>
      </w:pPr>
      <w:bookmarkStart w:id="924" w:name="_Toc6322777"/>
      <w:bookmarkStart w:id="925" w:name="_Toc19714345"/>
      <w:bookmarkStart w:id="926" w:name="_Toc19715194"/>
      <w:bookmarkStart w:id="927" w:name="_Toc19716034"/>
      <w:bookmarkStart w:id="928" w:name="_Toc6322778"/>
      <w:bookmarkStart w:id="929" w:name="_Toc19714346"/>
      <w:bookmarkStart w:id="930" w:name="_Toc19715195"/>
      <w:bookmarkStart w:id="931" w:name="_Toc19716035"/>
      <w:bookmarkStart w:id="932" w:name="_Toc25935487"/>
      <w:bookmarkEnd w:id="924"/>
      <w:bookmarkEnd w:id="925"/>
      <w:bookmarkEnd w:id="926"/>
      <w:bookmarkEnd w:id="927"/>
      <w:bookmarkEnd w:id="928"/>
      <w:bookmarkEnd w:id="929"/>
      <w:bookmarkEnd w:id="930"/>
      <w:bookmarkEnd w:id="931"/>
      <w:r w:rsidRPr="003E1EE8">
        <w:t>Investment development funding</w:t>
      </w:r>
      <w:bookmarkEnd w:id="932"/>
    </w:p>
    <w:p w14:paraId="16567490" w14:textId="77777777" w:rsidR="000E54E4" w:rsidRPr="003E1EE8" w:rsidRDefault="000E54E4" w:rsidP="00367473">
      <w:pPr>
        <w:pStyle w:val="NormalIndent"/>
      </w:pPr>
      <w:r w:rsidRPr="003E1EE8">
        <w:t xml:space="preserve">For some projects, </w:t>
      </w:r>
      <w:r w:rsidR="007A2B03" w:rsidRPr="003E1EE8">
        <w:t>including</w:t>
      </w:r>
      <w:r w:rsidRPr="003E1EE8">
        <w:t xml:space="preserve"> HVHR projects, agencies may require assistance to fund proposal development. </w:t>
      </w:r>
    </w:p>
    <w:p w14:paraId="0DC27A7A" w14:textId="2A9846A3" w:rsidR="000E54E4" w:rsidRPr="003E1EE8" w:rsidRDefault="002F297D" w:rsidP="00367473">
      <w:pPr>
        <w:pStyle w:val="NormalIndent"/>
      </w:pPr>
      <w:r w:rsidRPr="003E1EE8">
        <w:t>Agencies may develop a</w:t>
      </w:r>
      <w:r w:rsidR="000E54E4" w:rsidRPr="003E1EE8">
        <w:t>n investment development funding submission based on a preliminary business case outlining the investment case, with indicative costs</w:t>
      </w:r>
      <w:r w:rsidR="00F00690" w:rsidRPr="003E1EE8">
        <w:t xml:space="preserve"> (an order of magnitude estimate of the project funding for the indicative solution)</w:t>
      </w:r>
      <w:r w:rsidR="000E54E4" w:rsidRPr="003E1EE8">
        <w:t>, tasks and staging of the proposal development.</w:t>
      </w:r>
    </w:p>
    <w:p w14:paraId="78E15CB4" w14:textId="6004FF41" w:rsidR="000E54E4" w:rsidRPr="003E1EE8" w:rsidRDefault="000E54E4" w:rsidP="00367473">
      <w:pPr>
        <w:pStyle w:val="NormalIndent"/>
      </w:pPr>
      <w:r w:rsidRPr="003E1EE8">
        <w:t xml:space="preserve">To allow </w:t>
      </w:r>
      <w:r w:rsidR="00F00690" w:rsidRPr="003E1EE8">
        <w:t xml:space="preserve">for </w:t>
      </w:r>
      <w:r w:rsidRPr="003E1EE8">
        <w:t xml:space="preserve">more timely progression of proposal development, </w:t>
      </w:r>
      <w:r w:rsidR="00F00690" w:rsidRPr="003E1EE8">
        <w:t xml:space="preserve">the Government may provide </w:t>
      </w:r>
      <w:r w:rsidRPr="003E1EE8">
        <w:t xml:space="preserve">funding for development of a full business case or </w:t>
      </w:r>
      <w:r w:rsidR="009B21F2" w:rsidRPr="003E1EE8">
        <w:t xml:space="preserve">project development and due diligence </w:t>
      </w:r>
      <w:r w:rsidR="00AB1CF0" w:rsidRPr="003E1EE8">
        <w:t>(</w:t>
      </w:r>
      <w:r w:rsidRPr="003E1EE8">
        <w:t xml:space="preserve">discussed </w:t>
      </w:r>
      <w:r w:rsidR="00AB1CF0" w:rsidRPr="003E1EE8">
        <w:t>further in section 3.3)</w:t>
      </w:r>
      <w:r w:rsidRPr="003E1EE8">
        <w:t xml:space="preserve">. </w:t>
      </w:r>
    </w:p>
    <w:p w14:paraId="78AE630B" w14:textId="68DC3B07" w:rsidR="000E54E4" w:rsidRPr="003E1EE8" w:rsidRDefault="000E54E4" w:rsidP="00367473">
      <w:pPr>
        <w:pStyle w:val="NormalIndent"/>
      </w:pPr>
      <w:r w:rsidRPr="003E1EE8">
        <w:t xml:space="preserve">The project development funding process is intended to be flexible. </w:t>
      </w:r>
      <w:r w:rsidR="000D4044" w:rsidRPr="003E1EE8">
        <w:t>It</w:t>
      </w:r>
      <w:r w:rsidRPr="003E1EE8">
        <w:t xml:space="preserve"> avoids the delays inherent in the annual budget process while retaining the option for Government to determine that the proposal should not progress, in which case the balance of funding would revert to Government.</w:t>
      </w:r>
    </w:p>
    <w:p w14:paraId="6E8B5759" w14:textId="77777777" w:rsidR="00E03892" w:rsidRDefault="00E03892">
      <w:pPr>
        <w:keepLines w:val="0"/>
        <w:spacing w:after="160" w:line="264" w:lineRule="auto"/>
        <w:rPr>
          <w:rFonts w:asciiTheme="majorHAnsi" w:eastAsiaTheme="majorEastAsia" w:hAnsiTheme="majorHAnsi" w:cstheme="majorBidi"/>
          <w:b/>
          <w:bCs/>
          <w:color w:val="53565A" w:themeColor="text2"/>
          <w:sz w:val="28"/>
          <w:szCs w:val="26"/>
        </w:rPr>
      </w:pPr>
      <w:bookmarkStart w:id="933" w:name="_Toc6322836"/>
      <w:bookmarkStart w:id="934" w:name="_Toc19714404"/>
      <w:bookmarkStart w:id="935" w:name="_Toc19715253"/>
      <w:bookmarkStart w:id="936" w:name="_Toc19716093"/>
      <w:bookmarkStart w:id="937" w:name="_Toc6322837"/>
      <w:bookmarkStart w:id="938" w:name="_Toc19714405"/>
      <w:bookmarkStart w:id="939" w:name="_Toc19715254"/>
      <w:bookmarkStart w:id="940" w:name="_Toc19716094"/>
      <w:bookmarkStart w:id="941" w:name="_Toc6322838"/>
      <w:bookmarkStart w:id="942" w:name="_Toc19714406"/>
      <w:bookmarkStart w:id="943" w:name="_Toc19715255"/>
      <w:bookmarkStart w:id="944" w:name="_Toc19716095"/>
      <w:bookmarkStart w:id="945" w:name="_Toc6322839"/>
      <w:bookmarkStart w:id="946" w:name="_Toc19714407"/>
      <w:bookmarkStart w:id="947" w:name="_Toc19715256"/>
      <w:bookmarkStart w:id="948" w:name="_Toc19716096"/>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br w:type="page"/>
      </w:r>
    </w:p>
    <w:p w14:paraId="3B13E77A" w14:textId="22BAACFE" w:rsidR="006541E4" w:rsidRPr="003E1EE8" w:rsidRDefault="006541E4" w:rsidP="00367473">
      <w:pPr>
        <w:pStyle w:val="Heading2numbered"/>
      </w:pPr>
      <w:bookmarkStart w:id="949" w:name="_Toc25935488"/>
      <w:r w:rsidRPr="003E1EE8">
        <w:lastRenderedPageBreak/>
        <w:t>Cost accuracy</w:t>
      </w:r>
      <w:bookmarkEnd w:id="949"/>
    </w:p>
    <w:p w14:paraId="05A4091E" w14:textId="150A1EE8" w:rsidR="0087327E" w:rsidRPr="003E1EE8" w:rsidRDefault="006541E4" w:rsidP="00367473">
      <w:pPr>
        <w:pStyle w:val="NormalIndent"/>
      </w:pPr>
      <w:r w:rsidRPr="003E1EE8">
        <w:t>The accuracy of cost estimates change as the project develops. Risk-adjusted costs are expected to be developed for different phases of the project’s development.</w:t>
      </w:r>
      <w:r w:rsidR="009108D3" w:rsidRPr="003E1EE8">
        <w:t xml:space="preserve"> </w:t>
      </w:r>
      <w:r w:rsidR="009108D3" w:rsidRPr="003E1EE8">
        <w:fldChar w:fldCharType="begin"/>
      </w:r>
      <w:r w:rsidR="009108D3" w:rsidRPr="003E1EE8">
        <w:instrText xml:space="preserve"> REF _Ref21687838 \h  \* MERGEFORMAT </w:instrText>
      </w:r>
      <w:r w:rsidR="009108D3" w:rsidRPr="003E1EE8">
        <w:fldChar w:fldCharType="separate"/>
      </w:r>
      <w:r w:rsidR="00661A02" w:rsidRPr="003E1EE8">
        <w:t xml:space="preserve">Figure </w:t>
      </w:r>
      <w:r w:rsidR="00661A02">
        <w:t>8</w:t>
      </w:r>
      <w:r w:rsidR="009108D3" w:rsidRPr="003E1EE8">
        <w:fldChar w:fldCharType="end"/>
      </w:r>
      <w:r w:rsidR="009108D3" w:rsidRPr="003E1EE8">
        <w:t xml:space="preserve"> </w:t>
      </w:r>
      <w:r w:rsidRPr="003E1EE8">
        <w:t>provides broad guidance on cost accuracy that might be expected through the project development.</w:t>
      </w:r>
    </w:p>
    <w:p w14:paraId="00FE768E" w14:textId="76971918" w:rsidR="00A843B3" w:rsidRPr="003E1EE8" w:rsidRDefault="00A843B3" w:rsidP="008B27D6">
      <w:pPr>
        <w:pStyle w:val="Caption"/>
        <w:ind w:left="792"/>
      </w:pPr>
      <w:bookmarkStart w:id="950" w:name="_Ref21687838"/>
      <w:r w:rsidRPr="003E1EE8">
        <w:t xml:space="preserve">Figure </w:t>
      </w:r>
      <w:fldSimple w:instr=" SEQ Figure \* ARABIC ">
        <w:r w:rsidR="00661A02">
          <w:rPr>
            <w:noProof/>
          </w:rPr>
          <w:t>8</w:t>
        </w:r>
      </w:fldSimple>
      <w:bookmarkEnd w:id="950"/>
      <w:r w:rsidRPr="003E1EE8">
        <w:t>: Expected cost accuracy for projects at different stages</w:t>
      </w:r>
    </w:p>
    <w:tbl>
      <w:tblPr>
        <w:tblStyle w:val="TableGrid"/>
        <w:tblW w:w="8522" w:type="dxa"/>
        <w:tblInd w:w="7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115" w:type="dxa"/>
          <w:right w:w="115" w:type="dxa"/>
        </w:tblCellMar>
        <w:tblLook w:val="04A0" w:firstRow="1" w:lastRow="0" w:firstColumn="1" w:lastColumn="0" w:noHBand="0" w:noVBand="1"/>
      </w:tblPr>
      <w:tblGrid>
        <w:gridCol w:w="1753"/>
        <w:gridCol w:w="1710"/>
        <w:gridCol w:w="1980"/>
        <w:gridCol w:w="3079"/>
      </w:tblGrid>
      <w:tr w:rsidR="00C77AE4" w:rsidRPr="003E1EE8" w14:paraId="0EC85252" w14:textId="77777777" w:rsidTr="007C472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3" w:type="dxa"/>
            <w:tcBorders>
              <w:top w:val="nil"/>
            </w:tcBorders>
            <w:shd w:val="clear" w:color="auto" w:fill="004EA8" w:themeFill="accent2"/>
          </w:tcPr>
          <w:p w14:paraId="3BEBF8D5" w14:textId="5E35C369" w:rsidR="00C77AE4" w:rsidRPr="003E1EE8" w:rsidRDefault="00C77AE4" w:rsidP="00C77AE4">
            <w:pPr>
              <w:pStyle w:val="Tableheader"/>
            </w:pPr>
            <w:r w:rsidRPr="003E1EE8">
              <w:rPr>
                <w:b/>
                <w:color w:val="FFFFFF"/>
                <w:sz w:val="18"/>
                <w:szCs w:val="18"/>
              </w:rPr>
              <w:t>Stage</w:t>
            </w:r>
          </w:p>
        </w:tc>
        <w:tc>
          <w:tcPr>
            <w:tcW w:w="1710" w:type="dxa"/>
            <w:tcBorders>
              <w:top w:val="nil"/>
            </w:tcBorders>
            <w:shd w:val="clear" w:color="auto" w:fill="004EA8" w:themeFill="accent2"/>
          </w:tcPr>
          <w:p w14:paraId="66B5E7DB" w14:textId="4F966B09" w:rsidR="00C77AE4" w:rsidRPr="003E1EE8" w:rsidRDefault="00C77AE4" w:rsidP="00C77AE4">
            <w:pPr>
              <w:pStyle w:val="Tableheader"/>
              <w:cnfStyle w:val="100000000000" w:firstRow="1" w:lastRow="0" w:firstColumn="0" w:lastColumn="0" w:oddVBand="0" w:evenVBand="0" w:oddHBand="0" w:evenHBand="0" w:firstRowFirstColumn="0" w:firstRowLastColumn="0" w:lastRowFirstColumn="0" w:lastRowLastColumn="0"/>
            </w:pPr>
            <w:r w:rsidRPr="003E1EE8">
              <w:rPr>
                <w:b/>
                <w:color w:val="FFFFFF"/>
                <w:sz w:val="18"/>
                <w:szCs w:val="18"/>
              </w:rPr>
              <w:t>Processes</w:t>
            </w:r>
          </w:p>
        </w:tc>
        <w:tc>
          <w:tcPr>
            <w:tcW w:w="1980" w:type="dxa"/>
            <w:tcBorders>
              <w:top w:val="nil"/>
            </w:tcBorders>
            <w:shd w:val="clear" w:color="auto" w:fill="004EA8" w:themeFill="accent2"/>
          </w:tcPr>
          <w:p w14:paraId="45C91F9D" w14:textId="58951494" w:rsidR="00C77AE4" w:rsidRPr="003E1EE8" w:rsidRDefault="00C77AE4" w:rsidP="00C77AE4">
            <w:pPr>
              <w:pStyle w:val="Tableheader"/>
              <w:cnfStyle w:val="100000000000" w:firstRow="1" w:lastRow="0" w:firstColumn="0" w:lastColumn="0" w:oddVBand="0" w:evenVBand="0" w:oddHBand="0" w:evenHBand="0" w:firstRowFirstColumn="0" w:firstRowLastColumn="0" w:lastRowFirstColumn="0" w:lastRowLastColumn="0"/>
            </w:pPr>
            <w:r w:rsidRPr="003E1EE8">
              <w:rPr>
                <w:b/>
                <w:color w:val="FFFFFF"/>
                <w:sz w:val="18"/>
                <w:szCs w:val="18"/>
              </w:rPr>
              <w:t xml:space="preserve">Estimate </w:t>
            </w:r>
          </w:p>
        </w:tc>
        <w:tc>
          <w:tcPr>
            <w:tcW w:w="3079" w:type="dxa"/>
            <w:tcBorders>
              <w:top w:val="nil"/>
            </w:tcBorders>
            <w:shd w:val="clear" w:color="auto" w:fill="004EA8" w:themeFill="accent2"/>
          </w:tcPr>
          <w:p w14:paraId="6B8CACA6" w14:textId="6A436993" w:rsidR="00C77AE4" w:rsidRPr="003E1EE8" w:rsidRDefault="00C77AE4" w:rsidP="00C77AE4">
            <w:pPr>
              <w:pStyle w:val="Tableheader"/>
              <w:cnfStyle w:val="100000000000" w:firstRow="1" w:lastRow="0" w:firstColumn="0" w:lastColumn="0" w:oddVBand="0" w:evenVBand="0" w:oddHBand="0" w:evenHBand="0" w:firstRowFirstColumn="0" w:firstRowLastColumn="0" w:lastRowFirstColumn="0" w:lastRowLastColumn="0"/>
            </w:pPr>
            <w:r w:rsidRPr="003E1EE8">
              <w:rPr>
                <w:b/>
                <w:color w:val="FFFFFF"/>
                <w:sz w:val="18"/>
                <w:szCs w:val="18"/>
              </w:rPr>
              <w:t>Description and design accuracy</w:t>
            </w:r>
          </w:p>
        </w:tc>
      </w:tr>
      <w:tr w:rsidR="00C77AE4" w:rsidRPr="003E1EE8" w14:paraId="33ABD33F"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1753" w:type="dxa"/>
            <w:vMerge w:val="restart"/>
            <w:shd w:val="clear" w:color="auto" w:fill="DBDCDE" w:themeFill="text2" w:themeFillTint="33"/>
          </w:tcPr>
          <w:p w14:paraId="410D7C1E" w14:textId="2FE074FF" w:rsidR="00C77AE4" w:rsidRPr="003E1EE8" w:rsidRDefault="00C77AE4" w:rsidP="00C77AE4">
            <w:pPr>
              <w:pStyle w:val="Tabletext0"/>
            </w:pPr>
            <w:r w:rsidRPr="003E1EE8">
              <w:rPr>
                <w:b/>
                <w:color w:val="005B9B"/>
                <w:sz w:val="18"/>
                <w:szCs w:val="18"/>
              </w:rPr>
              <w:t xml:space="preserve">1. Business </w:t>
            </w:r>
            <w:r w:rsidR="009B21F2" w:rsidRPr="003E1EE8">
              <w:rPr>
                <w:b/>
                <w:color w:val="005B9B"/>
                <w:sz w:val="18"/>
                <w:szCs w:val="18"/>
              </w:rPr>
              <w:t xml:space="preserve">case </w:t>
            </w:r>
            <w:r w:rsidRPr="003E1EE8">
              <w:rPr>
                <w:b/>
                <w:color w:val="005B9B"/>
                <w:sz w:val="18"/>
                <w:szCs w:val="18"/>
              </w:rPr>
              <w:t>(investment case)</w:t>
            </w:r>
          </w:p>
        </w:tc>
        <w:tc>
          <w:tcPr>
            <w:tcW w:w="1710" w:type="dxa"/>
            <w:shd w:val="clear" w:color="auto" w:fill="DBDCDE" w:themeFill="text2" w:themeFillTint="33"/>
          </w:tcPr>
          <w:p w14:paraId="63178FAC" w14:textId="741E8611"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rPr>
                <w:color w:val="000000"/>
                <w:sz w:val="18"/>
                <w:szCs w:val="18"/>
              </w:rPr>
            </w:pPr>
            <w:r w:rsidRPr="003E1EE8">
              <w:rPr>
                <w:b/>
                <w:color w:val="000000"/>
                <w:sz w:val="18"/>
                <w:szCs w:val="18"/>
              </w:rPr>
              <w:t>Investment logic</w:t>
            </w:r>
          </w:p>
          <w:p w14:paraId="10B736B2" w14:textId="2D70FFF1"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Problem, benefits identification, response options, indicative solutions</w:t>
            </w:r>
          </w:p>
        </w:tc>
        <w:tc>
          <w:tcPr>
            <w:tcW w:w="1980" w:type="dxa"/>
            <w:shd w:val="clear" w:color="auto" w:fill="D9D9D9" w:themeFill="background1" w:themeFillShade="D9"/>
          </w:tcPr>
          <w:p w14:paraId="468E2D3E" w14:textId="19741849"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 xml:space="preserve">Order of magnitude estimate type </w:t>
            </w:r>
            <w:r w:rsidRPr="003E1EE8">
              <w:br/>
            </w:r>
            <w:r w:rsidRPr="003E1EE8">
              <w:noBreakHyphen/>
              <w:t>40% to +60%</w:t>
            </w:r>
          </w:p>
        </w:tc>
        <w:tc>
          <w:tcPr>
            <w:tcW w:w="3079" w:type="dxa"/>
            <w:shd w:val="clear" w:color="auto" w:fill="D9D9D9" w:themeFill="background1" w:themeFillShade="D9"/>
          </w:tcPr>
          <w:p w14:paraId="51B8A557" w14:textId="745F6EA3" w:rsidR="00C77AE4" w:rsidRPr="003E1EE8" w:rsidRDefault="00C77AE4" w:rsidP="00DA5E41">
            <w:pPr>
              <w:pStyle w:val="Tabletext0"/>
              <w:cnfStyle w:val="000000000000" w:firstRow="0" w:lastRow="0" w:firstColumn="0" w:lastColumn="0" w:oddVBand="0" w:evenVBand="0" w:oddHBand="0" w:evenHBand="0" w:firstRowFirstColumn="0" w:firstRowLastColumn="0" w:lastRowFirstColumn="0" w:lastRowLastColumn="0"/>
            </w:pPr>
            <w:r w:rsidRPr="003E1EE8">
              <w:t xml:space="preserve">This estimate is used for screening and is based on historical information. Order of magnitude estimates are developed when a quick estimate is needed and few details are available. It is typically developed to support </w:t>
            </w:r>
            <w:r w:rsidR="00DA5E41">
              <w:t>‘</w:t>
            </w:r>
            <w:r w:rsidRPr="003E1EE8">
              <w:t>what if</w:t>
            </w:r>
            <w:r w:rsidR="00DA5E41">
              <w:t>’</w:t>
            </w:r>
            <w:r w:rsidRPr="003E1EE8">
              <w:t xml:space="preserve"> analyses. It is helpful for examining differences in </w:t>
            </w:r>
            <w:r w:rsidR="00DA5E41" w:rsidRPr="003E1EE8">
              <w:t>high</w:t>
            </w:r>
            <w:r w:rsidR="00DA5E41">
              <w:t>-</w:t>
            </w:r>
            <w:r w:rsidRPr="003E1EE8">
              <w:t xml:space="preserve">level alternatives to see which are the most feasible. Because it is developed from limited data and in a short time, a rough order of magnitude analysis should never be considered a </w:t>
            </w:r>
            <w:r w:rsidR="00DA5E41" w:rsidRPr="003E1EE8">
              <w:t>budget</w:t>
            </w:r>
            <w:r w:rsidR="00DA5E41">
              <w:t>-</w:t>
            </w:r>
            <w:r w:rsidRPr="003E1EE8">
              <w:t>quality cost estimate.</w:t>
            </w:r>
          </w:p>
        </w:tc>
      </w:tr>
      <w:tr w:rsidR="00C77AE4" w:rsidRPr="003E1EE8" w14:paraId="1D76ADB0"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1753" w:type="dxa"/>
            <w:vMerge/>
            <w:shd w:val="clear" w:color="auto" w:fill="DBDCDE" w:themeFill="text2" w:themeFillTint="33"/>
          </w:tcPr>
          <w:p w14:paraId="355332EC" w14:textId="77777777" w:rsidR="00C77AE4" w:rsidRPr="003E1EE8" w:rsidRDefault="00C77AE4" w:rsidP="00C77AE4">
            <w:pPr>
              <w:pStyle w:val="Tabletext0"/>
              <w:rPr>
                <w:b/>
                <w:color w:val="005B9B"/>
                <w:sz w:val="18"/>
                <w:szCs w:val="18"/>
              </w:rPr>
            </w:pPr>
          </w:p>
        </w:tc>
        <w:tc>
          <w:tcPr>
            <w:tcW w:w="1710" w:type="dxa"/>
            <w:shd w:val="clear" w:color="auto" w:fill="DBDCDE" w:themeFill="text2" w:themeFillTint="33"/>
          </w:tcPr>
          <w:p w14:paraId="0DC4553C" w14:textId="77777777"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rPr>
                <w:b/>
              </w:rPr>
            </w:pPr>
            <w:r w:rsidRPr="003E1EE8">
              <w:rPr>
                <w:b/>
              </w:rPr>
              <w:t>Project scoping</w:t>
            </w:r>
          </w:p>
          <w:p w14:paraId="53D55C7A" w14:textId="2F635244"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rPr>
                <w:b/>
              </w:rPr>
            </w:pPr>
            <w:r w:rsidRPr="003E1EE8">
              <w:t>Project option appraisal, define project scope (and options for further consideration) with concept design</w:t>
            </w:r>
          </w:p>
        </w:tc>
        <w:tc>
          <w:tcPr>
            <w:tcW w:w="1980" w:type="dxa"/>
            <w:shd w:val="clear" w:color="auto" w:fill="D9D9D9" w:themeFill="background1" w:themeFillShade="D9"/>
          </w:tcPr>
          <w:p w14:paraId="3B499EDE" w14:textId="174F7876"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Concept estimate</w:t>
            </w:r>
            <w:r w:rsidRPr="003E1EE8">
              <w:br/>
            </w:r>
            <w:r w:rsidRPr="003E1EE8">
              <w:noBreakHyphen/>
              <w:t>30% to +60%</w:t>
            </w:r>
          </w:p>
        </w:tc>
        <w:tc>
          <w:tcPr>
            <w:tcW w:w="3079" w:type="dxa"/>
            <w:shd w:val="clear" w:color="auto" w:fill="D9D9D9" w:themeFill="background1" w:themeFillShade="D9"/>
          </w:tcPr>
          <w:p w14:paraId="12608FBB" w14:textId="64F7B3BA" w:rsidR="00C77AE4" w:rsidRPr="003E1EE8" w:rsidRDefault="00C77AE4" w:rsidP="00EF06C1">
            <w:pPr>
              <w:pStyle w:val="Tabletext0"/>
              <w:cnfStyle w:val="000000000000" w:firstRow="0" w:lastRow="0" w:firstColumn="0" w:lastColumn="0" w:oddVBand="0" w:evenVBand="0" w:oddHBand="0" w:evenHBand="0" w:firstRowFirstColumn="0" w:firstRowLastColumn="0" w:lastRowFirstColumn="0" w:lastRowLastColumn="0"/>
            </w:pPr>
            <w:r w:rsidRPr="003E1EE8">
              <w:t>This estimate is based on concept design data. For less complex projects</w:t>
            </w:r>
            <w:r w:rsidR="00030F00">
              <w:t>,</w:t>
            </w:r>
            <w:r w:rsidRPr="003E1EE8">
              <w:t xml:space="preserve"> this level of estimate accuracy is sufficient to robustly compare project options. Project definition is likely to be in the order of 1</w:t>
            </w:r>
            <w:r w:rsidR="00DA5E41">
              <w:t xml:space="preserve"> per cent</w:t>
            </w:r>
            <w:r w:rsidR="00DA5E41" w:rsidRPr="003E1EE8">
              <w:t xml:space="preserve"> </w:t>
            </w:r>
            <w:r w:rsidRPr="003E1EE8">
              <w:t>to 10</w:t>
            </w:r>
            <w:r w:rsidR="00DA5E41">
              <w:t xml:space="preserve"> per cent</w:t>
            </w:r>
            <w:r w:rsidR="00DA5E41" w:rsidRPr="003E1EE8">
              <w:t xml:space="preserve"> </w:t>
            </w:r>
            <w:r w:rsidRPr="003E1EE8">
              <w:t>complete. In many cases there will be benchmark project data that will considerably reduce uncertainty (increase accuracy). For example</w:t>
            </w:r>
            <w:r w:rsidR="00EF06C1">
              <w:t>,</w:t>
            </w:r>
            <w:r w:rsidRPr="003E1EE8">
              <w:t xml:space="preserve"> if the project were a new school</w:t>
            </w:r>
            <w:r w:rsidR="00B63890">
              <w:t>,</w:t>
            </w:r>
            <w:r w:rsidRPr="003E1EE8">
              <w:t xml:space="preserve"> then there is extensive industry benchmark data from previous school developments.</w:t>
            </w:r>
          </w:p>
        </w:tc>
      </w:tr>
      <w:tr w:rsidR="00C77AE4" w:rsidRPr="003E1EE8" w14:paraId="40A5516A"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1753" w:type="dxa"/>
            <w:vMerge w:val="restart"/>
            <w:shd w:val="clear" w:color="auto" w:fill="DBDCDE" w:themeFill="text2" w:themeFillTint="33"/>
          </w:tcPr>
          <w:p w14:paraId="5BE4FCBA" w14:textId="213134BD" w:rsidR="00C77AE4" w:rsidRPr="003E1EE8" w:rsidRDefault="00C77AE4" w:rsidP="007C4728">
            <w:pPr>
              <w:pStyle w:val="Tabletext0"/>
              <w:keepNext/>
              <w:rPr>
                <w:b/>
                <w:color w:val="005B9B"/>
                <w:sz w:val="18"/>
                <w:szCs w:val="18"/>
              </w:rPr>
            </w:pPr>
            <w:r w:rsidRPr="003E1EE8">
              <w:rPr>
                <w:b/>
                <w:color w:val="005B9B"/>
                <w:sz w:val="18"/>
                <w:szCs w:val="18"/>
              </w:rPr>
              <w:lastRenderedPageBreak/>
              <w:t xml:space="preserve">1. Business Case (delivery case) </w:t>
            </w:r>
          </w:p>
        </w:tc>
        <w:tc>
          <w:tcPr>
            <w:tcW w:w="1710" w:type="dxa"/>
            <w:shd w:val="clear" w:color="auto" w:fill="DBDCDE" w:themeFill="text2" w:themeFillTint="33"/>
          </w:tcPr>
          <w:p w14:paraId="57945110" w14:textId="77777777"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rPr>
                <w:b/>
              </w:rPr>
            </w:pPr>
            <w:r w:rsidRPr="003E1EE8">
              <w:rPr>
                <w:b/>
              </w:rPr>
              <w:t>Pre</w:t>
            </w:r>
            <w:r w:rsidRPr="003E1EE8">
              <w:rPr>
                <w:b/>
              </w:rPr>
              <w:noBreakHyphen/>
              <w:t>feasibility</w:t>
            </w:r>
          </w:p>
          <w:p w14:paraId="7AC0409C" w14:textId="6AE468C6"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rPr>
                <w:b/>
              </w:rPr>
            </w:pPr>
            <w:r w:rsidRPr="003E1EE8">
              <w:t>Assessment of project options, initial risk and environmental assessment</w:t>
            </w:r>
          </w:p>
        </w:tc>
        <w:tc>
          <w:tcPr>
            <w:tcW w:w="1980" w:type="dxa"/>
            <w:shd w:val="clear" w:color="auto" w:fill="D9D9D9" w:themeFill="background1" w:themeFillShade="D9"/>
          </w:tcPr>
          <w:p w14:paraId="3C7BA718" w14:textId="412A9822"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Developed concept estimate</w:t>
            </w:r>
            <w:r w:rsidRPr="003E1EE8">
              <w:br/>
            </w:r>
            <w:r w:rsidRPr="003E1EE8">
              <w:noBreakHyphen/>
              <w:t>20% to +25%</w:t>
            </w:r>
          </w:p>
        </w:tc>
        <w:tc>
          <w:tcPr>
            <w:tcW w:w="3079" w:type="dxa"/>
            <w:shd w:val="clear" w:color="auto" w:fill="D9D9D9" w:themeFill="background1" w:themeFillShade="D9"/>
          </w:tcPr>
          <w:p w14:paraId="6EC61876" w14:textId="786E60E4"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 xml:space="preserve">For more complex projects, more design information would be expected to reasonably compare project options. Project design is likely to be in the order of 5 per cent to 15 per cent. These levels are probably more suitable for the ‘one off’, </w:t>
            </w:r>
            <w:r w:rsidR="00B63890">
              <w:t>‘</w:t>
            </w:r>
            <w:r w:rsidRPr="003E1EE8">
              <w:t>never been done before</w:t>
            </w:r>
            <w:r w:rsidR="00B63890">
              <w:t>’</w:t>
            </w:r>
            <w:r w:rsidRPr="003E1EE8">
              <w:t xml:space="preserve"> type schemes.</w:t>
            </w:r>
          </w:p>
        </w:tc>
      </w:tr>
      <w:tr w:rsidR="00C77AE4" w:rsidRPr="003E1EE8" w14:paraId="1704DB09"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1753" w:type="dxa"/>
            <w:vMerge/>
            <w:shd w:val="clear" w:color="auto" w:fill="DBDCDE" w:themeFill="text2" w:themeFillTint="33"/>
          </w:tcPr>
          <w:p w14:paraId="2F589193" w14:textId="77777777" w:rsidR="00C77AE4" w:rsidRPr="003E1EE8" w:rsidRDefault="00C77AE4" w:rsidP="00C77AE4">
            <w:pPr>
              <w:pStyle w:val="Tabletext0"/>
              <w:rPr>
                <w:b/>
                <w:color w:val="005B9B"/>
                <w:sz w:val="18"/>
                <w:szCs w:val="18"/>
              </w:rPr>
            </w:pPr>
          </w:p>
        </w:tc>
        <w:tc>
          <w:tcPr>
            <w:tcW w:w="1710" w:type="dxa"/>
            <w:shd w:val="clear" w:color="auto" w:fill="DBDCDE" w:themeFill="text2" w:themeFillTint="33"/>
          </w:tcPr>
          <w:p w14:paraId="56E9C892" w14:textId="77777777"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rPr>
                <w:b/>
              </w:rPr>
            </w:pPr>
            <w:r w:rsidRPr="003E1EE8">
              <w:rPr>
                <w:b/>
              </w:rPr>
              <w:t>Feasibility</w:t>
            </w:r>
          </w:p>
          <w:p w14:paraId="73D5858C" w14:textId="045BF59A"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rPr>
                <w:b/>
              </w:rPr>
            </w:pPr>
            <w:r w:rsidRPr="003E1EE8">
              <w:t>Integration of risk assessment, preliminary design, functional model, whole of life costing and procurement strategy</w:t>
            </w:r>
          </w:p>
        </w:tc>
        <w:tc>
          <w:tcPr>
            <w:tcW w:w="1980" w:type="dxa"/>
            <w:shd w:val="clear" w:color="auto" w:fill="D9D9D9" w:themeFill="background1" w:themeFillShade="D9"/>
          </w:tcPr>
          <w:p w14:paraId="61714132" w14:textId="0A7002CD"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Preliminary design estimate</w:t>
            </w:r>
            <w:r w:rsidRPr="003E1EE8">
              <w:br/>
            </w:r>
            <w:r w:rsidRPr="003E1EE8">
              <w:noBreakHyphen/>
              <w:t>15% to +25%</w:t>
            </w:r>
          </w:p>
        </w:tc>
        <w:tc>
          <w:tcPr>
            <w:tcW w:w="3079" w:type="dxa"/>
            <w:shd w:val="clear" w:color="auto" w:fill="D9D9D9" w:themeFill="background1" w:themeFillShade="D9"/>
          </w:tcPr>
          <w:p w14:paraId="50DF0663" w14:textId="3D6FFCDA" w:rsidR="00C77AE4" w:rsidRPr="003E1EE8" w:rsidRDefault="00C77AE4" w:rsidP="00FA2624">
            <w:pPr>
              <w:pStyle w:val="Tabletext0"/>
              <w:cnfStyle w:val="000000000000" w:firstRow="0" w:lastRow="0" w:firstColumn="0" w:lastColumn="0" w:oddVBand="0" w:evenVBand="0" w:oddHBand="0" w:evenHBand="0" w:firstRowFirstColumn="0" w:firstRowLastColumn="0" w:lastRowFirstColumn="0" w:lastRowLastColumn="0"/>
            </w:pPr>
            <w:r w:rsidRPr="003E1EE8">
              <w:t xml:space="preserve">This estimate is used to provide the approved budget estimate for the project, i.e. the business case budget estimate. Project design is likely to be in the order of 10 per cent to 40 per cent. Costing at this stage is expected to be a robust, defensible, </w:t>
            </w:r>
            <w:r w:rsidR="00FA2624" w:rsidRPr="003E1EE8">
              <w:t>risk</w:t>
            </w:r>
            <w:r w:rsidR="00FA2624">
              <w:t>-</w:t>
            </w:r>
            <w:r w:rsidRPr="003E1EE8">
              <w:t>adjusted estimate with an appropriate contingency allowance. The estimate should be based on a well-defined project scope, a breakdown of project costs (e.g. using elemental estimating techniques) supported by reference to relevant benchmark project examples, and adjusted for risk and uncertainty.</w:t>
            </w:r>
          </w:p>
        </w:tc>
      </w:tr>
      <w:tr w:rsidR="00C77AE4" w:rsidRPr="003E1EE8" w14:paraId="2260A369"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1753" w:type="dxa"/>
            <w:vMerge w:val="restart"/>
            <w:shd w:val="clear" w:color="auto" w:fill="DBDCDE" w:themeFill="text2" w:themeFillTint="33"/>
          </w:tcPr>
          <w:p w14:paraId="60C9448A" w14:textId="7069BEBF" w:rsidR="00C77AE4" w:rsidRPr="003E1EE8" w:rsidRDefault="00C77AE4" w:rsidP="00C77AE4">
            <w:pPr>
              <w:pStyle w:val="Tabletext0"/>
              <w:rPr>
                <w:b/>
                <w:color w:val="005B9B"/>
                <w:sz w:val="18"/>
                <w:szCs w:val="18"/>
              </w:rPr>
            </w:pPr>
            <w:r w:rsidRPr="003E1EE8">
              <w:rPr>
                <w:b/>
                <w:color w:val="005B9B"/>
                <w:sz w:val="18"/>
                <w:szCs w:val="18"/>
              </w:rPr>
              <w:t>2. Procurement</w:t>
            </w:r>
          </w:p>
        </w:tc>
        <w:tc>
          <w:tcPr>
            <w:tcW w:w="1710" w:type="dxa"/>
            <w:shd w:val="clear" w:color="auto" w:fill="DBDCDE" w:themeFill="text2" w:themeFillTint="33"/>
          </w:tcPr>
          <w:p w14:paraId="23C789CB" w14:textId="77777777"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Procurement</w:t>
            </w:r>
          </w:p>
          <w:p w14:paraId="24575AFF" w14:textId="38FDF382"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Staged tender process including tender preparation and evaluation</w:t>
            </w:r>
          </w:p>
        </w:tc>
        <w:tc>
          <w:tcPr>
            <w:tcW w:w="1980" w:type="dxa"/>
            <w:shd w:val="clear" w:color="auto" w:fill="D9D9D9" w:themeFill="background1" w:themeFillShade="D9"/>
          </w:tcPr>
          <w:p w14:paraId="464A9B97" w14:textId="2A54C6A2"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 xml:space="preserve">Tender estimate </w:t>
            </w:r>
            <w:r w:rsidRPr="003E1EE8">
              <w:br/>
            </w:r>
            <w:r w:rsidR="005A03FE" w:rsidRPr="007A0305">
              <w:noBreakHyphen/>
            </w:r>
            <w:r w:rsidRPr="003E1EE8">
              <w:t>10% to +15%</w:t>
            </w:r>
          </w:p>
        </w:tc>
        <w:tc>
          <w:tcPr>
            <w:tcW w:w="3079" w:type="dxa"/>
            <w:shd w:val="clear" w:color="auto" w:fill="D9D9D9" w:themeFill="background1" w:themeFillShade="D9"/>
          </w:tcPr>
          <w:p w14:paraId="373FB71D" w14:textId="5FFE590A"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 xml:space="preserve">Prior to going to tender, design specifications will be developed in more detail in order to obtain tender bids. The estimate </w:t>
            </w:r>
            <w:r w:rsidR="004803F8">
              <w:t xml:space="preserve">at </w:t>
            </w:r>
            <w:r w:rsidRPr="003E1EE8">
              <w:t>this stage is based on the specification and design development leading up to the tender process. Project design is likely to be in the order of 30 per cent to 70 per cent depending on the nature of the procurement approach.</w:t>
            </w:r>
          </w:p>
        </w:tc>
      </w:tr>
      <w:tr w:rsidR="00C77AE4" w:rsidRPr="003E1EE8" w14:paraId="007D181D" w14:textId="77777777" w:rsidTr="007C4728">
        <w:trPr>
          <w:cantSplit/>
        </w:trPr>
        <w:tc>
          <w:tcPr>
            <w:cnfStyle w:val="001000000000" w:firstRow="0" w:lastRow="0" w:firstColumn="1" w:lastColumn="0" w:oddVBand="0" w:evenVBand="0" w:oddHBand="0" w:evenHBand="0" w:firstRowFirstColumn="0" w:firstRowLastColumn="0" w:lastRowFirstColumn="0" w:lastRowLastColumn="0"/>
            <w:tcW w:w="1753" w:type="dxa"/>
            <w:vMerge/>
            <w:shd w:val="clear" w:color="auto" w:fill="DBDCDE" w:themeFill="text2" w:themeFillTint="33"/>
          </w:tcPr>
          <w:p w14:paraId="1D403A7D" w14:textId="77777777" w:rsidR="00C77AE4" w:rsidRPr="003E1EE8" w:rsidRDefault="00C77AE4" w:rsidP="00C77AE4">
            <w:pPr>
              <w:pStyle w:val="Tabletext0"/>
              <w:rPr>
                <w:b/>
                <w:color w:val="005B9B"/>
                <w:sz w:val="18"/>
                <w:szCs w:val="18"/>
              </w:rPr>
            </w:pPr>
          </w:p>
        </w:tc>
        <w:tc>
          <w:tcPr>
            <w:tcW w:w="1710" w:type="dxa"/>
            <w:shd w:val="clear" w:color="auto" w:fill="DBDCDE" w:themeFill="text2" w:themeFillTint="33"/>
          </w:tcPr>
          <w:p w14:paraId="44109890" w14:textId="5A12B5A0"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Negotiate contract price agreement</w:t>
            </w:r>
          </w:p>
        </w:tc>
        <w:tc>
          <w:tcPr>
            <w:tcW w:w="1980" w:type="dxa"/>
            <w:shd w:val="clear" w:color="auto" w:fill="D9D9D9" w:themeFill="background1" w:themeFillShade="D9"/>
          </w:tcPr>
          <w:p w14:paraId="4BB9AD45" w14:textId="115501BB"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 xml:space="preserve">Tender price/ contract (excluding agency administration cost) </w:t>
            </w:r>
            <w:r w:rsidRPr="003E1EE8">
              <w:br/>
            </w:r>
            <w:r w:rsidR="005A03FE" w:rsidRPr="007A0305">
              <w:noBreakHyphen/>
            </w:r>
            <w:r w:rsidRPr="003E1EE8">
              <w:t>5% to +10%</w:t>
            </w:r>
          </w:p>
        </w:tc>
        <w:tc>
          <w:tcPr>
            <w:tcW w:w="3079" w:type="dxa"/>
            <w:shd w:val="clear" w:color="auto" w:fill="D9D9D9" w:themeFill="background1" w:themeFillShade="D9"/>
          </w:tcPr>
          <w:p w14:paraId="2D390B8E" w14:textId="7CA20CF0"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The tender price or contract estimate is based on the agreed contract price following the tender process. Note that the project should maintain a contingency allowance that exceeds this contract sum in order to manage uncertainty and unallocated risks.</w:t>
            </w:r>
          </w:p>
        </w:tc>
      </w:tr>
    </w:tbl>
    <w:p w14:paraId="6E8A4D02" w14:textId="1EB473D9" w:rsidR="00C77AE4" w:rsidRPr="003E1EE8" w:rsidRDefault="00C77AE4" w:rsidP="00C77AE4">
      <w:pPr>
        <w:pStyle w:val="Spacer"/>
      </w:pPr>
    </w:p>
    <w:p w14:paraId="2DA28B48" w14:textId="77777777" w:rsidR="006541E4" w:rsidRPr="003E1EE8" w:rsidRDefault="006541E4" w:rsidP="007C4728">
      <w:pPr>
        <w:pStyle w:val="NormalIndent"/>
        <w:keepNext/>
      </w:pPr>
      <w:r w:rsidRPr="003E1EE8">
        <w:lastRenderedPageBreak/>
        <w:t>Proposals that are unable to comply with the indicated ranges of accuracy should explicitly identify the process adopted and the range of accuracy applicable. This may arise where a project is being fast-tracked for government consideration. In this event it is important to convey the uncertainty in the estimates that may, for example, reflect lack of clarity in scope or design.</w:t>
      </w:r>
    </w:p>
    <w:p w14:paraId="4FC60267" w14:textId="420BAC70" w:rsidR="006541E4" w:rsidRPr="003E1EE8" w:rsidRDefault="006541E4" w:rsidP="007C4728">
      <w:pPr>
        <w:pStyle w:val="NormalIndent"/>
        <w:keepNext/>
      </w:pPr>
      <w:r w:rsidRPr="003E1EE8">
        <w:t>Costs for the stages leading up to the business case phase of project development will necessarily have an element of uncertainty about them</w:t>
      </w:r>
      <w:r w:rsidR="0091723A">
        <w:t>,</w:t>
      </w:r>
      <w:r w:rsidRPr="003E1EE8">
        <w:t xml:space="preserve"> but are useful to evaluate the investment and test the overall suitability and viability of a proposal.</w:t>
      </w:r>
    </w:p>
    <w:p w14:paraId="7A56FA90" w14:textId="1268405D" w:rsidR="006541E4" w:rsidRPr="003E1EE8" w:rsidRDefault="006541E4" w:rsidP="00367473">
      <w:pPr>
        <w:pStyle w:val="NormalIndent"/>
      </w:pPr>
      <w:r w:rsidRPr="003E1EE8">
        <w:t xml:space="preserve">A range of issues – including the asset class, the uniqueness of the project or facility, the level of building and construction activity in the market and the buoyancy of the broader economy – may influence the reliability of a proposal’s cost estimate. </w:t>
      </w:r>
    </w:p>
    <w:p w14:paraId="4479F40B" w14:textId="6A2A31EF" w:rsidR="007C2ED8" w:rsidRPr="003E1EE8" w:rsidRDefault="007C2ED8" w:rsidP="00367473">
      <w:pPr>
        <w:pStyle w:val="Heading2numbered"/>
      </w:pPr>
      <w:bookmarkStart w:id="951" w:name="_Toc25935489"/>
      <w:r w:rsidRPr="003E1EE8">
        <w:t>Project Development and Due Diligence (PDDD)</w:t>
      </w:r>
      <w:bookmarkEnd w:id="951"/>
    </w:p>
    <w:p w14:paraId="5C7AB9C2" w14:textId="77777777" w:rsidR="00A6099E" w:rsidRPr="003E1EE8" w:rsidRDefault="00A6099E" w:rsidP="00367473">
      <w:pPr>
        <w:pStyle w:val="NormalIndent"/>
      </w:pPr>
      <w:bookmarkStart w:id="952" w:name="_Toc6322841"/>
      <w:bookmarkStart w:id="953" w:name="_Toc6322842"/>
      <w:bookmarkStart w:id="954" w:name="_Toc19714410"/>
      <w:bookmarkStart w:id="955" w:name="_Toc6322843"/>
      <w:bookmarkStart w:id="956" w:name="_Toc19714411"/>
      <w:bookmarkStart w:id="957" w:name="_Toc6322844"/>
      <w:bookmarkStart w:id="958" w:name="_Toc19714412"/>
      <w:bookmarkStart w:id="959" w:name="_Toc6322845"/>
      <w:bookmarkStart w:id="960" w:name="_Toc19714413"/>
      <w:bookmarkStart w:id="961" w:name="_Toc6322846"/>
      <w:bookmarkStart w:id="962" w:name="_Toc19714414"/>
      <w:bookmarkStart w:id="963" w:name="_Toc6322847"/>
      <w:bookmarkStart w:id="964" w:name="_Toc19714415"/>
      <w:bookmarkStart w:id="965" w:name="_Toc6322848"/>
      <w:bookmarkStart w:id="966" w:name="_Toc19714416"/>
      <w:bookmarkStart w:id="967" w:name="_Toc6322849"/>
      <w:bookmarkStart w:id="968" w:name="_Toc19714417"/>
      <w:bookmarkStart w:id="969" w:name="_Toc6322850"/>
      <w:bookmarkStart w:id="970" w:name="_Toc19714418"/>
      <w:bookmarkStart w:id="971" w:name="_Hlk19777522"/>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3E1EE8">
        <w:t xml:space="preserve">Due diligence activities are expected to be undertaken during project planning and development stages for State infrastructure projects. </w:t>
      </w:r>
      <w:r w:rsidR="00225482" w:rsidRPr="003E1EE8">
        <w:t>Detailed</w:t>
      </w:r>
      <w:r w:rsidRPr="003E1EE8">
        <w:t xml:space="preserve"> investigations of the site are essential to confirm its suitability for development and to define the design parameters in order to develop the scope of the project to put to Government and to inform procurement processes.</w:t>
      </w:r>
    </w:p>
    <w:bookmarkEnd w:id="971"/>
    <w:p w14:paraId="6B352AE7" w14:textId="09B526A8" w:rsidR="00A6099E" w:rsidRPr="003E1EE8" w:rsidRDefault="00A6099E" w:rsidP="00367473">
      <w:pPr>
        <w:pStyle w:val="NormalIndent"/>
      </w:pPr>
      <w:r w:rsidRPr="003E1EE8">
        <w:t xml:space="preserve">The maturity of these activities at the investment decision point will depend across projects and will increase as the project develops. </w:t>
      </w:r>
    </w:p>
    <w:p w14:paraId="71BBE18B" w14:textId="30219BEA" w:rsidR="00A6099E" w:rsidRPr="003E1EE8" w:rsidRDefault="00926801" w:rsidP="00367473">
      <w:pPr>
        <w:pStyle w:val="NormalIndent"/>
      </w:pPr>
      <w:r w:rsidRPr="003E1EE8">
        <w:t xml:space="preserve">Refer to the </w:t>
      </w:r>
      <w:r w:rsidRPr="003E1EE8">
        <w:rPr>
          <w:b/>
          <w:color w:val="004EA8" w:themeColor="accent2"/>
        </w:rPr>
        <w:t>Project Development and Due Diligence</w:t>
      </w:r>
      <w:r w:rsidRPr="003E1EE8">
        <w:rPr>
          <w:color w:val="004EA8" w:themeColor="accent2"/>
        </w:rPr>
        <w:t xml:space="preserve"> </w:t>
      </w:r>
      <w:r w:rsidR="0026608A" w:rsidRPr="003E1EE8">
        <w:t>Guidelines</w:t>
      </w:r>
      <w:r w:rsidRPr="003E1EE8">
        <w:t xml:space="preserve"> for more information.</w:t>
      </w:r>
    </w:p>
    <w:p w14:paraId="4FC874A0" w14:textId="78E8BE65" w:rsidR="00D870B0" w:rsidRPr="003E1EE8" w:rsidRDefault="00D870B0" w:rsidP="00367473">
      <w:pPr>
        <w:pStyle w:val="Heading2numbered"/>
      </w:pPr>
      <w:bookmarkStart w:id="972" w:name="_Toc25935490"/>
      <w:r w:rsidRPr="003E1EE8">
        <w:t xml:space="preserve">Value </w:t>
      </w:r>
      <w:r w:rsidR="003044B4" w:rsidRPr="003E1EE8">
        <w:t>C</w:t>
      </w:r>
      <w:r w:rsidRPr="003E1EE8">
        <w:t>reation</w:t>
      </w:r>
      <w:r w:rsidR="003044B4" w:rsidRPr="003E1EE8">
        <w:t xml:space="preserve"> and Capture Framework</w:t>
      </w:r>
      <w:bookmarkEnd w:id="972"/>
    </w:p>
    <w:p w14:paraId="7C17E9CB" w14:textId="34E6A996" w:rsidR="004C5E63" w:rsidRPr="003E1EE8" w:rsidRDefault="004C5E63" w:rsidP="00367473">
      <w:pPr>
        <w:pStyle w:val="NormalIndent"/>
      </w:pPr>
      <w:r w:rsidRPr="003E1EE8">
        <w:t xml:space="preserve">The Value Creation and Capture (VCC) Framework aims to encourage government sponsors of capital investments, projects to develop public land, and precinct projects to maximise environmental, social and economic value of government investments. </w:t>
      </w:r>
    </w:p>
    <w:p w14:paraId="582F03F4" w14:textId="79603D2D" w:rsidR="00D870B0" w:rsidRPr="003E1EE8" w:rsidRDefault="00D870B0" w:rsidP="00367473">
      <w:pPr>
        <w:pStyle w:val="NormalIndent"/>
      </w:pPr>
      <w:r w:rsidRPr="003E1EE8">
        <w:rPr>
          <w:b/>
        </w:rPr>
        <w:t>Value creation</w:t>
      </w:r>
      <w:r w:rsidRPr="003E1EE8">
        <w:t xml:space="preserve"> refers to actions, activities or policies that deliver enhanced public value above and beyond what would ordinarily be achieved as a direct consequence of a government investment.</w:t>
      </w:r>
    </w:p>
    <w:p w14:paraId="1EB77BB6" w14:textId="77777777" w:rsidR="00D870B0" w:rsidRPr="003E1EE8" w:rsidRDefault="00D870B0" w:rsidP="00367473">
      <w:pPr>
        <w:pStyle w:val="NormalIndent"/>
      </w:pPr>
      <w:r w:rsidRPr="003E1EE8">
        <w:rPr>
          <w:b/>
        </w:rPr>
        <w:t>Value capture</w:t>
      </w:r>
      <w:r w:rsidRPr="003E1EE8">
        <w:t xml:space="preserve"> refers to actions, activities or policies by which government captures a portion of the incremental value created by a project.</w:t>
      </w:r>
    </w:p>
    <w:p w14:paraId="0011C751" w14:textId="4ED1FEC1" w:rsidR="00D870B0" w:rsidRPr="003E1EE8" w:rsidRDefault="00D870B0" w:rsidP="00367473">
      <w:pPr>
        <w:pStyle w:val="NormalIndent"/>
      </w:pPr>
      <w:r w:rsidRPr="003E1EE8">
        <w:t>Th</w:t>
      </w:r>
      <w:r w:rsidR="004C5E63" w:rsidRPr="003E1EE8">
        <w:t>e Framework</w:t>
      </w:r>
      <w:r w:rsidRPr="003E1EE8">
        <w:t xml:space="preserve"> requires projects to consider VCC opportunities that maximise public value beyond the core scope of the project, while also ensuring that the selected opportunities remain secondary to project need.</w:t>
      </w:r>
    </w:p>
    <w:p w14:paraId="45182BDE" w14:textId="77777777" w:rsidR="00D870B0" w:rsidRPr="003E1EE8" w:rsidRDefault="00D870B0" w:rsidP="00367473">
      <w:pPr>
        <w:pStyle w:val="NormalIndent"/>
      </w:pPr>
      <w:r w:rsidRPr="003E1EE8">
        <w:t>For some precincts, development of public land and capital investments, VCC outputs will be required at different stages of the investment</w:t>
      </w:r>
      <w:r w:rsidR="009A2423" w:rsidRPr="003E1EE8">
        <w:t xml:space="preserve"> lifecycle</w:t>
      </w:r>
      <w:r w:rsidRPr="003E1EE8">
        <w:t>.</w:t>
      </w:r>
    </w:p>
    <w:p w14:paraId="108FA33C" w14:textId="5990279C" w:rsidR="004C5E63" w:rsidRPr="003E1EE8" w:rsidRDefault="004C5E63" w:rsidP="00367473">
      <w:pPr>
        <w:pStyle w:val="NormalIndent"/>
      </w:pPr>
      <w:r w:rsidRPr="003E1EE8">
        <w:t xml:space="preserve">Further information on the Value Creation and Capture Framework is available on the Department of Premier and Cabinet’s website at </w:t>
      </w:r>
      <w:hyperlink r:id="rId49" w:history="1">
        <w:r w:rsidR="00C77AE4" w:rsidRPr="003E1EE8">
          <w:rPr>
            <w:rStyle w:val="Hyperlink"/>
          </w:rPr>
          <w:t>www.dpc.vic.gov.au/index.php/news-publications/value-creation-and-capture-framework</w:t>
        </w:r>
      </w:hyperlink>
      <w:r w:rsidRPr="003E1EE8">
        <w:t>.</w:t>
      </w:r>
    </w:p>
    <w:p w14:paraId="5AFD2D95" w14:textId="77777777" w:rsidR="0091570F" w:rsidRPr="003E1EE8" w:rsidRDefault="0091570F" w:rsidP="0091570F">
      <w:pPr>
        <w:pStyle w:val="Heading2numbered"/>
      </w:pPr>
      <w:bookmarkStart w:id="973" w:name="_Toc25935491"/>
      <w:r w:rsidRPr="00C94F8D">
        <w:rPr>
          <w:i/>
        </w:rPr>
        <w:lastRenderedPageBreak/>
        <w:t>Climate Change Act 2017</w:t>
      </w:r>
      <w:r w:rsidRPr="003E1EE8">
        <w:t xml:space="preserve"> and related climate change initiatives</w:t>
      </w:r>
      <w:bookmarkEnd w:id="973"/>
    </w:p>
    <w:p w14:paraId="208BAAD6" w14:textId="76F6A8D2" w:rsidR="0091570F" w:rsidRPr="003E1EE8" w:rsidRDefault="0091570F" w:rsidP="0091570F">
      <w:pPr>
        <w:pStyle w:val="NormalIndent"/>
        <w:keepNext/>
      </w:pPr>
      <w:r w:rsidRPr="003E1EE8">
        <w:t xml:space="preserve">The Victorian Government’s new </w:t>
      </w:r>
      <w:r w:rsidRPr="00C94F8D">
        <w:rPr>
          <w:i/>
        </w:rPr>
        <w:t>Climate Change Act 2017</w:t>
      </w:r>
      <w:r w:rsidRPr="003E1EE8">
        <w:t xml:space="preserve"> commenced operation on 1</w:t>
      </w:r>
      <w:r w:rsidR="00F60131">
        <w:t> </w:t>
      </w:r>
      <w:r w:rsidRPr="003E1EE8">
        <w:t>November 2017. The Act sets out a clear policy framework and a pathway to 2050 that is consistent with the Paris Agreement to keep global temperature rise below 2 degrees Celsius above pre</w:t>
      </w:r>
      <w:r w:rsidR="00020C38">
        <w:t>-</w:t>
      </w:r>
      <w:r w:rsidRPr="003E1EE8">
        <w:t>industrial levels. The Act sits alongside other key Victorian Government energy and climate change initiatives</w:t>
      </w:r>
      <w:r w:rsidR="00020C38">
        <w:t>,</w:t>
      </w:r>
      <w:r w:rsidRPr="003E1EE8">
        <w:t xml:space="preserve"> including Victoria’s Climate Change Framework, Victoria’s Climate Change Adaptation Plan 2017</w:t>
      </w:r>
      <w:r w:rsidR="00020C38">
        <w:t>-</w:t>
      </w:r>
      <w:r w:rsidRPr="003E1EE8">
        <w:t>2020 and Victoria’s Renewable Energy Action Plan.</w:t>
      </w:r>
    </w:p>
    <w:p w14:paraId="452C6ADC" w14:textId="77777777" w:rsidR="0091570F" w:rsidRPr="003E1EE8" w:rsidRDefault="0091570F" w:rsidP="0091570F">
      <w:pPr>
        <w:pStyle w:val="NormalIndent"/>
        <w:keepNext/>
      </w:pPr>
      <w:r w:rsidRPr="003E1EE8">
        <w:t>There are two primary aspects of these climate change initiatives that agencies should consider when developing infrastructure investments:</w:t>
      </w:r>
    </w:p>
    <w:p w14:paraId="540C66A4" w14:textId="6C42ED60" w:rsidR="0091570F" w:rsidRPr="003E1EE8" w:rsidRDefault="00020C38" w:rsidP="00C94F8D">
      <w:pPr>
        <w:pStyle w:val="Bulletindent"/>
      </w:pPr>
      <w:r>
        <w:t>g</w:t>
      </w:r>
      <w:r w:rsidR="0091570F" w:rsidRPr="003E1EE8">
        <w:t xml:space="preserve">reenhouse gas emission reduction: the </w:t>
      </w:r>
      <w:r w:rsidR="0091570F" w:rsidRPr="00C94F8D">
        <w:rPr>
          <w:i/>
        </w:rPr>
        <w:t>Climate Change Act 2017</w:t>
      </w:r>
      <w:r w:rsidR="0091570F" w:rsidRPr="003E1EE8">
        <w:t xml:space="preserve"> sets a target of net zero greenhouse gas emissions by 2050. When delivering new, or renewing/replacing existing, infrastructure, Government should think about actions it can take to reduce Victoria’s emissions footprint; and</w:t>
      </w:r>
    </w:p>
    <w:p w14:paraId="7ACA90EB" w14:textId="126F344F" w:rsidR="0091570F" w:rsidRPr="003E1EE8" w:rsidRDefault="00020C38" w:rsidP="00C94F8D">
      <w:pPr>
        <w:pStyle w:val="Bulletindent"/>
      </w:pPr>
      <w:r>
        <w:t>c</w:t>
      </w:r>
      <w:r w:rsidR="0091570F" w:rsidRPr="003E1EE8">
        <w:t xml:space="preserve">limate change adaptation: climate change is a key uncertainty that can impact our investments. Victoria is already experiencing the impacts of climate change, with increases to average temperature and decreases to average rainfall impacting all parts of the </w:t>
      </w:r>
      <w:r w:rsidR="00F60131" w:rsidRPr="003E1EE8">
        <w:t>State</w:t>
      </w:r>
      <w:r w:rsidR="0091570F" w:rsidRPr="003E1EE8">
        <w:t>. When developing and delivering investment proposals, agencies should consider whether service delivery functions are vulnerable to changing climatic conditions. Practitioners should also contemplate strategies or actions that could be taken to prepare for, and adapt to, these changes, and increase the resilience of our service delivery capability and supporting assets.</w:t>
      </w:r>
    </w:p>
    <w:p w14:paraId="2740430C" w14:textId="5067C62C" w:rsidR="0091570F" w:rsidRDefault="0091570F">
      <w:pPr>
        <w:pStyle w:val="NormalIndent"/>
        <w:keepNext/>
        <w:rPr>
          <w:color w:val="004EA8" w:themeColor="accent2"/>
        </w:rPr>
      </w:pPr>
      <w:r w:rsidRPr="003E1EE8">
        <w:t xml:space="preserve">Further information on the Victorian Government’s climate change legislation, policies and initiatives is available on the Department of Environment, Land, Water and Planning’s website at </w:t>
      </w:r>
      <w:hyperlink r:id="rId50" w:history="1">
        <w:r w:rsidRPr="003E1EE8">
          <w:rPr>
            <w:rStyle w:val="Hyperlink"/>
          </w:rPr>
          <w:t>www.climatechange.vic.gov.au/</w:t>
        </w:r>
      </w:hyperlink>
    </w:p>
    <w:p w14:paraId="05299225" w14:textId="25937EE8" w:rsidR="00F60131" w:rsidRPr="003E1EE8" w:rsidRDefault="00F60131" w:rsidP="00F60131">
      <w:pPr>
        <w:pStyle w:val="Heading2numbered"/>
      </w:pPr>
      <w:bookmarkStart w:id="974" w:name="_Ref25934918"/>
      <w:bookmarkStart w:id="975" w:name="_Toc25935492"/>
      <w:r>
        <w:t>Managing risks</w:t>
      </w:r>
      <w:bookmarkEnd w:id="974"/>
      <w:bookmarkEnd w:id="975"/>
    </w:p>
    <w:p w14:paraId="0CE6A503" w14:textId="58B375BF" w:rsidR="007F168C" w:rsidRPr="003E1EE8" w:rsidRDefault="00784534" w:rsidP="007C4728">
      <w:pPr>
        <w:pStyle w:val="NormalIndent"/>
        <w:keepNext/>
      </w:pPr>
      <w:r w:rsidRPr="003E1EE8">
        <w:t xml:space="preserve">Risks are defined in </w:t>
      </w:r>
      <w:hyperlink r:id="rId51" w:tooltip="ISO 31000" w:history="1">
        <w:r w:rsidRPr="003E1EE8">
          <w:t>ISO 31000</w:t>
        </w:r>
      </w:hyperlink>
      <w:r w:rsidRPr="003E1EE8">
        <w:t xml:space="preserve"> as the effect of uncertainty on objectives, whether positive or negative. </w:t>
      </w:r>
      <w:r w:rsidR="007F168C" w:rsidRPr="003E1EE8">
        <w:t xml:space="preserve">Risk management is the identification, assessment, and </w:t>
      </w:r>
      <w:r w:rsidR="00EF2D4E" w:rsidRPr="003E1EE8">
        <w:t>prioriti</w:t>
      </w:r>
      <w:r w:rsidR="00EF2D4E">
        <w:t>s</w:t>
      </w:r>
      <w:r w:rsidR="00EF2D4E" w:rsidRPr="003E1EE8">
        <w:t xml:space="preserve">ation </w:t>
      </w:r>
      <w:r w:rsidR="007F168C" w:rsidRPr="003E1EE8">
        <w:t xml:space="preserve">of </w:t>
      </w:r>
      <w:hyperlink r:id="rId52" w:tooltip="Risk" w:history="1">
        <w:r w:rsidR="007F168C" w:rsidRPr="003E1EE8">
          <w:t>risks</w:t>
        </w:r>
      </w:hyperlink>
      <w:r w:rsidR="00697CCB" w:rsidRPr="003E1EE8">
        <w:t>,</w:t>
      </w:r>
      <w:r w:rsidR="00F81BF4" w:rsidRPr="003E1EE8">
        <w:t xml:space="preserve"> </w:t>
      </w:r>
      <w:r w:rsidR="007F168C" w:rsidRPr="003E1EE8">
        <w:t xml:space="preserve">followed by coordinated and economical application of resources to </w:t>
      </w:r>
      <w:r w:rsidR="00EF2D4E" w:rsidRPr="003E1EE8">
        <w:t>minimi</w:t>
      </w:r>
      <w:r w:rsidR="00EF2D4E">
        <w:t>s</w:t>
      </w:r>
      <w:r w:rsidR="00EF2D4E" w:rsidRPr="003E1EE8">
        <w:t>e</w:t>
      </w:r>
      <w:r w:rsidR="007F168C" w:rsidRPr="003E1EE8">
        <w:t xml:space="preserve">, monitor and control the probability and/or impact of unfortunate event or to </w:t>
      </w:r>
      <w:r w:rsidR="00EF2D4E" w:rsidRPr="003E1EE8">
        <w:t>maximi</w:t>
      </w:r>
      <w:r w:rsidR="00EF2D4E">
        <w:t>s</w:t>
      </w:r>
      <w:r w:rsidR="00EF2D4E" w:rsidRPr="003E1EE8">
        <w:t xml:space="preserve">e </w:t>
      </w:r>
      <w:r w:rsidR="007F168C" w:rsidRPr="003E1EE8">
        <w:t xml:space="preserve">the </w:t>
      </w:r>
      <w:r w:rsidR="00EF2D4E" w:rsidRPr="003E1EE8">
        <w:t>reali</w:t>
      </w:r>
      <w:r w:rsidR="00EF2D4E">
        <w:t>s</w:t>
      </w:r>
      <w:r w:rsidR="00EF2D4E" w:rsidRPr="003E1EE8">
        <w:t xml:space="preserve">ation </w:t>
      </w:r>
      <w:r w:rsidR="007F168C" w:rsidRPr="003E1EE8">
        <w:t>of opportunities.</w:t>
      </w:r>
    </w:p>
    <w:p w14:paraId="0648C531" w14:textId="7C9352F3" w:rsidR="00F81BF4" w:rsidRPr="003E1EE8" w:rsidRDefault="00F81BF4" w:rsidP="00367473">
      <w:pPr>
        <w:pStyle w:val="NormalIndent"/>
      </w:pPr>
      <w:r w:rsidRPr="003E1EE8">
        <w:t>From a project management perspective, risk management seeks to identify, prevent, contain and reduce negative impacts and maximise opportunities and positive outcomes in the interests of projects and stakeholders.</w:t>
      </w:r>
    </w:p>
    <w:p w14:paraId="3AE236F4" w14:textId="16D6FCFE" w:rsidR="00F81BF4" w:rsidRDefault="00F81BF4" w:rsidP="00367473">
      <w:pPr>
        <w:pStyle w:val="NormalIndent"/>
      </w:pPr>
      <w:r w:rsidRPr="003E1EE8">
        <w:t xml:space="preserve">Risk management </w:t>
      </w:r>
      <w:r w:rsidR="009340CE" w:rsidRPr="003E1EE8">
        <w:t xml:space="preserve">applies to all projects and </w:t>
      </w:r>
      <w:r w:rsidRPr="003E1EE8">
        <w:t xml:space="preserve">should be viewed as an ongoing process throughout a project that begins at </w:t>
      </w:r>
      <w:r w:rsidRPr="00521338">
        <w:t xml:space="preserve">Stage 1: Business </w:t>
      </w:r>
      <w:r w:rsidR="00C94A9F" w:rsidRPr="00521338">
        <w:t>c</w:t>
      </w:r>
      <w:r w:rsidRPr="00521338">
        <w:t>ase</w:t>
      </w:r>
      <w:r w:rsidRPr="003E1EE8">
        <w:t xml:space="preserve"> and continues throughout its entire lifecycle.</w:t>
      </w:r>
    </w:p>
    <w:p w14:paraId="04C07569" w14:textId="2B50B1B7" w:rsidR="00F60131" w:rsidRPr="003E1EE8" w:rsidRDefault="00F60131" w:rsidP="00F60131">
      <w:pPr>
        <w:pStyle w:val="Heading2numbered"/>
      </w:pPr>
      <w:bookmarkStart w:id="976" w:name="_Toc25935493"/>
      <w:r>
        <w:lastRenderedPageBreak/>
        <w:t>Uncertainties</w:t>
      </w:r>
      <w:bookmarkEnd w:id="976"/>
    </w:p>
    <w:p w14:paraId="6176F249" w14:textId="7FFEFD07" w:rsidR="003A3DBD" w:rsidRPr="003E1EE8" w:rsidRDefault="003A3DBD" w:rsidP="00367473">
      <w:pPr>
        <w:pStyle w:val="NormalIndent"/>
      </w:pPr>
      <w:r w:rsidRPr="003E1EE8">
        <w:t>Project uncertainties can have a profound impact on an investment strategy. An investment approach that is considered appropriate under one set of market conditions may become infeasible or undeliverable if circumstances change.</w:t>
      </w:r>
    </w:p>
    <w:p w14:paraId="2B39D1CF" w14:textId="77777777" w:rsidR="003A3DBD" w:rsidRPr="003E1EE8" w:rsidDel="0054463C" w:rsidRDefault="003A3DBD" w:rsidP="00367473">
      <w:pPr>
        <w:pStyle w:val="NormalIndent"/>
      </w:pPr>
      <w:r w:rsidRPr="003E1EE8" w:rsidDel="0054463C">
        <w:t>Factors that can impact our decision to commit to, and deliver, a preferred investment strategy are called uncertainties.</w:t>
      </w:r>
    </w:p>
    <w:p w14:paraId="6432AC44" w14:textId="77777777" w:rsidR="003A3DBD" w:rsidRPr="003E1EE8" w:rsidRDefault="003A3DBD" w:rsidP="00367473">
      <w:pPr>
        <w:pStyle w:val="NormalIndent"/>
      </w:pPr>
      <w:r w:rsidRPr="003E1EE8">
        <w:t xml:space="preserve">Uncertainties differ from risks in that, if they have not been considered in framing a proposal, they cannot be effectively mitigated or ameliorated after committing to the project. They can impact our ability to achieve the intended investment benefits, and therefore influence the preferred investment strategy. </w:t>
      </w:r>
    </w:p>
    <w:p w14:paraId="0707A425" w14:textId="22AAAF41" w:rsidR="003A3DBD" w:rsidRPr="003E1EE8" w:rsidRDefault="009340CE" w:rsidP="00367473">
      <w:pPr>
        <w:pStyle w:val="NormalIndent"/>
      </w:pPr>
      <w:r w:rsidRPr="003E1EE8">
        <w:t xml:space="preserve">All projects should consider the type and degree to which uncertainties may affect a project throughout its lifecycle. </w:t>
      </w:r>
      <w:r w:rsidR="003A3DBD" w:rsidRPr="003E1EE8">
        <w:t xml:space="preserve">Examples of uncertainties are listed </w:t>
      </w:r>
      <w:r w:rsidR="004E7F23" w:rsidRPr="003E1EE8">
        <w:t xml:space="preserve">in Figure 9 </w:t>
      </w:r>
      <w:r w:rsidR="003A3DBD" w:rsidRPr="003E1EE8">
        <w:t>below.</w:t>
      </w:r>
    </w:p>
    <w:p w14:paraId="4B30C115" w14:textId="218A9A10" w:rsidR="003A3DBD" w:rsidRPr="003E1EE8" w:rsidRDefault="003A3DBD" w:rsidP="007C4728">
      <w:pPr>
        <w:pStyle w:val="Caption"/>
        <w:ind w:left="792"/>
      </w:pPr>
      <w:r w:rsidRPr="003E1EE8">
        <w:t xml:space="preserve">Figure </w:t>
      </w:r>
      <w:fldSimple w:instr=" SEQ Figure \* ARABIC ">
        <w:r w:rsidR="00661A02">
          <w:rPr>
            <w:noProof/>
          </w:rPr>
          <w:t>9</w:t>
        </w:r>
      </w:fldSimple>
      <w:r w:rsidRPr="003E1EE8">
        <w:t>: Example</w:t>
      </w:r>
      <w:r w:rsidR="004E7F23" w:rsidRPr="003E1EE8">
        <w:t>s</w:t>
      </w:r>
      <w:r w:rsidRPr="003E1EE8">
        <w:t xml:space="preserve"> of types of uncertainties</w:t>
      </w:r>
    </w:p>
    <w:tbl>
      <w:tblPr>
        <w:tblStyle w:val="TableGrid"/>
        <w:tblW w:w="8503" w:type="dxa"/>
        <w:tblInd w:w="7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115" w:type="dxa"/>
          <w:right w:w="115" w:type="dxa"/>
        </w:tblCellMar>
        <w:tblLook w:val="04A0" w:firstRow="1" w:lastRow="0" w:firstColumn="1" w:lastColumn="0" w:noHBand="0" w:noVBand="1"/>
      </w:tblPr>
      <w:tblGrid>
        <w:gridCol w:w="2383"/>
        <w:gridCol w:w="6120"/>
      </w:tblGrid>
      <w:tr w:rsidR="00C77AE4" w:rsidRPr="003E1EE8" w14:paraId="67D99960" w14:textId="77777777" w:rsidTr="00C77AE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3" w:type="dxa"/>
            <w:shd w:val="clear" w:color="auto" w:fill="004EA8" w:themeFill="accent2"/>
          </w:tcPr>
          <w:p w14:paraId="20754D02" w14:textId="45C75147" w:rsidR="00C77AE4" w:rsidRPr="003E1EE8" w:rsidRDefault="00C77AE4" w:rsidP="00C77AE4">
            <w:pPr>
              <w:pStyle w:val="Tableheader"/>
              <w:rPr>
                <w:b/>
              </w:rPr>
            </w:pPr>
            <w:r w:rsidRPr="003E1EE8">
              <w:rPr>
                <w:b/>
              </w:rPr>
              <w:t>Drivers of uncertainty</w:t>
            </w:r>
          </w:p>
        </w:tc>
        <w:tc>
          <w:tcPr>
            <w:tcW w:w="6120" w:type="dxa"/>
            <w:shd w:val="clear" w:color="auto" w:fill="004EA8" w:themeFill="accent2"/>
          </w:tcPr>
          <w:p w14:paraId="4F180737" w14:textId="0A85E46B" w:rsidR="00C77AE4" w:rsidRPr="003E1EE8" w:rsidRDefault="00C77AE4" w:rsidP="00C77AE4">
            <w:pPr>
              <w:pStyle w:val="Tableheader"/>
              <w:cnfStyle w:val="100000000000" w:firstRow="1" w:lastRow="0" w:firstColumn="0" w:lastColumn="0" w:oddVBand="0" w:evenVBand="0" w:oddHBand="0" w:evenHBand="0" w:firstRowFirstColumn="0" w:firstRowLastColumn="0" w:lastRowFirstColumn="0" w:lastRowLastColumn="0"/>
              <w:rPr>
                <w:b/>
              </w:rPr>
            </w:pPr>
            <w:r w:rsidRPr="003E1EE8">
              <w:rPr>
                <w:b/>
              </w:rPr>
              <w:t>Examples</w:t>
            </w:r>
          </w:p>
        </w:tc>
      </w:tr>
      <w:tr w:rsidR="00C77AE4" w:rsidRPr="003E1EE8" w14:paraId="0B939A68" w14:textId="77777777" w:rsidTr="00C77AE4">
        <w:trPr>
          <w:cantSplit/>
        </w:trPr>
        <w:tc>
          <w:tcPr>
            <w:cnfStyle w:val="001000000000" w:firstRow="0" w:lastRow="0" w:firstColumn="1" w:lastColumn="0" w:oddVBand="0" w:evenVBand="0" w:oddHBand="0" w:evenHBand="0" w:firstRowFirstColumn="0" w:firstRowLastColumn="0" w:lastRowFirstColumn="0" w:lastRowLastColumn="0"/>
            <w:tcW w:w="2383" w:type="dxa"/>
            <w:shd w:val="clear" w:color="auto" w:fill="D9D9D9" w:themeFill="background1" w:themeFillShade="D9"/>
          </w:tcPr>
          <w:p w14:paraId="278A2330" w14:textId="6DC6F82F" w:rsidR="00C77AE4" w:rsidRPr="003E1EE8" w:rsidRDefault="00C77AE4" w:rsidP="00C77AE4">
            <w:pPr>
              <w:pStyle w:val="Tabletext0"/>
            </w:pPr>
            <w:r w:rsidRPr="003E1EE8">
              <w:t>Demographic change</w:t>
            </w:r>
          </w:p>
        </w:tc>
        <w:tc>
          <w:tcPr>
            <w:tcW w:w="6120" w:type="dxa"/>
            <w:shd w:val="clear" w:color="auto" w:fill="D9D9D9" w:themeFill="background1" w:themeFillShade="D9"/>
          </w:tcPr>
          <w:p w14:paraId="7974A966" w14:textId="052C1053"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Population growth and decline, ageing population, increasing multi-culturalism, changing levels of inequality, changing workforce.</w:t>
            </w:r>
          </w:p>
        </w:tc>
      </w:tr>
      <w:tr w:rsidR="00C77AE4" w:rsidRPr="003E1EE8" w14:paraId="12945126" w14:textId="77777777" w:rsidTr="00C77AE4">
        <w:trPr>
          <w:cantSplit/>
        </w:trPr>
        <w:tc>
          <w:tcPr>
            <w:cnfStyle w:val="001000000000" w:firstRow="0" w:lastRow="0" w:firstColumn="1" w:lastColumn="0" w:oddVBand="0" w:evenVBand="0" w:oddHBand="0" w:evenHBand="0" w:firstRowFirstColumn="0" w:firstRowLastColumn="0" w:lastRowFirstColumn="0" w:lastRowLastColumn="0"/>
            <w:tcW w:w="2383" w:type="dxa"/>
            <w:shd w:val="clear" w:color="auto" w:fill="D9D9D9" w:themeFill="background1" w:themeFillShade="D9"/>
          </w:tcPr>
          <w:p w14:paraId="6D3FF477" w14:textId="5EF9C8EA" w:rsidR="00C77AE4" w:rsidRPr="003E1EE8" w:rsidRDefault="00C77AE4" w:rsidP="00C77AE4">
            <w:pPr>
              <w:pStyle w:val="Tabletext0"/>
            </w:pPr>
            <w:r w:rsidRPr="003E1EE8">
              <w:t>Economic change</w:t>
            </w:r>
          </w:p>
        </w:tc>
        <w:tc>
          <w:tcPr>
            <w:tcW w:w="6120" w:type="dxa"/>
            <w:shd w:val="clear" w:color="auto" w:fill="D9D9D9" w:themeFill="background1" w:themeFillShade="D9"/>
          </w:tcPr>
          <w:p w14:paraId="499274B6" w14:textId="2F9D95FF"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Changes in global economic conditions, fluctuations in Australian dollar, economic structure changes, industry sector trends, labour movement, changing socio-economic profiles of communities.</w:t>
            </w:r>
          </w:p>
        </w:tc>
      </w:tr>
      <w:tr w:rsidR="00C77AE4" w:rsidRPr="003E1EE8" w14:paraId="735EFDB5" w14:textId="77777777" w:rsidTr="00C77AE4">
        <w:trPr>
          <w:cantSplit/>
        </w:trPr>
        <w:tc>
          <w:tcPr>
            <w:cnfStyle w:val="001000000000" w:firstRow="0" w:lastRow="0" w:firstColumn="1" w:lastColumn="0" w:oddVBand="0" w:evenVBand="0" w:oddHBand="0" w:evenHBand="0" w:firstRowFirstColumn="0" w:firstRowLastColumn="0" w:lastRowFirstColumn="0" w:lastRowLastColumn="0"/>
            <w:tcW w:w="2383" w:type="dxa"/>
            <w:shd w:val="clear" w:color="auto" w:fill="D9D9D9" w:themeFill="background1" w:themeFillShade="D9"/>
          </w:tcPr>
          <w:p w14:paraId="1E5ACA5B" w14:textId="1E3809B5" w:rsidR="00C77AE4" w:rsidRPr="003E1EE8" w:rsidRDefault="00C77AE4" w:rsidP="00C77AE4">
            <w:pPr>
              <w:pStyle w:val="Tabletext0"/>
            </w:pPr>
            <w:r w:rsidRPr="003E1EE8">
              <w:t>Environmental</w:t>
            </w:r>
          </w:p>
        </w:tc>
        <w:tc>
          <w:tcPr>
            <w:tcW w:w="6120" w:type="dxa"/>
            <w:shd w:val="clear" w:color="auto" w:fill="D9D9D9" w:themeFill="background1" w:themeFillShade="D9"/>
          </w:tcPr>
          <w:p w14:paraId="1C11D682" w14:textId="66D92F75"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Climate change, increased frequency of extreme weather, changes to water availability, drive for sustainability, changing land use.</w:t>
            </w:r>
          </w:p>
        </w:tc>
      </w:tr>
      <w:tr w:rsidR="00C77AE4" w:rsidRPr="003E1EE8" w14:paraId="2111BCA0" w14:textId="77777777" w:rsidTr="00C77AE4">
        <w:trPr>
          <w:cantSplit/>
        </w:trPr>
        <w:tc>
          <w:tcPr>
            <w:cnfStyle w:val="001000000000" w:firstRow="0" w:lastRow="0" w:firstColumn="1" w:lastColumn="0" w:oddVBand="0" w:evenVBand="0" w:oddHBand="0" w:evenHBand="0" w:firstRowFirstColumn="0" w:firstRowLastColumn="0" w:lastRowFirstColumn="0" w:lastRowLastColumn="0"/>
            <w:tcW w:w="2383" w:type="dxa"/>
            <w:shd w:val="clear" w:color="auto" w:fill="D9D9D9" w:themeFill="background1" w:themeFillShade="D9"/>
          </w:tcPr>
          <w:p w14:paraId="2E62EB9D" w14:textId="407E05E4" w:rsidR="00C77AE4" w:rsidRPr="003E1EE8" w:rsidRDefault="00C77AE4" w:rsidP="00C77AE4">
            <w:pPr>
              <w:pStyle w:val="Tabletext0"/>
            </w:pPr>
            <w:r w:rsidRPr="003E1EE8">
              <w:t>Government, policy, legislative and legal</w:t>
            </w:r>
          </w:p>
        </w:tc>
        <w:tc>
          <w:tcPr>
            <w:tcW w:w="6120" w:type="dxa"/>
            <w:shd w:val="clear" w:color="auto" w:fill="D9D9D9" w:themeFill="background1" w:themeFillShade="D9"/>
          </w:tcPr>
          <w:p w14:paraId="23F5A042" w14:textId="3DB4C568"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Changes to national and State policy agenda and priorities, changes to free trade agreements, asset failure risk.</w:t>
            </w:r>
          </w:p>
        </w:tc>
      </w:tr>
      <w:tr w:rsidR="00C77AE4" w:rsidRPr="003E1EE8" w14:paraId="113AA19E" w14:textId="77777777" w:rsidTr="00C77AE4">
        <w:trPr>
          <w:cantSplit/>
        </w:trPr>
        <w:tc>
          <w:tcPr>
            <w:cnfStyle w:val="001000000000" w:firstRow="0" w:lastRow="0" w:firstColumn="1" w:lastColumn="0" w:oddVBand="0" w:evenVBand="0" w:oddHBand="0" w:evenHBand="0" w:firstRowFirstColumn="0" w:firstRowLastColumn="0" w:lastRowFirstColumn="0" w:lastRowLastColumn="0"/>
            <w:tcW w:w="2383" w:type="dxa"/>
            <w:shd w:val="clear" w:color="auto" w:fill="D9D9D9" w:themeFill="background1" w:themeFillShade="D9"/>
          </w:tcPr>
          <w:p w14:paraId="25E403F1" w14:textId="1156F46E" w:rsidR="00C77AE4" w:rsidRPr="003E1EE8" w:rsidRDefault="00C77AE4" w:rsidP="00C77AE4">
            <w:pPr>
              <w:pStyle w:val="Tabletext0"/>
            </w:pPr>
            <w:r w:rsidRPr="003E1EE8">
              <w:t>Technological</w:t>
            </w:r>
          </w:p>
        </w:tc>
        <w:tc>
          <w:tcPr>
            <w:tcW w:w="6120" w:type="dxa"/>
            <w:shd w:val="clear" w:color="auto" w:fill="D9D9D9" w:themeFill="background1" w:themeFillShade="D9"/>
          </w:tcPr>
          <w:p w14:paraId="3777FD3B" w14:textId="1D1918BD" w:rsidR="00C77AE4" w:rsidRPr="003E1EE8" w:rsidRDefault="00C77AE4" w:rsidP="00C77AE4">
            <w:pPr>
              <w:pStyle w:val="Tabletext0"/>
              <w:cnfStyle w:val="000000000000" w:firstRow="0" w:lastRow="0" w:firstColumn="0" w:lastColumn="0" w:oddVBand="0" w:evenVBand="0" w:oddHBand="0" w:evenHBand="0" w:firstRowFirstColumn="0" w:firstRowLastColumn="0" w:lastRowFirstColumn="0" w:lastRowLastColumn="0"/>
            </w:pPr>
            <w:r w:rsidRPr="003E1EE8">
              <w:t>Evolving information and communication technology, shift from face-to-face to online service provision, autonomous vehicles, 3D printing.</w:t>
            </w:r>
          </w:p>
        </w:tc>
      </w:tr>
    </w:tbl>
    <w:p w14:paraId="14140564" w14:textId="77777777" w:rsidR="00C77AE4" w:rsidRPr="003E1EE8" w:rsidRDefault="00C77AE4" w:rsidP="00C77AE4">
      <w:pPr>
        <w:pStyle w:val="Spacer"/>
      </w:pPr>
    </w:p>
    <w:p w14:paraId="34A159C8" w14:textId="362D15FD" w:rsidR="00A843B3" w:rsidRPr="003E1EE8" w:rsidRDefault="003A3DBD" w:rsidP="00367473">
      <w:pPr>
        <w:pStyle w:val="Heading3numbered"/>
      </w:pPr>
      <w:r w:rsidRPr="003E1EE8">
        <w:t>Flexible approaches to dealing with uncertainty</w:t>
      </w:r>
    </w:p>
    <w:p w14:paraId="02037FAE" w14:textId="44F51948" w:rsidR="003A3DBD" w:rsidRPr="003E1EE8" w:rsidRDefault="003A3DBD" w:rsidP="00367473">
      <w:pPr>
        <w:pStyle w:val="NormalIndent"/>
      </w:pPr>
      <w:r w:rsidRPr="003E1EE8">
        <w:t xml:space="preserve">Real options are one approach to managing uncertainty. </w:t>
      </w:r>
      <w:r w:rsidR="00856255" w:rsidRPr="003E1EE8">
        <w:t>They</w:t>
      </w:r>
      <w:r w:rsidRPr="003E1EE8">
        <w:t xml:space="preserve"> enable investors to recognise the value of flexibility in project design and to incorporate flexible approaches to better manage projects that are significantly impacted by uncertainty.</w:t>
      </w:r>
    </w:p>
    <w:p w14:paraId="2CFE2D91" w14:textId="75CEBC41" w:rsidR="00A843B3" w:rsidRPr="003E1EE8" w:rsidRDefault="00A843B3" w:rsidP="00367473">
      <w:pPr>
        <w:pStyle w:val="NormalIndent"/>
      </w:pPr>
      <w:r w:rsidRPr="003E1EE8">
        <w:t xml:space="preserve">Real options </w:t>
      </w:r>
      <w:r w:rsidR="009A2423" w:rsidRPr="003E1EE8">
        <w:t>are</w:t>
      </w:r>
      <w:r w:rsidRPr="003E1EE8">
        <w:t xml:space="preserve"> the right, but not the obligation, for an investor to undertake certain actions in the future to alter a project pathway (scope) when uncertainty impacts current project scope. They are called ‘real’ options because they generally relate to physical assets.</w:t>
      </w:r>
      <w:r w:rsidR="00F31D61" w:rsidRPr="003E1EE8">
        <w:t xml:space="preserve"> </w:t>
      </w:r>
      <w:r w:rsidR="00F31D61" w:rsidRPr="003E1EE8">
        <w:rPr>
          <w:bCs/>
        </w:rPr>
        <w:t>R</w:t>
      </w:r>
      <w:r w:rsidR="00F31D61" w:rsidRPr="003E1EE8">
        <w:t>eal options are distinguished from ‘choices’ or ‘alternatives’ by being defined in advance (often via a contract).</w:t>
      </w:r>
      <w:r w:rsidR="00D71CC9" w:rsidRPr="003E1EE8">
        <w:t xml:space="preserve"> Real options analysis is an investment evaluation and decision</w:t>
      </w:r>
      <w:r w:rsidR="00D71CC9" w:rsidRPr="003E1EE8">
        <w:noBreakHyphen/>
        <w:t>making framework.</w:t>
      </w:r>
    </w:p>
    <w:p w14:paraId="0579F690" w14:textId="77777777" w:rsidR="008A4B86" w:rsidRDefault="008A4B86">
      <w:pPr>
        <w:keepLines w:val="0"/>
        <w:spacing w:after="160" w:line="264" w:lineRule="auto"/>
      </w:pPr>
      <w:r>
        <w:br w:type="page"/>
      </w:r>
    </w:p>
    <w:p w14:paraId="2E26DA56" w14:textId="7FDABC62" w:rsidR="00F31D61" w:rsidRPr="003E1EE8" w:rsidRDefault="00F31D61" w:rsidP="00367473">
      <w:pPr>
        <w:pStyle w:val="NormalIndent"/>
      </w:pPr>
      <w:r w:rsidRPr="003E1EE8">
        <w:lastRenderedPageBreak/>
        <w:t>Key elements of a real option include:</w:t>
      </w:r>
    </w:p>
    <w:p w14:paraId="2392D3BC" w14:textId="44D0599A" w:rsidR="00F31D61" w:rsidRPr="003E1EE8" w:rsidRDefault="00966BD8" w:rsidP="00367473">
      <w:pPr>
        <w:pStyle w:val="Bulletindent"/>
      </w:pPr>
      <w:r>
        <w:rPr>
          <w:b/>
        </w:rPr>
        <w:t>o</w:t>
      </w:r>
      <w:r w:rsidRPr="003E1EE8">
        <w:rPr>
          <w:b/>
        </w:rPr>
        <w:t xml:space="preserve">ption </w:t>
      </w:r>
      <w:r w:rsidR="00F31D61" w:rsidRPr="003E1EE8">
        <w:rPr>
          <w:b/>
        </w:rPr>
        <w:t>costs</w:t>
      </w:r>
      <w:r w:rsidR="00F31D61" w:rsidRPr="002F2E09">
        <w:rPr>
          <w:b/>
        </w:rPr>
        <w:t>:</w:t>
      </w:r>
      <w:r w:rsidR="00F31D61" w:rsidRPr="003E1EE8">
        <w:t xml:space="preserve"> costs associated with creating the flexibility to change the investment strategy and then maintaining effective access to the option;</w:t>
      </w:r>
    </w:p>
    <w:p w14:paraId="52D19981" w14:textId="288D4D08" w:rsidR="00F31D61" w:rsidRPr="003E1EE8" w:rsidRDefault="00966BD8" w:rsidP="00367473">
      <w:pPr>
        <w:pStyle w:val="Bulletindent"/>
      </w:pPr>
      <w:r>
        <w:rPr>
          <w:b/>
        </w:rPr>
        <w:t>e</w:t>
      </w:r>
      <w:r w:rsidRPr="003E1EE8">
        <w:rPr>
          <w:b/>
        </w:rPr>
        <w:t xml:space="preserve">xercise </w:t>
      </w:r>
      <w:r w:rsidR="00F31D61" w:rsidRPr="003E1EE8">
        <w:rPr>
          <w:b/>
        </w:rPr>
        <w:t>cost</w:t>
      </w:r>
      <w:r w:rsidR="00F31D61" w:rsidRPr="002F2E09">
        <w:rPr>
          <w:b/>
        </w:rPr>
        <w:t>:</w:t>
      </w:r>
      <w:r w:rsidR="00F31D61" w:rsidRPr="003E1EE8">
        <w:t xml:space="preserve"> the cost to exercise the option;</w:t>
      </w:r>
    </w:p>
    <w:p w14:paraId="4DFACB45" w14:textId="6E409B8E" w:rsidR="00F31D61" w:rsidRPr="003E1EE8" w:rsidRDefault="00966BD8" w:rsidP="00367473">
      <w:pPr>
        <w:pStyle w:val="Bulletindent"/>
      </w:pPr>
      <w:r>
        <w:rPr>
          <w:b/>
        </w:rPr>
        <w:t>l</w:t>
      </w:r>
      <w:r w:rsidRPr="003E1EE8">
        <w:rPr>
          <w:b/>
        </w:rPr>
        <w:t xml:space="preserve">ife </w:t>
      </w:r>
      <w:r w:rsidR="00F31D61" w:rsidRPr="003E1EE8">
        <w:rPr>
          <w:b/>
        </w:rPr>
        <w:t>of an option</w:t>
      </w:r>
      <w:r w:rsidR="00F31D61" w:rsidRPr="002F2E09">
        <w:rPr>
          <w:b/>
        </w:rPr>
        <w:t>:</w:t>
      </w:r>
      <w:r w:rsidR="00F31D61" w:rsidRPr="003E1EE8">
        <w:t xml:space="preserve"> the time until the option is no longer valid or available; and</w:t>
      </w:r>
    </w:p>
    <w:p w14:paraId="2954F501" w14:textId="40D3A90A" w:rsidR="00F31D61" w:rsidRPr="003E1EE8" w:rsidRDefault="00966BD8" w:rsidP="00367473">
      <w:pPr>
        <w:pStyle w:val="Bulletindent"/>
      </w:pPr>
      <w:r>
        <w:rPr>
          <w:b/>
        </w:rPr>
        <w:t>e</w:t>
      </w:r>
      <w:r w:rsidRPr="003E1EE8">
        <w:rPr>
          <w:b/>
        </w:rPr>
        <w:t xml:space="preserve">xercise </w:t>
      </w:r>
      <w:r w:rsidR="00F31D61" w:rsidRPr="003E1EE8">
        <w:rPr>
          <w:b/>
        </w:rPr>
        <w:t>trigger (or exercise signal)</w:t>
      </w:r>
      <w:r w:rsidR="00F31D61" w:rsidRPr="002F2E09">
        <w:rPr>
          <w:b/>
        </w:rPr>
        <w:t>:</w:t>
      </w:r>
      <w:r w:rsidR="00F31D61" w:rsidRPr="003E1EE8">
        <w:t xml:space="preserve"> the conditions that define or signal when a real option should be exercised.</w:t>
      </w:r>
    </w:p>
    <w:p w14:paraId="3B47E029" w14:textId="2E859523" w:rsidR="00A843B3" w:rsidRDefault="00F31D61" w:rsidP="008A4B86">
      <w:pPr>
        <w:pStyle w:val="NormalIndent"/>
        <w:ind w:right="444"/>
      </w:pPr>
      <w:r w:rsidRPr="003E1EE8">
        <w:t>Actions that could be taken at different stages of a project</w:t>
      </w:r>
      <w:r w:rsidR="0001108F" w:rsidRPr="003E1EE8">
        <w:t>’</w:t>
      </w:r>
      <w:r w:rsidRPr="003E1EE8">
        <w:t xml:space="preserve">s lifecycle are set out </w:t>
      </w:r>
      <w:r w:rsidR="0001108F" w:rsidRPr="003E1EE8">
        <w:t xml:space="preserve">in </w:t>
      </w:r>
      <w:r w:rsidR="009108D3" w:rsidRPr="003E1EE8">
        <w:fldChar w:fldCharType="begin"/>
      </w:r>
      <w:r w:rsidR="009108D3" w:rsidRPr="003E1EE8">
        <w:instrText xml:space="preserve"> REF _Ref21688000 \h  \* MERGEFORMAT </w:instrText>
      </w:r>
      <w:r w:rsidR="009108D3" w:rsidRPr="003E1EE8">
        <w:fldChar w:fldCharType="separate"/>
      </w:r>
      <w:r w:rsidR="00661A02" w:rsidRPr="003E1EE8">
        <w:t xml:space="preserve">Figure </w:t>
      </w:r>
      <w:r w:rsidR="00661A02">
        <w:t>10</w:t>
      </w:r>
      <w:r w:rsidR="009108D3" w:rsidRPr="003E1EE8">
        <w:fldChar w:fldCharType="end"/>
      </w:r>
      <w:r w:rsidRPr="003E1EE8">
        <w:t xml:space="preserve">. </w:t>
      </w:r>
    </w:p>
    <w:p w14:paraId="067E6A2B" w14:textId="19BD3E77" w:rsidR="00D71CC9" w:rsidRPr="003E1EE8" w:rsidRDefault="00D71CC9" w:rsidP="008A4B86">
      <w:pPr>
        <w:pStyle w:val="Caption"/>
        <w:ind w:left="792"/>
      </w:pPr>
      <w:bookmarkStart w:id="977" w:name="_Ref21688000"/>
      <w:r w:rsidRPr="003E1EE8">
        <w:t xml:space="preserve">Figure </w:t>
      </w:r>
      <w:fldSimple w:instr=" SEQ Figure \* ARABIC ">
        <w:r w:rsidR="00661A02">
          <w:rPr>
            <w:noProof/>
          </w:rPr>
          <w:t>10</w:t>
        </w:r>
      </w:fldSimple>
      <w:bookmarkEnd w:id="977"/>
      <w:r w:rsidRPr="003E1EE8">
        <w:t>: Actions that could be taken to manage uncertainties</w:t>
      </w:r>
    </w:p>
    <w:p w14:paraId="3D0F8B22" w14:textId="77777777" w:rsidR="00C77AE4" w:rsidRPr="003E1EE8" w:rsidRDefault="00C77AE4" w:rsidP="00C77AE4">
      <w:pPr>
        <w:pStyle w:val="NormalIndent"/>
        <w:spacing w:after="0"/>
        <w:ind w:left="720"/>
      </w:pPr>
      <w:r w:rsidRPr="003E1EE8">
        <w:rPr>
          <w:noProof/>
          <w:lang w:val="en-US" w:eastAsia="en-US"/>
        </w:rPr>
        <w:drawing>
          <wp:inline distT="0" distB="0" distL="0" distR="0" wp14:anchorId="18596607" wp14:editId="4EE19907">
            <wp:extent cx="5533134" cy="387350"/>
            <wp:effectExtent l="19050" t="0" r="0" b="12700"/>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tbl>
      <w:tblPr>
        <w:tblStyle w:val="TableGrid"/>
        <w:tblW w:w="8309" w:type="dxa"/>
        <w:tblInd w:w="867" w:type="dxa"/>
        <w:tblLayout w:type="fixed"/>
        <w:tblCellMar>
          <w:left w:w="86" w:type="dxa"/>
          <w:right w:w="86" w:type="dxa"/>
        </w:tblCellMar>
        <w:tblLook w:val="0600" w:firstRow="0" w:lastRow="0" w:firstColumn="0" w:lastColumn="0" w:noHBand="1" w:noVBand="1"/>
      </w:tblPr>
      <w:tblGrid>
        <w:gridCol w:w="1661"/>
        <w:gridCol w:w="1662"/>
        <w:gridCol w:w="1662"/>
        <w:gridCol w:w="1662"/>
        <w:gridCol w:w="1662"/>
      </w:tblGrid>
      <w:tr w:rsidR="00C77AE4" w:rsidRPr="003E1EE8" w14:paraId="113FEF62" w14:textId="77777777" w:rsidTr="00C77AE4">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12C9FFB1" w14:textId="77777777" w:rsidR="00C77AE4" w:rsidRPr="003E1EE8" w:rsidRDefault="00C77AE4" w:rsidP="00C77AE4">
            <w:pPr>
              <w:rPr>
                <w:sz w:val="16"/>
                <w:szCs w:val="16"/>
              </w:rPr>
            </w:pPr>
            <w:r w:rsidRPr="003E1EE8">
              <w:rPr>
                <w:sz w:val="16"/>
                <w:szCs w:val="16"/>
              </w:rPr>
              <w:t>Assess the nature of and extent to which uncertainties could impact the investment and assess whether flexibility can be incorporated into a response (strategy) to address that uncertainty.</w:t>
            </w:r>
          </w:p>
          <w:p w14:paraId="6A62D85A" w14:textId="77777777" w:rsidR="00C77AE4" w:rsidRPr="003E1EE8" w:rsidRDefault="00C77AE4" w:rsidP="00C77AE4">
            <w:pPr>
              <w:rPr>
                <w:sz w:val="16"/>
                <w:szCs w:val="16"/>
              </w:rPr>
            </w:pPr>
            <w:r w:rsidRPr="003E1EE8">
              <w:rPr>
                <w:sz w:val="16"/>
                <w:szCs w:val="16"/>
              </w:rPr>
              <w:t xml:space="preserve">Ensure identified uncertainties and actions to address their impact are considered in business case. </w:t>
            </w:r>
          </w:p>
          <w:p w14:paraId="118241FF" w14:textId="06086B14" w:rsidR="00C77AE4" w:rsidRPr="003E1EE8" w:rsidRDefault="00C77AE4" w:rsidP="00C77AE4">
            <w:pPr>
              <w:rPr>
                <w:sz w:val="16"/>
                <w:szCs w:val="16"/>
              </w:rPr>
            </w:pPr>
            <w:r w:rsidRPr="003E1EE8">
              <w:rPr>
                <w:sz w:val="16"/>
                <w:szCs w:val="16"/>
              </w:rPr>
              <w:t>Consider whether cost-benefit analysis of responses should be augmented with real options valuations to quantify the value that flexibility can add to an investment and account for flexibility to adapt an investment strategy in response to change</w:t>
            </w:r>
            <w:r w:rsidR="00EC183B" w:rsidRPr="003E1EE8">
              <w:rPr>
                <w:sz w:val="16"/>
                <w:szCs w:val="16"/>
              </w:rPr>
              <w:t xml:space="preserve">. </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55E7115B" w14:textId="77777777" w:rsidR="00C77AE4" w:rsidRPr="003E1EE8" w:rsidRDefault="00C77AE4" w:rsidP="00C77AE4">
            <w:pPr>
              <w:rPr>
                <w:sz w:val="16"/>
                <w:szCs w:val="16"/>
              </w:rPr>
            </w:pPr>
            <w:r w:rsidRPr="003E1EE8">
              <w:rPr>
                <w:sz w:val="16"/>
                <w:szCs w:val="16"/>
              </w:rPr>
              <w:t>Undertake due diligence to reduce uncertainty or provide certainty and ensure technical specifications reflect any required flexibility.</w:t>
            </w:r>
          </w:p>
          <w:p w14:paraId="1C91A614" w14:textId="77777777" w:rsidR="00C77AE4" w:rsidRPr="003E1EE8" w:rsidRDefault="00C77AE4" w:rsidP="00C77AE4">
            <w:pPr>
              <w:rPr>
                <w:sz w:val="16"/>
                <w:szCs w:val="16"/>
              </w:rPr>
            </w:pPr>
            <w:r w:rsidRPr="003E1EE8">
              <w:rPr>
                <w:sz w:val="16"/>
                <w:szCs w:val="16"/>
              </w:rPr>
              <w:t xml:space="preserve">Ensure contract documentation addresses real options or flexibility requirements, including when and how any real options can be exercised, actions to be taken and their impacts. </w:t>
            </w:r>
          </w:p>
          <w:p w14:paraId="4D2A8ED4" w14:textId="798177E6" w:rsidR="00C77AE4" w:rsidRPr="003E1EE8" w:rsidRDefault="00C77AE4" w:rsidP="00C77AE4">
            <w:pPr>
              <w:rPr>
                <w:sz w:val="16"/>
                <w:szCs w:val="16"/>
              </w:rPr>
            </w:pPr>
            <w:r w:rsidRPr="003E1EE8">
              <w:rPr>
                <w:sz w:val="16"/>
                <w:szCs w:val="16"/>
              </w:rPr>
              <w:t>Analyse the supply market and identify any supply-side uncertainties. Develop and exercise any flexibility or real options to manage supply-side uncertainties where appropriate.</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0268C9DA" w14:textId="0C8DD292" w:rsidR="00C77AE4" w:rsidRPr="003E1EE8" w:rsidRDefault="00C77AE4" w:rsidP="00C77AE4">
            <w:pPr>
              <w:rPr>
                <w:sz w:val="16"/>
                <w:szCs w:val="16"/>
              </w:rPr>
            </w:pPr>
            <w:r w:rsidRPr="003E1EE8">
              <w:rPr>
                <w:sz w:val="16"/>
                <w:szCs w:val="16"/>
              </w:rPr>
              <w:t>Monitor conditions (for example, via an uncertainty register) to determine if and when any real options should be exercised</w:t>
            </w:r>
            <w:r w:rsidR="00EC183B" w:rsidRPr="003E1EE8">
              <w:rPr>
                <w:sz w:val="16"/>
                <w:szCs w:val="16"/>
              </w:rPr>
              <w:t xml:space="preserve">. </w:t>
            </w:r>
          </w:p>
          <w:p w14:paraId="74B647E2" w14:textId="71D15DA5" w:rsidR="00C77AE4" w:rsidRPr="003E1EE8" w:rsidRDefault="00C77AE4" w:rsidP="00C77AE4">
            <w:pPr>
              <w:rPr>
                <w:sz w:val="16"/>
                <w:szCs w:val="16"/>
              </w:rPr>
            </w:pPr>
            <w:r w:rsidRPr="003E1EE8">
              <w:rPr>
                <w:sz w:val="16"/>
                <w:szCs w:val="16"/>
              </w:rPr>
              <w:t>Exercise real options if and when appropriate to do so.</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11E66F39" w14:textId="69857D5A" w:rsidR="00C77AE4" w:rsidRPr="003E1EE8" w:rsidRDefault="00C77AE4" w:rsidP="00C77AE4">
            <w:pPr>
              <w:rPr>
                <w:sz w:val="16"/>
                <w:szCs w:val="16"/>
              </w:rPr>
            </w:pPr>
            <w:r w:rsidRPr="003E1EE8">
              <w:rPr>
                <w:sz w:val="16"/>
                <w:szCs w:val="16"/>
              </w:rPr>
              <w:t xml:space="preserve">Assess the effectiveness of </w:t>
            </w:r>
            <w:r w:rsidR="0086357F">
              <w:rPr>
                <w:sz w:val="16"/>
                <w:szCs w:val="16"/>
              </w:rPr>
              <w:br/>
            </w:r>
            <w:r w:rsidRPr="003E1EE8">
              <w:rPr>
                <w:sz w:val="16"/>
                <w:szCs w:val="16"/>
              </w:rPr>
              <w:t xml:space="preserve">any optionality in enabling the project to respond to uncertainty. </w:t>
            </w:r>
          </w:p>
          <w:p w14:paraId="0FF0A663" w14:textId="3BCD640B" w:rsidR="00C77AE4" w:rsidRPr="003E1EE8" w:rsidRDefault="00C77AE4" w:rsidP="00C77AE4">
            <w:pPr>
              <w:rPr>
                <w:sz w:val="16"/>
                <w:szCs w:val="16"/>
              </w:rPr>
            </w:pPr>
            <w:r w:rsidRPr="003E1EE8">
              <w:rPr>
                <w:sz w:val="16"/>
                <w:szCs w:val="16"/>
              </w:rPr>
              <w:t>Identify whether new options have emerged that should now be considered.</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1E2BCC0E" w14:textId="031A4A49" w:rsidR="00C77AE4" w:rsidRPr="003E1EE8" w:rsidRDefault="00C77AE4" w:rsidP="00C77AE4">
            <w:pPr>
              <w:rPr>
                <w:sz w:val="16"/>
                <w:szCs w:val="16"/>
              </w:rPr>
            </w:pPr>
            <w:r w:rsidRPr="003E1EE8">
              <w:rPr>
                <w:sz w:val="16"/>
                <w:szCs w:val="16"/>
              </w:rPr>
              <w:t xml:space="preserve">Manage asset through its operational life, responding to changing demand conditions and implementing options as appropriate. </w:t>
            </w:r>
          </w:p>
        </w:tc>
      </w:tr>
      <w:tr w:rsidR="00C77AE4" w:rsidRPr="003E1EE8" w14:paraId="1BE0E4B5" w14:textId="77777777" w:rsidTr="00C77AE4">
        <w:tc>
          <w:tcPr>
            <w:tcW w:w="16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01A86ECC" w14:textId="40F06A5F" w:rsidR="00C77AE4" w:rsidRPr="003E1EE8" w:rsidRDefault="00C77AE4" w:rsidP="00C77AE4">
            <w:pPr>
              <w:rPr>
                <w:i/>
                <w:sz w:val="16"/>
                <w:szCs w:val="16"/>
              </w:rPr>
            </w:pPr>
            <w:r w:rsidRPr="003E1EE8">
              <w:rPr>
                <w:sz w:val="16"/>
                <w:szCs w:val="16"/>
              </w:rPr>
              <w:t>See</w:t>
            </w:r>
            <w:r w:rsidRPr="003E1EE8">
              <w:rPr>
                <w:i/>
                <w:sz w:val="16"/>
                <w:szCs w:val="16"/>
              </w:rPr>
              <w:t xml:space="preserve"> </w:t>
            </w:r>
            <w:r w:rsidRPr="003E1EE8">
              <w:rPr>
                <w:b/>
                <w:sz w:val="16"/>
                <w:szCs w:val="16"/>
              </w:rPr>
              <w:t xml:space="preserve">Business </w:t>
            </w:r>
            <w:r w:rsidR="002F2E09" w:rsidRPr="003E1EE8">
              <w:rPr>
                <w:b/>
                <w:sz w:val="16"/>
                <w:szCs w:val="16"/>
              </w:rPr>
              <w:t>case</w:t>
            </w:r>
            <w:r w:rsidR="002F2E09" w:rsidRPr="003E1EE8">
              <w:rPr>
                <w:i/>
                <w:sz w:val="16"/>
                <w:szCs w:val="16"/>
              </w:rPr>
              <w:t xml:space="preserve"> </w:t>
            </w:r>
            <w:r w:rsidRPr="003E1EE8">
              <w:rPr>
                <w:sz w:val="16"/>
                <w:szCs w:val="16"/>
              </w:rPr>
              <w:t>stage</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35AF3CDC" w14:textId="6B4E346C" w:rsidR="00C77AE4" w:rsidRPr="003E1EE8" w:rsidRDefault="00C77AE4" w:rsidP="00C77AE4">
            <w:pPr>
              <w:pStyle w:val="Tabletext0"/>
            </w:pPr>
            <w:r w:rsidRPr="003E1EE8">
              <w:rPr>
                <w:sz w:val="16"/>
                <w:szCs w:val="16"/>
              </w:rPr>
              <w:t xml:space="preserve">See </w:t>
            </w:r>
            <w:r w:rsidRPr="003E1EE8">
              <w:rPr>
                <w:b/>
                <w:sz w:val="16"/>
                <w:szCs w:val="16"/>
              </w:rPr>
              <w:t>Procurement</w:t>
            </w:r>
            <w:r w:rsidRPr="003E1EE8">
              <w:rPr>
                <w:sz w:val="16"/>
                <w:szCs w:val="16"/>
              </w:rPr>
              <w:t xml:space="preserve"> stage</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1EBE98F8" w14:textId="323DF53E" w:rsidR="00C77AE4" w:rsidRPr="003E1EE8" w:rsidRDefault="00C77AE4" w:rsidP="00C77AE4">
            <w:pPr>
              <w:pStyle w:val="Tabletext0"/>
            </w:pPr>
            <w:r w:rsidRPr="003E1EE8">
              <w:rPr>
                <w:sz w:val="16"/>
                <w:szCs w:val="16"/>
              </w:rPr>
              <w:t xml:space="preserve">See </w:t>
            </w:r>
            <w:r w:rsidRPr="003E1EE8">
              <w:rPr>
                <w:b/>
                <w:sz w:val="16"/>
                <w:szCs w:val="16"/>
              </w:rPr>
              <w:t>Delivery</w:t>
            </w:r>
            <w:r w:rsidRPr="003E1EE8">
              <w:rPr>
                <w:sz w:val="16"/>
                <w:szCs w:val="16"/>
              </w:rPr>
              <w:t xml:space="preserve"> stage</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10FF2741" w14:textId="00D01FC7" w:rsidR="00C77AE4" w:rsidRPr="003E1EE8" w:rsidRDefault="00C77AE4" w:rsidP="00C77AE4">
            <w:pPr>
              <w:pStyle w:val="Tabletext0"/>
            </w:pPr>
            <w:r w:rsidRPr="003E1EE8">
              <w:rPr>
                <w:sz w:val="16"/>
                <w:szCs w:val="16"/>
              </w:rPr>
              <w:t xml:space="preserve">See </w:t>
            </w:r>
            <w:r w:rsidRPr="003E1EE8">
              <w:rPr>
                <w:b/>
                <w:sz w:val="16"/>
                <w:szCs w:val="16"/>
              </w:rPr>
              <w:t>Gate 6</w:t>
            </w:r>
            <w:r w:rsidRPr="003E1EE8">
              <w:rPr>
                <w:sz w:val="16"/>
                <w:szCs w:val="16"/>
              </w:rPr>
              <w:t xml:space="preserve"> of the Gateway </w:t>
            </w:r>
            <w:r w:rsidR="002F2E09" w:rsidRPr="003E1EE8">
              <w:rPr>
                <w:sz w:val="16"/>
                <w:szCs w:val="16"/>
              </w:rPr>
              <w:t>review process</w:t>
            </w:r>
          </w:p>
        </w:tc>
        <w:tc>
          <w:tcPr>
            <w:tcW w:w="16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CDE" w:themeFill="text2" w:themeFillTint="33"/>
          </w:tcPr>
          <w:p w14:paraId="2791B531" w14:textId="34A2CDE0" w:rsidR="00C77AE4" w:rsidRPr="003E1EE8" w:rsidRDefault="00C77AE4" w:rsidP="00C77AE4">
            <w:pPr>
              <w:pStyle w:val="Tabletext0"/>
            </w:pPr>
            <w:r w:rsidRPr="003E1EE8">
              <w:rPr>
                <w:sz w:val="16"/>
                <w:szCs w:val="16"/>
              </w:rPr>
              <w:t xml:space="preserve">See </w:t>
            </w:r>
            <w:r w:rsidRPr="003E1EE8">
              <w:rPr>
                <w:b/>
                <w:sz w:val="16"/>
                <w:szCs w:val="16"/>
              </w:rPr>
              <w:t>Asset Management Accountability Framework</w:t>
            </w:r>
          </w:p>
        </w:tc>
      </w:tr>
    </w:tbl>
    <w:p w14:paraId="59B04A4D" w14:textId="0D407588" w:rsidR="00C77AE4" w:rsidRDefault="00C77AE4" w:rsidP="007C4728">
      <w:pPr>
        <w:pStyle w:val="Spacer"/>
      </w:pPr>
    </w:p>
    <w:p w14:paraId="13DD0130" w14:textId="77777777" w:rsidR="002F2E09" w:rsidRPr="003E1EE8" w:rsidRDefault="002F2E09" w:rsidP="002F2E09">
      <w:pPr>
        <w:pStyle w:val="Heading2numbered"/>
      </w:pPr>
      <w:bookmarkStart w:id="978" w:name="_Toc25935494"/>
      <w:r>
        <w:lastRenderedPageBreak/>
        <w:t>Resourcing</w:t>
      </w:r>
      <w:bookmarkEnd w:id="978"/>
    </w:p>
    <w:p w14:paraId="0530EBE8" w14:textId="37CFF4FB" w:rsidR="006541E4" w:rsidRDefault="006541E4" w:rsidP="00367473">
      <w:pPr>
        <w:pStyle w:val="NormalIndent"/>
      </w:pPr>
      <w:r w:rsidRPr="003E1EE8">
        <w:t xml:space="preserve">The </w:t>
      </w:r>
      <w:r w:rsidR="00DC5374" w:rsidRPr="003E1EE8">
        <w:t>G</w:t>
      </w:r>
      <w:r w:rsidRPr="003E1EE8">
        <w:t>uidelines emphasise the importance of considering broad, whole</w:t>
      </w:r>
      <w:r w:rsidR="005251D3">
        <w:t xml:space="preserve"> </w:t>
      </w:r>
      <w:r w:rsidRPr="003E1EE8">
        <w:t>of</w:t>
      </w:r>
      <w:r w:rsidR="005251D3">
        <w:t xml:space="preserve"> </w:t>
      </w:r>
      <w:r w:rsidRPr="003E1EE8">
        <w:t xml:space="preserve">government or cross-agency approaches where appropriate to ensure that common problems are being addressed in a coordinated and efficient way. However, lead responsibilities and accountabilities </w:t>
      </w:r>
      <w:r w:rsidR="00DC5374" w:rsidRPr="003E1EE8">
        <w:t>must</w:t>
      </w:r>
      <w:r w:rsidRPr="003E1EE8">
        <w:t xml:space="preserve"> be clearly set out and not assumed. </w:t>
      </w:r>
    </w:p>
    <w:p w14:paraId="40D6C440" w14:textId="175EA2AA" w:rsidR="006541E4" w:rsidRPr="003E1EE8" w:rsidRDefault="006541E4" w:rsidP="007C4728">
      <w:pPr>
        <w:pStyle w:val="NormalIndent"/>
        <w:keepNext/>
      </w:pPr>
      <w:r w:rsidRPr="003E1EE8">
        <w:t xml:space="preserve">Competencies and skills required through investment </w:t>
      </w:r>
      <w:r w:rsidR="00D870B0" w:rsidRPr="003E1EE8">
        <w:t xml:space="preserve">management </w:t>
      </w:r>
      <w:r w:rsidRPr="003E1EE8">
        <w:t>include capabilities in:</w:t>
      </w:r>
    </w:p>
    <w:p w14:paraId="0A33A218" w14:textId="77777777" w:rsidR="006541E4" w:rsidRPr="003E1EE8" w:rsidRDefault="006541E4" w:rsidP="007C4728">
      <w:pPr>
        <w:pStyle w:val="Bulletindent"/>
        <w:keepNext/>
      </w:pPr>
      <w:r w:rsidRPr="003E1EE8">
        <w:t>high-level roles such as public policy development, long-term planning (e.g. transport and urban design) and governance;</w:t>
      </w:r>
    </w:p>
    <w:p w14:paraId="79DE3A32" w14:textId="77777777" w:rsidR="006541E4" w:rsidRPr="003E1EE8" w:rsidRDefault="006541E4" w:rsidP="007C4728">
      <w:pPr>
        <w:pStyle w:val="Bulletindent"/>
        <w:keepNext/>
      </w:pPr>
      <w:r w:rsidRPr="003E1EE8">
        <w:t>broad-based areas surrounding commercial and legal acumen, service delivery and stakeholder management, and the integration of these aspects in the policy context; and</w:t>
      </w:r>
    </w:p>
    <w:p w14:paraId="5D6B9B4E" w14:textId="39F0C6D1" w:rsidR="006541E4" w:rsidRPr="003E1EE8" w:rsidRDefault="006541E4" w:rsidP="00367473">
      <w:pPr>
        <w:pStyle w:val="Bulletindent"/>
      </w:pPr>
      <w:r w:rsidRPr="003E1EE8">
        <w:t xml:space="preserve">more specific application of technical skills in areas such as contract development and management, engineering and design, financial analysis, </w:t>
      </w:r>
      <w:r w:rsidR="00D870B0" w:rsidRPr="003E1EE8">
        <w:t xml:space="preserve">probity </w:t>
      </w:r>
      <w:r w:rsidR="005251D3" w:rsidRPr="003E1EE8">
        <w:t>advis</w:t>
      </w:r>
      <w:r w:rsidR="005251D3">
        <w:t>e</w:t>
      </w:r>
      <w:r w:rsidR="005251D3" w:rsidRPr="003E1EE8">
        <w:t>r</w:t>
      </w:r>
      <w:r w:rsidR="00D870B0" w:rsidRPr="003E1EE8">
        <w:t xml:space="preserve">, </w:t>
      </w:r>
      <w:r w:rsidRPr="003E1EE8">
        <w:t>project costing, project and risk management and communications.</w:t>
      </w:r>
    </w:p>
    <w:p w14:paraId="0431E505" w14:textId="3F4E8DA4" w:rsidR="006541E4" w:rsidRPr="003E1EE8" w:rsidRDefault="006541E4" w:rsidP="00367473">
      <w:pPr>
        <w:pStyle w:val="NormalIndent"/>
      </w:pPr>
      <w:r w:rsidRPr="003E1EE8">
        <w:t>All these skills are required to varying degrees in different stages to ensure the investment achieves the optimal value-for-money outcome in the public interest. The public interest is also served by balancing the requirement for in-house skill development and knowledge management with the efficiency of engaging appropriate private sector expertise. In this context it is worth noting that government cannot transfer the risks surrounding protecting the public interest.</w:t>
      </w:r>
    </w:p>
    <w:p w14:paraId="092B9097" w14:textId="3683E631" w:rsidR="006541E4" w:rsidRPr="003E1EE8" w:rsidRDefault="006541E4" w:rsidP="00367473">
      <w:pPr>
        <w:pStyle w:val="NormalIndent"/>
      </w:pPr>
      <w:r w:rsidRPr="003E1EE8">
        <w:t xml:space="preserve">In order to ensure that lifecycle guidelines outputs are developed to high standards, organisations should ensure staff are appropriately skilled at each step of the investment </w:t>
      </w:r>
      <w:r w:rsidR="00D870B0" w:rsidRPr="003E1EE8">
        <w:t xml:space="preserve">management </w:t>
      </w:r>
      <w:r w:rsidRPr="003E1EE8">
        <w:t xml:space="preserve">process. </w:t>
      </w:r>
    </w:p>
    <w:p w14:paraId="75897D9B" w14:textId="04C93A36" w:rsidR="006541E4" w:rsidRPr="003E1EE8" w:rsidRDefault="006541E4" w:rsidP="007C4728">
      <w:pPr>
        <w:pStyle w:val="Heading1numbered"/>
      </w:pPr>
      <w:bookmarkStart w:id="979" w:name="_Toc6322988"/>
      <w:bookmarkStart w:id="980" w:name="_Toc6322989"/>
      <w:bookmarkStart w:id="981" w:name="_Toc6322990"/>
      <w:bookmarkStart w:id="982" w:name="_Toc6322991"/>
      <w:bookmarkStart w:id="983" w:name="_Toc6322992"/>
      <w:bookmarkStart w:id="984" w:name="_Toc6322993"/>
      <w:bookmarkStart w:id="985" w:name="_Toc6322994"/>
      <w:bookmarkStart w:id="986" w:name="_Toc6322995"/>
      <w:bookmarkStart w:id="987" w:name="_Toc6322996"/>
      <w:bookmarkStart w:id="988" w:name="_Toc6322997"/>
      <w:bookmarkStart w:id="989" w:name="_Toc6322998"/>
      <w:bookmarkStart w:id="990" w:name="_Toc6322999"/>
      <w:bookmarkStart w:id="991" w:name="_Toc6323000"/>
      <w:bookmarkStart w:id="992" w:name="_Toc6323001"/>
      <w:bookmarkStart w:id="993" w:name="_Toc6323002"/>
      <w:bookmarkStart w:id="994" w:name="_Toc6323003"/>
      <w:bookmarkStart w:id="995" w:name="_Toc25935495"/>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3E1EE8">
        <w:t>Glossary</w:t>
      </w:r>
      <w:bookmarkEnd w:id="995"/>
    </w:p>
    <w:p w14:paraId="60FCFA22" w14:textId="77777777" w:rsidR="006541E4" w:rsidRDefault="006541E4" w:rsidP="007C4728">
      <w:pPr>
        <w:pStyle w:val="NormalIndent"/>
      </w:pPr>
      <w:r w:rsidRPr="003E1EE8">
        <w:rPr>
          <w:b/>
        </w:rPr>
        <w:t>Appraisal</w:t>
      </w:r>
      <w:r w:rsidRPr="002F2E09">
        <w:rPr>
          <w:b/>
        </w:rPr>
        <w:t>:</w:t>
      </w:r>
      <w:r w:rsidRPr="003E1EE8">
        <w:t xml:space="preserve"> The process of defining objectives, examining options and weighing up the costs, benefits, risks and uncertainties of those options before a decision is made.</w:t>
      </w:r>
    </w:p>
    <w:p w14:paraId="024710AA" w14:textId="13D7D1AF" w:rsidR="00A244B3" w:rsidRPr="003E1EE8" w:rsidRDefault="00A244B3" w:rsidP="00A244B3">
      <w:pPr>
        <w:pStyle w:val="NormalIndent"/>
      </w:pPr>
      <w:r w:rsidRPr="003E1EE8">
        <w:rPr>
          <w:b/>
        </w:rPr>
        <w:t xml:space="preserve">Asset Management Accountability Framework: </w:t>
      </w:r>
      <w:r w:rsidRPr="003E1EE8">
        <w:t>Establishes the asset management requirements for government departments and agencies. It is premised on a non</w:t>
      </w:r>
      <w:r w:rsidR="002F2E09">
        <w:noBreakHyphen/>
      </w:r>
      <w:r w:rsidRPr="003E1EE8">
        <w:t xml:space="preserve">prescriptive, devolved accountability model of asset management. </w:t>
      </w:r>
    </w:p>
    <w:p w14:paraId="6414C3D0" w14:textId="77777777" w:rsidR="006541E4" w:rsidRPr="003E1EE8" w:rsidRDefault="006541E4" w:rsidP="007C4728">
      <w:pPr>
        <w:pStyle w:val="NormalIndent"/>
      </w:pPr>
      <w:r w:rsidRPr="003E1EE8">
        <w:rPr>
          <w:b/>
        </w:rPr>
        <w:t>Asset option</w:t>
      </w:r>
      <w:r w:rsidRPr="002F2E09">
        <w:rPr>
          <w:b/>
        </w:rPr>
        <w:t>:</w:t>
      </w:r>
      <w:r w:rsidRPr="003E1EE8">
        <w:t xml:space="preserve"> A means of satisfying service needs by investing in existing assets or creating new assets.</w:t>
      </w:r>
    </w:p>
    <w:p w14:paraId="0BA8FE1F" w14:textId="77777777" w:rsidR="006541E4" w:rsidRPr="003E1EE8" w:rsidRDefault="006541E4" w:rsidP="007C4728">
      <w:pPr>
        <w:pStyle w:val="NormalIndent"/>
      </w:pPr>
      <w:r w:rsidRPr="003E1EE8">
        <w:rPr>
          <w:b/>
        </w:rPr>
        <w:t>Assets</w:t>
      </w:r>
      <w:r w:rsidRPr="002F2E09">
        <w:rPr>
          <w:b/>
        </w:rPr>
        <w:t>:</w:t>
      </w:r>
      <w:r w:rsidRPr="003E1EE8">
        <w:t xml:space="preserve"> Any physical asset that must be acquired to enable the identified changes to occur. Examples of these are hospitals, pipelines, plants or computer systems. </w:t>
      </w:r>
    </w:p>
    <w:p w14:paraId="6D29B2E4" w14:textId="77777777" w:rsidR="006541E4" w:rsidRPr="003E1EE8" w:rsidRDefault="006541E4" w:rsidP="007C4728">
      <w:pPr>
        <w:pStyle w:val="NormalIndent"/>
      </w:pPr>
      <w:r w:rsidRPr="003E1EE8">
        <w:rPr>
          <w:b/>
        </w:rPr>
        <w:t>Base case</w:t>
      </w:r>
      <w:r w:rsidRPr="002F2E09">
        <w:rPr>
          <w:b/>
        </w:rPr>
        <w:t>:</w:t>
      </w:r>
      <w:r w:rsidRPr="003E1EE8">
        <w:t xml:space="preserve"> The base case is a realistic option that involves the minimum expenditure to sustain existing standards of service delivery or to achieve previously agreed service standards. Therefore, the base case does not always mean ‘do nothing’; rather, it is the minimum essential expenditure option (e.g. carrying out obligatory works to meet safety and health regulations).</w:t>
      </w:r>
    </w:p>
    <w:p w14:paraId="73C0C78A" w14:textId="77777777" w:rsidR="006541E4" w:rsidRPr="003E1EE8" w:rsidRDefault="006541E4" w:rsidP="007C4728">
      <w:pPr>
        <w:pStyle w:val="NormalIndent"/>
      </w:pPr>
      <w:r w:rsidRPr="003E1EE8">
        <w:rPr>
          <w:b/>
        </w:rPr>
        <w:lastRenderedPageBreak/>
        <w:t>Benefit</w:t>
      </w:r>
      <w:r w:rsidRPr="002F2E09">
        <w:rPr>
          <w:b/>
        </w:rPr>
        <w:t>:</w:t>
      </w:r>
      <w:r w:rsidRPr="003E1EE8">
        <w:t xml:space="preserve"> The value that resolving the problem will provide to the organisation or its customers and consequently to government. Benefits are normally a positive consequence of responding to the identified problem. Each claimed benefit must be supported by key performance indicators (KPIs) that demonstrate the specific contribution of an investment to the benefits sought by the organisation. The practical application of this can be seen in the Benefit Framework.</w:t>
      </w:r>
    </w:p>
    <w:p w14:paraId="45B3FCEF" w14:textId="22658A9F" w:rsidR="006541E4" w:rsidRPr="003E1EE8" w:rsidRDefault="006541E4" w:rsidP="007C4728">
      <w:pPr>
        <w:pStyle w:val="NormalIndent"/>
      </w:pPr>
      <w:r w:rsidRPr="003E1EE8">
        <w:rPr>
          <w:b/>
        </w:rPr>
        <w:t>Benefit management plan</w:t>
      </w:r>
      <w:r w:rsidRPr="002F2E09">
        <w:rPr>
          <w:b/>
        </w:rPr>
        <w:t>:</w:t>
      </w:r>
      <w:r w:rsidRPr="003E1EE8">
        <w:t xml:space="preserve"> A short document that specifies the benefits an investment will need to deliver to successfully address an identified problem. It includes the measures to be used as evidence that the benefits have been delivered. These measures are initially used to select the most suitable response to the problem. The benefit management plan also defines the dates the benefits are expected to be delivered, who is responsible for their delivery and how they will be reported. </w:t>
      </w:r>
    </w:p>
    <w:p w14:paraId="51988A05" w14:textId="77777777" w:rsidR="006541E4" w:rsidRPr="003E1EE8" w:rsidRDefault="006541E4" w:rsidP="007C4728">
      <w:pPr>
        <w:pStyle w:val="NormalIndent"/>
      </w:pPr>
      <w:r w:rsidRPr="003E1EE8">
        <w:rPr>
          <w:b/>
        </w:rPr>
        <w:t>Capital expenditure</w:t>
      </w:r>
      <w:r w:rsidRPr="002F2E09">
        <w:rPr>
          <w:b/>
        </w:rPr>
        <w:t>:</w:t>
      </w:r>
      <w:r w:rsidRPr="003E1EE8">
        <w:t xml:space="preserve"> Expenditure involved in creating or upgrading assets.</w:t>
      </w:r>
    </w:p>
    <w:p w14:paraId="22F48BF7" w14:textId="77777777" w:rsidR="006541E4" w:rsidRPr="003E1EE8" w:rsidRDefault="006541E4" w:rsidP="007C4728">
      <w:pPr>
        <w:pStyle w:val="NormalIndent"/>
      </w:pPr>
      <w:r w:rsidRPr="003E1EE8">
        <w:rPr>
          <w:b/>
        </w:rPr>
        <w:t>Cost</w:t>
      </w:r>
      <w:r w:rsidRPr="002F2E09">
        <w:rPr>
          <w:b/>
        </w:rPr>
        <w:t>:</w:t>
      </w:r>
      <w:r w:rsidRPr="003E1EE8">
        <w:t xml:space="preserve"> An expense incurred in the production of outputs.</w:t>
      </w:r>
    </w:p>
    <w:p w14:paraId="1AAA5814" w14:textId="26AC0149" w:rsidR="006541E4" w:rsidRPr="003E1EE8" w:rsidRDefault="006541E4" w:rsidP="007C4728">
      <w:pPr>
        <w:pStyle w:val="NormalIndent"/>
      </w:pPr>
      <w:r w:rsidRPr="003E1EE8">
        <w:rPr>
          <w:b/>
        </w:rPr>
        <w:t>Cost-benefit analysis</w:t>
      </w:r>
      <w:r w:rsidRPr="002F2E09">
        <w:rPr>
          <w:b/>
        </w:rPr>
        <w:t>:</w:t>
      </w:r>
      <w:r w:rsidRPr="003E1EE8">
        <w:t xml:space="preserve"> A technique that can express in a comparable (monetary) way the net effect of the costs and benefits associated with an investment proposal.</w:t>
      </w:r>
    </w:p>
    <w:p w14:paraId="1401A679" w14:textId="77777777" w:rsidR="006541E4" w:rsidRPr="003E1EE8" w:rsidRDefault="006541E4" w:rsidP="007C4728">
      <w:pPr>
        <w:pStyle w:val="NormalIndent"/>
      </w:pPr>
      <w:r w:rsidRPr="003E1EE8">
        <w:rPr>
          <w:b/>
        </w:rPr>
        <w:t>Demand management</w:t>
      </w:r>
      <w:r w:rsidRPr="002F2E09">
        <w:rPr>
          <w:b/>
        </w:rPr>
        <w:t>:</w:t>
      </w:r>
      <w:r w:rsidRPr="003E1EE8">
        <w:t xml:space="preserve"> A management technique used to identify and control demand for services.</w:t>
      </w:r>
    </w:p>
    <w:p w14:paraId="1E5C3412" w14:textId="77777777" w:rsidR="006541E4" w:rsidRPr="003E1EE8" w:rsidRDefault="006541E4" w:rsidP="007C4728">
      <w:pPr>
        <w:pStyle w:val="NormalIndent"/>
      </w:pPr>
      <w:r w:rsidRPr="003E1EE8">
        <w:rPr>
          <w:b/>
        </w:rPr>
        <w:t>Depreciation</w:t>
      </w:r>
      <w:r w:rsidRPr="002F2E09">
        <w:rPr>
          <w:b/>
        </w:rPr>
        <w:t>:</w:t>
      </w:r>
      <w:r w:rsidRPr="003E1EE8">
        <w:t xml:space="preserve"> The allocation of the cost of an asset over the years of its useful life. </w:t>
      </w:r>
    </w:p>
    <w:p w14:paraId="52464E49" w14:textId="77777777" w:rsidR="006541E4" w:rsidRPr="003E1EE8" w:rsidRDefault="006541E4" w:rsidP="007C4728">
      <w:pPr>
        <w:pStyle w:val="NormalIndent"/>
      </w:pPr>
      <w:r w:rsidRPr="003E1EE8">
        <w:rPr>
          <w:b/>
        </w:rPr>
        <w:t>Disposal</w:t>
      </w:r>
      <w:r w:rsidRPr="002F2E09">
        <w:rPr>
          <w:b/>
        </w:rPr>
        <w:t>:</w:t>
      </w:r>
      <w:r w:rsidRPr="003E1EE8">
        <w:t xml:space="preserve"> The process in which an asset is disposed of or decommissioned – resulting in removal from an entity’s balance sheet.</w:t>
      </w:r>
    </w:p>
    <w:p w14:paraId="6E3625C0" w14:textId="77777777" w:rsidR="006541E4" w:rsidRPr="003E1EE8" w:rsidRDefault="006541E4" w:rsidP="007C4728">
      <w:pPr>
        <w:pStyle w:val="NormalIndent"/>
      </w:pPr>
      <w:r w:rsidRPr="003E1EE8">
        <w:rPr>
          <w:b/>
        </w:rPr>
        <w:t>Dis-benefit</w:t>
      </w:r>
      <w:r w:rsidRPr="002F2E09">
        <w:rPr>
          <w:b/>
        </w:rPr>
        <w:t>:</w:t>
      </w:r>
      <w:r w:rsidRPr="003E1EE8">
        <w:t xml:space="preserve"> A negative impact that might occur as a direct consequence of implementing a particular solution.</w:t>
      </w:r>
    </w:p>
    <w:p w14:paraId="2E5331C9" w14:textId="77777777" w:rsidR="006541E4" w:rsidRPr="003E1EE8" w:rsidRDefault="006541E4" w:rsidP="007C4728">
      <w:pPr>
        <w:pStyle w:val="NormalIndent"/>
      </w:pPr>
      <w:r w:rsidRPr="003E1EE8">
        <w:rPr>
          <w:b/>
        </w:rPr>
        <w:t>Economic cost (or opportunity cost)</w:t>
      </w:r>
      <w:r w:rsidRPr="002F2E09">
        <w:rPr>
          <w:b/>
        </w:rPr>
        <w:t>:</w:t>
      </w:r>
      <w:r w:rsidRPr="003E1EE8">
        <w:t xml:space="preserve"> The value of the most valuable of alternative uses.</w:t>
      </w:r>
    </w:p>
    <w:p w14:paraId="48A9A963" w14:textId="77777777" w:rsidR="006541E4" w:rsidRPr="003E1EE8" w:rsidRDefault="006541E4" w:rsidP="007C4728">
      <w:pPr>
        <w:pStyle w:val="NormalIndent"/>
      </w:pPr>
      <w:r w:rsidRPr="003E1EE8">
        <w:rPr>
          <w:b/>
        </w:rPr>
        <w:t>Enabling asset</w:t>
      </w:r>
      <w:r w:rsidRPr="002F2E09">
        <w:rPr>
          <w:b/>
        </w:rPr>
        <w:t>:</w:t>
      </w:r>
      <w:r w:rsidRPr="003E1EE8">
        <w:t xml:space="preserve"> Any physical asset that must be built or purchased for the identified changes to occur. This may be, for example, a hospital, a pipeline or an ICT system.</w:t>
      </w:r>
    </w:p>
    <w:p w14:paraId="2FD40BBD" w14:textId="77777777" w:rsidR="006541E4" w:rsidRPr="003E1EE8" w:rsidRDefault="006541E4" w:rsidP="007C4728">
      <w:pPr>
        <w:pStyle w:val="NormalIndent"/>
      </w:pPr>
      <w:r w:rsidRPr="003E1EE8">
        <w:rPr>
          <w:b/>
        </w:rPr>
        <w:t>Evaluation</w:t>
      </w:r>
      <w:r w:rsidRPr="002F2E09">
        <w:rPr>
          <w:b/>
        </w:rPr>
        <w:t>:</w:t>
      </w:r>
      <w:r w:rsidRPr="003E1EE8">
        <w:t xml:space="preserve"> The process of defining objectives, examining options and weighing up the costs and benefits before a decision is made to proceed.</w:t>
      </w:r>
    </w:p>
    <w:p w14:paraId="74D32427" w14:textId="5791056E" w:rsidR="006541E4" w:rsidRPr="003E1EE8" w:rsidRDefault="006541E4" w:rsidP="007C4728">
      <w:pPr>
        <w:pStyle w:val="NormalIndent"/>
      </w:pPr>
      <w:r w:rsidRPr="003E1EE8">
        <w:rPr>
          <w:b/>
        </w:rPr>
        <w:t>Financial analysis</w:t>
      </w:r>
      <w:r w:rsidRPr="002F2E09">
        <w:rPr>
          <w:b/>
        </w:rPr>
        <w:t>:</w:t>
      </w:r>
      <w:r w:rsidRPr="003E1EE8">
        <w:t xml:space="preserve"> An investment evaluation technique that is confined to the cash</w:t>
      </w:r>
      <w:r w:rsidR="00E60B75">
        <w:t xml:space="preserve"> </w:t>
      </w:r>
      <w:r w:rsidRPr="003E1EE8">
        <w:t>flow implications of alternative options and is undertaken from the perspective of the individual department or agency or government as a whole.</w:t>
      </w:r>
    </w:p>
    <w:p w14:paraId="344AAB17" w14:textId="33E9DE94" w:rsidR="006541E4" w:rsidRPr="003E1EE8" w:rsidRDefault="006541E4" w:rsidP="007C4728">
      <w:pPr>
        <w:pStyle w:val="NormalIndent"/>
      </w:pPr>
      <w:r w:rsidRPr="003E1EE8">
        <w:rPr>
          <w:b/>
        </w:rPr>
        <w:t>Full business case</w:t>
      </w:r>
      <w:r w:rsidRPr="002F2E09">
        <w:rPr>
          <w:b/>
        </w:rPr>
        <w:t>:</w:t>
      </w:r>
      <w:r w:rsidRPr="003E1EE8">
        <w:t xml:space="preserve"> A document that forms the basis of advice for executive </w:t>
      </w:r>
      <w:r w:rsidR="00E60B75" w:rsidRPr="003E1EE8">
        <w:t>decision</w:t>
      </w:r>
      <w:r w:rsidR="00E60B75">
        <w:t>-</w:t>
      </w:r>
      <w:r w:rsidRPr="003E1EE8">
        <w:t>making for an investment. It is a documented proposal to meet a clearly established service requirement</w:t>
      </w:r>
      <w:r w:rsidR="008220A3" w:rsidRPr="003E1EE8">
        <w:t xml:space="preserve"> and the proposed delivery app</w:t>
      </w:r>
      <w:r w:rsidR="00D44345" w:rsidRPr="003E1EE8">
        <w:t>r</w:t>
      </w:r>
      <w:r w:rsidR="008220A3" w:rsidRPr="003E1EE8">
        <w:t>oach</w:t>
      </w:r>
      <w:r w:rsidRPr="003E1EE8">
        <w:t>.</w:t>
      </w:r>
    </w:p>
    <w:p w14:paraId="2F92613B" w14:textId="4F97793A" w:rsidR="006541E4" w:rsidRPr="003E1EE8" w:rsidRDefault="006541E4" w:rsidP="007C4728">
      <w:pPr>
        <w:pStyle w:val="NormalIndent"/>
      </w:pPr>
      <w:r w:rsidRPr="003E1EE8">
        <w:rPr>
          <w:b/>
        </w:rPr>
        <w:t>Gateway review process</w:t>
      </w:r>
      <w:r w:rsidRPr="002F2E09">
        <w:rPr>
          <w:b/>
        </w:rPr>
        <w:t>:</w:t>
      </w:r>
      <w:r w:rsidRPr="003E1EE8">
        <w:t xml:space="preserve"> A review of a procurement project or a program of works/activities carried out at critical points of a project/program’s development by a team of experienced people, independent of the project team. These critical points are known as Gateways or Gates. There are six </w:t>
      </w:r>
      <w:r w:rsidR="00E60B75">
        <w:t>G</w:t>
      </w:r>
      <w:r w:rsidR="00E60B75" w:rsidRPr="003E1EE8">
        <w:t xml:space="preserve">ateways </w:t>
      </w:r>
      <w:r w:rsidRPr="003E1EE8">
        <w:t>during the lifecycle of a project and reoccurring program reviews for programs of works/activities.</w:t>
      </w:r>
    </w:p>
    <w:p w14:paraId="1DA8E00A" w14:textId="7823E86B" w:rsidR="00A00032" w:rsidRPr="003E1EE8" w:rsidRDefault="006541E4" w:rsidP="008A4B86">
      <w:pPr>
        <w:pStyle w:val="NormalIndent"/>
        <w:keepNext/>
      </w:pPr>
      <w:r w:rsidRPr="003E1EE8">
        <w:rPr>
          <w:b/>
        </w:rPr>
        <w:lastRenderedPageBreak/>
        <w:t>High Value High Risk</w:t>
      </w:r>
      <w:r w:rsidRPr="002F2E09">
        <w:rPr>
          <w:b/>
        </w:rPr>
        <w:t>:</w:t>
      </w:r>
      <w:r w:rsidRPr="003E1EE8">
        <w:t xml:space="preserve"> </w:t>
      </w:r>
      <w:r w:rsidR="00A00032" w:rsidRPr="003E1EE8">
        <w:t>A project will be classified as HVHR if it is a budget-funded project that is:</w:t>
      </w:r>
    </w:p>
    <w:p w14:paraId="72A79DAC" w14:textId="77777777" w:rsidR="00A00032" w:rsidRPr="003E1EE8" w:rsidRDefault="00A00032" w:rsidP="007C4728">
      <w:pPr>
        <w:pStyle w:val="Bulletindent"/>
      </w:pPr>
      <w:r w:rsidRPr="003E1EE8">
        <w:t>considered high risk using an updated PPM;</w:t>
      </w:r>
    </w:p>
    <w:p w14:paraId="2358B89C" w14:textId="77777777" w:rsidR="00A00032" w:rsidRPr="003E1EE8" w:rsidRDefault="00A00032" w:rsidP="007C4728">
      <w:pPr>
        <w:pStyle w:val="Bulletindent"/>
      </w:pPr>
      <w:r w:rsidRPr="003E1EE8">
        <w:t>considered medium risk using an updated PPM and has a TEI of between $100 million and $250 million;</w:t>
      </w:r>
    </w:p>
    <w:p w14:paraId="1DAF0C85" w14:textId="6FDE157D" w:rsidR="00A00032" w:rsidRPr="003E1EE8" w:rsidRDefault="00A00032" w:rsidP="007C4728">
      <w:pPr>
        <w:pStyle w:val="Bulletindent"/>
      </w:pPr>
      <w:r w:rsidRPr="003E1EE8">
        <w:t>considered low risk using an updated PPM</w:t>
      </w:r>
      <w:r w:rsidR="000C21AF">
        <w:t>,</w:t>
      </w:r>
      <w:r w:rsidRPr="003E1EE8">
        <w:t xml:space="preserve"> but has a TEI over $250 million; or</w:t>
      </w:r>
    </w:p>
    <w:p w14:paraId="5F80079B" w14:textId="77777777" w:rsidR="00A00032" w:rsidRPr="003E1EE8" w:rsidRDefault="00A00032" w:rsidP="007C4728">
      <w:pPr>
        <w:pStyle w:val="Bulletindent"/>
      </w:pPr>
      <w:r w:rsidRPr="003E1EE8">
        <w:t>identified by Government as warranting the rigour applied to HVHR investments.</w:t>
      </w:r>
    </w:p>
    <w:p w14:paraId="4DB0B57A" w14:textId="13F9B59C" w:rsidR="006541E4" w:rsidRPr="003E1EE8" w:rsidRDefault="006541E4" w:rsidP="007C4728">
      <w:pPr>
        <w:pStyle w:val="NormalIndent"/>
      </w:pPr>
      <w:r w:rsidRPr="003E1EE8">
        <w:rPr>
          <w:b/>
        </w:rPr>
        <w:t>Impact</w:t>
      </w:r>
      <w:r w:rsidRPr="002F2E09">
        <w:rPr>
          <w:b/>
        </w:rPr>
        <w:t>:</w:t>
      </w:r>
      <w:r w:rsidRPr="003E1EE8">
        <w:t xml:space="preserve"> The cost, benefit or risk (either financial or socioeconomic) arising from an investment option.</w:t>
      </w:r>
    </w:p>
    <w:p w14:paraId="0F2EDFF1" w14:textId="77777777" w:rsidR="006541E4" w:rsidRPr="003E1EE8" w:rsidRDefault="006541E4" w:rsidP="007C4728">
      <w:pPr>
        <w:pStyle w:val="NormalIndent"/>
      </w:pPr>
      <w:r w:rsidRPr="003E1EE8">
        <w:rPr>
          <w:b/>
        </w:rPr>
        <w:t>Investment</w:t>
      </w:r>
      <w:r w:rsidRPr="002F2E09">
        <w:rPr>
          <w:b/>
        </w:rPr>
        <w:t>:</w:t>
      </w:r>
      <w:r w:rsidRPr="003E1EE8">
        <w:t xml:space="preserve"> The commitment of the resources of an organisation with the expectation of receiving a benefit. </w:t>
      </w:r>
    </w:p>
    <w:p w14:paraId="221D63C5" w14:textId="77777777" w:rsidR="006541E4" w:rsidRPr="003E1EE8" w:rsidRDefault="006541E4" w:rsidP="007C4728">
      <w:pPr>
        <w:pStyle w:val="NormalIndent"/>
      </w:pPr>
      <w:r w:rsidRPr="003E1EE8">
        <w:rPr>
          <w:b/>
        </w:rPr>
        <w:t>Investment decision-maker’s checklist</w:t>
      </w:r>
      <w:r w:rsidRPr="002F2E09">
        <w:rPr>
          <w:b/>
        </w:rPr>
        <w:t>:</w:t>
      </w:r>
      <w:r w:rsidRPr="003E1EE8">
        <w:t xml:space="preserve"> A tool that assists in shaping a robust business case. It is also used by DTF and DPC to assess business cases. </w:t>
      </w:r>
    </w:p>
    <w:p w14:paraId="5C893AAE" w14:textId="77777777" w:rsidR="006541E4" w:rsidRPr="003E1EE8" w:rsidRDefault="006541E4" w:rsidP="007C4728">
      <w:pPr>
        <w:pStyle w:val="NormalIndent"/>
      </w:pPr>
      <w:r w:rsidRPr="003E1EE8">
        <w:rPr>
          <w:b/>
        </w:rPr>
        <w:t>Investment logic map</w:t>
      </w:r>
      <w:r w:rsidRPr="002F2E09">
        <w:rPr>
          <w:b/>
        </w:rPr>
        <w:t>:</w:t>
      </w:r>
      <w:r w:rsidRPr="003E1EE8">
        <w:t xml:space="preserve"> A simple single-page depiction of the logic that underpins an investment. It provides the core focus for an investment and is modified to reflect any changes to the investment logic throughout its lifecycle.</w:t>
      </w:r>
    </w:p>
    <w:p w14:paraId="43C9409C" w14:textId="24999B9A" w:rsidR="006541E4" w:rsidRPr="003E1EE8" w:rsidRDefault="006541E4" w:rsidP="007C4728">
      <w:pPr>
        <w:pStyle w:val="NormalIndent"/>
      </w:pPr>
      <w:r w:rsidRPr="003E1EE8">
        <w:rPr>
          <w:b/>
        </w:rPr>
        <w:t>Investor</w:t>
      </w:r>
      <w:r w:rsidRPr="002F2E09">
        <w:rPr>
          <w:b/>
        </w:rPr>
        <w:t>:</w:t>
      </w:r>
      <w:r w:rsidRPr="003E1EE8">
        <w:t xml:space="preserve"> The person who has an identified business problem (or opportunity), will be responsible for making (or advocating) a decision to investment, and who will be responsible for delivering the expected benefits. This person is often referred to as the ‘</w:t>
      </w:r>
      <w:r w:rsidR="001E363A">
        <w:t>Senior Responsible Owner</w:t>
      </w:r>
      <w:r w:rsidRPr="003E1EE8">
        <w:t>’.</w:t>
      </w:r>
    </w:p>
    <w:p w14:paraId="62D8AE4A" w14:textId="77777777" w:rsidR="006541E4" w:rsidRPr="003E1EE8" w:rsidRDefault="006541E4" w:rsidP="007C4728">
      <w:pPr>
        <w:pStyle w:val="NormalIndent"/>
      </w:pPr>
      <w:r w:rsidRPr="003E1EE8">
        <w:rPr>
          <w:b/>
        </w:rPr>
        <w:t>Long-term planning</w:t>
      </w:r>
      <w:r w:rsidRPr="002F2E09">
        <w:rPr>
          <w:b/>
        </w:rPr>
        <w:t>:</w:t>
      </w:r>
      <w:r w:rsidRPr="003E1EE8">
        <w:t xml:space="preserve"> Outlines an agency’s </w:t>
      </w:r>
      <w:r w:rsidR="00F83BE1" w:rsidRPr="003E1EE8">
        <w:t xml:space="preserve">long-term </w:t>
      </w:r>
      <w:r w:rsidRPr="003E1EE8">
        <w:t xml:space="preserve">strategic vision and objectives for service delivery. It considers evolving demand and supply inputs for services and impacts of change on service delivery requirements. It also outlines the agency’s preferred responses to manage and adapt to change. </w:t>
      </w:r>
    </w:p>
    <w:p w14:paraId="2DA3266C" w14:textId="77777777" w:rsidR="006541E4" w:rsidRPr="003E1EE8" w:rsidRDefault="006541E4" w:rsidP="007C4728">
      <w:pPr>
        <w:pStyle w:val="NormalIndent"/>
      </w:pPr>
      <w:r w:rsidRPr="003E1EE8">
        <w:rPr>
          <w:b/>
        </w:rPr>
        <w:t>Key performance indicator (KPI)</w:t>
      </w:r>
      <w:r w:rsidRPr="002F2E09">
        <w:rPr>
          <w:b/>
        </w:rPr>
        <w:t>:</w:t>
      </w:r>
      <w:r w:rsidRPr="003E1EE8">
        <w:t xml:space="preserve"> An indicator that, with its associated measures and targets, will provide evidence that expected benefits have been delivered. The KPI selection criteria is used to determine the most suitable KPIs. </w:t>
      </w:r>
    </w:p>
    <w:p w14:paraId="6705D965" w14:textId="77777777" w:rsidR="006541E4" w:rsidRPr="003E1EE8" w:rsidRDefault="006541E4" w:rsidP="007C4728">
      <w:pPr>
        <w:pStyle w:val="NormalIndent"/>
      </w:pPr>
      <w:r w:rsidRPr="003E1EE8">
        <w:rPr>
          <w:b/>
        </w:rPr>
        <w:t>New asset option</w:t>
      </w:r>
      <w:r w:rsidRPr="002F2E09">
        <w:rPr>
          <w:b/>
        </w:rPr>
        <w:t>:</w:t>
      </w:r>
      <w:r w:rsidRPr="003E1EE8">
        <w:t xml:space="preserve"> Acquisition, transfer or commissioning of an existing asset, or creation of a new asset.</w:t>
      </w:r>
    </w:p>
    <w:p w14:paraId="6671E190" w14:textId="77777777" w:rsidR="006541E4" w:rsidRPr="003E1EE8" w:rsidRDefault="006541E4" w:rsidP="007C4728">
      <w:pPr>
        <w:pStyle w:val="NormalIndent"/>
      </w:pPr>
      <w:r w:rsidRPr="003E1EE8">
        <w:rPr>
          <w:b/>
        </w:rPr>
        <w:t>Non-asset option</w:t>
      </w:r>
      <w:r w:rsidRPr="002F2E09">
        <w:rPr>
          <w:b/>
        </w:rPr>
        <w:t>:</w:t>
      </w:r>
      <w:r w:rsidRPr="003E1EE8">
        <w:t xml:space="preserve"> Under this option, service capacity is met without creating additional assets. This could be done through reconfiguration of the way the services are provided (contracting out, increased use of existing or private assets, or reduction of demand through selective targeting).</w:t>
      </w:r>
    </w:p>
    <w:p w14:paraId="39E74467" w14:textId="77777777" w:rsidR="006541E4" w:rsidRPr="003E1EE8" w:rsidRDefault="006541E4" w:rsidP="007C4728">
      <w:pPr>
        <w:pStyle w:val="NormalIndent"/>
      </w:pPr>
      <w:r w:rsidRPr="003E1EE8">
        <w:rPr>
          <w:b/>
        </w:rPr>
        <w:t>Optimism bias</w:t>
      </w:r>
      <w:r w:rsidRPr="002F2E09">
        <w:rPr>
          <w:b/>
        </w:rPr>
        <w:t>:</w:t>
      </w:r>
      <w:r w:rsidRPr="003E1EE8">
        <w:t xml:space="preserve"> This describes the tendency for base capital and operating costs, works duration and risks to be systematically underestimated during the business case development phase. This results in project budgets based on an optimistic outcome rather than on a rational weighting of gains, losses and the considered likelihood that adverse hazard events may impact on the project. </w:t>
      </w:r>
    </w:p>
    <w:p w14:paraId="22BC735D" w14:textId="5052B0A1" w:rsidR="006541E4" w:rsidRPr="003E1EE8" w:rsidRDefault="006541E4" w:rsidP="007C4728">
      <w:pPr>
        <w:pStyle w:val="NormalIndent"/>
      </w:pPr>
      <w:r w:rsidRPr="003E1EE8">
        <w:rPr>
          <w:b/>
        </w:rPr>
        <w:t>Preliminary business case</w:t>
      </w:r>
      <w:r w:rsidRPr="002F2E09">
        <w:rPr>
          <w:b/>
        </w:rPr>
        <w:t>:</w:t>
      </w:r>
      <w:r w:rsidRPr="003E1EE8">
        <w:t xml:space="preserve"> A precursor to the full business case </w:t>
      </w:r>
      <w:r w:rsidR="008220A3" w:rsidRPr="003E1EE8">
        <w:t xml:space="preserve">applying to some </w:t>
      </w:r>
      <w:r w:rsidRPr="003E1EE8">
        <w:t xml:space="preserve">projects. </w:t>
      </w:r>
      <w:r w:rsidR="008220A3" w:rsidRPr="003E1EE8">
        <w:t>T</w:t>
      </w:r>
      <w:r w:rsidRPr="003E1EE8">
        <w:t xml:space="preserve">he preliminary business case </w:t>
      </w:r>
      <w:r w:rsidR="008220A3" w:rsidRPr="003E1EE8">
        <w:t>focuses on the investment rationale and can be a useful way for Government to determine whether the investment is a priority and provide a high-level cost estimate.</w:t>
      </w:r>
    </w:p>
    <w:p w14:paraId="32A28383" w14:textId="77777777" w:rsidR="006541E4" w:rsidRPr="003E1EE8" w:rsidRDefault="006541E4" w:rsidP="007C4728">
      <w:pPr>
        <w:pStyle w:val="NormalIndent"/>
      </w:pPr>
      <w:r w:rsidRPr="003E1EE8">
        <w:rPr>
          <w:b/>
        </w:rPr>
        <w:lastRenderedPageBreak/>
        <w:t>Problem</w:t>
      </w:r>
      <w:r w:rsidRPr="002F2E09">
        <w:rPr>
          <w:b/>
        </w:rPr>
        <w:t>:</w:t>
      </w:r>
      <w:r w:rsidRPr="003E1EE8">
        <w:t xml:space="preserve"> The reason a new investment needs to be considered. It is effectively the ‘call to action’ for the investment. A lost opportunity or service need is considered to be a problem. Each problem statement is written in plain English and must communicate both what is broken or needed, and associated implications. In other words, the ‘problem’ should include both cause and effect.</w:t>
      </w:r>
    </w:p>
    <w:p w14:paraId="1F9C126E" w14:textId="289C8DD8" w:rsidR="006541E4" w:rsidRPr="003E1EE8" w:rsidRDefault="006541E4" w:rsidP="007C4728">
      <w:pPr>
        <w:pStyle w:val="NormalIndent"/>
      </w:pPr>
      <w:r w:rsidRPr="003E1EE8">
        <w:rPr>
          <w:b/>
        </w:rPr>
        <w:t>Project alliancing</w:t>
      </w:r>
      <w:r w:rsidRPr="002F2E09">
        <w:rPr>
          <w:b/>
        </w:rPr>
        <w:t>:</w:t>
      </w:r>
      <w:r w:rsidRPr="003E1EE8">
        <w:t xml:space="preserve"> A form of procurement where the State or another government entity collaborates with one or more service providers to share the risks and responsibilities in delivering the capital phase of a project. It seeks to provide better value for money and improved project outcomes through a more integrated approach between the public and private sectors in the delivery of infrastructure. Project alliancing should generally only be considered in the delivery of complex and high-risk infrastructure projects, where risks are unpredictable and best managed collectively.</w:t>
      </w:r>
    </w:p>
    <w:p w14:paraId="18FA61BA" w14:textId="74373DF6" w:rsidR="00236E37" w:rsidRPr="003E1EE8" w:rsidRDefault="00236E37" w:rsidP="007C4728">
      <w:pPr>
        <w:pStyle w:val="NormalIndent"/>
      </w:pPr>
      <w:r w:rsidRPr="003E1EE8">
        <w:rPr>
          <w:b/>
        </w:rPr>
        <w:t>Project Development and Due Diligence:</w:t>
      </w:r>
      <w:r w:rsidRPr="003E1EE8">
        <w:t xml:space="preserve"> </w:t>
      </w:r>
      <w:bookmarkStart w:id="996" w:name="_Hlk19777535"/>
      <w:r w:rsidRPr="003E1EE8">
        <w:t>Due diligence planning and development activities including site investigation and documentation, analysis and research, production of design and development proposals and reports of sufficient quality, breadth and depth to clearly define project scope, risks and critical requirements to facilitate detailed design, effective procurement, delivery and successful operation.</w:t>
      </w:r>
    </w:p>
    <w:bookmarkEnd w:id="996"/>
    <w:p w14:paraId="417BD7A2" w14:textId="77777777" w:rsidR="006541E4" w:rsidRPr="003E1EE8" w:rsidRDefault="006541E4" w:rsidP="007C4728">
      <w:pPr>
        <w:pStyle w:val="NormalIndent"/>
      </w:pPr>
      <w:r w:rsidRPr="003E1EE8">
        <w:rPr>
          <w:b/>
        </w:rPr>
        <w:t>Project lifecycle</w:t>
      </w:r>
      <w:r w:rsidRPr="002F2E09">
        <w:rPr>
          <w:b/>
        </w:rPr>
        <w:t>:</w:t>
      </w:r>
      <w:r w:rsidRPr="003E1EE8">
        <w:t xml:space="preserve"> The stages of an asset between the identification of the need and the delivery and handover of an initiative.</w:t>
      </w:r>
    </w:p>
    <w:p w14:paraId="470C3B3E" w14:textId="294A4357" w:rsidR="006541E4" w:rsidRPr="003E1EE8" w:rsidRDefault="006541E4" w:rsidP="007C4728">
      <w:pPr>
        <w:pStyle w:val="NormalIndent"/>
      </w:pPr>
      <w:r w:rsidRPr="003E1EE8">
        <w:rPr>
          <w:b/>
        </w:rPr>
        <w:t>Project option</w:t>
      </w:r>
      <w:r w:rsidRPr="002F2E09">
        <w:rPr>
          <w:b/>
        </w:rPr>
        <w:t>:</w:t>
      </w:r>
      <w:r w:rsidRPr="003E1EE8">
        <w:t xml:space="preserve"> These explore how the preferred response </w:t>
      </w:r>
      <w:r w:rsidR="00F00ED1" w:rsidRPr="003E1EE8">
        <w:t xml:space="preserve">option </w:t>
      </w:r>
      <w:r w:rsidRPr="003E1EE8">
        <w:t>might be implemented. They might be business changes that could be made or assets that could be acquired as a way of delivering the benefits expected from an investment (as specified in a benefit management plan). These must be consistent with the identified response</w:t>
      </w:r>
      <w:r w:rsidR="00F00ED1" w:rsidRPr="003E1EE8">
        <w:t xml:space="preserve"> option</w:t>
      </w:r>
      <w:r w:rsidRPr="003E1EE8">
        <w:t>.</w:t>
      </w:r>
    </w:p>
    <w:p w14:paraId="3B4987C0" w14:textId="66D64090" w:rsidR="006541E4" w:rsidRPr="003E1EE8" w:rsidRDefault="006541E4" w:rsidP="007C4728">
      <w:pPr>
        <w:pStyle w:val="NormalIndent"/>
      </w:pPr>
      <w:r w:rsidRPr="003E1EE8">
        <w:rPr>
          <w:b/>
        </w:rPr>
        <w:t>Project options analysis</w:t>
      </w:r>
      <w:r w:rsidRPr="002F2E09">
        <w:rPr>
          <w:b/>
        </w:rPr>
        <w:t>:</w:t>
      </w:r>
      <w:r w:rsidRPr="003E1EE8">
        <w:t xml:space="preserve"> </w:t>
      </w:r>
      <w:r w:rsidR="00F00ED1" w:rsidRPr="003E1EE8">
        <w:t xml:space="preserve">Aims to explore a range of project options consistent with the preferred response option that will deliver the best result and provide a shortlist for detailed evaluation in the business case. </w:t>
      </w:r>
      <w:r w:rsidRPr="003E1EE8">
        <w:t>A process in which a range of project options (both asset and non-asset) are evaluated. The most cost-effective options are then selected for more detailed evaluation through a business case.</w:t>
      </w:r>
    </w:p>
    <w:p w14:paraId="0EE99C81" w14:textId="3E539BB7" w:rsidR="00FE02BE" w:rsidRPr="003E1EE8" w:rsidRDefault="00FE02BE" w:rsidP="007C4728">
      <w:pPr>
        <w:pStyle w:val="NormalIndent"/>
      </w:pPr>
      <w:r w:rsidRPr="003E1EE8">
        <w:rPr>
          <w:b/>
        </w:rPr>
        <w:t xml:space="preserve">Project </w:t>
      </w:r>
      <w:r w:rsidR="008A4B86" w:rsidRPr="003E1EE8">
        <w:rPr>
          <w:b/>
        </w:rPr>
        <w:t xml:space="preserve">Profile Model </w:t>
      </w:r>
      <w:r w:rsidRPr="003E1EE8">
        <w:rPr>
          <w:b/>
        </w:rPr>
        <w:t>(PPM):</w:t>
      </w:r>
      <w:r w:rsidRPr="003E1EE8">
        <w:t xml:space="preserve"> DTF’s risk-based matrix used to inform whether or not a project should be subject to the High Value</w:t>
      </w:r>
      <w:r w:rsidR="00D71EFC" w:rsidRPr="003E1EE8">
        <w:t xml:space="preserve"> </w:t>
      </w:r>
      <w:r w:rsidRPr="003E1EE8">
        <w:t xml:space="preserve">High Risk Project Assurance Framework. </w:t>
      </w:r>
    </w:p>
    <w:p w14:paraId="7D691CD5" w14:textId="5FB62DCB" w:rsidR="00F00ED1" w:rsidRPr="003E1EE8" w:rsidRDefault="00F00ED1" w:rsidP="007C4728">
      <w:pPr>
        <w:pStyle w:val="NormalIndent"/>
      </w:pPr>
      <w:r w:rsidRPr="003E1EE8">
        <w:rPr>
          <w:b/>
        </w:rPr>
        <w:t>Project solution</w:t>
      </w:r>
      <w:r w:rsidRPr="008A4B86">
        <w:rPr>
          <w:b/>
        </w:rPr>
        <w:t>:</w:t>
      </w:r>
      <w:r w:rsidRPr="003E1EE8">
        <w:t xml:space="preserve"> The set of business changes and assets (project or program) that have been identified as the best option for responding to the identified problem based on value for money and the benefits that will be delivered.</w:t>
      </w:r>
    </w:p>
    <w:p w14:paraId="3325CCD7" w14:textId="77777777" w:rsidR="006541E4" w:rsidRPr="003E1EE8" w:rsidRDefault="006541E4" w:rsidP="007C4728">
      <w:pPr>
        <w:pStyle w:val="NormalIndent"/>
      </w:pPr>
      <w:r w:rsidRPr="003E1EE8">
        <w:rPr>
          <w:b/>
        </w:rPr>
        <w:t>Proposal</w:t>
      </w:r>
      <w:r w:rsidRPr="008A4B86">
        <w:rPr>
          <w:b/>
        </w:rPr>
        <w:t>:</w:t>
      </w:r>
      <w:r w:rsidRPr="003E1EE8">
        <w:t xml:space="preserve"> An idea for a policy, program or project that is under development and appraisal.</w:t>
      </w:r>
    </w:p>
    <w:p w14:paraId="4C3034FD" w14:textId="09AA66D8" w:rsidR="008220A3" w:rsidRPr="003E1EE8" w:rsidRDefault="008220A3" w:rsidP="007C4728">
      <w:pPr>
        <w:pStyle w:val="NormalIndent"/>
        <w:rPr>
          <w:b/>
        </w:rPr>
      </w:pPr>
      <w:r w:rsidRPr="003E1EE8">
        <w:rPr>
          <w:b/>
        </w:rPr>
        <w:t>Real options:</w:t>
      </w:r>
      <w:r w:rsidR="004B6E58" w:rsidRPr="003E1EE8">
        <w:rPr>
          <w:i/>
        </w:rPr>
        <w:t xml:space="preserve"> </w:t>
      </w:r>
      <w:r w:rsidR="004B6E58" w:rsidRPr="003E1EE8">
        <w:t>The right, but not the obligation, for an investor to undertake certain actions in the future to alter a project pathway (scope) when uncertainty impacts current project scope.</w:t>
      </w:r>
    </w:p>
    <w:p w14:paraId="38FD2B9B" w14:textId="376E5883" w:rsidR="006541E4" w:rsidRPr="003E1EE8" w:rsidRDefault="008A4B86" w:rsidP="007C4728">
      <w:pPr>
        <w:pStyle w:val="NormalIndent"/>
      </w:pPr>
      <w:r>
        <w:rPr>
          <w:b/>
        </w:rPr>
        <w:t>Recommendation</w:t>
      </w:r>
      <w:r w:rsidRPr="003E1EE8">
        <w:rPr>
          <w:b/>
        </w:rPr>
        <w:t xml:space="preserve"> </w:t>
      </w:r>
      <w:r w:rsidR="006541E4" w:rsidRPr="003E1EE8">
        <w:rPr>
          <w:b/>
        </w:rPr>
        <w:t>action plan</w:t>
      </w:r>
      <w:r w:rsidR="006541E4" w:rsidRPr="00C94F8D">
        <w:rPr>
          <w:b/>
        </w:rPr>
        <w:t>:</w:t>
      </w:r>
      <w:r w:rsidR="006541E4" w:rsidRPr="003E1EE8">
        <w:t xml:space="preserve"> </w:t>
      </w:r>
      <w:r w:rsidR="00236E37" w:rsidRPr="003E1EE8">
        <w:t>E</w:t>
      </w:r>
      <w:r w:rsidR="006541E4" w:rsidRPr="003E1EE8">
        <w:t>nables red flag recommendations from the Gateway report to be presented in a separate document for distribution to the Treasurer (via DTF), thus maintaining the overall confidentiality of the Gateway report. The RAP is used by projects to report risk mitigation responses to any red rated individual recommendations without disclosing the overall assessment of the project and all recommendations.</w:t>
      </w:r>
    </w:p>
    <w:p w14:paraId="637EA476" w14:textId="54C148E5" w:rsidR="006541E4" w:rsidRPr="003E1EE8" w:rsidRDefault="006541E4" w:rsidP="007C4728">
      <w:pPr>
        <w:pStyle w:val="NormalIndent"/>
      </w:pPr>
      <w:r w:rsidRPr="003E1EE8">
        <w:rPr>
          <w:b/>
        </w:rPr>
        <w:t>Residual value</w:t>
      </w:r>
      <w:r w:rsidRPr="008A4B86">
        <w:rPr>
          <w:b/>
        </w:rPr>
        <w:t>:</w:t>
      </w:r>
      <w:r w:rsidRPr="003E1EE8">
        <w:t xml:space="preserve"> The net value applied to the asset at the end of the investment lifecycle or evaluation period</w:t>
      </w:r>
      <w:r w:rsidR="00685BD9">
        <w:t>.</w:t>
      </w:r>
      <w:r w:rsidR="00685BD9" w:rsidRPr="003E1EE8">
        <w:t xml:space="preserve"> </w:t>
      </w:r>
      <w:r w:rsidR="00685BD9">
        <w:t>T</w:t>
      </w:r>
      <w:r w:rsidR="00685BD9" w:rsidRPr="003E1EE8">
        <w:t xml:space="preserve">his </w:t>
      </w:r>
      <w:r w:rsidRPr="003E1EE8">
        <w:t>may result in either a positive or a negative value.</w:t>
      </w:r>
    </w:p>
    <w:p w14:paraId="0C7823D4" w14:textId="2A9F09FF" w:rsidR="006541E4" w:rsidRPr="003E1EE8" w:rsidRDefault="006541E4" w:rsidP="007C4728">
      <w:pPr>
        <w:pStyle w:val="NormalIndent"/>
      </w:pPr>
      <w:r w:rsidRPr="003E1EE8">
        <w:rPr>
          <w:b/>
        </w:rPr>
        <w:lastRenderedPageBreak/>
        <w:t>Resources</w:t>
      </w:r>
      <w:r w:rsidRPr="008A4B86">
        <w:rPr>
          <w:b/>
        </w:rPr>
        <w:t>:</w:t>
      </w:r>
      <w:r w:rsidRPr="003E1EE8">
        <w:t xml:space="preserve"> Labour, materials and other inputs used to produce outputs.</w:t>
      </w:r>
    </w:p>
    <w:p w14:paraId="78033123" w14:textId="64540A68" w:rsidR="004A7D91" w:rsidRPr="003E1EE8" w:rsidRDefault="0025171C" w:rsidP="007C4728">
      <w:pPr>
        <w:pStyle w:val="NormalIndent"/>
        <w:rPr>
          <w:rFonts w:eastAsia="MS Mincho"/>
        </w:rPr>
      </w:pPr>
      <w:r w:rsidRPr="003E1EE8">
        <w:rPr>
          <w:rFonts w:eastAsia="MS Mincho"/>
          <w:b/>
        </w:rPr>
        <w:t>Response option</w:t>
      </w:r>
      <w:r w:rsidR="00F83BE1" w:rsidRPr="003E1EE8">
        <w:rPr>
          <w:rFonts w:eastAsia="MS Mincho"/>
          <w:b/>
        </w:rPr>
        <w:t>:</w:t>
      </w:r>
      <w:r w:rsidRPr="003E1EE8">
        <w:rPr>
          <w:rFonts w:eastAsia="MS Mincho"/>
          <w:b/>
        </w:rPr>
        <w:t xml:space="preserve"> </w:t>
      </w:r>
      <w:r w:rsidR="00236E37" w:rsidRPr="003E1EE8">
        <w:rPr>
          <w:rFonts w:eastAsia="MS Mincho"/>
        </w:rPr>
        <w:t>C</w:t>
      </w:r>
      <w:r w:rsidRPr="003E1EE8">
        <w:rPr>
          <w:rFonts w:eastAsia="MS Mincho"/>
        </w:rPr>
        <w:t xml:space="preserve">omprises either one or a mix of strategic interventions. </w:t>
      </w:r>
    </w:p>
    <w:p w14:paraId="0720234F" w14:textId="1F18BBA0" w:rsidR="00F00ED1" w:rsidRPr="003E1EE8" w:rsidRDefault="00F00ED1" w:rsidP="00BD5527">
      <w:pPr>
        <w:pStyle w:val="NormalIndent"/>
        <w:keepNext/>
      </w:pPr>
      <w:r w:rsidRPr="003E1EE8">
        <w:rPr>
          <w:b/>
        </w:rPr>
        <w:t>Response option development</w:t>
      </w:r>
      <w:r w:rsidRPr="008A4B86">
        <w:rPr>
          <w:b/>
        </w:rPr>
        <w:t>:</w:t>
      </w:r>
      <w:r w:rsidRPr="003E1EE8">
        <w:t xml:space="preserve"> Aims to identify and explore a range of possible strategic interventions to the problem and determine the response option best suited to the need. </w:t>
      </w:r>
    </w:p>
    <w:p w14:paraId="2D81039A" w14:textId="77777777" w:rsidR="006541E4" w:rsidRPr="003E1EE8" w:rsidRDefault="006541E4" w:rsidP="007C4728">
      <w:pPr>
        <w:pStyle w:val="NormalIndent"/>
      </w:pPr>
      <w:r w:rsidRPr="003E1EE8">
        <w:rPr>
          <w:b/>
        </w:rPr>
        <w:t>Revenue</w:t>
      </w:r>
      <w:r w:rsidRPr="008A4B86">
        <w:rPr>
          <w:b/>
        </w:rPr>
        <w:t>:</w:t>
      </w:r>
      <w:r w:rsidRPr="003E1EE8">
        <w:t xml:space="preserve"> Inflows or other enhancements, or savings in outflows, of service potential or future economic benefits in the form of increases in assets or reductions in liabilities of the entity (other than those relating to contributions by owners) that result in an increase in equity during the reporting period.</w:t>
      </w:r>
    </w:p>
    <w:p w14:paraId="4973F666" w14:textId="6D5AD270" w:rsidR="006541E4" w:rsidRPr="003E1EE8" w:rsidRDefault="006541E4" w:rsidP="007C4728">
      <w:pPr>
        <w:pStyle w:val="NormalIndent"/>
      </w:pPr>
      <w:r w:rsidRPr="003E1EE8">
        <w:rPr>
          <w:b/>
        </w:rPr>
        <w:t>Risk</w:t>
      </w:r>
      <w:r w:rsidRPr="008A4B86">
        <w:rPr>
          <w:b/>
        </w:rPr>
        <w:t>:</w:t>
      </w:r>
      <w:r w:rsidRPr="003E1EE8">
        <w:t xml:space="preserve"> Risk is often characterised by reference to potential events, consequences or a combination of these, and how they can affect the successful deliver</w:t>
      </w:r>
      <w:r w:rsidR="0045142A">
        <w:t>y</w:t>
      </w:r>
      <w:r w:rsidRPr="003E1EE8">
        <w:t xml:space="preserve"> of the benefits expected of the investment. Risk is often expressed in terms of a combination of the consequences of an event or a change in circumstances, and the associated likelihood of occurrence. </w:t>
      </w:r>
    </w:p>
    <w:p w14:paraId="739C48AE" w14:textId="77777777" w:rsidR="006541E4" w:rsidRPr="003E1EE8" w:rsidRDefault="006541E4" w:rsidP="007C4728">
      <w:pPr>
        <w:pStyle w:val="NormalIndent"/>
      </w:pPr>
      <w:r w:rsidRPr="003E1EE8">
        <w:rPr>
          <w:b/>
        </w:rPr>
        <w:t>Scenario analysis</w:t>
      </w:r>
      <w:r w:rsidRPr="008A4B86">
        <w:rPr>
          <w:b/>
        </w:rPr>
        <w:t>:</w:t>
      </w:r>
      <w:r w:rsidRPr="003E1EE8">
        <w:t xml:space="preserve"> Scenario analysis is a procedure for providing the decision-maker with some information about the effect of risks and uncertainties on an investment. In a scenario analysis, a set of critical parameters and assumptions that define a particular scenario are identified and varied to reflect a best-case and a worst-case scenario.</w:t>
      </w:r>
    </w:p>
    <w:p w14:paraId="4D9D3498" w14:textId="25175DAD" w:rsidR="006541E4" w:rsidRPr="003E1EE8" w:rsidRDefault="002F2E09" w:rsidP="007C4728">
      <w:pPr>
        <w:pStyle w:val="NormalIndent"/>
      </w:pPr>
      <w:r w:rsidRPr="003E1EE8">
        <w:rPr>
          <w:b/>
        </w:rPr>
        <w:t>Senior Responsible Owner</w:t>
      </w:r>
      <w:r w:rsidR="006541E4" w:rsidRPr="003E1EE8">
        <w:rPr>
          <w:b/>
        </w:rPr>
        <w:t xml:space="preserve"> (or project sponsor)</w:t>
      </w:r>
      <w:r w:rsidR="006541E4" w:rsidRPr="00C94F8D">
        <w:rPr>
          <w:b/>
        </w:rPr>
        <w:t>:</w:t>
      </w:r>
      <w:r w:rsidR="006541E4" w:rsidRPr="003E1EE8">
        <w:t xml:space="preserve"> The SRO is has accountability and responsibility for a project. The SRO is the effective link between the organisation’s senior executive body and the management of a project. The </w:t>
      </w:r>
      <w:r w:rsidR="008A4B86" w:rsidRPr="003E1EE8">
        <w:t xml:space="preserve">sponsor </w:t>
      </w:r>
      <w:r w:rsidR="006541E4" w:rsidRPr="003E1EE8">
        <w:t xml:space="preserve">is also a core member of the </w:t>
      </w:r>
      <w:r w:rsidR="001E363A" w:rsidRPr="003E1EE8">
        <w:t>project steering committee</w:t>
      </w:r>
      <w:r w:rsidR="00685BD9">
        <w:t>,</w:t>
      </w:r>
      <w:r w:rsidR="006541E4" w:rsidRPr="003E1EE8">
        <w:t xml:space="preserve"> usually the Chair. In addition to being an experienced executive well versed in the details of organisational stakeholder and client requirements and relationships, the sponsor needs to have experience in project management. </w:t>
      </w:r>
    </w:p>
    <w:p w14:paraId="22F79A7D" w14:textId="77777777" w:rsidR="006541E4" w:rsidRPr="003E1EE8" w:rsidRDefault="006541E4" w:rsidP="007C4728">
      <w:pPr>
        <w:pStyle w:val="NormalIndent"/>
      </w:pPr>
      <w:r w:rsidRPr="003E1EE8">
        <w:rPr>
          <w:b/>
        </w:rPr>
        <w:t>Social benefit</w:t>
      </w:r>
      <w:r w:rsidRPr="008A4B86">
        <w:rPr>
          <w:b/>
        </w:rPr>
        <w:t>:</w:t>
      </w:r>
      <w:r w:rsidRPr="003E1EE8">
        <w:t xml:space="preserve"> The estimated direct increase in the welfare of society from an economic action. It is the sum of the benefit to the agent performing the action, plus the benefit accruing to society as a result of the action.</w:t>
      </w:r>
    </w:p>
    <w:p w14:paraId="0FEE7D23" w14:textId="77777777" w:rsidR="006541E4" w:rsidRPr="003E1EE8" w:rsidRDefault="006541E4" w:rsidP="007C4728">
      <w:pPr>
        <w:pStyle w:val="NormalIndent"/>
      </w:pPr>
      <w:r w:rsidRPr="003E1EE8">
        <w:rPr>
          <w:b/>
        </w:rPr>
        <w:t>Social cost</w:t>
      </w:r>
      <w:r w:rsidRPr="008A4B86">
        <w:rPr>
          <w:b/>
        </w:rPr>
        <w:t>:</w:t>
      </w:r>
      <w:r w:rsidRPr="003E1EE8">
        <w:t xml:space="preserve"> The estimated direct total cost to society of an economic activity. It is the sum of the opportunity costs of the resources used by the agent carrying out the activity, plus any additional costs imposed on society from the activity.</w:t>
      </w:r>
    </w:p>
    <w:p w14:paraId="4B436561" w14:textId="33422033" w:rsidR="006541E4" w:rsidRPr="003E1EE8" w:rsidRDefault="006541E4" w:rsidP="007C4728">
      <w:pPr>
        <w:pStyle w:val="NormalIndent"/>
      </w:pPr>
      <w:r w:rsidRPr="003E1EE8">
        <w:rPr>
          <w:b/>
        </w:rPr>
        <w:t>Strategic intervention</w:t>
      </w:r>
      <w:r w:rsidRPr="008A4B86">
        <w:rPr>
          <w:b/>
        </w:rPr>
        <w:t>:</w:t>
      </w:r>
      <w:r w:rsidRPr="003E1EE8">
        <w:t xml:space="preserve"> The high</w:t>
      </w:r>
      <w:r w:rsidR="00236E37" w:rsidRPr="003E1EE8">
        <w:t>-</w:t>
      </w:r>
      <w:r w:rsidRPr="003E1EE8">
        <w:t xml:space="preserve">level strategic action that could be taken as a response to the identified problem. A valid strategic intervention must have the potential to deliver some or all of the identified KPIs and their target measures. To ensure it is sufficiently high level, its implementation must also allow for more than one possible solution. </w:t>
      </w:r>
    </w:p>
    <w:p w14:paraId="523B62F4" w14:textId="525EACA4" w:rsidR="00236E37" w:rsidRPr="003E1EE8" w:rsidRDefault="00236E37" w:rsidP="007C4728">
      <w:pPr>
        <w:pStyle w:val="NormalIndent"/>
      </w:pPr>
      <w:r w:rsidRPr="003E1EE8">
        <w:rPr>
          <w:b/>
        </w:rPr>
        <w:t>Uncertainties</w:t>
      </w:r>
      <w:r w:rsidRPr="008A4B86">
        <w:t>:</w:t>
      </w:r>
      <w:r w:rsidRPr="003E1EE8">
        <w:t xml:space="preserve"> External factors or changing conditions that can impact the decision to commit to and deliver the intended investment outcomes. They differ from risks in that they are beyond the investor’s control to mitigate or manage to limit their impacts on the investment. Instead, Government may need to modify the investment strategy to proactively respond to the changing conditions.</w:t>
      </w:r>
    </w:p>
    <w:p w14:paraId="3C01947A" w14:textId="1FE4E4CE" w:rsidR="006541E4" w:rsidRPr="003E1EE8" w:rsidRDefault="006541E4" w:rsidP="007C4728">
      <w:pPr>
        <w:pStyle w:val="NormalIndent"/>
      </w:pPr>
      <w:r w:rsidRPr="003E1EE8">
        <w:rPr>
          <w:b/>
        </w:rPr>
        <w:t>Value</w:t>
      </w:r>
      <w:r w:rsidR="008A4B86">
        <w:rPr>
          <w:b/>
        </w:rPr>
        <w:t xml:space="preserve"> </w:t>
      </w:r>
      <w:r w:rsidRPr="003E1EE8">
        <w:rPr>
          <w:b/>
        </w:rPr>
        <w:t>for</w:t>
      </w:r>
      <w:r w:rsidR="008A4B86">
        <w:rPr>
          <w:b/>
        </w:rPr>
        <w:t xml:space="preserve"> </w:t>
      </w:r>
      <w:r w:rsidR="008A4B86" w:rsidRPr="003E1EE8">
        <w:rPr>
          <w:b/>
        </w:rPr>
        <w:t>money</w:t>
      </w:r>
      <w:r w:rsidRPr="008A4B86">
        <w:rPr>
          <w:b/>
        </w:rPr>
        <w:t>:</w:t>
      </w:r>
      <w:r w:rsidRPr="003E1EE8">
        <w:t xml:space="preserve"> is a balanced benefit measure covering quality levels, performance standards, risk exposure, other policy effects and other considerations such as social and environmental impacts as well as cost. For capital assets, value for money should be assessed on a ‘whole of life’ or ‘total cost of ownership’ basis. </w:t>
      </w:r>
    </w:p>
    <w:p w14:paraId="23A9E736" w14:textId="28F62FB4" w:rsidR="006541E4" w:rsidRPr="003E1EE8" w:rsidRDefault="006541E4" w:rsidP="007C4728">
      <w:pPr>
        <w:pStyle w:val="NormalIndent"/>
      </w:pPr>
      <w:r w:rsidRPr="003E1EE8">
        <w:rPr>
          <w:b/>
        </w:rPr>
        <w:lastRenderedPageBreak/>
        <w:t>Value management</w:t>
      </w:r>
      <w:r w:rsidRPr="008A4B86">
        <w:rPr>
          <w:b/>
        </w:rPr>
        <w:t>:</w:t>
      </w:r>
      <w:r w:rsidRPr="003E1EE8">
        <w:t xml:space="preserve"> A technique that seeks to achieve optimum value for money using a systematic review process. The essence of value management is a methodical study of all parts of the product or system to ensure that essential functional requirements are achieved at the lowest total cost. Value management examines the functions required from a product, functions actually performed, and roles of the product’s components in achieving the required level of performance. Creative alternatives that will provide the desired functions better or </w:t>
      </w:r>
      <w:r w:rsidR="00974379">
        <w:t xml:space="preserve">at </w:t>
      </w:r>
      <w:r w:rsidRPr="003E1EE8">
        <w:t>a lower cost can also be explored.</w:t>
      </w:r>
    </w:p>
    <w:p w14:paraId="4817C2C1" w14:textId="469B5554" w:rsidR="006541E4" w:rsidRPr="003E1EE8" w:rsidRDefault="006541E4" w:rsidP="007C4728">
      <w:pPr>
        <w:pStyle w:val="NormalIndent"/>
      </w:pPr>
      <w:r w:rsidRPr="003E1EE8">
        <w:rPr>
          <w:b/>
        </w:rPr>
        <w:t>Weighting and scoring</w:t>
      </w:r>
      <w:r w:rsidRPr="008A4B86">
        <w:rPr>
          <w:b/>
        </w:rPr>
        <w:t>:</w:t>
      </w:r>
      <w:r w:rsidRPr="003E1EE8">
        <w:t xml:space="preserve"> A technique that assigns weights to criteria and then scores options in terms of how well they perform against those weighted criteria. Weighted scores are summed and then used to rank options.</w:t>
      </w:r>
    </w:p>
    <w:p w14:paraId="788E1375" w14:textId="760F272D" w:rsidR="00B84F11" w:rsidRPr="003E1EE8" w:rsidRDefault="006541E4" w:rsidP="007C4728">
      <w:pPr>
        <w:pStyle w:val="NormalIndent"/>
      </w:pPr>
      <w:r w:rsidRPr="003E1EE8">
        <w:rPr>
          <w:b/>
        </w:rPr>
        <w:t>Whole</w:t>
      </w:r>
      <w:r w:rsidR="008A4B86">
        <w:rPr>
          <w:b/>
        </w:rPr>
        <w:t xml:space="preserve"> </w:t>
      </w:r>
      <w:r w:rsidRPr="003E1EE8">
        <w:rPr>
          <w:b/>
        </w:rPr>
        <w:t>of</w:t>
      </w:r>
      <w:r w:rsidR="008A4B86">
        <w:rPr>
          <w:b/>
        </w:rPr>
        <w:t xml:space="preserve"> l</w:t>
      </w:r>
      <w:r w:rsidRPr="003E1EE8">
        <w:rPr>
          <w:b/>
        </w:rPr>
        <w:t>ife costs</w:t>
      </w:r>
      <w:r w:rsidRPr="008A4B86">
        <w:rPr>
          <w:b/>
        </w:rPr>
        <w:t>:</w:t>
      </w:r>
      <w:r w:rsidRPr="003E1EE8">
        <w:t xml:space="preserve"> Whole</w:t>
      </w:r>
      <w:r w:rsidR="00D715ED">
        <w:t xml:space="preserve"> </w:t>
      </w:r>
      <w:r w:rsidRPr="003E1EE8">
        <w:t>of</w:t>
      </w:r>
      <w:r w:rsidR="00D715ED">
        <w:t xml:space="preserve"> l</w:t>
      </w:r>
      <w:r w:rsidRPr="003E1EE8">
        <w:t xml:space="preserve">ife costs are all additional costs required to achieve the investment outcomes over the life of the asset or service delivery. This includes all costs (and revenues) needed to design, develop (construct and/or install) and operate any new asset, along with the costs and revenues associated with any service provision. All costs can be discounted to a </w:t>
      </w:r>
      <w:r w:rsidR="008A4B86" w:rsidRPr="003E1EE8">
        <w:t xml:space="preserve">net present value </w:t>
      </w:r>
      <w:r w:rsidRPr="003E1EE8">
        <w:t xml:space="preserve">to enable fair financial comparison of one investment proposition with another. A </w:t>
      </w:r>
      <w:r w:rsidR="00D715ED" w:rsidRPr="003E1EE8">
        <w:t>whole</w:t>
      </w:r>
      <w:r w:rsidR="00D715ED">
        <w:t xml:space="preserve"> </w:t>
      </w:r>
      <w:r w:rsidR="00D715ED" w:rsidRPr="003E1EE8">
        <w:t>of</w:t>
      </w:r>
      <w:r w:rsidR="00D715ED">
        <w:t xml:space="preserve"> l</w:t>
      </w:r>
      <w:r w:rsidRPr="003E1EE8">
        <w:t>ife cost appraisal is especially important in ensuring project teams consider the long</w:t>
      </w:r>
      <w:r w:rsidR="00125227" w:rsidRPr="003E1EE8">
        <w:t>-</w:t>
      </w:r>
      <w:r w:rsidRPr="003E1EE8">
        <w:t>term operational costs of a project and consequently provide a new capital asset (if required)</w:t>
      </w:r>
      <w:r w:rsidR="00974379">
        <w:t>,</w:t>
      </w:r>
      <w:r w:rsidRPr="003E1EE8">
        <w:t xml:space="preserve"> which optimises these investment outcome</w:t>
      </w:r>
      <w:r w:rsidR="003723BF" w:rsidRPr="003E1EE8">
        <w:t>s.</w:t>
      </w:r>
    </w:p>
    <w:p w14:paraId="1FB68862" w14:textId="77777777" w:rsidR="00367473" w:rsidRPr="003E1EE8" w:rsidRDefault="00367473" w:rsidP="007C4728">
      <w:pPr>
        <w:pStyle w:val="NormalIndent"/>
      </w:pPr>
    </w:p>
    <w:p w14:paraId="25DB013E" w14:textId="77777777" w:rsidR="00367473" w:rsidRPr="003E1EE8" w:rsidRDefault="00367473" w:rsidP="007D2279"/>
    <w:p w14:paraId="52975289" w14:textId="35A8C003" w:rsidR="00367473" w:rsidRPr="003E1EE8" w:rsidRDefault="00367473" w:rsidP="007D2279">
      <w:pPr>
        <w:sectPr w:rsidR="00367473" w:rsidRPr="003E1EE8" w:rsidSect="00A51425">
          <w:footerReference w:type="even" r:id="rId58"/>
          <w:footerReference w:type="default" r:id="rId59"/>
          <w:type w:val="oddPage"/>
          <w:pgSz w:w="11906" w:h="16838" w:code="9"/>
          <w:pgMar w:top="1872" w:right="1411" w:bottom="1440" w:left="1411" w:header="677" w:footer="461" w:gutter="0"/>
          <w:pgNumType w:start="1"/>
          <w:cols w:sep="1" w:space="567"/>
          <w:docGrid w:linePitch="360"/>
        </w:sectPr>
      </w:pPr>
    </w:p>
    <w:p w14:paraId="280F7C57" w14:textId="77777777" w:rsidR="006541E4" w:rsidRPr="003E1EE8" w:rsidRDefault="006541E4" w:rsidP="006541E4"/>
    <w:sectPr w:rsidR="006541E4" w:rsidRPr="003E1EE8" w:rsidSect="00A51425">
      <w:headerReference w:type="even" r:id="rId60"/>
      <w:headerReference w:type="default" r:id="rId61"/>
      <w:footerReference w:type="even" r:id="rId62"/>
      <w:footerReference w:type="default" r:id="rId63"/>
      <w:headerReference w:type="first" r:id="rId64"/>
      <w:footerReference w:type="first" r:id="rId65"/>
      <w:type w:val="evenPage"/>
      <w:pgSz w:w="11906" w:h="16838" w:code="9"/>
      <w:pgMar w:top="1872" w:right="1411" w:bottom="1440" w:left="1411" w:header="677" w:footer="461"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F0B31" w14:textId="77777777" w:rsidR="00D634AC" w:rsidRDefault="00D634AC" w:rsidP="00474C53">
      <w:r>
        <w:separator/>
      </w:r>
    </w:p>
  </w:endnote>
  <w:endnote w:type="continuationSeparator" w:id="0">
    <w:p w14:paraId="650554AD" w14:textId="77777777" w:rsidR="00D634AC" w:rsidRDefault="00D634AC" w:rsidP="004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FF70" w14:textId="77777777" w:rsidR="00846FFA" w:rsidRDefault="00846F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8040" w14:textId="06AB0126" w:rsidR="004E4E0B" w:rsidRPr="00BA26F2" w:rsidRDefault="00846FFA" w:rsidP="008155D0">
    <w:pPr>
      <w:pStyle w:val="Footerodd"/>
    </w:pPr>
    <w:fldSimple w:instr=" STYLEREF  Title  \* MERGEFORMAT ">
      <w:r w:rsidR="00473A1F">
        <w:t>Investment Lifecycle and High Value High Risk Guidelines</w:t>
      </w:r>
    </w:fldSimple>
    <w:r w:rsidR="004E4E0B" w:rsidRPr="00151399">
      <w:t xml:space="preserve"> </w:t>
    </w:r>
    <w:r w:rsidR="004E4E0B">
      <w:t xml:space="preserve">– </w:t>
    </w:r>
    <w:r w:rsidR="004E4E0B" w:rsidRPr="00CB38E5">
      <w:rPr>
        <w:b/>
      </w:rPr>
      <w:fldChar w:fldCharType="begin"/>
    </w:r>
    <w:r w:rsidR="004E4E0B" w:rsidRPr="00CB38E5">
      <w:rPr>
        <w:b/>
      </w:rPr>
      <w:instrText xml:space="preserve"> STYLEREF  Subtitle </w:instrText>
    </w:r>
    <w:r w:rsidR="004E4E0B" w:rsidRPr="00CB38E5">
      <w:rPr>
        <w:b/>
      </w:rPr>
      <w:fldChar w:fldCharType="separate"/>
    </w:r>
    <w:r w:rsidR="00473A1F">
      <w:rPr>
        <w:b/>
      </w:rPr>
      <w:t>Overview and glossary</w:t>
    </w:r>
    <w:r w:rsidR="004E4E0B" w:rsidRPr="00CB38E5">
      <w:rPr>
        <w:b/>
        <w:bCs/>
        <w:lang w:val="en-US"/>
      </w:rPr>
      <w:fldChar w:fldCharType="end"/>
    </w:r>
    <w:r w:rsidR="004E4E0B">
      <w:rPr>
        <w:rStyle w:val="PageNumber"/>
      </w:rPr>
      <w:tab/>
      <w:t xml:space="preserve">Page </w:t>
    </w:r>
    <w:r w:rsidR="004E4E0B" w:rsidRPr="00BA26F2">
      <w:rPr>
        <w:rStyle w:val="PageNumber"/>
      </w:rPr>
      <w:fldChar w:fldCharType="begin"/>
    </w:r>
    <w:r w:rsidR="004E4E0B" w:rsidRPr="00BA26F2">
      <w:rPr>
        <w:rStyle w:val="PageNumber"/>
      </w:rPr>
      <w:instrText xml:space="preserve"> PAGE </w:instrText>
    </w:r>
    <w:r w:rsidR="004E4E0B" w:rsidRPr="00BA26F2">
      <w:rPr>
        <w:rStyle w:val="PageNumber"/>
      </w:rPr>
      <w:fldChar w:fldCharType="separate"/>
    </w:r>
    <w:r w:rsidR="004E4E0B">
      <w:rPr>
        <w:rStyle w:val="PageNumber"/>
      </w:rPr>
      <w:t>15</w:t>
    </w:r>
    <w:r w:rsidR="004E4E0B" w:rsidRPr="00BA26F2">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643D" w14:textId="256C3CB5" w:rsidR="004E4E0B" w:rsidRDefault="004E4E0B" w:rsidP="00B84F11">
    <w:pPr>
      <w:pStyle w:val="Footer"/>
    </w:pPr>
  </w:p>
  <w:p w14:paraId="488418F9" w14:textId="77777777" w:rsidR="004E4E0B" w:rsidRPr="00B84F11" w:rsidRDefault="004E4E0B" w:rsidP="00B84F1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D9C1" w14:textId="633B295B" w:rsidR="004E4E0B" w:rsidRDefault="004E4E0B">
    <w:pPr>
      <w:pStyle w:val="Footer"/>
      <w:rPr>
        <w:rFonts w:ascii="Arial" w:hAnsi="Arial" w:cs="Arial"/>
        <w:b/>
        <w:color w:val="3F3F3F"/>
      </w:rPr>
    </w:pPr>
    <w:r>
      <w:rPr>
        <w:rFonts w:ascii="Arial" w:hAnsi="Arial" w:cs="Arial"/>
        <w:b/>
        <w:color w:val="3F3F3F"/>
        <w:lang w:val="en-US" w:eastAsia="en-US"/>
      </w:rPr>
      <mc:AlternateContent>
        <mc:Choice Requires="wps">
          <w:drawing>
            <wp:anchor distT="0" distB="0" distL="114300" distR="114300" simplePos="1" relativeHeight="251662336" behindDoc="0" locked="0" layoutInCell="0" allowOverlap="1" wp14:anchorId="6FAE7E4B" wp14:editId="6C97834E">
              <wp:simplePos x="0" y="10234930"/>
              <wp:positionH relativeFrom="page">
                <wp:posOffset>0</wp:posOffset>
              </wp:positionH>
              <wp:positionV relativeFrom="page">
                <wp:posOffset>10234930</wp:posOffset>
              </wp:positionV>
              <wp:extent cx="7560310" cy="266700"/>
              <wp:effectExtent l="0" t="0" r="0" b="0"/>
              <wp:wrapNone/>
              <wp:docPr id="26" name="MSIPCMbe7447a98ba6a3c908468722" descr="{&quot;HashCode&quot;:905516305,&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74B6DCAD" w14:textId="7F8F7B44" w:rsidR="004E4E0B" w:rsidRPr="002062B0" w:rsidRDefault="004E4E0B" w:rsidP="002062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AE7E4B" id="_x0000_t202" coordsize="21600,21600" o:spt="202" path="m,l,21600r21600,l21600,xe">
              <v:stroke joinstyle="miter"/>
              <v:path gradientshapeok="t" o:connecttype="rect"/>
            </v:shapetype>
            <v:shape id="MSIPCMbe7447a98ba6a3c908468722" o:spid="_x0000_s1030" type="#_x0000_t202" alt="{&quot;HashCode&quot;:905516305,&quot;Height&quot;:841.0,&quot;Width&quot;:595.0,&quot;Placement&quot;:&quot;Footer&quot;,&quot;Index&quot;:&quot;Primary&quot;,&quot;Section&quot;:6,&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Mv5gIAAJgFAAAOAAAAZHJzL2Uyb0RvYy54bWysVEtv2zAMvg/YfxB02GmpH7GdOKtTpCmy&#10;FUjbAOnQsyLLsQFb0iSlcVbsv4+S7XTrdhp2sfkSRX38yMurtqnRM1O6EjzDwYWPEeNU5BXfZ/jr&#10;42o0xUgbwnNSC84yfGIaX83fv7s8yhkLRSnqnCkESbieHWWGS2PkzPM0LVlD9IWQjIOzEKohBlS1&#10;93JFjpC9qb3Q9xPvKFQulaBMa7DedE48d/mLglHzUBSaGVRnGGoz7qvcd2e/3vySzPaKyLKifRnk&#10;H6poSMXh0nOqG2IIOqjqj1RNRZXQojAXVDSeKIqKMvcGeE3gv3nNtiSSubcAOFqeYdL/Ly29f94o&#10;VOUZDhOMOGmgR3fb283ybscmUTQh6XRHEjKmqT+NkukkDDHKmaYA4cuHbwdhPn0hulyKnHXaLPXj&#10;OEjGfvyxd7NqX5reOY2AIb3jqcpN2dvjND7bNzWhrGF8ONOFrIQwTHVyn+CW56ztE3S/jaoaok6/&#10;RW2BAsDNPi7pzz4K2Vv888VrVgx3gvGHpcZR6hkgtJWAkWmvRQsUH+wajLbjbaEa+4deIvADyU5n&#10;YrHWIArGSZz44wBcFHxhkkx8xzzv9bRU2nxmokFWyLCCqh2fyPNaG6gEQocQexkXq6quHXlrjo4Z&#10;Tsax7w6cPXCi5jYWioAcvdSR8iUNwsi/DtPRCno6ioooHqUTfzryg/Q6TfwojW5WDgHIMpz3LBrd&#10;q61k2l3riDMeENmJ/ARAKdFNmZZ0VcFr1kSbDVEwVgAArArzAJ+iFlC16CWMSqG+/81u44Ht4MXo&#10;CGOaYf3tQBTDqL7lMAdhHPkAJjJOA0E5IQ2iCJTdYOWHZilgBQSwjSR1oo019SAWSjRPsEoW9jpw&#10;EU7h0gzvBnFpQAMHrCLKFgsnwwhLYtZ8K6lNbSG2TXpsn4iSfScNwHcvhkkmszcN7WK7li4ORhSV&#10;67YFuIMTWm8VGH9Hgn5V2f3yq+6iXhfq/Cc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QQSDL+YCAACYBQAADgAAAAAA&#10;AAAAAAAAAAAuAgAAZHJzL2Uyb0RvYy54bWxQSwECLQAUAAYACAAAACEAYBHGJt4AAAALAQAADwAA&#10;AAAAAAAAAAAAAABABQAAZHJzL2Rvd25yZXYueG1sUEsFBgAAAAAEAAQA8wAAAEsGAAAAAA==&#10;" o:allowincell="f" filled="f" stroked="f" strokeweight=".5pt">
              <v:textbox inset="20pt,0,,0">
                <w:txbxContent>
                  <w:p w14:paraId="74B6DCAD" w14:textId="7F8F7B44" w:rsidR="004E4E0B" w:rsidRPr="002062B0" w:rsidRDefault="004E4E0B" w:rsidP="002062B0">
                    <w:pPr>
                      <w:spacing w:before="0" w:after="0"/>
                      <w:rPr>
                        <w:rFonts w:ascii="Calibri" w:hAnsi="Calibri" w:cs="Calibri"/>
                        <w:color w:val="000000"/>
                        <w:sz w:val="22"/>
                      </w:rPr>
                    </w:pPr>
                  </w:p>
                </w:txbxContent>
              </v:textbox>
              <w10:wrap anchorx="page" anchory="page"/>
            </v:shape>
          </w:pict>
        </mc:Fallback>
      </mc:AlternateContent>
    </w:r>
    <w:r>
      <w:rPr>
        <w:rFonts w:ascii="Arial" w:hAnsi="Arial" w:cs="Arial"/>
        <w:b/>
        <w:color w:val="3F3F3F"/>
        <w:lang w:val="en-US" w:eastAsia="en-US"/>
      </w:rPr>
      <mc:AlternateContent>
        <mc:Choice Requires="wps">
          <w:drawing>
            <wp:anchor distT="0" distB="0" distL="114300" distR="114300" simplePos="1" relativeHeight="251650048" behindDoc="0" locked="0" layoutInCell="0" allowOverlap="1" wp14:anchorId="41BDA8AF" wp14:editId="0B952B38">
              <wp:simplePos x="0" y="10234930"/>
              <wp:positionH relativeFrom="page">
                <wp:posOffset>0</wp:posOffset>
              </wp:positionH>
              <wp:positionV relativeFrom="page">
                <wp:posOffset>10234930</wp:posOffset>
              </wp:positionV>
              <wp:extent cx="7560310" cy="266700"/>
              <wp:effectExtent l="0" t="0" r="0" b="0"/>
              <wp:wrapNone/>
              <wp:docPr id="238" name="MSIPCM9c3648129ca97aa50198344a" descr="{&quot;HashCode&quot;:905516305,&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1D82E396" w14:textId="16E4CDD2" w:rsidR="004E4E0B" w:rsidRPr="00AA72C5" w:rsidRDefault="004E4E0B" w:rsidP="00AA72C5">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1BDA8AF" id="MSIPCM9c3648129ca97aa50198344a" o:spid="_x0000_s1031" type="#_x0000_t202" alt="{&quot;HashCode&quot;:905516305,&quot;Height&quot;:841.0,&quot;Width&quot;:595.0,&quot;Placement&quot;:&quot;Footer&quot;,&quot;Index&quot;:&quot;Primary&quot;,&quot;Section&quot;:8,&quot;Top&quot;:0.0,&quot;Left&quot;:0.0}" style="position:absolute;margin-left:0;margin-top:805.9pt;width:595.3pt;height:21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dL5gIAAJkFAAAOAAAAZHJzL2Uyb0RvYy54bWysVEtv2zAMvg/YfxB02GmpH7GdOKtTpCmy&#10;FUjbAOnQsyLLsQFb0iSlcVbsv4+S7XTrdhp2sfkSRX38yMurtqnRM1O6EjzDwYWPEeNU5BXfZ/jr&#10;42o0xUgbwnNSC84yfGIaX83fv7s8yhkLRSnqnCkESbieHWWGS2PkzPM0LVlD9IWQjIOzEKohBlS1&#10;93JFjpC9qb3Q9xPvKFQulaBMa7DedE48d/mLglHzUBSaGVRnGGoz7qvcd2e/3vySzPaKyLKifRnk&#10;H6poSMXh0nOqG2IIOqjqj1RNRZXQojAXVDSeKIqKMvcGeE3gv3nNtiSSubcAOFqeYdL/Ly29f94o&#10;VOUZDsfQKk4aaNLd9nazvEvpOImmQZhSkk4Iif0gnY6jiGCUM00Bw5cP3w7CfPpCdLkUOeu0WerH&#10;cZCM/fhj72bVvjS9cxoBRXrHU5WbsrfHaXy2b2pCWcP4cKYLWQlhmOrkPsEtz1nbJ+h+G1U1RJ1+&#10;i9oCB4Ccfdy0P/soZG/xzxevWTHcCcYflhtHqWcA0VYCSKa9Fi1wfLBrMNqWt4Vq7B+aicAPLDud&#10;mcVagygYJ3HijwNwUfCFSTLxHfW819NSafOZiQZZIcMKqnaEIs9rbaASCB1C7GVcrKq6duytOTpm&#10;OBnHvjtw9sCJmttYKAJy9FLHypc0CCP/OkxHq2Q6GUVFFI/SiT8dQZOv08SP0uhm5RCALMN5z6LR&#10;vdpKpt21jjnRgMhO5CcASoluzLSkqwpesybabIiCuQIAYFeYB/gUtYCqRS9hVAr1/W92Gw90By9G&#10;R5jTDOtvB6IYRvUth0EI48gHMJFxGgjKCWkQRaDsBis/NEsBOyCAdSSpE22sqQexUKJ5gl2ysNeB&#10;i3AKl2Z4N4hLAxo4YBdRtlg4GWZYErPmW0ltaguxbdJj+0SU7DtpAL57MYwymb1paBfbtXRxMKKo&#10;XLctwB2c0HqrwPw7EvS7yi6YX3UX9bpR5z8B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HUqXS+YCAACZBQAADgAAAAAA&#10;AAAAAAAAAAAuAgAAZHJzL2Uyb0RvYy54bWxQSwECLQAUAAYACAAAACEAYBHGJt4AAAALAQAADwAA&#10;AAAAAAAAAAAAAABABQAAZHJzL2Rvd25yZXYueG1sUEsFBgAAAAAEAAQA8wAAAEsGAAAAAA==&#10;" o:allowincell="f" filled="f" stroked="f" strokeweight=".5pt">
              <v:textbox inset="20pt,0,,0">
                <w:txbxContent>
                  <w:p w14:paraId="1D82E396" w14:textId="16E4CDD2" w:rsidR="004E4E0B" w:rsidRPr="00AA72C5" w:rsidRDefault="004E4E0B" w:rsidP="00AA72C5">
                    <w:pPr>
                      <w:spacing w:before="0" w:after="0"/>
                      <w:rPr>
                        <w:rFonts w:ascii="Calibri" w:hAnsi="Calibri" w:cs="Calibri"/>
                        <w:color w:val="000000"/>
                        <w:sz w:val="22"/>
                      </w:rPr>
                    </w:pPr>
                  </w:p>
                </w:txbxContent>
              </v:textbox>
              <w10:wrap anchorx="page" anchory="page"/>
            </v:shape>
          </w:pict>
        </mc:Fallback>
      </mc:AlternateContent>
    </w:r>
    <w:r w:rsidRPr="00E94A2F">
      <w:rPr>
        <w:rFonts w:ascii="Arial" w:hAnsi="Arial" w:cs="Arial"/>
        <w:b/>
        <w:color w:val="3F3F3F"/>
      </w:rPr>
      <w:t>Unclassified</w:t>
    </w:r>
  </w:p>
  <w:p w14:paraId="646C635B" w14:textId="77777777" w:rsidR="004E4E0B" w:rsidRDefault="004E4E0B">
    <w:pPr>
      <w:pStyle w:val="Footer"/>
    </w:pPr>
  </w:p>
  <w:p w14:paraId="2D2C8B44" w14:textId="77777777" w:rsidR="004E4E0B" w:rsidRPr="00B84F11" w:rsidRDefault="004E4E0B" w:rsidP="00B84F1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C9A9D" w14:textId="7E8DB8CE" w:rsidR="004E4E0B" w:rsidRDefault="004E4E0B">
    <w:pPr>
      <w:pStyle w:val="Footer"/>
      <w:rPr>
        <w:rFonts w:ascii="Arial" w:hAnsi="Arial" w:cs="Arial"/>
        <w:b/>
        <w:color w:val="3F3F3F"/>
      </w:rPr>
    </w:pPr>
    <w:r>
      <w:rPr>
        <w:rFonts w:ascii="Arial" w:hAnsi="Arial" w:cs="Arial"/>
        <w:b/>
        <w:color w:val="3F3F3F"/>
        <w:lang w:val="en-US" w:eastAsia="en-US"/>
      </w:rPr>
      <mc:AlternateContent>
        <mc:Choice Requires="wps">
          <w:drawing>
            <wp:anchor distT="0" distB="0" distL="114300" distR="114300" simplePos="1" relativeHeight="251664384" behindDoc="0" locked="0" layoutInCell="0" allowOverlap="1" wp14:anchorId="1DF7BADD" wp14:editId="74A7BBC3">
              <wp:simplePos x="0" y="10234930"/>
              <wp:positionH relativeFrom="page">
                <wp:posOffset>0</wp:posOffset>
              </wp:positionH>
              <wp:positionV relativeFrom="page">
                <wp:posOffset>10234930</wp:posOffset>
              </wp:positionV>
              <wp:extent cx="7560310" cy="266700"/>
              <wp:effectExtent l="0" t="0" r="0" b="0"/>
              <wp:wrapNone/>
              <wp:docPr id="27" name="MSIPCMd698489ba7d66d4c2d2b635b" descr="{&quot;HashCode&quot;:905516305,&quot;Height&quot;:841.0,&quot;Width&quot;:595.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728BA419" w14:textId="3E78EF6B" w:rsidR="004E4E0B" w:rsidRPr="002062B0" w:rsidRDefault="004E4E0B" w:rsidP="002062B0">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F7BADD" id="_x0000_t202" coordsize="21600,21600" o:spt="202" path="m,l,21600r21600,l21600,xe">
              <v:stroke joinstyle="miter"/>
              <v:path gradientshapeok="t" o:connecttype="rect"/>
            </v:shapetype>
            <v:shape id="MSIPCMd698489ba7d66d4c2d2b635b" o:spid="_x0000_s1032" type="#_x0000_t202" alt="{&quot;HashCode&quot;:905516305,&quot;Height&quot;:841.0,&quot;Width&quot;:595.0,&quot;Placement&quot;:&quot;Footer&quot;,&quot;Index&quot;:&quot;FirstPage&quot;,&quot;Section&quot;:6,&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7Q5gIAAJoFAAAOAAAAZHJzL2Uyb0RvYy54bWysVN9vmzAQfp+0/8Hyw56WQiiQkJVUaaps&#10;ldI2Ujr12TEmIIHt2k5DV+1/39mYdOr2NO0F7pfP5+++u4vLrm3QM1O6FjzH47MQI8apKGq+z/H3&#10;h9VoipE2hBekEZzl+IVpfDn/+OHiKGcsEpVoCqYQJOF6dpQ5royRsyDQtGIt0WdCMg7OUqiWGFDV&#10;PigUOUL2tgmiMEyDo1CFVIIyrcF63Tvx3OUvS0bNfVlqZlCTY6jNuK9y3539BvMLMtsrIqua+jLI&#10;P1TRkprDpadU18QQdFD1H6namiqhRWnOqGgDUZY1Ze4N8Jpx+O4124pI5t4C4Gh5gkn/v7T07nmj&#10;UF3kOJpgxEkLPbrd3myWt0WaTeNptiOTIk2LmEZFtEvPkx1GBdMUIHz99HQQ5ss3oqulKFivzbIw&#10;ScbpeZh89m5W7yvjndMYGOIdj3VhKm9PsuRk3zSEspbx4UwfshLCMNXLPsENL1jnE/igWmmzIXtf&#10;i4/bAgmAnT4y9dYHIb0lPF29ZuVwKxh/WnIcpZ4BRlsJKJnuSnRA8sGuwWh73pWqtX/oJgI/0Ozl&#10;RC3WGUTBOEnS8HwMLgq+KE0noeNe8HZaQu1fmWiRFXKsoGrHKPK81gYqgdAhxF7GxapuGkffhqNj&#10;jqE3oTtw8sCJhttYKAJyeKmn5Ws2juLwKspGq3Q6GcVlnIyySTgdhePsKkvDOIuvVw4ByDKcDywa&#10;/autZLpd56iTDIjsRPECQCnRz5mWdGVbsia2LQoGCwCAZWHu4VM2AqoWXsKoEurH3+w2HvgOXoyO&#10;MKg51k8HohhGzQ2HSYiSOAQwkXEaCMoJ2TiOQdkNVn5olwKWwBj2kaROtLGmGcRSifYRlsnCXgcu&#10;wilcmmMgfC8uDWjggGVE2WLhZBhiScyabyW1qS3EtkkP3SNR0nfSAHx3YphlMnvX0D62b+niYERZ&#10;u25bgHs4ofVWgQXgSOCXld0wv+su6m2lzn8B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RG7u0OYCAACaBQAADgAAAAAA&#10;AAAAAAAAAAAuAgAAZHJzL2Uyb0RvYy54bWxQSwECLQAUAAYACAAAACEAYBHGJt4AAAALAQAADwAA&#10;AAAAAAAAAAAAAABABQAAZHJzL2Rvd25yZXYueG1sUEsFBgAAAAAEAAQA8wAAAEsGAAAAAA==&#10;" o:allowincell="f" filled="f" stroked="f" strokeweight=".5pt">
              <v:textbox inset="20pt,0,,0">
                <w:txbxContent>
                  <w:p w14:paraId="728BA419" w14:textId="3E78EF6B" w:rsidR="004E4E0B" w:rsidRPr="002062B0" w:rsidRDefault="004E4E0B" w:rsidP="002062B0">
                    <w:pPr>
                      <w:spacing w:before="0" w:after="0"/>
                      <w:rPr>
                        <w:rFonts w:ascii="Calibri" w:hAnsi="Calibri" w:cs="Calibri"/>
                        <w:color w:val="000000"/>
                        <w:sz w:val="22"/>
                      </w:rPr>
                    </w:pPr>
                  </w:p>
                </w:txbxContent>
              </v:textbox>
              <w10:wrap anchorx="page" anchory="page"/>
            </v:shape>
          </w:pict>
        </mc:Fallback>
      </mc:AlternateContent>
    </w:r>
    <w:r>
      <w:rPr>
        <w:rFonts w:ascii="Arial" w:hAnsi="Arial" w:cs="Arial"/>
        <w:b/>
        <w:color w:val="3F3F3F"/>
        <w:lang w:val="en-US" w:eastAsia="en-US"/>
      </w:rPr>
      <mc:AlternateContent>
        <mc:Choice Requires="wps">
          <w:drawing>
            <wp:anchor distT="0" distB="0" distL="114300" distR="114300" simplePos="1" relativeHeight="251651072" behindDoc="0" locked="0" layoutInCell="0" allowOverlap="1" wp14:anchorId="45DDAAF6" wp14:editId="61DB1F6C">
              <wp:simplePos x="0" y="10234930"/>
              <wp:positionH relativeFrom="page">
                <wp:posOffset>0</wp:posOffset>
              </wp:positionH>
              <wp:positionV relativeFrom="page">
                <wp:posOffset>10234930</wp:posOffset>
              </wp:positionV>
              <wp:extent cx="7560310" cy="266700"/>
              <wp:effectExtent l="0" t="0" r="0" b="0"/>
              <wp:wrapNone/>
              <wp:docPr id="241" name="MSIPCM3e4a46edbcc581028d5addf6" descr="{&quot;HashCode&quot;:905516305,&quot;Height&quot;:841.0,&quot;Width&quot;:595.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385C3C7B" w14:textId="62B8B446" w:rsidR="004E4E0B" w:rsidRPr="00AA72C5" w:rsidRDefault="004E4E0B" w:rsidP="00AA72C5">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5DDAAF6" id="MSIPCM3e4a46edbcc581028d5addf6" o:spid="_x0000_s1033" type="#_x0000_t202" alt="{&quot;HashCode&quot;:905516305,&quot;Height&quot;:841.0,&quot;Width&quot;:595.0,&quot;Placement&quot;:&quot;Footer&quot;,&quot;Index&quot;:&quot;FirstPage&quot;,&quot;Section&quot;:8,&quot;Top&quot;:0.0,&quot;Left&quot;:0.0}" style="position:absolute;margin-left:0;margin-top:805.9pt;width:595.3pt;height:21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PX5QIAAJsFAAAOAAAAZHJzL2Uyb0RvYy54bWysVN9vmzAQfp+0/8Hyw56WAgmQkJVUaats&#10;ldI2Ujr12TEmIIHt2k5DV+1/39mYdOr2NO0F7pfP5+++u/OLrm3QM1O6FjzH0VmIEeNUFDXf5/j7&#10;w2o0w0gbwgvSCM5y/MI0vlh8/HB+lHM2FpVoCqYQJOF6fpQ5royR8yDQtGIt0WdCMg7OUqiWGFDV&#10;PigUOUL2tgnGYZgGR6EKqQRlWoP1unfihctfloya+7LUzKAmx1CbcV/lvjv7DRbnZL5XRFY19WWQ&#10;f6iiJTWHS0+prokh6KDqP1K1NVVCi9KcUdEGoixrytwb4DVR+O4124pI5t4C4Gh5gkn/v7T07nmj&#10;UF3keBxHGHHSQpNutzebq9sJi0mcsmJHaTKLwvGsSEhRlClGBdMUMHz99HQQ5ss3oqsrUbBem2dh&#10;kkTpJEw+ezer95XxzlkMFPGOx7owlbcnWXKybxpCWcv4cKYPWQlhmOpln+CGF6zzCXxQrbTZkL2v&#10;xcdtgQVATx8589YHIb0lPF29ZuVwKxh/WnYcpZ4DSFsJMJnuUnTA8sGuwWib3pWqtX9oJwI/8Ozl&#10;xC3WGUTBOE3ScBKBi4JvnKbT0JEveDstofavTLTICjlWULWjFHleawOVQOgQYi/jYlU3jeNvw9Ex&#10;x+kkCd2BkwdONNzGQhGQw0s9L1+zaByHl+NstEpn01Fcxskom4azURhll1kaxll8vXIIQJbhfGDR&#10;6F9tJdPtOseddEBkJ4oXAEqJftC0pCvbkjWxbVEwWQAAbAtzD5+yEVC18BJGlVA//ma38UB48GJ0&#10;hEnNsX46EMUwam44jMI4iUMAExmngaCckEVxDMpusPJDeyVgCwDLoSwn2ljTDGKpRPsI22RprwMX&#10;4RQuzfFuEK8MaOCAbUTZculkmGJJzJpvJbWpLcS2SQ/dI1HSd9IAfHdiGGYyf9fQPrZv6fJgRFm7&#10;bluAezih9VaBDeBI4LeVXTG/6y7qbacufg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idoPX5QIAAJsFAAAOAAAAAAAA&#10;AAAAAAAAAC4CAABkcnMvZTJvRG9jLnhtbFBLAQItABQABgAIAAAAIQBgEcYm3gAAAAsBAAAPAAAA&#10;AAAAAAAAAAAAAD8FAABkcnMvZG93bnJldi54bWxQSwUGAAAAAAQABADzAAAASgYAAAAA&#10;" o:allowincell="f" filled="f" stroked="f" strokeweight=".5pt">
              <v:textbox inset="20pt,0,,0">
                <w:txbxContent>
                  <w:p w14:paraId="385C3C7B" w14:textId="62B8B446" w:rsidR="004E4E0B" w:rsidRPr="00AA72C5" w:rsidRDefault="004E4E0B" w:rsidP="00AA72C5">
                    <w:pPr>
                      <w:spacing w:before="0" w:after="0"/>
                      <w:rPr>
                        <w:rFonts w:ascii="Calibri" w:hAnsi="Calibri" w:cs="Calibri"/>
                        <w:color w:val="000000"/>
                        <w:sz w:val="22"/>
                      </w:rPr>
                    </w:pPr>
                  </w:p>
                </w:txbxContent>
              </v:textbox>
              <w10:wrap anchorx="page" anchory="page"/>
            </v:shape>
          </w:pict>
        </mc:Fallback>
      </mc:AlternateContent>
    </w:r>
    <w:r w:rsidRPr="00E94A2F">
      <w:rPr>
        <w:rFonts w:ascii="Arial" w:hAnsi="Arial" w:cs="Arial"/>
        <w:b/>
        <w:color w:val="3F3F3F"/>
      </w:rPr>
      <w:t>Unclassified</w:t>
    </w:r>
  </w:p>
  <w:p w14:paraId="689478C9" w14:textId="77777777" w:rsidR="004E4E0B" w:rsidRDefault="004E4E0B">
    <w:pPr>
      <w:pStyle w:val="Footer"/>
    </w:pPr>
  </w:p>
  <w:p w14:paraId="22EAABAF" w14:textId="77777777" w:rsidR="004E4E0B" w:rsidRPr="00B84F11" w:rsidRDefault="004E4E0B" w:rsidP="00B84F11">
    <w:pPr>
      <w:pStyle w:val="Footer"/>
    </w:pPr>
  </w:p>
  <w:p w14:paraId="1FC92B4C" w14:textId="77777777" w:rsidR="004E4E0B" w:rsidRDefault="004E4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EE47" w14:textId="44488681" w:rsidR="004E4E0B" w:rsidRDefault="004E4E0B" w:rsidP="00C53520">
    <w:pPr>
      <w:pStyle w:val="Footer"/>
    </w:pPr>
  </w:p>
  <w:p w14:paraId="1CA0EF5D" w14:textId="77777777" w:rsidR="004E4E0B" w:rsidRDefault="004E4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C052" w14:textId="77777777" w:rsidR="00846FFA" w:rsidRDefault="00846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3A0D" w14:textId="53662DCF" w:rsidR="004E4E0B" w:rsidRPr="00BA26F2" w:rsidRDefault="004E4E0B" w:rsidP="00AF26E5">
    <w:pPr>
      <w:pStyle w:val="Footerod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CAE8" w14:textId="7F06DE8C" w:rsidR="004E4E0B" w:rsidRDefault="004E4E0B">
    <w:pPr>
      <w:pStyle w:val="Footerodd"/>
      <w:rPr>
        <w:rStyle w:val="PageNumber"/>
        <w:rFonts w:ascii="Arial" w:hAnsi="Arial" w:cs="Arial"/>
        <w:b/>
        <w:noProof w:val="0"/>
        <w:color w:val="3F3F3F"/>
        <w:sz w:val="20"/>
        <w:szCs w:val="20"/>
      </w:rPr>
    </w:pPr>
    <w:r>
      <w:rPr>
        <w:rFonts w:ascii="Arial" w:hAnsi="Arial" w:cs="Arial"/>
        <w:b/>
        <w:color w:val="3F3F3F"/>
        <w:sz w:val="20"/>
        <w:lang w:val="en-US" w:eastAsia="en-US"/>
      </w:rPr>
      <mc:AlternateContent>
        <mc:Choice Requires="wps">
          <w:drawing>
            <wp:anchor distT="0" distB="0" distL="114300" distR="114300" simplePos="1" relativeHeight="251658752" behindDoc="0" locked="0" layoutInCell="0" allowOverlap="1" wp14:anchorId="45948AE2" wp14:editId="0166714B">
              <wp:simplePos x="0" y="10234930"/>
              <wp:positionH relativeFrom="page">
                <wp:posOffset>0</wp:posOffset>
              </wp:positionH>
              <wp:positionV relativeFrom="page">
                <wp:posOffset>10234930</wp:posOffset>
              </wp:positionV>
              <wp:extent cx="7560310" cy="266700"/>
              <wp:effectExtent l="0" t="0" r="0" b="0"/>
              <wp:wrapNone/>
              <wp:docPr id="15" name="MSIPCMa1084bd3a99f018ae4504693" descr="{&quot;HashCode&quot;:905516305,&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2BF842AC" w14:textId="170DFCA2" w:rsidR="004E4E0B" w:rsidRPr="008251A9" w:rsidRDefault="004E4E0B" w:rsidP="008251A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948AE2" id="_x0000_t202" coordsize="21600,21600" o:spt="202" path="m,l,21600r21600,l21600,xe">
              <v:stroke joinstyle="miter"/>
              <v:path gradientshapeok="t" o:connecttype="rect"/>
            </v:shapetype>
            <v:shape id="MSIPCMa1084bd3a99f018ae4504693" o:spid="_x0000_s1027" type="#_x0000_t202" alt="{&quot;HashCode&quot;:905516305,&quot;Height&quot;:841.0,&quot;Width&quot;:595.0,&quot;Placement&quot;:&quot;Footer&quot;,&quot;Index&quot;:&quot;FirstPage&quot;,&quot;Section&quot;:3,&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7v4AIAAJMFAAAOAAAAZHJzL2Uyb0RvYy54bWysVMlu2zAQvRfoPxA89FRHlC3JlhslyAK3&#10;AbIBTpEzTVGWAIlkSDpWGvTfO6Qop0h7KnqRZuNw+N7MHJ/2XYueuTaNFAWOjwhGXDBZNmJb4O8P&#10;q8kCI2OpKGkrBS/wCzf49OTjh+O9WvKprGVbco0giTDLvSpwba1aRpFhNe+oOZKKC3BWUnfUgqq3&#10;UanpHrJ3bTQlJIv2UpdKS8aNAevl4MQnPn9VcWbvqspwi9oCQ23Wf7X/btw3Ojmmy62mqm5YKIP+&#10;QxUdbQRcekh1SS1FO938kaprmJZGVvaIyS6SVdUw7t8Ar4nJu9esa6q4fwuAY9QBJvP/0rLb53uN&#10;mhK4SzEStAOObtZX9xc3NCaLZFPOaJ5XJF5QnqQkyfIZRiU3DCB8/fS0k/bLN2rqC1nyQVvmJE3j&#10;bEbSz8HNm21tg3ORQIcEx2NT2jrY0zw92O9bynjHxXhmCFlJabke5JDgSpS8DwlCUKONvafbUEuI&#10;W0MTQHeGyFmwPkgVLORw9TWvxlvB+NM1x16ZJWC0VoCS7c9lD0CNdgNGx3lf6c79gU0Efmizl0Nr&#10;8d4iBsZ5mpFZDC4GvmmWzYnvvejttILav3LZIScUWEPVvqPo87WxUAmEjiHuMiFXTdv69m0F2hc4&#10;m6XEHzh44EQrXCwUATmCNLTlax5PE3I+zSerbDGfJFWSTvI5WUxInJ/nGUny5HLlEYAs4/nIoTG8&#10;2km23/QBoo0sXwAhLYcBM4qtHBfX1PGhYaLg5bAl7B18qlZCuTJIGNVS//ib3cVDo4MXoz1MaIHN&#10;045qjlF7JWAEpmlCAEVkvQaC9kIeJwkom9Eqdt2FhOmPYREp5kUXa9tRrLTsHmGLnLnrwEUFg0sL&#10;vBnFCwsaOGALMX525mWYXkXttVgr5lI7bB07D/0j1SpQaAG3WzkOMV2+Y3KIHbg821lZNZ5mh+wA&#10;J3DuFJh8z37YUm61/K77qLddevILAAD//wMAUEsDBBQABgAIAAAAIQBgEcYm3gAAAAsBAAAPAAAA&#10;ZHJzL2Rvd25yZXYueG1sTI/BTsMwEETvSPyDtUjcqGMQURviVFWlIsEBQegHuPE2SWuvI9tpw9/j&#10;nOC4M6PZeeV6soZd0IfekQSxyIAhNU731ErYf+8elsBCVKSVcYQSfjDAurq9KVWh3ZW+8FLHlqUS&#10;CoWS0MU4FJyHpkOrwsINSMk7Om9VTKdvufbqmsqt4Y9ZlnOrekofOjXgtsPmXI9WwgZHEd7M7vTa&#10;7+vP99NH9Hq7kvL+btq8AIs4xb8wzPPTdKjSpoMbSQdmJCSQmNRciEQw+2KV5cAOs/b8tARelfw/&#10;Q/ULAAD//wMAUEsBAi0AFAAGAAgAAAAhALaDOJL+AAAA4QEAABMAAAAAAAAAAAAAAAAAAAAAAFtD&#10;b250ZW50X1R5cGVzXS54bWxQSwECLQAUAAYACAAAACEAOP0h/9YAAACUAQAACwAAAAAAAAAAAAAA&#10;AAAvAQAAX3JlbHMvLnJlbHNQSwECLQAUAAYACAAAACEAggY+7+ACAACTBQAADgAAAAAAAAAAAAAA&#10;AAAuAgAAZHJzL2Uyb0RvYy54bWxQSwECLQAUAAYACAAAACEAYBHGJt4AAAALAQAADwAAAAAAAAAA&#10;AAAAAAA6BQAAZHJzL2Rvd25yZXYueG1sUEsFBgAAAAAEAAQA8wAAAEUGAAAAAA==&#10;" o:allowincell="f" filled="f" stroked="f" strokeweight=".5pt">
              <v:textbox inset="20pt,0,,0">
                <w:txbxContent>
                  <w:p w14:paraId="2BF842AC" w14:textId="170DFCA2" w:rsidR="004E4E0B" w:rsidRPr="008251A9" w:rsidRDefault="004E4E0B" w:rsidP="008251A9">
                    <w:pPr>
                      <w:spacing w:before="0" w:after="0"/>
                      <w:rPr>
                        <w:rFonts w:ascii="Calibri" w:hAnsi="Calibri" w:cs="Calibri"/>
                        <w:color w:val="000000"/>
                        <w:sz w:val="22"/>
                      </w:rPr>
                    </w:pPr>
                  </w:p>
                </w:txbxContent>
              </v:textbox>
              <w10:wrap anchorx="page" anchory="page"/>
            </v:shape>
          </w:pict>
        </mc:Fallback>
      </mc:AlternateContent>
    </w:r>
    <w:r w:rsidRPr="00E94A2F">
      <w:rPr>
        <w:rStyle w:val="PageNumber"/>
        <w:rFonts w:ascii="Arial" w:hAnsi="Arial" w:cs="Arial"/>
        <w:b/>
        <w:color w:val="3F3F3F"/>
        <w:sz w:val="20"/>
      </w:rPr>
      <w:t>Unclassified</w:t>
    </w:r>
  </w:p>
  <w:p w14:paraId="1C6AEDD7" w14:textId="77777777" w:rsidR="004E4E0B" w:rsidRDefault="004E4E0B">
    <w:pPr>
      <w:pStyle w:val="Footerodd"/>
      <w:rPr>
        <w:rStyle w:val="PageNumber"/>
        <w:rFonts w:asciiTheme="majorHAnsi" w:hAnsiTheme="majorHAnsi"/>
      </w:rPr>
    </w:pPr>
  </w:p>
  <w:p w14:paraId="4D33167D" w14:textId="77777777" w:rsidR="004E4E0B" w:rsidRPr="00BA26F2" w:rsidRDefault="004E4E0B" w:rsidP="00AF26E5">
    <w:pPr>
      <w:pStyle w:val="Footerodd"/>
    </w:pPr>
    <w:r>
      <w:rPr>
        <w:rStyle w:val="PageNumber"/>
        <w:rFonts w:asciiTheme="majorHAnsi" w:hAnsiTheme="majorHAnsi"/>
      </w:rPr>
      <w:tab/>
    </w:r>
    <w:r>
      <w:rPr>
        <w:rStyle w:val="PageNumber"/>
        <w:rFonts w:asciiTheme="majorHAnsi" w:hAnsiTheme="majorHAnsi"/>
      </w:rPr>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rPr>
      <w:t>iii</w:t>
    </w:r>
    <w:r w:rsidRPr="00BA26F2">
      <w:rPr>
        <w:rStyle w:val="PageNumber"/>
        <w:rFonts w:asciiTheme="majorHAnsi" w:hAnsiTheme="majorHAnsi"/>
      </w:rPr>
      <w:fldChar w:fldCharType="end"/>
    </w:r>
  </w:p>
  <w:p w14:paraId="3BF29AE4" w14:textId="77777777" w:rsidR="004E4E0B" w:rsidRDefault="004E4E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D475" w14:textId="71AFFDB9" w:rsidR="004E4E0B" w:rsidRDefault="004E4E0B" w:rsidP="00151399">
    <w:pPr>
      <w:pStyle w:val="Footereven"/>
    </w:pPr>
    <w:r>
      <w:t xml:space="preserve">Page </w:t>
    </w:r>
    <w:r>
      <w:fldChar w:fldCharType="begin"/>
    </w:r>
    <w:r>
      <w:instrText xml:space="preserve"> page </w:instrText>
    </w:r>
    <w:r>
      <w:fldChar w:fldCharType="separate"/>
    </w:r>
    <w:r>
      <w:t>ii</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D61A" w14:textId="398CCE4D" w:rsidR="004E4E0B" w:rsidRPr="00BA26F2" w:rsidRDefault="004E4E0B" w:rsidP="004E4E0B">
    <w:pPr>
      <w:pStyle w:val="Footerodd"/>
      <w:jc w:val="right"/>
    </w:pPr>
    <w:r w:rsidRPr="00BA26F2">
      <w:rPr>
        <w:rStyle w:val="PageNumber"/>
      </w:rPr>
      <w:fldChar w:fldCharType="begin"/>
    </w:r>
    <w:r w:rsidRPr="00BA26F2">
      <w:rPr>
        <w:rStyle w:val="PageNumber"/>
      </w:rPr>
      <w:instrText xml:space="preserve"> PAGE </w:instrText>
    </w:r>
    <w:r w:rsidRPr="00BA26F2">
      <w:rPr>
        <w:rStyle w:val="PageNumber"/>
      </w:rPr>
      <w:fldChar w:fldCharType="separate"/>
    </w:r>
    <w:r>
      <w:rPr>
        <w:rStyle w:val="PageNumber"/>
      </w:rPr>
      <w:t>i</w:t>
    </w:r>
    <w:r w:rsidRPr="00BA26F2">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DAE6" w14:textId="5D6BED54" w:rsidR="004E4E0B" w:rsidRDefault="004E4E0B">
    <w:pPr>
      <w:pStyle w:val="Footerodd"/>
      <w:rPr>
        <w:rStyle w:val="PageNumber"/>
        <w:rFonts w:ascii="Arial" w:hAnsi="Arial" w:cs="Arial"/>
        <w:b/>
        <w:noProof w:val="0"/>
        <w:color w:val="3F3F3F"/>
        <w:sz w:val="20"/>
        <w:szCs w:val="20"/>
      </w:rPr>
    </w:pPr>
    <w:r>
      <w:rPr>
        <w:rFonts w:ascii="Arial" w:hAnsi="Arial" w:cs="Arial"/>
        <w:b/>
        <w:color w:val="3F3F3F"/>
        <w:sz w:val="20"/>
        <w:lang w:val="en-US" w:eastAsia="en-US"/>
      </w:rPr>
      <mc:AlternateContent>
        <mc:Choice Requires="wps">
          <w:drawing>
            <wp:anchor distT="0" distB="0" distL="114300" distR="114300" simplePos="1" relativeHeight="251656704" behindDoc="0" locked="0" layoutInCell="0" allowOverlap="1" wp14:anchorId="107C93FF" wp14:editId="0889CBA8">
              <wp:simplePos x="0" y="10234930"/>
              <wp:positionH relativeFrom="page">
                <wp:posOffset>0</wp:posOffset>
              </wp:positionH>
              <wp:positionV relativeFrom="page">
                <wp:posOffset>10234930</wp:posOffset>
              </wp:positionV>
              <wp:extent cx="7560310" cy="266700"/>
              <wp:effectExtent l="0" t="0" r="0" b="0"/>
              <wp:wrapNone/>
              <wp:docPr id="24" name="MSIPCM090c444c9784fb3e6708a427" descr="{&quot;HashCode&quot;:905516305,&quot;Height&quot;:841.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617ED0CA" w14:textId="5AA0BA92" w:rsidR="004E4E0B" w:rsidRPr="008251A9" w:rsidRDefault="004E4E0B" w:rsidP="008251A9">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7C93FF" id="_x0000_t202" coordsize="21600,21600" o:spt="202" path="m,l,21600r21600,l21600,xe">
              <v:stroke joinstyle="miter"/>
              <v:path gradientshapeok="t" o:connecttype="rect"/>
            </v:shapetype>
            <v:shape id="MSIPCM090c444c9784fb3e6708a427" o:spid="_x0000_s1028" type="#_x0000_t202" alt="{&quot;HashCode&quot;:905516305,&quot;Height&quot;:841.0,&quot;Width&quot;:595.0,&quot;Placement&quot;:&quot;Footer&quot;,&quot;Index&quot;:&quot;FirstPage&quot;,&quot;Section&quot;:5,&quot;Top&quot;:0.0,&quot;Left&quot;:0.0}" style="position:absolute;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tu4wIAAJoFAAAOAAAAZHJzL2Uyb0RvYy54bWysVEtv2zAMvg/YfxB02GmpH7GTOKtTpC2y&#10;FUjbAOnQsyLLsQFbUiWlcVfsv4+S5XTodhp2sfkSRX38yPOLrm3QM1O6FjzH0VmIEeNUFDXf5/j7&#10;w2o0w0gbwgvSCM5y/MI0vlh8/HB+lHMWi0o0BVMIknA9P8ocV8bIeRBoWrGW6DMhGQdnKVRLDKhq&#10;HxSKHCF72wRxGE6Co1CFVIIyrcF63TvxwuUvS0bNfVlqZlCTY6jNuK9y3539BotzMt8rIqua+jLI&#10;P1TRkprDpadU18QQdFD1H6namiqhRWnOqGgDUZY1Ze4N8JoofPeabUUkc28BcLQ8waT/X1p697xR&#10;qC5yHCcYcdJCj263N5ur2zALaZIkNJvOknI3ZpNpOCNJPMWoYJoChK+fng7CfPlGdHUlCtZr8yxM&#10;02gyDtPP3s3qfWW8c5YAQ7zjsS5M5e1plp7sm4ZQ1jI+nOlDVkIYpnrZJ7jhBet8Ah9UK202ZO9r&#10;8XFbIAGw00cOdT0I6S3h6eo1K4dbwfjTkuMo9Rww2kpAyXSXogOSD3YNRtvzrlSt/UM3EfiBZi8n&#10;arHOIArGaToJxxG4KPjiCYDpuBe8nZZQ+1cmWmSFHCuo2jGKPK+1gUogdAixl3GxqpvG0bfh6Jjj&#10;yTgN3YGTB0403MZCEZDDSz0tX7MoTsLLOButJrPpKCmTdJRBh0dhlF1mkzDJkuuVQwCyDOcDi0b/&#10;aiuZbtc56pwQ2YniBYBSop8zLenKtmRNbFsUDBYAAMvC3MOnbARULbyEUSXUj7/ZbTzwHbwYHWFQ&#10;c6yfDkQxjJobDpMQp0kIYCLjNBCUE7IoSUDZDVZ+aK8ELIEI9pGkTrSxphnEUon2EZbJ0l4HLsIp&#10;XJrj3SBeGdDAAcuIsuXSyTDEkpg130pqU1uIbZMeukeipO+kAfjuxDDLZP6uoX1s39LlwYiydt22&#10;APdwQuutAgvAkcAvK7thftdd1NtKXfwC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8bdbbuMCAACaBQAADgAAAAAAAAAA&#10;AAAAAAAuAgAAZHJzL2Uyb0RvYy54bWxQSwECLQAUAAYACAAAACEAYBHGJt4AAAALAQAADwAAAAAA&#10;AAAAAAAAAAA9BQAAZHJzL2Rvd25yZXYueG1sUEsFBgAAAAAEAAQA8wAAAEgGAAAAAA==&#10;" o:allowincell="f" filled="f" stroked="f" strokeweight=".5pt">
              <v:textbox inset="20pt,0,,0">
                <w:txbxContent>
                  <w:p w14:paraId="617ED0CA" w14:textId="5AA0BA92" w:rsidR="004E4E0B" w:rsidRPr="008251A9" w:rsidRDefault="004E4E0B" w:rsidP="008251A9">
                    <w:pPr>
                      <w:spacing w:before="0" w:after="0"/>
                      <w:rPr>
                        <w:rFonts w:ascii="Calibri" w:hAnsi="Calibri" w:cs="Calibri"/>
                        <w:color w:val="000000"/>
                        <w:sz w:val="22"/>
                      </w:rPr>
                    </w:pPr>
                  </w:p>
                </w:txbxContent>
              </v:textbox>
              <w10:wrap anchorx="page" anchory="page"/>
            </v:shape>
          </w:pict>
        </mc:Fallback>
      </mc:AlternateContent>
    </w:r>
    <w:r>
      <w:rPr>
        <w:rFonts w:ascii="Arial" w:hAnsi="Arial" w:cs="Arial"/>
        <w:b/>
        <w:color w:val="3F3F3F"/>
        <w:sz w:val="20"/>
        <w:lang w:val="en-US" w:eastAsia="en-US"/>
      </w:rPr>
      <mc:AlternateContent>
        <mc:Choice Requires="wps">
          <w:drawing>
            <wp:anchor distT="0" distB="0" distL="114300" distR="114300" simplePos="1" relativeHeight="251648512" behindDoc="0" locked="0" layoutInCell="0" allowOverlap="1" wp14:anchorId="536B23E1" wp14:editId="29569BB0">
              <wp:simplePos x="0" y="10234930"/>
              <wp:positionH relativeFrom="page">
                <wp:posOffset>0</wp:posOffset>
              </wp:positionH>
              <wp:positionV relativeFrom="page">
                <wp:posOffset>10234930</wp:posOffset>
              </wp:positionV>
              <wp:extent cx="7560310" cy="266700"/>
              <wp:effectExtent l="0" t="0" r="0" b="0"/>
              <wp:wrapNone/>
              <wp:docPr id="62" name="MSIPCM76834a5fa423ff174e01c26d" descr="{&quot;HashCode&quot;:905516305,&quot;Height&quot;:841.0,&quot;Width&quot;:595.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6B6E266D" w14:textId="62E8CA1A" w:rsidR="004E4E0B" w:rsidRPr="00B42847" w:rsidRDefault="004E4E0B" w:rsidP="00B42847">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36B23E1" id="MSIPCM76834a5fa423ff174e01c26d" o:spid="_x0000_s1029" type="#_x0000_t202" alt="{&quot;HashCode&quot;:905516305,&quot;Height&quot;:841.0,&quot;Width&quot;:595.0,&quot;Placement&quot;:&quot;Footer&quot;,&quot;Index&quot;:&quot;FirstPage&quot;,&quot;Section&quot;:7,&quot;Top&quot;:0.0,&quot;Left&quot;:0.0}" style="position:absolute;margin-left:0;margin-top:805.9pt;width:595.3pt;height:21pt;z-index:2516485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z5AIAAJoFAAAOAAAAZHJzL2Uyb0RvYy54bWysVEuP0zAQviPxHywfONHNo0nalM2ifaiw&#10;0r6kLtqz69hNpMQ2trvNsuK/M3acgoAT4pLMy+PxN9/M6ceh79Az06aVosLJSYwRE1TWrdhV+Mvj&#10;erbEyFgiatJJwSr8wgz+ePb2zelBrVgqG9nVTCNIIszqoCrcWKtWUWRow3piTqRiApxc6p5YUPUu&#10;qjU5QPa+i9I4LqKD1LXSkjJjwHo1OvGZz885o/aec8Ms6ioMtVn/1f67dd/o7JSsdpqopqWhDPIP&#10;VfSkFXDpMdUVsQTtdftHqr6lWhrJ7QmVfSQ5bynzb4DXJPFvr9k0RDH/FgDHqCNM5v+lpXfPDxq1&#10;dYWLFCNBeujR7eb64fJ2USznGck5ydI558kiY3FC06LGqGaGAoSv777upf3wmZjmUtZs1FZlnOdJ&#10;MY/z98HN2l1jg3OZAUOC46mtbRPseZkf7Q8doaxnYjozhqyltEyPckhwLWo2hAQhqNXGPpBdqCXE&#10;bYAEwM4QuQjWR6mCJT5efcP4dCsYvztyHJRZAUYbBSjZ4UIOQPLJbsDoej5w3bs/dBOBH2j2cqQW&#10;GyyiYFzkRTxPwEXBlxbFIvbci36eVlD7JyZ75IQKa6jaM4o83xgLlUDoFOIuE3Lddp2nbyfQAfo3&#10;z2N/4OiBE51wsVAE5AjSSMvXMkmz+CItZ+tiuZhlPMtn5SJezuKkvCiLOCuzq7VHALJM5yOHxvhq&#10;J9lhO3jqpBMiW1m/AFBajnNmFF27ltwQ1xYNgwUAwLKw9/DhnYSqZZAwaqT+9je7iwe+gxejAwxq&#10;hc3XPdEMo+5awCSkeRYDmMh6DQTthTLJMlC2k1Xs+0sJSyCBfaSoF12s7SaRa9k/wTI5d9eBiwgK&#10;l1Z4O4mXFjRwwDKi7PzcyzDEitgbsVHUpXYQuyY9Dk9Eq9BJC/DdyWmWyeq3ho6xY0vP91by1nfb&#10;ATzCCa13CiwAT4KwrNyG+VX3UT9X6tkP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JeRv/PkAgAAmgUAAA4AAAAAAAAA&#10;AAAAAAAALgIAAGRycy9lMm9Eb2MueG1sUEsBAi0AFAAGAAgAAAAhAGARxibeAAAACwEAAA8AAAAA&#10;AAAAAAAAAAAAPgUAAGRycy9kb3ducmV2LnhtbFBLBQYAAAAABAAEAPMAAABJBgAAAAA=&#10;" o:allowincell="f" filled="f" stroked="f" strokeweight=".5pt">
              <v:textbox inset="20pt,0,,0">
                <w:txbxContent>
                  <w:p w14:paraId="6B6E266D" w14:textId="62E8CA1A" w:rsidR="004E4E0B" w:rsidRPr="00B42847" w:rsidRDefault="004E4E0B" w:rsidP="00B42847">
                    <w:pPr>
                      <w:spacing w:before="0" w:after="0"/>
                      <w:rPr>
                        <w:rFonts w:ascii="Calibri" w:hAnsi="Calibri" w:cs="Calibri"/>
                        <w:color w:val="000000"/>
                        <w:sz w:val="22"/>
                      </w:rPr>
                    </w:pPr>
                  </w:p>
                </w:txbxContent>
              </v:textbox>
              <w10:wrap anchorx="page" anchory="page"/>
            </v:shape>
          </w:pict>
        </mc:Fallback>
      </mc:AlternateContent>
    </w:r>
    <w:r w:rsidRPr="00E94A2F">
      <w:rPr>
        <w:rStyle w:val="PageNumber"/>
        <w:rFonts w:ascii="Arial" w:hAnsi="Arial" w:cs="Arial"/>
        <w:b/>
        <w:color w:val="3F3F3F"/>
        <w:sz w:val="20"/>
      </w:rPr>
      <w:t>Unclassified</w:t>
    </w:r>
  </w:p>
  <w:p w14:paraId="00A16594" w14:textId="77777777" w:rsidR="004E4E0B" w:rsidRDefault="004E4E0B">
    <w:pPr>
      <w:pStyle w:val="Footerodd"/>
      <w:rPr>
        <w:rStyle w:val="PageNumber"/>
        <w:rFonts w:asciiTheme="majorHAnsi" w:hAnsiTheme="majorHAnsi"/>
      </w:rPr>
    </w:pPr>
  </w:p>
  <w:p w14:paraId="4AC27ED6" w14:textId="2E23D661" w:rsidR="004E4E0B" w:rsidRPr="00BA26F2" w:rsidRDefault="004E4E0B" w:rsidP="008155D0">
    <w:pPr>
      <w:pStyle w:val="Footerodd"/>
    </w:pPr>
    <w:r>
      <w:rPr>
        <w:rStyle w:val="PageNumber"/>
        <w:rFonts w:asciiTheme="majorHAnsi" w:hAnsiTheme="majorHAnsi"/>
      </w:rPr>
      <w:fldChar w:fldCharType="begin"/>
    </w:r>
    <w:r>
      <w:rPr>
        <w:rStyle w:val="PageNumber"/>
        <w:rFonts w:asciiTheme="majorHAnsi" w:hAnsiTheme="majorHAnsi"/>
      </w:rPr>
      <w:instrText xml:space="preserve"> STYLEREF  Subtitle  \* MERGEFORMAT </w:instrText>
    </w:r>
    <w:r>
      <w:rPr>
        <w:rStyle w:val="PageNumber"/>
        <w:rFonts w:asciiTheme="majorHAnsi" w:hAnsiTheme="majorHAnsi"/>
      </w:rPr>
      <w:fldChar w:fldCharType="separate"/>
    </w:r>
    <w:r w:rsidR="00661A02" w:rsidRPr="00661A02">
      <w:rPr>
        <w:rStyle w:val="PageNumber"/>
        <w:rFonts w:asciiTheme="majorHAnsi" w:hAnsiTheme="majorHAnsi"/>
        <w:b/>
        <w:bCs/>
        <w:lang w:val="en-US"/>
      </w:rPr>
      <w:t>Overview and glossary</w:t>
    </w:r>
    <w:r>
      <w:rPr>
        <w:rStyle w:val="PageNumber"/>
        <w:rFonts w:asciiTheme="majorHAnsi" w:hAnsiTheme="majorHAnsi"/>
      </w:rPr>
      <w:fldChar w:fldCharType="end"/>
    </w:r>
    <w:r>
      <w:rPr>
        <w:rStyle w:val="PageNumber"/>
        <w:rFonts w:asciiTheme="majorHAnsi" w:hAnsiTheme="majorHAnsi"/>
      </w:rPr>
      <w:tab/>
    </w:r>
    <w:r>
      <w:rPr>
        <w:rStyle w:val="PageNumber"/>
        <w:rFonts w:asciiTheme="majorHAnsi" w:hAnsiTheme="majorHAnsi"/>
      </w:rPr>
      <w:tab/>
    </w:r>
    <w:r w:rsidRPr="00BA26F2">
      <w:rPr>
        <w:rStyle w:val="PageNumber"/>
        <w:rFonts w:asciiTheme="majorHAnsi" w:hAnsiTheme="majorHAnsi"/>
      </w:rPr>
      <w:fldChar w:fldCharType="begin"/>
    </w:r>
    <w:r w:rsidRPr="00BA26F2">
      <w:rPr>
        <w:rStyle w:val="PageNumber"/>
        <w:rFonts w:asciiTheme="majorHAnsi" w:hAnsiTheme="majorHAnsi"/>
      </w:rPr>
      <w:instrText xml:space="preserve"> PAGE </w:instrText>
    </w:r>
    <w:r w:rsidRPr="00BA26F2">
      <w:rPr>
        <w:rStyle w:val="PageNumber"/>
        <w:rFonts w:asciiTheme="majorHAnsi" w:hAnsiTheme="majorHAnsi"/>
      </w:rPr>
      <w:fldChar w:fldCharType="separate"/>
    </w:r>
    <w:r>
      <w:rPr>
        <w:rStyle w:val="PageNumber"/>
        <w:rFonts w:asciiTheme="majorHAnsi" w:hAnsiTheme="majorHAnsi"/>
      </w:rPr>
      <w:t>37</w:t>
    </w:r>
    <w:r w:rsidRPr="00BA26F2">
      <w:rPr>
        <w:rStyle w:val="PageNumber"/>
        <w:rFonts w:asciiTheme="majorHAnsi" w:hAnsiTheme="majorHAnsi"/>
      </w:rPr>
      <w:fldChar w:fldCharType="end"/>
    </w:r>
  </w:p>
  <w:p w14:paraId="2288A7B2" w14:textId="77777777" w:rsidR="004E4E0B" w:rsidRDefault="004E4E0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15D9E" w14:textId="6EF6A75B" w:rsidR="004E4E0B" w:rsidRDefault="004E4E0B" w:rsidP="00151399">
    <w:pPr>
      <w:pStyle w:val="Footereven"/>
    </w:pPr>
    <w:r>
      <w:t xml:space="preserve">Page </w:t>
    </w:r>
    <w:r>
      <w:fldChar w:fldCharType="begin"/>
    </w:r>
    <w:r>
      <w:instrText xml:space="preserve"> page </w:instrText>
    </w:r>
    <w:r>
      <w:fldChar w:fldCharType="separate"/>
    </w:r>
    <w:r>
      <w:t>16</w:t>
    </w:r>
    <w:r>
      <w:fldChar w:fldCharType="end"/>
    </w:r>
    <w:r>
      <w:tab/>
    </w:r>
    <w:fldSimple w:instr=" STYLEREF  Title  \* MERGEFORMAT ">
      <w:r w:rsidR="00473A1F">
        <w:t>Investment Lifecycle and High Value High Risk Guidelines</w:t>
      </w:r>
    </w:fldSimple>
    <w:r w:rsidRPr="00151399">
      <w:t xml:space="preserve"> </w:t>
    </w:r>
    <w:r>
      <w:t xml:space="preserve">– </w:t>
    </w:r>
    <w:r w:rsidRPr="00CB38E5">
      <w:rPr>
        <w:b/>
      </w:rPr>
      <w:fldChar w:fldCharType="begin"/>
    </w:r>
    <w:r w:rsidRPr="00CB38E5">
      <w:rPr>
        <w:b/>
      </w:rPr>
      <w:instrText xml:space="preserve"> STYLEREF  Subtitle </w:instrText>
    </w:r>
    <w:r w:rsidRPr="00CB38E5">
      <w:rPr>
        <w:b/>
      </w:rPr>
      <w:fldChar w:fldCharType="separate"/>
    </w:r>
    <w:r w:rsidR="00473A1F">
      <w:rPr>
        <w:b/>
      </w:rPr>
      <w:t>Overview and glossary</w:t>
    </w:r>
    <w:r w:rsidRPr="00CB38E5">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4A0FB" w14:textId="77777777" w:rsidR="00D634AC" w:rsidRDefault="00D634AC" w:rsidP="00474C53">
      <w:r>
        <w:separator/>
      </w:r>
    </w:p>
  </w:footnote>
  <w:footnote w:type="continuationSeparator" w:id="0">
    <w:p w14:paraId="0929BFA5" w14:textId="77777777" w:rsidR="00D634AC" w:rsidRDefault="00D634AC" w:rsidP="0047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F7CB" w14:textId="77777777" w:rsidR="00846FFA" w:rsidRDefault="00846FF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2E81" w14:textId="77777777" w:rsidR="004E4E0B" w:rsidRPr="00B84F11" w:rsidRDefault="004E4E0B" w:rsidP="00B84F11">
    <w:pPr>
      <w:pStyle w:val="Header"/>
      <w:jc w:val="right"/>
    </w:pPr>
    <w:r>
      <w:rPr>
        <w:noProof/>
        <w:lang w:val="en-US" w:eastAsia="en-US"/>
      </w:rPr>
      <w:drawing>
        <wp:anchor distT="0" distB="0" distL="114300" distR="114300" simplePos="0" relativeHeight="251659264" behindDoc="1" locked="0" layoutInCell="1" allowOverlap="1" wp14:anchorId="3B053412" wp14:editId="1C3A97E9">
          <wp:simplePos x="0" y="0"/>
          <wp:positionH relativeFrom="page">
            <wp:posOffset>0</wp:posOffset>
          </wp:positionH>
          <wp:positionV relativeFrom="page">
            <wp:posOffset>2812211</wp:posOffset>
          </wp:positionV>
          <wp:extent cx="7548113" cy="7898626"/>
          <wp:effectExtent l="0" t="0" r="0" b="7620"/>
          <wp:wrapNone/>
          <wp:docPr id="17" name="Picture 17"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9"/>
                  <pic:cNvPicPr>
                    <a:picLocks noChangeAspect="1" noChangeArrowheads="1"/>
                  </pic:cNvPicPr>
                </pic:nvPicPr>
                <pic:blipFill rotWithShape="1">
                  <a:blip r:embed="rId1">
                    <a:extLst>
                      <a:ext uri="{28A0092B-C50C-407E-A947-70E740481C1C}">
                        <a14:useLocalDpi xmlns:a14="http://schemas.microsoft.com/office/drawing/2010/main" val="0"/>
                      </a:ext>
                    </a:extLst>
                  </a:blip>
                  <a:srcRect t="26017"/>
                  <a:stretch/>
                </pic:blipFill>
                <pic:spPr bwMode="auto">
                  <a:xfrm>
                    <a:off x="0" y="0"/>
                    <a:ext cx="7547610" cy="7898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dtf.vic.gov.au</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DE79" w14:textId="77777777" w:rsidR="004E4E0B" w:rsidRDefault="004E4E0B" w:rsidP="002856ED">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8728" w14:textId="77777777" w:rsidR="004E4E0B" w:rsidRDefault="004E4E0B" w:rsidP="002856ED">
    <w:pPr>
      <w:pStyle w:val="Header"/>
      <w:jc w:val="right"/>
    </w:pPr>
  </w:p>
  <w:p w14:paraId="4C66FC9F" w14:textId="77777777" w:rsidR="004E4E0B" w:rsidRDefault="004E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CBDF" w14:textId="77777777" w:rsidR="004E4E0B" w:rsidRDefault="004E4E0B" w:rsidP="0016322A">
    <w:pPr>
      <w:pStyle w:val="Header"/>
    </w:pPr>
    <w:r>
      <w:rPr>
        <w:noProof/>
        <w:lang w:val="en-US" w:eastAsia="en-US"/>
      </w:rPr>
      <w:drawing>
        <wp:inline distT="0" distB="0" distL="0" distR="0" wp14:anchorId="708A4468" wp14:editId="036F3130">
          <wp:extent cx="1806308" cy="540000"/>
          <wp:effectExtent l="0" t="0" r="3810" b="0"/>
          <wp:docPr id="365" name="Picture 365" descr="T:\Corpcom_CSS\COMMUNICATIONS\Logos and branding\Brand Victoria logos\Victoria State Government DTF\Victoria State Gov DTF right aligned\png\Victoria State Gov DTF right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Logos and branding\Brand Victoria logos\Victoria State Government DTF\Victoria State Gov DTF right aligned\png\Victoria State Gov DTF right black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08" cy="540000"/>
                  </a:xfrm>
                  <a:prstGeom prst="rect">
                    <a:avLst/>
                  </a:prstGeom>
                  <a:noFill/>
                  <a:ln>
                    <a:noFill/>
                  </a:ln>
                </pic:spPr>
              </pic:pic>
            </a:graphicData>
          </a:graphic>
        </wp:inline>
      </w:drawing>
    </w:r>
    <w:r>
      <w:rPr>
        <w:noProof/>
        <w:lang w:val="en-US" w:eastAsia="en-US"/>
      </w:rPr>
      <w:drawing>
        <wp:anchor distT="0" distB="0" distL="114300" distR="114300" simplePos="0" relativeHeight="251621888" behindDoc="1" locked="0" layoutInCell="1" allowOverlap="1" wp14:anchorId="5BBEA506" wp14:editId="1C729505">
          <wp:simplePos x="0" y="0"/>
          <wp:positionH relativeFrom="column">
            <wp:posOffset>-941070</wp:posOffset>
          </wp:positionH>
          <wp:positionV relativeFrom="paragraph">
            <wp:posOffset>3771445</wp:posOffset>
          </wp:positionV>
          <wp:extent cx="7610494" cy="6509886"/>
          <wp:effectExtent l="0" t="0" r="0" b="5715"/>
          <wp:wrapNone/>
          <wp:docPr id="366" name="Picture 366" descr="T:\Corpcom_CSS\COMMUNICATIONS\Formatting\Investment Lifecycle Guidelines (Lara M-C)\Overview-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rpcom_CSS\COMMUNICATIONS\Formatting\Investment Lifecycle Guidelines (Lara M-C)\Overview-edi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94" cy="6509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B235" w14:textId="7EE14AD7" w:rsidR="004E4E0B" w:rsidRDefault="004E4E0B" w:rsidP="003A7C09">
    <w:pPr>
      <w:pStyle w:val="Header"/>
    </w:pPr>
    <w:r>
      <w:rPr>
        <w:noProof/>
        <w:lang w:val="en-US" w:eastAsia="en-US"/>
      </w:rPr>
      <w:drawing>
        <wp:inline distT="0" distB="0" distL="0" distR="0" wp14:anchorId="602EDA68" wp14:editId="67154269">
          <wp:extent cx="1806308" cy="540000"/>
          <wp:effectExtent l="0" t="0" r="3810" b="0"/>
          <wp:docPr id="367" name="Picture 367" descr="T:\Corpcom_CSS\COMMUNICATIONS\Logos and branding\Brand Victoria logos\Victoria State Government DTF\Victoria State Gov DTF right aligned\png\Victoria State Gov DTF right black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orpcom_CSS\COMMUNICATIONS\Logos and branding\Brand Victoria logos\Victoria State Government DTF\Victoria State Gov DTF right aligned\png\Victoria State Gov DTF right black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308" cy="540000"/>
                  </a:xfrm>
                  <a:prstGeom prst="rect">
                    <a:avLst/>
                  </a:prstGeom>
                  <a:noFill/>
                  <a:ln>
                    <a:noFill/>
                  </a:ln>
                </pic:spPr>
              </pic:pic>
            </a:graphicData>
          </a:graphic>
        </wp:inline>
      </w:drawing>
    </w:r>
    <w:r>
      <w:rPr>
        <w:noProof/>
        <w:lang w:val="en-US" w:eastAsia="en-US"/>
      </w:rPr>
      <w:drawing>
        <wp:anchor distT="0" distB="0" distL="114300" distR="114300" simplePos="0" relativeHeight="251680256" behindDoc="1" locked="0" layoutInCell="1" allowOverlap="1" wp14:anchorId="6EC80144" wp14:editId="35A19E98">
          <wp:simplePos x="0" y="0"/>
          <wp:positionH relativeFrom="column">
            <wp:posOffset>-941070</wp:posOffset>
          </wp:positionH>
          <wp:positionV relativeFrom="paragraph">
            <wp:posOffset>3771445</wp:posOffset>
          </wp:positionV>
          <wp:extent cx="7610494" cy="6509886"/>
          <wp:effectExtent l="0" t="0" r="0" b="5715"/>
          <wp:wrapNone/>
          <wp:docPr id="368" name="Picture 368" descr="T:\Corpcom_CSS\COMMUNICATIONS\Formatting\Investment Lifecycle Guidelines (Lara M-C)\Overview-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orpcom_CSS\COMMUNICATIONS\Formatting\Investment Lifecycle Guidelines (Lara M-C)\Overview-edi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94" cy="65098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59DB" w14:textId="77777777" w:rsidR="004E4E0B" w:rsidRDefault="004E4E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4024" w14:textId="77777777" w:rsidR="004E4E0B" w:rsidRDefault="004E4E0B" w:rsidP="002856ED">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47F0" w14:textId="77777777" w:rsidR="004E4E0B" w:rsidRDefault="004E4E0B" w:rsidP="002856ED">
    <w:pPr>
      <w:pStyle w:val="Header"/>
      <w:jc w:val="right"/>
    </w:pPr>
  </w:p>
  <w:p w14:paraId="594A83AC" w14:textId="77777777" w:rsidR="004E4E0B" w:rsidRDefault="004E4E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2532" w14:textId="77777777" w:rsidR="004E4E0B" w:rsidRDefault="004E4E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793E" w14:textId="77777777" w:rsidR="004E4E0B" w:rsidRDefault="004E4E0B" w:rsidP="002856ED">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D534" w14:textId="77777777" w:rsidR="004E4E0B" w:rsidRDefault="004E4E0B" w:rsidP="002856ED">
    <w:pPr>
      <w:pStyle w:val="Header"/>
      <w:jc w:val="right"/>
    </w:pPr>
  </w:p>
  <w:p w14:paraId="2656219B" w14:textId="77777777" w:rsidR="004E4E0B" w:rsidRDefault="004E4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E0589D"/>
    <w:multiLevelType w:val="multilevel"/>
    <w:tmpl w:val="BFA0EC4C"/>
    <w:lvl w:ilvl="0">
      <w:start w:val="1"/>
      <w:numFmt w:val="bullet"/>
      <w:pStyle w:val="HighlightBoxcheckbox"/>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2940CD5"/>
    <w:multiLevelType w:val="multilevel"/>
    <w:tmpl w:val="5E22C0F8"/>
    <w:styleLink w:val="Bullet"/>
    <w:lvl w:ilvl="0">
      <w:start w:val="1"/>
      <w:numFmt w:val="bullet"/>
      <w:pStyle w:val="HighlightBox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B695180"/>
    <w:multiLevelType w:val="multilevel"/>
    <w:tmpl w:val="5E22C0F8"/>
    <w:numStyleLink w:val="Bullet"/>
  </w:abstractNum>
  <w:abstractNum w:abstractNumId="14" w15:restartNumberingAfterBreak="0">
    <w:nsid w:val="57040E3A"/>
    <w:multiLevelType w:val="hybridMultilevel"/>
    <w:tmpl w:val="1234D2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361654"/>
    <w:multiLevelType w:val="hybridMultilevel"/>
    <w:tmpl w:val="9BE87C92"/>
    <w:lvl w:ilvl="0" w:tplc="87A440D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4FD4FEB"/>
    <w:multiLevelType w:val="hybridMultilevel"/>
    <w:tmpl w:val="F89E8438"/>
    <w:lvl w:ilvl="0" w:tplc="CCEC25F2">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036A2D"/>
    <w:multiLevelType w:val="hybridMultilevel"/>
    <w:tmpl w:val="5EA447F6"/>
    <w:lvl w:ilvl="0" w:tplc="1374CFB2">
      <w:start w:val="1"/>
      <w:numFmt w:val="bullet"/>
      <w:pStyle w:val="Highlightboxbulletinden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0" w15:restartNumberingAfterBreak="0">
    <w:nsid w:val="7FD44514"/>
    <w:multiLevelType w:val="multilevel"/>
    <w:tmpl w:val="D5268E0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14"/>
  </w:num>
  <w:num w:numId="3">
    <w:abstractNumId w:val="19"/>
  </w:num>
  <w:num w:numId="4">
    <w:abstractNumId w:val="17"/>
  </w:num>
  <w:num w:numId="5">
    <w:abstractNumId w:val="15"/>
  </w:num>
  <w:num w:numId="6">
    <w:abstractNumId w:val="6"/>
  </w:num>
  <w:num w:numId="7">
    <w:abstractNumId w:val="3"/>
  </w:num>
  <w:num w:numId="8">
    <w:abstractNumId w:val="16"/>
  </w:num>
  <w:num w:numId="9">
    <w:abstractNumId w:val="8"/>
  </w:num>
  <w:num w:numId="10">
    <w:abstractNumId w:val="9"/>
  </w:num>
  <w:num w:numId="11">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
  </w:num>
  <w:num w:numId="15">
    <w:abstractNumId w:val="0"/>
  </w:num>
  <w:num w:numId="16">
    <w:abstractNumId w:val="11"/>
  </w:num>
  <w:num w:numId="17">
    <w:abstractNumId w:val="18"/>
  </w:num>
  <w:num w:numId="18">
    <w:abstractNumId w:val="20"/>
  </w:num>
  <w:num w:numId="19">
    <w:abstractNumId w:val="10"/>
  </w:num>
  <w:num w:numId="20">
    <w:abstractNumId w:val="12"/>
  </w:num>
  <w:num w:numId="21">
    <w:abstractNumId w:val="5"/>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943"/>
    <w:rsid w:val="00001A3C"/>
    <w:rsid w:val="000068BC"/>
    <w:rsid w:val="00007E49"/>
    <w:rsid w:val="0001108F"/>
    <w:rsid w:val="00013583"/>
    <w:rsid w:val="00017576"/>
    <w:rsid w:val="00017CE5"/>
    <w:rsid w:val="00017EF2"/>
    <w:rsid w:val="00020C38"/>
    <w:rsid w:val="00024458"/>
    <w:rsid w:val="000256AE"/>
    <w:rsid w:val="00026B64"/>
    <w:rsid w:val="00030F00"/>
    <w:rsid w:val="00033BC5"/>
    <w:rsid w:val="000344A2"/>
    <w:rsid w:val="000411F6"/>
    <w:rsid w:val="00041592"/>
    <w:rsid w:val="00042ABE"/>
    <w:rsid w:val="00043198"/>
    <w:rsid w:val="00043E33"/>
    <w:rsid w:val="00053BE1"/>
    <w:rsid w:val="00055A63"/>
    <w:rsid w:val="00056736"/>
    <w:rsid w:val="000571EC"/>
    <w:rsid w:val="00057EFB"/>
    <w:rsid w:val="00063B46"/>
    <w:rsid w:val="00063DE2"/>
    <w:rsid w:val="00064F49"/>
    <w:rsid w:val="00066B35"/>
    <w:rsid w:val="00073219"/>
    <w:rsid w:val="00073EFA"/>
    <w:rsid w:val="000827B0"/>
    <w:rsid w:val="00082872"/>
    <w:rsid w:val="00082CD8"/>
    <w:rsid w:val="00082D1F"/>
    <w:rsid w:val="00083711"/>
    <w:rsid w:val="0008646E"/>
    <w:rsid w:val="00087932"/>
    <w:rsid w:val="0009147C"/>
    <w:rsid w:val="000915C9"/>
    <w:rsid w:val="000924B9"/>
    <w:rsid w:val="000A03F9"/>
    <w:rsid w:val="000A07AD"/>
    <w:rsid w:val="000A2CDF"/>
    <w:rsid w:val="000A4ABF"/>
    <w:rsid w:val="000A5F0B"/>
    <w:rsid w:val="000B7022"/>
    <w:rsid w:val="000C1B0B"/>
    <w:rsid w:val="000C21AF"/>
    <w:rsid w:val="000C22D6"/>
    <w:rsid w:val="000C28FA"/>
    <w:rsid w:val="000C43CD"/>
    <w:rsid w:val="000C4B11"/>
    <w:rsid w:val="000C6221"/>
    <w:rsid w:val="000C68FD"/>
    <w:rsid w:val="000C6A23"/>
    <w:rsid w:val="000C78A2"/>
    <w:rsid w:val="000D0ECF"/>
    <w:rsid w:val="000D4044"/>
    <w:rsid w:val="000D4FC3"/>
    <w:rsid w:val="000D5046"/>
    <w:rsid w:val="000D53D5"/>
    <w:rsid w:val="000D5949"/>
    <w:rsid w:val="000E037E"/>
    <w:rsid w:val="000E04E7"/>
    <w:rsid w:val="000E1A6C"/>
    <w:rsid w:val="000E1C1B"/>
    <w:rsid w:val="000E2126"/>
    <w:rsid w:val="000E28B3"/>
    <w:rsid w:val="000E54E4"/>
    <w:rsid w:val="000F01D1"/>
    <w:rsid w:val="000F140B"/>
    <w:rsid w:val="000F34B0"/>
    <w:rsid w:val="000F5BCA"/>
    <w:rsid w:val="000F657B"/>
    <w:rsid w:val="00103DE5"/>
    <w:rsid w:val="00104F1A"/>
    <w:rsid w:val="00104F3F"/>
    <w:rsid w:val="001059F8"/>
    <w:rsid w:val="00113667"/>
    <w:rsid w:val="00116BE7"/>
    <w:rsid w:val="00120B97"/>
    <w:rsid w:val="001212DB"/>
    <w:rsid w:val="001213D6"/>
    <w:rsid w:val="0012393C"/>
    <w:rsid w:val="00124F13"/>
    <w:rsid w:val="00125227"/>
    <w:rsid w:val="00127B93"/>
    <w:rsid w:val="00132069"/>
    <w:rsid w:val="00137839"/>
    <w:rsid w:val="001461FA"/>
    <w:rsid w:val="00150302"/>
    <w:rsid w:val="001506B1"/>
    <w:rsid w:val="00151399"/>
    <w:rsid w:val="00153C0A"/>
    <w:rsid w:val="00157D89"/>
    <w:rsid w:val="00157E89"/>
    <w:rsid w:val="00160DB5"/>
    <w:rsid w:val="00161B33"/>
    <w:rsid w:val="0016322A"/>
    <w:rsid w:val="00166699"/>
    <w:rsid w:val="001675E6"/>
    <w:rsid w:val="00167C49"/>
    <w:rsid w:val="001740A3"/>
    <w:rsid w:val="001807D4"/>
    <w:rsid w:val="001808F7"/>
    <w:rsid w:val="00182ED5"/>
    <w:rsid w:val="001845E1"/>
    <w:rsid w:val="00184AD8"/>
    <w:rsid w:val="00184EA7"/>
    <w:rsid w:val="001850B2"/>
    <w:rsid w:val="00185B60"/>
    <w:rsid w:val="001920D9"/>
    <w:rsid w:val="00192FB1"/>
    <w:rsid w:val="00197997"/>
    <w:rsid w:val="001A21E6"/>
    <w:rsid w:val="001B04ED"/>
    <w:rsid w:val="001B0E6C"/>
    <w:rsid w:val="001B342D"/>
    <w:rsid w:val="001B3B72"/>
    <w:rsid w:val="001B4D48"/>
    <w:rsid w:val="001C0654"/>
    <w:rsid w:val="001D2D5D"/>
    <w:rsid w:val="001D7A51"/>
    <w:rsid w:val="001E2F1B"/>
    <w:rsid w:val="001E33F3"/>
    <w:rsid w:val="001E363A"/>
    <w:rsid w:val="001E6E6F"/>
    <w:rsid w:val="001F0D48"/>
    <w:rsid w:val="001F1812"/>
    <w:rsid w:val="001F262C"/>
    <w:rsid w:val="001F4BEA"/>
    <w:rsid w:val="001F4F51"/>
    <w:rsid w:val="001F7365"/>
    <w:rsid w:val="00200E87"/>
    <w:rsid w:val="002062B0"/>
    <w:rsid w:val="002065D0"/>
    <w:rsid w:val="00206763"/>
    <w:rsid w:val="00210496"/>
    <w:rsid w:val="002111A6"/>
    <w:rsid w:val="00212222"/>
    <w:rsid w:val="00212D3E"/>
    <w:rsid w:val="00214AB1"/>
    <w:rsid w:val="0021633E"/>
    <w:rsid w:val="00220042"/>
    <w:rsid w:val="00220E35"/>
    <w:rsid w:val="002214ED"/>
    <w:rsid w:val="00222883"/>
    <w:rsid w:val="00223AB6"/>
    <w:rsid w:val="00225482"/>
    <w:rsid w:val="00227D9B"/>
    <w:rsid w:val="002344D7"/>
    <w:rsid w:val="00236E37"/>
    <w:rsid w:val="00237563"/>
    <w:rsid w:val="002378F5"/>
    <w:rsid w:val="00241BC9"/>
    <w:rsid w:val="00242A6F"/>
    <w:rsid w:val="00243166"/>
    <w:rsid w:val="00247670"/>
    <w:rsid w:val="00250F60"/>
    <w:rsid w:val="0025171C"/>
    <w:rsid w:val="00253619"/>
    <w:rsid w:val="00255A9A"/>
    <w:rsid w:val="0025669F"/>
    <w:rsid w:val="00257707"/>
    <w:rsid w:val="00257E89"/>
    <w:rsid w:val="0026052E"/>
    <w:rsid w:val="00260DE7"/>
    <w:rsid w:val="0026112A"/>
    <w:rsid w:val="0026608A"/>
    <w:rsid w:val="00271E79"/>
    <w:rsid w:val="00275B0D"/>
    <w:rsid w:val="00276FCC"/>
    <w:rsid w:val="00282FCF"/>
    <w:rsid w:val="002856ED"/>
    <w:rsid w:val="00294556"/>
    <w:rsid w:val="00295E0F"/>
    <w:rsid w:val="00296CF7"/>
    <w:rsid w:val="002A0391"/>
    <w:rsid w:val="002A1091"/>
    <w:rsid w:val="002A57BB"/>
    <w:rsid w:val="002A62BC"/>
    <w:rsid w:val="002A7B5A"/>
    <w:rsid w:val="002B1C61"/>
    <w:rsid w:val="002B3B71"/>
    <w:rsid w:val="002B3CF4"/>
    <w:rsid w:val="002B3E8C"/>
    <w:rsid w:val="002B526C"/>
    <w:rsid w:val="002B7DE4"/>
    <w:rsid w:val="002B7E8B"/>
    <w:rsid w:val="002C1AAC"/>
    <w:rsid w:val="002C27AF"/>
    <w:rsid w:val="002C3192"/>
    <w:rsid w:val="002C3386"/>
    <w:rsid w:val="002C3B94"/>
    <w:rsid w:val="002C3F78"/>
    <w:rsid w:val="002C429D"/>
    <w:rsid w:val="002C5BE1"/>
    <w:rsid w:val="002C6EA8"/>
    <w:rsid w:val="002D040C"/>
    <w:rsid w:val="002D20EE"/>
    <w:rsid w:val="002D47C9"/>
    <w:rsid w:val="002E19D9"/>
    <w:rsid w:val="002E628D"/>
    <w:rsid w:val="002E6426"/>
    <w:rsid w:val="002F297D"/>
    <w:rsid w:val="002F2B06"/>
    <w:rsid w:val="002F2E09"/>
    <w:rsid w:val="002F33CD"/>
    <w:rsid w:val="002F7BBC"/>
    <w:rsid w:val="00301106"/>
    <w:rsid w:val="00303C77"/>
    <w:rsid w:val="003044B4"/>
    <w:rsid w:val="00306EAE"/>
    <w:rsid w:val="00311227"/>
    <w:rsid w:val="0032355A"/>
    <w:rsid w:val="00331006"/>
    <w:rsid w:val="0033621D"/>
    <w:rsid w:val="003371B4"/>
    <w:rsid w:val="00337317"/>
    <w:rsid w:val="0034041F"/>
    <w:rsid w:val="0034185B"/>
    <w:rsid w:val="00343667"/>
    <w:rsid w:val="003443AD"/>
    <w:rsid w:val="00346A53"/>
    <w:rsid w:val="0034778C"/>
    <w:rsid w:val="00347922"/>
    <w:rsid w:val="00350037"/>
    <w:rsid w:val="00355635"/>
    <w:rsid w:val="00357C4E"/>
    <w:rsid w:val="00360323"/>
    <w:rsid w:val="00360393"/>
    <w:rsid w:val="00363B60"/>
    <w:rsid w:val="00367473"/>
    <w:rsid w:val="003703D1"/>
    <w:rsid w:val="0037125B"/>
    <w:rsid w:val="003723BF"/>
    <w:rsid w:val="003741F4"/>
    <w:rsid w:val="0037430B"/>
    <w:rsid w:val="003765F6"/>
    <w:rsid w:val="00377B81"/>
    <w:rsid w:val="003805EF"/>
    <w:rsid w:val="003825F8"/>
    <w:rsid w:val="003844BD"/>
    <w:rsid w:val="003860B3"/>
    <w:rsid w:val="00390A50"/>
    <w:rsid w:val="0039234B"/>
    <w:rsid w:val="003955D0"/>
    <w:rsid w:val="00395FF7"/>
    <w:rsid w:val="00397E96"/>
    <w:rsid w:val="003A0816"/>
    <w:rsid w:val="003A1578"/>
    <w:rsid w:val="003A19E9"/>
    <w:rsid w:val="003A1BBB"/>
    <w:rsid w:val="003A34B1"/>
    <w:rsid w:val="003A3DBD"/>
    <w:rsid w:val="003A4A52"/>
    <w:rsid w:val="003A5819"/>
    <w:rsid w:val="003A7C09"/>
    <w:rsid w:val="003B1277"/>
    <w:rsid w:val="003B63B4"/>
    <w:rsid w:val="003C1C7C"/>
    <w:rsid w:val="003C21DA"/>
    <w:rsid w:val="003C271A"/>
    <w:rsid w:val="003C5DBD"/>
    <w:rsid w:val="003C75BF"/>
    <w:rsid w:val="003D279B"/>
    <w:rsid w:val="003D7FD7"/>
    <w:rsid w:val="003E1EE8"/>
    <w:rsid w:val="003E3109"/>
    <w:rsid w:val="003E4217"/>
    <w:rsid w:val="003E5750"/>
    <w:rsid w:val="003E58E4"/>
    <w:rsid w:val="003E5D3F"/>
    <w:rsid w:val="003E68E6"/>
    <w:rsid w:val="003E7CD9"/>
    <w:rsid w:val="003F0D62"/>
    <w:rsid w:val="003F4315"/>
    <w:rsid w:val="003F574E"/>
    <w:rsid w:val="003F6677"/>
    <w:rsid w:val="00402880"/>
    <w:rsid w:val="00402977"/>
    <w:rsid w:val="00403881"/>
    <w:rsid w:val="00407B77"/>
    <w:rsid w:val="00407F41"/>
    <w:rsid w:val="0042008E"/>
    <w:rsid w:val="00423170"/>
    <w:rsid w:val="00424473"/>
    <w:rsid w:val="00424959"/>
    <w:rsid w:val="0042593E"/>
    <w:rsid w:val="00427DD4"/>
    <w:rsid w:val="00432BD8"/>
    <w:rsid w:val="004361D2"/>
    <w:rsid w:val="004419CD"/>
    <w:rsid w:val="00441BC1"/>
    <w:rsid w:val="00441FC3"/>
    <w:rsid w:val="00446630"/>
    <w:rsid w:val="004470AC"/>
    <w:rsid w:val="00450141"/>
    <w:rsid w:val="0045142A"/>
    <w:rsid w:val="00454513"/>
    <w:rsid w:val="0046189D"/>
    <w:rsid w:val="00467A4B"/>
    <w:rsid w:val="00473A1F"/>
    <w:rsid w:val="00474C53"/>
    <w:rsid w:val="00475D53"/>
    <w:rsid w:val="004774D2"/>
    <w:rsid w:val="004803F8"/>
    <w:rsid w:val="0048089C"/>
    <w:rsid w:val="00480E84"/>
    <w:rsid w:val="0048222A"/>
    <w:rsid w:val="0048254C"/>
    <w:rsid w:val="0048408F"/>
    <w:rsid w:val="004849FF"/>
    <w:rsid w:val="00484BAB"/>
    <w:rsid w:val="0048771F"/>
    <w:rsid w:val="004924BE"/>
    <w:rsid w:val="00492E5D"/>
    <w:rsid w:val="00493C2E"/>
    <w:rsid w:val="0049502B"/>
    <w:rsid w:val="004964EC"/>
    <w:rsid w:val="00496B0F"/>
    <w:rsid w:val="004A01A1"/>
    <w:rsid w:val="004A59F9"/>
    <w:rsid w:val="004A5E81"/>
    <w:rsid w:val="004A7D91"/>
    <w:rsid w:val="004B1258"/>
    <w:rsid w:val="004B1F1F"/>
    <w:rsid w:val="004B3BD7"/>
    <w:rsid w:val="004B6E58"/>
    <w:rsid w:val="004B7924"/>
    <w:rsid w:val="004C0857"/>
    <w:rsid w:val="004C1F0B"/>
    <w:rsid w:val="004C2E06"/>
    <w:rsid w:val="004C59E7"/>
    <w:rsid w:val="004C5E63"/>
    <w:rsid w:val="004C70C0"/>
    <w:rsid w:val="004D1F28"/>
    <w:rsid w:val="004D3374"/>
    <w:rsid w:val="004E1065"/>
    <w:rsid w:val="004E1B2A"/>
    <w:rsid w:val="004E47AD"/>
    <w:rsid w:val="004E4E0B"/>
    <w:rsid w:val="004E5C31"/>
    <w:rsid w:val="004E7F23"/>
    <w:rsid w:val="004F03F6"/>
    <w:rsid w:val="004F2F5C"/>
    <w:rsid w:val="004F3EFD"/>
    <w:rsid w:val="004F5AD4"/>
    <w:rsid w:val="004F6DBA"/>
    <w:rsid w:val="004F738A"/>
    <w:rsid w:val="00500DAE"/>
    <w:rsid w:val="00504B18"/>
    <w:rsid w:val="00504B8E"/>
    <w:rsid w:val="00505A17"/>
    <w:rsid w:val="00512290"/>
    <w:rsid w:val="005155F5"/>
    <w:rsid w:val="005202DB"/>
    <w:rsid w:val="00520924"/>
    <w:rsid w:val="00520EC5"/>
    <w:rsid w:val="00521338"/>
    <w:rsid w:val="005220E8"/>
    <w:rsid w:val="00522601"/>
    <w:rsid w:val="00524189"/>
    <w:rsid w:val="005243EA"/>
    <w:rsid w:val="0052501C"/>
    <w:rsid w:val="005251D3"/>
    <w:rsid w:val="00526BDD"/>
    <w:rsid w:val="005271FE"/>
    <w:rsid w:val="005307AA"/>
    <w:rsid w:val="00530829"/>
    <w:rsid w:val="00530E2C"/>
    <w:rsid w:val="0053103E"/>
    <w:rsid w:val="00531EF1"/>
    <w:rsid w:val="00532B1A"/>
    <w:rsid w:val="00533329"/>
    <w:rsid w:val="00534D43"/>
    <w:rsid w:val="00535247"/>
    <w:rsid w:val="00536ACD"/>
    <w:rsid w:val="00540D56"/>
    <w:rsid w:val="00541C6D"/>
    <w:rsid w:val="0054236D"/>
    <w:rsid w:val="00542B89"/>
    <w:rsid w:val="00544426"/>
    <w:rsid w:val="0054463C"/>
    <w:rsid w:val="00544993"/>
    <w:rsid w:val="00545C39"/>
    <w:rsid w:val="00545C99"/>
    <w:rsid w:val="00550975"/>
    <w:rsid w:val="00555538"/>
    <w:rsid w:val="005563E9"/>
    <w:rsid w:val="005567AB"/>
    <w:rsid w:val="00556B3E"/>
    <w:rsid w:val="00560E01"/>
    <w:rsid w:val="005628B5"/>
    <w:rsid w:val="00562B88"/>
    <w:rsid w:val="00564C31"/>
    <w:rsid w:val="005657B2"/>
    <w:rsid w:val="00565A67"/>
    <w:rsid w:val="00566049"/>
    <w:rsid w:val="00566692"/>
    <w:rsid w:val="00572677"/>
    <w:rsid w:val="00573F75"/>
    <w:rsid w:val="00574728"/>
    <w:rsid w:val="00575764"/>
    <w:rsid w:val="00576C73"/>
    <w:rsid w:val="00580399"/>
    <w:rsid w:val="0058190B"/>
    <w:rsid w:val="005852CA"/>
    <w:rsid w:val="0058536D"/>
    <w:rsid w:val="005903BA"/>
    <w:rsid w:val="0059067D"/>
    <w:rsid w:val="0059341F"/>
    <w:rsid w:val="00593A57"/>
    <w:rsid w:val="00595DDF"/>
    <w:rsid w:val="00597453"/>
    <w:rsid w:val="005A03FE"/>
    <w:rsid w:val="005A0BEB"/>
    <w:rsid w:val="005A2468"/>
    <w:rsid w:val="005A3B07"/>
    <w:rsid w:val="005B11E3"/>
    <w:rsid w:val="005C0288"/>
    <w:rsid w:val="005C09D4"/>
    <w:rsid w:val="005C62C6"/>
    <w:rsid w:val="005D108E"/>
    <w:rsid w:val="005D2CAA"/>
    <w:rsid w:val="005E03AC"/>
    <w:rsid w:val="005F2D36"/>
    <w:rsid w:val="005F7D42"/>
    <w:rsid w:val="00600C46"/>
    <w:rsid w:val="006044A9"/>
    <w:rsid w:val="00604D80"/>
    <w:rsid w:val="00605A27"/>
    <w:rsid w:val="00606611"/>
    <w:rsid w:val="00612683"/>
    <w:rsid w:val="006135D1"/>
    <w:rsid w:val="0061407E"/>
    <w:rsid w:val="0061486D"/>
    <w:rsid w:val="00617210"/>
    <w:rsid w:val="00617936"/>
    <w:rsid w:val="0062070B"/>
    <w:rsid w:val="0062181D"/>
    <w:rsid w:val="00624292"/>
    <w:rsid w:val="006243FE"/>
    <w:rsid w:val="0062613A"/>
    <w:rsid w:val="00626349"/>
    <w:rsid w:val="00627C2B"/>
    <w:rsid w:val="006318FB"/>
    <w:rsid w:val="00635722"/>
    <w:rsid w:val="00640B95"/>
    <w:rsid w:val="00644B4A"/>
    <w:rsid w:val="00647917"/>
    <w:rsid w:val="006479D1"/>
    <w:rsid w:val="0065091A"/>
    <w:rsid w:val="006517D1"/>
    <w:rsid w:val="00651946"/>
    <w:rsid w:val="0065280D"/>
    <w:rsid w:val="006541E4"/>
    <w:rsid w:val="00661A02"/>
    <w:rsid w:val="00664667"/>
    <w:rsid w:val="0066512E"/>
    <w:rsid w:val="0066592A"/>
    <w:rsid w:val="00665DE5"/>
    <w:rsid w:val="00666D64"/>
    <w:rsid w:val="00667C26"/>
    <w:rsid w:val="00673DC7"/>
    <w:rsid w:val="00674446"/>
    <w:rsid w:val="00676AAC"/>
    <w:rsid w:val="006773B4"/>
    <w:rsid w:val="00677990"/>
    <w:rsid w:val="006806AC"/>
    <w:rsid w:val="00685BD9"/>
    <w:rsid w:val="00687033"/>
    <w:rsid w:val="0069000D"/>
    <w:rsid w:val="006910A3"/>
    <w:rsid w:val="00691E63"/>
    <w:rsid w:val="00695B56"/>
    <w:rsid w:val="0069615C"/>
    <w:rsid w:val="00696CFE"/>
    <w:rsid w:val="006977F7"/>
    <w:rsid w:val="00697C1C"/>
    <w:rsid w:val="00697CCB"/>
    <w:rsid w:val="00697EA4"/>
    <w:rsid w:val="006A1F6F"/>
    <w:rsid w:val="006A35C1"/>
    <w:rsid w:val="006B3688"/>
    <w:rsid w:val="006C00EB"/>
    <w:rsid w:val="006C3B20"/>
    <w:rsid w:val="006C505F"/>
    <w:rsid w:val="006D035B"/>
    <w:rsid w:val="006D4F41"/>
    <w:rsid w:val="006D5339"/>
    <w:rsid w:val="006E1EEA"/>
    <w:rsid w:val="006E2ADF"/>
    <w:rsid w:val="006E2BC5"/>
    <w:rsid w:val="006E400E"/>
    <w:rsid w:val="006E6F37"/>
    <w:rsid w:val="006F1D47"/>
    <w:rsid w:val="006F1F28"/>
    <w:rsid w:val="006F23B1"/>
    <w:rsid w:val="006F2B9C"/>
    <w:rsid w:val="006F66C9"/>
    <w:rsid w:val="00700781"/>
    <w:rsid w:val="00701D88"/>
    <w:rsid w:val="007021B4"/>
    <w:rsid w:val="00703A18"/>
    <w:rsid w:val="00705408"/>
    <w:rsid w:val="00705B7B"/>
    <w:rsid w:val="0070636A"/>
    <w:rsid w:val="007103B8"/>
    <w:rsid w:val="00710E5A"/>
    <w:rsid w:val="00711315"/>
    <w:rsid w:val="007116A2"/>
    <w:rsid w:val="00715BF6"/>
    <w:rsid w:val="00715CD9"/>
    <w:rsid w:val="0072093F"/>
    <w:rsid w:val="00720B4C"/>
    <w:rsid w:val="00722C32"/>
    <w:rsid w:val="00722E77"/>
    <w:rsid w:val="00725696"/>
    <w:rsid w:val="00725906"/>
    <w:rsid w:val="00726975"/>
    <w:rsid w:val="00726F1F"/>
    <w:rsid w:val="007275B3"/>
    <w:rsid w:val="00727E4F"/>
    <w:rsid w:val="00731598"/>
    <w:rsid w:val="007346C0"/>
    <w:rsid w:val="007349CB"/>
    <w:rsid w:val="007352B3"/>
    <w:rsid w:val="00737FCE"/>
    <w:rsid w:val="00741825"/>
    <w:rsid w:val="00743CE4"/>
    <w:rsid w:val="0074725D"/>
    <w:rsid w:val="00747BAB"/>
    <w:rsid w:val="00747E57"/>
    <w:rsid w:val="007500DC"/>
    <w:rsid w:val="00751550"/>
    <w:rsid w:val="00753E64"/>
    <w:rsid w:val="00755F3F"/>
    <w:rsid w:val="007575FF"/>
    <w:rsid w:val="0076267D"/>
    <w:rsid w:val="0076376B"/>
    <w:rsid w:val="00765E3F"/>
    <w:rsid w:val="007676F1"/>
    <w:rsid w:val="00771A05"/>
    <w:rsid w:val="00773F07"/>
    <w:rsid w:val="0077406B"/>
    <w:rsid w:val="00784534"/>
    <w:rsid w:val="00785126"/>
    <w:rsid w:val="00790434"/>
    <w:rsid w:val="00790E40"/>
    <w:rsid w:val="00790FB8"/>
    <w:rsid w:val="007919BA"/>
    <w:rsid w:val="007925EF"/>
    <w:rsid w:val="00793B80"/>
    <w:rsid w:val="00794C4A"/>
    <w:rsid w:val="00794DD8"/>
    <w:rsid w:val="0079507A"/>
    <w:rsid w:val="007966AC"/>
    <w:rsid w:val="00797CD1"/>
    <w:rsid w:val="007A0D8B"/>
    <w:rsid w:val="007A11BE"/>
    <w:rsid w:val="007A24DF"/>
    <w:rsid w:val="007A2B03"/>
    <w:rsid w:val="007A3D91"/>
    <w:rsid w:val="007A4996"/>
    <w:rsid w:val="007A5BD1"/>
    <w:rsid w:val="007A7975"/>
    <w:rsid w:val="007B413C"/>
    <w:rsid w:val="007B4943"/>
    <w:rsid w:val="007B51DD"/>
    <w:rsid w:val="007B75C0"/>
    <w:rsid w:val="007C183B"/>
    <w:rsid w:val="007C1C25"/>
    <w:rsid w:val="007C2ED8"/>
    <w:rsid w:val="007C4728"/>
    <w:rsid w:val="007C4EF0"/>
    <w:rsid w:val="007C5801"/>
    <w:rsid w:val="007C77EA"/>
    <w:rsid w:val="007D2279"/>
    <w:rsid w:val="007D4611"/>
    <w:rsid w:val="007D49F5"/>
    <w:rsid w:val="007D4B9F"/>
    <w:rsid w:val="007D6D1A"/>
    <w:rsid w:val="007D71BF"/>
    <w:rsid w:val="007E38D1"/>
    <w:rsid w:val="007E3B36"/>
    <w:rsid w:val="007F168C"/>
    <w:rsid w:val="007F1AAF"/>
    <w:rsid w:val="007F76E6"/>
    <w:rsid w:val="00801B7F"/>
    <w:rsid w:val="0080345A"/>
    <w:rsid w:val="0080479F"/>
    <w:rsid w:val="00813A48"/>
    <w:rsid w:val="00814A7C"/>
    <w:rsid w:val="008155D0"/>
    <w:rsid w:val="00820AFD"/>
    <w:rsid w:val="008220A3"/>
    <w:rsid w:val="00823D2C"/>
    <w:rsid w:val="008251A9"/>
    <w:rsid w:val="00831AE5"/>
    <w:rsid w:val="0083463B"/>
    <w:rsid w:val="008420DB"/>
    <w:rsid w:val="00846FFA"/>
    <w:rsid w:val="00851606"/>
    <w:rsid w:val="00853031"/>
    <w:rsid w:val="00856255"/>
    <w:rsid w:val="008606B3"/>
    <w:rsid w:val="0086357F"/>
    <w:rsid w:val="0086442A"/>
    <w:rsid w:val="008662D5"/>
    <w:rsid w:val="0086647D"/>
    <w:rsid w:val="0087327E"/>
    <w:rsid w:val="00880915"/>
    <w:rsid w:val="00883BC5"/>
    <w:rsid w:val="00886DF7"/>
    <w:rsid w:val="0089207D"/>
    <w:rsid w:val="008934A6"/>
    <w:rsid w:val="00893855"/>
    <w:rsid w:val="00893FAB"/>
    <w:rsid w:val="008967FC"/>
    <w:rsid w:val="00897FD6"/>
    <w:rsid w:val="008A3FEF"/>
    <w:rsid w:val="008A4B86"/>
    <w:rsid w:val="008A5A91"/>
    <w:rsid w:val="008A5F0E"/>
    <w:rsid w:val="008B05AD"/>
    <w:rsid w:val="008B074C"/>
    <w:rsid w:val="008B27D6"/>
    <w:rsid w:val="008B5C29"/>
    <w:rsid w:val="008D128E"/>
    <w:rsid w:val="008D1E37"/>
    <w:rsid w:val="008D29E5"/>
    <w:rsid w:val="008D37BD"/>
    <w:rsid w:val="008D5DD6"/>
    <w:rsid w:val="008E1571"/>
    <w:rsid w:val="008E3105"/>
    <w:rsid w:val="008E40EB"/>
    <w:rsid w:val="008E469A"/>
    <w:rsid w:val="008E554D"/>
    <w:rsid w:val="008E7943"/>
    <w:rsid w:val="008F6581"/>
    <w:rsid w:val="008F70F6"/>
    <w:rsid w:val="00900DF0"/>
    <w:rsid w:val="00901B8C"/>
    <w:rsid w:val="0090273F"/>
    <w:rsid w:val="00903544"/>
    <w:rsid w:val="009046BD"/>
    <w:rsid w:val="00906EBD"/>
    <w:rsid w:val="009070F6"/>
    <w:rsid w:val="009103EC"/>
    <w:rsid w:val="009108D3"/>
    <w:rsid w:val="009146D5"/>
    <w:rsid w:val="0091570F"/>
    <w:rsid w:val="009161F4"/>
    <w:rsid w:val="0091723A"/>
    <w:rsid w:val="009174A7"/>
    <w:rsid w:val="00917D22"/>
    <w:rsid w:val="00922FCC"/>
    <w:rsid w:val="00924B15"/>
    <w:rsid w:val="00926801"/>
    <w:rsid w:val="00927982"/>
    <w:rsid w:val="00932F62"/>
    <w:rsid w:val="009340CE"/>
    <w:rsid w:val="00934FFB"/>
    <w:rsid w:val="00943EAD"/>
    <w:rsid w:val="009458E8"/>
    <w:rsid w:val="0094695B"/>
    <w:rsid w:val="00947417"/>
    <w:rsid w:val="0094790E"/>
    <w:rsid w:val="009479BF"/>
    <w:rsid w:val="00947EA5"/>
    <w:rsid w:val="00950409"/>
    <w:rsid w:val="00950FB1"/>
    <w:rsid w:val="00952665"/>
    <w:rsid w:val="00953503"/>
    <w:rsid w:val="00953E2E"/>
    <w:rsid w:val="009556A3"/>
    <w:rsid w:val="009637FA"/>
    <w:rsid w:val="009658FB"/>
    <w:rsid w:val="00966BD8"/>
    <w:rsid w:val="009709C7"/>
    <w:rsid w:val="00971B5F"/>
    <w:rsid w:val="00974379"/>
    <w:rsid w:val="009754F2"/>
    <w:rsid w:val="00980F0B"/>
    <w:rsid w:val="0098338B"/>
    <w:rsid w:val="00983AF0"/>
    <w:rsid w:val="00983DC0"/>
    <w:rsid w:val="009862B3"/>
    <w:rsid w:val="00992432"/>
    <w:rsid w:val="00997398"/>
    <w:rsid w:val="009A0CD0"/>
    <w:rsid w:val="009A0D3C"/>
    <w:rsid w:val="009A2423"/>
    <w:rsid w:val="009B080A"/>
    <w:rsid w:val="009B185C"/>
    <w:rsid w:val="009B21F2"/>
    <w:rsid w:val="009B225E"/>
    <w:rsid w:val="009B48F7"/>
    <w:rsid w:val="009B4B60"/>
    <w:rsid w:val="009B7B27"/>
    <w:rsid w:val="009C0661"/>
    <w:rsid w:val="009C5000"/>
    <w:rsid w:val="009C51B3"/>
    <w:rsid w:val="009C65CE"/>
    <w:rsid w:val="009C7E23"/>
    <w:rsid w:val="009D0D5F"/>
    <w:rsid w:val="009D2BE4"/>
    <w:rsid w:val="009D44E6"/>
    <w:rsid w:val="009D5986"/>
    <w:rsid w:val="009E1F58"/>
    <w:rsid w:val="009E302E"/>
    <w:rsid w:val="009E4D30"/>
    <w:rsid w:val="009E4E3B"/>
    <w:rsid w:val="009E6E4D"/>
    <w:rsid w:val="009E6EDF"/>
    <w:rsid w:val="009F07A5"/>
    <w:rsid w:val="009F160B"/>
    <w:rsid w:val="009F3042"/>
    <w:rsid w:val="009F332A"/>
    <w:rsid w:val="009F5A61"/>
    <w:rsid w:val="009F6886"/>
    <w:rsid w:val="009F6D73"/>
    <w:rsid w:val="00A00032"/>
    <w:rsid w:val="00A015F0"/>
    <w:rsid w:val="00A04F7D"/>
    <w:rsid w:val="00A06701"/>
    <w:rsid w:val="00A07FA8"/>
    <w:rsid w:val="00A105F2"/>
    <w:rsid w:val="00A119C9"/>
    <w:rsid w:val="00A129AE"/>
    <w:rsid w:val="00A14C60"/>
    <w:rsid w:val="00A171DC"/>
    <w:rsid w:val="00A20782"/>
    <w:rsid w:val="00A2094F"/>
    <w:rsid w:val="00A20F1E"/>
    <w:rsid w:val="00A21C10"/>
    <w:rsid w:val="00A244B3"/>
    <w:rsid w:val="00A264FE"/>
    <w:rsid w:val="00A26E29"/>
    <w:rsid w:val="00A30D6D"/>
    <w:rsid w:val="00A32B6F"/>
    <w:rsid w:val="00A40680"/>
    <w:rsid w:val="00A42771"/>
    <w:rsid w:val="00A4385B"/>
    <w:rsid w:val="00A44FB2"/>
    <w:rsid w:val="00A46731"/>
    <w:rsid w:val="00A47629"/>
    <w:rsid w:val="00A47927"/>
    <w:rsid w:val="00A50C8B"/>
    <w:rsid w:val="00A51425"/>
    <w:rsid w:val="00A528DB"/>
    <w:rsid w:val="00A545AB"/>
    <w:rsid w:val="00A56D72"/>
    <w:rsid w:val="00A60885"/>
    <w:rsid w:val="00A6099E"/>
    <w:rsid w:val="00A63051"/>
    <w:rsid w:val="00A637FA"/>
    <w:rsid w:val="00A67683"/>
    <w:rsid w:val="00A72634"/>
    <w:rsid w:val="00A743E6"/>
    <w:rsid w:val="00A74852"/>
    <w:rsid w:val="00A75888"/>
    <w:rsid w:val="00A75FEE"/>
    <w:rsid w:val="00A77AAA"/>
    <w:rsid w:val="00A80538"/>
    <w:rsid w:val="00A843B3"/>
    <w:rsid w:val="00A85FA2"/>
    <w:rsid w:val="00A866DD"/>
    <w:rsid w:val="00A9345E"/>
    <w:rsid w:val="00A9448F"/>
    <w:rsid w:val="00A94E87"/>
    <w:rsid w:val="00A977EF"/>
    <w:rsid w:val="00AA0409"/>
    <w:rsid w:val="00AA5685"/>
    <w:rsid w:val="00AA72C5"/>
    <w:rsid w:val="00AB0C55"/>
    <w:rsid w:val="00AB1CF0"/>
    <w:rsid w:val="00AB5C68"/>
    <w:rsid w:val="00AB5FA5"/>
    <w:rsid w:val="00AB724F"/>
    <w:rsid w:val="00AB777B"/>
    <w:rsid w:val="00AC4001"/>
    <w:rsid w:val="00AC57EB"/>
    <w:rsid w:val="00AD2988"/>
    <w:rsid w:val="00AE49E7"/>
    <w:rsid w:val="00AE4AF4"/>
    <w:rsid w:val="00AE57C1"/>
    <w:rsid w:val="00AF1286"/>
    <w:rsid w:val="00AF26E5"/>
    <w:rsid w:val="00AF342B"/>
    <w:rsid w:val="00AF3DDF"/>
    <w:rsid w:val="00AF4453"/>
    <w:rsid w:val="00AF5018"/>
    <w:rsid w:val="00AF6157"/>
    <w:rsid w:val="00AF727D"/>
    <w:rsid w:val="00AF7DCE"/>
    <w:rsid w:val="00B02015"/>
    <w:rsid w:val="00B03F86"/>
    <w:rsid w:val="00B04832"/>
    <w:rsid w:val="00B04C01"/>
    <w:rsid w:val="00B051F1"/>
    <w:rsid w:val="00B06A2E"/>
    <w:rsid w:val="00B121BD"/>
    <w:rsid w:val="00B146AC"/>
    <w:rsid w:val="00B15639"/>
    <w:rsid w:val="00B16092"/>
    <w:rsid w:val="00B165B5"/>
    <w:rsid w:val="00B17122"/>
    <w:rsid w:val="00B177C6"/>
    <w:rsid w:val="00B23107"/>
    <w:rsid w:val="00B30FBC"/>
    <w:rsid w:val="00B34A89"/>
    <w:rsid w:val="00B34B7F"/>
    <w:rsid w:val="00B42847"/>
    <w:rsid w:val="00B42DF4"/>
    <w:rsid w:val="00B4570F"/>
    <w:rsid w:val="00B47339"/>
    <w:rsid w:val="00B4755F"/>
    <w:rsid w:val="00B527A4"/>
    <w:rsid w:val="00B55A50"/>
    <w:rsid w:val="00B566BC"/>
    <w:rsid w:val="00B56791"/>
    <w:rsid w:val="00B56B25"/>
    <w:rsid w:val="00B56C73"/>
    <w:rsid w:val="00B62BAE"/>
    <w:rsid w:val="00B634CC"/>
    <w:rsid w:val="00B63890"/>
    <w:rsid w:val="00B70D99"/>
    <w:rsid w:val="00B71126"/>
    <w:rsid w:val="00B71B5E"/>
    <w:rsid w:val="00B71D31"/>
    <w:rsid w:val="00B72498"/>
    <w:rsid w:val="00B73D85"/>
    <w:rsid w:val="00B74582"/>
    <w:rsid w:val="00B77344"/>
    <w:rsid w:val="00B809CD"/>
    <w:rsid w:val="00B80E0C"/>
    <w:rsid w:val="00B817BF"/>
    <w:rsid w:val="00B82305"/>
    <w:rsid w:val="00B83597"/>
    <w:rsid w:val="00B84F11"/>
    <w:rsid w:val="00B852BA"/>
    <w:rsid w:val="00B862F0"/>
    <w:rsid w:val="00B91C7F"/>
    <w:rsid w:val="00B936B8"/>
    <w:rsid w:val="00BA26F2"/>
    <w:rsid w:val="00BA6371"/>
    <w:rsid w:val="00BB0B18"/>
    <w:rsid w:val="00BB2087"/>
    <w:rsid w:val="00BB5876"/>
    <w:rsid w:val="00BC1376"/>
    <w:rsid w:val="00BC210F"/>
    <w:rsid w:val="00BC21AD"/>
    <w:rsid w:val="00BC5422"/>
    <w:rsid w:val="00BC6329"/>
    <w:rsid w:val="00BC6724"/>
    <w:rsid w:val="00BD0D9B"/>
    <w:rsid w:val="00BD2A8E"/>
    <w:rsid w:val="00BD2AB3"/>
    <w:rsid w:val="00BD42F6"/>
    <w:rsid w:val="00BD5527"/>
    <w:rsid w:val="00BE0237"/>
    <w:rsid w:val="00BE12EA"/>
    <w:rsid w:val="00BE2FBB"/>
    <w:rsid w:val="00BE5E76"/>
    <w:rsid w:val="00BF07FE"/>
    <w:rsid w:val="00BF08BC"/>
    <w:rsid w:val="00BF1968"/>
    <w:rsid w:val="00BF6E17"/>
    <w:rsid w:val="00BF6F65"/>
    <w:rsid w:val="00C00568"/>
    <w:rsid w:val="00C02C0A"/>
    <w:rsid w:val="00C03A77"/>
    <w:rsid w:val="00C045E7"/>
    <w:rsid w:val="00C0462D"/>
    <w:rsid w:val="00C04F08"/>
    <w:rsid w:val="00C069CD"/>
    <w:rsid w:val="00C06CE4"/>
    <w:rsid w:val="00C07B6F"/>
    <w:rsid w:val="00C1116F"/>
    <w:rsid w:val="00C134E2"/>
    <w:rsid w:val="00C14933"/>
    <w:rsid w:val="00C201D0"/>
    <w:rsid w:val="00C2116C"/>
    <w:rsid w:val="00C21F03"/>
    <w:rsid w:val="00C2326F"/>
    <w:rsid w:val="00C2517C"/>
    <w:rsid w:val="00C25319"/>
    <w:rsid w:val="00C27819"/>
    <w:rsid w:val="00C32D27"/>
    <w:rsid w:val="00C3390D"/>
    <w:rsid w:val="00C36211"/>
    <w:rsid w:val="00C36FCD"/>
    <w:rsid w:val="00C429F1"/>
    <w:rsid w:val="00C461A9"/>
    <w:rsid w:val="00C4714D"/>
    <w:rsid w:val="00C5045B"/>
    <w:rsid w:val="00C516D6"/>
    <w:rsid w:val="00C52120"/>
    <w:rsid w:val="00C53520"/>
    <w:rsid w:val="00C573F8"/>
    <w:rsid w:val="00C618AE"/>
    <w:rsid w:val="00C623E6"/>
    <w:rsid w:val="00C63ACA"/>
    <w:rsid w:val="00C65510"/>
    <w:rsid w:val="00C65BE3"/>
    <w:rsid w:val="00C661B9"/>
    <w:rsid w:val="00C72D96"/>
    <w:rsid w:val="00C7388F"/>
    <w:rsid w:val="00C77AE4"/>
    <w:rsid w:val="00C77D7E"/>
    <w:rsid w:val="00C80D95"/>
    <w:rsid w:val="00C81097"/>
    <w:rsid w:val="00C846F7"/>
    <w:rsid w:val="00C8749B"/>
    <w:rsid w:val="00C90B98"/>
    <w:rsid w:val="00C93175"/>
    <w:rsid w:val="00C94A9F"/>
    <w:rsid w:val="00C94F8D"/>
    <w:rsid w:val="00C95628"/>
    <w:rsid w:val="00CA03C9"/>
    <w:rsid w:val="00CA29CB"/>
    <w:rsid w:val="00CA41CF"/>
    <w:rsid w:val="00CA4410"/>
    <w:rsid w:val="00CA4F8B"/>
    <w:rsid w:val="00CA6435"/>
    <w:rsid w:val="00CA710D"/>
    <w:rsid w:val="00CB38E5"/>
    <w:rsid w:val="00CB43A2"/>
    <w:rsid w:val="00CB58D6"/>
    <w:rsid w:val="00CB753B"/>
    <w:rsid w:val="00CB784B"/>
    <w:rsid w:val="00CB7D85"/>
    <w:rsid w:val="00CC2629"/>
    <w:rsid w:val="00CC38AF"/>
    <w:rsid w:val="00CC3DD5"/>
    <w:rsid w:val="00CC50A9"/>
    <w:rsid w:val="00CC667F"/>
    <w:rsid w:val="00CC6ACB"/>
    <w:rsid w:val="00CD1D2F"/>
    <w:rsid w:val="00CD1FEA"/>
    <w:rsid w:val="00CD47A3"/>
    <w:rsid w:val="00CD6B20"/>
    <w:rsid w:val="00CD6F54"/>
    <w:rsid w:val="00CE2952"/>
    <w:rsid w:val="00CE30BD"/>
    <w:rsid w:val="00CE4B69"/>
    <w:rsid w:val="00CE5CF8"/>
    <w:rsid w:val="00CE6A19"/>
    <w:rsid w:val="00CE763C"/>
    <w:rsid w:val="00CF1A25"/>
    <w:rsid w:val="00CF2B70"/>
    <w:rsid w:val="00CF5E6F"/>
    <w:rsid w:val="00CF788E"/>
    <w:rsid w:val="00D02195"/>
    <w:rsid w:val="00D03340"/>
    <w:rsid w:val="00D05D0E"/>
    <w:rsid w:val="00D06B3E"/>
    <w:rsid w:val="00D07231"/>
    <w:rsid w:val="00D07E7D"/>
    <w:rsid w:val="00D11A1E"/>
    <w:rsid w:val="00D13E39"/>
    <w:rsid w:val="00D27AB1"/>
    <w:rsid w:val="00D34181"/>
    <w:rsid w:val="00D341DE"/>
    <w:rsid w:val="00D34F3B"/>
    <w:rsid w:val="00D3519E"/>
    <w:rsid w:val="00D377A3"/>
    <w:rsid w:val="00D379C4"/>
    <w:rsid w:val="00D429FE"/>
    <w:rsid w:val="00D44345"/>
    <w:rsid w:val="00D451B9"/>
    <w:rsid w:val="00D45D5C"/>
    <w:rsid w:val="00D51475"/>
    <w:rsid w:val="00D52F7A"/>
    <w:rsid w:val="00D533EA"/>
    <w:rsid w:val="00D600E9"/>
    <w:rsid w:val="00D634AC"/>
    <w:rsid w:val="00D63655"/>
    <w:rsid w:val="00D6387B"/>
    <w:rsid w:val="00D715ED"/>
    <w:rsid w:val="00D71612"/>
    <w:rsid w:val="00D71CC9"/>
    <w:rsid w:val="00D71EFC"/>
    <w:rsid w:val="00D7231C"/>
    <w:rsid w:val="00D723D7"/>
    <w:rsid w:val="00D75608"/>
    <w:rsid w:val="00D75A85"/>
    <w:rsid w:val="00D760FE"/>
    <w:rsid w:val="00D80156"/>
    <w:rsid w:val="00D827B1"/>
    <w:rsid w:val="00D870B0"/>
    <w:rsid w:val="00D90086"/>
    <w:rsid w:val="00D96EFC"/>
    <w:rsid w:val="00D9704C"/>
    <w:rsid w:val="00D97443"/>
    <w:rsid w:val="00D977CF"/>
    <w:rsid w:val="00DA4CB5"/>
    <w:rsid w:val="00DA5E41"/>
    <w:rsid w:val="00DA769F"/>
    <w:rsid w:val="00DA7E79"/>
    <w:rsid w:val="00DB11D4"/>
    <w:rsid w:val="00DB2A52"/>
    <w:rsid w:val="00DB465D"/>
    <w:rsid w:val="00DB7BB3"/>
    <w:rsid w:val="00DB7C35"/>
    <w:rsid w:val="00DC1105"/>
    <w:rsid w:val="00DC5374"/>
    <w:rsid w:val="00DC6DC5"/>
    <w:rsid w:val="00DD1082"/>
    <w:rsid w:val="00DD26DB"/>
    <w:rsid w:val="00DE13CD"/>
    <w:rsid w:val="00DE22D4"/>
    <w:rsid w:val="00DE3014"/>
    <w:rsid w:val="00DE38D7"/>
    <w:rsid w:val="00DE4054"/>
    <w:rsid w:val="00DE7ED9"/>
    <w:rsid w:val="00DF14C0"/>
    <w:rsid w:val="00DF4B2E"/>
    <w:rsid w:val="00DF583B"/>
    <w:rsid w:val="00E01C5C"/>
    <w:rsid w:val="00E01F24"/>
    <w:rsid w:val="00E03892"/>
    <w:rsid w:val="00E04CC5"/>
    <w:rsid w:val="00E108FF"/>
    <w:rsid w:val="00E11CE3"/>
    <w:rsid w:val="00E140D4"/>
    <w:rsid w:val="00E173B6"/>
    <w:rsid w:val="00E244F1"/>
    <w:rsid w:val="00E275C2"/>
    <w:rsid w:val="00E32DCF"/>
    <w:rsid w:val="00E32FD9"/>
    <w:rsid w:val="00E34095"/>
    <w:rsid w:val="00E36DAC"/>
    <w:rsid w:val="00E40EDA"/>
    <w:rsid w:val="00E41328"/>
    <w:rsid w:val="00E42052"/>
    <w:rsid w:val="00E46DD4"/>
    <w:rsid w:val="00E46E4F"/>
    <w:rsid w:val="00E52A0F"/>
    <w:rsid w:val="00E54320"/>
    <w:rsid w:val="00E60B75"/>
    <w:rsid w:val="00E64CBF"/>
    <w:rsid w:val="00E65539"/>
    <w:rsid w:val="00E6580E"/>
    <w:rsid w:val="00E67C30"/>
    <w:rsid w:val="00E709BA"/>
    <w:rsid w:val="00E7185E"/>
    <w:rsid w:val="00E73BF7"/>
    <w:rsid w:val="00E73EB4"/>
    <w:rsid w:val="00E75212"/>
    <w:rsid w:val="00E803B8"/>
    <w:rsid w:val="00E815F9"/>
    <w:rsid w:val="00E81BD0"/>
    <w:rsid w:val="00E8244C"/>
    <w:rsid w:val="00E926A0"/>
    <w:rsid w:val="00E92BFB"/>
    <w:rsid w:val="00E94A2F"/>
    <w:rsid w:val="00EA4E6B"/>
    <w:rsid w:val="00EA5C59"/>
    <w:rsid w:val="00EB0619"/>
    <w:rsid w:val="00EB0DB4"/>
    <w:rsid w:val="00EB2DF9"/>
    <w:rsid w:val="00EB4924"/>
    <w:rsid w:val="00EB68A5"/>
    <w:rsid w:val="00EC149F"/>
    <w:rsid w:val="00EC183B"/>
    <w:rsid w:val="00EC3EAA"/>
    <w:rsid w:val="00EC7040"/>
    <w:rsid w:val="00EC78D1"/>
    <w:rsid w:val="00ED06E6"/>
    <w:rsid w:val="00ED07D6"/>
    <w:rsid w:val="00ED3271"/>
    <w:rsid w:val="00ED375F"/>
    <w:rsid w:val="00ED5415"/>
    <w:rsid w:val="00ED5DFC"/>
    <w:rsid w:val="00ED6C63"/>
    <w:rsid w:val="00ED7266"/>
    <w:rsid w:val="00EE0385"/>
    <w:rsid w:val="00EE0ACF"/>
    <w:rsid w:val="00EE0D12"/>
    <w:rsid w:val="00EE32EB"/>
    <w:rsid w:val="00EE3840"/>
    <w:rsid w:val="00EE6878"/>
    <w:rsid w:val="00EF06C1"/>
    <w:rsid w:val="00EF0A38"/>
    <w:rsid w:val="00EF1289"/>
    <w:rsid w:val="00EF2D4E"/>
    <w:rsid w:val="00EF3C02"/>
    <w:rsid w:val="00EF5D61"/>
    <w:rsid w:val="00EF791B"/>
    <w:rsid w:val="00F00690"/>
    <w:rsid w:val="00F00EBE"/>
    <w:rsid w:val="00F00ED1"/>
    <w:rsid w:val="00F0128E"/>
    <w:rsid w:val="00F110B5"/>
    <w:rsid w:val="00F11431"/>
    <w:rsid w:val="00F12718"/>
    <w:rsid w:val="00F13868"/>
    <w:rsid w:val="00F15DE6"/>
    <w:rsid w:val="00F22144"/>
    <w:rsid w:val="00F23F18"/>
    <w:rsid w:val="00F270C7"/>
    <w:rsid w:val="00F3166B"/>
    <w:rsid w:val="00F31D61"/>
    <w:rsid w:val="00F3421F"/>
    <w:rsid w:val="00F36C92"/>
    <w:rsid w:val="00F4185A"/>
    <w:rsid w:val="00F4259E"/>
    <w:rsid w:val="00F43449"/>
    <w:rsid w:val="00F44FDB"/>
    <w:rsid w:val="00F476D0"/>
    <w:rsid w:val="00F520C5"/>
    <w:rsid w:val="00F55D36"/>
    <w:rsid w:val="00F568AB"/>
    <w:rsid w:val="00F56B48"/>
    <w:rsid w:val="00F60131"/>
    <w:rsid w:val="00F6286D"/>
    <w:rsid w:val="00F65FF9"/>
    <w:rsid w:val="00F7160A"/>
    <w:rsid w:val="00F72ED5"/>
    <w:rsid w:val="00F74BC1"/>
    <w:rsid w:val="00F77DF9"/>
    <w:rsid w:val="00F77ECA"/>
    <w:rsid w:val="00F8170E"/>
    <w:rsid w:val="00F81BF4"/>
    <w:rsid w:val="00F83BE1"/>
    <w:rsid w:val="00F83DAF"/>
    <w:rsid w:val="00F8524E"/>
    <w:rsid w:val="00F8578A"/>
    <w:rsid w:val="00F858E5"/>
    <w:rsid w:val="00F91FC1"/>
    <w:rsid w:val="00F9375A"/>
    <w:rsid w:val="00F9559A"/>
    <w:rsid w:val="00F96067"/>
    <w:rsid w:val="00FA2624"/>
    <w:rsid w:val="00FA2DF7"/>
    <w:rsid w:val="00FA3262"/>
    <w:rsid w:val="00FA3B8F"/>
    <w:rsid w:val="00FA68DF"/>
    <w:rsid w:val="00FB0AA4"/>
    <w:rsid w:val="00FB1BDF"/>
    <w:rsid w:val="00FB2A00"/>
    <w:rsid w:val="00FB2A78"/>
    <w:rsid w:val="00FB507E"/>
    <w:rsid w:val="00FB5A13"/>
    <w:rsid w:val="00FB5E4B"/>
    <w:rsid w:val="00FC05D4"/>
    <w:rsid w:val="00FC2738"/>
    <w:rsid w:val="00FC3A90"/>
    <w:rsid w:val="00FC5CA0"/>
    <w:rsid w:val="00FC5E1B"/>
    <w:rsid w:val="00FC5E94"/>
    <w:rsid w:val="00FC65CE"/>
    <w:rsid w:val="00FD279A"/>
    <w:rsid w:val="00FD4336"/>
    <w:rsid w:val="00FD5C53"/>
    <w:rsid w:val="00FD6FDC"/>
    <w:rsid w:val="00FE02BE"/>
    <w:rsid w:val="00FE10EC"/>
    <w:rsid w:val="00FE157A"/>
    <w:rsid w:val="00FE3D92"/>
    <w:rsid w:val="00FE730B"/>
    <w:rsid w:val="00FF3B45"/>
    <w:rsid w:val="00FF4494"/>
    <w:rsid w:val="00FF497D"/>
    <w:rsid w:val="00FF5328"/>
    <w:rsid w:val="00FF60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FAE43"/>
  <w15:docId w15:val="{56A5BD15-E124-4AB4-818B-2244529E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AU" w:eastAsia="en-US" w:bidi="ar-SA"/>
      </w:rPr>
    </w:rPrDefault>
    <w:pPrDefault>
      <w:pPr>
        <w:spacing w:before="160" w:after="16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6" w:unhideWhenUsed="1"/>
    <w:lsdException w:name="toc 8" w:semiHidden="1" w:uiPriority="96" w:unhideWhenUsed="1"/>
    <w:lsdException w:name="toc 9" w:semiHidden="1" w:uiPriority="91"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unhideWhenUsed="1"/>
    <w:lsdException w:name="List Bullet" w:semiHidden="1" w:uiPriority="19" w:unhideWhenUsed="1" w:qFormat="1"/>
    <w:lsdException w:name="List Number"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uiPriority="24" w:unhideWhenUsed="1" w:qFormat="1"/>
    <w:lsdException w:name="List Continue 2"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83B"/>
    <w:pPr>
      <w:keepLines/>
      <w:spacing w:after="100" w:line="276" w:lineRule="auto"/>
    </w:pPr>
    <w:rPr>
      <w:rFonts w:eastAsiaTheme="minorEastAsia"/>
      <w:spacing w:val="2"/>
      <w:lang w:eastAsia="en-AU"/>
    </w:rPr>
  </w:style>
  <w:style w:type="paragraph" w:styleId="Heading1">
    <w:name w:val="heading 1"/>
    <w:next w:val="Normal"/>
    <w:link w:val="Heading1Char"/>
    <w:qFormat/>
    <w:rsid w:val="0026112A"/>
    <w:pPr>
      <w:keepNext/>
      <w:keepLines/>
      <w:spacing w:before="600" w:after="240" w:line="276" w:lineRule="auto"/>
      <w:outlineLvl w:val="0"/>
    </w:pPr>
    <w:rPr>
      <w:rFonts w:asciiTheme="majorHAnsi" w:eastAsiaTheme="majorEastAsia" w:hAnsiTheme="majorHAnsi" w:cstheme="majorBidi"/>
      <w:b/>
      <w:bCs/>
      <w:color w:val="53565A" w:themeColor="text2"/>
      <w:spacing w:val="-1"/>
      <w:sz w:val="36"/>
      <w:szCs w:val="28"/>
      <w:lang w:eastAsia="en-AU"/>
    </w:rPr>
  </w:style>
  <w:style w:type="paragraph" w:styleId="Heading2">
    <w:name w:val="heading 2"/>
    <w:basedOn w:val="Normal"/>
    <w:next w:val="Normal"/>
    <w:link w:val="Heading2Char"/>
    <w:qFormat/>
    <w:rsid w:val="0026112A"/>
    <w:pPr>
      <w:keepNext/>
      <w:spacing w:before="280" w:after="240"/>
      <w:outlineLvl w:val="1"/>
    </w:pPr>
    <w:rPr>
      <w:rFonts w:asciiTheme="majorHAnsi" w:eastAsiaTheme="majorEastAsia" w:hAnsiTheme="majorHAnsi" w:cstheme="majorBidi"/>
      <w:b/>
      <w:bCs/>
      <w:color w:val="53565A" w:themeColor="text2"/>
      <w:sz w:val="28"/>
      <w:szCs w:val="26"/>
    </w:rPr>
  </w:style>
  <w:style w:type="paragraph" w:styleId="Heading3">
    <w:name w:val="heading 3"/>
    <w:basedOn w:val="Normal"/>
    <w:next w:val="Normal"/>
    <w:link w:val="Heading3Char"/>
    <w:qFormat/>
    <w:rsid w:val="0026112A"/>
    <w:pPr>
      <w:keepNext/>
      <w:spacing w:before="240" w:after="120"/>
      <w:outlineLvl w:val="2"/>
    </w:pPr>
    <w:rPr>
      <w:rFonts w:asciiTheme="majorHAnsi" w:eastAsiaTheme="majorEastAsia" w:hAnsiTheme="majorHAnsi" w:cstheme="majorBidi"/>
      <w:b/>
      <w:bCs/>
      <w:color w:val="53565A" w:themeColor="text2"/>
      <w:sz w:val="22"/>
      <w:szCs w:val="22"/>
    </w:rPr>
  </w:style>
  <w:style w:type="paragraph" w:styleId="Heading4">
    <w:name w:val="heading 4"/>
    <w:basedOn w:val="Normal"/>
    <w:next w:val="Normal"/>
    <w:link w:val="Heading4Char"/>
    <w:qFormat/>
    <w:rsid w:val="0026112A"/>
    <w:pPr>
      <w:keepNext/>
      <w:spacing w:before="200" w:after="0"/>
      <w:ind w:left="792"/>
      <w:outlineLvl w:val="3"/>
    </w:pPr>
    <w:rPr>
      <w:rFonts w:asciiTheme="majorHAnsi" w:eastAsiaTheme="majorEastAsia" w:hAnsiTheme="majorHAnsi" w:cstheme="majorBidi"/>
      <w:b/>
      <w:bCs/>
      <w:iCs/>
      <w:color w:val="53565A"/>
    </w:rPr>
  </w:style>
  <w:style w:type="paragraph" w:styleId="Heading5">
    <w:name w:val="heading 5"/>
    <w:basedOn w:val="Heading4"/>
    <w:next w:val="Normal"/>
    <w:link w:val="Heading5Char"/>
    <w:uiPriority w:val="9"/>
    <w:rsid w:val="0026112A"/>
    <w:pPr>
      <w:numPr>
        <w:ilvl w:val="4"/>
      </w:numPr>
      <w:ind w:left="792"/>
      <w:outlineLvl w:val="4"/>
    </w:pPr>
    <w:rPr>
      <w:b w:val="0"/>
      <w:i/>
    </w:rPr>
  </w:style>
  <w:style w:type="paragraph" w:styleId="Heading6">
    <w:name w:val="heading 6"/>
    <w:basedOn w:val="Normal"/>
    <w:next w:val="Normal"/>
    <w:link w:val="Heading6Char"/>
    <w:uiPriority w:val="9"/>
    <w:semiHidden/>
    <w:unhideWhenUsed/>
    <w:rsid w:val="0026112A"/>
    <w:pPr>
      <w:keepNext/>
      <w:numPr>
        <w:ilvl w:val="5"/>
        <w:numId w:val="11"/>
      </w:numPr>
      <w:spacing w:before="20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rsid w:val="0026112A"/>
    <w:pPr>
      <w:keepNext/>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26112A"/>
    <w:pPr>
      <w:keepNext/>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26112A"/>
    <w:pPr>
      <w:keepNext/>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112A"/>
    <w:rPr>
      <w:rFonts w:asciiTheme="majorHAnsi" w:eastAsiaTheme="majorEastAsia" w:hAnsiTheme="majorHAnsi" w:cstheme="majorBidi"/>
      <w:b/>
      <w:bCs/>
      <w:color w:val="53565A" w:themeColor="text2"/>
      <w:spacing w:val="-1"/>
      <w:sz w:val="36"/>
      <w:szCs w:val="28"/>
      <w:lang w:eastAsia="en-AU"/>
    </w:rPr>
  </w:style>
  <w:style w:type="paragraph" w:customStyle="1" w:styleId="SectionHeading">
    <w:name w:val="Section Heading"/>
    <w:basedOn w:val="Normal"/>
    <w:next w:val="Normal"/>
    <w:uiPriority w:val="89"/>
    <w:rsid w:val="0026112A"/>
    <w:pPr>
      <w:keepNext/>
      <w:spacing w:before="0" w:after="1200"/>
      <w:outlineLvl w:val="0"/>
    </w:pPr>
    <w:rPr>
      <w:rFonts w:asciiTheme="majorHAnsi" w:eastAsiaTheme="majorEastAsia" w:hAnsiTheme="majorHAnsi" w:cstheme="majorBidi"/>
      <w:bCs/>
      <w:color w:val="53565A" w:themeColor="text2"/>
      <w:spacing w:val="-2"/>
      <w:sz w:val="40"/>
      <w:szCs w:val="28"/>
    </w:rPr>
  </w:style>
  <w:style w:type="character" w:customStyle="1" w:styleId="Heading3Char">
    <w:name w:val="Heading 3 Char"/>
    <w:basedOn w:val="DefaultParagraphFont"/>
    <w:link w:val="Heading3"/>
    <w:rsid w:val="0026112A"/>
    <w:rPr>
      <w:rFonts w:asciiTheme="majorHAnsi" w:eastAsiaTheme="majorEastAsia" w:hAnsiTheme="majorHAnsi" w:cstheme="majorBidi"/>
      <w:b/>
      <w:bCs/>
      <w:color w:val="53565A" w:themeColor="text2"/>
      <w:spacing w:val="2"/>
      <w:sz w:val="22"/>
      <w:szCs w:val="22"/>
      <w:lang w:eastAsia="en-AU"/>
    </w:rPr>
  </w:style>
  <w:style w:type="character" w:customStyle="1" w:styleId="Heading2Char">
    <w:name w:val="Heading 2 Char"/>
    <w:basedOn w:val="DefaultParagraphFont"/>
    <w:link w:val="Heading2"/>
    <w:rsid w:val="0026112A"/>
    <w:rPr>
      <w:rFonts w:asciiTheme="majorHAnsi" w:eastAsiaTheme="majorEastAsia" w:hAnsiTheme="majorHAnsi" w:cstheme="majorBidi"/>
      <w:b/>
      <w:bCs/>
      <w:color w:val="53565A" w:themeColor="text2"/>
      <w:spacing w:val="2"/>
      <w:sz w:val="28"/>
      <w:szCs w:val="26"/>
      <w:lang w:eastAsia="en-AU"/>
    </w:rPr>
  </w:style>
  <w:style w:type="character" w:customStyle="1" w:styleId="Heading4Char">
    <w:name w:val="Heading 4 Char"/>
    <w:basedOn w:val="DefaultParagraphFont"/>
    <w:link w:val="Heading4"/>
    <w:rsid w:val="0026112A"/>
    <w:rPr>
      <w:rFonts w:asciiTheme="majorHAnsi" w:eastAsiaTheme="majorEastAsia" w:hAnsiTheme="majorHAnsi" w:cstheme="majorBidi"/>
      <w:b/>
      <w:bCs/>
      <w:iCs/>
      <w:color w:val="53565A"/>
      <w:spacing w:val="2"/>
      <w:lang w:eastAsia="en-AU"/>
    </w:rPr>
  </w:style>
  <w:style w:type="paragraph" w:customStyle="1" w:styleId="Source">
    <w:name w:val="Source"/>
    <w:basedOn w:val="Normal"/>
    <w:next w:val="Note"/>
    <w:uiPriority w:val="51"/>
    <w:semiHidden/>
    <w:qFormat/>
    <w:rsid w:val="0026112A"/>
    <w:pPr>
      <w:spacing w:before="20" w:after="60"/>
    </w:pPr>
    <w:rPr>
      <w:rFonts w:asciiTheme="majorHAnsi" w:hAnsiTheme="majorHAnsi"/>
      <w:i/>
      <w:spacing w:val="-2"/>
      <w:sz w:val="14"/>
    </w:rPr>
  </w:style>
  <w:style w:type="paragraph" w:customStyle="1" w:styleId="Note">
    <w:name w:val="Note"/>
    <w:basedOn w:val="Normal"/>
    <w:link w:val="NoteChar"/>
    <w:uiPriority w:val="52"/>
    <w:semiHidden/>
    <w:qFormat/>
    <w:rsid w:val="0026112A"/>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qFormat/>
    <w:rsid w:val="0026112A"/>
    <w:pPr>
      <w:pBdr>
        <w:top w:val="single" w:sz="8" w:space="3" w:color="201547" w:themeColor="accent1"/>
        <w:left w:val="single" w:sz="8" w:space="5" w:color="201547" w:themeColor="accent1"/>
        <w:bottom w:val="single" w:sz="8" w:space="3" w:color="201547" w:themeColor="accent1"/>
        <w:right w:val="single" w:sz="8" w:space="5" w:color="201547" w:themeColor="accent1"/>
      </w:pBdr>
      <w:shd w:val="clear" w:color="auto" w:fill="CCE3F5" w:themeFill="accent6"/>
    </w:pPr>
  </w:style>
  <w:style w:type="table" w:styleId="TableGrid">
    <w:name w:val="Table Grid"/>
    <w:basedOn w:val="TableNormal"/>
    <w:uiPriority w:val="59"/>
    <w:rsid w:val="00C5045B"/>
    <w:pPr>
      <w:spacing w:before="20" w:after="20" w:line="240" w:lineRule="auto"/>
    </w:pPr>
    <w:rPr>
      <w:spacing w:val="2"/>
      <w:sz w:val="17"/>
      <w:szCs w:val="21"/>
    </w:rPr>
    <w:tblPr>
      <w:tblStyleColBandSize w:val="1"/>
      <w:tblBorders>
        <w:bottom w:val="single" w:sz="12" w:space="0" w:color="201547"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201547" w:themeFill="accent1"/>
        <w:vAlign w:val="bottom"/>
      </w:tcPr>
    </w:tblStylePr>
    <w:tblStylePr w:type="lastRow">
      <w:rPr>
        <w:b/>
      </w:rPr>
      <w:tblPr/>
      <w:tcPr>
        <w:tcBorders>
          <w:top w:val="single" w:sz="6" w:space="0" w:color="201547" w:themeColor="accent1"/>
          <w:left w:val="nil"/>
          <w:bottom w:val="single" w:sz="12" w:space="0" w:color="201547"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Shading-Accent1">
    <w:name w:val="Light Shading Accent 1"/>
    <w:basedOn w:val="TableNormal"/>
    <w:uiPriority w:val="60"/>
    <w:rsid w:val="0026112A"/>
    <w:pPr>
      <w:spacing w:after="100"/>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
    <w:name w:val="Light Shading"/>
    <w:basedOn w:val="TableNormal"/>
    <w:uiPriority w:val="60"/>
    <w:rsid w:val="0026112A"/>
    <w:pPr>
      <w:spacing w:before="0" w:after="0" w:line="240" w:lineRule="auto"/>
    </w:pPr>
    <w:rPr>
      <w:rFonts w:eastAsiaTheme="minorEastAsia"/>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6112A"/>
    <w:pPr>
      <w:spacing w:after="100"/>
    </w:pPr>
    <w:rPr>
      <w:color w:val="68637E" w:themeColor="accent4" w:themeShade="BF"/>
    </w:rPr>
    <w:tblPr>
      <w:tblStyleRowBandSize w:val="1"/>
      <w:tblStyleColBandSize w:val="1"/>
      <w:tblBorders>
        <w:top w:val="single" w:sz="8" w:space="0" w:color="8F8AA3" w:themeColor="accent4"/>
        <w:bottom w:val="single" w:sz="8" w:space="0" w:color="8F8AA3" w:themeColor="accent4"/>
      </w:tblBorders>
    </w:tblPr>
    <w:tblStylePr w:type="firstRow">
      <w:pPr>
        <w:spacing w:before="0" w:after="0" w:line="240" w:lineRule="auto"/>
      </w:pPr>
      <w:rPr>
        <w:b/>
        <w:bCs/>
      </w:rPr>
      <w:tblPr/>
      <w:tcPr>
        <w:tcBorders>
          <w:top w:val="single" w:sz="8" w:space="0" w:color="8F8AA3" w:themeColor="accent4"/>
          <w:left w:val="nil"/>
          <w:bottom w:val="single" w:sz="8" w:space="0" w:color="8F8AA3" w:themeColor="accent4"/>
          <w:right w:val="nil"/>
          <w:insideH w:val="nil"/>
          <w:insideV w:val="nil"/>
        </w:tcBorders>
      </w:tcPr>
    </w:tblStylePr>
    <w:tblStylePr w:type="lastRow">
      <w:pPr>
        <w:spacing w:before="0" w:after="0" w:line="240" w:lineRule="auto"/>
      </w:pPr>
      <w:rPr>
        <w:b/>
        <w:bCs/>
      </w:rPr>
      <w:tblPr/>
      <w:tcPr>
        <w:tcBorders>
          <w:top w:val="single" w:sz="8" w:space="0" w:color="8F8AA3" w:themeColor="accent4"/>
          <w:left w:val="nil"/>
          <w:bottom w:val="single" w:sz="8" w:space="0" w:color="8F8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8" w:themeFill="accent4" w:themeFillTint="3F"/>
      </w:tcPr>
    </w:tblStylePr>
    <w:tblStylePr w:type="band1Horz">
      <w:tblPr/>
      <w:tcPr>
        <w:tcBorders>
          <w:left w:val="nil"/>
          <w:right w:val="nil"/>
          <w:insideH w:val="nil"/>
          <w:insideV w:val="nil"/>
        </w:tcBorders>
        <w:shd w:val="clear" w:color="auto" w:fill="E3E2E8" w:themeFill="accent4" w:themeFillTint="3F"/>
      </w:tcPr>
    </w:tblStylePr>
  </w:style>
  <w:style w:type="paragraph" w:customStyle="1" w:styleId="DecimalAligned">
    <w:name w:val="Decimal Aligned"/>
    <w:basedOn w:val="Normal"/>
    <w:uiPriority w:val="40"/>
    <w:semiHidden/>
    <w:rsid w:val="0026112A"/>
    <w:pPr>
      <w:tabs>
        <w:tab w:val="decimal" w:pos="360"/>
      </w:tabs>
      <w:spacing w:after="200"/>
    </w:pPr>
    <w:rPr>
      <w:lang w:val="en-US" w:eastAsia="ja-JP"/>
    </w:rPr>
  </w:style>
  <w:style w:type="paragraph" w:styleId="FootnoteText">
    <w:name w:val="footnote text"/>
    <w:basedOn w:val="Normal"/>
    <w:link w:val="FootnoteTextChar"/>
    <w:uiPriority w:val="99"/>
    <w:semiHidden/>
    <w:rsid w:val="0026112A"/>
    <w:pPr>
      <w:spacing w:before="0" w:after="0" w:line="240" w:lineRule="auto"/>
    </w:pPr>
    <w:rPr>
      <w:sz w:val="17"/>
    </w:rPr>
  </w:style>
  <w:style w:type="character" w:customStyle="1" w:styleId="FootnoteTextChar">
    <w:name w:val="Footnote Text Char"/>
    <w:basedOn w:val="DefaultParagraphFont"/>
    <w:link w:val="FootnoteText"/>
    <w:uiPriority w:val="99"/>
    <w:semiHidden/>
    <w:rsid w:val="0026112A"/>
    <w:rPr>
      <w:rFonts w:eastAsiaTheme="minorEastAsia"/>
      <w:spacing w:val="2"/>
      <w:sz w:val="17"/>
      <w:lang w:eastAsia="en-AU"/>
    </w:rPr>
  </w:style>
  <w:style w:type="character" w:styleId="SubtleEmphasis">
    <w:name w:val="Subtle Emphasis"/>
    <w:basedOn w:val="DefaultParagraphFont"/>
    <w:uiPriority w:val="98"/>
    <w:semiHidden/>
    <w:rsid w:val="0026112A"/>
    <w:rPr>
      <w:i/>
      <w:iCs/>
      <w:color w:val="7F7F7F" w:themeColor="text1" w:themeTint="80"/>
    </w:rPr>
  </w:style>
  <w:style w:type="table" w:styleId="MediumShading2-Accent5">
    <w:name w:val="Medium Shading 2 Accent 5"/>
    <w:basedOn w:val="TableNormal"/>
    <w:uiPriority w:val="64"/>
    <w:rsid w:val="0026112A"/>
    <w:pPr>
      <w:spacing w:after="100"/>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B8DC"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B8DC" w:themeFill="accent5"/>
      </w:tcPr>
    </w:tblStylePr>
    <w:tblStylePr w:type="lastCol">
      <w:rPr>
        <w:b/>
        <w:bCs/>
        <w:color w:val="FFFFFF" w:themeColor="background1"/>
      </w:rPr>
      <w:tblPr/>
      <w:tcPr>
        <w:tcBorders>
          <w:left w:val="nil"/>
          <w:right w:val="nil"/>
          <w:insideH w:val="nil"/>
          <w:insideV w:val="nil"/>
        </w:tcBorders>
        <w:shd w:val="clear" w:color="auto" w:fill="99B8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rsid w:val="00261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12A"/>
    <w:rPr>
      <w:rFonts w:eastAsiaTheme="minorEastAsia"/>
      <w:spacing w:val="2"/>
      <w:lang w:eastAsia="en-AU"/>
    </w:rPr>
  </w:style>
  <w:style w:type="numbering" w:styleId="111111">
    <w:name w:val="Outline List 2"/>
    <w:basedOn w:val="NoList"/>
    <w:uiPriority w:val="99"/>
    <w:semiHidden/>
    <w:unhideWhenUsed/>
    <w:rsid w:val="0026112A"/>
    <w:pPr>
      <w:numPr>
        <w:numId w:val="6"/>
      </w:numPr>
    </w:pPr>
  </w:style>
  <w:style w:type="character" w:customStyle="1" w:styleId="FooteroddChar">
    <w:name w:val="Footer (odd) Char"/>
    <w:basedOn w:val="DefaultParagraphFont"/>
    <w:link w:val="Footerodd"/>
    <w:uiPriority w:val="84"/>
    <w:rsid w:val="0026112A"/>
    <w:rPr>
      <w:rFonts w:asciiTheme="majorHAnsi" w:eastAsiaTheme="minorEastAsia" w:hAnsiTheme="majorHAnsi"/>
      <w:noProof/>
      <w:spacing w:val="2"/>
      <w:sz w:val="18"/>
      <w:szCs w:val="18"/>
      <w:lang w:eastAsia="en-AU"/>
    </w:rPr>
  </w:style>
  <w:style w:type="paragraph" w:customStyle="1" w:styleId="Footerodd">
    <w:name w:val="Footer (odd)"/>
    <w:basedOn w:val="Footer"/>
    <w:link w:val="FooteroddChar"/>
    <w:uiPriority w:val="84"/>
    <w:rsid w:val="0026112A"/>
    <w:pPr>
      <w:tabs>
        <w:tab w:val="clear" w:pos="9026"/>
        <w:tab w:val="right" w:pos="9084"/>
      </w:tabs>
    </w:pPr>
    <w:rPr>
      <w:rFonts w:asciiTheme="majorHAnsi" w:hAnsiTheme="majorHAnsi"/>
    </w:rPr>
  </w:style>
  <w:style w:type="paragraph" w:customStyle="1" w:styleId="NoteDash">
    <w:name w:val="Note Dash"/>
    <w:basedOn w:val="Note"/>
    <w:next w:val="Note"/>
    <w:uiPriority w:val="53"/>
    <w:semiHidden/>
    <w:rsid w:val="0026112A"/>
    <w:pPr>
      <w:numPr>
        <w:numId w:val="16"/>
      </w:numPr>
    </w:pPr>
  </w:style>
  <w:style w:type="character" w:customStyle="1" w:styleId="NoteChar">
    <w:name w:val="Note Char"/>
    <w:basedOn w:val="DefaultParagraphFont"/>
    <w:link w:val="Note"/>
    <w:uiPriority w:val="52"/>
    <w:semiHidden/>
    <w:rsid w:val="0026112A"/>
    <w:rPr>
      <w:rFonts w:asciiTheme="majorHAnsi" w:eastAsiaTheme="minorEastAsia" w:hAnsiTheme="majorHAnsi"/>
      <w:i/>
      <w:spacing w:val="-2"/>
      <w:sz w:val="14"/>
      <w:lang w:eastAsia="en-AU"/>
    </w:rPr>
  </w:style>
  <w:style w:type="paragraph" w:styleId="TOC1">
    <w:name w:val="toc 1"/>
    <w:basedOn w:val="Normal"/>
    <w:next w:val="Normal"/>
    <w:uiPriority w:val="39"/>
    <w:rsid w:val="00846FFA"/>
    <w:pPr>
      <w:tabs>
        <w:tab w:val="left" w:pos="432"/>
        <w:tab w:val="right" w:pos="8496"/>
      </w:tabs>
      <w:ind w:right="432"/>
    </w:pPr>
    <w:rPr>
      <w:b/>
      <w:noProof/>
      <w:sz w:val="22"/>
      <w:szCs w:val="24"/>
    </w:rPr>
  </w:style>
  <w:style w:type="paragraph" w:styleId="ListNumber2">
    <w:name w:val="List Number 2"/>
    <w:basedOn w:val="ListNumber"/>
    <w:uiPriority w:val="19"/>
    <w:rsid w:val="00D451B9"/>
    <w:pPr>
      <w:numPr>
        <w:ilvl w:val="1"/>
      </w:numPr>
    </w:pPr>
  </w:style>
  <w:style w:type="numbering" w:customStyle="1" w:styleId="Bullet">
    <w:name w:val="Bullet"/>
    <w:uiPriority w:val="99"/>
    <w:rsid w:val="0026112A"/>
    <w:pPr>
      <w:numPr>
        <w:numId w:val="9"/>
      </w:numPr>
    </w:pPr>
  </w:style>
  <w:style w:type="paragraph" w:styleId="ListParagraph">
    <w:name w:val="List Paragraph"/>
    <w:basedOn w:val="Normal"/>
    <w:uiPriority w:val="34"/>
    <w:qFormat/>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rsid w:val="0026112A"/>
    <w:rPr>
      <w:rFonts w:asciiTheme="majorHAnsi" w:eastAsiaTheme="majorEastAsia" w:hAnsiTheme="majorHAnsi" w:cstheme="majorBidi"/>
      <w:bCs/>
      <w:i/>
      <w:iCs/>
      <w:color w:val="53565A"/>
      <w:spacing w:val="2"/>
      <w:lang w:eastAsia="en-AU"/>
    </w:rPr>
  </w:style>
  <w:style w:type="paragraph" w:styleId="ListBullet">
    <w:name w:val="List Bullet"/>
    <w:basedOn w:val="Normal"/>
    <w:uiPriority w:val="19"/>
    <w:qFormat/>
    <w:rsid w:val="00CE5CF8"/>
    <w:pPr>
      <w:spacing w:before="60"/>
    </w:pPr>
  </w:style>
  <w:style w:type="paragraph" w:styleId="List">
    <w:name w:val="List"/>
    <w:basedOn w:val="Normal"/>
    <w:uiPriority w:val="29"/>
    <w:rsid w:val="0026112A"/>
    <w:pPr>
      <w:tabs>
        <w:tab w:val="left" w:pos="284"/>
        <w:tab w:val="left" w:pos="567"/>
        <w:tab w:val="left" w:pos="851"/>
      </w:tabs>
    </w:pPr>
  </w:style>
  <w:style w:type="paragraph" w:styleId="ListContinue">
    <w:name w:val="List Continue"/>
    <w:basedOn w:val="Normal"/>
    <w:uiPriority w:val="24"/>
    <w:qFormat/>
    <w:rsid w:val="006C00EB"/>
    <w:pPr>
      <w:spacing w:before="60"/>
      <w:ind w:left="284"/>
    </w:pPr>
  </w:style>
  <w:style w:type="paragraph" w:styleId="ListContinue2">
    <w:name w:val="List Continue 2"/>
    <w:basedOn w:val="Normal"/>
    <w:uiPriority w:val="24"/>
    <w:rsid w:val="006C00EB"/>
    <w:pPr>
      <w:spacing w:before="60"/>
      <w:ind w:left="567"/>
    </w:pPr>
  </w:style>
  <w:style w:type="paragraph" w:styleId="ListNumber">
    <w:name w:val="List Number"/>
    <w:basedOn w:val="Normal"/>
    <w:uiPriority w:val="19"/>
    <w:qFormat/>
    <w:rsid w:val="00CE5CF8"/>
    <w:pPr>
      <w:spacing w:before="60"/>
    </w:pPr>
  </w:style>
  <w:style w:type="paragraph" w:styleId="Footer">
    <w:name w:val="footer"/>
    <w:basedOn w:val="Normal"/>
    <w:link w:val="FooterChar"/>
    <w:uiPriority w:val="24"/>
    <w:rsid w:val="0026112A"/>
    <w:pPr>
      <w:tabs>
        <w:tab w:val="right" w:pos="9026"/>
      </w:tabs>
      <w:spacing w:before="0" w:after="0" w:line="240" w:lineRule="auto"/>
    </w:pPr>
    <w:rPr>
      <w:noProof/>
      <w:sz w:val="18"/>
      <w:szCs w:val="18"/>
    </w:rPr>
  </w:style>
  <w:style w:type="paragraph" w:styleId="TOC2">
    <w:name w:val="toc 2"/>
    <w:next w:val="Normal"/>
    <w:uiPriority w:val="39"/>
    <w:rsid w:val="0026112A"/>
    <w:pPr>
      <w:tabs>
        <w:tab w:val="left" w:pos="1080"/>
        <w:tab w:val="right" w:leader="dot" w:pos="8496"/>
      </w:tabs>
      <w:spacing w:before="0" w:after="100" w:line="276" w:lineRule="auto"/>
      <w:ind w:left="446" w:right="432"/>
      <w:contextualSpacing/>
    </w:pPr>
    <w:rPr>
      <w:rFonts w:eastAsiaTheme="minorEastAsia"/>
      <w:noProof/>
      <w:spacing w:val="2"/>
      <w:lang w:eastAsia="en-AU"/>
    </w:rPr>
  </w:style>
  <w:style w:type="character" w:styleId="PageNumber">
    <w:name w:val="page number"/>
    <w:uiPriority w:val="49"/>
    <w:semiHidden/>
    <w:rsid w:val="0026112A"/>
    <w:rPr>
      <w:rFonts w:asciiTheme="minorHAnsi" w:hAnsiTheme="minorHAnsi"/>
      <w:b w:val="0"/>
      <w:color w:val="000000" w:themeColor="text1"/>
    </w:rPr>
  </w:style>
  <w:style w:type="paragraph" w:styleId="TOC3">
    <w:name w:val="toc 3"/>
    <w:basedOn w:val="Normal"/>
    <w:next w:val="Normal"/>
    <w:uiPriority w:val="39"/>
    <w:rsid w:val="0026112A"/>
    <w:pPr>
      <w:tabs>
        <w:tab w:val="right" w:leader="dot" w:pos="9000"/>
      </w:tabs>
      <w:spacing w:before="0"/>
      <w:ind w:left="1080" w:right="432"/>
      <w:contextualSpacing/>
    </w:pPr>
    <w:rPr>
      <w:noProof/>
      <w:sz w:val="18"/>
      <w:szCs w:val="18"/>
    </w:rPr>
  </w:style>
  <w:style w:type="paragraph" w:styleId="TOC4">
    <w:name w:val="toc 4"/>
    <w:basedOn w:val="TOC1"/>
    <w:next w:val="Normal"/>
    <w:uiPriority w:val="39"/>
    <w:rsid w:val="0026112A"/>
    <w:pPr>
      <w:ind w:left="450" w:hanging="450"/>
    </w:pPr>
    <w:rPr>
      <w:lang w:eastAsia="en-US"/>
    </w:rPr>
  </w:style>
  <w:style w:type="character" w:styleId="Hyperlink">
    <w:name w:val="Hyperlink"/>
    <w:basedOn w:val="DefaultParagraphFont"/>
    <w:uiPriority w:val="99"/>
    <w:rsid w:val="0026112A"/>
    <w:rPr>
      <w:color w:val="004EA8" w:themeColor="accent2"/>
      <w:u w:val="none"/>
    </w:rPr>
  </w:style>
  <w:style w:type="paragraph" w:styleId="BalloonText">
    <w:name w:val="Balloon Text"/>
    <w:basedOn w:val="Normal"/>
    <w:link w:val="BalloonTextChar"/>
    <w:uiPriority w:val="99"/>
    <w:semiHidden/>
    <w:unhideWhenUsed/>
    <w:rsid w:val="0026112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12A"/>
    <w:rPr>
      <w:rFonts w:ascii="Segoe UI" w:eastAsiaTheme="minorEastAsia" w:hAnsi="Segoe UI" w:cs="Segoe UI"/>
      <w:spacing w:val="2"/>
      <w:sz w:val="18"/>
      <w:szCs w:val="18"/>
      <w:lang w:eastAsia="en-AU"/>
    </w:rPr>
  </w:style>
  <w:style w:type="paragraph" w:customStyle="1" w:styleId="HighlightBoxHeading">
    <w:name w:val="Highlight Box Heading"/>
    <w:basedOn w:val="HighlightBoxText"/>
    <w:next w:val="HighlightBoxText"/>
    <w:uiPriority w:val="59"/>
    <w:qFormat/>
    <w:rsid w:val="0026112A"/>
    <w:pPr>
      <w:keepNext/>
    </w:pPr>
    <w:rPr>
      <w:rFonts w:asciiTheme="majorHAnsi" w:hAnsiTheme="majorHAnsi"/>
      <w:b/>
    </w:rPr>
  </w:style>
  <w:style w:type="paragraph" w:customStyle="1" w:styleId="HighlightBoxBullet">
    <w:name w:val="Highlight Box Bullet"/>
    <w:basedOn w:val="Normal"/>
    <w:uiPriority w:val="61"/>
    <w:qFormat/>
    <w:rsid w:val="0026112A"/>
    <w:pPr>
      <w:numPr>
        <w:numId w:val="12"/>
      </w:numPr>
      <w:pBdr>
        <w:top w:val="single" w:sz="8" w:space="3" w:color="201547" w:themeColor="accent1"/>
        <w:left w:val="single" w:sz="8" w:space="5" w:color="201547" w:themeColor="accent1"/>
        <w:bottom w:val="single" w:sz="8" w:space="3" w:color="201547" w:themeColor="accent1"/>
        <w:right w:val="single" w:sz="8" w:space="5" w:color="201547" w:themeColor="accent1"/>
      </w:pBdr>
      <w:shd w:val="clear" w:color="auto" w:fill="CCE3F5" w:themeFill="accent6"/>
      <w:spacing w:before="60"/>
    </w:pPr>
  </w:style>
  <w:style w:type="character" w:customStyle="1" w:styleId="Heading6Char">
    <w:name w:val="Heading 6 Char"/>
    <w:basedOn w:val="DefaultParagraphFont"/>
    <w:link w:val="Heading6"/>
    <w:uiPriority w:val="9"/>
    <w:semiHidden/>
    <w:rsid w:val="0026112A"/>
    <w:rPr>
      <w:rFonts w:asciiTheme="majorHAnsi" w:eastAsiaTheme="majorEastAsia" w:hAnsiTheme="majorHAnsi" w:cstheme="majorBidi"/>
      <w:i/>
      <w:iCs/>
      <w:color w:val="0F0A23" w:themeColor="accent1" w:themeShade="7F"/>
      <w:spacing w:val="2"/>
      <w:lang w:eastAsia="en-AU"/>
    </w:rPr>
  </w:style>
  <w:style w:type="character" w:customStyle="1" w:styleId="Heading7Char">
    <w:name w:val="Heading 7 Char"/>
    <w:basedOn w:val="DefaultParagraphFont"/>
    <w:link w:val="Heading7"/>
    <w:uiPriority w:val="9"/>
    <w:semiHidden/>
    <w:rsid w:val="0026112A"/>
    <w:rPr>
      <w:rFonts w:asciiTheme="majorHAnsi" w:eastAsiaTheme="majorEastAsia" w:hAnsiTheme="majorHAnsi" w:cstheme="majorBidi"/>
      <w:i/>
      <w:iCs/>
      <w:color w:val="404040" w:themeColor="text1" w:themeTint="BF"/>
      <w:spacing w:val="2"/>
      <w:lang w:eastAsia="en-AU"/>
    </w:rPr>
  </w:style>
  <w:style w:type="character" w:customStyle="1" w:styleId="Heading8Char">
    <w:name w:val="Heading 8 Char"/>
    <w:basedOn w:val="DefaultParagraphFont"/>
    <w:link w:val="Heading8"/>
    <w:uiPriority w:val="9"/>
    <w:semiHidden/>
    <w:rsid w:val="0026112A"/>
    <w:rPr>
      <w:rFonts w:asciiTheme="majorHAnsi" w:eastAsiaTheme="majorEastAsia" w:hAnsiTheme="majorHAnsi" w:cstheme="majorBidi"/>
      <w:color w:val="404040" w:themeColor="text1" w:themeTint="BF"/>
      <w:spacing w:val="2"/>
      <w:lang w:eastAsia="en-AU"/>
    </w:rPr>
  </w:style>
  <w:style w:type="character" w:customStyle="1" w:styleId="Heading9Char">
    <w:name w:val="Heading 9 Char"/>
    <w:basedOn w:val="DefaultParagraphFont"/>
    <w:link w:val="Heading9"/>
    <w:uiPriority w:val="9"/>
    <w:semiHidden/>
    <w:rsid w:val="0026112A"/>
    <w:rPr>
      <w:rFonts w:asciiTheme="majorHAnsi" w:eastAsiaTheme="majorEastAsia" w:hAnsiTheme="majorHAnsi" w:cstheme="majorBidi"/>
      <w:i/>
      <w:iCs/>
      <w:color w:val="404040" w:themeColor="text1" w:themeTint="BF"/>
      <w:spacing w:val="2"/>
      <w:lang w:eastAsia="en-AU"/>
    </w:rPr>
  </w:style>
  <w:style w:type="paragraph" w:customStyle="1" w:styleId="TableHeading">
    <w:name w:val="Table Heading"/>
    <w:basedOn w:val="Normal"/>
    <w:next w:val="Normal"/>
    <w:uiPriority w:val="49"/>
    <w:semiHidden/>
    <w:qFormat/>
    <w:rsid w:val="0026112A"/>
    <w:pPr>
      <w:keepNext/>
      <w:tabs>
        <w:tab w:val="left" w:pos="1134"/>
        <w:tab w:val="right" w:pos="9639"/>
        <w:tab w:val="right" w:pos="14742"/>
      </w:tabs>
      <w:spacing w:before="240" w:after="120"/>
      <w:ind w:left="1134" w:hanging="1134"/>
    </w:pPr>
    <w:rPr>
      <w:rFonts w:asciiTheme="majorHAnsi" w:hAnsiTheme="majorHAnsi"/>
      <w:b/>
    </w:rPr>
  </w:style>
  <w:style w:type="table" w:styleId="LightShading-Accent2">
    <w:name w:val="Light Shading Accent 2"/>
    <w:basedOn w:val="TableNormal"/>
    <w:uiPriority w:val="60"/>
    <w:rsid w:val="0026112A"/>
    <w:pPr>
      <w:spacing w:after="100"/>
    </w:pPr>
    <w:rPr>
      <w:color w:val="003A7D" w:themeColor="accent2" w:themeShade="BF"/>
    </w:rPr>
    <w:tblPr>
      <w:tblStyleRowBandSize w:val="1"/>
      <w:tblStyleColBandSize w:val="1"/>
      <w:tblBorders>
        <w:top w:val="single" w:sz="8" w:space="0" w:color="004EA8" w:themeColor="accent2"/>
        <w:bottom w:val="single" w:sz="8" w:space="0" w:color="004EA8" w:themeColor="accent2"/>
      </w:tblBorders>
    </w:tblPr>
    <w:tblStylePr w:type="firstRow">
      <w:pPr>
        <w:spacing w:before="0" w:after="0" w:line="240" w:lineRule="auto"/>
      </w:pPr>
      <w:rPr>
        <w:b/>
        <w:bCs/>
      </w:rPr>
      <w:tblPr/>
      <w:tcPr>
        <w:tcBorders>
          <w:top w:val="single" w:sz="8" w:space="0" w:color="004EA8" w:themeColor="accent2"/>
          <w:left w:val="nil"/>
          <w:bottom w:val="single" w:sz="8" w:space="0" w:color="004EA8" w:themeColor="accent2"/>
          <w:right w:val="nil"/>
          <w:insideH w:val="nil"/>
          <w:insideV w:val="nil"/>
        </w:tcBorders>
      </w:tcPr>
    </w:tblStylePr>
    <w:tblStylePr w:type="lastRow">
      <w:pPr>
        <w:spacing w:before="0" w:after="0" w:line="240" w:lineRule="auto"/>
      </w:pPr>
      <w:rPr>
        <w:b/>
        <w:bCs/>
      </w:rPr>
      <w:tblPr/>
      <w:tcPr>
        <w:tcBorders>
          <w:top w:val="single" w:sz="8" w:space="0" w:color="004EA8" w:themeColor="accent2"/>
          <w:left w:val="nil"/>
          <w:bottom w:val="single" w:sz="8" w:space="0" w:color="004E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2" w:themeFillTint="3F"/>
      </w:tcPr>
    </w:tblStylePr>
    <w:tblStylePr w:type="band1Horz">
      <w:tblPr/>
      <w:tcPr>
        <w:tcBorders>
          <w:left w:val="nil"/>
          <w:right w:val="nil"/>
          <w:insideH w:val="nil"/>
          <w:insideV w:val="nil"/>
        </w:tcBorders>
        <w:shd w:val="clear" w:color="auto" w:fill="AAD1FF" w:themeFill="accent2" w:themeFillTint="3F"/>
      </w:tcPr>
    </w:tblStylePr>
  </w:style>
  <w:style w:type="paragraph" w:styleId="ListBullet3">
    <w:name w:val="List Bullet 3"/>
    <w:basedOn w:val="ListBullet2"/>
    <w:uiPriority w:val="19"/>
    <w:unhideWhenUsed/>
    <w:rsid w:val="00D451B9"/>
    <w:pPr>
      <w:numPr>
        <w:ilvl w:val="2"/>
      </w:numPr>
    </w:pPr>
  </w:style>
  <w:style w:type="numbering" w:customStyle="1" w:styleId="Number">
    <w:name w:val="Number"/>
    <w:uiPriority w:val="99"/>
    <w:rsid w:val="0026112A"/>
    <w:pPr>
      <w:numPr>
        <w:numId w:val="19"/>
      </w:numPr>
    </w:pPr>
  </w:style>
  <w:style w:type="table" w:styleId="LightList">
    <w:name w:val="Light List"/>
    <w:basedOn w:val="TableNormal"/>
    <w:uiPriority w:val="61"/>
    <w:rsid w:val="0026112A"/>
    <w:pPr>
      <w:spacing w:after="10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autoRedefine/>
    <w:uiPriority w:val="91"/>
    <w:rsid w:val="00B56C73"/>
    <w:pPr>
      <w:tabs>
        <w:tab w:val="left" w:pos="567"/>
        <w:tab w:val="right" w:leader="dot" w:pos="3629"/>
      </w:tabs>
      <w:ind w:left="567" w:right="340" w:hanging="567"/>
    </w:pPr>
    <w:rPr>
      <w:spacing w:val="-2"/>
    </w:rPr>
  </w:style>
  <w:style w:type="paragraph" w:customStyle="1" w:styleId="Footereven">
    <w:name w:val="Footer (even)"/>
    <w:basedOn w:val="Footerodd"/>
    <w:link w:val="FooterevenChar"/>
    <w:uiPriority w:val="84"/>
    <w:rsid w:val="0026112A"/>
  </w:style>
  <w:style w:type="table" w:customStyle="1" w:styleId="DTFTable">
    <w:name w:val="DTF Table"/>
    <w:basedOn w:val="TableNormal"/>
    <w:uiPriority w:val="99"/>
    <w:rsid w:val="0026112A"/>
    <w:pPr>
      <w:spacing w:before="20" w:after="20"/>
      <w:jc w:val="right"/>
    </w:pPr>
    <w:rPr>
      <w:rFonts w:asciiTheme="majorHAnsi"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201547" w:themeColor="accent1"/>
          <w:right w:val="nil"/>
          <w:insideH w:val="nil"/>
          <w:insideV w:val="nil"/>
          <w:tl2br w:val="nil"/>
          <w:tr2bl w:val="nil"/>
        </w:tcBorders>
      </w:tcPr>
    </w:tblStylePr>
    <w:tblStylePr w:type="band2Horz">
      <w:tblPr/>
      <w:tcPr>
        <w:shd w:val="clear" w:color="auto" w:fill="FFFFFF" w:themeFill="background1"/>
      </w:tcPr>
    </w:tblStylePr>
  </w:style>
  <w:style w:type="paragraph" w:styleId="ListNumber3">
    <w:name w:val="List Number 3"/>
    <w:basedOn w:val="Normal"/>
    <w:uiPriority w:val="19"/>
    <w:unhideWhenUsed/>
    <w:rsid w:val="002C3386"/>
    <w:pPr>
      <w:spacing w:before="60"/>
    </w:pPr>
  </w:style>
  <w:style w:type="paragraph" w:styleId="ListNumber4">
    <w:name w:val="List Number 4"/>
    <w:basedOn w:val="Normal"/>
    <w:uiPriority w:val="19"/>
    <w:semiHidden/>
    <w:unhideWhenUsed/>
    <w:rsid w:val="0026112A"/>
    <w:pPr>
      <w:numPr>
        <w:ilvl w:val="3"/>
        <w:numId w:val="19"/>
      </w:numPr>
      <w:contextualSpacing/>
    </w:pPr>
  </w:style>
  <w:style w:type="paragraph" w:styleId="ListNumber5">
    <w:name w:val="List Number 5"/>
    <w:basedOn w:val="Normal"/>
    <w:uiPriority w:val="19"/>
    <w:semiHidden/>
    <w:unhideWhenUsed/>
    <w:rsid w:val="0026112A"/>
    <w:pPr>
      <w:numPr>
        <w:ilvl w:val="4"/>
        <w:numId w:val="19"/>
      </w:numPr>
      <w:contextualSpacing/>
    </w:pPr>
  </w:style>
  <w:style w:type="paragraph" w:styleId="ListContinue3">
    <w:name w:val="List Continue 3"/>
    <w:basedOn w:val="Normal"/>
    <w:uiPriority w:val="24"/>
    <w:semiHidden/>
    <w:unhideWhenUsed/>
    <w:rsid w:val="0026112A"/>
    <w:pPr>
      <w:spacing w:before="60"/>
      <w:ind w:left="1191"/>
    </w:pPr>
  </w:style>
  <w:style w:type="numbering" w:customStyle="1" w:styleId="NumberedHeadings">
    <w:name w:val="Numbered Headings"/>
    <w:uiPriority w:val="99"/>
    <w:rsid w:val="0026112A"/>
    <w:pPr>
      <w:numPr>
        <w:numId w:val="20"/>
      </w:numPr>
    </w:pPr>
  </w:style>
  <w:style w:type="paragraph" w:styleId="ListBullet4">
    <w:name w:val="List Bullet 4"/>
    <w:basedOn w:val="Normal"/>
    <w:uiPriority w:val="19"/>
    <w:semiHidden/>
    <w:unhideWhenUsed/>
    <w:rsid w:val="0026112A"/>
    <w:pPr>
      <w:numPr>
        <w:numId w:val="14"/>
      </w:numPr>
      <w:contextualSpacing/>
    </w:pPr>
  </w:style>
  <w:style w:type="paragraph" w:styleId="ListBullet5">
    <w:name w:val="List Bullet 5"/>
    <w:basedOn w:val="Normal"/>
    <w:uiPriority w:val="19"/>
    <w:semiHidden/>
    <w:unhideWhenUsed/>
    <w:rsid w:val="0026112A"/>
    <w:pPr>
      <w:numPr>
        <w:numId w:val="15"/>
      </w:numPr>
      <w:contextualSpacing/>
    </w:pPr>
  </w:style>
  <w:style w:type="paragraph" w:styleId="ListContinue4">
    <w:name w:val="List Continue 4"/>
    <w:basedOn w:val="Normal"/>
    <w:uiPriority w:val="24"/>
    <w:semiHidden/>
    <w:unhideWhenUsed/>
    <w:rsid w:val="0026112A"/>
    <w:pPr>
      <w:spacing w:after="120"/>
      <w:ind w:left="1132"/>
      <w:contextualSpacing/>
    </w:pPr>
  </w:style>
  <w:style w:type="paragraph" w:styleId="ListContinue5">
    <w:name w:val="List Continue 5"/>
    <w:basedOn w:val="Normal"/>
    <w:uiPriority w:val="24"/>
    <w:semiHidden/>
    <w:unhideWhenUsed/>
    <w:rsid w:val="0026112A"/>
    <w:pPr>
      <w:spacing w:after="120"/>
      <w:ind w:left="1415"/>
      <w:contextualSpacing/>
    </w:pPr>
  </w:style>
  <w:style w:type="character" w:customStyle="1" w:styleId="FooterChar">
    <w:name w:val="Footer Char"/>
    <w:basedOn w:val="DefaultParagraphFont"/>
    <w:link w:val="Footer"/>
    <w:uiPriority w:val="24"/>
    <w:rsid w:val="0026112A"/>
    <w:rPr>
      <w:rFonts w:eastAsiaTheme="minorEastAsia"/>
      <w:noProof/>
      <w:spacing w:val="2"/>
      <w:sz w:val="18"/>
      <w:szCs w:val="18"/>
      <w:lang w:eastAsia="en-AU"/>
    </w:rPr>
  </w:style>
  <w:style w:type="paragraph" w:styleId="TOC7">
    <w:name w:val="toc 7"/>
    <w:basedOn w:val="Normal"/>
    <w:next w:val="Normal"/>
    <w:autoRedefine/>
    <w:uiPriority w:val="96"/>
    <w:semiHidden/>
    <w:rsid w:val="0026112A"/>
    <w:pPr>
      <w:ind w:left="1320"/>
    </w:pPr>
  </w:style>
  <w:style w:type="numbering" w:styleId="1ai">
    <w:name w:val="Outline List 1"/>
    <w:basedOn w:val="NoList"/>
    <w:uiPriority w:val="99"/>
    <w:semiHidden/>
    <w:unhideWhenUsed/>
    <w:rsid w:val="0026112A"/>
    <w:pPr>
      <w:numPr>
        <w:numId w:val="7"/>
      </w:numPr>
    </w:pPr>
  </w:style>
  <w:style w:type="numbering" w:styleId="ArticleSection">
    <w:name w:val="Outline List 3"/>
    <w:basedOn w:val="NoList"/>
    <w:uiPriority w:val="99"/>
    <w:semiHidden/>
    <w:unhideWhenUsed/>
    <w:rsid w:val="0026112A"/>
    <w:pPr>
      <w:numPr>
        <w:numId w:val="8"/>
      </w:numPr>
    </w:pPr>
  </w:style>
  <w:style w:type="paragraph" w:styleId="Bibliography">
    <w:name w:val="Bibliography"/>
    <w:basedOn w:val="Normal"/>
    <w:next w:val="Normal"/>
    <w:uiPriority w:val="37"/>
    <w:semiHidden/>
    <w:unhideWhenUsed/>
    <w:rsid w:val="0026112A"/>
  </w:style>
  <w:style w:type="paragraph" w:styleId="BlockText">
    <w:name w:val="Block Text"/>
    <w:basedOn w:val="Normal"/>
    <w:uiPriority w:val="99"/>
    <w:semiHidden/>
    <w:unhideWhenUsed/>
    <w:rsid w:val="0026112A"/>
    <w:pPr>
      <w:pBdr>
        <w:top w:val="single" w:sz="2" w:space="10" w:color="201547" w:themeColor="accent1" w:shadow="1"/>
        <w:left w:val="single" w:sz="2" w:space="10" w:color="201547" w:themeColor="accent1" w:shadow="1"/>
        <w:bottom w:val="single" w:sz="2" w:space="10" w:color="201547" w:themeColor="accent1" w:shadow="1"/>
        <w:right w:val="single" w:sz="2" w:space="10" w:color="201547" w:themeColor="accent1" w:shadow="1"/>
      </w:pBdr>
      <w:ind w:left="1152" w:right="1152"/>
    </w:pPr>
    <w:rPr>
      <w:i/>
      <w:iCs/>
      <w:color w:val="201547" w:themeColor="accent1"/>
    </w:rPr>
  </w:style>
  <w:style w:type="paragraph" w:styleId="BodyText">
    <w:name w:val="Body Text"/>
    <w:basedOn w:val="Normal"/>
    <w:link w:val="BodyTextChar"/>
    <w:uiPriority w:val="49"/>
    <w:semiHidden/>
    <w:rsid w:val="0026112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26112A"/>
    <w:rPr>
      <w:rFonts w:ascii="Calibri" w:eastAsia="Times New Roman" w:hAnsi="Calibri" w:cs="Calibri"/>
      <w:sz w:val="22"/>
      <w:szCs w:val="22"/>
      <w:lang w:eastAsia="en-AU"/>
    </w:rPr>
  </w:style>
  <w:style w:type="paragraph" w:styleId="BodyText2">
    <w:name w:val="Body Text 2"/>
    <w:basedOn w:val="Normal"/>
    <w:link w:val="BodyText2Char"/>
    <w:uiPriority w:val="99"/>
    <w:semiHidden/>
    <w:unhideWhenUsed/>
    <w:rsid w:val="0026112A"/>
    <w:pPr>
      <w:spacing w:after="120" w:line="480" w:lineRule="auto"/>
    </w:pPr>
  </w:style>
  <w:style w:type="character" w:customStyle="1" w:styleId="BodyText2Char">
    <w:name w:val="Body Text 2 Char"/>
    <w:basedOn w:val="DefaultParagraphFont"/>
    <w:link w:val="BodyText2"/>
    <w:uiPriority w:val="99"/>
    <w:semiHidden/>
    <w:rsid w:val="0026112A"/>
    <w:rPr>
      <w:rFonts w:eastAsiaTheme="minorEastAsia"/>
      <w:spacing w:val="2"/>
      <w:lang w:eastAsia="en-AU"/>
    </w:rPr>
  </w:style>
  <w:style w:type="paragraph" w:styleId="BodyText3">
    <w:name w:val="Body Text 3"/>
    <w:basedOn w:val="Normal"/>
    <w:link w:val="BodyText3Char"/>
    <w:uiPriority w:val="99"/>
    <w:semiHidden/>
    <w:unhideWhenUsed/>
    <w:rsid w:val="0026112A"/>
    <w:pPr>
      <w:spacing w:after="120"/>
    </w:pPr>
    <w:rPr>
      <w:sz w:val="16"/>
      <w:szCs w:val="16"/>
    </w:rPr>
  </w:style>
  <w:style w:type="character" w:customStyle="1" w:styleId="BodyText3Char">
    <w:name w:val="Body Text 3 Char"/>
    <w:basedOn w:val="DefaultParagraphFont"/>
    <w:link w:val="BodyText3"/>
    <w:uiPriority w:val="99"/>
    <w:semiHidden/>
    <w:rsid w:val="0026112A"/>
    <w:rPr>
      <w:rFonts w:eastAsiaTheme="minorEastAsia"/>
      <w:spacing w:val="2"/>
      <w:sz w:val="16"/>
      <w:szCs w:val="16"/>
      <w:lang w:eastAsia="en-AU"/>
    </w:rPr>
  </w:style>
  <w:style w:type="paragraph" w:styleId="BodyTextFirstIndent">
    <w:name w:val="Body Text First Indent"/>
    <w:basedOn w:val="BodyText"/>
    <w:link w:val="BodyTextFirstIndentChar"/>
    <w:uiPriority w:val="99"/>
    <w:semiHidden/>
    <w:unhideWhenUsed/>
    <w:rsid w:val="0026112A"/>
    <w:pPr>
      <w:spacing w:after="0"/>
      <w:ind w:firstLine="360"/>
    </w:pPr>
  </w:style>
  <w:style w:type="character" w:customStyle="1" w:styleId="BodyTextFirstIndentChar">
    <w:name w:val="Body Text First Indent Char"/>
    <w:basedOn w:val="BodyTextChar"/>
    <w:link w:val="BodyTextFirstIndent"/>
    <w:uiPriority w:val="99"/>
    <w:semiHidden/>
    <w:rsid w:val="0026112A"/>
    <w:rPr>
      <w:rFonts w:ascii="Calibri" w:eastAsia="Times New Roman" w:hAnsi="Calibri" w:cs="Calibri"/>
      <w:sz w:val="22"/>
      <w:szCs w:val="22"/>
      <w:lang w:eastAsia="en-AU"/>
    </w:rPr>
  </w:style>
  <w:style w:type="paragraph" w:styleId="BodyTextIndent">
    <w:name w:val="Body Text Indent"/>
    <w:basedOn w:val="Normal"/>
    <w:link w:val="BodyTextIndentChar"/>
    <w:uiPriority w:val="99"/>
    <w:semiHidden/>
    <w:unhideWhenUsed/>
    <w:rsid w:val="0026112A"/>
    <w:pPr>
      <w:spacing w:after="120"/>
      <w:ind w:left="283"/>
    </w:pPr>
  </w:style>
  <w:style w:type="character" w:customStyle="1" w:styleId="BodyTextIndentChar">
    <w:name w:val="Body Text Indent Char"/>
    <w:basedOn w:val="DefaultParagraphFont"/>
    <w:link w:val="BodyTextIndent"/>
    <w:uiPriority w:val="99"/>
    <w:semiHidden/>
    <w:rsid w:val="0026112A"/>
    <w:rPr>
      <w:rFonts w:eastAsiaTheme="minorEastAsia"/>
      <w:spacing w:val="2"/>
      <w:lang w:eastAsia="en-AU"/>
    </w:rPr>
  </w:style>
  <w:style w:type="paragraph" w:styleId="BodyTextFirstIndent2">
    <w:name w:val="Body Text First Indent 2"/>
    <w:basedOn w:val="BodyTextIndent"/>
    <w:link w:val="BodyTextFirstIndent2Char"/>
    <w:uiPriority w:val="99"/>
    <w:semiHidden/>
    <w:unhideWhenUsed/>
    <w:rsid w:val="0026112A"/>
    <w:pPr>
      <w:spacing w:after="0"/>
      <w:ind w:left="360" w:firstLine="360"/>
    </w:pPr>
  </w:style>
  <w:style w:type="character" w:customStyle="1" w:styleId="BodyTextFirstIndent2Char">
    <w:name w:val="Body Text First Indent 2 Char"/>
    <w:basedOn w:val="BodyTextIndentChar"/>
    <w:link w:val="BodyTextFirstIndent2"/>
    <w:uiPriority w:val="99"/>
    <w:semiHidden/>
    <w:rsid w:val="0026112A"/>
    <w:rPr>
      <w:rFonts w:eastAsiaTheme="minorEastAsia"/>
      <w:spacing w:val="2"/>
      <w:lang w:eastAsia="en-AU"/>
    </w:rPr>
  </w:style>
  <w:style w:type="paragraph" w:styleId="BodyTextIndent2">
    <w:name w:val="Body Text Indent 2"/>
    <w:basedOn w:val="Normal"/>
    <w:link w:val="BodyTextIndent2Char"/>
    <w:uiPriority w:val="99"/>
    <w:semiHidden/>
    <w:unhideWhenUsed/>
    <w:rsid w:val="0026112A"/>
    <w:pPr>
      <w:spacing w:after="120" w:line="480" w:lineRule="auto"/>
      <w:ind w:left="283"/>
    </w:pPr>
  </w:style>
  <w:style w:type="character" w:customStyle="1" w:styleId="BodyTextIndent2Char">
    <w:name w:val="Body Text Indent 2 Char"/>
    <w:basedOn w:val="DefaultParagraphFont"/>
    <w:link w:val="BodyTextIndent2"/>
    <w:uiPriority w:val="99"/>
    <w:semiHidden/>
    <w:rsid w:val="0026112A"/>
    <w:rPr>
      <w:rFonts w:eastAsiaTheme="minorEastAsia"/>
      <w:spacing w:val="2"/>
      <w:lang w:eastAsia="en-AU"/>
    </w:rPr>
  </w:style>
  <w:style w:type="paragraph" w:styleId="BodyTextIndent3">
    <w:name w:val="Body Text Indent 3"/>
    <w:basedOn w:val="Normal"/>
    <w:link w:val="BodyTextIndent3Char"/>
    <w:uiPriority w:val="99"/>
    <w:semiHidden/>
    <w:unhideWhenUsed/>
    <w:rsid w:val="002611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112A"/>
    <w:rPr>
      <w:rFonts w:eastAsiaTheme="minorEastAsia"/>
      <w:spacing w:val="2"/>
      <w:sz w:val="16"/>
      <w:szCs w:val="16"/>
      <w:lang w:eastAsia="en-AU"/>
    </w:rPr>
  </w:style>
  <w:style w:type="character" w:styleId="BookTitle">
    <w:name w:val="Book Title"/>
    <w:basedOn w:val="DefaultParagraphFont"/>
    <w:uiPriority w:val="33"/>
    <w:semiHidden/>
    <w:rsid w:val="0026112A"/>
    <w:rPr>
      <w:b/>
      <w:bCs/>
      <w:smallCaps/>
      <w:spacing w:val="5"/>
    </w:rPr>
  </w:style>
  <w:style w:type="paragraph" w:styleId="Caption">
    <w:name w:val="caption"/>
    <w:basedOn w:val="Normal"/>
    <w:next w:val="Normal"/>
    <w:uiPriority w:val="35"/>
    <w:rsid w:val="008A4B86"/>
    <w:pPr>
      <w:keepNext/>
      <w:spacing w:before="100" w:after="60" w:line="240" w:lineRule="auto"/>
    </w:pPr>
    <w:rPr>
      <w:b/>
      <w:bCs/>
      <w:color w:val="383834" w:themeColor="background2" w:themeShade="40"/>
      <w:sz w:val="18"/>
      <w:szCs w:val="18"/>
    </w:rPr>
  </w:style>
  <w:style w:type="paragraph" w:styleId="Closing">
    <w:name w:val="Closing"/>
    <w:basedOn w:val="Normal"/>
    <w:link w:val="ClosingChar"/>
    <w:uiPriority w:val="99"/>
    <w:semiHidden/>
    <w:unhideWhenUsed/>
    <w:rsid w:val="0026112A"/>
    <w:pPr>
      <w:spacing w:before="0"/>
      <w:ind w:left="4252"/>
    </w:pPr>
  </w:style>
  <w:style w:type="character" w:customStyle="1" w:styleId="ClosingChar">
    <w:name w:val="Closing Char"/>
    <w:basedOn w:val="DefaultParagraphFont"/>
    <w:link w:val="Closing"/>
    <w:uiPriority w:val="99"/>
    <w:semiHidden/>
    <w:rsid w:val="0026112A"/>
    <w:rPr>
      <w:rFonts w:eastAsiaTheme="minorEastAsia"/>
      <w:spacing w:val="2"/>
      <w:lang w:eastAsia="en-AU"/>
    </w:rPr>
  </w:style>
  <w:style w:type="table" w:styleId="ColorfulGrid">
    <w:name w:val="Colorful Grid"/>
    <w:basedOn w:val="TableNormal"/>
    <w:uiPriority w:val="73"/>
    <w:rsid w:val="0026112A"/>
    <w:pPr>
      <w:spacing w:before="0" w:after="10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6112A"/>
    <w:pPr>
      <w:spacing w:before="0" w:after="100"/>
    </w:pPr>
    <w:rPr>
      <w:color w:val="000000" w:themeColor="text1"/>
    </w:r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000000"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rsid w:val="0026112A"/>
    <w:pPr>
      <w:spacing w:before="0" w:after="100"/>
    </w:pPr>
    <w:rPr>
      <w:color w:val="000000" w:themeColor="text1"/>
    </w:rPr>
    <w:tblPr>
      <w:tblStyleRowBandSize w:val="1"/>
      <w:tblStyleColBandSize w:val="1"/>
      <w:tblBorders>
        <w:insideH w:val="single" w:sz="4" w:space="0" w:color="FFFFFF" w:themeColor="background1"/>
      </w:tblBorders>
    </w:tblPr>
    <w:tcPr>
      <w:shd w:val="clear" w:color="auto" w:fill="BADAFF" w:themeFill="accent2" w:themeFillTint="33"/>
    </w:tcPr>
    <w:tblStylePr w:type="firstRow">
      <w:rPr>
        <w:b/>
        <w:bCs/>
      </w:rPr>
      <w:tblPr/>
      <w:tcPr>
        <w:shd w:val="clear" w:color="auto" w:fill="76B5FF" w:themeFill="accent2" w:themeFillTint="66"/>
      </w:tcPr>
    </w:tblStylePr>
    <w:tblStylePr w:type="lastRow">
      <w:rPr>
        <w:b/>
        <w:bCs/>
        <w:color w:val="000000" w:themeColor="text1"/>
      </w:rPr>
      <w:tblPr/>
      <w:tcPr>
        <w:shd w:val="clear" w:color="auto" w:fill="76B5FF" w:themeFill="accent2" w:themeFillTint="66"/>
      </w:tcPr>
    </w:tblStylePr>
    <w:tblStylePr w:type="firstCol">
      <w:rPr>
        <w:color w:val="FFFFFF" w:themeColor="background1"/>
      </w:rPr>
      <w:tblPr/>
      <w:tcPr>
        <w:shd w:val="clear" w:color="auto" w:fill="003A7D" w:themeFill="accent2" w:themeFillShade="BF"/>
      </w:tcPr>
    </w:tblStylePr>
    <w:tblStylePr w:type="lastCol">
      <w:rPr>
        <w:color w:val="FFFFFF" w:themeColor="background1"/>
      </w:rPr>
      <w:tblPr/>
      <w:tcPr>
        <w:shd w:val="clear" w:color="auto" w:fill="003A7D" w:themeFill="accent2" w:themeFillShade="BF"/>
      </w:tcPr>
    </w:tblStylePr>
    <w:tblStylePr w:type="band1Vert">
      <w:tblPr/>
      <w:tcPr>
        <w:shd w:val="clear" w:color="auto" w:fill="54A3FF" w:themeFill="accent2" w:themeFillTint="7F"/>
      </w:tcPr>
    </w:tblStylePr>
    <w:tblStylePr w:type="band1Horz">
      <w:tblPr/>
      <w:tcPr>
        <w:shd w:val="clear" w:color="auto" w:fill="54A3FF" w:themeFill="accent2" w:themeFillTint="7F"/>
      </w:tcPr>
    </w:tblStylePr>
  </w:style>
  <w:style w:type="table" w:styleId="ColorfulGrid-Accent3">
    <w:name w:val="Colorful Grid Accent 3"/>
    <w:basedOn w:val="TableNormal"/>
    <w:uiPriority w:val="73"/>
    <w:rsid w:val="0026112A"/>
    <w:pPr>
      <w:spacing w:before="0" w:after="100"/>
    </w:pPr>
    <w:rPr>
      <w:color w:val="000000" w:themeColor="text1"/>
    </w:r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rsid w:val="0026112A"/>
    <w:pPr>
      <w:spacing w:before="0" w:after="100"/>
    </w:pPr>
    <w:rPr>
      <w:color w:val="000000" w:themeColor="text1"/>
    </w:rPr>
    <w:tblPr>
      <w:tblStyleRowBandSize w:val="1"/>
      <w:tblStyleColBandSize w:val="1"/>
      <w:tblBorders>
        <w:insideH w:val="single" w:sz="4" w:space="0" w:color="FFFFFF" w:themeColor="background1"/>
      </w:tblBorders>
    </w:tblPr>
    <w:tcPr>
      <w:shd w:val="clear" w:color="auto" w:fill="E8E7EC" w:themeFill="accent4" w:themeFillTint="33"/>
    </w:tcPr>
    <w:tblStylePr w:type="firstRow">
      <w:rPr>
        <w:b/>
        <w:bCs/>
      </w:rPr>
      <w:tblPr/>
      <w:tcPr>
        <w:shd w:val="clear" w:color="auto" w:fill="D2D0DA" w:themeFill="accent4" w:themeFillTint="66"/>
      </w:tcPr>
    </w:tblStylePr>
    <w:tblStylePr w:type="lastRow">
      <w:rPr>
        <w:b/>
        <w:bCs/>
        <w:color w:val="000000" w:themeColor="text1"/>
      </w:rPr>
      <w:tblPr/>
      <w:tcPr>
        <w:shd w:val="clear" w:color="auto" w:fill="D2D0DA" w:themeFill="accent4" w:themeFillTint="66"/>
      </w:tcPr>
    </w:tblStylePr>
    <w:tblStylePr w:type="firstCol">
      <w:rPr>
        <w:color w:val="FFFFFF" w:themeColor="background1"/>
      </w:rPr>
      <w:tblPr/>
      <w:tcPr>
        <w:shd w:val="clear" w:color="auto" w:fill="68637E" w:themeFill="accent4" w:themeFillShade="BF"/>
      </w:tcPr>
    </w:tblStylePr>
    <w:tblStylePr w:type="lastCol">
      <w:rPr>
        <w:color w:val="FFFFFF" w:themeColor="background1"/>
      </w:rPr>
      <w:tblPr/>
      <w:tcPr>
        <w:shd w:val="clear" w:color="auto" w:fill="68637E" w:themeFill="accent4" w:themeFillShade="BF"/>
      </w:tcPr>
    </w:tblStylePr>
    <w:tblStylePr w:type="band1Vert">
      <w:tblPr/>
      <w:tcPr>
        <w:shd w:val="clear" w:color="auto" w:fill="C7C4D1" w:themeFill="accent4" w:themeFillTint="7F"/>
      </w:tcPr>
    </w:tblStylePr>
    <w:tblStylePr w:type="band1Horz">
      <w:tblPr/>
      <w:tcPr>
        <w:shd w:val="clear" w:color="auto" w:fill="C7C4D1" w:themeFill="accent4" w:themeFillTint="7F"/>
      </w:tcPr>
    </w:tblStylePr>
  </w:style>
  <w:style w:type="table" w:styleId="ColorfulGrid-Accent5">
    <w:name w:val="Colorful Grid Accent 5"/>
    <w:basedOn w:val="TableNormal"/>
    <w:uiPriority w:val="73"/>
    <w:rsid w:val="0026112A"/>
    <w:pPr>
      <w:spacing w:before="0" w:after="100"/>
    </w:pPr>
    <w:rPr>
      <w:color w:val="000000" w:themeColor="text1"/>
    </w:rPr>
    <w:tblPr>
      <w:tblStyleRowBandSize w:val="1"/>
      <w:tblStyleColBandSize w:val="1"/>
      <w:tblBorders>
        <w:insideH w:val="single" w:sz="4" w:space="0" w:color="FFFFFF" w:themeColor="background1"/>
      </w:tblBorders>
    </w:tblPr>
    <w:tcPr>
      <w:shd w:val="clear" w:color="auto" w:fill="EAF0F8" w:themeFill="accent5" w:themeFillTint="33"/>
    </w:tcPr>
    <w:tblStylePr w:type="firstRow">
      <w:rPr>
        <w:b/>
        <w:bCs/>
      </w:rPr>
      <w:tblPr/>
      <w:tcPr>
        <w:shd w:val="clear" w:color="auto" w:fill="D6E2F1" w:themeFill="accent5" w:themeFillTint="66"/>
      </w:tcPr>
    </w:tblStylePr>
    <w:tblStylePr w:type="lastRow">
      <w:rPr>
        <w:b/>
        <w:bCs/>
        <w:color w:val="000000" w:themeColor="text1"/>
      </w:rPr>
      <w:tblPr/>
      <w:tcPr>
        <w:shd w:val="clear" w:color="auto" w:fill="D6E2F1" w:themeFill="accent5" w:themeFillTint="66"/>
      </w:tcPr>
    </w:tblStylePr>
    <w:tblStylePr w:type="firstCol">
      <w:rPr>
        <w:color w:val="FFFFFF" w:themeColor="background1"/>
      </w:rPr>
      <w:tblPr/>
      <w:tcPr>
        <w:shd w:val="clear" w:color="auto" w:fill="5387C4" w:themeFill="accent5" w:themeFillShade="BF"/>
      </w:tcPr>
    </w:tblStylePr>
    <w:tblStylePr w:type="lastCol">
      <w:rPr>
        <w:color w:val="FFFFFF" w:themeColor="background1"/>
      </w:rPr>
      <w:tblPr/>
      <w:tcPr>
        <w:shd w:val="clear" w:color="auto" w:fill="5387C4" w:themeFill="accent5" w:themeFillShade="BF"/>
      </w:tcPr>
    </w:tblStylePr>
    <w:tblStylePr w:type="band1Vert">
      <w:tblPr/>
      <w:tcPr>
        <w:shd w:val="clear" w:color="auto" w:fill="CCDBED" w:themeFill="accent5" w:themeFillTint="7F"/>
      </w:tcPr>
    </w:tblStylePr>
    <w:tblStylePr w:type="band1Horz">
      <w:tblPr/>
      <w:tcPr>
        <w:shd w:val="clear" w:color="auto" w:fill="CCDBED" w:themeFill="accent5" w:themeFillTint="7F"/>
      </w:tcPr>
    </w:tblStylePr>
  </w:style>
  <w:style w:type="table" w:styleId="ColorfulGrid-Accent6">
    <w:name w:val="Colorful Grid Accent 6"/>
    <w:basedOn w:val="TableNormal"/>
    <w:uiPriority w:val="73"/>
    <w:rsid w:val="0026112A"/>
    <w:pPr>
      <w:spacing w:before="0" w:after="100"/>
    </w:pPr>
    <w:rPr>
      <w:color w:val="000000" w:themeColor="text1"/>
    </w:rPr>
    <w:tblPr>
      <w:tblStyleRowBandSize w:val="1"/>
      <w:tblStyleColBandSize w:val="1"/>
      <w:tblBorders>
        <w:insideH w:val="single" w:sz="4" w:space="0" w:color="FFFFFF" w:themeColor="background1"/>
      </w:tblBorders>
    </w:tblPr>
    <w:tcPr>
      <w:shd w:val="clear" w:color="auto" w:fill="F4F9FD" w:themeFill="accent6" w:themeFillTint="33"/>
    </w:tcPr>
    <w:tblStylePr w:type="firstRow">
      <w:rPr>
        <w:b/>
        <w:bCs/>
      </w:rPr>
      <w:tblPr/>
      <w:tcPr>
        <w:shd w:val="clear" w:color="auto" w:fill="EAF3FB" w:themeFill="accent6" w:themeFillTint="66"/>
      </w:tcPr>
    </w:tblStylePr>
    <w:tblStylePr w:type="lastRow">
      <w:rPr>
        <w:b/>
        <w:bCs/>
        <w:color w:val="000000" w:themeColor="text1"/>
      </w:rPr>
      <w:tblPr/>
      <w:tcPr>
        <w:shd w:val="clear" w:color="auto" w:fill="EAF3FB" w:themeFill="accent6" w:themeFillTint="66"/>
      </w:tcPr>
    </w:tblStylePr>
    <w:tblStylePr w:type="firstCol">
      <w:rPr>
        <w:color w:val="FFFFFF" w:themeColor="background1"/>
      </w:rPr>
      <w:tblPr/>
      <w:tcPr>
        <w:shd w:val="clear" w:color="auto" w:fill="6DAFE2" w:themeFill="accent6" w:themeFillShade="BF"/>
      </w:tcPr>
    </w:tblStylePr>
    <w:tblStylePr w:type="lastCol">
      <w:rPr>
        <w:color w:val="FFFFFF" w:themeColor="background1"/>
      </w:rPr>
      <w:tblPr/>
      <w:tcPr>
        <w:shd w:val="clear" w:color="auto" w:fill="6DAFE2" w:themeFill="accent6" w:themeFillShade="BF"/>
      </w:tcPr>
    </w:tblStylePr>
    <w:tblStylePr w:type="band1Vert">
      <w:tblPr/>
      <w:tcPr>
        <w:shd w:val="clear" w:color="auto" w:fill="E5F0FA" w:themeFill="accent6" w:themeFillTint="7F"/>
      </w:tcPr>
    </w:tblStylePr>
    <w:tblStylePr w:type="band1Horz">
      <w:tblPr/>
      <w:tcPr>
        <w:shd w:val="clear" w:color="auto" w:fill="E5F0FA" w:themeFill="accent6" w:themeFillTint="7F"/>
      </w:tcPr>
    </w:tblStylePr>
  </w:style>
  <w:style w:type="table" w:styleId="ColorfulList">
    <w:name w:val="Colorful List"/>
    <w:basedOn w:val="TableNormal"/>
    <w:uiPriority w:val="72"/>
    <w:rsid w:val="0026112A"/>
    <w:pPr>
      <w:spacing w:before="0" w:after="10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E86" w:themeFill="accent2" w:themeFillShade="CC"/>
      </w:tcPr>
    </w:tblStylePr>
    <w:tblStylePr w:type="lastRow">
      <w:rPr>
        <w:b/>
        <w:bCs/>
        <w:color w:val="003E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6112A"/>
    <w:pPr>
      <w:spacing w:before="0" w:after="100"/>
    </w:pPr>
    <w:rPr>
      <w:color w:val="000000" w:themeColor="text1"/>
    </w:r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003E86" w:themeFill="accent2" w:themeFillShade="CC"/>
      </w:tcPr>
    </w:tblStylePr>
    <w:tblStylePr w:type="lastRow">
      <w:rPr>
        <w:b/>
        <w:bCs/>
        <w:color w:val="003E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rsid w:val="0026112A"/>
    <w:pPr>
      <w:spacing w:before="0" w:after="100"/>
    </w:pPr>
    <w:rPr>
      <w:color w:val="000000" w:themeColor="text1"/>
    </w:rPr>
    <w:tblPr>
      <w:tblStyleRowBandSize w:val="1"/>
      <w:tblStyleColBandSize w:val="1"/>
    </w:tblPr>
    <w:tcPr>
      <w:shd w:val="clear" w:color="auto" w:fill="DDECFF" w:themeFill="accent2" w:themeFillTint="19"/>
    </w:tcPr>
    <w:tblStylePr w:type="firstRow">
      <w:rPr>
        <w:b/>
        <w:bCs/>
        <w:color w:val="FFFFFF" w:themeColor="background1"/>
      </w:rPr>
      <w:tblPr/>
      <w:tcPr>
        <w:tcBorders>
          <w:bottom w:val="single" w:sz="12" w:space="0" w:color="FFFFFF" w:themeColor="background1"/>
        </w:tcBorders>
        <w:shd w:val="clear" w:color="auto" w:fill="003E86" w:themeFill="accent2" w:themeFillShade="CC"/>
      </w:tcPr>
    </w:tblStylePr>
    <w:tblStylePr w:type="lastRow">
      <w:rPr>
        <w:b/>
        <w:bCs/>
        <w:color w:val="003E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2" w:themeFillTint="3F"/>
      </w:tcPr>
    </w:tblStylePr>
    <w:tblStylePr w:type="band1Horz">
      <w:tblPr/>
      <w:tcPr>
        <w:shd w:val="clear" w:color="auto" w:fill="BADAFF" w:themeFill="accent2" w:themeFillTint="33"/>
      </w:tcPr>
    </w:tblStylePr>
  </w:style>
  <w:style w:type="table" w:styleId="ColorfulList-Accent3">
    <w:name w:val="Colorful List Accent 3"/>
    <w:basedOn w:val="TableNormal"/>
    <w:uiPriority w:val="72"/>
    <w:rsid w:val="0026112A"/>
    <w:pPr>
      <w:spacing w:before="0" w:after="100"/>
    </w:pPr>
    <w:rPr>
      <w:color w:val="000000" w:themeColor="text1"/>
    </w:r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6F6A86" w:themeFill="accent4" w:themeFillShade="CC"/>
      </w:tcPr>
    </w:tblStylePr>
    <w:tblStylePr w:type="lastRow">
      <w:rPr>
        <w:b/>
        <w:bCs/>
        <w:color w:val="6F6A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rsid w:val="0026112A"/>
    <w:pPr>
      <w:spacing w:before="0" w:after="100"/>
    </w:pPr>
    <w:rPr>
      <w:color w:val="000000" w:themeColor="text1"/>
    </w:rPr>
    <w:tblPr>
      <w:tblStyleRowBandSize w:val="1"/>
      <w:tblStyleColBandSize w:val="1"/>
    </w:tblPr>
    <w:tcPr>
      <w:shd w:val="clear" w:color="auto" w:fill="F3F3F6"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8" w:themeFill="accent4" w:themeFillTint="3F"/>
      </w:tcPr>
    </w:tblStylePr>
    <w:tblStylePr w:type="band1Horz">
      <w:tblPr/>
      <w:tcPr>
        <w:shd w:val="clear" w:color="auto" w:fill="E8E7EC" w:themeFill="accent4" w:themeFillTint="33"/>
      </w:tcPr>
    </w:tblStylePr>
  </w:style>
  <w:style w:type="table" w:styleId="ColorfulList-Accent5">
    <w:name w:val="Colorful List Accent 5"/>
    <w:basedOn w:val="TableNormal"/>
    <w:uiPriority w:val="72"/>
    <w:rsid w:val="0026112A"/>
    <w:pPr>
      <w:spacing w:before="0" w:after="100"/>
    </w:pPr>
    <w:rPr>
      <w:color w:val="000000" w:themeColor="text1"/>
    </w:rPr>
    <w:tblPr>
      <w:tblStyleRowBandSize w:val="1"/>
      <w:tblStyleColBandSize w:val="1"/>
    </w:tblPr>
    <w:tcPr>
      <w:shd w:val="clear" w:color="auto" w:fill="F4F7FB" w:themeFill="accent5" w:themeFillTint="19"/>
    </w:tcPr>
    <w:tblStylePr w:type="firstRow">
      <w:rPr>
        <w:b/>
        <w:bCs/>
        <w:color w:val="FFFFFF" w:themeColor="background1"/>
      </w:rPr>
      <w:tblPr/>
      <w:tcPr>
        <w:tcBorders>
          <w:bottom w:val="single" w:sz="12" w:space="0" w:color="FFFFFF" w:themeColor="background1"/>
        </w:tcBorders>
        <w:shd w:val="clear" w:color="auto" w:fill="80B9E6" w:themeFill="accent6" w:themeFillShade="CC"/>
      </w:tcPr>
    </w:tblStylePr>
    <w:tblStylePr w:type="lastRow">
      <w:rPr>
        <w:b/>
        <w:bCs/>
        <w:color w:val="80B9E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DF6" w:themeFill="accent5" w:themeFillTint="3F"/>
      </w:tcPr>
    </w:tblStylePr>
    <w:tblStylePr w:type="band1Horz">
      <w:tblPr/>
      <w:tcPr>
        <w:shd w:val="clear" w:color="auto" w:fill="EAF0F8" w:themeFill="accent5" w:themeFillTint="33"/>
      </w:tcPr>
    </w:tblStylePr>
  </w:style>
  <w:style w:type="table" w:styleId="ColorfulList-Accent6">
    <w:name w:val="Colorful List Accent 6"/>
    <w:basedOn w:val="TableNormal"/>
    <w:uiPriority w:val="72"/>
    <w:rsid w:val="0026112A"/>
    <w:pPr>
      <w:spacing w:before="0" w:after="100"/>
    </w:pPr>
    <w:rPr>
      <w:color w:val="000000" w:themeColor="text1"/>
    </w:rPr>
    <w:tblPr>
      <w:tblStyleRowBandSize w:val="1"/>
      <w:tblStyleColBandSize w:val="1"/>
    </w:tblPr>
    <w:tcPr>
      <w:shd w:val="clear" w:color="auto" w:fill="F9FCFE" w:themeFill="accent6" w:themeFillTint="19"/>
    </w:tcPr>
    <w:tblStylePr w:type="firstRow">
      <w:rPr>
        <w:b/>
        <w:bCs/>
        <w:color w:val="FFFFFF" w:themeColor="background1"/>
      </w:rPr>
      <w:tblPr/>
      <w:tcPr>
        <w:tcBorders>
          <w:bottom w:val="single" w:sz="12" w:space="0" w:color="FFFFFF" w:themeColor="background1"/>
        </w:tcBorders>
        <w:shd w:val="clear" w:color="auto" w:fill="6190C9" w:themeFill="accent5" w:themeFillShade="CC"/>
      </w:tcPr>
    </w:tblStylePr>
    <w:tblStylePr w:type="lastRow">
      <w:rPr>
        <w:b/>
        <w:bCs/>
        <w:color w:val="6190C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7FC" w:themeFill="accent6" w:themeFillTint="3F"/>
      </w:tcPr>
    </w:tblStylePr>
    <w:tblStylePr w:type="band1Horz">
      <w:tblPr/>
      <w:tcPr>
        <w:shd w:val="clear" w:color="auto" w:fill="F4F9FD" w:themeFill="accent6" w:themeFillTint="33"/>
      </w:tcPr>
    </w:tblStylePr>
  </w:style>
  <w:style w:type="table" w:styleId="ColorfulShading">
    <w:name w:val="Colorful Shading"/>
    <w:basedOn w:val="TableNormal"/>
    <w:uiPriority w:val="71"/>
    <w:rsid w:val="0026112A"/>
    <w:pPr>
      <w:spacing w:before="0" w:after="100"/>
    </w:pPr>
    <w:rPr>
      <w:color w:val="000000" w:themeColor="text1"/>
    </w:rPr>
    <w:tblPr>
      <w:tblStyleRowBandSize w:val="1"/>
      <w:tblStyleColBandSize w:val="1"/>
      <w:tblBorders>
        <w:top w:val="single" w:sz="24" w:space="0" w:color="004E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E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6112A"/>
    <w:pPr>
      <w:spacing w:before="0" w:after="100"/>
    </w:pPr>
    <w:rPr>
      <w:color w:val="000000" w:themeColor="text1"/>
    </w:rPr>
    <w:tblPr>
      <w:tblStyleRowBandSize w:val="1"/>
      <w:tblStyleColBandSize w:val="1"/>
      <w:tblBorders>
        <w:top w:val="single" w:sz="24" w:space="0" w:color="004EA8"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004E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6112A"/>
    <w:pPr>
      <w:spacing w:before="0" w:after="100"/>
    </w:pPr>
    <w:rPr>
      <w:color w:val="000000" w:themeColor="text1"/>
    </w:rPr>
    <w:tblPr>
      <w:tblStyleRowBandSize w:val="1"/>
      <w:tblStyleColBandSize w:val="1"/>
      <w:tblBorders>
        <w:top w:val="single" w:sz="24" w:space="0" w:color="004EA8" w:themeColor="accent2"/>
        <w:left w:val="single" w:sz="4" w:space="0" w:color="004EA8" w:themeColor="accent2"/>
        <w:bottom w:val="single" w:sz="4" w:space="0" w:color="004EA8" w:themeColor="accent2"/>
        <w:right w:val="single" w:sz="4" w:space="0" w:color="004EA8" w:themeColor="accent2"/>
        <w:insideH w:val="single" w:sz="4" w:space="0" w:color="FFFFFF" w:themeColor="background1"/>
        <w:insideV w:val="single" w:sz="4" w:space="0" w:color="FFFFFF" w:themeColor="background1"/>
      </w:tblBorders>
    </w:tblPr>
    <w:tcPr>
      <w:shd w:val="clear" w:color="auto" w:fill="DDECFF" w:themeFill="accent2" w:themeFillTint="19"/>
    </w:tcPr>
    <w:tblStylePr w:type="firstRow">
      <w:rPr>
        <w:b/>
        <w:bCs/>
      </w:rPr>
      <w:tblPr/>
      <w:tcPr>
        <w:tcBorders>
          <w:top w:val="nil"/>
          <w:left w:val="nil"/>
          <w:bottom w:val="single" w:sz="24" w:space="0" w:color="004E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2" w:themeFillShade="99"/>
      </w:tcPr>
    </w:tblStylePr>
    <w:tblStylePr w:type="firstCol">
      <w:rPr>
        <w:color w:val="FFFFFF" w:themeColor="background1"/>
      </w:rPr>
      <w:tblPr/>
      <w:tcPr>
        <w:tcBorders>
          <w:top w:val="nil"/>
          <w:left w:val="nil"/>
          <w:bottom w:val="nil"/>
          <w:right w:val="nil"/>
          <w:insideH w:val="single" w:sz="4" w:space="0" w:color="002E64" w:themeColor="accent2" w:themeShade="99"/>
          <w:insideV w:val="nil"/>
        </w:tcBorders>
        <w:shd w:val="clear" w:color="auto" w:fill="002E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2" w:themeFillShade="99"/>
      </w:tcPr>
    </w:tblStylePr>
    <w:tblStylePr w:type="band1Vert">
      <w:tblPr/>
      <w:tcPr>
        <w:shd w:val="clear" w:color="auto" w:fill="76B5FF" w:themeFill="accent2" w:themeFillTint="66"/>
      </w:tcPr>
    </w:tblStylePr>
    <w:tblStylePr w:type="band1Horz">
      <w:tblPr/>
      <w:tcPr>
        <w:shd w:val="clear" w:color="auto" w:fill="54A3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6112A"/>
    <w:pPr>
      <w:spacing w:before="0" w:after="100"/>
    </w:pPr>
    <w:rPr>
      <w:color w:val="000000" w:themeColor="text1"/>
    </w:rPr>
    <w:tblPr>
      <w:tblStyleRowBandSize w:val="1"/>
      <w:tblStyleColBandSize w:val="1"/>
      <w:tblBorders>
        <w:top w:val="single" w:sz="24" w:space="0" w:color="8F8AA3"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8F8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rsid w:val="0026112A"/>
    <w:pPr>
      <w:spacing w:before="0" w:after="100"/>
    </w:pPr>
    <w:rPr>
      <w:color w:val="000000" w:themeColor="text1"/>
    </w:rPr>
    <w:tblPr>
      <w:tblStyleRowBandSize w:val="1"/>
      <w:tblStyleColBandSize w:val="1"/>
      <w:tblBorders>
        <w:top w:val="single" w:sz="24" w:space="0" w:color="0072CE" w:themeColor="accent3"/>
        <w:left w:val="single" w:sz="4" w:space="0" w:color="8F8AA3" w:themeColor="accent4"/>
        <w:bottom w:val="single" w:sz="4" w:space="0" w:color="8F8AA3" w:themeColor="accent4"/>
        <w:right w:val="single" w:sz="4" w:space="0" w:color="8F8AA3" w:themeColor="accent4"/>
        <w:insideH w:val="single" w:sz="4" w:space="0" w:color="FFFFFF" w:themeColor="background1"/>
        <w:insideV w:val="single" w:sz="4" w:space="0" w:color="FFFFFF" w:themeColor="background1"/>
      </w:tblBorders>
    </w:tblPr>
    <w:tcPr>
      <w:shd w:val="clear" w:color="auto" w:fill="F3F3F6"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4F64" w:themeFill="accent4" w:themeFillShade="99"/>
      </w:tcPr>
    </w:tblStylePr>
    <w:tblStylePr w:type="firstCol">
      <w:rPr>
        <w:color w:val="FFFFFF" w:themeColor="background1"/>
      </w:rPr>
      <w:tblPr/>
      <w:tcPr>
        <w:tcBorders>
          <w:top w:val="nil"/>
          <w:left w:val="nil"/>
          <w:bottom w:val="nil"/>
          <w:right w:val="nil"/>
          <w:insideH w:val="single" w:sz="4" w:space="0" w:color="534F64" w:themeColor="accent4" w:themeShade="99"/>
          <w:insideV w:val="nil"/>
        </w:tcBorders>
        <w:shd w:val="clear" w:color="auto" w:fill="534F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34F64" w:themeFill="accent4" w:themeFillShade="99"/>
      </w:tcPr>
    </w:tblStylePr>
    <w:tblStylePr w:type="band1Vert">
      <w:tblPr/>
      <w:tcPr>
        <w:shd w:val="clear" w:color="auto" w:fill="D2D0DA" w:themeFill="accent4" w:themeFillTint="66"/>
      </w:tcPr>
    </w:tblStylePr>
    <w:tblStylePr w:type="band1Horz">
      <w:tblPr/>
      <w:tcPr>
        <w:shd w:val="clear" w:color="auto" w:fill="C7C4D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6112A"/>
    <w:pPr>
      <w:spacing w:before="0" w:after="100"/>
    </w:pPr>
    <w:rPr>
      <w:color w:val="000000" w:themeColor="text1"/>
    </w:rPr>
    <w:tblPr>
      <w:tblStyleRowBandSize w:val="1"/>
      <w:tblStyleColBandSize w:val="1"/>
      <w:tblBorders>
        <w:top w:val="single" w:sz="24" w:space="0" w:color="CCE3F5" w:themeColor="accent6"/>
        <w:left w:val="single" w:sz="4" w:space="0" w:color="99B8DC" w:themeColor="accent5"/>
        <w:bottom w:val="single" w:sz="4" w:space="0" w:color="99B8DC" w:themeColor="accent5"/>
        <w:right w:val="single" w:sz="4" w:space="0" w:color="99B8DC" w:themeColor="accent5"/>
        <w:insideH w:val="single" w:sz="4" w:space="0" w:color="FFFFFF" w:themeColor="background1"/>
        <w:insideV w:val="single" w:sz="4" w:space="0" w:color="FFFFFF" w:themeColor="background1"/>
      </w:tblBorders>
    </w:tblPr>
    <w:tcPr>
      <w:shd w:val="clear" w:color="auto" w:fill="F4F7FB" w:themeFill="accent5" w:themeFillTint="19"/>
    </w:tcPr>
    <w:tblStylePr w:type="firstRow">
      <w:rPr>
        <w:b/>
        <w:bCs/>
      </w:rPr>
      <w:tblPr/>
      <w:tcPr>
        <w:tcBorders>
          <w:top w:val="nil"/>
          <w:left w:val="nil"/>
          <w:bottom w:val="single" w:sz="24" w:space="0" w:color="CCE3F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BA6" w:themeFill="accent5" w:themeFillShade="99"/>
      </w:tcPr>
    </w:tblStylePr>
    <w:tblStylePr w:type="firstCol">
      <w:rPr>
        <w:color w:val="FFFFFF" w:themeColor="background1"/>
      </w:rPr>
      <w:tblPr/>
      <w:tcPr>
        <w:tcBorders>
          <w:top w:val="nil"/>
          <w:left w:val="nil"/>
          <w:bottom w:val="nil"/>
          <w:right w:val="nil"/>
          <w:insideH w:val="single" w:sz="4" w:space="0" w:color="396BA6" w:themeColor="accent5" w:themeShade="99"/>
          <w:insideV w:val="nil"/>
        </w:tcBorders>
        <w:shd w:val="clear" w:color="auto" w:fill="396BA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BA6" w:themeFill="accent5" w:themeFillShade="99"/>
      </w:tcPr>
    </w:tblStylePr>
    <w:tblStylePr w:type="band1Vert">
      <w:tblPr/>
      <w:tcPr>
        <w:shd w:val="clear" w:color="auto" w:fill="D6E2F1" w:themeFill="accent5" w:themeFillTint="66"/>
      </w:tcPr>
    </w:tblStylePr>
    <w:tblStylePr w:type="band1Horz">
      <w:tblPr/>
      <w:tcPr>
        <w:shd w:val="clear" w:color="auto" w:fill="CCDB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6112A"/>
    <w:pPr>
      <w:spacing w:before="0" w:after="100"/>
    </w:pPr>
    <w:rPr>
      <w:color w:val="000000" w:themeColor="text1"/>
    </w:rPr>
    <w:tblPr>
      <w:tblStyleRowBandSize w:val="1"/>
      <w:tblStyleColBandSize w:val="1"/>
      <w:tblBorders>
        <w:top w:val="single" w:sz="24" w:space="0" w:color="99B8DC" w:themeColor="accent5"/>
        <w:left w:val="single" w:sz="4" w:space="0" w:color="CCE3F5" w:themeColor="accent6"/>
        <w:bottom w:val="single" w:sz="4" w:space="0" w:color="CCE3F5" w:themeColor="accent6"/>
        <w:right w:val="single" w:sz="4" w:space="0" w:color="CCE3F5" w:themeColor="accent6"/>
        <w:insideH w:val="single" w:sz="4" w:space="0" w:color="FFFFFF" w:themeColor="background1"/>
        <w:insideV w:val="single" w:sz="4" w:space="0" w:color="FFFFFF" w:themeColor="background1"/>
      </w:tblBorders>
    </w:tblPr>
    <w:tcPr>
      <w:shd w:val="clear" w:color="auto" w:fill="F9FCFE" w:themeFill="accent6" w:themeFillTint="19"/>
    </w:tcPr>
    <w:tblStylePr w:type="firstRow">
      <w:rPr>
        <w:b/>
        <w:bCs/>
      </w:rPr>
      <w:tblPr/>
      <w:tcPr>
        <w:tcBorders>
          <w:top w:val="nil"/>
          <w:left w:val="nil"/>
          <w:bottom w:val="single" w:sz="24" w:space="0" w:color="99B8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90D7" w:themeFill="accent6" w:themeFillShade="99"/>
      </w:tcPr>
    </w:tblStylePr>
    <w:tblStylePr w:type="firstCol">
      <w:rPr>
        <w:color w:val="FFFFFF" w:themeColor="background1"/>
      </w:rPr>
      <w:tblPr/>
      <w:tcPr>
        <w:tcBorders>
          <w:top w:val="nil"/>
          <w:left w:val="nil"/>
          <w:bottom w:val="nil"/>
          <w:right w:val="nil"/>
          <w:insideH w:val="single" w:sz="4" w:space="0" w:color="3590D7" w:themeColor="accent6" w:themeShade="99"/>
          <w:insideV w:val="nil"/>
        </w:tcBorders>
        <w:shd w:val="clear" w:color="auto" w:fill="3590D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90D7" w:themeFill="accent6" w:themeFillShade="99"/>
      </w:tcPr>
    </w:tblStylePr>
    <w:tblStylePr w:type="band1Vert">
      <w:tblPr/>
      <w:tcPr>
        <w:shd w:val="clear" w:color="auto" w:fill="EAF3FB" w:themeFill="accent6" w:themeFillTint="66"/>
      </w:tcPr>
    </w:tblStylePr>
    <w:tblStylePr w:type="band1Horz">
      <w:tblPr/>
      <w:tcPr>
        <w:shd w:val="clear" w:color="auto" w:fill="E5F0F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6112A"/>
    <w:rPr>
      <w:sz w:val="16"/>
      <w:szCs w:val="16"/>
    </w:rPr>
  </w:style>
  <w:style w:type="paragraph" w:styleId="CommentText">
    <w:name w:val="annotation text"/>
    <w:basedOn w:val="Normal"/>
    <w:link w:val="CommentTextChar"/>
    <w:uiPriority w:val="99"/>
    <w:semiHidden/>
    <w:unhideWhenUsed/>
    <w:rsid w:val="0026112A"/>
  </w:style>
  <w:style w:type="character" w:customStyle="1" w:styleId="CommentTextChar">
    <w:name w:val="Comment Text Char"/>
    <w:basedOn w:val="DefaultParagraphFont"/>
    <w:link w:val="CommentText"/>
    <w:uiPriority w:val="99"/>
    <w:semiHidden/>
    <w:rsid w:val="0026112A"/>
    <w:rPr>
      <w:rFonts w:eastAsiaTheme="minorEastAsia"/>
      <w:spacing w:val="2"/>
      <w:lang w:eastAsia="en-AU"/>
    </w:rPr>
  </w:style>
  <w:style w:type="paragraph" w:styleId="CommentSubject">
    <w:name w:val="annotation subject"/>
    <w:basedOn w:val="CommentText"/>
    <w:next w:val="CommentText"/>
    <w:link w:val="CommentSubjectChar"/>
    <w:uiPriority w:val="99"/>
    <w:semiHidden/>
    <w:unhideWhenUsed/>
    <w:rsid w:val="0026112A"/>
    <w:rPr>
      <w:b/>
      <w:bCs/>
    </w:rPr>
  </w:style>
  <w:style w:type="character" w:customStyle="1" w:styleId="CommentSubjectChar">
    <w:name w:val="Comment Subject Char"/>
    <w:basedOn w:val="CommentTextChar"/>
    <w:link w:val="CommentSubject"/>
    <w:uiPriority w:val="99"/>
    <w:semiHidden/>
    <w:rsid w:val="0026112A"/>
    <w:rPr>
      <w:rFonts w:eastAsiaTheme="minorEastAsia"/>
      <w:b/>
      <w:bCs/>
      <w:spacing w:val="2"/>
      <w:lang w:eastAsia="en-AU"/>
    </w:rPr>
  </w:style>
  <w:style w:type="table" w:styleId="DarkList">
    <w:name w:val="Dark List"/>
    <w:basedOn w:val="TableNormal"/>
    <w:uiPriority w:val="70"/>
    <w:rsid w:val="0026112A"/>
    <w:pPr>
      <w:spacing w:before="0" w:after="10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6112A"/>
    <w:pPr>
      <w:spacing w:before="0" w:after="100"/>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rsid w:val="0026112A"/>
    <w:pPr>
      <w:spacing w:before="0" w:after="100"/>
    </w:pPr>
    <w:rPr>
      <w:color w:val="FFFFFF" w:themeColor="background1"/>
    </w:rPr>
    <w:tblPr>
      <w:tblStyleRowBandSize w:val="1"/>
      <w:tblStyleColBandSize w:val="1"/>
    </w:tblPr>
    <w:tcPr>
      <w:shd w:val="clear" w:color="auto" w:fill="004E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2" w:themeFillShade="BF"/>
      </w:tcPr>
    </w:tblStylePr>
    <w:tblStylePr w:type="band1Vert">
      <w:tblPr/>
      <w:tcPr>
        <w:tcBorders>
          <w:top w:val="nil"/>
          <w:left w:val="nil"/>
          <w:bottom w:val="nil"/>
          <w:right w:val="nil"/>
          <w:insideH w:val="nil"/>
          <w:insideV w:val="nil"/>
        </w:tcBorders>
        <w:shd w:val="clear" w:color="auto" w:fill="003A7D" w:themeFill="accent2" w:themeFillShade="BF"/>
      </w:tcPr>
    </w:tblStylePr>
    <w:tblStylePr w:type="band1Horz">
      <w:tblPr/>
      <w:tcPr>
        <w:tcBorders>
          <w:top w:val="nil"/>
          <w:left w:val="nil"/>
          <w:bottom w:val="nil"/>
          <w:right w:val="nil"/>
          <w:insideH w:val="nil"/>
          <w:insideV w:val="nil"/>
        </w:tcBorders>
        <w:shd w:val="clear" w:color="auto" w:fill="003A7D" w:themeFill="accent2" w:themeFillShade="BF"/>
      </w:tcPr>
    </w:tblStylePr>
  </w:style>
  <w:style w:type="table" w:styleId="DarkList-Accent3">
    <w:name w:val="Dark List Accent 3"/>
    <w:basedOn w:val="TableNormal"/>
    <w:uiPriority w:val="70"/>
    <w:rsid w:val="0026112A"/>
    <w:pPr>
      <w:spacing w:before="0" w:after="10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rsid w:val="0026112A"/>
    <w:pPr>
      <w:spacing w:before="0" w:after="100"/>
    </w:pPr>
    <w:rPr>
      <w:color w:val="FFFFFF" w:themeColor="background1"/>
    </w:rPr>
    <w:tblPr>
      <w:tblStyleRowBandSize w:val="1"/>
      <w:tblStyleColBandSize w:val="1"/>
    </w:tblPr>
    <w:tcPr>
      <w:shd w:val="clear" w:color="auto" w:fill="8F8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863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8637E" w:themeFill="accent4" w:themeFillShade="BF"/>
      </w:tcPr>
    </w:tblStylePr>
    <w:tblStylePr w:type="band1Vert">
      <w:tblPr/>
      <w:tcPr>
        <w:tcBorders>
          <w:top w:val="nil"/>
          <w:left w:val="nil"/>
          <w:bottom w:val="nil"/>
          <w:right w:val="nil"/>
          <w:insideH w:val="nil"/>
          <w:insideV w:val="nil"/>
        </w:tcBorders>
        <w:shd w:val="clear" w:color="auto" w:fill="68637E" w:themeFill="accent4" w:themeFillShade="BF"/>
      </w:tcPr>
    </w:tblStylePr>
    <w:tblStylePr w:type="band1Horz">
      <w:tblPr/>
      <w:tcPr>
        <w:tcBorders>
          <w:top w:val="nil"/>
          <w:left w:val="nil"/>
          <w:bottom w:val="nil"/>
          <w:right w:val="nil"/>
          <w:insideH w:val="nil"/>
          <w:insideV w:val="nil"/>
        </w:tcBorders>
        <w:shd w:val="clear" w:color="auto" w:fill="68637E" w:themeFill="accent4" w:themeFillShade="BF"/>
      </w:tcPr>
    </w:tblStylePr>
  </w:style>
  <w:style w:type="table" w:styleId="DarkList-Accent5">
    <w:name w:val="Dark List Accent 5"/>
    <w:basedOn w:val="TableNormal"/>
    <w:uiPriority w:val="70"/>
    <w:rsid w:val="0026112A"/>
    <w:pPr>
      <w:spacing w:before="0" w:after="100"/>
    </w:pPr>
    <w:rPr>
      <w:color w:val="FFFFFF" w:themeColor="background1"/>
    </w:rPr>
    <w:tblPr>
      <w:tblStyleRowBandSize w:val="1"/>
      <w:tblStyleColBandSize w:val="1"/>
    </w:tblPr>
    <w:tcPr>
      <w:shd w:val="clear" w:color="auto" w:fill="99B8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9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7C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7C4" w:themeFill="accent5" w:themeFillShade="BF"/>
      </w:tcPr>
    </w:tblStylePr>
    <w:tblStylePr w:type="band1Vert">
      <w:tblPr/>
      <w:tcPr>
        <w:tcBorders>
          <w:top w:val="nil"/>
          <w:left w:val="nil"/>
          <w:bottom w:val="nil"/>
          <w:right w:val="nil"/>
          <w:insideH w:val="nil"/>
          <w:insideV w:val="nil"/>
        </w:tcBorders>
        <w:shd w:val="clear" w:color="auto" w:fill="5387C4" w:themeFill="accent5" w:themeFillShade="BF"/>
      </w:tcPr>
    </w:tblStylePr>
    <w:tblStylePr w:type="band1Horz">
      <w:tblPr/>
      <w:tcPr>
        <w:tcBorders>
          <w:top w:val="nil"/>
          <w:left w:val="nil"/>
          <w:bottom w:val="nil"/>
          <w:right w:val="nil"/>
          <w:insideH w:val="nil"/>
          <w:insideV w:val="nil"/>
        </w:tcBorders>
        <w:shd w:val="clear" w:color="auto" w:fill="5387C4" w:themeFill="accent5" w:themeFillShade="BF"/>
      </w:tcPr>
    </w:tblStylePr>
  </w:style>
  <w:style w:type="table" w:styleId="DarkList-Accent6">
    <w:name w:val="Dark List Accent 6"/>
    <w:basedOn w:val="TableNormal"/>
    <w:uiPriority w:val="70"/>
    <w:rsid w:val="0026112A"/>
    <w:pPr>
      <w:spacing w:before="0" w:after="100"/>
    </w:pPr>
    <w:rPr>
      <w:color w:val="FFFFFF" w:themeColor="background1"/>
    </w:rPr>
    <w:tblPr>
      <w:tblStyleRowBandSize w:val="1"/>
      <w:tblStyleColBandSize w:val="1"/>
    </w:tblPr>
    <w:tcPr>
      <w:shd w:val="clear" w:color="auto" w:fill="CCE3F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78B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DAFE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DAFE2" w:themeFill="accent6" w:themeFillShade="BF"/>
      </w:tcPr>
    </w:tblStylePr>
    <w:tblStylePr w:type="band1Vert">
      <w:tblPr/>
      <w:tcPr>
        <w:tcBorders>
          <w:top w:val="nil"/>
          <w:left w:val="nil"/>
          <w:bottom w:val="nil"/>
          <w:right w:val="nil"/>
          <w:insideH w:val="nil"/>
          <w:insideV w:val="nil"/>
        </w:tcBorders>
        <w:shd w:val="clear" w:color="auto" w:fill="6DAFE2" w:themeFill="accent6" w:themeFillShade="BF"/>
      </w:tcPr>
    </w:tblStylePr>
    <w:tblStylePr w:type="band1Horz">
      <w:tblPr/>
      <w:tcPr>
        <w:tcBorders>
          <w:top w:val="nil"/>
          <w:left w:val="nil"/>
          <w:bottom w:val="nil"/>
          <w:right w:val="nil"/>
          <w:insideH w:val="nil"/>
          <w:insideV w:val="nil"/>
        </w:tcBorders>
        <w:shd w:val="clear" w:color="auto" w:fill="6DAFE2" w:themeFill="accent6" w:themeFillShade="BF"/>
      </w:tcPr>
    </w:tblStylePr>
  </w:style>
  <w:style w:type="paragraph" w:styleId="Date">
    <w:name w:val="Date"/>
    <w:basedOn w:val="Normal"/>
    <w:next w:val="Normal"/>
    <w:link w:val="DateChar"/>
    <w:uiPriority w:val="99"/>
    <w:semiHidden/>
    <w:unhideWhenUsed/>
    <w:rsid w:val="0026112A"/>
  </w:style>
  <w:style w:type="character" w:customStyle="1" w:styleId="DateChar">
    <w:name w:val="Date Char"/>
    <w:basedOn w:val="DefaultParagraphFont"/>
    <w:link w:val="Date"/>
    <w:uiPriority w:val="99"/>
    <w:semiHidden/>
    <w:rsid w:val="0026112A"/>
    <w:rPr>
      <w:rFonts w:eastAsiaTheme="minorEastAsia"/>
      <w:spacing w:val="2"/>
      <w:lang w:eastAsia="en-AU"/>
    </w:rPr>
  </w:style>
  <w:style w:type="paragraph" w:styleId="DocumentMap">
    <w:name w:val="Document Map"/>
    <w:basedOn w:val="Normal"/>
    <w:link w:val="DocumentMapChar"/>
    <w:uiPriority w:val="99"/>
    <w:semiHidden/>
    <w:unhideWhenUsed/>
    <w:rsid w:val="0026112A"/>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6112A"/>
    <w:rPr>
      <w:rFonts w:ascii="Tahoma" w:eastAsiaTheme="minorEastAsia" w:hAnsi="Tahoma" w:cs="Tahoma"/>
      <w:spacing w:val="2"/>
      <w:sz w:val="16"/>
      <w:szCs w:val="16"/>
      <w:lang w:eastAsia="en-AU"/>
    </w:rPr>
  </w:style>
  <w:style w:type="paragraph" w:styleId="E-mailSignature">
    <w:name w:val="E-mail Signature"/>
    <w:basedOn w:val="Normal"/>
    <w:link w:val="E-mailSignatureChar"/>
    <w:uiPriority w:val="99"/>
    <w:semiHidden/>
    <w:unhideWhenUsed/>
    <w:rsid w:val="0026112A"/>
    <w:pPr>
      <w:spacing w:before="0"/>
    </w:pPr>
  </w:style>
  <w:style w:type="character" w:customStyle="1" w:styleId="E-mailSignatureChar">
    <w:name w:val="E-mail Signature Char"/>
    <w:basedOn w:val="DefaultParagraphFont"/>
    <w:link w:val="E-mailSignature"/>
    <w:uiPriority w:val="99"/>
    <w:semiHidden/>
    <w:rsid w:val="0026112A"/>
    <w:rPr>
      <w:rFonts w:eastAsiaTheme="minorEastAsia"/>
      <w:spacing w:val="2"/>
      <w:lang w:eastAsia="en-AU"/>
    </w:rPr>
  </w:style>
  <w:style w:type="character" w:styleId="Emphasis">
    <w:name w:val="Emphasis"/>
    <w:basedOn w:val="DefaultParagraphFont"/>
    <w:uiPriority w:val="98"/>
    <w:semiHidden/>
    <w:rsid w:val="0026112A"/>
    <w:rPr>
      <w:b/>
      <w:i w:val="0"/>
      <w:iCs/>
      <w:color w:val="004EA8" w:themeColor="accent2"/>
    </w:rPr>
  </w:style>
  <w:style w:type="character" w:styleId="EndnoteReference">
    <w:name w:val="endnote reference"/>
    <w:basedOn w:val="DefaultParagraphFont"/>
    <w:uiPriority w:val="99"/>
    <w:semiHidden/>
    <w:unhideWhenUsed/>
    <w:rsid w:val="0026112A"/>
    <w:rPr>
      <w:vertAlign w:val="superscript"/>
    </w:rPr>
  </w:style>
  <w:style w:type="paragraph" w:styleId="EndnoteText">
    <w:name w:val="endnote text"/>
    <w:basedOn w:val="Normal"/>
    <w:link w:val="EndnoteTextChar"/>
    <w:uiPriority w:val="99"/>
    <w:semiHidden/>
    <w:unhideWhenUsed/>
    <w:rsid w:val="0026112A"/>
    <w:pPr>
      <w:spacing w:before="0"/>
    </w:pPr>
  </w:style>
  <w:style w:type="character" w:customStyle="1" w:styleId="EndnoteTextChar">
    <w:name w:val="Endnote Text Char"/>
    <w:basedOn w:val="DefaultParagraphFont"/>
    <w:link w:val="EndnoteText"/>
    <w:uiPriority w:val="99"/>
    <w:semiHidden/>
    <w:rsid w:val="0026112A"/>
    <w:rPr>
      <w:rFonts w:eastAsiaTheme="minorEastAsia"/>
      <w:spacing w:val="2"/>
      <w:lang w:eastAsia="en-AU"/>
    </w:rPr>
  </w:style>
  <w:style w:type="paragraph" w:styleId="EnvelopeAddress">
    <w:name w:val="envelope address"/>
    <w:basedOn w:val="Normal"/>
    <w:uiPriority w:val="99"/>
    <w:semiHidden/>
    <w:unhideWhenUsed/>
    <w:rsid w:val="0026112A"/>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112A"/>
    <w:pPr>
      <w:spacing w:before="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26112A"/>
    <w:rPr>
      <w:color w:val="800080" w:themeColor="followedHyperlink"/>
      <w:u w:val="single"/>
    </w:rPr>
  </w:style>
  <w:style w:type="character" w:styleId="FootnoteReference">
    <w:name w:val="footnote reference"/>
    <w:basedOn w:val="DefaultParagraphFont"/>
    <w:uiPriority w:val="99"/>
    <w:semiHidden/>
    <w:rsid w:val="0026112A"/>
    <w:rPr>
      <w:rFonts w:asciiTheme="minorHAnsi" w:hAnsiTheme="minorHAnsi"/>
      <w:vertAlign w:val="superscript"/>
    </w:rPr>
  </w:style>
  <w:style w:type="character" w:styleId="HTMLAcronym">
    <w:name w:val="HTML Acronym"/>
    <w:basedOn w:val="DefaultParagraphFont"/>
    <w:uiPriority w:val="99"/>
    <w:semiHidden/>
    <w:unhideWhenUsed/>
    <w:rsid w:val="0026112A"/>
  </w:style>
  <w:style w:type="paragraph" w:styleId="HTMLAddress">
    <w:name w:val="HTML Address"/>
    <w:basedOn w:val="Normal"/>
    <w:link w:val="HTMLAddressChar"/>
    <w:uiPriority w:val="99"/>
    <w:semiHidden/>
    <w:unhideWhenUsed/>
    <w:rsid w:val="0026112A"/>
    <w:pPr>
      <w:spacing w:before="0"/>
    </w:pPr>
    <w:rPr>
      <w:i/>
      <w:iCs/>
    </w:rPr>
  </w:style>
  <w:style w:type="character" w:customStyle="1" w:styleId="HTMLAddressChar">
    <w:name w:val="HTML Address Char"/>
    <w:basedOn w:val="DefaultParagraphFont"/>
    <w:link w:val="HTMLAddress"/>
    <w:uiPriority w:val="99"/>
    <w:semiHidden/>
    <w:rsid w:val="0026112A"/>
    <w:rPr>
      <w:rFonts w:eastAsiaTheme="minorEastAsia"/>
      <w:i/>
      <w:iCs/>
      <w:spacing w:val="2"/>
      <w:lang w:eastAsia="en-AU"/>
    </w:rPr>
  </w:style>
  <w:style w:type="character" w:styleId="HTMLCite">
    <w:name w:val="HTML Cite"/>
    <w:basedOn w:val="DefaultParagraphFont"/>
    <w:uiPriority w:val="99"/>
    <w:semiHidden/>
    <w:unhideWhenUsed/>
    <w:rsid w:val="0026112A"/>
    <w:rPr>
      <w:i/>
      <w:iCs/>
    </w:rPr>
  </w:style>
  <w:style w:type="character" w:styleId="HTMLCode">
    <w:name w:val="HTML Code"/>
    <w:basedOn w:val="DefaultParagraphFont"/>
    <w:uiPriority w:val="99"/>
    <w:semiHidden/>
    <w:unhideWhenUsed/>
    <w:rsid w:val="0026112A"/>
    <w:rPr>
      <w:rFonts w:ascii="Consolas" w:hAnsi="Consolas" w:cs="Consolas"/>
      <w:sz w:val="20"/>
      <w:szCs w:val="20"/>
    </w:rPr>
  </w:style>
  <w:style w:type="character" w:styleId="HTMLDefinition">
    <w:name w:val="HTML Definition"/>
    <w:basedOn w:val="DefaultParagraphFont"/>
    <w:uiPriority w:val="99"/>
    <w:semiHidden/>
    <w:unhideWhenUsed/>
    <w:rsid w:val="0026112A"/>
    <w:rPr>
      <w:i/>
      <w:iCs/>
    </w:rPr>
  </w:style>
  <w:style w:type="character" w:styleId="HTMLKeyboard">
    <w:name w:val="HTML Keyboard"/>
    <w:basedOn w:val="DefaultParagraphFont"/>
    <w:uiPriority w:val="99"/>
    <w:semiHidden/>
    <w:unhideWhenUsed/>
    <w:rsid w:val="0026112A"/>
    <w:rPr>
      <w:rFonts w:ascii="Consolas" w:hAnsi="Consolas" w:cs="Consolas"/>
      <w:sz w:val="20"/>
      <w:szCs w:val="20"/>
    </w:rPr>
  </w:style>
  <w:style w:type="paragraph" w:styleId="HTMLPreformatted">
    <w:name w:val="HTML Preformatted"/>
    <w:basedOn w:val="Normal"/>
    <w:link w:val="HTMLPreformattedChar"/>
    <w:uiPriority w:val="99"/>
    <w:semiHidden/>
    <w:unhideWhenUsed/>
    <w:rsid w:val="0026112A"/>
    <w:pPr>
      <w:spacing w:before="0"/>
    </w:pPr>
    <w:rPr>
      <w:rFonts w:ascii="Consolas" w:hAnsi="Consolas" w:cs="Consolas"/>
    </w:rPr>
  </w:style>
  <w:style w:type="character" w:customStyle="1" w:styleId="HTMLPreformattedChar">
    <w:name w:val="HTML Preformatted Char"/>
    <w:basedOn w:val="DefaultParagraphFont"/>
    <w:link w:val="HTMLPreformatted"/>
    <w:uiPriority w:val="99"/>
    <w:semiHidden/>
    <w:rsid w:val="0026112A"/>
    <w:rPr>
      <w:rFonts w:ascii="Consolas" w:eastAsiaTheme="minorEastAsia" w:hAnsi="Consolas" w:cs="Consolas"/>
      <w:spacing w:val="2"/>
      <w:lang w:eastAsia="en-AU"/>
    </w:rPr>
  </w:style>
  <w:style w:type="character" w:styleId="HTMLSample">
    <w:name w:val="HTML Sample"/>
    <w:basedOn w:val="DefaultParagraphFont"/>
    <w:uiPriority w:val="99"/>
    <w:semiHidden/>
    <w:unhideWhenUsed/>
    <w:rsid w:val="0026112A"/>
    <w:rPr>
      <w:rFonts w:ascii="Consolas" w:hAnsi="Consolas" w:cs="Consolas"/>
      <w:sz w:val="24"/>
      <w:szCs w:val="24"/>
    </w:rPr>
  </w:style>
  <w:style w:type="character" w:styleId="HTMLTypewriter">
    <w:name w:val="HTML Typewriter"/>
    <w:basedOn w:val="DefaultParagraphFont"/>
    <w:uiPriority w:val="99"/>
    <w:semiHidden/>
    <w:unhideWhenUsed/>
    <w:rsid w:val="0026112A"/>
    <w:rPr>
      <w:rFonts w:ascii="Consolas" w:hAnsi="Consolas" w:cs="Consolas"/>
      <w:sz w:val="20"/>
      <w:szCs w:val="20"/>
    </w:rPr>
  </w:style>
  <w:style w:type="character" w:styleId="HTMLVariable">
    <w:name w:val="HTML Variable"/>
    <w:basedOn w:val="DefaultParagraphFont"/>
    <w:uiPriority w:val="99"/>
    <w:semiHidden/>
    <w:unhideWhenUsed/>
    <w:rsid w:val="0026112A"/>
    <w:rPr>
      <w:i/>
      <w:iCs/>
    </w:rPr>
  </w:style>
  <w:style w:type="paragraph" w:styleId="Index1">
    <w:name w:val="index 1"/>
    <w:basedOn w:val="Normal"/>
    <w:next w:val="Normal"/>
    <w:uiPriority w:val="99"/>
    <w:semiHidden/>
    <w:rsid w:val="0026112A"/>
    <w:pPr>
      <w:spacing w:after="60" w:line="240" w:lineRule="auto"/>
    </w:pPr>
    <w:rPr>
      <w:sz w:val="16"/>
    </w:rPr>
  </w:style>
  <w:style w:type="paragraph" w:styleId="Index2">
    <w:name w:val="index 2"/>
    <w:basedOn w:val="Normal"/>
    <w:next w:val="Normal"/>
    <w:uiPriority w:val="99"/>
    <w:semiHidden/>
    <w:rsid w:val="0026112A"/>
    <w:pPr>
      <w:spacing w:after="0" w:line="240" w:lineRule="auto"/>
      <w:ind w:left="216"/>
    </w:pPr>
    <w:rPr>
      <w:sz w:val="16"/>
      <w:szCs w:val="16"/>
    </w:rPr>
  </w:style>
  <w:style w:type="paragraph" w:styleId="Index3">
    <w:name w:val="index 3"/>
    <w:basedOn w:val="Normal"/>
    <w:next w:val="Normal"/>
    <w:autoRedefine/>
    <w:uiPriority w:val="99"/>
    <w:semiHidden/>
    <w:unhideWhenUsed/>
    <w:rsid w:val="0026112A"/>
    <w:pPr>
      <w:spacing w:before="0"/>
      <w:ind w:left="660" w:hanging="220"/>
    </w:pPr>
  </w:style>
  <w:style w:type="paragraph" w:styleId="Index4">
    <w:name w:val="index 4"/>
    <w:basedOn w:val="Normal"/>
    <w:next w:val="Normal"/>
    <w:autoRedefine/>
    <w:uiPriority w:val="99"/>
    <w:semiHidden/>
    <w:unhideWhenUsed/>
    <w:rsid w:val="0026112A"/>
    <w:pPr>
      <w:spacing w:before="0"/>
      <w:ind w:left="880" w:hanging="220"/>
    </w:pPr>
  </w:style>
  <w:style w:type="paragraph" w:styleId="Index5">
    <w:name w:val="index 5"/>
    <w:basedOn w:val="Normal"/>
    <w:next w:val="Normal"/>
    <w:autoRedefine/>
    <w:uiPriority w:val="99"/>
    <w:semiHidden/>
    <w:unhideWhenUsed/>
    <w:rsid w:val="0026112A"/>
    <w:pPr>
      <w:spacing w:before="0"/>
      <w:ind w:left="1100" w:hanging="220"/>
    </w:pPr>
  </w:style>
  <w:style w:type="paragraph" w:styleId="Index6">
    <w:name w:val="index 6"/>
    <w:basedOn w:val="Normal"/>
    <w:next w:val="Normal"/>
    <w:autoRedefine/>
    <w:uiPriority w:val="99"/>
    <w:semiHidden/>
    <w:unhideWhenUsed/>
    <w:rsid w:val="0026112A"/>
    <w:pPr>
      <w:spacing w:before="0"/>
      <w:ind w:left="1320" w:hanging="220"/>
    </w:pPr>
  </w:style>
  <w:style w:type="paragraph" w:styleId="Index7">
    <w:name w:val="index 7"/>
    <w:basedOn w:val="Normal"/>
    <w:next w:val="Normal"/>
    <w:autoRedefine/>
    <w:uiPriority w:val="99"/>
    <w:semiHidden/>
    <w:unhideWhenUsed/>
    <w:rsid w:val="0026112A"/>
    <w:pPr>
      <w:spacing w:before="0"/>
      <w:ind w:left="1540" w:hanging="220"/>
    </w:pPr>
  </w:style>
  <w:style w:type="paragraph" w:styleId="Index8">
    <w:name w:val="index 8"/>
    <w:basedOn w:val="Normal"/>
    <w:next w:val="Normal"/>
    <w:autoRedefine/>
    <w:uiPriority w:val="99"/>
    <w:semiHidden/>
    <w:unhideWhenUsed/>
    <w:rsid w:val="0026112A"/>
    <w:pPr>
      <w:spacing w:before="0"/>
      <w:ind w:left="1760" w:hanging="220"/>
    </w:pPr>
  </w:style>
  <w:style w:type="paragraph" w:styleId="Index9">
    <w:name w:val="index 9"/>
    <w:basedOn w:val="Normal"/>
    <w:next w:val="Normal"/>
    <w:autoRedefine/>
    <w:uiPriority w:val="99"/>
    <w:semiHidden/>
    <w:unhideWhenUsed/>
    <w:rsid w:val="0026112A"/>
    <w:pPr>
      <w:spacing w:before="0"/>
      <w:ind w:left="1980" w:hanging="220"/>
    </w:pPr>
  </w:style>
  <w:style w:type="paragraph" w:styleId="IndexHeading">
    <w:name w:val="index heading"/>
    <w:basedOn w:val="Normal"/>
    <w:next w:val="Index1"/>
    <w:uiPriority w:val="99"/>
    <w:semiHidden/>
    <w:rsid w:val="0026112A"/>
    <w:rPr>
      <w:rFonts w:asciiTheme="majorHAnsi" w:eastAsiaTheme="majorEastAsia" w:hAnsiTheme="majorHAnsi" w:cstheme="majorBidi"/>
      <w:b/>
      <w:bCs/>
    </w:rPr>
  </w:style>
  <w:style w:type="character" w:styleId="IntenseEmphasis">
    <w:name w:val="Intense Emphasis"/>
    <w:basedOn w:val="DefaultParagraphFont"/>
    <w:uiPriority w:val="98"/>
    <w:semiHidden/>
    <w:rsid w:val="0026112A"/>
    <w:rPr>
      <w:b/>
      <w:bCs/>
      <w:i/>
      <w:iCs/>
      <w:color w:val="201547" w:themeColor="accent1"/>
    </w:rPr>
  </w:style>
  <w:style w:type="paragraph" w:styleId="IntenseQuote">
    <w:name w:val="Intense Quote"/>
    <w:basedOn w:val="Normal"/>
    <w:next w:val="Normal"/>
    <w:link w:val="IntenseQuoteChar"/>
    <w:uiPriority w:val="30"/>
    <w:semiHidden/>
    <w:rsid w:val="0026112A"/>
    <w:pPr>
      <w:pBdr>
        <w:bottom w:val="single" w:sz="4" w:space="4" w:color="201547" w:themeColor="accent1"/>
      </w:pBdr>
      <w:spacing w:before="200" w:after="280"/>
      <w:ind w:left="936" w:right="936"/>
    </w:pPr>
    <w:rPr>
      <w:b/>
      <w:bCs/>
      <w:i/>
      <w:iCs/>
      <w:color w:val="201547" w:themeColor="accent1"/>
    </w:rPr>
  </w:style>
  <w:style w:type="character" w:customStyle="1" w:styleId="IntenseQuoteChar">
    <w:name w:val="Intense Quote Char"/>
    <w:basedOn w:val="DefaultParagraphFont"/>
    <w:link w:val="IntenseQuote"/>
    <w:uiPriority w:val="30"/>
    <w:semiHidden/>
    <w:rsid w:val="0026112A"/>
    <w:rPr>
      <w:rFonts w:eastAsiaTheme="minorEastAsia"/>
      <w:b/>
      <w:bCs/>
      <w:i/>
      <w:iCs/>
      <w:color w:val="201547" w:themeColor="accent1"/>
      <w:spacing w:val="2"/>
      <w:lang w:eastAsia="en-AU"/>
    </w:rPr>
  </w:style>
  <w:style w:type="character" w:styleId="IntenseReference">
    <w:name w:val="Intense Reference"/>
    <w:basedOn w:val="DefaultParagraphFont"/>
    <w:uiPriority w:val="32"/>
    <w:semiHidden/>
    <w:rsid w:val="0026112A"/>
    <w:rPr>
      <w:b/>
      <w:bCs/>
      <w:smallCaps/>
      <w:color w:val="004EA8" w:themeColor="accent2"/>
      <w:spacing w:val="5"/>
      <w:u w:val="single"/>
    </w:rPr>
  </w:style>
  <w:style w:type="table" w:styleId="LightGrid">
    <w:name w:val="Light Grid"/>
    <w:basedOn w:val="TableNormal"/>
    <w:uiPriority w:val="62"/>
    <w:rsid w:val="0026112A"/>
    <w:pPr>
      <w:spacing w:before="0" w:after="10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6112A"/>
    <w:pPr>
      <w:spacing w:before="0" w:after="100"/>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rsid w:val="0026112A"/>
    <w:pPr>
      <w:spacing w:before="0" w:after="100"/>
    </w:pPr>
    <w:tblPr>
      <w:tblStyleRowBandSize w:val="1"/>
      <w:tblStyleColBandSize w:val="1"/>
      <w:tblBorders>
        <w:top w:val="single" w:sz="8" w:space="0" w:color="004EA8" w:themeColor="accent2"/>
        <w:left w:val="single" w:sz="8" w:space="0" w:color="004EA8" w:themeColor="accent2"/>
        <w:bottom w:val="single" w:sz="8" w:space="0" w:color="004EA8" w:themeColor="accent2"/>
        <w:right w:val="single" w:sz="8" w:space="0" w:color="004EA8" w:themeColor="accent2"/>
        <w:insideH w:val="single" w:sz="8" w:space="0" w:color="004EA8" w:themeColor="accent2"/>
        <w:insideV w:val="single" w:sz="8" w:space="0" w:color="004E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EA8" w:themeColor="accent2"/>
          <w:left w:val="single" w:sz="8" w:space="0" w:color="004EA8" w:themeColor="accent2"/>
          <w:bottom w:val="single" w:sz="18" w:space="0" w:color="004EA8" w:themeColor="accent2"/>
          <w:right w:val="single" w:sz="8" w:space="0" w:color="004EA8" w:themeColor="accent2"/>
          <w:insideH w:val="nil"/>
          <w:insideV w:val="single" w:sz="8" w:space="0" w:color="004E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2"/>
          <w:left w:val="single" w:sz="8" w:space="0" w:color="004EA8" w:themeColor="accent2"/>
          <w:bottom w:val="single" w:sz="8" w:space="0" w:color="004EA8" w:themeColor="accent2"/>
          <w:right w:val="single" w:sz="8" w:space="0" w:color="004EA8" w:themeColor="accent2"/>
          <w:insideH w:val="nil"/>
          <w:insideV w:val="single" w:sz="8" w:space="0" w:color="004E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2"/>
          <w:left w:val="single" w:sz="8" w:space="0" w:color="004EA8" w:themeColor="accent2"/>
          <w:bottom w:val="single" w:sz="8" w:space="0" w:color="004EA8" w:themeColor="accent2"/>
          <w:right w:val="single" w:sz="8" w:space="0" w:color="004EA8" w:themeColor="accent2"/>
        </w:tcBorders>
      </w:tcPr>
    </w:tblStylePr>
    <w:tblStylePr w:type="band1Vert">
      <w:tblPr/>
      <w:tcPr>
        <w:tcBorders>
          <w:top w:val="single" w:sz="8" w:space="0" w:color="004EA8" w:themeColor="accent2"/>
          <w:left w:val="single" w:sz="8" w:space="0" w:color="004EA8" w:themeColor="accent2"/>
          <w:bottom w:val="single" w:sz="8" w:space="0" w:color="004EA8" w:themeColor="accent2"/>
          <w:right w:val="single" w:sz="8" w:space="0" w:color="004EA8" w:themeColor="accent2"/>
        </w:tcBorders>
        <w:shd w:val="clear" w:color="auto" w:fill="AAD1FF" w:themeFill="accent2" w:themeFillTint="3F"/>
      </w:tcPr>
    </w:tblStylePr>
    <w:tblStylePr w:type="band1Horz">
      <w:tblPr/>
      <w:tcPr>
        <w:tcBorders>
          <w:top w:val="single" w:sz="8" w:space="0" w:color="004EA8" w:themeColor="accent2"/>
          <w:left w:val="single" w:sz="8" w:space="0" w:color="004EA8" w:themeColor="accent2"/>
          <w:bottom w:val="single" w:sz="8" w:space="0" w:color="004EA8" w:themeColor="accent2"/>
          <w:right w:val="single" w:sz="8" w:space="0" w:color="004EA8" w:themeColor="accent2"/>
          <w:insideV w:val="single" w:sz="8" w:space="0" w:color="004EA8" w:themeColor="accent2"/>
        </w:tcBorders>
        <w:shd w:val="clear" w:color="auto" w:fill="AAD1FF" w:themeFill="accent2" w:themeFillTint="3F"/>
      </w:tcPr>
    </w:tblStylePr>
    <w:tblStylePr w:type="band2Horz">
      <w:tblPr/>
      <w:tcPr>
        <w:tcBorders>
          <w:top w:val="single" w:sz="8" w:space="0" w:color="004EA8" w:themeColor="accent2"/>
          <w:left w:val="single" w:sz="8" w:space="0" w:color="004EA8" w:themeColor="accent2"/>
          <w:bottom w:val="single" w:sz="8" w:space="0" w:color="004EA8" w:themeColor="accent2"/>
          <w:right w:val="single" w:sz="8" w:space="0" w:color="004EA8" w:themeColor="accent2"/>
          <w:insideV w:val="single" w:sz="8" w:space="0" w:color="004EA8" w:themeColor="accent2"/>
        </w:tcBorders>
      </w:tcPr>
    </w:tblStylePr>
  </w:style>
  <w:style w:type="table" w:styleId="LightGrid-Accent3">
    <w:name w:val="Light Grid Accent 3"/>
    <w:basedOn w:val="TableNormal"/>
    <w:uiPriority w:val="62"/>
    <w:rsid w:val="0026112A"/>
    <w:pPr>
      <w:spacing w:before="0" w:after="10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rsid w:val="0026112A"/>
    <w:pPr>
      <w:spacing w:before="0" w:after="100"/>
    </w:p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insideH w:val="single" w:sz="8" w:space="0" w:color="8F8AA3" w:themeColor="accent4"/>
        <w:insideV w:val="single" w:sz="8" w:space="0" w:color="8F8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8AA3" w:themeColor="accent4"/>
          <w:left w:val="single" w:sz="8" w:space="0" w:color="8F8AA3" w:themeColor="accent4"/>
          <w:bottom w:val="single" w:sz="18" w:space="0" w:color="8F8AA3" w:themeColor="accent4"/>
          <w:right w:val="single" w:sz="8" w:space="0" w:color="8F8AA3" w:themeColor="accent4"/>
          <w:insideH w:val="nil"/>
          <w:insideV w:val="single" w:sz="8" w:space="0" w:color="8F8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8AA3" w:themeColor="accent4"/>
          <w:left w:val="single" w:sz="8" w:space="0" w:color="8F8AA3" w:themeColor="accent4"/>
          <w:bottom w:val="single" w:sz="8" w:space="0" w:color="8F8AA3" w:themeColor="accent4"/>
          <w:right w:val="single" w:sz="8" w:space="0" w:color="8F8AA3" w:themeColor="accent4"/>
          <w:insideH w:val="nil"/>
          <w:insideV w:val="single" w:sz="8" w:space="0" w:color="8F8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tblStylePr w:type="band1Vert">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shd w:val="clear" w:color="auto" w:fill="E3E2E8" w:themeFill="accent4" w:themeFillTint="3F"/>
      </w:tcPr>
    </w:tblStylePr>
    <w:tblStylePr w:type="band1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insideV w:val="single" w:sz="8" w:space="0" w:color="8F8AA3" w:themeColor="accent4"/>
        </w:tcBorders>
        <w:shd w:val="clear" w:color="auto" w:fill="E3E2E8" w:themeFill="accent4" w:themeFillTint="3F"/>
      </w:tcPr>
    </w:tblStylePr>
    <w:tblStylePr w:type="band2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insideV w:val="single" w:sz="8" w:space="0" w:color="8F8AA3" w:themeColor="accent4"/>
        </w:tcBorders>
      </w:tcPr>
    </w:tblStylePr>
  </w:style>
  <w:style w:type="table" w:styleId="LightGrid-Accent5">
    <w:name w:val="Light Grid Accent 5"/>
    <w:basedOn w:val="TableNormal"/>
    <w:uiPriority w:val="62"/>
    <w:rsid w:val="0026112A"/>
    <w:pPr>
      <w:spacing w:before="0" w:after="100"/>
    </w:p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insideH w:val="single" w:sz="8" w:space="0" w:color="99B8DC" w:themeColor="accent5"/>
        <w:insideV w:val="single" w:sz="8" w:space="0" w:color="99B8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B8DC" w:themeColor="accent5"/>
          <w:left w:val="single" w:sz="8" w:space="0" w:color="99B8DC" w:themeColor="accent5"/>
          <w:bottom w:val="single" w:sz="18" w:space="0" w:color="99B8DC" w:themeColor="accent5"/>
          <w:right w:val="single" w:sz="8" w:space="0" w:color="99B8DC" w:themeColor="accent5"/>
          <w:insideH w:val="nil"/>
          <w:insideV w:val="single" w:sz="8" w:space="0" w:color="99B8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B8DC" w:themeColor="accent5"/>
          <w:left w:val="single" w:sz="8" w:space="0" w:color="99B8DC" w:themeColor="accent5"/>
          <w:bottom w:val="single" w:sz="8" w:space="0" w:color="99B8DC" w:themeColor="accent5"/>
          <w:right w:val="single" w:sz="8" w:space="0" w:color="99B8DC" w:themeColor="accent5"/>
          <w:insideH w:val="nil"/>
          <w:insideV w:val="single" w:sz="8" w:space="0" w:color="99B8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tblStylePr w:type="band1Vert">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shd w:val="clear" w:color="auto" w:fill="E5EDF6" w:themeFill="accent5" w:themeFillTint="3F"/>
      </w:tcPr>
    </w:tblStylePr>
    <w:tblStylePr w:type="band1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insideV w:val="single" w:sz="8" w:space="0" w:color="99B8DC" w:themeColor="accent5"/>
        </w:tcBorders>
        <w:shd w:val="clear" w:color="auto" w:fill="E5EDF6" w:themeFill="accent5" w:themeFillTint="3F"/>
      </w:tcPr>
    </w:tblStylePr>
    <w:tblStylePr w:type="band2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insideV w:val="single" w:sz="8" w:space="0" w:color="99B8DC" w:themeColor="accent5"/>
        </w:tcBorders>
      </w:tcPr>
    </w:tblStylePr>
  </w:style>
  <w:style w:type="table" w:styleId="LightGrid-Accent6">
    <w:name w:val="Light Grid Accent 6"/>
    <w:basedOn w:val="TableNormal"/>
    <w:uiPriority w:val="62"/>
    <w:rsid w:val="0026112A"/>
    <w:pPr>
      <w:spacing w:before="0" w:after="100"/>
    </w:p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insideH w:val="single" w:sz="8" w:space="0" w:color="CCE3F5" w:themeColor="accent6"/>
        <w:insideV w:val="single" w:sz="8" w:space="0" w:color="CCE3F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3F5" w:themeColor="accent6"/>
          <w:left w:val="single" w:sz="8" w:space="0" w:color="CCE3F5" w:themeColor="accent6"/>
          <w:bottom w:val="single" w:sz="18" w:space="0" w:color="CCE3F5" w:themeColor="accent6"/>
          <w:right w:val="single" w:sz="8" w:space="0" w:color="CCE3F5" w:themeColor="accent6"/>
          <w:insideH w:val="nil"/>
          <w:insideV w:val="single" w:sz="8" w:space="0" w:color="CCE3F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3F5" w:themeColor="accent6"/>
          <w:left w:val="single" w:sz="8" w:space="0" w:color="CCE3F5" w:themeColor="accent6"/>
          <w:bottom w:val="single" w:sz="8" w:space="0" w:color="CCE3F5" w:themeColor="accent6"/>
          <w:right w:val="single" w:sz="8" w:space="0" w:color="CCE3F5" w:themeColor="accent6"/>
          <w:insideH w:val="nil"/>
          <w:insideV w:val="single" w:sz="8" w:space="0" w:color="CCE3F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tcPr>
    </w:tblStylePr>
    <w:tblStylePr w:type="band1Vert">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shd w:val="clear" w:color="auto" w:fill="F2F7FC" w:themeFill="accent6" w:themeFillTint="3F"/>
      </w:tcPr>
    </w:tblStylePr>
    <w:tblStylePr w:type="band1Horz">
      <w:tblPr/>
      <w:tcPr>
        <w:tcBorders>
          <w:top w:val="single" w:sz="8" w:space="0" w:color="CCE3F5" w:themeColor="accent6"/>
          <w:left w:val="single" w:sz="8" w:space="0" w:color="CCE3F5" w:themeColor="accent6"/>
          <w:bottom w:val="single" w:sz="8" w:space="0" w:color="CCE3F5" w:themeColor="accent6"/>
          <w:right w:val="single" w:sz="8" w:space="0" w:color="CCE3F5" w:themeColor="accent6"/>
          <w:insideV w:val="single" w:sz="8" w:space="0" w:color="CCE3F5" w:themeColor="accent6"/>
        </w:tcBorders>
        <w:shd w:val="clear" w:color="auto" w:fill="F2F7FC" w:themeFill="accent6" w:themeFillTint="3F"/>
      </w:tcPr>
    </w:tblStylePr>
    <w:tblStylePr w:type="band2Horz">
      <w:tblPr/>
      <w:tcPr>
        <w:tcBorders>
          <w:top w:val="single" w:sz="8" w:space="0" w:color="CCE3F5" w:themeColor="accent6"/>
          <w:left w:val="single" w:sz="8" w:space="0" w:color="CCE3F5" w:themeColor="accent6"/>
          <w:bottom w:val="single" w:sz="8" w:space="0" w:color="CCE3F5" w:themeColor="accent6"/>
          <w:right w:val="single" w:sz="8" w:space="0" w:color="CCE3F5" w:themeColor="accent6"/>
          <w:insideV w:val="single" w:sz="8" w:space="0" w:color="CCE3F5" w:themeColor="accent6"/>
        </w:tcBorders>
      </w:tcPr>
    </w:tblStylePr>
  </w:style>
  <w:style w:type="table" w:styleId="LightList-Accent1">
    <w:name w:val="Light List Accent 1"/>
    <w:basedOn w:val="TableNormal"/>
    <w:uiPriority w:val="61"/>
    <w:rsid w:val="0026112A"/>
    <w:pPr>
      <w:spacing w:before="0" w:after="0" w:line="240" w:lineRule="auto"/>
    </w:pPr>
    <w:rPr>
      <w:rFonts w:eastAsiaTheme="minorEastAsia"/>
      <w:lang w:eastAsia="en-AU"/>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rsid w:val="0026112A"/>
    <w:pPr>
      <w:spacing w:before="0" w:after="100"/>
    </w:pPr>
    <w:tblPr>
      <w:tblStyleRowBandSize w:val="1"/>
      <w:tblStyleColBandSize w:val="1"/>
      <w:tblBorders>
        <w:top w:val="single" w:sz="8" w:space="0" w:color="004EA8" w:themeColor="accent2"/>
        <w:left w:val="single" w:sz="8" w:space="0" w:color="004EA8" w:themeColor="accent2"/>
        <w:bottom w:val="single" w:sz="8" w:space="0" w:color="004EA8" w:themeColor="accent2"/>
        <w:right w:val="single" w:sz="8" w:space="0" w:color="004EA8" w:themeColor="accent2"/>
      </w:tblBorders>
    </w:tblPr>
    <w:tblStylePr w:type="firstRow">
      <w:pPr>
        <w:spacing w:before="0" w:after="0" w:line="240" w:lineRule="auto"/>
      </w:pPr>
      <w:rPr>
        <w:b/>
        <w:bCs/>
        <w:color w:val="FFFFFF" w:themeColor="background1"/>
      </w:rPr>
      <w:tblPr/>
      <w:tcPr>
        <w:shd w:val="clear" w:color="auto" w:fill="004EA8" w:themeFill="accent2"/>
      </w:tcPr>
    </w:tblStylePr>
    <w:tblStylePr w:type="lastRow">
      <w:pPr>
        <w:spacing w:before="0" w:after="0" w:line="240" w:lineRule="auto"/>
      </w:pPr>
      <w:rPr>
        <w:b/>
        <w:bCs/>
      </w:rPr>
      <w:tblPr/>
      <w:tcPr>
        <w:tcBorders>
          <w:top w:val="double" w:sz="6" w:space="0" w:color="004EA8" w:themeColor="accent2"/>
          <w:left w:val="single" w:sz="8" w:space="0" w:color="004EA8" w:themeColor="accent2"/>
          <w:bottom w:val="single" w:sz="8" w:space="0" w:color="004EA8" w:themeColor="accent2"/>
          <w:right w:val="single" w:sz="8" w:space="0" w:color="004EA8" w:themeColor="accent2"/>
        </w:tcBorders>
      </w:tcPr>
    </w:tblStylePr>
    <w:tblStylePr w:type="firstCol">
      <w:rPr>
        <w:b/>
        <w:bCs/>
      </w:rPr>
    </w:tblStylePr>
    <w:tblStylePr w:type="lastCol">
      <w:rPr>
        <w:b/>
        <w:bCs/>
      </w:rPr>
    </w:tblStylePr>
    <w:tblStylePr w:type="band1Vert">
      <w:tblPr/>
      <w:tcPr>
        <w:tcBorders>
          <w:top w:val="single" w:sz="8" w:space="0" w:color="004EA8" w:themeColor="accent2"/>
          <w:left w:val="single" w:sz="8" w:space="0" w:color="004EA8" w:themeColor="accent2"/>
          <w:bottom w:val="single" w:sz="8" w:space="0" w:color="004EA8" w:themeColor="accent2"/>
          <w:right w:val="single" w:sz="8" w:space="0" w:color="004EA8" w:themeColor="accent2"/>
        </w:tcBorders>
      </w:tcPr>
    </w:tblStylePr>
    <w:tblStylePr w:type="band1Horz">
      <w:tblPr/>
      <w:tcPr>
        <w:tcBorders>
          <w:top w:val="single" w:sz="8" w:space="0" w:color="004EA8" w:themeColor="accent2"/>
          <w:left w:val="single" w:sz="8" w:space="0" w:color="004EA8" w:themeColor="accent2"/>
          <w:bottom w:val="single" w:sz="8" w:space="0" w:color="004EA8" w:themeColor="accent2"/>
          <w:right w:val="single" w:sz="8" w:space="0" w:color="004EA8" w:themeColor="accent2"/>
        </w:tcBorders>
      </w:tcPr>
    </w:tblStylePr>
  </w:style>
  <w:style w:type="table" w:styleId="LightList-Accent3">
    <w:name w:val="Light List Accent 3"/>
    <w:basedOn w:val="TableNormal"/>
    <w:uiPriority w:val="61"/>
    <w:rsid w:val="0026112A"/>
    <w:pPr>
      <w:spacing w:before="0" w:after="10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rsid w:val="0026112A"/>
    <w:pPr>
      <w:spacing w:before="0" w:after="0" w:line="240" w:lineRule="auto"/>
    </w:pPr>
    <w:rPr>
      <w:rFonts w:eastAsiaTheme="minorEastAsia"/>
      <w:lang w:eastAsia="en-AU"/>
    </w:r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tblBorders>
    </w:tblPr>
    <w:tblStylePr w:type="firstRow">
      <w:pPr>
        <w:spacing w:before="0" w:after="0" w:line="240" w:lineRule="auto"/>
      </w:pPr>
      <w:rPr>
        <w:b/>
        <w:bCs/>
        <w:color w:val="FFFFFF" w:themeColor="background1"/>
      </w:rPr>
      <w:tblPr/>
      <w:tcPr>
        <w:shd w:val="clear" w:color="auto" w:fill="8F8AA3" w:themeFill="accent4"/>
      </w:tcPr>
    </w:tblStylePr>
    <w:tblStylePr w:type="lastRow">
      <w:pPr>
        <w:spacing w:before="0" w:after="0" w:line="240" w:lineRule="auto"/>
      </w:pPr>
      <w:rPr>
        <w:b/>
        <w:bCs/>
      </w:rPr>
      <w:tblPr/>
      <w:tcPr>
        <w:tcBorders>
          <w:top w:val="double" w:sz="6" w:space="0" w:color="8F8AA3" w:themeColor="accent4"/>
          <w:left w:val="single" w:sz="8" w:space="0" w:color="8F8AA3" w:themeColor="accent4"/>
          <w:bottom w:val="single" w:sz="8" w:space="0" w:color="8F8AA3" w:themeColor="accent4"/>
          <w:right w:val="single" w:sz="8" w:space="0" w:color="8F8AA3" w:themeColor="accent4"/>
        </w:tcBorders>
      </w:tcPr>
    </w:tblStylePr>
    <w:tblStylePr w:type="firstCol">
      <w:rPr>
        <w:b/>
        <w:bCs/>
      </w:rPr>
    </w:tblStylePr>
    <w:tblStylePr w:type="lastCol">
      <w:rPr>
        <w:b/>
        <w:bCs/>
      </w:rPr>
    </w:tblStylePr>
    <w:tblStylePr w:type="band1Vert">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tblStylePr w:type="band1Horz">
      <w:tblPr/>
      <w:tcPr>
        <w:tcBorders>
          <w:top w:val="single" w:sz="8" w:space="0" w:color="8F8AA3" w:themeColor="accent4"/>
          <w:left w:val="single" w:sz="8" w:space="0" w:color="8F8AA3" w:themeColor="accent4"/>
          <w:bottom w:val="single" w:sz="8" w:space="0" w:color="8F8AA3" w:themeColor="accent4"/>
          <w:right w:val="single" w:sz="8" w:space="0" w:color="8F8AA3" w:themeColor="accent4"/>
        </w:tcBorders>
      </w:tcPr>
    </w:tblStylePr>
  </w:style>
  <w:style w:type="table" w:styleId="LightList-Accent5">
    <w:name w:val="Light List Accent 5"/>
    <w:basedOn w:val="TableNormal"/>
    <w:uiPriority w:val="61"/>
    <w:rsid w:val="0026112A"/>
    <w:pPr>
      <w:spacing w:before="0" w:after="100"/>
    </w:p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tblBorders>
    </w:tblPr>
    <w:tblStylePr w:type="firstRow">
      <w:pPr>
        <w:spacing w:before="0" w:after="0" w:line="240" w:lineRule="auto"/>
      </w:pPr>
      <w:rPr>
        <w:b/>
        <w:bCs/>
        <w:color w:val="FFFFFF" w:themeColor="background1"/>
      </w:rPr>
      <w:tblPr/>
      <w:tcPr>
        <w:shd w:val="clear" w:color="auto" w:fill="99B8DC" w:themeFill="accent5"/>
      </w:tcPr>
    </w:tblStylePr>
    <w:tblStylePr w:type="lastRow">
      <w:pPr>
        <w:spacing w:before="0" w:after="0" w:line="240" w:lineRule="auto"/>
      </w:pPr>
      <w:rPr>
        <w:b/>
        <w:bCs/>
      </w:rPr>
      <w:tblPr/>
      <w:tcPr>
        <w:tcBorders>
          <w:top w:val="double" w:sz="6" w:space="0" w:color="99B8DC" w:themeColor="accent5"/>
          <w:left w:val="single" w:sz="8" w:space="0" w:color="99B8DC" w:themeColor="accent5"/>
          <w:bottom w:val="single" w:sz="8" w:space="0" w:color="99B8DC" w:themeColor="accent5"/>
          <w:right w:val="single" w:sz="8" w:space="0" w:color="99B8DC" w:themeColor="accent5"/>
        </w:tcBorders>
      </w:tcPr>
    </w:tblStylePr>
    <w:tblStylePr w:type="firstCol">
      <w:rPr>
        <w:b/>
        <w:bCs/>
      </w:rPr>
    </w:tblStylePr>
    <w:tblStylePr w:type="lastCol">
      <w:rPr>
        <w:b/>
        <w:bCs/>
      </w:rPr>
    </w:tblStylePr>
    <w:tblStylePr w:type="band1Vert">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tblStylePr w:type="band1Horz">
      <w:tblPr/>
      <w:tcPr>
        <w:tcBorders>
          <w:top w:val="single" w:sz="8" w:space="0" w:color="99B8DC" w:themeColor="accent5"/>
          <w:left w:val="single" w:sz="8" w:space="0" w:color="99B8DC" w:themeColor="accent5"/>
          <w:bottom w:val="single" w:sz="8" w:space="0" w:color="99B8DC" w:themeColor="accent5"/>
          <w:right w:val="single" w:sz="8" w:space="0" w:color="99B8DC" w:themeColor="accent5"/>
        </w:tcBorders>
      </w:tcPr>
    </w:tblStylePr>
  </w:style>
  <w:style w:type="table" w:styleId="LightList-Accent6">
    <w:name w:val="Light List Accent 6"/>
    <w:basedOn w:val="TableNormal"/>
    <w:uiPriority w:val="61"/>
    <w:rsid w:val="0026112A"/>
    <w:pPr>
      <w:spacing w:before="0" w:after="100"/>
    </w:p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tblBorders>
    </w:tblPr>
    <w:tblStylePr w:type="firstRow">
      <w:pPr>
        <w:spacing w:before="0" w:after="0" w:line="240" w:lineRule="auto"/>
      </w:pPr>
      <w:rPr>
        <w:b/>
        <w:bCs/>
        <w:color w:val="FFFFFF" w:themeColor="background1"/>
      </w:rPr>
      <w:tblPr/>
      <w:tcPr>
        <w:shd w:val="clear" w:color="auto" w:fill="CCE3F5" w:themeFill="accent6"/>
      </w:tcPr>
    </w:tblStylePr>
    <w:tblStylePr w:type="lastRow">
      <w:pPr>
        <w:spacing w:before="0" w:after="0" w:line="240" w:lineRule="auto"/>
      </w:pPr>
      <w:rPr>
        <w:b/>
        <w:bCs/>
      </w:rPr>
      <w:tblPr/>
      <w:tcPr>
        <w:tcBorders>
          <w:top w:val="double" w:sz="6" w:space="0" w:color="CCE3F5" w:themeColor="accent6"/>
          <w:left w:val="single" w:sz="8" w:space="0" w:color="CCE3F5" w:themeColor="accent6"/>
          <w:bottom w:val="single" w:sz="8" w:space="0" w:color="CCE3F5" w:themeColor="accent6"/>
          <w:right w:val="single" w:sz="8" w:space="0" w:color="CCE3F5" w:themeColor="accent6"/>
        </w:tcBorders>
      </w:tcPr>
    </w:tblStylePr>
    <w:tblStylePr w:type="firstCol">
      <w:rPr>
        <w:b/>
        <w:bCs/>
      </w:rPr>
    </w:tblStylePr>
    <w:tblStylePr w:type="lastCol">
      <w:rPr>
        <w:b/>
        <w:bCs/>
      </w:rPr>
    </w:tblStylePr>
    <w:tblStylePr w:type="band1Vert">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tcPr>
    </w:tblStylePr>
    <w:tblStylePr w:type="band1Horz">
      <w:tblPr/>
      <w:tcPr>
        <w:tcBorders>
          <w:top w:val="single" w:sz="8" w:space="0" w:color="CCE3F5" w:themeColor="accent6"/>
          <w:left w:val="single" w:sz="8" w:space="0" w:color="CCE3F5" w:themeColor="accent6"/>
          <w:bottom w:val="single" w:sz="8" w:space="0" w:color="CCE3F5" w:themeColor="accent6"/>
          <w:right w:val="single" w:sz="8" w:space="0" w:color="CCE3F5" w:themeColor="accent6"/>
        </w:tcBorders>
      </w:tcPr>
    </w:tblStylePr>
  </w:style>
  <w:style w:type="table" w:styleId="LightShading-Accent3">
    <w:name w:val="Light Shading Accent 3"/>
    <w:basedOn w:val="TableNormal"/>
    <w:uiPriority w:val="60"/>
    <w:rsid w:val="0026112A"/>
    <w:pPr>
      <w:spacing w:before="0" w:after="10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5">
    <w:name w:val="Light Shading Accent 5"/>
    <w:basedOn w:val="TableNormal"/>
    <w:uiPriority w:val="60"/>
    <w:rsid w:val="0026112A"/>
    <w:pPr>
      <w:spacing w:before="0" w:after="100"/>
    </w:pPr>
    <w:rPr>
      <w:color w:val="5387C4" w:themeColor="accent5" w:themeShade="BF"/>
    </w:rPr>
    <w:tblPr>
      <w:tblStyleRowBandSize w:val="1"/>
      <w:tblStyleColBandSize w:val="1"/>
      <w:tblBorders>
        <w:top w:val="single" w:sz="8" w:space="0" w:color="99B8DC" w:themeColor="accent5"/>
        <w:bottom w:val="single" w:sz="8" w:space="0" w:color="99B8DC" w:themeColor="accent5"/>
      </w:tblBorders>
    </w:tblPr>
    <w:tblStylePr w:type="firstRow">
      <w:pPr>
        <w:spacing w:before="0" w:after="0" w:line="240" w:lineRule="auto"/>
      </w:pPr>
      <w:rPr>
        <w:b/>
        <w:bCs/>
      </w:rPr>
      <w:tblPr/>
      <w:tcPr>
        <w:tcBorders>
          <w:top w:val="single" w:sz="8" w:space="0" w:color="99B8DC" w:themeColor="accent5"/>
          <w:left w:val="nil"/>
          <w:bottom w:val="single" w:sz="8" w:space="0" w:color="99B8DC" w:themeColor="accent5"/>
          <w:right w:val="nil"/>
          <w:insideH w:val="nil"/>
          <w:insideV w:val="nil"/>
        </w:tcBorders>
      </w:tcPr>
    </w:tblStylePr>
    <w:tblStylePr w:type="lastRow">
      <w:pPr>
        <w:spacing w:before="0" w:after="0" w:line="240" w:lineRule="auto"/>
      </w:pPr>
      <w:rPr>
        <w:b/>
        <w:bCs/>
      </w:rPr>
      <w:tblPr/>
      <w:tcPr>
        <w:tcBorders>
          <w:top w:val="single" w:sz="8" w:space="0" w:color="99B8DC" w:themeColor="accent5"/>
          <w:left w:val="nil"/>
          <w:bottom w:val="single" w:sz="8" w:space="0" w:color="99B8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DF6" w:themeFill="accent5" w:themeFillTint="3F"/>
      </w:tcPr>
    </w:tblStylePr>
    <w:tblStylePr w:type="band1Horz">
      <w:tblPr/>
      <w:tcPr>
        <w:tcBorders>
          <w:left w:val="nil"/>
          <w:right w:val="nil"/>
          <w:insideH w:val="nil"/>
          <w:insideV w:val="nil"/>
        </w:tcBorders>
        <w:shd w:val="clear" w:color="auto" w:fill="E5EDF6" w:themeFill="accent5" w:themeFillTint="3F"/>
      </w:tcPr>
    </w:tblStylePr>
  </w:style>
  <w:style w:type="table" w:styleId="LightShading-Accent6">
    <w:name w:val="Light Shading Accent 6"/>
    <w:basedOn w:val="TableNormal"/>
    <w:uiPriority w:val="60"/>
    <w:rsid w:val="0026112A"/>
    <w:pPr>
      <w:spacing w:before="0" w:after="100"/>
    </w:pPr>
    <w:rPr>
      <w:color w:val="6DAFE2" w:themeColor="accent6" w:themeShade="BF"/>
    </w:rPr>
    <w:tblPr>
      <w:tblStyleRowBandSize w:val="1"/>
      <w:tblStyleColBandSize w:val="1"/>
      <w:tblBorders>
        <w:top w:val="single" w:sz="8" w:space="0" w:color="CCE3F5" w:themeColor="accent6"/>
        <w:bottom w:val="single" w:sz="8" w:space="0" w:color="CCE3F5" w:themeColor="accent6"/>
      </w:tblBorders>
    </w:tblPr>
    <w:tblStylePr w:type="firstRow">
      <w:pPr>
        <w:spacing w:before="0" w:after="0" w:line="240" w:lineRule="auto"/>
      </w:pPr>
      <w:rPr>
        <w:b/>
        <w:bCs/>
      </w:rPr>
      <w:tblPr/>
      <w:tcPr>
        <w:tcBorders>
          <w:top w:val="single" w:sz="8" w:space="0" w:color="CCE3F5" w:themeColor="accent6"/>
          <w:left w:val="nil"/>
          <w:bottom w:val="single" w:sz="8" w:space="0" w:color="CCE3F5" w:themeColor="accent6"/>
          <w:right w:val="nil"/>
          <w:insideH w:val="nil"/>
          <w:insideV w:val="nil"/>
        </w:tcBorders>
      </w:tcPr>
    </w:tblStylePr>
    <w:tblStylePr w:type="lastRow">
      <w:pPr>
        <w:spacing w:before="0" w:after="0" w:line="240" w:lineRule="auto"/>
      </w:pPr>
      <w:rPr>
        <w:b/>
        <w:bCs/>
      </w:rPr>
      <w:tblPr/>
      <w:tcPr>
        <w:tcBorders>
          <w:top w:val="single" w:sz="8" w:space="0" w:color="CCE3F5" w:themeColor="accent6"/>
          <w:left w:val="nil"/>
          <w:bottom w:val="single" w:sz="8" w:space="0" w:color="CCE3F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7FC" w:themeFill="accent6" w:themeFillTint="3F"/>
      </w:tcPr>
    </w:tblStylePr>
    <w:tblStylePr w:type="band1Horz">
      <w:tblPr/>
      <w:tcPr>
        <w:tcBorders>
          <w:left w:val="nil"/>
          <w:right w:val="nil"/>
          <w:insideH w:val="nil"/>
          <w:insideV w:val="nil"/>
        </w:tcBorders>
        <w:shd w:val="clear" w:color="auto" w:fill="F2F7FC" w:themeFill="accent6" w:themeFillTint="3F"/>
      </w:tcPr>
    </w:tblStylePr>
  </w:style>
  <w:style w:type="character" w:styleId="LineNumber">
    <w:name w:val="line number"/>
    <w:basedOn w:val="DefaultParagraphFont"/>
    <w:uiPriority w:val="99"/>
    <w:semiHidden/>
    <w:unhideWhenUsed/>
    <w:rsid w:val="0026112A"/>
  </w:style>
  <w:style w:type="paragraph" w:styleId="List2">
    <w:name w:val="List 2"/>
    <w:basedOn w:val="Normal"/>
    <w:uiPriority w:val="29"/>
    <w:semiHidden/>
    <w:rsid w:val="0026112A"/>
    <w:pPr>
      <w:ind w:left="566" w:hanging="283"/>
      <w:contextualSpacing/>
    </w:pPr>
  </w:style>
  <w:style w:type="paragraph" w:styleId="List3">
    <w:name w:val="List 3"/>
    <w:basedOn w:val="Normal"/>
    <w:uiPriority w:val="29"/>
    <w:semiHidden/>
    <w:unhideWhenUsed/>
    <w:rsid w:val="0026112A"/>
    <w:pPr>
      <w:ind w:left="849" w:hanging="283"/>
      <w:contextualSpacing/>
    </w:pPr>
  </w:style>
  <w:style w:type="paragraph" w:styleId="List4">
    <w:name w:val="List 4"/>
    <w:basedOn w:val="Normal"/>
    <w:uiPriority w:val="29"/>
    <w:semiHidden/>
    <w:unhideWhenUsed/>
    <w:rsid w:val="0026112A"/>
    <w:pPr>
      <w:ind w:left="1132" w:hanging="283"/>
      <w:contextualSpacing/>
    </w:pPr>
  </w:style>
  <w:style w:type="paragraph" w:styleId="List5">
    <w:name w:val="List 5"/>
    <w:basedOn w:val="Normal"/>
    <w:uiPriority w:val="29"/>
    <w:semiHidden/>
    <w:unhideWhenUsed/>
    <w:rsid w:val="0026112A"/>
    <w:pPr>
      <w:ind w:left="1415" w:hanging="283"/>
      <w:contextualSpacing/>
    </w:pPr>
  </w:style>
  <w:style w:type="paragraph" w:styleId="MacroText">
    <w:name w:val="macro"/>
    <w:link w:val="MacroTextChar"/>
    <w:uiPriority w:val="99"/>
    <w:semiHidden/>
    <w:unhideWhenUsed/>
    <w:rsid w:val="0026112A"/>
    <w:pPr>
      <w:keepLines/>
      <w:tabs>
        <w:tab w:val="left" w:pos="480"/>
        <w:tab w:val="left" w:pos="960"/>
        <w:tab w:val="left" w:pos="1440"/>
        <w:tab w:val="left" w:pos="1920"/>
        <w:tab w:val="left" w:pos="2400"/>
        <w:tab w:val="left" w:pos="2880"/>
        <w:tab w:val="left" w:pos="3360"/>
        <w:tab w:val="left" w:pos="3840"/>
        <w:tab w:val="left" w:pos="4320"/>
      </w:tabs>
      <w:spacing w:after="100"/>
    </w:pPr>
    <w:rPr>
      <w:rFonts w:ascii="Consolas" w:hAnsi="Consolas" w:cs="Consolas"/>
    </w:rPr>
  </w:style>
  <w:style w:type="character" w:customStyle="1" w:styleId="MacroTextChar">
    <w:name w:val="Macro Text Char"/>
    <w:basedOn w:val="DefaultParagraphFont"/>
    <w:link w:val="MacroText"/>
    <w:uiPriority w:val="99"/>
    <w:semiHidden/>
    <w:rsid w:val="0026112A"/>
    <w:rPr>
      <w:rFonts w:ascii="Consolas" w:hAnsi="Consolas" w:cs="Consolas"/>
    </w:rPr>
  </w:style>
  <w:style w:type="table" w:styleId="MediumGrid1">
    <w:name w:val="Medium Grid 1"/>
    <w:basedOn w:val="TableNormal"/>
    <w:uiPriority w:val="67"/>
    <w:rsid w:val="0026112A"/>
    <w:pPr>
      <w:spacing w:before="0" w:after="10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6112A"/>
    <w:pPr>
      <w:spacing w:before="0" w:after="100"/>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rsid w:val="0026112A"/>
    <w:pPr>
      <w:spacing w:before="0" w:after="100"/>
    </w:pPr>
    <w:tblPr>
      <w:tblStyleRowBandSize w:val="1"/>
      <w:tblStyleColBandSize w:val="1"/>
      <w:tblBorders>
        <w:top w:val="single" w:sz="8" w:space="0" w:color="0075FD" w:themeColor="accent2" w:themeTint="BF"/>
        <w:left w:val="single" w:sz="8" w:space="0" w:color="0075FD" w:themeColor="accent2" w:themeTint="BF"/>
        <w:bottom w:val="single" w:sz="8" w:space="0" w:color="0075FD" w:themeColor="accent2" w:themeTint="BF"/>
        <w:right w:val="single" w:sz="8" w:space="0" w:color="0075FD" w:themeColor="accent2" w:themeTint="BF"/>
        <w:insideH w:val="single" w:sz="8" w:space="0" w:color="0075FD" w:themeColor="accent2" w:themeTint="BF"/>
        <w:insideV w:val="single" w:sz="8" w:space="0" w:color="0075FD" w:themeColor="accent2" w:themeTint="BF"/>
      </w:tblBorders>
    </w:tblPr>
    <w:tcPr>
      <w:shd w:val="clear" w:color="auto" w:fill="AAD1FF" w:themeFill="accent2" w:themeFillTint="3F"/>
    </w:tcPr>
    <w:tblStylePr w:type="firstRow">
      <w:rPr>
        <w:b/>
        <w:bCs/>
      </w:rPr>
    </w:tblStylePr>
    <w:tblStylePr w:type="lastRow">
      <w:rPr>
        <w:b/>
        <w:bCs/>
      </w:rPr>
      <w:tblPr/>
      <w:tcPr>
        <w:tcBorders>
          <w:top w:val="single" w:sz="18" w:space="0" w:color="0075FD" w:themeColor="accent2" w:themeTint="BF"/>
        </w:tcBorders>
      </w:tcPr>
    </w:tblStylePr>
    <w:tblStylePr w:type="firstCol">
      <w:rPr>
        <w:b/>
        <w:bCs/>
      </w:rPr>
    </w:tblStylePr>
    <w:tblStylePr w:type="lastCol">
      <w:rPr>
        <w:b/>
        <w:bCs/>
      </w:rPr>
    </w:tblStylePr>
    <w:tblStylePr w:type="band1Vert">
      <w:tblPr/>
      <w:tcPr>
        <w:shd w:val="clear" w:color="auto" w:fill="54A3FF" w:themeFill="accent2" w:themeFillTint="7F"/>
      </w:tcPr>
    </w:tblStylePr>
    <w:tblStylePr w:type="band1Horz">
      <w:tblPr/>
      <w:tcPr>
        <w:shd w:val="clear" w:color="auto" w:fill="54A3FF" w:themeFill="accent2" w:themeFillTint="7F"/>
      </w:tcPr>
    </w:tblStylePr>
  </w:style>
  <w:style w:type="table" w:styleId="MediumGrid1-Accent3">
    <w:name w:val="Medium Grid 1 Accent 3"/>
    <w:basedOn w:val="TableNormal"/>
    <w:uiPriority w:val="67"/>
    <w:rsid w:val="0026112A"/>
    <w:pPr>
      <w:spacing w:before="0" w:after="10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rsid w:val="0026112A"/>
    <w:pPr>
      <w:spacing w:before="0" w:after="100"/>
    </w:pPr>
    <w:tblPr>
      <w:tblStyleRowBandSize w:val="1"/>
      <w:tblStyleColBandSize w:val="1"/>
      <w:tblBorders>
        <w:top w:val="single" w:sz="8"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single" w:sz="8" w:space="0" w:color="AAA7BA" w:themeColor="accent4" w:themeTint="BF"/>
        <w:insideV w:val="single" w:sz="8" w:space="0" w:color="AAA7BA" w:themeColor="accent4" w:themeTint="BF"/>
      </w:tblBorders>
    </w:tblPr>
    <w:tcPr>
      <w:shd w:val="clear" w:color="auto" w:fill="E3E2E8" w:themeFill="accent4" w:themeFillTint="3F"/>
    </w:tcPr>
    <w:tblStylePr w:type="firstRow">
      <w:rPr>
        <w:b/>
        <w:bCs/>
      </w:rPr>
    </w:tblStylePr>
    <w:tblStylePr w:type="lastRow">
      <w:rPr>
        <w:b/>
        <w:bCs/>
      </w:rPr>
      <w:tblPr/>
      <w:tcPr>
        <w:tcBorders>
          <w:top w:val="single" w:sz="18" w:space="0" w:color="AAA7BA" w:themeColor="accent4" w:themeTint="BF"/>
        </w:tcBorders>
      </w:tcPr>
    </w:tblStylePr>
    <w:tblStylePr w:type="firstCol">
      <w:rPr>
        <w:b/>
        <w:bCs/>
      </w:rPr>
    </w:tblStylePr>
    <w:tblStylePr w:type="lastCol">
      <w:rPr>
        <w:b/>
        <w:bCs/>
      </w:rPr>
    </w:tblStylePr>
    <w:tblStylePr w:type="band1Vert">
      <w:tblPr/>
      <w:tcPr>
        <w:shd w:val="clear" w:color="auto" w:fill="C7C4D1" w:themeFill="accent4" w:themeFillTint="7F"/>
      </w:tcPr>
    </w:tblStylePr>
    <w:tblStylePr w:type="band1Horz">
      <w:tblPr/>
      <w:tcPr>
        <w:shd w:val="clear" w:color="auto" w:fill="C7C4D1" w:themeFill="accent4" w:themeFillTint="7F"/>
      </w:tcPr>
    </w:tblStylePr>
  </w:style>
  <w:style w:type="table" w:styleId="MediumGrid1-Accent5">
    <w:name w:val="Medium Grid 1 Accent 5"/>
    <w:basedOn w:val="TableNormal"/>
    <w:uiPriority w:val="67"/>
    <w:rsid w:val="0026112A"/>
    <w:pPr>
      <w:spacing w:before="0" w:after="100"/>
    </w:pPr>
    <w:tblPr>
      <w:tblStyleRowBandSize w:val="1"/>
      <w:tblStyleColBandSize w:val="1"/>
      <w:tbl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single" w:sz="8" w:space="0" w:color="B2C9E4" w:themeColor="accent5" w:themeTint="BF"/>
        <w:insideV w:val="single" w:sz="8" w:space="0" w:color="B2C9E4" w:themeColor="accent5" w:themeTint="BF"/>
      </w:tblBorders>
    </w:tblPr>
    <w:tcPr>
      <w:shd w:val="clear" w:color="auto" w:fill="E5EDF6" w:themeFill="accent5" w:themeFillTint="3F"/>
    </w:tcPr>
    <w:tblStylePr w:type="firstRow">
      <w:rPr>
        <w:b/>
        <w:bCs/>
      </w:rPr>
    </w:tblStylePr>
    <w:tblStylePr w:type="lastRow">
      <w:rPr>
        <w:b/>
        <w:bCs/>
      </w:rPr>
      <w:tblPr/>
      <w:tcPr>
        <w:tcBorders>
          <w:top w:val="single" w:sz="18" w:space="0" w:color="B2C9E4" w:themeColor="accent5" w:themeTint="BF"/>
        </w:tcBorders>
      </w:tcPr>
    </w:tblStylePr>
    <w:tblStylePr w:type="firstCol">
      <w:rPr>
        <w:b/>
        <w:bCs/>
      </w:rPr>
    </w:tblStylePr>
    <w:tblStylePr w:type="lastCol">
      <w:rPr>
        <w:b/>
        <w:bCs/>
      </w:rPr>
    </w:tblStylePr>
    <w:tblStylePr w:type="band1Vert">
      <w:tblPr/>
      <w:tcPr>
        <w:shd w:val="clear" w:color="auto" w:fill="CCDBED" w:themeFill="accent5" w:themeFillTint="7F"/>
      </w:tcPr>
    </w:tblStylePr>
    <w:tblStylePr w:type="band1Horz">
      <w:tblPr/>
      <w:tcPr>
        <w:shd w:val="clear" w:color="auto" w:fill="CCDBED" w:themeFill="accent5" w:themeFillTint="7F"/>
      </w:tcPr>
    </w:tblStylePr>
  </w:style>
  <w:style w:type="table" w:styleId="MediumGrid1-Accent6">
    <w:name w:val="Medium Grid 1 Accent 6"/>
    <w:basedOn w:val="TableNormal"/>
    <w:uiPriority w:val="67"/>
    <w:rsid w:val="0026112A"/>
    <w:pPr>
      <w:spacing w:before="0" w:after="100"/>
    </w:pPr>
    <w:tblPr>
      <w:tblStyleRowBandSize w:val="1"/>
      <w:tblStyleColBandSize w:val="1"/>
      <w:tblBorders>
        <w:top w:val="single" w:sz="8"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single" w:sz="8" w:space="0" w:color="D8E9F7" w:themeColor="accent6" w:themeTint="BF"/>
        <w:insideV w:val="single" w:sz="8" w:space="0" w:color="D8E9F7" w:themeColor="accent6" w:themeTint="BF"/>
      </w:tblBorders>
    </w:tblPr>
    <w:tcPr>
      <w:shd w:val="clear" w:color="auto" w:fill="F2F7FC" w:themeFill="accent6" w:themeFillTint="3F"/>
    </w:tcPr>
    <w:tblStylePr w:type="firstRow">
      <w:rPr>
        <w:b/>
        <w:bCs/>
      </w:rPr>
    </w:tblStylePr>
    <w:tblStylePr w:type="lastRow">
      <w:rPr>
        <w:b/>
        <w:bCs/>
      </w:rPr>
      <w:tblPr/>
      <w:tcPr>
        <w:tcBorders>
          <w:top w:val="single" w:sz="18" w:space="0" w:color="D8E9F7" w:themeColor="accent6" w:themeTint="BF"/>
        </w:tcBorders>
      </w:tcPr>
    </w:tblStylePr>
    <w:tblStylePr w:type="firstCol">
      <w:rPr>
        <w:b/>
        <w:bCs/>
      </w:rPr>
    </w:tblStylePr>
    <w:tblStylePr w:type="lastCol">
      <w:rPr>
        <w:b/>
        <w:bCs/>
      </w:rPr>
    </w:tblStylePr>
    <w:tblStylePr w:type="band1Vert">
      <w:tblPr/>
      <w:tcPr>
        <w:shd w:val="clear" w:color="auto" w:fill="E5F0FA" w:themeFill="accent6" w:themeFillTint="7F"/>
      </w:tcPr>
    </w:tblStylePr>
    <w:tblStylePr w:type="band1Horz">
      <w:tblPr/>
      <w:tcPr>
        <w:shd w:val="clear" w:color="auto" w:fill="E5F0FA" w:themeFill="accent6" w:themeFillTint="7F"/>
      </w:tcPr>
    </w:tblStylePr>
  </w:style>
  <w:style w:type="table" w:styleId="MediumGrid2">
    <w:name w:val="Medium Grid 2"/>
    <w:basedOn w:val="TableNormal"/>
    <w:uiPriority w:val="68"/>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000000" w:themeColor="text1"/>
      </w:rPr>
      <w:tblPr/>
      <w:tcPr>
        <w:shd w:val="clear" w:color="auto" w:fill="E4D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004EA8" w:themeColor="accent2"/>
        <w:left w:val="single" w:sz="8" w:space="0" w:color="004EA8" w:themeColor="accent2"/>
        <w:bottom w:val="single" w:sz="8" w:space="0" w:color="004EA8" w:themeColor="accent2"/>
        <w:right w:val="single" w:sz="8" w:space="0" w:color="004EA8" w:themeColor="accent2"/>
        <w:insideH w:val="single" w:sz="8" w:space="0" w:color="004EA8" w:themeColor="accent2"/>
        <w:insideV w:val="single" w:sz="8" w:space="0" w:color="004EA8" w:themeColor="accent2"/>
      </w:tblBorders>
    </w:tblPr>
    <w:tcPr>
      <w:shd w:val="clear" w:color="auto" w:fill="AAD1FF" w:themeFill="accent2" w:themeFillTint="3F"/>
    </w:tcPr>
    <w:tblStylePr w:type="firstRow">
      <w:rPr>
        <w:b/>
        <w:bCs/>
        <w:color w:val="000000" w:themeColor="text1"/>
      </w:rPr>
      <w:tblPr/>
      <w:tcPr>
        <w:shd w:val="clear" w:color="auto" w:fill="DD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2" w:themeFillTint="33"/>
      </w:tcPr>
    </w:tblStylePr>
    <w:tblStylePr w:type="band1Vert">
      <w:tblPr/>
      <w:tcPr>
        <w:shd w:val="clear" w:color="auto" w:fill="54A3FF" w:themeFill="accent2" w:themeFillTint="7F"/>
      </w:tcPr>
    </w:tblStylePr>
    <w:tblStylePr w:type="band1Horz">
      <w:tblPr/>
      <w:tcPr>
        <w:tcBorders>
          <w:insideH w:val="single" w:sz="6" w:space="0" w:color="004EA8" w:themeColor="accent2"/>
          <w:insideV w:val="single" w:sz="6" w:space="0" w:color="004EA8" w:themeColor="accent2"/>
        </w:tcBorders>
        <w:shd w:val="clear" w:color="auto" w:fill="54A3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insideH w:val="single" w:sz="8" w:space="0" w:color="8F8AA3" w:themeColor="accent4"/>
        <w:insideV w:val="single" w:sz="8" w:space="0" w:color="8F8AA3" w:themeColor="accent4"/>
      </w:tblBorders>
    </w:tblPr>
    <w:tcPr>
      <w:shd w:val="clear" w:color="auto" w:fill="E3E2E8" w:themeFill="accent4" w:themeFillTint="3F"/>
    </w:tcPr>
    <w:tblStylePr w:type="firstRow">
      <w:rPr>
        <w:b/>
        <w:bCs/>
        <w:color w:val="000000" w:themeColor="text1"/>
      </w:rPr>
      <w:tblPr/>
      <w:tcPr>
        <w:shd w:val="clear" w:color="auto" w:fill="F3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C" w:themeFill="accent4" w:themeFillTint="33"/>
      </w:tcPr>
    </w:tblStylePr>
    <w:tblStylePr w:type="band1Vert">
      <w:tblPr/>
      <w:tcPr>
        <w:shd w:val="clear" w:color="auto" w:fill="C7C4D1" w:themeFill="accent4" w:themeFillTint="7F"/>
      </w:tcPr>
    </w:tblStylePr>
    <w:tblStylePr w:type="band1Horz">
      <w:tblPr/>
      <w:tcPr>
        <w:tcBorders>
          <w:insideH w:val="single" w:sz="6" w:space="0" w:color="8F8AA3" w:themeColor="accent4"/>
          <w:insideV w:val="single" w:sz="6" w:space="0" w:color="8F8AA3" w:themeColor="accent4"/>
        </w:tcBorders>
        <w:shd w:val="clear" w:color="auto" w:fill="C7C4D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insideH w:val="single" w:sz="8" w:space="0" w:color="99B8DC" w:themeColor="accent5"/>
        <w:insideV w:val="single" w:sz="8" w:space="0" w:color="99B8DC" w:themeColor="accent5"/>
      </w:tblBorders>
    </w:tblPr>
    <w:tcPr>
      <w:shd w:val="clear" w:color="auto" w:fill="E5EDF6" w:themeFill="accent5" w:themeFillTint="3F"/>
    </w:tcPr>
    <w:tblStylePr w:type="firstRow">
      <w:rPr>
        <w:b/>
        <w:bCs/>
        <w:color w:val="000000" w:themeColor="text1"/>
      </w:rPr>
      <w:tblPr/>
      <w:tcPr>
        <w:shd w:val="clear" w:color="auto" w:fill="F4F7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0F8" w:themeFill="accent5" w:themeFillTint="33"/>
      </w:tcPr>
    </w:tblStylePr>
    <w:tblStylePr w:type="band1Vert">
      <w:tblPr/>
      <w:tcPr>
        <w:shd w:val="clear" w:color="auto" w:fill="CCDBED" w:themeFill="accent5" w:themeFillTint="7F"/>
      </w:tcPr>
    </w:tblStylePr>
    <w:tblStylePr w:type="band1Horz">
      <w:tblPr/>
      <w:tcPr>
        <w:tcBorders>
          <w:insideH w:val="single" w:sz="6" w:space="0" w:color="99B8DC" w:themeColor="accent5"/>
          <w:insideV w:val="single" w:sz="6" w:space="0" w:color="99B8DC" w:themeColor="accent5"/>
        </w:tcBorders>
        <w:shd w:val="clear" w:color="auto" w:fill="CCDB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insideH w:val="single" w:sz="8" w:space="0" w:color="CCE3F5" w:themeColor="accent6"/>
        <w:insideV w:val="single" w:sz="8" w:space="0" w:color="CCE3F5" w:themeColor="accent6"/>
      </w:tblBorders>
    </w:tblPr>
    <w:tcPr>
      <w:shd w:val="clear" w:color="auto" w:fill="F2F7FC" w:themeFill="accent6" w:themeFillTint="3F"/>
    </w:tcPr>
    <w:tblStylePr w:type="firstRow">
      <w:rPr>
        <w:b/>
        <w:bCs/>
        <w:color w:val="000000" w:themeColor="text1"/>
      </w:rPr>
      <w:tblPr/>
      <w:tcPr>
        <w:shd w:val="clear" w:color="auto" w:fill="F9FC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9FD" w:themeFill="accent6" w:themeFillTint="33"/>
      </w:tcPr>
    </w:tblStylePr>
    <w:tblStylePr w:type="band1Vert">
      <w:tblPr/>
      <w:tcPr>
        <w:shd w:val="clear" w:color="auto" w:fill="E5F0FA" w:themeFill="accent6" w:themeFillTint="7F"/>
      </w:tcPr>
    </w:tblStylePr>
    <w:tblStylePr w:type="band1Horz">
      <w:tblPr/>
      <w:tcPr>
        <w:tcBorders>
          <w:insideH w:val="single" w:sz="6" w:space="0" w:color="CCE3F5" w:themeColor="accent6"/>
          <w:insideV w:val="single" w:sz="6" w:space="0" w:color="CCE3F5" w:themeColor="accent6"/>
        </w:tcBorders>
        <w:shd w:val="clear" w:color="auto" w:fill="E5F0F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6112A"/>
    <w:pPr>
      <w:spacing w:before="0" w:after="10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6112A"/>
    <w:pPr>
      <w:spacing w:before="0" w:after="10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rsid w:val="0026112A"/>
    <w:pPr>
      <w:spacing w:before="0" w:after="10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2" w:themeFillTint="7F"/>
      </w:tcPr>
    </w:tblStylePr>
  </w:style>
  <w:style w:type="table" w:styleId="MediumGrid3-Accent3">
    <w:name w:val="Medium Grid 3 Accent 3"/>
    <w:basedOn w:val="TableNormal"/>
    <w:uiPriority w:val="69"/>
    <w:rsid w:val="0026112A"/>
    <w:pPr>
      <w:spacing w:before="0" w:after="10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rsid w:val="0026112A"/>
    <w:pPr>
      <w:spacing w:before="0" w:after="10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8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8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8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8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4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4D1" w:themeFill="accent4" w:themeFillTint="7F"/>
      </w:tcPr>
    </w:tblStylePr>
  </w:style>
  <w:style w:type="table" w:styleId="MediumGrid3-Accent5">
    <w:name w:val="Medium Grid 3 Accent 5"/>
    <w:basedOn w:val="TableNormal"/>
    <w:uiPriority w:val="69"/>
    <w:rsid w:val="0026112A"/>
    <w:pPr>
      <w:spacing w:before="0" w:after="10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D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B8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B8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B8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B8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B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BED" w:themeFill="accent5" w:themeFillTint="7F"/>
      </w:tcPr>
    </w:tblStylePr>
  </w:style>
  <w:style w:type="table" w:styleId="MediumGrid3-Accent6">
    <w:name w:val="Medium Grid 3 Accent 6"/>
    <w:basedOn w:val="TableNormal"/>
    <w:uiPriority w:val="69"/>
    <w:rsid w:val="0026112A"/>
    <w:pPr>
      <w:spacing w:before="0" w:after="10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7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3F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3F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3F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3F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0F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0FA" w:themeFill="accent6" w:themeFillTint="7F"/>
      </w:tcPr>
    </w:tblStylePr>
  </w:style>
  <w:style w:type="table" w:styleId="MediumList1">
    <w:name w:val="Medium List 1"/>
    <w:basedOn w:val="TableNormal"/>
    <w:uiPriority w:val="65"/>
    <w:rsid w:val="0026112A"/>
    <w:pPr>
      <w:spacing w:before="0" w:after="10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6112A"/>
    <w:pPr>
      <w:spacing w:before="0" w:after="100"/>
    </w:pPr>
    <w:rPr>
      <w:color w:val="000000" w:themeColor="text1"/>
    </w:r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53565A"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rsid w:val="0026112A"/>
    <w:pPr>
      <w:spacing w:before="0" w:after="100"/>
    </w:pPr>
    <w:rPr>
      <w:color w:val="000000" w:themeColor="text1"/>
    </w:rPr>
    <w:tblPr>
      <w:tblStyleRowBandSize w:val="1"/>
      <w:tblStyleColBandSize w:val="1"/>
      <w:tblBorders>
        <w:top w:val="single" w:sz="8" w:space="0" w:color="004EA8" w:themeColor="accent2"/>
        <w:bottom w:val="single" w:sz="8" w:space="0" w:color="004EA8" w:themeColor="accent2"/>
      </w:tblBorders>
    </w:tblPr>
    <w:tblStylePr w:type="firstRow">
      <w:rPr>
        <w:rFonts w:asciiTheme="majorHAnsi" w:eastAsiaTheme="majorEastAsia" w:hAnsiTheme="majorHAnsi" w:cstheme="majorBidi"/>
      </w:rPr>
      <w:tblPr/>
      <w:tcPr>
        <w:tcBorders>
          <w:top w:val="nil"/>
          <w:bottom w:val="single" w:sz="8" w:space="0" w:color="004EA8" w:themeColor="accent2"/>
        </w:tcBorders>
      </w:tcPr>
    </w:tblStylePr>
    <w:tblStylePr w:type="lastRow">
      <w:rPr>
        <w:b/>
        <w:bCs/>
        <w:color w:val="53565A" w:themeColor="text2"/>
      </w:rPr>
      <w:tblPr/>
      <w:tcPr>
        <w:tcBorders>
          <w:top w:val="single" w:sz="8" w:space="0" w:color="004EA8" w:themeColor="accent2"/>
          <w:bottom w:val="single" w:sz="8" w:space="0" w:color="004EA8" w:themeColor="accent2"/>
        </w:tcBorders>
      </w:tcPr>
    </w:tblStylePr>
    <w:tblStylePr w:type="firstCol">
      <w:rPr>
        <w:b/>
        <w:bCs/>
      </w:rPr>
    </w:tblStylePr>
    <w:tblStylePr w:type="lastCol">
      <w:rPr>
        <w:b/>
        <w:bCs/>
      </w:rPr>
      <w:tblPr/>
      <w:tcPr>
        <w:tcBorders>
          <w:top w:val="single" w:sz="8" w:space="0" w:color="004EA8" w:themeColor="accent2"/>
          <w:bottom w:val="single" w:sz="8" w:space="0" w:color="004EA8" w:themeColor="accent2"/>
        </w:tcBorders>
      </w:tcPr>
    </w:tblStylePr>
    <w:tblStylePr w:type="band1Vert">
      <w:tblPr/>
      <w:tcPr>
        <w:shd w:val="clear" w:color="auto" w:fill="AAD1FF" w:themeFill="accent2" w:themeFillTint="3F"/>
      </w:tcPr>
    </w:tblStylePr>
    <w:tblStylePr w:type="band1Horz">
      <w:tblPr/>
      <w:tcPr>
        <w:shd w:val="clear" w:color="auto" w:fill="AAD1FF" w:themeFill="accent2" w:themeFillTint="3F"/>
      </w:tcPr>
    </w:tblStylePr>
  </w:style>
  <w:style w:type="table" w:styleId="MediumList1-Accent3">
    <w:name w:val="Medium List 1 Accent 3"/>
    <w:basedOn w:val="TableNormal"/>
    <w:uiPriority w:val="65"/>
    <w:rsid w:val="0026112A"/>
    <w:pPr>
      <w:spacing w:before="0" w:after="100"/>
    </w:pPr>
    <w:rPr>
      <w:color w:val="000000" w:themeColor="text1"/>
    </w:r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53565A"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rsid w:val="0026112A"/>
    <w:pPr>
      <w:spacing w:before="0" w:after="100"/>
    </w:pPr>
    <w:rPr>
      <w:color w:val="000000" w:themeColor="text1"/>
    </w:rPr>
    <w:tblPr>
      <w:tblStyleRowBandSize w:val="1"/>
      <w:tblStyleColBandSize w:val="1"/>
      <w:tblBorders>
        <w:top w:val="single" w:sz="8" w:space="0" w:color="8F8AA3" w:themeColor="accent4"/>
        <w:bottom w:val="single" w:sz="8" w:space="0" w:color="8F8AA3" w:themeColor="accent4"/>
      </w:tblBorders>
    </w:tblPr>
    <w:tblStylePr w:type="firstRow">
      <w:rPr>
        <w:rFonts w:asciiTheme="majorHAnsi" w:eastAsiaTheme="majorEastAsia" w:hAnsiTheme="majorHAnsi" w:cstheme="majorBidi"/>
      </w:rPr>
      <w:tblPr/>
      <w:tcPr>
        <w:tcBorders>
          <w:top w:val="nil"/>
          <w:bottom w:val="single" w:sz="8" w:space="0" w:color="8F8AA3" w:themeColor="accent4"/>
        </w:tcBorders>
      </w:tcPr>
    </w:tblStylePr>
    <w:tblStylePr w:type="lastRow">
      <w:rPr>
        <w:b/>
        <w:bCs/>
        <w:color w:val="53565A" w:themeColor="text2"/>
      </w:rPr>
      <w:tblPr/>
      <w:tcPr>
        <w:tcBorders>
          <w:top w:val="single" w:sz="8" w:space="0" w:color="8F8AA3" w:themeColor="accent4"/>
          <w:bottom w:val="single" w:sz="8" w:space="0" w:color="8F8AA3" w:themeColor="accent4"/>
        </w:tcBorders>
      </w:tcPr>
    </w:tblStylePr>
    <w:tblStylePr w:type="firstCol">
      <w:rPr>
        <w:b/>
        <w:bCs/>
      </w:rPr>
    </w:tblStylePr>
    <w:tblStylePr w:type="lastCol">
      <w:rPr>
        <w:b/>
        <w:bCs/>
      </w:rPr>
      <w:tblPr/>
      <w:tcPr>
        <w:tcBorders>
          <w:top w:val="single" w:sz="8" w:space="0" w:color="8F8AA3" w:themeColor="accent4"/>
          <w:bottom w:val="single" w:sz="8" w:space="0" w:color="8F8AA3" w:themeColor="accent4"/>
        </w:tcBorders>
      </w:tcPr>
    </w:tblStylePr>
    <w:tblStylePr w:type="band1Vert">
      <w:tblPr/>
      <w:tcPr>
        <w:shd w:val="clear" w:color="auto" w:fill="E3E2E8" w:themeFill="accent4" w:themeFillTint="3F"/>
      </w:tcPr>
    </w:tblStylePr>
    <w:tblStylePr w:type="band1Horz">
      <w:tblPr/>
      <w:tcPr>
        <w:shd w:val="clear" w:color="auto" w:fill="E3E2E8" w:themeFill="accent4" w:themeFillTint="3F"/>
      </w:tcPr>
    </w:tblStylePr>
  </w:style>
  <w:style w:type="table" w:styleId="MediumList1-Accent5">
    <w:name w:val="Medium List 1 Accent 5"/>
    <w:basedOn w:val="TableNormal"/>
    <w:uiPriority w:val="65"/>
    <w:rsid w:val="0026112A"/>
    <w:pPr>
      <w:spacing w:before="0" w:after="100"/>
    </w:pPr>
    <w:rPr>
      <w:color w:val="000000" w:themeColor="text1"/>
    </w:rPr>
    <w:tblPr>
      <w:tblStyleRowBandSize w:val="1"/>
      <w:tblStyleColBandSize w:val="1"/>
      <w:tblBorders>
        <w:top w:val="single" w:sz="8" w:space="0" w:color="99B8DC" w:themeColor="accent5"/>
        <w:bottom w:val="single" w:sz="8" w:space="0" w:color="99B8DC" w:themeColor="accent5"/>
      </w:tblBorders>
    </w:tblPr>
    <w:tblStylePr w:type="firstRow">
      <w:rPr>
        <w:rFonts w:asciiTheme="majorHAnsi" w:eastAsiaTheme="majorEastAsia" w:hAnsiTheme="majorHAnsi" w:cstheme="majorBidi"/>
      </w:rPr>
      <w:tblPr/>
      <w:tcPr>
        <w:tcBorders>
          <w:top w:val="nil"/>
          <w:bottom w:val="single" w:sz="8" w:space="0" w:color="99B8DC" w:themeColor="accent5"/>
        </w:tcBorders>
      </w:tcPr>
    </w:tblStylePr>
    <w:tblStylePr w:type="lastRow">
      <w:rPr>
        <w:b/>
        <w:bCs/>
        <w:color w:val="53565A" w:themeColor="text2"/>
      </w:rPr>
      <w:tblPr/>
      <w:tcPr>
        <w:tcBorders>
          <w:top w:val="single" w:sz="8" w:space="0" w:color="99B8DC" w:themeColor="accent5"/>
          <w:bottom w:val="single" w:sz="8" w:space="0" w:color="99B8DC" w:themeColor="accent5"/>
        </w:tcBorders>
      </w:tcPr>
    </w:tblStylePr>
    <w:tblStylePr w:type="firstCol">
      <w:rPr>
        <w:b/>
        <w:bCs/>
      </w:rPr>
    </w:tblStylePr>
    <w:tblStylePr w:type="lastCol">
      <w:rPr>
        <w:b/>
        <w:bCs/>
      </w:rPr>
      <w:tblPr/>
      <w:tcPr>
        <w:tcBorders>
          <w:top w:val="single" w:sz="8" w:space="0" w:color="99B8DC" w:themeColor="accent5"/>
          <w:bottom w:val="single" w:sz="8" w:space="0" w:color="99B8DC" w:themeColor="accent5"/>
        </w:tcBorders>
      </w:tcPr>
    </w:tblStylePr>
    <w:tblStylePr w:type="band1Vert">
      <w:tblPr/>
      <w:tcPr>
        <w:shd w:val="clear" w:color="auto" w:fill="E5EDF6" w:themeFill="accent5" w:themeFillTint="3F"/>
      </w:tcPr>
    </w:tblStylePr>
    <w:tblStylePr w:type="band1Horz">
      <w:tblPr/>
      <w:tcPr>
        <w:shd w:val="clear" w:color="auto" w:fill="E5EDF6" w:themeFill="accent5" w:themeFillTint="3F"/>
      </w:tcPr>
    </w:tblStylePr>
  </w:style>
  <w:style w:type="table" w:styleId="MediumList1-Accent6">
    <w:name w:val="Medium List 1 Accent 6"/>
    <w:basedOn w:val="TableNormal"/>
    <w:uiPriority w:val="65"/>
    <w:rsid w:val="0026112A"/>
    <w:pPr>
      <w:spacing w:before="0" w:after="100"/>
    </w:pPr>
    <w:rPr>
      <w:color w:val="000000" w:themeColor="text1"/>
    </w:rPr>
    <w:tblPr>
      <w:tblStyleRowBandSize w:val="1"/>
      <w:tblStyleColBandSize w:val="1"/>
      <w:tblBorders>
        <w:top w:val="single" w:sz="8" w:space="0" w:color="CCE3F5" w:themeColor="accent6"/>
        <w:bottom w:val="single" w:sz="8" w:space="0" w:color="CCE3F5" w:themeColor="accent6"/>
      </w:tblBorders>
    </w:tblPr>
    <w:tblStylePr w:type="firstRow">
      <w:rPr>
        <w:rFonts w:asciiTheme="majorHAnsi" w:eastAsiaTheme="majorEastAsia" w:hAnsiTheme="majorHAnsi" w:cstheme="majorBidi"/>
      </w:rPr>
      <w:tblPr/>
      <w:tcPr>
        <w:tcBorders>
          <w:top w:val="nil"/>
          <w:bottom w:val="single" w:sz="8" w:space="0" w:color="CCE3F5" w:themeColor="accent6"/>
        </w:tcBorders>
      </w:tcPr>
    </w:tblStylePr>
    <w:tblStylePr w:type="lastRow">
      <w:rPr>
        <w:b/>
        <w:bCs/>
        <w:color w:val="53565A" w:themeColor="text2"/>
      </w:rPr>
      <w:tblPr/>
      <w:tcPr>
        <w:tcBorders>
          <w:top w:val="single" w:sz="8" w:space="0" w:color="CCE3F5" w:themeColor="accent6"/>
          <w:bottom w:val="single" w:sz="8" w:space="0" w:color="CCE3F5" w:themeColor="accent6"/>
        </w:tcBorders>
      </w:tcPr>
    </w:tblStylePr>
    <w:tblStylePr w:type="firstCol">
      <w:rPr>
        <w:b/>
        <w:bCs/>
      </w:rPr>
    </w:tblStylePr>
    <w:tblStylePr w:type="lastCol">
      <w:rPr>
        <w:b/>
        <w:bCs/>
      </w:rPr>
      <w:tblPr/>
      <w:tcPr>
        <w:tcBorders>
          <w:top w:val="single" w:sz="8" w:space="0" w:color="CCE3F5" w:themeColor="accent6"/>
          <w:bottom w:val="single" w:sz="8" w:space="0" w:color="CCE3F5" w:themeColor="accent6"/>
        </w:tcBorders>
      </w:tcPr>
    </w:tblStylePr>
    <w:tblStylePr w:type="band1Vert">
      <w:tblPr/>
      <w:tcPr>
        <w:shd w:val="clear" w:color="auto" w:fill="F2F7FC" w:themeFill="accent6" w:themeFillTint="3F"/>
      </w:tcPr>
    </w:tblStylePr>
    <w:tblStylePr w:type="band1Horz">
      <w:tblPr/>
      <w:tcPr>
        <w:shd w:val="clear" w:color="auto" w:fill="F2F7FC" w:themeFill="accent6" w:themeFillTint="3F"/>
      </w:tcPr>
    </w:tblStylePr>
  </w:style>
  <w:style w:type="table" w:styleId="MediumList2">
    <w:name w:val="Medium List 2"/>
    <w:basedOn w:val="TableNormal"/>
    <w:uiPriority w:val="66"/>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004EA8" w:themeColor="accent2"/>
        <w:left w:val="single" w:sz="8" w:space="0" w:color="004EA8" w:themeColor="accent2"/>
        <w:bottom w:val="single" w:sz="8" w:space="0" w:color="004EA8" w:themeColor="accent2"/>
        <w:right w:val="single" w:sz="8" w:space="0" w:color="004EA8" w:themeColor="accent2"/>
      </w:tblBorders>
    </w:tblPr>
    <w:tblStylePr w:type="firstRow">
      <w:rPr>
        <w:sz w:val="24"/>
        <w:szCs w:val="24"/>
      </w:rPr>
      <w:tblPr/>
      <w:tcPr>
        <w:tcBorders>
          <w:top w:val="nil"/>
          <w:left w:val="nil"/>
          <w:bottom w:val="single" w:sz="24" w:space="0" w:color="004EA8" w:themeColor="accent2"/>
          <w:right w:val="nil"/>
          <w:insideH w:val="nil"/>
          <w:insideV w:val="nil"/>
        </w:tcBorders>
        <w:shd w:val="clear" w:color="auto" w:fill="FFFFFF" w:themeFill="background1"/>
      </w:tcPr>
    </w:tblStylePr>
    <w:tblStylePr w:type="lastRow">
      <w:tblPr/>
      <w:tcPr>
        <w:tcBorders>
          <w:top w:val="single" w:sz="8" w:space="0" w:color="004EA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2"/>
          <w:insideH w:val="nil"/>
          <w:insideV w:val="nil"/>
        </w:tcBorders>
        <w:shd w:val="clear" w:color="auto" w:fill="FFFFFF" w:themeFill="background1"/>
      </w:tcPr>
    </w:tblStylePr>
    <w:tblStylePr w:type="lastCol">
      <w:tblPr/>
      <w:tcPr>
        <w:tcBorders>
          <w:top w:val="nil"/>
          <w:left w:val="single" w:sz="8" w:space="0" w:color="004E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2" w:themeFillTint="3F"/>
      </w:tcPr>
    </w:tblStylePr>
    <w:tblStylePr w:type="band1Horz">
      <w:tblPr/>
      <w:tcPr>
        <w:tcBorders>
          <w:top w:val="nil"/>
          <w:bottom w:val="nil"/>
          <w:insideH w:val="nil"/>
          <w:insideV w:val="nil"/>
        </w:tcBorders>
        <w:shd w:val="clear" w:color="auto" w:fill="AA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8F8AA3" w:themeColor="accent4"/>
        <w:left w:val="single" w:sz="8" w:space="0" w:color="8F8AA3" w:themeColor="accent4"/>
        <w:bottom w:val="single" w:sz="8" w:space="0" w:color="8F8AA3" w:themeColor="accent4"/>
        <w:right w:val="single" w:sz="8" w:space="0" w:color="8F8AA3" w:themeColor="accent4"/>
      </w:tblBorders>
    </w:tblPr>
    <w:tblStylePr w:type="firstRow">
      <w:rPr>
        <w:sz w:val="24"/>
        <w:szCs w:val="24"/>
      </w:rPr>
      <w:tblPr/>
      <w:tcPr>
        <w:tcBorders>
          <w:top w:val="nil"/>
          <w:left w:val="nil"/>
          <w:bottom w:val="single" w:sz="24" w:space="0" w:color="8F8AA3" w:themeColor="accent4"/>
          <w:right w:val="nil"/>
          <w:insideH w:val="nil"/>
          <w:insideV w:val="nil"/>
        </w:tcBorders>
        <w:shd w:val="clear" w:color="auto" w:fill="FFFFFF" w:themeFill="background1"/>
      </w:tcPr>
    </w:tblStylePr>
    <w:tblStylePr w:type="lastRow">
      <w:tblPr/>
      <w:tcPr>
        <w:tcBorders>
          <w:top w:val="single" w:sz="8" w:space="0" w:color="8F8AA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8AA3" w:themeColor="accent4"/>
          <w:insideH w:val="nil"/>
          <w:insideV w:val="nil"/>
        </w:tcBorders>
        <w:shd w:val="clear" w:color="auto" w:fill="FFFFFF" w:themeFill="background1"/>
      </w:tcPr>
    </w:tblStylePr>
    <w:tblStylePr w:type="lastCol">
      <w:tblPr/>
      <w:tcPr>
        <w:tcBorders>
          <w:top w:val="nil"/>
          <w:left w:val="single" w:sz="8" w:space="0" w:color="8F8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8" w:themeFill="accent4" w:themeFillTint="3F"/>
      </w:tcPr>
    </w:tblStylePr>
    <w:tblStylePr w:type="band1Horz">
      <w:tblPr/>
      <w:tcPr>
        <w:tcBorders>
          <w:top w:val="nil"/>
          <w:bottom w:val="nil"/>
          <w:insideH w:val="nil"/>
          <w:insideV w:val="nil"/>
        </w:tcBorders>
        <w:shd w:val="clear" w:color="auto" w:fill="E3E2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99B8DC" w:themeColor="accent5"/>
        <w:left w:val="single" w:sz="8" w:space="0" w:color="99B8DC" w:themeColor="accent5"/>
        <w:bottom w:val="single" w:sz="8" w:space="0" w:color="99B8DC" w:themeColor="accent5"/>
        <w:right w:val="single" w:sz="8" w:space="0" w:color="99B8DC" w:themeColor="accent5"/>
      </w:tblBorders>
    </w:tblPr>
    <w:tblStylePr w:type="firstRow">
      <w:rPr>
        <w:sz w:val="24"/>
        <w:szCs w:val="24"/>
      </w:rPr>
      <w:tblPr/>
      <w:tcPr>
        <w:tcBorders>
          <w:top w:val="nil"/>
          <w:left w:val="nil"/>
          <w:bottom w:val="single" w:sz="24" w:space="0" w:color="99B8DC" w:themeColor="accent5"/>
          <w:right w:val="nil"/>
          <w:insideH w:val="nil"/>
          <w:insideV w:val="nil"/>
        </w:tcBorders>
        <w:shd w:val="clear" w:color="auto" w:fill="FFFFFF" w:themeFill="background1"/>
      </w:tcPr>
    </w:tblStylePr>
    <w:tblStylePr w:type="lastRow">
      <w:tblPr/>
      <w:tcPr>
        <w:tcBorders>
          <w:top w:val="single" w:sz="8" w:space="0" w:color="99B8D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B8DC" w:themeColor="accent5"/>
          <w:insideH w:val="nil"/>
          <w:insideV w:val="nil"/>
        </w:tcBorders>
        <w:shd w:val="clear" w:color="auto" w:fill="FFFFFF" w:themeFill="background1"/>
      </w:tcPr>
    </w:tblStylePr>
    <w:tblStylePr w:type="lastCol">
      <w:tblPr/>
      <w:tcPr>
        <w:tcBorders>
          <w:top w:val="nil"/>
          <w:left w:val="single" w:sz="8" w:space="0" w:color="99B8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DF6" w:themeFill="accent5" w:themeFillTint="3F"/>
      </w:tcPr>
    </w:tblStylePr>
    <w:tblStylePr w:type="band1Horz">
      <w:tblPr/>
      <w:tcPr>
        <w:tcBorders>
          <w:top w:val="nil"/>
          <w:bottom w:val="nil"/>
          <w:insideH w:val="nil"/>
          <w:insideV w:val="nil"/>
        </w:tcBorders>
        <w:shd w:val="clear" w:color="auto" w:fill="E5ED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6112A"/>
    <w:pPr>
      <w:spacing w:before="0" w:after="100"/>
    </w:pPr>
    <w:rPr>
      <w:rFonts w:asciiTheme="majorHAnsi" w:eastAsiaTheme="majorEastAsia" w:hAnsiTheme="majorHAnsi" w:cstheme="majorBidi"/>
      <w:color w:val="000000" w:themeColor="text1"/>
    </w:rPr>
    <w:tblPr>
      <w:tblStyleRowBandSize w:val="1"/>
      <w:tblStyleColBandSize w:val="1"/>
      <w:tblBorders>
        <w:top w:val="single" w:sz="8" w:space="0" w:color="CCE3F5" w:themeColor="accent6"/>
        <w:left w:val="single" w:sz="8" w:space="0" w:color="CCE3F5" w:themeColor="accent6"/>
        <w:bottom w:val="single" w:sz="8" w:space="0" w:color="CCE3F5" w:themeColor="accent6"/>
        <w:right w:val="single" w:sz="8" w:space="0" w:color="CCE3F5" w:themeColor="accent6"/>
      </w:tblBorders>
    </w:tblPr>
    <w:tblStylePr w:type="firstRow">
      <w:rPr>
        <w:sz w:val="24"/>
        <w:szCs w:val="24"/>
      </w:rPr>
      <w:tblPr/>
      <w:tcPr>
        <w:tcBorders>
          <w:top w:val="nil"/>
          <w:left w:val="nil"/>
          <w:bottom w:val="single" w:sz="24" w:space="0" w:color="CCE3F5" w:themeColor="accent6"/>
          <w:right w:val="nil"/>
          <w:insideH w:val="nil"/>
          <w:insideV w:val="nil"/>
        </w:tcBorders>
        <w:shd w:val="clear" w:color="auto" w:fill="FFFFFF" w:themeFill="background1"/>
      </w:tcPr>
    </w:tblStylePr>
    <w:tblStylePr w:type="lastRow">
      <w:tblPr/>
      <w:tcPr>
        <w:tcBorders>
          <w:top w:val="single" w:sz="8" w:space="0" w:color="CCE3F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3F5" w:themeColor="accent6"/>
          <w:insideH w:val="nil"/>
          <w:insideV w:val="nil"/>
        </w:tcBorders>
        <w:shd w:val="clear" w:color="auto" w:fill="FFFFFF" w:themeFill="background1"/>
      </w:tcPr>
    </w:tblStylePr>
    <w:tblStylePr w:type="lastCol">
      <w:tblPr/>
      <w:tcPr>
        <w:tcBorders>
          <w:top w:val="nil"/>
          <w:left w:val="single" w:sz="8" w:space="0" w:color="CCE3F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7FC" w:themeFill="accent6" w:themeFillTint="3F"/>
      </w:tcPr>
    </w:tblStylePr>
    <w:tblStylePr w:type="band1Horz">
      <w:tblPr/>
      <w:tcPr>
        <w:tcBorders>
          <w:top w:val="nil"/>
          <w:bottom w:val="nil"/>
          <w:insideH w:val="nil"/>
          <w:insideV w:val="nil"/>
        </w:tcBorders>
        <w:shd w:val="clear" w:color="auto" w:fill="F2F7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6112A"/>
    <w:pPr>
      <w:spacing w:before="0" w:after="10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6112A"/>
    <w:pPr>
      <w:spacing w:before="0" w:after="100"/>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6112A"/>
    <w:pPr>
      <w:spacing w:before="0" w:after="100"/>
    </w:pPr>
    <w:tblPr>
      <w:tblStyleRowBandSize w:val="1"/>
      <w:tblStyleColBandSize w:val="1"/>
      <w:tblBorders>
        <w:top w:val="single" w:sz="8" w:space="0" w:color="0075FD" w:themeColor="accent2" w:themeTint="BF"/>
        <w:left w:val="single" w:sz="8" w:space="0" w:color="0075FD" w:themeColor="accent2" w:themeTint="BF"/>
        <w:bottom w:val="single" w:sz="8" w:space="0" w:color="0075FD" w:themeColor="accent2" w:themeTint="BF"/>
        <w:right w:val="single" w:sz="8" w:space="0" w:color="0075FD" w:themeColor="accent2" w:themeTint="BF"/>
        <w:insideH w:val="single" w:sz="8" w:space="0" w:color="0075FD" w:themeColor="accent2" w:themeTint="BF"/>
      </w:tblBorders>
    </w:tblPr>
    <w:tblStylePr w:type="firstRow">
      <w:pPr>
        <w:spacing w:before="0" w:after="0" w:line="240" w:lineRule="auto"/>
      </w:pPr>
      <w:rPr>
        <w:b/>
        <w:bCs/>
        <w:color w:val="FFFFFF" w:themeColor="background1"/>
      </w:rPr>
      <w:tblPr/>
      <w:tcPr>
        <w:tcBorders>
          <w:top w:val="single" w:sz="8" w:space="0" w:color="0075FD" w:themeColor="accent2" w:themeTint="BF"/>
          <w:left w:val="single" w:sz="8" w:space="0" w:color="0075FD" w:themeColor="accent2" w:themeTint="BF"/>
          <w:bottom w:val="single" w:sz="8" w:space="0" w:color="0075FD" w:themeColor="accent2" w:themeTint="BF"/>
          <w:right w:val="single" w:sz="8" w:space="0" w:color="0075FD" w:themeColor="accent2" w:themeTint="BF"/>
          <w:insideH w:val="nil"/>
          <w:insideV w:val="nil"/>
        </w:tcBorders>
        <w:shd w:val="clear" w:color="auto" w:fill="004EA8" w:themeFill="accent2"/>
      </w:tcPr>
    </w:tblStylePr>
    <w:tblStylePr w:type="lastRow">
      <w:pPr>
        <w:spacing w:before="0" w:after="0" w:line="240" w:lineRule="auto"/>
      </w:pPr>
      <w:rPr>
        <w:b/>
        <w:bCs/>
      </w:rPr>
      <w:tblPr/>
      <w:tcPr>
        <w:tcBorders>
          <w:top w:val="double" w:sz="6" w:space="0" w:color="0075FD" w:themeColor="accent2" w:themeTint="BF"/>
          <w:left w:val="single" w:sz="8" w:space="0" w:color="0075FD" w:themeColor="accent2" w:themeTint="BF"/>
          <w:bottom w:val="single" w:sz="8" w:space="0" w:color="0075FD" w:themeColor="accent2" w:themeTint="BF"/>
          <w:right w:val="single" w:sz="8" w:space="0" w:color="0075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2" w:themeFillTint="3F"/>
      </w:tcPr>
    </w:tblStylePr>
    <w:tblStylePr w:type="band1Horz">
      <w:tblPr/>
      <w:tcPr>
        <w:tcBorders>
          <w:insideH w:val="nil"/>
          <w:insideV w:val="nil"/>
        </w:tcBorders>
        <w:shd w:val="clear" w:color="auto" w:fill="AAD1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6112A"/>
    <w:pPr>
      <w:spacing w:before="0" w:after="10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6112A"/>
    <w:pPr>
      <w:spacing w:before="0" w:after="100"/>
    </w:pPr>
    <w:tblPr>
      <w:tblStyleRowBandSize w:val="1"/>
      <w:tblStyleColBandSize w:val="1"/>
      <w:tblBorders>
        <w:top w:val="single" w:sz="8"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single" w:sz="8" w:space="0" w:color="AAA7BA" w:themeColor="accent4" w:themeTint="BF"/>
      </w:tblBorders>
    </w:tblPr>
    <w:tblStylePr w:type="firstRow">
      <w:pPr>
        <w:spacing w:before="0" w:after="0" w:line="240" w:lineRule="auto"/>
      </w:pPr>
      <w:rPr>
        <w:b/>
        <w:bCs/>
        <w:color w:val="FFFFFF" w:themeColor="background1"/>
      </w:rPr>
      <w:tblPr/>
      <w:tcPr>
        <w:tcBorders>
          <w:top w:val="single" w:sz="8"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nil"/>
          <w:insideV w:val="nil"/>
        </w:tcBorders>
        <w:shd w:val="clear" w:color="auto" w:fill="8F8AA3" w:themeFill="accent4"/>
      </w:tcPr>
    </w:tblStylePr>
    <w:tblStylePr w:type="lastRow">
      <w:pPr>
        <w:spacing w:before="0" w:after="0" w:line="240" w:lineRule="auto"/>
      </w:pPr>
      <w:rPr>
        <w:b/>
        <w:bCs/>
      </w:rPr>
      <w:tblPr/>
      <w:tcPr>
        <w:tcBorders>
          <w:top w:val="double" w:sz="6" w:space="0" w:color="AAA7BA" w:themeColor="accent4" w:themeTint="BF"/>
          <w:left w:val="single" w:sz="8" w:space="0" w:color="AAA7BA" w:themeColor="accent4" w:themeTint="BF"/>
          <w:bottom w:val="single" w:sz="8" w:space="0" w:color="AAA7BA" w:themeColor="accent4" w:themeTint="BF"/>
          <w:right w:val="single" w:sz="8" w:space="0" w:color="AAA7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E2E8" w:themeFill="accent4" w:themeFillTint="3F"/>
      </w:tcPr>
    </w:tblStylePr>
    <w:tblStylePr w:type="band1Horz">
      <w:tblPr/>
      <w:tcPr>
        <w:tcBorders>
          <w:insideH w:val="nil"/>
          <w:insideV w:val="nil"/>
        </w:tcBorders>
        <w:shd w:val="clear" w:color="auto" w:fill="E3E2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6112A"/>
    <w:pPr>
      <w:spacing w:before="0" w:after="100"/>
    </w:pPr>
    <w:tblPr>
      <w:tblStyleRowBandSize w:val="1"/>
      <w:tblStyleColBandSize w:val="1"/>
      <w:tbl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single" w:sz="8" w:space="0" w:color="B2C9E4" w:themeColor="accent5" w:themeTint="BF"/>
      </w:tblBorders>
    </w:tblPr>
    <w:tblStylePr w:type="firstRow">
      <w:pPr>
        <w:spacing w:before="0" w:after="0" w:line="240" w:lineRule="auto"/>
      </w:pPr>
      <w:rPr>
        <w:b/>
        <w:bCs/>
        <w:color w:val="FFFFFF" w:themeColor="background1"/>
      </w:rPr>
      <w:tblPr/>
      <w:tcPr>
        <w:tcBorders>
          <w:top w:val="single" w:sz="8"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nil"/>
          <w:insideV w:val="nil"/>
        </w:tcBorders>
        <w:shd w:val="clear" w:color="auto" w:fill="99B8DC" w:themeFill="accent5"/>
      </w:tcPr>
    </w:tblStylePr>
    <w:tblStylePr w:type="lastRow">
      <w:pPr>
        <w:spacing w:before="0" w:after="0" w:line="240" w:lineRule="auto"/>
      </w:pPr>
      <w:rPr>
        <w:b/>
        <w:bCs/>
      </w:rPr>
      <w:tblPr/>
      <w:tcPr>
        <w:tcBorders>
          <w:top w:val="double" w:sz="6" w:space="0" w:color="B2C9E4" w:themeColor="accent5" w:themeTint="BF"/>
          <w:left w:val="single" w:sz="8" w:space="0" w:color="B2C9E4" w:themeColor="accent5" w:themeTint="BF"/>
          <w:bottom w:val="single" w:sz="8" w:space="0" w:color="B2C9E4" w:themeColor="accent5" w:themeTint="BF"/>
          <w:right w:val="single" w:sz="8" w:space="0" w:color="B2C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DF6" w:themeFill="accent5" w:themeFillTint="3F"/>
      </w:tcPr>
    </w:tblStylePr>
    <w:tblStylePr w:type="band1Horz">
      <w:tblPr/>
      <w:tcPr>
        <w:tcBorders>
          <w:insideH w:val="nil"/>
          <w:insideV w:val="nil"/>
        </w:tcBorders>
        <w:shd w:val="clear" w:color="auto" w:fill="E5ED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6112A"/>
    <w:pPr>
      <w:spacing w:before="0" w:after="100"/>
    </w:pPr>
    <w:tblPr>
      <w:tblStyleRowBandSize w:val="1"/>
      <w:tblStyleColBandSize w:val="1"/>
      <w:tblBorders>
        <w:top w:val="single" w:sz="8"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single" w:sz="8" w:space="0" w:color="D8E9F7" w:themeColor="accent6" w:themeTint="BF"/>
      </w:tblBorders>
    </w:tblPr>
    <w:tblStylePr w:type="firstRow">
      <w:pPr>
        <w:spacing w:before="0" w:after="0" w:line="240" w:lineRule="auto"/>
      </w:pPr>
      <w:rPr>
        <w:b/>
        <w:bCs/>
        <w:color w:val="FFFFFF" w:themeColor="background1"/>
      </w:rPr>
      <w:tblPr/>
      <w:tcPr>
        <w:tcBorders>
          <w:top w:val="single" w:sz="8"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nil"/>
          <w:insideV w:val="nil"/>
        </w:tcBorders>
        <w:shd w:val="clear" w:color="auto" w:fill="CCE3F5" w:themeFill="accent6"/>
      </w:tcPr>
    </w:tblStylePr>
    <w:tblStylePr w:type="lastRow">
      <w:pPr>
        <w:spacing w:before="0" w:after="0" w:line="240" w:lineRule="auto"/>
      </w:pPr>
      <w:rPr>
        <w:b/>
        <w:bCs/>
      </w:rPr>
      <w:tblPr/>
      <w:tcPr>
        <w:tcBorders>
          <w:top w:val="double" w:sz="6" w:space="0" w:color="D8E9F7" w:themeColor="accent6" w:themeTint="BF"/>
          <w:left w:val="single" w:sz="8" w:space="0" w:color="D8E9F7" w:themeColor="accent6" w:themeTint="BF"/>
          <w:bottom w:val="single" w:sz="8" w:space="0" w:color="D8E9F7" w:themeColor="accent6" w:themeTint="BF"/>
          <w:right w:val="single" w:sz="8" w:space="0" w:color="D8E9F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7FC" w:themeFill="accent6" w:themeFillTint="3F"/>
      </w:tcPr>
    </w:tblStylePr>
    <w:tblStylePr w:type="band1Horz">
      <w:tblPr/>
      <w:tcPr>
        <w:tcBorders>
          <w:insideH w:val="nil"/>
          <w:insideV w:val="nil"/>
        </w:tcBorders>
        <w:shd w:val="clear" w:color="auto" w:fill="F2F7F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6112A"/>
    <w:pPr>
      <w:spacing w:before="0" w:after="10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6112A"/>
    <w:pPr>
      <w:spacing w:before="0" w:after="10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6112A"/>
    <w:pPr>
      <w:spacing w:before="0" w:after="10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2"/>
      </w:tcPr>
    </w:tblStylePr>
    <w:tblStylePr w:type="lastCol">
      <w:rPr>
        <w:b/>
        <w:bCs/>
        <w:color w:val="FFFFFF" w:themeColor="background1"/>
      </w:rPr>
      <w:tblPr/>
      <w:tcPr>
        <w:tcBorders>
          <w:left w:val="nil"/>
          <w:right w:val="nil"/>
          <w:insideH w:val="nil"/>
          <w:insideV w:val="nil"/>
        </w:tcBorders>
        <w:shd w:val="clear" w:color="auto" w:fill="004E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6112A"/>
    <w:pPr>
      <w:spacing w:before="0" w:after="10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6112A"/>
    <w:pPr>
      <w:spacing w:before="0" w:after="10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8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8AA3" w:themeFill="accent4"/>
      </w:tcPr>
    </w:tblStylePr>
    <w:tblStylePr w:type="lastCol">
      <w:rPr>
        <w:b/>
        <w:bCs/>
        <w:color w:val="FFFFFF" w:themeColor="background1"/>
      </w:rPr>
      <w:tblPr/>
      <w:tcPr>
        <w:tcBorders>
          <w:left w:val="nil"/>
          <w:right w:val="nil"/>
          <w:insideH w:val="nil"/>
          <w:insideV w:val="nil"/>
        </w:tcBorders>
        <w:shd w:val="clear" w:color="auto" w:fill="8F8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6112A"/>
    <w:pPr>
      <w:spacing w:before="0" w:after="10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3F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3F5" w:themeFill="accent6"/>
      </w:tcPr>
    </w:tblStylePr>
    <w:tblStylePr w:type="lastCol">
      <w:rPr>
        <w:b/>
        <w:bCs/>
        <w:color w:val="FFFFFF" w:themeColor="background1"/>
      </w:rPr>
      <w:tblPr/>
      <w:tcPr>
        <w:tcBorders>
          <w:left w:val="nil"/>
          <w:right w:val="nil"/>
          <w:insideH w:val="nil"/>
          <w:insideV w:val="nil"/>
        </w:tcBorders>
        <w:shd w:val="clear" w:color="auto" w:fill="CCE3F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6112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112A"/>
    <w:rPr>
      <w:rFonts w:asciiTheme="majorHAnsi" w:eastAsiaTheme="majorEastAsia" w:hAnsiTheme="majorHAnsi" w:cstheme="majorBidi"/>
      <w:spacing w:val="2"/>
      <w:sz w:val="24"/>
      <w:szCs w:val="24"/>
      <w:shd w:val="pct20" w:color="auto" w:fill="auto"/>
      <w:lang w:eastAsia="en-AU"/>
    </w:rPr>
  </w:style>
  <w:style w:type="paragraph" w:styleId="NoSpacing">
    <w:name w:val="No Spacing"/>
    <w:uiPriority w:val="1"/>
    <w:semiHidden/>
    <w:rsid w:val="0026112A"/>
    <w:pPr>
      <w:keepLines/>
      <w:spacing w:before="0" w:after="100"/>
    </w:pPr>
  </w:style>
  <w:style w:type="paragraph" w:styleId="NormalWeb">
    <w:name w:val="Normal (Web)"/>
    <w:basedOn w:val="Normal"/>
    <w:uiPriority w:val="99"/>
    <w:unhideWhenUsed/>
    <w:rsid w:val="00C00568"/>
    <w:rPr>
      <w:rFonts w:ascii="Times New Roman" w:hAnsi="Times New Roman" w:cs="Times New Roman"/>
      <w:sz w:val="24"/>
      <w:szCs w:val="24"/>
    </w:rPr>
  </w:style>
  <w:style w:type="paragraph" w:styleId="NormalIndent">
    <w:name w:val="Normal Indent"/>
    <w:basedOn w:val="Normal"/>
    <w:uiPriority w:val="9"/>
    <w:qFormat/>
    <w:rsid w:val="0026112A"/>
    <w:pPr>
      <w:ind w:left="792"/>
    </w:pPr>
  </w:style>
  <w:style w:type="paragraph" w:styleId="NoteHeading">
    <w:name w:val="Note Heading"/>
    <w:basedOn w:val="Normal"/>
    <w:next w:val="Normal"/>
    <w:link w:val="NoteHeadingChar"/>
    <w:uiPriority w:val="99"/>
    <w:semiHidden/>
    <w:unhideWhenUsed/>
    <w:rsid w:val="0026112A"/>
    <w:pPr>
      <w:spacing w:before="0"/>
    </w:pPr>
  </w:style>
  <w:style w:type="character" w:customStyle="1" w:styleId="NoteHeadingChar">
    <w:name w:val="Note Heading Char"/>
    <w:basedOn w:val="DefaultParagraphFont"/>
    <w:link w:val="NoteHeading"/>
    <w:uiPriority w:val="99"/>
    <w:semiHidden/>
    <w:rsid w:val="0026112A"/>
    <w:rPr>
      <w:rFonts w:eastAsiaTheme="minorEastAsia"/>
      <w:spacing w:val="2"/>
      <w:lang w:eastAsia="en-AU"/>
    </w:rPr>
  </w:style>
  <w:style w:type="character" w:styleId="PlaceholderText">
    <w:name w:val="Placeholder Text"/>
    <w:basedOn w:val="DefaultParagraphFont"/>
    <w:uiPriority w:val="99"/>
    <w:semiHidden/>
    <w:rsid w:val="0026112A"/>
    <w:rPr>
      <w:color w:val="808080"/>
    </w:rPr>
  </w:style>
  <w:style w:type="paragraph" w:styleId="PlainText">
    <w:name w:val="Plain Text"/>
    <w:basedOn w:val="Normal"/>
    <w:link w:val="PlainTextChar"/>
    <w:uiPriority w:val="99"/>
    <w:semiHidden/>
    <w:unhideWhenUsed/>
    <w:rsid w:val="0026112A"/>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6112A"/>
    <w:rPr>
      <w:rFonts w:ascii="Consolas" w:eastAsiaTheme="minorEastAsia" w:hAnsi="Consolas" w:cs="Consolas"/>
      <w:spacing w:val="2"/>
      <w:sz w:val="21"/>
      <w:szCs w:val="21"/>
      <w:lang w:eastAsia="en-AU"/>
    </w:rPr>
  </w:style>
  <w:style w:type="paragraph" w:styleId="Quote">
    <w:name w:val="Quote"/>
    <w:basedOn w:val="Normal"/>
    <w:next w:val="Normal"/>
    <w:link w:val="QuoteChar"/>
    <w:uiPriority w:val="69"/>
    <w:rsid w:val="0026112A"/>
    <w:pPr>
      <w:spacing w:before="320" w:after="320" w:line="240" w:lineRule="auto"/>
      <w:jc w:val="center"/>
    </w:pPr>
    <w:rPr>
      <w:i/>
      <w:iCs/>
      <w:color w:val="000000" w:themeColor="text1"/>
    </w:rPr>
  </w:style>
  <w:style w:type="character" w:customStyle="1" w:styleId="QuoteChar">
    <w:name w:val="Quote Char"/>
    <w:basedOn w:val="DefaultParagraphFont"/>
    <w:link w:val="Quote"/>
    <w:uiPriority w:val="69"/>
    <w:rsid w:val="0026112A"/>
    <w:rPr>
      <w:rFonts w:eastAsiaTheme="minorEastAsia"/>
      <w:i/>
      <w:iCs/>
      <w:color w:val="000000" w:themeColor="text1"/>
      <w:spacing w:val="2"/>
      <w:lang w:eastAsia="en-AU"/>
    </w:rPr>
  </w:style>
  <w:style w:type="paragraph" w:styleId="Salutation">
    <w:name w:val="Salutation"/>
    <w:basedOn w:val="Normal"/>
    <w:next w:val="Normal"/>
    <w:link w:val="SalutationChar"/>
    <w:uiPriority w:val="99"/>
    <w:semiHidden/>
    <w:unhideWhenUsed/>
    <w:rsid w:val="0026112A"/>
  </w:style>
  <w:style w:type="character" w:customStyle="1" w:styleId="SalutationChar">
    <w:name w:val="Salutation Char"/>
    <w:basedOn w:val="DefaultParagraphFont"/>
    <w:link w:val="Salutation"/>
    <w:uiPriority w:val="99"/>
    <w:semiHidden/>
    <w:rsid w:val="0026112A"/>
    <w:rPr>
      <w:rFonts w:eastAsiaTheme="minorEastAsia"/>
      <w:spacing w:val="2"/>
      <w:lang w:eastAsia="en-AU"/>
    </w:rPr>
  </w:style>
  <w:style w:type="paragraph" w:styleId="Signature">
    <w:name w:val="Signature"/>
    <w:basedOn w:val="Normal"/>
    <w:link w:val="SignatureChar"/>
    <w:uiPriority w:val="99"/>
    <w:semiHidden/>
    <w:unhideWhenUsed/>
    <w:rsid w:val="0026112A"/>
    <w:pPr>
      <w:spacing w:before="0"/>
      <w:ind w:left="4252"/>
    </w:pPr>
  </w:style>
  <w:style w:type="character" w:customStyle="1" w:styleId="SignatureChar">
    <w:name w:val="Signature Char"/>
    <w:basedOn w:val="DefaultParagraphFont"/>
    <w:link w:val="Signature"/>
    <w:uiPriority w:val="99"/>
    <w:semiHidden/>
    <w:rsid w:val="0026112A"/>
    <w:rPr>
      <w:rFonts w:eastAsiaTheme="minorEastAsia"/>
      <w:spacing w:val="2"/>
      <w:lang w:eastAsia="en-AU"/>
    </w:rPr>
  </w:style>
  <w:style w:type="character" w:styleId="Strong">
    <w:name w:val="Strong"/>
    <w:basedOn w:val="DefaultParagraphFont"/>
    <w:uiPriority w:val="98"/>
    <w:semiHidden/>
    <w:rsid w:val="0026112A"/>
    <w:rPr>
      <w:b/>
      <w:bCs/>
    </w:rPr>
  </w:style>
  <w:style w:type="paragraph" w:styleId="Subtitle">
    <w:name w:val="Subtitle"/>
    <w:next w:val="TertiaryTitle"/>
    <w:link w:val="SubtitleChar"/>
    <w:uiPriority w:val="99"/>
    <w:rsid w:val="0026112A"/>
    <w:pPr>
      <w:spacing w:before="0" w:after="120" w:line="440" w:lineRule="exact"/>
    </w:pPr>
    <w:rPr>
      <w:rFonts w:ascii="Arial Black" w:eastAsia="Times New Roman" w:hAnsi="Arial Black" w:cstheme="majorHAnsi"/>
      <w:b/>
      <w:caps/>
      <w:color w:val="201547" w:themeColor="accent1"/>
      <w:spacing w:val="2"/>
      <w:sz w:val="44"/>
      <w:szCs w:val="44"/>
      <w:lang w:eastAsia="en-AU"/>
    </w:rPr>
  </w:style>
  <w:style w:type="character" w:customStyle="1" w:styleId="SubtitleChar">
    <w:name w:val="Subtitle Char"/>
    <w:basedOn w:val="DefaultParagraphFont"/>
    <w:link w:val="Subtitle"/>
    <w:uiPriority w:val="99"/>
    <w:rsid w:val="0026112A"/>
    <w:rPr>
      <w:rFonts w:ascii="Arial Black" w:eastAsia="Times New Roman" w:hAnsi="Arial Black" w:cstheme="majorHAnsi"/>
      <w:b/>
      <w:caps/>
      <w:color w:val="201547" w:themeColor="accent1"/>
      <w:spacing w:val="2"/>
      <w:sz w:val="44"/>
      <w:szCs w:val="44"/>
      <w:lang w:eastAsia="en-AU"/>
    </w:rPr>
  </w:style>
  <w:style w:type="character" w:styleId="SubtleReference">
    <w:name w:val="Subtle Reference"/>
    <w:basedOn w:val="DefaultParagraphFont"/>
    <w:uiPriority w:val="31"/>
    <w:semiHidden/>
    <w:rsid w:val="0026112A"/>
    <w:rPr>
      <w:smallCaps/>
      <w:color w:val="004EA8" w:themeColor="accent2"/>
      <w:u w:val="single"/>
    </w:rPr>
  </w:style>
  <w:style w:type="table" w:styleId="Table3Deffects1">
    <w:name w:val="Table 3D effects 1"/>
    <w:basedOn w:val="TableNormal"/>
    <w:uiPriority w:val="99"/>
    <w:semiHidden/>
    <w:unhideWhenUsed/>
    <w:rsid w:val="0026112A"/>
    <w:pPr>
      <w:keepLines/>
      <w:spacing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112A"/>
    <w:pPr>
      <w:keepLines/>
      <w:spacing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112A"/>
    <w:pPr>
      <w:keepLines/>
      <w:spacing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112A"/>
    <w:pPr>
      <w:keepLines/>
      <w:spacing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112A"/>
    <w:pPr>
      <w:keepLines/>
      <w:spacing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112A"/>
    <w:pPr>
      <w:keepLines/>
      <w:spacing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112A"/>
    <w:pPr>
      <w:keepLines/>
      <w:spacing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112A"/>
    <w:pPr>
      <w:keepLines/>
      <w:spacing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112A"/>
    <w:pPr>
      <w:keepLines/>
      <w:spacing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112A"/>
    <w:pPr>
      <w:keepLines/>
      <w:spacing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112A"/>
    <w:pPr>
      <w:keepLines/>
      <w:spacing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112A"/>
    <w:pPr>
      <w:keepLines/>
      <w:spacing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112A"/>
    <w:pPr>
      <w:keepLines/>
      <w:spacing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112A"/>
    <w:pPr>
      <w:keepLines/>
      <w:spacing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112A"/>
    <w:pPr>
      <w:keepLines/>
      <w:spacing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112A"/>
    <w:pPr>
      <w:keepLines/>
      <w:spacing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112A"/>
    <w:pPr>
      <w:keepLines/>
      <w:spacing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112A"/>
    <w:pPr>
      <w:keepLines/>
      <w:spacing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112A"/>
    <w:pPr>
      <w:keepLines/>
      <w:spacing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112A"/>
    <w:pPr>
      <w:keepLines/>
      <w:spacing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112A"/>
    <w:pPr>
      <w:keepLines/>
      <w:spacing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112A"/>
    <w:pPr>
      <w:keepLines/>
      <w:spacing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112A"/>
    <w:pPr>
      <w:keepLines/>
      <w:spacing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112A"/>
    <w:pPr>
      <w:keepLines/>
      <w:spacing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112A"/>
    <w:pPr>
      <w:keepLines/>
      <w:spacing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6112A"/>
    <w:pPr>
      <w:keepLines/>
      <w:spacing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112A"/>
    <w:pPr>
      <w:keepLines/>
      <w:spacing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112A"/>
    <w:pPr>
      <w:keepLines/>
      <w:spacing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112A"/>
    <w:pPr>
      <w:keepLines/>
      <w:spacing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112A"/>
    <w:pPr>
      <w:keepLines/>
      <w:spacing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112A"/>
    <w:pPr>
      <w:keepLines/>
      <w:spacing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112A"/>
    <w:pPr>
      <w:keepLines/>
      <w:spacing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112A"/>
    <w:pPr>
      <w:keepLines/>
      <w:spacing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112A"/>
    <w:pPr>
      <w:ind w:left="220" w:hanging="220"/>
    </w:pPr>
  </w:style>
  <w:style w:type="paragraph" w:styleId="TableofFigures">
    <w:name w:val="table of figures"/>
    <w:basedOn w:val="Normal"/>
    <w:next w:val="Normal"/>
    <w:uiPriority w:val="99"/>
    <w:semiHidden/>
    <w:unhideWhenUsed/>
    <w:rsid w:val="0026112A"/>
  </w:style>
  <w:style w:type="table" w:styleId="TableProfessional">
    <w:name w:val="Table Professional"/>
    <w:basedOn w:val="TableNormal"/>
    <w:uiPriority w:val="99"/>
    <w:semiHidden/>
    <w:unhideWhenUsed/>
    <w:rsid w:val="0026112A"/>
    <w:pPr>
      <w:keepLines/>
      <w:spacing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112A"/>
    <w:pPr>
      <w:keepLines/>
      <w:spacing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112A"/>
    <w:pPr>
      <w:keepLines/>
      <w:spacing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112A"/>
    <w:pPr>
      <w:keepLines/>
      <w:spacing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112A"/>
    <w:pPr>
      <w:keepLines/>
      <w:spacing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112A"/>
    <w:pPr>
      <w:keepLines/>
      <w:spacing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112A"/>
    <w:pPr>
      <w:keepLines/>
      <w:spacing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112A"/>
    <w:pPr>
      <w:keepLines/>
      <w:spacing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112A"/>
    <w:pPr>
      <w:keepLines/>
      <w:spacing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112A"/>
    <w:pPr>
      <w:keepLines/>
      <w:spacing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99"/>
    <w:rsid w:val="0026112A"/>
    <w:pPr>
      <w:spacing w:before="500" w:after="300" w:line="252" w:lineRule="auto"/>
    </w:pPr>
    <w:rPr>
      <w:rFonts w:asciiTheme="majorHAnsi" w:eastAsia="Times New Roman" w:hAnsiTheme="majorHAnsi" w:cstheme="majorHAnsi"/>
      <w:color w:val="201547" w:themeColor="accent1"/>
      <w:spacing w:val="-2"/>
      <w:sz w:val="52"/>
      <w:szCs w:val="22"/>
      <w:lang w:eastAsia="en-AU"/>
    </w:rPr>
  </w:style>
  <w:style w:type="character" w:customStyle="1" w:styleId="TitleChar">
    <w:name w:val="Title Char"/>
    <w:basedOn w:val="DefaultParagraphFont"/>
    <w:link w:val="Title"/>
    <w:uiPriority w:val="99"/>
    <w:rsid w:val="0026112A"/>
    <w:rPr>
      <w:rFonts w:asciiTheme="majorHAnsi" w:eastAsia="Times New Roman" w:hAnsiTheme="majorHAnsi" w:cstheme="majorHAnsi"/>
      <w:color w:val="201547" w:themeColor="accent1"/>
      <w:spacing w:val="-2"/>
      <w:sz w:val="52"/>
      <w:szCs w:val="22"/>
      <w:lang w:eastAsia="en-AU"/>
    </w:rPr>
  </w:style>
  <w:style w:type="paragraph" w:styleId="TOAHeading">
    <w:name w:val="toa heading"/>
    <w:basedOn w:val="Normal"/>
    <w:next w:val="Normal"/>
    <w:uiPriority w:val="99"/>
    <w:semiHidden/>
    <w:unhideWhenUsed/>
    <w:rsid w:val="0026112A"/>
    <w:rPr>
      <w:rFonts w:asciiTheme="majorHAnsi" w:eastAsiaTheme="majorEastAsia" w:hAnsiTheme="majorHAnsi" w:cstheme="majorBidi"/>
      <w:b/>
      <w:bCs/>
      <w:sz w:val="24"/>
      <w:szCs w:val="24"/>
    </w:rPr>
  </w:style>
  <w:style w:type="paragraph" w:styleId="TOC5">
    <w:name w:val="toc 5"/>
    <w:basedOn w:val="TOC2"/>
    <w:next w:val="Normal"/>
    <w:uiPriority w:val="39"/>
    <w:rsid w:val="0026112A"/>
    <w:pPr>
      <w:ind w:left="1080" w:hanging="634"/>
    </w:pPr>
    <w:rPr>
      <w:lang w:eastAsia="en-US"/>
    </w:rPr>
  </w:style>
  <w:style w:type="paragraph" w:styleId="TOC6">
    <w:name w:val="toc 6"/>
    <w:basedOn w:val="TOC3"/>
    <w:next w:val="Normal"/>
    <w:uiPriority w:val="39"/>
    <w:rsid w:val="0026112A"/>
    <w:pPr>
      <w:ind w:left="1800" w:hanging="720"/>
    </w:pPr>
    <w:rPr>
      <w:lang w:eastAsia="en-US"/>
    </w:rPr>
  </w:style>
  <w:style w:type="paragraph" w:styleId="TOC8">
    <w:name w:val="toc 8"/>
    <w:basedOn w:val="Normal"/>
    <w:next w:val="Normal"/>
    <w:autoRedefine/>
    <w:uiPriority w:val="96"/>
    <w:semiHidden/>
    <w:rsid w:val="0026112A"/>
    <w:pPr>
      <w:ind w:left="1540"/>
    </w:pPr>
  </w:style>
  <w:style w:type="paragraph" w:styleId="TOCHeading">
    <w:name w:val="TOC Heading"/>
    <w:basedOn w:val="Heading1"/>
    <w:next w:val="Normal"/>
    <w:uiPriority w:val="39"/>
    <w:rsid w:val="0026112A"/>
    <w:pPr>
      <w:spacing w:before="480" w:after="720"/>
      <w:outlineLvl w:val="9"/>
    </w:pPr>
    <w:rPr>
      <w:spacing w:val="2"/>
    </w:rPr>
  </w:style>
  <w:style w:type="table" w:customStyle="1" w:styleId="DTFTextTable">
    <w:name w:val="DTF Text Table"/>
    <w:basedOn w:val="DTFTable"/>
    <w:uiPriority w:val="99"/>
    <w:rsid w:val="00C65510"/>
    <w:pPr>
      <w:spacing w:before="120" w:after="60" w:line="240" w:lineRule="auto"/>
      <w:jc w:val="left"/>
    </w:pPr>
    <w:rPr>
      <w:sz w:val="18"/>
    </w:rPr>
    <w:tblPr>
      <w:tblBorders>
        <w:bottom w:val="single" w:sz="8" w:space="0" w:color="201547" w:themeColor="accent1"/>
      </w:tblBorders>
    </w:tblPr>
    <w:tblStylePr w:type="firstRow">
      <w:pPr>
        <w:wordWrap/>
        <w:spacing w:beforeLines="0" w:before="20" w:beforeAutospacing="0" w:afterLines="0" w:after="20" w:afterAutospacing="0" w:line="264" w:lineRule="auto"/>
        <w:jc w:val="left"/>
      </w:pPr>
      <w:rPr>
        <w:b/>
        <w:i w:val="0"/>
        <w:color w:val="FFFFFF" w:themeColor="background1"/>
      </w:rPr>
      <w:tblPr/>
      <w:trPr>
        <w:cantSplit w:val="0"/>
      </w:trPr>
      <w:tcPr>
        <w:tcBorders>
          <w:top w:val="single" w:sz="8" w:space="0" w:color="201547" w:themeColor="accent1"/>
          <w:left w:val="nil"/>
          <w:bottom w:val="single" w:sz="8" w:space="0" w:color="201547" w:themeColor="accent1"/>
          <w:right w:val="nil"/>
          <w:insideH w:val="nil"/>
          <w:insideV w:val="nil"/>
          <w:tl2br w:val="nil"/>
          <w:tr2bl w:val="nil"/>
        </w:tcBorders>
        <w:shd w:val="clear" w:color="auto" w:fill="004EA8" w:themeFill="accent2"/>
        <w:vAlign w:val="bottom"/>
      </w:tcPr>
    </w:tblStylePr>
    <w:tblStylePr w:type="lastRow">
      <w:rPr>
        <w:b/>
      </w:rPr>
      <w:tblPr/>
      <w:tcPr>
        <w:tcBorders>
          <w:top w:val="single" w:sz="6" w:space="0" w:color="000000" w:themeColor="text1"/>
          <w:left w:val="nil"/>
          <w:bottom w:val="single" w:sz="8" w:space="0" w:color="000000" w:themeColor="text1"/>
          <w:right w:val="nil"/>
          <w:insideH w:val="nil"/>
          <w:insideV w:val="nil"/>
          <w:tl2br w:val="nil"/>
          <w:tr2bl w:val="nil"/>
        </w:tcBorders>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D9D9D6" w:themeFill="background2"/>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character" w:customStyle="1" w:styleId="FooterevenChar">
    <w:name w:val="Footer (even) Char"/>
    <w:basedOn w:val="FooterChar"/>
    <w:link w:val="Footereven"/>
    <w:uiPriority w:val="84"/>
    <w:rsid w:val="0026112A"/>
    <w:rPr>
      <w:rFonts w:asciiTheme="majorHAnsi" w:eastAsiaTheme="minorEastAsia" w:hAnsiTheme="majorHAnsi"/>
      <w:noProof/>
      <w:spacing w:val="2"/>
      <w:sz w:val="18"/>
      <w:szCs w:val="18"/>
      <w:lang w:eastAsia="en-AU"/>
    </w:rPr>
  </w:style>
  <w:style w:type="paragraph" w:customStyle="1" w:styleId="ObjectiveHeading">
    <w:name w:val="Objective Heading"/>
    <w:basedOn w:val="Normal"/>
    <w:next w:val="Normal"/>
    <w:uiPriority w:val="62"/>
    <w:semiHidden/>
    <w:qFormat/>
    <w:rsid w:val="0026112A"/>
    <w:pPr>
      <w:keepNext/>
      <w:pBdr>
        <w:top w:val="single" w:sz="6" w:space="3" w:color="auto"/>
        <w:left w:val="single" w:sz="6" w:space="5" w:color="auto"/>
        <w:bottom w:val="single" w:sz="6" w:space="3" w:color="auto"/>
        <w:right w:val="single" w:sz="6" w:space="5" w:color="auto"/>
      </w:pBdr>
      <w:shd w:val="clear" w:color="auto" w:fill="F2F2F2" w:themeFill="background1" w:themeFillShade="F2"/>
    </w:pPr>
    <w:rPr>
      <w:rFonts w:asciiTheme="majorHAnsi" w:hAnsiTheme="majorHAnsi"/>
      <w:b/>
      <w:sz w:val="24"/>
    </w:rPr>
  </w:style>
  <w:style w:type="table" w:customStyle="1" w:styleId="CalloutBox">
    <w:name w:val="Callout Box"/>
    <w:basedOn w:val="TableNormal"/>
    <w:uiPriority w:val="99"/>
    <w:rsid w:val="0026112A"/>
    <w:pPr>
      <w:spacing w:before="0" w:after="0" w:line="240" w:lineRule="auto"/>
    </w:pPr>
    <w:tblPr>
      <w:tblCellMar>
        <w:left w:w="0" w:type="dxa"/>
        <w:right w:w="0" w:type="dxa"/>
      </w:tblCellMar>
    </w:tblPr>
    <w:tblStylePr w:type="firstCol">
      <w:pPr>
        <w:wordWrap/>
        <w:ind w:rightChars="0" w:right="397"/>
      </w:pPr>
    </w:tblStylePr>
    <w:tblStylePr w:type="lastCol">
      <w:pPr>
        <w:wordWrap/>
        <w:spacing w:beforeLines="0" w:before="120" w:beforeAutospacing="0" w:afterLines="0" w:after="120" w:afterAutospacing="0" w:line="312" w:lineRule="auto"/>
        <w:ind w:leftChars="0" w:left="284" w:rightChars="0" w:right="284"/>
      </w:pPr>
      <w:rPr>
        <w:i/>
        <w:color w:val="004EA8" w:themeColor="accent2"/>
        <w:sz w:val="16"/>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nil"/>
          <w:insideV w:val="nil"/>
          <w:tl2br w:val="nil"/>
          <w:tr2bl w:val="nil"/>
        </w:tcBorders>
        <w:shd w:val="clear" w:color="auto" w:fill="F2F2F2"/>
      </w:tcPr>
    </w:tblStylePr>
  </w:style>
  <w:style w:type="table" w:customStyle="1" w:styleId="HighlightBox">
    <w:name w:val="Highlight Box"/>
    <w:basedOn w:val="TableNormal"/>
    <w:uiPriority w:val="99"/>
    <w:rsid w:val="0026112A"/>
    <w:pPr>
      <w:spacing w:before="0" w:after="0" w:line="240" w:lineRule="auto"/>
    </w:pPr>
    <w:tblPr>
      <w:tblBorders>
        <w:top w:val="single" w:sz="8" w:space="0" w:color="53565A" w:themeColor="text2"/>
        <w:left w:val="single" w:sz="8" w:space="0" w:color="53565A" w:themeColor="text2"/>
        <w:bottom w:val="single" w:sz="8" w:space="0" w:color="53565A" w:themeColor="text2"/>
        <w:right w:val="single" w:sz="8" w:space="0" w:color="53565A" w:themeColor="text2"/>
      </w:tblBorders>
      <w:tblCellMar>
        <w:top w:w="113" w:type="dxa"/>
        <w:bottom w:w="113" w:type="dxa"/>
      </w:tblCellMar>
    </w:tblPr>
    <w:tcPr>
      <w:shd w:val="clear" w:color="auto" w:fill="CCE3F5"/>
    </w:tcPr>
  </w:style>
  <w:style w:type="paragraph" w:customStyle="1" w:styleId="Spacer">
    <w:name w:val="Spacer"/>
    <w:basedOn w:val="Normal"/>
    <w:uiPriority w:val="13"/>
    <w:qFormat/>
    <w:rsid w:val="0026112A"/>
    <w:pPr>
      <w:spacing w:before="0" w:after="0" w:line="120" w:lineRule="atLeast"/>
    </w:pPr>
    <w:rPr>
      <w:rFonts w:eastAsia="Times New Roman" w:cs="Calibri"/>
      <w:spacing w:val="0"/>
      <w:sz w:val="10"/>
      <w:szCs w:val="22"/>
    </w:rPr>
  </w:style>
  <w:style w:type="paragraph" w:customStyle="1" w:styleId="TableText">
    <w:name w:val="Table Text"/>
    <w:basedOn w:val="Normal"/>
    <w:uiPriority w:val="15"/>
    <w:qFormat/>
    <w:rsid w:val="004E1B2A"/>
    <w:pPr>
      <w:spacing w:before="20" w:after="20" w:line="240" w:lineRule="auto"/>
    </w:pPr>
    <w:rPr>
      <w:rFonts w:ascii="Calibri" w:eastAsia="Times New Roman" w:hAnsi="Calibri" w:cs="Calibri"/>
      <w:sz w:val="18"/>
      <w:szCs w:val="22"/>
    </w:rPr>
  </w:style>
  <w:style w:type="paragraph" w:customStyle="1" w:styleId="Textboxtext">
    <w:name w:val="Text box text"/>
    <w:basedOn w:val="Normal"/>
    <w:qFormat/>
    <w:rsid w:val="001F1812"/>
    <w:pPr>
      <w:spacing w:before="0" w:after="0"/>
      <w:jc w:val="center"/>
    </w:pPr>
    <w:rPr>
      <w:sz w:val="16"/>
      <w:szCs w:val="16"/>
    </w:rPr>
  </w:style>
  <w:style w:type="paragraph" w:customStyle="1" w:styleId="Tablebullet">
    <w:name w:val="Table bullet"/>
    <w:basedOn w:val="Tabletext0"/>
    <w:uiPriority w:val="6"/>
    <w:rsid w:val="0026112A"/>
    <w:pPr>
      <w:numPr>
        <w:numId w:val="21"/>
      </w:numPr>
    </w:pPr>
  </w:style>
  <w:style w:type="paragraph" w:styleId="Revision">
    <w:name w:val="Revision"/>
    <w:hidden/>
    <w:uiPriority w:val="99"/>
    <w:semiHidden/>
    <w:rsid w:val="00D870B0"/>
    <w:pPr>
      <w:spacing w:before="0" w:after="0" w:line="240" w:lineRule="auto"/>
    </w:pPr>
  </w:style>
  <w:style w:type="paragraph" w:customStyle="1" w:styleId="Highlightbox0">
    <w:name w:val="Highlight box"/>
    <w:basedOn w:val="Normal"/>
    <w:qFormat/>
    <w:rsid w:val="00A843B3"/>
    <w:pPr>
      <w:pBdr>
        <w:top w:val="single" w:sz="6" w:space="3" w:color="201547" w:themeColor="accent1"/>
        <w:left w:val="single" w:sz="6" w:space="4" w:color="201547" w:themeColor="accent1"/>
        <w:bottom w:val="single" w:sz="6" w:space="3" w:color="201547" w:themeColor="accent1"/>
        <w:right w:val="single" w:sz="6" w:space="4" w:color="201547" w:themeColor="accent1"/>
      </w:pBdr>
      <w:shd w:val="clear" w:color="auto" w:fill="C2E3FF" w:themeFill="accent3" w:themeFillTint="33"/>
      <w:ind w:left="461" w:right="116"/>
    </w:pPr>
    <w:rPr>
      <w:sz w:val="19"/>
    </w:rPr>
  </w:style>
  <w:style w:type="table" w:customStyle="1" w:styleId="DTFfinancialtableindent">
    <w:name w:val="DTF financial table indent"/>
    <w:basedOn w:val="DTFfinancialtable"/>
    <w:uiPriority w:val="99"/>
    <w:rsid w:val="0026112A"/>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201547" w:themeFill="accent1"/>
        <w:vAlign w:val="bottom"/>
      </w:tcPr>
    </w:tblStylePr>
    <w:tblStylePr w:type="lastRow">
      <w:rPr>
        <w:b/>
      </w:rPr>
      <w:tblPr/>
      <w:tcPr>
        <w:tcBorders>
          <w:top w:val="single" w:sz="6" w:space="0" w:color="201547" w:themeColor="accent1"/>
          <w:left w:val="nil"/>
          <w:bottom w:val="single" w:sz="12" w:space="0" w:color="201547" w:themeColor="accent1"/>
          <w:right w:val="nil"/>
          <w:insideV w:val="nil"/>
        </w:tcBorders>
      </w:tcPr>
    </w:tblStylePr>
    <w:tblStylePr w:type="firstCol">
      <w:pPr>
        <w:jc w:val="left"/>
      </w:pPr>
      <w:tblPr/>
      <w:tcPr>
        <w:shd w:val="clear" w:color="auto" w:fill="C2E3FF" w:themeFill="accent3" w:themeFillTint="33"/>
      </w:tcPr>
    </w:tblStylePr>
    <w:tblStylePr w:type="band1Vert">
      <w:pPr>
        <w:jc w:val="right"/>
      </w:pPr>
    </w:tblStylePr>
    <w:tblStylePr w:type="band2Vert">
      <w:pPr>
        <w:jc w:val="right"/>
      </w:pPr>
    </w:tblStylePr>
    <w:tblStylePr w:type="band2Horz">
      <w:tblPr/>
      <w:tcPr>
        <w:shd w:val="clear" w:color="auto" w:fill="C2E3FF" w:themeFill="accent3" w:themeFillTint="33"/>
      </w:tcPr>
    </w:tblStylePr>
    <w:tblStylePr w:type="nwCell">
      <w:pPr>
        <w:jc w:val="left"/>
      </w:pPr>
      <w:tblPr/>
      <w:tcPr>
        <w:vAlign w:val="bottom"/>
      </w:tcPr>
    </w:tblStylePr>
  </w:style>
  <w:style w:type="paragraph" w:customStyle="1" w:styleId="Highlightboxindent">
    <w:name w:val="Highlight box indent"/>
    <w:basedOn w:val="Highlightbox0"/>
    <w:qFormat/>
    <w:rsid w:val="00A843B3"/>
    <w:pPr>
      <w:spacing w:after="60"/>
      <w:ind w:left="907" w:right="115"/>
    </w:pPr>
  </w:style>
  <w:style w:type="paragraph" w:customStyle="1" w:styleId="Normalblueindent">
    <w:name w:val="Normal blue indent"/>
    <w:basedOn w:val="Normal"/>
    <w:qFormat/>
    <w:rsid w:val="00A843B3"/>
    <w:pPr>
      <w:spacing w:line="252" w:lineRule="auto"/>
      <w:ind w:left="792"/>
    </w:pPr>
    <w:rPr>
      <w:color w:val="201547" w:themeColor="accent1"/>
    </w:rPr>
  </w:style>
  <w:style w:type="paragraph" w:customStyle="1" w:styleId="Highlightboxbulletindent">
    <w:name w:val="Highlight box bullet indent"/>
    <w:basedOn w:val="Highlightboxindent"/>
    <w:qFormat/>
    <w:rsid w:val="00F31D61"/>
    <w:pPr>
      <w:numPr>
        <w:numId w:val="3"/>
      </w:numPr>
      <w:spacing w:before="60"/>
      <w:ind w:left="1267"/>
    </w:pPr>
  </w:style>
  <w:style w:type="table" w:customStyle="1" w:styleId="TableGrid10">
    <w:name w:val="Table Grid1"/>
    <w:basedOn w:val="TableNormal"/>
    <w:next w:val="TableGrid"/>
    <w:uiPriority w:val="59"/>
    <w:rsid w:val="0026112A"/>
    <w:pPr>
      <w:spacing w:before="0"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 num"/>
    <w:basedOn w:val="Normal"/>
    <w:uiPriority w:val="2"/>
    <w:qFormat/>
    <w:rsid w:val="0026112A"/>
    <w:pPr>
      <w:numPr>
        <w:numId w:val="18"/>
      </w:numPr>
    </w:pPr>
  </w:style>
  <w:style w:type="paragraph" w:customStyle="1" w:styleId="Listnum2">
    <w:name w:val="List num 2"/>
    <w:basedOn w:val="Normal"/>
    <w:uiPriority w:val="2"/>
    <w:qFormat/>
    <w:rsid w:val="0026112A"/>
    <w:pPr>
      <w:numPr>
        <w:ilvl w:val="1"/>
        <w:numId w:val="18"/>
      </w:numPr>
    </w:pPr>
  </w:style>
  <w:style w:type="paragraph" w:customStyle="1" w:styleId="Bullet1">
    <w:name w:val="Bullet 1"/>
    <w:uiPriority w:val="1"/>
    <w:qFormat/>
    <w:rsid w:val="0026112A"/>
    <w:pPr>
      <w:numPr>
        <w:numId w:val="10"/>
      </w:numPr>
      <w:spacing w:before="100" w:after="100" w:line="240" w:lineRule="auto"/>
      <w:contextualSpacing/>
    </w:pPr>
    <w:rPr>
      <w:rFonts w:eastAsia="Times New Roman" w:cs="Calibri"/>
      <w:spacing w:val="2"/>
      <w:lang w:eastAsia="en-AU"/>
    </w:rPr>
  </w:style>
  <w:style w:type="paragraph" w:customStyle="1" w:styleId="Bullet2">
    <w:name w:val="Bullet 2"/>
    <w:basedOn w:val="Bullet1"/>
    <w:uiPriority w:val="1"/>
    <w:qFormat/>
    <w:rsid w:val="0026112A"/>
    <w:pPr>
      <w:numPr>
        <w:ilvl w:val="1"/>
      </w:numPr>
    </w:pPr>
  </w:style>
  <w:style w:type="paragraph" w:customStyle="1" w:styleId="Bulletindent">
    <w:name w:val="Bullet indent"/>
    <w:basedOn w:val="Bullet2"/>
    <w:uiPriority w:val="9"/>
    <w:qFormat/>
    <w:rsid w:val="0026112A"/>
    <w:pPr>
      <w:numPr>
        <w:ilvl w:val="2"/>
      </w:numPr>
      <w:spacing w:line="264" w:lineRule="auto"/>
      <w:contextualSpacing w:val="0"/>
    </w:pPr>
  </w:style>
  <w:style w:type="paragraph" w:customStyle="1" w:styleId="Bulletindent2">
    <w:name w:val="Bullet indent 2"/>
    <w:basedOn w:val="Normal"/>
    <w:uiPriority w:val="9"/>
    <w:qFormat/>
    <w:rsid w:val="0026112A"/>
    <w:pPr>
      <w:numPr>
        <w:ilvl w:val="3"/>
        <w:numId w:val="10"/>
      </w:numPr>
      <w:spacing w:before="100"/>
      <w:contextualSpacing/>
    </w:pPr>
  </w:style>
  <w:style w:type="table" w:customStyle="1" w:styleId="DTFfinancialtable">
    <w:name w:val="DTF financial table"/>
    <w:basedOn w:val="TableGrid"/>
    <w:uiPriority w:val="99"/>
    <w:rsid w:val="0026112A"/>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201547" w:themeFill="accent1"/>
        <w:vAlign w:val="bottom"/>
      </w:tcPr>
    </w:tblStylePr>
    <w:tblStylePr w:type="lastRow">
      <w:rPr>
        <w:b/>
      </w:rPr>
      <w:tblPr/>
      <w:tcPr>
        <w:tcBorders>
          <w:top w:val="single" w:sz="6" w:space="0" w:color="201547" w:themeColor="accent1"/>
          <w:left w:val="nil"/>
          <w:bottom w:val="single" w:sz="12" w:space="0" w:color="201547" w:themeColor="accent1"/>
          <w:right w:val="nil"/>
          <w:insideV w:val="nil"/>
        </w:tcBorders>
      </w:tcPr>
    </w:tblStylePr>
    <w:tblStylePr w:type="firstCol">
      <w:pPr>
        <w:jc w:val="left"/>
      </w:pPr>
      <w:tblPr/>
      <w:tcPr>
        <w:shd w:val="clear" w:color="auto" w:fill="C2E3FF" w:themeFill="accent3" w:themeFillTint="33"/>
      </w:tcPr>
    </w:tblStylePr>
    <w:tblStylePr w:type="band1Vert">
      <w:pPr>
        <w:jc w:val="right"/>
      </w:pPr>
    </w:tblStylePr>
    <w:tblStylePr w:type="band2Vert">
      <w:pPr>
        <w:jc w:val="right"/>
      </w:pPr>
    </w:tblStylePr>
    <w:tblStylePr w:type="band2Horz">
      <w:tblPr/>
      <w:tcPr>
        <w:shd w:val="clear" w:color="auto" w:fill="C2E3FF" w:themeFill="accent3" w:themeFillTint="33"/>
      </w:tcPr>
    </w:tblStylePr>
    <w:tblStylePr w:type="nwCell">
      <w:pPr>
        <w:jc w:val="left"/>
      </w:pPr>
      <w:tblPr/>
      <w:tcPr>
        <w:vAlign w:val="bottom"/>
      </w:tcPr>
    </w:tblStylePr>
  </w:style>
  <w:style w:type="table" w:customStyle="1" w:styleId="DTFtexttable0">
    <w:name w:val="DTF text table"/>
    <w:basedOn w:val="TableGrid"/>
    <w:uiPriority w:val="99"/>
    <w:rsid w:val="0026112A"/>
    <w:pPr>
      <w:spacing w:before="30" w:after="30" w:line="264" w:lineRule="auto"/>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201547" w:themeFill="accent1"/>
        <w:vAlign w:val="bottom"/>
      </w:tcPr>
    </w:tblStylePr>
    <w:tblStylePr w:type="lastRow">
      <w:rPr>
        <w:b/>
      </w:rPr>
      <w:tblPr/>
      <w:tcPr>
        <w:tcBorders>
          <w:top w:val="single" w:sz="6" w:space="0" w:color="201547" w:themeColor="accent1"/>
          <w:left w:val="nil"/>
          <w:bottom w:val="single" w:sz="12" w:space="0" w:color="201547" w:themeColor="accent1"/>
          <w:right w:val="nil"/>
          <w:insideV w:val="nil"/>
        </w:tcBorders>
      </w:tcPr>
    </w:tblStylePr>
    <w:tblStylePr w:type="firstCol">
      <w:pPr>
        <w:jc w:val="left"/>
      </w:pPr>
      <w:tblPr/>
      <w:tcPr>
        <w:shd w:val="clear" w:color="auto" w:fill="C2E3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C2E3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indent">
    <w:name w:val="DTF text table indent"/>
    <w:basedOn w:val="DTFtexttable0"/>
    <w:uiPriority w:val="99"/>
    <w:rsid w:val="0026112A"/>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201547" w:themeFill="accent1"/>
        <w:vAlign w:val="bottom"/>
      </w:tcPr>
    </w:tblStylePr>
    <w:tblStylePr w:type="lastRow">
      <w:rPr>
        <w:b/>
      </w:rPr>
      <w:tblPr/>
      <w:tcPr>
        <w:tcBorders>
          <w:top w:val="single" w:sz="6" w:space="0" w:color="201547" w:themeColor="accent1"/>
          <w:left w:val="nil"/>
          <w:bottom w:val="single" w:sz="12" w:space="0" w:color="201547" w:themeColor="accent1"/>
          <w:right w:val="nil"/>
          <w:insideV w:val="nil"/>
        </w:tcBorders>
      </w:tcPr>
    </w:tblStylePr>
    <w:tblStylePr w:type="firstCol">
      <w:pPr>
        <w:jc w:val="left"/>
      </w:pPr>
      <w:tblPr/>
      <w:tcPr>
        <w:shd w:val="clear" w:color="auto" w:fill="C2E3FF"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C2E3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1numbered">
    <w:name w:val="Heading 1 numbered"/>
    <w:basedOn w:val="Heading1"/>
    <w:next w:val="NormalIndent"/>
    <w:uiPriority w:val="8"/>
    <w:qFormat/>
    <w:rsid w:val="0026112A"/>
    <w:pPr>
      <w:numPr>
        <w:ilvl w:val="2"/>
        <w:numId w:val="18"/>
      </w:numPr>
    </w:pPr>
  </w:style>
  <w:style w:type="paragraph" w:customStyle="1" w:styleId="Heading2numbered">
    <w:name w:val="Heading 2 numbered"/>
    <w:basedOn w:val="Heading2"/>
    <w:next w:val="NormalIndent"/>
    <w:uiPriority w:val="8"/>
    <w:qFormat/>
    <w:rsid w:val="0026112A"/>
    <w:pPr>
      <w:numPr>
        <w:ilvl w:val="3"/>
        <w:numId w:val="18"/>
      </w:numPr>
    </w:pPr>
  </w:style>
  <w:style w:type="paragraph" w:customStyle="1" w:styleId="Heading3numbered">
    <w:name w:val="Heading 3 numbered"/>
    <w:basedOn w:val="Heading3"/>
    <w:next w:val="NormalIndent"/>
    <w:uiPriority w:val="8"/>
    <w:qFormat/>
    <w:rsid w:val="0026112A"/>
    <w:pPr>
      <w:numPr>
        <w:ilvl w:val="4"/>
        <w:numId w:val="18"/>
      </w:numPr>
    </w:pPr>
  </w:style>
  <w:style w:type="paragraph" w:customStyle="1" w:styleId="Heading4numbered">
    <w:name w:val="Heading 4 numbered"/>
    <w:basedOn w:val="Heading4"/>
    <w:next w:val="NormalIndent"/>
    <w:uiPriority w:val="8"/>
    <w:qFormat/>
    <w:rsid w:val="0026112A"/>
    <w:pPr>
      <w:numPr>
        <w:ilvl w:val="5"/>
        <w:numId w:val="18"/>
      </w:numPr>
    </w:pPr>
  </w:style>
  <w:style w:type="paragraph" w:customStyle="1" w:styleId="HighlightBoxcheckbox">
    <w:name w:val="Highlight Box checkbox"/>
    <w:basedOn w:val="HighlightBoxBullet"/>
    <w:uiPriority w:val="61"/>
    <w:qFormat/>
    <w:rsid w:val="0026112A"/>
    <w:pPr>
      <w:numPr>
        <w:numId w:val="13"/>
      </w:numPr>
    </w:pPr>
  </w:style>
  <w:style w:type="paragraph" w:customStyle="1" w:styleId="NormalTight">
    <w:name w:val="Normal Tight"/>
    <w:uiPriority w:val="99"/>
    <w:semiHidden/>
    <w:rsid w:val="0026112A"/>
    <w:pPr>
      <w:spacing w:before="0"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26112A"/>
    <w:pPr>
      <w:spacing w:before="5800"/>
      <w:ind w:right="1382"/>
    </w:pPr>
  </w:style>
  <w:style w:type="paragraph" w:customStyle="1" w:styleId="Listnumindent">
    <w:name w:val="List num indent"/>
    <w:basedOn w:val="Normal"/>
    <w:uiPriority w:val="9"/>
    <w:qFormat/>
    <w:rsid w:val="0026112A"/>
    <w:pPr>
      <w:numPr>
        <w:ilvl w:val="6"/>
        <w:numId w:val="18"/>
      </w:numPr>
      <w:spacing w:before="100"/>
    </w:pPr>
  </w:style>
  <w:style w:type="paragraph" w:customStyle="1" w:styleId="Listnumindent2">
    <w:name w:val="List num indent 2"/>
    <w:basedOn w:val="Normal"/>
    <w:uiPriority w:val="9"/>
    <w:qFormat/>
    <w:rsid w:val="0026112A"/>
    <w:pPr>
      <w:numPr>
        <w:ilvl w:val="7"/>
        <w:numId w:val="18"/>
      </w:numPr>
      <w:spacing w:before="100"/>
      <w:contextualSpacing/>
    </w:pPr>
  </w:style>
  <w:style w:type="paragraph" w:customStyle="1" w:styleId="NoteNormal">
    <w:name w:val="Note Normal"/>
    <w:basedOn w:val="Normal"/>
    <w:rsid w:val="0026112A"/>
    <w:pPr>
      <w:keepNext/>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26112A"/>
    <w:pPr>
      <w:ind w:left="792"/>
    </w:pPr>
  </w:style>
  <w:style w:type="paragraph" w:customStyle="1" w:styleId="Numpara">
    <w:name w:val="Num para"/>
    <w:basedOn w:val="Normal"/>
    <w:uiPriority w:val="2"/>
    <w:qFormat/>
    <w:rsid w:val="0026112A"/>
    <w:pPr>
      <w:numPr>
        <w:numId w:val="17"/>
      </w:numPr>
      <w:tabs>
        <w:tab w:val="left" w:pos="540"/>
      </w:tabs>
      <w:contextualSpacing/>
    </w:pPr>
  </w:style>
  <w:style w:type="paragraph" w:customStyle="1" w:styleId="Numparaindent">
    <w:name w:val="Num para indent"/>
    <w:basedOn w:val="Numpara"/>
    <w:uiPriority w:val="9"/>
    <w:qFormat/>
    <w:rsid w:val="0026112A"/>
    <w:pPr>
      <w:numPr>
        <w:ilvl w:val="8"/>
        <w:numId w:val="18"/>
      </w:numPr>
      <w:tabs>
        <w:tab w:val="clear" w:pos="540"/>
      </w:tabs>
    </w:pPr>
  </w:style>
  <w:style w:type="paragraph" w:customStyle="1" w:styleId="Tabletext0">
    <w:name w:val="Table text"/>
    <w:basedOn w:val="Normal"/>
    <w:uiPriority w:val="5"/>
    <w:qFormat/>
    <w:rsid w:val="0026112A"/>
    <w:pPr>
      <w:spacing w:before="60" w:after="60" w:line="264" w:lineRule="auto"/>
    </w:pPr>
    <w:rPr>
      <w:sz w:val="17"/>
    </w:rPr>
  </w:style>
  <w:style w:type="paragraph" w:customStyle="1" w:styleId="Tabledash">
    <w:name w:val="Table dash"/>
    <w:basedOn w:val="Tablebullet"/>
    <w:uiPriority w:val="6"/>
    <w:rsid w:val="0026112A"/>
    <w:pPr>
      <w:numPr>
        <w:ilvl w:val="1"/>
      </w:numPr>
    </w:pPr>
  </w:style>
  <w:style w:type="paragraph" w:customStyle="1" w:styleId="Tableheader">
    <w:name w:val="Table header"/>
    <w:basedOn w:val="Tabletext0"/>
    <w:uiPriority w:val="5"/>
    <w:qFormat/>
    <w:rsid w:val="0026112A"/>
    <w:pPr>
      <w:keepNext/>
      <w:spacing w:before="120"/>
    </w:pPr>
    <w:rPr>
      <w:rFonts w:eastAsiaTheme="minorHAnsi"/>
      <w:color w:val="FFFFFF" w:themeColor="background1"/>
      <w:sz w:val="20"/>
      <w:szCs w:val="21"/>
      <w:lang w:eastAsia="en-US"/>
    </w:rPr>
  </w:style>
  <w:style w:type="paragraph" w:customStyle="1" w:styleId="Tablenum1">
    <w:name w:val="Table num 1"/>
    <w:basedOn w:val="Normal"/>
    <w:uiPriority w:val="6"/>
    <w:rsid w:val="0026112A"/>
    <w:pPr>
      <w:numPr>
        <w:ilvl w:val="2"/>
        <w:numId w:val="21"/>
      </w:numPr>
      <w:spacing w:before="60" w:after="60"/>
    </w:pPr>
    <w:rPr>
      <w:sz w:val="17"/>
    </w:rPr>
  </w:style>
  <w:style w:type="paragraph" w:customStyle="1" w:styleId="Tablenum2">
    <w:name w:val="Table num 2"/>
    <w:basedOn w:val="Normal"/>
    <w:uiPriority w:val="6"/>
    <w:rsid w:val="0026112A"/>
    <w:pPr>
      <w:numPr>
        <w:ilvl w:val="3"/>
        <w:numId w:val="21"/>
      </w:numPr>
      <w:spacing w:before="60" w:after="60"/>
    </w:pPr>
    <w:rPr>
      <w:sz w:val="17"/>
    </w:rPr>
  </w:style>
  <w:style w:type="paragraph" w:customStyle="1" w:styleId="Tabletextcentred">
    <w:name w:val="Table text centred"/>
    <w:basedOn w:val="Tabletext0"/>
    <w:uiPriority w:val="5"/>
    <w:qFormat/>
    <w:rsid w:val="0026112A"/>
    <w:pPr>
      <w:jc w:val="center"/>
    </w:pPr>
  </w:style>
  <w:style w:type="paragraph" w:customStyle="1" w:styleId="Tabletextindent">
    <w:name w:val="Table text indent"/>
    <w:basedOn w:val="Tabletext0"/>
    <w:uiPriority w:val="5"/>
    <w:qFormat/>
    <w:rsid w:val="0026112A"/>
    <w:pPr>
      <w:ind w:left="288"/>
    </w:pPr>
  </w:style>
  <w:style w:type="paragraph" w:customStyle="1" w:styleId="Tabletextright">
    <w:name w:val="Table text right"/>
    <w:basedOn w:val="Tabletext0"/>
    <w:uiPriority w:val="5"/>
    <w:qFormat/>
    <w:rsid w:val="0026112A"/>
    <w:pPr>
      <w:jc w:val="right"/>
    </w:pPr>
  </w:style>
  <w:style w:type="paragraph" w:customStyle="1" w:styleId="TertiaryTitle">
    <w:name w:val="Tertiary Title"/>
    <w:next w:val="Normal"/>
    <w:uiPriority w:val="99"/>
    <w:rsid w:val="0026112A"/>
    <w:pPr>
      <w:spacing w:before="0" w:after="0" w:line="276" w:lineRule="auto"/>
    </w:pPr>
    <w:rPr>
      <w:rFonts w:asciiTheme="majorHAnsi" w:eastAsia="Times New Roman" w:hAnsiTheme="majorHAnsi" w:cstheme="majorHAnsi"/>
      <w:caps/>
      <w:color w:val="201547" w:themeColor="accent1"/>
      <w:sz w:val="24"/>
      <w:szCs w:val="40"/>
    </w:rPr>
  </w:style>
  <w:style w:type="character" w:customStyle="1" w:styleId="UnresolvedMention1">
    <w:name w:val="Unresolved Mention1"/>
    <w:basedOn w:val="DefaultParagraphFont"/>
    <w:uiPriority w:val="99"/>
    <w:semiHidden/>
    <w:unhideWhenUsed/>
    <w:rsid w:val="00C7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9918">
      <w:bodyDiv w:val="1"/>
      <w:marLeft w:val="0"/>
      <w:marRight w:val="0"/>
      <w:marTop w:val="0"/>
      <w:marBottom w:val="0"/>
      <w:divBdr>
        <w:top w:val="none" w:sz="0" w:space="0" w:color="auto"/>
        <w:left w:val="none" w:sz="0" w:space="0" w:color="auto"/>
        <w:bottom w:val="none" w:sz="0" w:space="0" w:color="auto"/>
        <w:right w:val="none" w:sz="0" w:space="0" w:color="auto"/>
      </w:divBdr>
      <w:divsChild>
        <w:div w:id="1296061559">
          <w:marLeft w:val="547"/>
          <w:marRight w:val="0"/>
          <w:marTop w:val="0"/>
          <w:marBottom w:val="0"/>
          <w:divBdr>
            <w:top w:val="none" w:sz="0" w:space="0" w:color="auto"/>
            <w:left w:val="none" w:sz="0" w:space="0" w:color="auto"/>
            <w:bottom w:val="none" w:sz="0" w:space="0" w:color="auto"/>
            <w:right w:val="none" w:sz="0" w:space="0" w:color="auto"/>
          </w:divBdr>
        </w:div>
      </w:divsChild>
    </w:div>
    <w:div w:id="106508718">
      <w:bodyDiv w:val="1"/>
      <w:marLeft w:val="0"/>
      <w:marRight w:val="0"/>
      <w:marTop w:val="0"/>
      <w:marBottom w:val="0"/>
      <w:divBdr>
        <w:top w:val="none" w:sz="0" w:space="0" w:color="auto"/>
        <w:left w:val="none" w:sz="0" w:space="0" w:color="auto"/>
        <w:bottom w:val="none" w:sz="0" w:space="0" w:color="auto"/>
        <w:right w:val="none" w:sz="0" w:space="0" w:color="auto"/>
      </w:divBdr>
      <w:divsChild>
        <w:div w:id="2034382839">
          <w:marLeft w:val="547"/>
          <w:marRight w:val="0"/>
          <w:marTop w:val="0"/>
          <w:marBottom w:val="0"/>
          <w:divBdr>
            <w:top w:val="none" w:sz="0" w:space="0" w:color="auto"/>
            <w:left w:val="none" w:sz="0" w:space="0" w:color="auto"/>
            <w:bottom w:val="none" w:sz="0" w:space="0" w:color="auto"/>
            <w:right w:val="none" w:sz="0" w:space="0" w:color="auto"/>
          </w:divBdr>
        </w:div>
      </w:divsChild>
    </w:div>
    <w:div w:id="624771569">
      <w:bodyDiv w:val="1"/>
      <w:marLeft w:val="0"/>
      <w:marRight w:val="0"/>
      <w:marTop w:val="0"/>
      <w:marBottom w:val="0"/>
      <w:divBdr>
        <w:top w:val="none" w:sz="0" w:space="0" w:color="auto"/>
        <w:left w:val="none" w:sz="0" w:space="0" w:color="auto"/>
        <w:bottom w:val="none" w:sz="0" w:space="0" w:color="auto"/>
        <w:right w:val="none" w:sz="0" w:space="0" w:color="auto"/>
      </w:divBdr>
      <w:divsChild>
        <w:div w:id="634720975">
          <w:marLeft w:val="547"/>
          <w:marRight w:val="0"/>
          <w:marTop w:val="0"/>
          <w:marBottom w:val="0"/>
          <w:divBdr>
            <w:top w:val="none" w:sz="0" w:space="0" w:color="auto"/>
            <w:left w:val="none" w:sz="0" w:space="0" w:color="auto"/>
            <w:bottom w:val="none" w:sz="0" w:space="0" w:color="auto"/>
            <w:right w:val="none" w:sz="0" w:space="0" w:color="auto"/>
          </w:divBdr>
        </w:div>
      </w:divsChild>
    </w:div>
    <w:div w:id="638073884">
      <w:bodyDiv w:val="1"/>
      <w:marLeft w:val="0"/>
      <w:marRight w:val="0"/>
      <w:marTop w:val="0"/>
      <w:marBottom w:val="0"/>
      <w:divBdr>
        <w:top w:val="none" w:sz="0" w:space="0" w:color="auto"/>
        <w:left w:val="none" w:sz="0" w:space="0" w:color="auto"/>
        <w:bottom w:val="none" w:sz="0" w:space="0" w:color="auto"/>
        <w:right w:val="none" w:sz="0" w:space="0" w:color="auto"/>
      </w:divBdr>
      <w:divsChild>
        <w:div w:id="1818256142">
          <w:marLeft w:val="547"/>
          <w:marRight w:val="0"/>
          <w:marTop w:val="0"/>
          <w:marBottom w:val="0"/>
          <w:divBdr>
            <w:top w:val="none" w:sz="0" w:space="0" w:color="auto"/>
            <w:left w:val="none" w:sz="0" w:space="0" w:color="auto"/>
            <w:bottom w:val="none" w:sz="0" w:space="0" w:color="auto"/>
            <w:right w:val="none" w:sz="0" w:space="0" w:color="auto"/>
          </w:divBdr>
        </w:div>
      </w:divsChild>
    </w:div>
    <w:div w:id="1354695555">
      <w:bodyDiv w:val="1"/>
      <w:marLeft w:val="0"/>
      <w:marRight w:val="0"/>
      <w:marTop w:val="0"/>
      <w:marBottom w:val="0"/>
      <w:divBdr>
        <w:top w:val="none" w:sz="0" w:space="0" w:color="auto"/>
        <w:left w:val="none" w:sz="0" w:space="0" w:color="auto"/>
        <w:bottom w:val="none" w:sz="0" w:space="0" w:color="auto"/>
        <w:right w:val="none" w:sz="0" w:space="0" w:color="auto"/>
      </w:divBdr>
      <w:divsChild>
        <w:div w:id="806357962">
          <w:marLeft w:val="547"/>
          <w:marRight w:val="0"/>
          <w:marTop w:val="0"/>
          <w:marBottom w:val="0"/>
          <w:divBdr>
            <w:top w:val="none" w:sz="0" w:space="0" w:color="auto"/>
            <w:left w:val="none" w:sz="0" w:space="0" w:color="auto"/>
            <w:bottom w:val="none" w:sz="0" w:space="0" w:color="auto"/>
            <w:right w:val="none" w:sz="0" w:space="0" w:color="auto"/>
          </w:divBdr>
        </w:div>
      </w:divsChild>
    </w:div>
    <w:div w:id="18926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9" Type="http://schemas.microsoft.com/office/2007/relationships/diagramDrawing" Target="diagrams/drawing2.xml"/><Relationship Id="rId21" Type="http://schemas.openxmlformats.org/officeDocument/2006/relationships/footer" Target="footer5.xml"/><Relationship Id="rId34" Type="http://schemas.openxmlformats.org/officeDocument/2006/relationships/package" Target="embeddings/Microsoft_Visio_Drawing.vsdx"/><Relationship Id="rId42" Type="http://schemas.openxmlformats.org/officeDocument/2006/relationships/diagramQuickStyle" Target="diagrams/quickStyle3.xml"/><Relationship Id="rId47" Type="http://schemas.openxmlformats.org/officeDocument/2006/relationships/image" Target="media/image6.emf"/><Relationship Id="rId50" Type="http://schemas.openxmlformats.org/officeDocument/2006/relationships/hyperlink" Target="https://www.climatechange.vic.gov.au/" TargetMode="External"/><Relationship Id="rId55" Type="http://schemas.openxmlformats.org/officeDocument/2006/relationships/diagramQuickStyle" Target="diagrams/quickStyle4.xml"/><Relationship Id="rId63" Type="http://schemas.openxmlformats.org/officeDocument/2006/relationships/footer" Target="foot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microsoft.com/office/2007/relationships/diagramDrawing" Target="diagrams/drawing1.xml"/><Relationship Id="rId37" Type="http://schemas.openxmlformats.org/officeDocument/2006/relationships/diagramQuickStyle" Target="diagrams/quickStyle2.xml"/><Relationship Id="rId40" Type="http://schemas.openxmlformats.org/officeDocument/2006/relationships/diagramData" Target="diagrams/data3.xml"/><Relationship Id="rId45" Type="http://schemas.openxmlformats.org/officeDocument/2006/relationships/image" Target="media/image5.emf"/><Relationship Id="rId53" Type="http://schemas.openxmlformats.org/officeDocument/2006/relationships/diagramData" Target="diagrams/data4.xml"/><Relationship Id="rId58" Type="http://schemas.openxmlformats.org/officeDocument/2006/relationships/footer" Target="footer9.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header" Target="header8.xml"/><Relationship Id="rId28" Type="http://schemas.openxmlformats.org/officeDocument/2006/relationships/diagramData" Target="diagrams/data1.xml"/><Relationship Id="rId36" Type="http://schemas.openxmlformats.org/officeDocument/2006/relationships/diagramLayout" Target="diagrams/layout2.xml"/><Relationship Id="rId49" Type="http://schemas.openxmlformats.org/officeDocument/2006/relationships/hyperlink" Target="http://www.dpc.vic.gov.au/index.php/news-publications/value-creation-and-capture-framework" TargetMode="External"/><Relationship Id="rId57" Type="http://schemas.microsoft.com/office/2007/relationships/diagramDrawing" Target="diagrams/drawing4.xml"/><Relationship Id="rId61"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diagramColors" Target="diagrams/colors1.xml"/><Relationship Id="rId44" Type="http://schemas.microsoft.com/office/2007/relationships/diagramDrawing" Target="diagrams/drawing3.xml"/><Relationship Id="rId52" Type="http://schemas.openxmlformats.org/officeDocument/2006/relationships/hyperlink" Target="http://en.wikipedia.org/wiki/Risk" TargetMode="External"/><Relationship Id="rId60" Type="http://schemas.openxmlformats.org/officeDocument/2006/relationships/header" Target="header10.xml"/><Relationship Id="rId65" Type="http://schemas.openxmlformats.org/officeDocument/2006/relationships/footer" Target="foot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diagramQuickStyle" Target="diagrams/quickStyle1.xml"/><Relationship Id="rId35" Type="http://schemas.openxmlformats.org/officeDocument/2006/relationships/diagramData" Target="diagrams/data2.xml"/><Relationship Id="rId43" Type="http://schemas.openxmlformats.org/officeDocument/2006/relationships/diagramColors" Target="diagrams/colors3.xml"/><Relationship Id="rId48" Type="http://schemas.openxmlformats.org/officeDocument/2006/relationships/package" Target="embeddings/Microsoft_Visio_Drawing1.vsdx"/><Relationship Id="rId56" Type="http://schemas.openxmlformats.org/officeDocument/2006/relationships/diagramColors" Target="diagrams/colors4.xml"/><Relationship Id="rId64"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hyperlink" Target="http://en.wikipedia.org/wiki/ISO_31000"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4.emf"/><Relationship Id="rId38" Type="http://schemas.openxmlformats.org/officeDocument/2006/relationships/diagramColors" Target="diagrams/colors2.xml"/><Relationship Id="rId46" Type="http://schemas.openxmlformats.org/officeDocument/2006/relationships/oleObject" Target="embeddings/Microsoft_Visio_2003-2010_Drawing.vsd"/><Relationship Id="rId59" Type="http://schemas.openxmlformats.org/officeDocument/2006/relationships/footer" Target="footer10.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diagramLayout" Target="diagrams/layout3.xml"/><Relationship Id="rId54" Type="http://schemas.openxmlformats.org/officeDocument/2006/relationships/diagramLayout" Target="diagrams/layout4.xml"/><Relationship Id="rId62" Type="http://schemas.openxmlformats.org/officeDocument/2006/relationships/footer" Target="footer11.xml"/></Relationships>
</file>

<file path=word/_rels/header10.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43C0DA-FA5C-4859-A988-C2B21D2757F4}" type="doc">
      <dgm:prSet loTypeId="urn:microsoft.com/office/officeart/2005/8/layout/chevron1" loCatId="process" qsTypeId="urn:microsoft.com/office/officeart/2005/8/quickstyle/simple1" qsCatId="simple" csTypeId="urn:microsoft.com/office/officeart/2005/8/colors/accent1_2" csCatId="accent1" phldr="1"/>
      <dgm:spPr/>
    </dgm:pt>
    <dgm:pt modelId="{BA97D0EA-187D-41C9-9389-B8201CB948D8}">
      <dgm:prSet phldrT="[Text]" custT="1"/>
      <dgm:spPr>
        <a:solidFill>
          <a:schemeClr val="accent2"/>
        </a:solidFill>
      </dgm:spPr>
      <dgm:t>
        <a:bodyPr/>
        <a:lstStyle/>
        <a:p>
          <a:r>
            <a:rPr lang="en-AU" sz="1800" b="1"/>
            <a:t>1</a:t>
          </a:r>
        </a:p>
      </dgm:t>
    </dgm:pt>
    <dgm:pt modelId="{6394B2C0-6DBF-4A15-A06F-F3860802B1D5}" type="parTrans" cxnId="{A7E84BA8-97C9-4143-8C0A-34A52B19288F}">
      <dgm:prSet/>
      <dgm:spPr/>
      <dgm:t>
        <a:bodyPr/>
        <a:lstStyle/>
        <a:p>
          <a:endParaRPr lang="en-AU"/>
        </a:p>
      </dgm:t>
    </dgm:pt>
    <dgm:pt modelId="{CCEE9437-1450-4021-995A-C99D068241EF}" type="sibTrans" cxnId="{A7E84BA8-97C9-4143-8C0A-34A52B19288F}">
      <dgm:prSet/>
      <dgm:spPr/>
      <dgm:t>
        <a:bodyPr/>
        <a:lstStyle/>
        <a:p>
          <a:endParaRPr lang="en-AU"/>
        </a:p>
      </dgm:t>
    </dgm:pt>
    <dgm:pt modelId="{33C15BBC-A250-4E9B-9624-9842BDCAE9FF}">
      <dgm:prSet phldrT="[Text]" custT="1"/>
      <dgm:spPr>
        <a:solidFill>
          <a:schemeClr val="accent2"/>
        </a:solidFill>
      </dgm:spPr>
      <dgm:t>
        <a:bodyPr/>
        <a:lstStyle/>
        <a:p>
          <a:r>
            <a:rPr lang="en-AU" sz="1800" b="1"/>
            <a:t>2</a:t>
          </a:r>
        </a:p>
      </dgm:t>
    </dgm:pt>
    <dgm:pt modelId="{F07CCF96-07E0-4BB8-9731-E73393171161}" type="parTrans" cxnId="{B6ED2088-36FD-4AC2-8B2A-951069CBF278}">
      <dgm:prSet/>
      <dgm:spPr/>
      <dgm:t>
        <a:bodyPr/>
        <a:lstStyle/>
        <a:p>
          <a:endParaRPr lang="en-AU"/>
        </a:p>
      </dgm:t>
    </dgm:pt>
    <dgm:pt modelId="{19758408-C8B9-4116-A656-C4BBAEF2ADFE}" type="sibTrans" cxnId="{B6ED2088-36FD-4AC2-8B2A-951069CBF278}">
      <dgm:prSet/>
      <dgm:spPr/>
      <dgm:t>
        <a:bodyPr/>
        <a:lstStyle/>
        <a:p>
          <a:endParaRPr lang="en-AU"/>
        </a:p>
      </dgm:t>
    </dgm:pt>
    <dgm:pt modelId="{CAC68E5D-3A59-4E4C-8117-49B4C524900D}">
      <dgm:prSet phldrT="[Text]" custT="1"/>
      <dgm:spPr>
        <a:solidFill>
          <a:schemeClr val="accent2"/>
        </a:solidFill>
      </dgm:spPr>
      <dgm:t>
        <a:bodyPr/>
        <a:lstStyle/>
        <a:p>
          <a:r>
            <a:rPr lang="en-AU" sz="1800" b="1"/>
            <a:t>3</a:t>
          </a:r>
        </a:p>
      </dgm:t>
    </dgm:pt>
    <dgm:pt modelId="{8F725108-931B-4633-848F-A2CFE6541FA6}" type="parTrans" cxnId="{791B479F-C5E0-417B-B526-E5FEFE616339}">
      <dgm:prSet/>
      <dgm:spPr/>
      <dgm:t>
        <a:bodyPr/>
        <a:lstStyle/>
        <a:p>
          <a:endParaRPr lang="en-AU"/>
        </a:p>
      </dgm:t>
    </dgm:pt>
    <dgm:pt modelId="{B1A74DA2-E824-4190-92F5-EB06A08BE407}" type="sibTrans" cxnId="{791B479F-C5E0-417B-B526-E5FEFE616339}">
      <dgm:prSet/>
      <dgm:spPr/>
      <dgm:t>
        <a:bodyPr/>
        <a:lstStyle/>
        <a:p>
          <a:endParaRPr lang="en-AU"/>
        </a:p>
      </dgm:t>
    </dgm:pt>
    <dgm:pt modelId="{3504EBC2-360F-42E0-9C25-B86BFF327480}" type="pres">
      <dgm:prSet presAssocID="{BC43C0DA-FA5C-4859-A988-C2B21D2757F4}" presName="Name0" presStyleCnt="0">
        <dgm:presLayoutVars>
          <dgm:dir/>
          <dgm:animLvl val="lvl"/>
          <dgm:resizeHandles val="exact"/>
        </dgm:presLayoutVars>
      </dgm:prSet>
      <dgm:spPr/>
    </dgm:pt>
    <dgm:pt modelId="{3AA9DAAB-594B-478B-A792-47AEEDA801A1}" type="pres">
      <dgm:prSet presAssocID="{BA97D0EA-187D-41C9-9389-B8201CB948D8}" presName="parTxOnly" presStyleLbl="node1" presStyleIdx="0" presStyleCnt="3">
        <dgm:presLayoutVars>
          <dgm:chMax val="0"/>
          <dgm:chPref val="0"/>
          <dgm:bulletEnabled val="1"/>
        </dgm:presLayoutVars>
      </dgm:prSet>
      <dgm:spPr/>
    </dgm:pt>
    <dgm:pt modelId="{0AD98B9D-82E6-445A-861A-225EB6F4F580}" type="pres">
      <dgm:prSet presAssocID="{CCEE9437-1450-4021-995A-C99D068241EF}" presName="parTxOnlySpace" presStyleCnt="0"/>
      <dgm:spPr/>
    </dgm:pt>
    <dgm:pt modelId="{4E10C990-6A6E-4A01-84F7-7E857C8CAA37}" type="pres">
      <dgm:prSet presAssocID="{33C15BBC-A250-4E9B-9624-9842BDCAE9FF}" presName="parTxOnly" presStyleLbl="node1" presStyleIdx="1" presStyleCnt="3">
        <dgm:presLayoutVars>
          <dgm:chMax val="0"/>
          <dgm:chPref val="0"/>
          <dgm:bulletEnabled val="1"/>
        </dgm:presLayoutVars>
      </dgm:prSet>
      <dgm:spPr/>
    </dgm:pt>
    <dgm:pt modelId="{79D6F6D6-95E1-4233-B08E-4AFC252FCAC8}" type="pres">
      <dgm:prSet presAssocID="{19758408-C8B9-4116-A656-C4BBAEF2ADFE}" presName="parTxOnlySpace" presStyleCnt="0"/>
      <dgm:spPr/>
    </dgm:pt>
    <dgm:pt modelId="{743591B4-2D8B-4F0A-B562-18597AEFFD3B}" type="pres">
      <dgm:prSet presAssocID="{CAC68E5D-3A59-4E4C-8117-49B4C524900D}" presName="parTxOnly" presStyleLbl="node1" presStyleIdx="2" presStyleCnt="3">
        <dgm:presLayoutVars>
          <dgm:chMax val="0"/>
          <dgm:chPref val="0"/>
          <dgm:bulletEnabled val="1"/>
        </dgm:presLayoutVars>
      </dgm:prSet>
      <dgm:spPr/>
    </dgm:pt>
  </dgm:ptLst>
  <dgm:cxnLst>
    <dgm:cxn modelId="{88263E34-D40B-4799-8793-00C42339F1F6}" type="presOf" srcId="{BC43C0DA-FA5C-4859-A988-C2B21D2757F4}" destId="{3504EBC2-360F-42E0-9C25-B86BFF327480}" srcOrd="0" destOrd="0" presId="urn:microsoft.com/office/officeart/2005/8/layout/chevron1"/>
    <dgm:cxn modelId="{28945C6E-6DFA-441E-A0CF-AC5F20EB2B5B}" type="presOf" srcId="{33C15BBC-A250-4E9B-9624-9842BDCAE9FF}" destId="{4E10C990-6A6E-4A01-84F7-7E857C8CAA37}" srcOrd="0" destOrd="0" presId="urn:microsoft.com/office/officeart/2005/8/layout/chevron1"/>
    <dgm:cxn modelId="{B6ED2088-36FD-4AC2-8B2A-951069CBF278}" srcId="{BC43C0DA-FA5C-4859-A988-C2B21D2757F4}" destId="{33C15BBC-A250-4E9B-9624-9842BDCAE9FF}" srcOrd="1" destOrd="0" parTransId="{F07CCF96-07E0-4BB8-9731-E73393171161}" sibTransId="{19758408-C8B9-4116-A656-C4BBAEF2ADFE}"/>
    <dgm:cxn modelId="{68DF7E99-0E31-4F23-AB27-9E7DDBB5F0C1}" type="presOf" srcId="{BA97D0EA-187D-41C9-9389-B8201CB948D8}" destId="{3AA9DAAB-594B-478B-A792-47AEEDA801A1}" srcOrd="0" destOrd="0" presId="urn:microsoft.com/office/officeart/2005/8/layout/chevron1"/>
    <dgm:cxn modelId="{A7E84BA8-97C9-4143-8C0A-34A52B19288F}" srcId="{BC43C0DA-FA5C-4859-A988-C2B21D2757F4}" destId="{BA97D0EA-187D-41C9-9389-B8201CB948D8}" srcOrd="0" destOrd="0" parTransId="{6394B2C0-6DBF-4A15-A06F-F3860802B1D5}" sibTransId="{CCEE9437-1450-4021-995A-C99D068241EF}"/>
    <dgm:cxn modelId="{9CB95FFF-E5DD-4BA3-9841-8ABBF314FA11}" type="presOf" srcId="{CAC68E5D-3A59-4E4C-8117-49B4C524900D}" destId="{743591B4-2D8B-4F0A-B562-18597AEFFD3B}" srcOrd="0" destOrd="0" presId="urn:microsoft.com/office/officeart/2005/8/layout/chevron1"/>
    <dgm:cxn modelId="{791B479F-C5E0-417B-B526-E5FEFE616339}" srcId="{BC43C0DA-FA5C-4859-A988-C2B21D2757F4}" destId="{CAC68E5D-3A59-4E4C-8117-49B4C524900D}" srcOrd="2" destOrd="0" parTransId="{8F725108-931B-4633-848F-A2CFE6541FA6}" sibTransId="{B1A74DA2-E824-4190-92F5-EB06A08BE407}"/>
    <dgm:cxn modelId="{04B53E14-DB44-478C-BB97-1ABAD3601D48}" type="presParOf" srcId="{3504EBC2-360F-42E0-9C25-B86BFF327480}" destId="{3AA9DAAB-594B-478B-A792-47AEEDA801A1}" srcOrd="0" destOrd="0" presId="urn:microsoft.com/office/officeart/2005/8/layout/chevron1"/>
    <dgm:cxn modelId="{C58B2B9A-00D8-43D2-A526-CB612B8004CB}" type="presParOf" srcId="{3504EBC2-360F-42E0-9C25-B86BFF327480}" destId="{0AD98B9D-82E6-445A-861A-225EB6F4F580}" srcOrd="1" destOrd="0" presId="urn:microsoft.com/office/officeart/2005/8/layout/chevron1"/>
    <dgm:cxn modelId="{8ABDCD0D-64C0-46C7-A698-E7AE2E51C918}" type="presParOf" srcId="{3504EBC2-360F-42E0-9C25-B86BFF327480}" destId="{4E10C990-6A6E-4A01-84F7-7E857C8CAA37}" srcOrd="2" destOrd="0" presId="urn:microsoft.com/office/officeart/2005/8/layout/chevron1"/>
    <dgm:cxn modelId="{99D0DFD7-7DD2-4000-8FD1-6A0E9672B92D}" type="presParOf" srcId="{3504EBC2-360F-42E0-9C25-B86BFF327480}" destId="{79D6F6D6-95E1-4233-B08E-4AFC252FCAC8}" srcOrd="3" destOrd="0" presId="urn:microsoft.com/office/officeart/2005/8/layout/chevron1"/>
    <dgm:cxn modelId="{B1AE6CEB-59FE-481F-8CEC-883F962C016A}" type="presParOf" srcId="{3504EBC2-360F-42E0-9C25-B86BFF327480}" destId="{743591B4-2D8B-4F0A-B562-18597AEFFD3B}" srcOrd="4"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43C0DA-FA5C-4859-A988-C2B21D2757F4}" type="doc">
      <dgm:prSet loTypeId="urn:microsoft.com/office/officeart/2005/8/layout/chevron1" loCatId="process" qsTypeId="urn:microsoft.com/office/officeart/2005/8/quickstyle/simple1" qsCatId="simple" csTypeId="urn:microsoft.com/office/officeart/2005/8/colors/accent1_2" csCatId="accent1" phldr="1"/>
      <dgm:spPr/>
    </dgm:pt>
    <dgm:pt modelId="{BA97D0EA-187D-41C9-9389-B8201CB948D8}">
      <dgm:prSet phldrT="[Text]" custT="1"/>
      <dgm:spPr>
        <a:solidFill>
          <a:schemeClr val="accent2"/>
        </a:solidFill>
      </dgm:spPr>
      <dgm:t>
        <a:bodyPr/>
        <a:lstStyle/>
        <a:p>
          <a:r>
            <a:rPr lang="en-AU" sz="1200" b="1"/>
            <a:t>1</a:t>
          </a:r>
          <a:br>
            <a:rPr lang="en-AU" sz="1200" b="1"/>
          </a:br>
          <a:r>
            <a:rPr lang="en-AU" sz="800"/>
            <a:t>Business case</a:t>
          </a:r>
          <a:endParaRPr lang="en-AU" sz="800" b="1"/>
        </a:p>
      </dgm:t>
    </dgm:pt>
    <dgm:pt modelId="{6394B2C0-6DBF-4A15-A06F-F3860802B1D5}" type="parTrans" cxnId="{A7E84BA8-97C9-4143-8C0A-34A52B19288F}">
      <dgm:prSet/>
      <dgm:spPr/>
      <dgm:t>
        <a:bodyPr/>
        <a:lstStyle/>
        <a:p>
          <a:endParaRPr lang="en-AU" sz="1200"/>
        </a:p>
      </dgm:t>
    </dgm:pt>
    <dgm:pt modelId="{CCEE9437-1450-4021-995A-C99D068241EF}" type="sibTrans" cxnId="{A7E84BA8-97C9-4143-8C0A-34A52B19288F}">
      <dgm:prSet/>
      <dgm:spPr/>
      <dgm:t>
        <a:bodyPr/>
        <a:lstStyle/>
        <a:p>
          <a:endParaRPr lang="en-AU" sz="1200"/>
        </a:p>
      </dgm:t>
    </dgm:pt>
    <dgm:pt modelId="{33C15BBC-A250-4E9B-9624-9842BDCAE9FF}">
      <dgm:prSet phldrT="[Text]" custT="1"/>
      <dgm:spPr>
        <a:solidFill>
          <a:schemeClr val="accent2"/>
        </a:solidFill>
      </dgm:spPr>
      <dgm:t>
        <a:bodyPr/>
        <a:lstStyle/>
        <a:p>
          <a:r>
            <a:rPr lang="en-AU" sz="1200" b="1"/>
            <a:t>2</a:t>
          </a:r>
          <a:br>
            <a:rPr lang="en-AU" sz="1200" b="1"/>
          </a:br>
          <a:r>
            <a:rPr lang="en-AU" sz="800"/>
            <a:t>Procurement</a:t>
          </a:r>
          <a:endParaRPr lang="en-AU" sz="800" b="1" baseline="0"/>
        </a:p>
      </dgm:t>
    </dgm:pt>
    <dgm:pt modelId="{F07CCF96-07E0-4BB8-9731-E73393171161}" type="parTrans" cxnId="{B6ED2088-36FD-4AC2-8B2A-951069CBF278}">
      <dgm:prSet/>
      <dgm:spPr/>
      <dgm:t>
        <a:bodyPr/>
        <a:lstStyle/>
        <a:p>
          <a:endParaRPr lang="en-AU" sz="1200"/>
        </a:p>
      </dgm:t>
    </dgm:pt>
    <dgm:pt modelId="{19758408-C8B9-4116-A656-C4BBAEF2ADFE}" type="sibTrans" cxnId="{B6ED2088-36FD-4AC2-8B2A-951069CBF278}">
      <dgm:prSet/>
      <dgm:spPr/>
      <dgm:t>
        <a:bodyPr/>
        <a:lstStyle/>
        <a:p>
          <a:endParaRPr lang="en-AU" sz="1200"/>
        </a:p>
      </dgm:t>
    </dgm:pt>
    <dgm:pt modelId="{CAC68E5D-3A59-4E4C-8117-49B4C524900D}">
      <dgm:prSet phldrT="[Text]" custT="1"/>
      <dgm:spPr>
        <a:solidFill>
          <a:schemeClr val="accent2"/>
        </a:solidFill>
      </dgm:spPr>
      <dgm:t>
        <a:bodyPr/>
        <a:lstStyle/>
        <a:p>
          <a:r>
            <a:rPr lang="en-AU" sz="1200" b="1"/>
            <a:t>3</a:t>
          </a:r>
          <a:br>
            <a:rPr lang="en-AU" sz="1200" b="1"/>
          </a:br>
          <a:r>
            <a:rPr lang="en-AU" sz="800"/>
            <a:t>Delivery</a:t>
          </a:r>
          <a:endParaRPr lang="en-AU" sz="800" b="0"/>
        </a:p>
      </dgm:t>
    </dgm:pt>
    <dgm:pt modelId="{8F725108-931B-4633-848F-A2CFE6541FA6}" type="parTrans" cxnId="{791B479F-C5E0-417B-B526-E5FEFE616339}">
      <dgm:prSet/>
      <dgm:spPr/>
      <dgm:t>
        <a:bodyPr/>
        <a:lstStyle/>
        <a:p>
          <a:endParaRPr lang="en-AU" sz="1200"/>
        </a:p>
      </dgm:t>
    </dgm:pt>
    <dgm:pt modelId="{B1A74DA2-E824-4190-92F5-EB06A08BE407}" type="sibTrans" cxnId="{791B479F-C5E0-417B-B526-E5FEFE616339}">
      <dgm:prSet/>
      <dgm:spPr/>
      <dgm:t>
        <a:bodyPr/>
        <a:lstStyle/>
        <a:p>
          <a:endParaRPr lang="en-AU" sz="1200"/>
        </a:p>
      </dgm:t>
    </dgm:pt>
    <dgm:pt modelId="{3504EBC2-360F-42E0-9C25-B86BFF327480}" type="pres">
      <dgm:prSet presAssocID="{BC43C0DA-FA5C-4859-A988-C2B21D2757F4}" presName="Name0" presStyleCnt="0">
        <dgm:presLayoutVars>
          <dgm:dir/>
          <dgm:animLvl val="lvl"/>
          <dgm:resizeHandles val="exact"/>
        </dgm:presLayoutVars>
      </dgm:prSet>
      <dgm:spPr/>
    </dgm:pt>
    <dgm:pt modelId="{3AA9DAAB-594B-478B-A792-47AEEDA801A1}" type="pres">
      <dgm:prSet presAssocID="{BA97D0EA-187D-41C9-9389-B8201CB948D8}" presName="parTxOnly" presStyleLbl="node1" presStyleIdx="0" presStyleCnt="3" custLinFactX="-84" custLinFactNeighborX="-100000" custLinFactNeighborY="-16066">
        <dgm:presLayoutVars>
          <dgm:chMax val="0"/>
          <dgm:chPref val="0"/>
          <dgm:bulletEnabled val="1"/>
        </dgm:presLayoutVars>
      </dgm:prSet>
      <dgm:spPr/>
    </dgm:pt>
    <dgm:pt modelId="{0AD98B9D-82E6-445A-861A-225EB6F4F580}" type="pres">
      <dgm:prSet presAssocID="{CCEE9437-1450-4021-995A-C99D068241EF}" presName="parTxOnlySpace" presStyleCnt="0"/>
      <dgm:spPr/>
    </dgm:pt>
    <dgm:pt modelId="{4E10C990-6A6E-4A01-84F7-7E857C8CAA37}" type="pres">
      <dgm:prSet presAssocID="{33C15BBC-A250-4E9B-9624-9842BDCAE9FF}" presName="parTxOnly" presStyleLbl="node1" presStyleIdx="1" presStyleCnt="3">
        <dgm:presLayoutVars>
          <dgm:chMax val="0"/>
          <dgm:chPref val="0"/>
          <dgm:bulletEnabled val="1"/>
        </dgm:presLayoutVars>
      </dgm:prSet>
      <dgm:spPr/>
    </dgm:pt>
    <dgm:pt modelId="{79D6F6D6-95E1-4233-B08E-4AFC252FCAC8}" type="pres">
      <dgm:prSet presAssocID="{19758408-C8B9-4116-A656-C4BBAEF2ADFE}" presName="parTxOnlySpace" presStyleCnt="0"/>
      <dgm:spPr/>
    </dgm:pt>
    <dgm:pt modelId="{743591B4-2D8B-4F0A-B562-18597AEFFD3B}" type="pres">
      <dgm:prSet presAssocID="{CAC68E5D-3A59-4E4C-8117-49B4C524900D}" presName="parTxOnly" presStyleLbl="node1" presStyleIdx="2" presStyleCnt="3">
        <dgm:presLayoutVars>
          <dgm:chMax val="0"/>
          <dgm:chPref val="0"/>
          <dgm:bulletEnabled val="1"/>
        </dgm:presLayoutVars>
      </dgm:prSet>
      <dgm:spPr/>
    </dgm:pt>
  </dgm:ptLst>
  <dgm:cxnLst>
    <dgm:cxn modelId="{88263E34-D40B-4799-8793-00C42339F1F6}" type="presOf" srcId="{BC43C0DA-FA5C-4859-A988-C2B21D2757F4}" destId="{3504EBC2-360F-42E0-9C25-B86BFF327480}" srcOrd="0" destOrd="0" presId="urn:microsoft.com/office/officeart/2005/8/layout/chevron1"/>
    <dgm:cxn modelId="{28945C6E-6DFA-441E-A0CF-AC5F20EB2B5B}" type="presOf" srcId="{33C15BBC-A250-4E9B-9624-9842BDCAE9FF}" destId="{4E10C990-6A6E-4A01-84F7-7E857C8CAA37}" srcOrd="0" destOrd="0" presId="urn:microsoft.com/office/officeart/2005/8/layout/chevron1"/>
    <dgm:cxn modelId="{B6ED2088-36FD-4AC2-8B2A-951069CBF278}" srcId="{BC43C0DA-FA5C-4859-A988-C2B21D2757F4}" destId="{33C15BBC-A250-4E9B-9624-9842BDCAE9FF}" srcOrd="1" destOrd="0" parTransId="{F07CCF96-07E0-4BB8-9731-E73393171161}" sibTransId="{19758408-C8B9-4116-A656-C4BBAEF2ADFE}"/>
    <dgm:cxn modelId="{68DF7E99-0E31-4F23-AB27-9E7DDBB5F0C1}" type="presOf" srcId="{BA97D0EA-187D-41C9-9389-B8201CB948D8}" destId="{3AA9DAAB-594B-478B-A792-47AEEDA801A1}" srcOrd="0" destOrd="0" presId="urn:microsoft.com/office/officeart/2005/8/layout/chevron1"/>
    <dgm:cxn modelId="{A7E84BA8-97C9-4143-8C0A-34A52B19288F}" srcId="{BC43C0DA-FA5C-4859-A988-C2B21D2757F4}" destId="{BA97D0EA-187D-41C9-9389-B8201CB948D8}" srcOrd="0" destOrd="0" parTransId="{6394B2C0-6DBF-4A15-A06F-F3860802B1D5}" sibTransId="{CCEE9437-1450-4021-995A-C99D068241EF}"/>
    <dgm:cxn modelId="{9CB95FFF-E5DD-4BA3-9841-8ABBF314FA11}" type="presOf" srcId="{CAC68E5D-3A59-4E4C-8117-49B4C524900D}" destId="{743591B4-2D8B-4F0A-B562-18597AEFFD3B}" srcOrd="0" destOrd="0" presId="urn:microsoft.com/office/officeart/2005/8/layout/chevron1"/>
    <dgm:cxn modelId="{791B479F-C5E0-417B-B526-E5FEFE616339}" srcId="{BC43C0DA-FA5C-4859-A988-C2B21D2757F4}" destId="{CAC68E5D-3A59-4E4C-8117-49B4C524900D}" srcOrd="2" destOrd="0" parTransId="{8F725108-931B-4633-848F-A2CFE6541FA6}" sibTransId="{B1A74DA2-E824-4190-92F5-EB06A08BE407}"/>
    <dgm:cxn modelId="{04B53E14-DB44-478C-BB97-1ABAD3601D48}" type="presParOf" srcId="{3504EBC2-360F-42E0-9C25-B86BFF327480}" destId="{3AA9DAAB-594B-478B-A792-47AEEDA801A1}" srcOrd="0" destOrd="0" presId="urn:microsoft.com/office/officeart/2005/8/layout/chevron1"/>
    <dgm:cxn modelId="{C58B2B9A-00D8-43D2-A526-CB612B8004CB}" type="presParOf" srcId="{3504EBC2-360F-42E0-9C25-B86BFF327480}" destId="{0AD98B9D-82E6-445A-861A-225EB6F4F580}" srcOrd="1" destOrd="0" presId="urn:microsoft.com/office/officeart/2005/8/layout/chevron1"/>
    <dgm:cxn modelId="{8ABDCD0D-64C0-46C7-A698-E7AE2E51C918}" type="presParOf" srcId="{3504EBC2-360F-42E0-9C25-B86BFF327480}" destId="{4E10C990-6A6E-4A01-84F7-7E857C8CAA37}" srcOrd="2" destOrd="0" presId="urn:microsoft.com/office/officeart/2005/8/layout/chevron1"/>
    <dgm:cxn modelId="{99D0DFD7-7DD2-4000-8FD1-6A0E9672B92D}" type="presParOf" srcId="{3504EBC2-360F-42E0-9C25-B86BFF327480}" destId="{79D6F6D6-95E1-4233-B08E-4AFC252FCAC8}" srcOrd="3" destOrd="0" presId="urn:microsoft.com/office/officeart/2005/8/layout/chevron1"/>
    <dgm:cxn modelId="{B1AE6CEB-59FE-481F-8CEC-883F962C016A}" type="presParOf" srcId="{3504EBC2-360F-42E0-9C25-B86BFF327480}" destId="{743591B4-2D8B-4F0A-B562-18597AEFFD3B}" srcOrd="4" destOrd="0" presId="urn:microsoft.com/office/officeart/2005/8/layout/chevron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C43C0DA-FA5C-4859-A988-C2B21D2757F4}" type="doc">
      <dgm:prSet loTypeId="urn:microsoft.com/office/officeart/2005/8/layout/chevron1" loCatId="process" qsTypeId="urn:microsoft.com/office/officeart/2005/8/quickstyle/simple1" qsCatId="simple" csTypeId="urn:microsoft.com/office/officeart/2005/8/colors/accent1_2" csCatId="accent1" phldr="1"/>
      <dgm:spPr/>
    </dgm:pt>
    <dgm:pt modelId="{BA97D0EA-187D-41C9-9389-B8201CB948D8}">
      <dgm:prSet phldrT="[Text]" custT="1"/>
      <dgm:spPr>
        <a:solidFill>
          <a:schemeClr val="accent2"/>
        </a:solidFill>
      </dgm:spPr>
      <dgm:t>
        <a:bodyPr/>
        <a:lstStyle/>
        <a:p>
          <a:r>
            <a:rPr lang="en-AU" sz="1200" b="1"/>
            <a:t>1</a:t>
          </a:r>
          <a:br>
            <a:rPr lang="en-AU" sz="1200" b="1"/>
          </a:br>
          <a:r>
            <a:rPr lang="en-AU" sz="800"/>
            <a:t>Business case</a:t>
          </a:r>
          <a:endParaRPr lang="en-AU" sz="800" b="1"/>
        </a:p>
      </dgm:t>
    </dgm:pt>
    <dgm:pt modelId="{6394B2C0-6DBF-4A15-A06F-F3860802B1D5}" type="parTrans" cxnId="{A7E84BA8-97C9-4143-8C0A-34A52B19288F}">
      <dgm:prSet/>
      <dgm:spPr/>
      <dgm:t>
        <a:bodyPr/>
        <a:lstStyle/>
        <a:p>
          <a:endParaRPr lang="en-AU" sz="1200"/>
        </a:p>
      </dgm:t>
    </dgm:pt>
    <dgm:pt modelId="{CCEE9437-1450-4021-995A-C99D068241EF}" type="sibTrans" cxnId="{A7E84BA8-97C9-4143-8C0A-34A52B19288F}">
      <dgm:prSet/>
      <dgm:spPr/>
      <dgm:t>
        <a:bodyPr/>
        <a:lstStyle/>
        <a:p>
          <a:endParaRPr lang="en-AU" sz="1200"/>
        </a:p>
      </dgm:t>
    </dgm:pt>
    <dgm:pt modelId="{33C15BBC-A250-4E9B-9624-9842BDCAE9FF}">
      <dgm:prSet phldrT="[Text]" custT="1"/>
      <dgm:spPr>
        <a:solidFill>
          <a:schemeClr val="accent2"/>
        </a:solidFill>
      </dgm:spPr>
      <dgm:t>
        <a:bodyPr/>
        <a:lstStyle/>
        <a:p>
          <a:r>
            <a:rPr lang="en-AU" sz="1200" b="1"/>
            <a:t>2</a:t>
          </a:r>
          <a:br>
            <a:rPr lang="en-AU" sz="1200" b="1"/>
          </a:br>
          <a:r>
            <a:rPr lang="en-AU" sz="800"/>
            <a:t>Procurement</a:t>
          </a:r>
          <a:endParaRPr lang="en-AU" sz="800" b="1" baseline="0"/>
        </a:p>
      </dgm:t>
    </dgm:pt>
    <dgm:pt modelId="{F07CCF96-07E0-4BB8-9731-E73393171161}" type="parTrans" cxnId="{B6ED2088-36FD-4AC2-8B2A-951069CBF278}">
      <dgm:prSet/>
      <dgm:spPr/>
      <dgm:t>
        <a:bodyPr/>
        <a:lstStyle/>
        <a:p>
          <a:endParaRPr lang="en-AU" sz="1200"/>
        </a:p>
      </dgm:t>
    </dgm:pt>
    <dgm:pt modelId="{19758408-C8B9-4116-A656-C4BBAEF2ADFE}" type="sibTrans" cxnId="{B6ED2088-36FD-4AC2-8B2A-951069CBF278}">
      <dgm:prSet/>
      <dgm:spPr/>
      <dgm:t>
        <a:bodyPr/>
        <a:lstStyle/>
        <a:p>
          <a:endParaRPr lang="en-AU" sz="1200"/>
        </a:p>
      </dgm:t>
    </dgm:pt>
    <dgm:pt modelId="{CAC68E5D-3A59-4E4C-8117-49B4C524900D}">
      <dgm:prSet phldrT="[Text]" custT="1"/>
      <dgm:spPr>
        <a:solidFill>
          <a:schemeClr val="accent2"/>
        </a:solidFill>
      </dgm:spPr>
      <dgm:t>
        <a:bodyPr/>
        <a:lstStyle/>
        <a:p>
          <a:r>
            <a:rPr lang="en-AU" sz="1200" b="1"/>
            <a:t>3</a:t>
          </a:r>
          <a:br>
            <a:rPr lang="en-AU" sz="1200" b="1"/>
          </a:br>
          <a:r>
            <a:rPr lang="en-AU" sz="800"/>
            <a:t>Delivery</a:t>
          </a:r>
          <a:endParaRPr lang="en-AU" sz="800" b="0"/>
        </a:p>
      </dgm:t>
    </dgm:pt>
    <dgm:pt modelId="{8F725108-931B-4633-848F-A2CFE6541FA6}" type="parTrans" cxnId="{791B479F-C5E0-417B-B526-E5FEFE616339}">
      <dgm:prSet/>
      <dgm:spPr/>
      <dgm:t>
        <a:bodyPr/>
        <a:lstStyle/>
        <a:p>
          <a:endParaRPr lang="en-AU" sz="1200"/>
        </a:p>
      </dgm:t>
    </dgm:pt>
    <dgm:pt modelId="{B1A74DA2-E824-4190-92F5-EB06A08BE407}" type="sibTrans" cxnId="{791B479F-C5E0-417B-B526-E5FEFE616339}">
      <dgm:prSet/>
      <dgm:spPr/>
      <dgm:t>
        <a:bodyPr/>
        <a:lstStyle/>
        <a:p>
          <a:endParaRPr lang="en-AU" sz="1200"/>
        </a:p>
      </dgm:t>
    </dgm:pt>
    <dgm:pt modelId="{3504EBC2-360F-42E0-9C25-B86BFF327480}" type="pres">
      <dgm:prSet presAssocID="{BC43C0DA-FA5C-4859-A988-C2B21D2757F4}" presName="Name0" presStyleCnt="0">
        <dgm:presLayoutVars>
          <dgm:dir/>
          <dgm:animLvl val="lvl"/>
          <dgm:resizeHandles val="exact"/>
        </dgm:presLayoutVars>
      </dgm:prSet>
      <dgm:spPr/>
    </dgm:pt>
    <dgm:pt modelId="{3AA9DAAB-594B-478B-A792-47AEEDA801A1}" type="pres">
      <dgm:prSet presAssocID="{BA97D0EA-187D-41C9-9389-B8201CB948D8}" presName="parTxOnly" presStyleLbl="node1" presStyleIdx="0" presStyleCnt="3">
        <dgm:presLayoutVars>
          <dgm:chMax val="0"/>
          <dgm:chPref val="0"/>
          <dgm:bulletEnabled val="1"/>
        </dgm:presLayoutVars>
      </dgm:prSet>
      <dgm:spPr/>
    </dgm:pt>
    <dgm:pt modelId="{0AD98B9D-82E6-445A-861A-225EB6F4F580}" type="pres">
      <dgm:prSet presAssocID="{CCEE9437-1450-4021-995A-C99D068241EF}" presName="parTxOnlySpace" presStyleCnt="0"/>
      <dgm:spPr/>
    </dgm:pt>
    <dgm:pt modelId="{4E10C990-6A6E-4A01-84F7-7E857C8CAA37}" type="pres">
      <dgm:prSet presAssocID="{33C15BBC-A250-4E9B-9624-9842BDCAE9FF}" presName="parTxOnly" presStyleLbl="node1" presStyleIdx="1" presStyleCnt="3">
        <dgm:presLayoutVars>
          <dgm:chMax val="0"/>
          <dgm:chPref val="0"/>
          <dgm:bulletEnabled val="1"/>
        </dgm:presLayoutVars>
      </dgm:prSet>
      <dgm:spPr/>
    </dgm:pt>
    <dgm:pt modelId="{79D6F6D6-95E1-4233-B08E-4AFC252FCAC8}" type="pres">
      <dgm:prSet presAssocID="{19758408-C8B9-4116-A656-C4BBAEF2ADFE}" presName="parTxOnlySpace" presStyleCnt="0"/>
      <dgm:spPr/>
    </dgm:pt>
    <dgm:pt modelId="{743591B4-2D8B-4F0A-B562-18597AEFFD3B}" type="pres">
      <dgm:prSet presAssocID="{CAC68E5D-3A59-4E4C-8117-49B4C524900D}" presName="parTxOnly" presStyleLbl="node1" presStyleIdx="2" presStyleCnt="3">
        <dgm:presLayoutVars>
          <dgm:chMax val="0"/>
          <dgm:chPref val="0"/>
          <dgm:bulletEnabled val="1"/>
        </dgm:presLayoutVars>
      </dgm:prSet>
      <dgm:spPr/>
    </dgm:pt>
  </dgm:ptLst>
  <dgm:cxnLst>
    <dgm:cxn modelId="{88263E34-D40B-4799-8793-00C42339F1F6}" type="presOf" srcId="{BC43C0DA-FA5C-4859-A988-C2B21D2757F4}" destId="{3504EBC2-360F-42E0-9C25-B86BFF327480}" srcOrd="0" destOrd="0" presId="urn:microsoft.com/office/officeart/2005/8/layout/chevron1"/>
    <dgm:cxn modelId="{28945C6E-6DFA-441E-A0CF-AC5F20EB2B5B}" type="presOf" srcId="{33C15BBC-A250-4E9B-9624-9842BDCAE9FF}" destId="{4E10C990-6A6E-4A01-84F7-7E857C8CAA37}" srcOrd="0" destOrd="0" presId="urn:microsoft.com/office/officeart/2005/8/layout/chevron1"/>
    <dgm:cxn modelId="{B6ED2088-36FD-4AC2-8B2A-951069CBF278}" srcId="{BC43C0DA-FA5C-4859-A988-C2B21D2757F4}" destId="{33C15BBC-A250-4E9B-9624-9842BDCAE9FF}" srcOrd="1" destOrd="0" parTransId="{F07CCF96-07E0-4BB8-9731-E73393171161}" sibTransId="{19758408-C8B9-4116-A656-C4BBAEF2ADFE}"/>
    <dgm:cxn modelId="{68DF7E99-0E31-4F23-AB27-9E7DDBB5F0C1}" type="presOf" srcId="{BA97D0EA-187D-41C9-9389-B8201CB948D8}" destId="{3AA9DAAB-594B-478B-A792-47AEEDA801A1}" srcOrd="0" destOrd="0" presId="urn:microsoft.com/office/officeart/2005/8/layout/chevron1"/>
    <dgm:cxn modelId="{A7E84BA8-97C9-4143-8C0A-34A52B19288F}" srcId="{BC43C0DA-FA5C-4859-A988-C2B21D2757F4}" destId="{BA97D0EA-187D-41C9-9389-B8201CB948D8}" srcOrd="0" destOrd="0" parTransId="{6394B2C0-6DBF-4A15-A06F-F3860802B1D5}" sibTransId="{CCEE9437-1450-4021-995A-C99D068241EF}"/>
    <dgm:cxn modelId="{9CB95FFF-E5DD-4BA3-9841-8ABBF314FA11}" type="presOf" srcId="{CAC68E5D-3A59-4E4C-8117-49B4C524900D}" destId="{743591B4-2D8B-4F0A-B562-18597AEFFD3B}" srcOrd="0" destOrd="0" presId="urn:microsoft.com/office/officeart/2005/8/layout/chevron1"/>
    <dgm:cxn modelId="{791B479F-C5E0-417B-B526-E5FEFE616339}" srcId="{BC43C0DA-FA5C-4859-A988-C2B21D2757F4}" destId="{CAC68E5D-3A59-4E4C-8117-49B4C524900D}" srcOrd="2" destOrd="0" parTransId="{8F725108-931B-4633-848F-A2CFE6541FA6}" sibTransId="{B1A74DA2-E824-4190-92F5-EB06A08BE407}"/>
    <dgm:cxn modelId="{04B53E14-DB44-478C-BB97-1ABAD3601D48}" type="presParOf" srcId="{3504EBC2-360F-42E0-9C25-B86BFF327480}" destId="{3AA9DAAB-594B-478B-A792-47AEEDA801A1}" srcOrd="0" destOrd="0" presId="urn:microsoft.com/office/officeart/2005/8/layout/chevron1"/>
    <dgm:cxn modelId="{C58B2B9A-00D8-43D2-A526-CB612B8004CB}" type="presParOf" srcId="{3504EBC2-360F-42E0-9C25-B86BFF327480}" destId="{0AD98B9D-82E6-445A-861A-225EB6F4F580}" srcOrd="1" destOrd="0" presId="urn:microsoft.com/office/officeart/2005/8/layout/chevron1"/>
    <dgm:cxn modelId="{8ABDCD0D-64C0-46C7-A698-E7AE2E51C918}" type="presParOf" srcId="{3504EBC2-360F-42E0-9C25-B86BFF327480}" destId="{4E10C990-6A6E-4A01-84F7-7E857C8CAA37}" srcOrd="2" destOrd="0" presId="urn:microsoft.com/office/officeart/2005/8/layout/chevron1"/>
    <dgm:cxn modelId="{99D0DFD7-7DD2-4000-8FD1-6A0E9672B92D}" type="presParOf" srcId="{3504EBC2-360F-42E0-9C25-B86BFF327480}" destId="{79D6F6D6-95E1-4233-B08E-4AFC252FCAC8}" srcOrd="3" destOrd="0" presId="urn:microsoft.com/office/officeart/2005/8/layout/chevron1"/>
    <dgm:cxn modelId="{B1AE6CEB-59FE-481F-8CEC-883F962C016A}" type="presParOf" srcId="{3504EBC2-360F-42E0-9C25-B86BFF327480}" destId="{743591B4-2D8B-4F0A-B562-18597AEFFD3B}" srcOrd="4"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C43C0DA-FA5C-4859-A988-C2B21D2757F4}" type="doc">
      <dgm:prSet loTypeId="urn:microsoft.com/office/officeart/2005/8/layout/chevron1" loCatId="process" qsTypeId="urn:microsoft.com/office/officeart/2005/8/quickstyle/simple1" qsCatId="simple" csTypeId="urn:microsoft.com/office/officeart/2005/8/colors/accent1_2" csCatId="accent1" phldr="1"/>
      <dgm:spPr/>
    </dgm:pt>
    <dgm:pt modelId="{BA97D0EA-187D-41C9-9389-B8201CB948D8}">
      <dgm:prSet phldrT="[Text]" custT="1"/>
      <dgm:spPr>
        <a:solidFill>
          <a:schemeClr val="accent2"/>
        </a:solidFill>
      </dgm:spPr>
      <dgm:t>
        <a:bodyPr/>
        <a:lstStyle/>
        <a:p>
          <a:r>
            <a:rPr lang="en-AU" sz="800" b="1"/>
            <a:t>Business case</a:t>
          </a:r>
        </a:p>
      </dgm:t>
    </dgm:pt>
    <dgm:pt modelId="{6394B2C0-6DBF-4A15-A06F-F3860802B1D5}" type="parTrans" cxnId="{A7E84BA8-97C9-4143-8C0A-34A52B19288F}">
      <dgm:prSet/>
      <dgm:spPr/>
      <dgm:t>
        <a:bodyPr/>
        <a:lstStyle/>
        <a:p>
          <a:endParaRPr lang="en-AU" sz="800" b="1"/>
        </a:p>
      </dgm:t>
    </dgm:pt>
    <dgm:pt modelId="{CCEE9437-1450-4021-995A-C99D068241EF}" type="sibTrans" cxnId="{A7E84BA8-97C9-4143-8C0A-34A52B19288F}">
      <dgm:prSet/>
      <dgm:spPr/>
      <dgm:t>
        <a:bodyPr/>
        <a:lstStyle/>
        <a:p>
          <a:endParaRPr lang="en-AU" sz="800" b="1"/>
        </a:p>
      </dgm:t>
    </dgm:pt>
    <dgm:pt modelId="{33C15BBC-A250-4E9B-9624-9842BDCAE9FF}">
      <dgm:prSet phldrT="[Text]" custT="1"/>
      <dgm:spPr>
        <a:solidFill>
          <a:schemeClr val="accent2"/>
        </a:solidFill>
      </dgm:spPr>
      <dgm:t>
        <a:bodyPr/>
        <a:lstStyle/>
        <a:p>
          <a:r>
            <a:rPr lang="en-AU" sz="800" b="1"/>
            <a:t>Procurement</a:t>
          </a:r>
        </a:p>
      </dgm:t>
    </dgm:pt>
    <dgm:pt modelId="{F07CCF96-07E0-4BB8-9731-E73393171161}" type="parTrans" cxnId="{B6ED2088-36FD-4AC2-8B2A-951069CBF278}">
      <dgm:prSet/>
      <dgm:spPr/>
      <dgm:t>
        <a:bodyPr/>
        <a:lstStyle/>
        <a:p>
          <a:endParaRPr lang="en-AU" sz="800" b="1"/>
        </a:p>
      </dgm:t>
    </dgm:pt>
    <dgm:pt modelId="{19758408-C8B9-4116-A656-C4BBAEF2ADFE}" type="sibTrans" cxnId="{B6ED2088-36FD-4AC2-8B2A-951069CBF278}">
      <dgm:prSet/>
      <dgm:spPr/>
      <dgm:t>
        <a:bodyPr/>
        <a:lstStyle/>
        <a:p>
          <a:endParaRPr lang="en-AU" sz="800" b="1"/>
        </a:p>
      </dgm:t>
    </dgm:pt>
    <dgm:pt modelId="{CAC68E5D-3A59-4E4C-8117-49B4C524900D}">
      <dgm:prSet phldrT="[Text]" custT="1"/>
      <dgm:spPr>
        <a:solidFill>
          <a:schemeClr val="accent2"/>
        </a:solidFill>
      </dgm:spPr>
      <dgm:t>
        <a:bodyPr/>
        <a:lstStyle/>
        <a:p>
          <a:r>
            <a:rPr lang="en-AU" sz="800" b="1"/>
            <a:t>Delivery</a:t>
          </a:r>
        </a:p>
      </dgm:t>
    </dgm:pt>
    <dgm:pt modelId="{8F725108-931B-4633-848F-A2CFE6541FA6}" type="parTrans" cxnId="{791B479F-C5E0-417B-B526-E5FEFE616339}">
      <dgm:prSet/>
      <dgm:spPr/>
      <dgm:t>
        <a:bodyPr/>
        <a:lstStyle/>
        <a:p>
          <a:endParaRPr lang="en-AU" sz="800" b="1"/>
        </a:p>
      </dgm:t>
    </dgm:pt>
    <dgm:pt modelId="{B1A74DA2-E824-4190-92F5-EB06A08BE407}" type="sibTrans" cxnId="{791B479F-C5E0-417B-B526-E5FEFE616339}">
      <dgm:prSet/>
      <dgm:spPr/>
      <dgm:t>
        <a:bodyPr/>
        <a:lstStyle/>
        <a:p>
          <a:endParaRPr lang="en-AU" sz="800" b="1"/>
        </a:p>
      </dgm:t>
    </dgm:pt>
    <dgm:pt modelId="{A001A963-96C6-4712-A39A-CE1B62319CDB}">
      <dgm:prSet phldrT="[Text]" custT="1"/>
      <dgm:spPr>
        <a:solidFill>
          <a:schemeClr val="accent2"/>
        </a:solidFill>
      </dgm:spPr>
      <dgm:t>
        <a:bodyPr/>
        <a:lstStyle/>
        <a:p>
          <a:r>
            <a:rPr lang="en-AU" sz="800" b="1"/>
            <a:t>Evaluation</a:t>
          </a:r>
        </a:p>
      </dgm:t>
    </dgm:pt>
    <dgm:pt modelId="{3256ABAE-1F40-43C1-A927-515B93A5ED53}" type="parTrans" cxnId="{8E667EAA-11B2-4459-996E-EBF980984DDE}">
      <dgm:prSet/>
      <dgm:spPr/>
      <dgm:t>
        <a:bodyPr/>
        <a:lstStyle/>
        <a:p>
          <a:endParaRPr lang="en-AU" sz="800" b="1"/>
        </a:p>
      </dgm:t>
    </dgm:pt>
    <dgm:pt modelId="{6877ECEF-91E1-4330-9D73-45107ED31617}" type="sibTrans" cxnId="{8E667EAA-11B2-4459-996E-EBF980984DDE}">
      <dgm:prSet/>
      <dgm:spPr/>
      <dgm:t>
        <a:bodyPr/>
        <a:lstStyle/>
        <a:p>
          <a:endParaRPr lang="en-AU" sz="800" b="1"/>
        </a:p>
      </dgm:t>
    </dgm:pt>
    <dgm:pt modelId="{F0963F76-7655-4310-A345-D8C8F1508750}">
      <dgm:prSet phldrT="[Text]" custT="1"/>
      <dgm:spPr>
        <a:solidFill>
          <a:schemeClr val="accent2">
            <a:lumMod val="20000"/>
            <a:lumOff val="80000"/>
          </a:schemeClr>
        </a:solidFill>
      </dgm:spPr>
      <dgm:t>
        <a:bodyPr/>
        <a:lstStyle/>
        <a:p>
          <a:r>
            <a:rPr lang="en-AU" sz="800" b="1">
              <a:solidFill>
                <a:sysClr val="windowText" lastClr="000000"/>
              </a:solidFill>
            </a:rPr>
            <a:t>Ongoing management</a:t>
          </a:r>
        </a:p>
      </dgm:t>
    </dgm:pt>
    <dgm:pt modelId="{42554FEB-C885-4AFA-B4EE-920D60D6EE4B}" type="parTrans" cxnId="{93EC0209-ED57-4F68-8800-7E1E3114692B}">
      <dgm:prSet/>
      <dgm:spPr/>
      <dgm:t>
        <a:bodyPr/>
        <a:lstStyle/>
        <a:p>
          <a:endParaRPr lang="en-AU" sz="800" b="1"/>
        </a:p>
      </dgm:t>
    </dgm:pt>
    <dgm:pt modelId="{F43B1A00-C3FB-4A13-B5BD-B1245A7659CF}" type="sibTrans" cxnId="{93EC0209-ED57-4F68-8800-7E1E3114692B}">
      <dgm:prSet/>
      <dgm:spPr/>
      <dgm:t>
        <a:bodyPr/>
        <a:lstStyle/>
        <a:p>
          <a:endParaRPr lang="en-AU" sz="800" b="1"/>
        </a:p>
      </dgm:t>
    </dgm:pt>
    <dgm:pt modelId="{3504EBC2-360F-42E0-9C25-B86BFF327480}" type="pres">
      <dgm:prSet presAssocID="{BC43C0DA-FA5C-4859-A988-C2B21D2757F4}" presName="Name0" presStyleCnt="0">
        <dgm:presLayoutVars>
          <dgm:dir/>
          <dgm:animLvl val="lvl"/>
          <dgm:resizeHandles val="exact"/>
        </dgm:presLayoutVars>
      </dgm:prSet>
      <dgm:spPr/>
    </dgm:pt>
    <dgm:pt modelId="{3AA9DAAB-594B-478B-A792-47AEEDA801A1}" type="pres">
      <dgm:prSet presAssocID="{BA97D0EA-187D-41C9-9389-B8201CB948D8}" presName="parTxOnly" presStyleLbl="node1" presStyleIdx="0" presStyleCnt="5">
        <dgm:presLayoutVars>
          <dgm:chMax val="0"/>
          <dgm:chPref val="0"/>
          <dgm:bulletEnabled val="1"/>
        </dgm:presLayoutVars>
      </dgm:prSet>
      <dgm:spPr/>
    </dgm:pt>
    <dgm:pt modelId="{0AD98B9D-82E6-445A-861A-225EB6F4F580}" type="pres">
      <dgm:prSet presAssocID="{CCEE9437-1450-4021-995A-C99D068241EF}" presName="parTxOnlySpace" presStyleCnt="0"/>
      <dgm:spPr/>
    </dgm:pt>
    <dgm:pt modelId="{4E10C990-6A6E-4A01-84F7-7E857C8CAA37}" type="pres">
      <dgm:prSet presAssocID="{33C15BBC-A250-4E9B-9624-9842BDCAE9FF}" presName="parTxOnly" presStyleLbl="node1" presStyleIdx="1" presStyleCnt="5" custLinFactNeighborX="-38304">
        <dgm:presLayoutVars>
          <dgm:chMax val="0"/>
          <dgm:chPref val="0"/>
          <dgm:bulletEnabled val="1"/>
        </dgm:presLayoutVars>
      </dgm:prSet>
      <dgm:spPr/>
    </dgm:pt>
    <dgm:pt modelId="{79D6F6D6-95E1-4233-B08E-4AFC252FCAC8}" type="pres">
      <dgm:prSet presAssocID="{19758408-C8B9-4116-A656-C4BBAEF2ADFE}" presName="parTxOnlySpace" presStyleCnt="0"/>
      <dgm:spPr/>
    </dgm:pt>
    <dgm:pt modelId="{743591B4-2D8B-4F0A-B562-18597AEFFD3B}" type="pres">
      <dgm:prSet presAssocID="{CAC68E5D-3A59-4E4C-8117-49B4C524900D}" presName="parTxOnly" presStyleLbl="node1" presStyleIdx="2" presStyleCnt="5" custLinFactNeighborX="-54720">
        <dgm:presLayoutVars>
          <dgm:chMax val="0"/>
          <dgm:chPref val="0"/>
          <dgm:bulletEnabled val="1"/>
        </dgm:presLayoutVars>
      </dgm:prSet>
      <dgm:spPr/>
    </dgm:pt>
    <dgm:pt modelId="{FA828ADA-D396-4228-8401-78D69C6038E2}" type="pres">
      <dgm:prSet presAssocID="{B1A74DA2-E824-4190-92F5-EB06A08BE407}" presName="parTxOnlySpace" presStyleCnt="0"/>
      <dgm:spPr/>
    </dgm:pt>
    <dgm:pt modelId="{522B63DF-CFB0-4665-882C-5815C6F9DF5F}" type="pres">
      <dgm:prSet presAssocID="{A001A963-96C6-4712-A39A-CE1B62319CDB}" presName="parTxOnly" presStyleLbl="node1" presStyleIdx="3" presStyleCnt="5" custLinFactNeighborX="-82080">
        <dgm:presLayoutVars>
          <dgm:chMax val="0"/>
          <dgm:chPref val="0"/>
          <dgm:bulletEnabled val="1"/>
        </dgm:presLayoutVars>
      </dgm:prSet>
      <dgm:spPr/>
    </dgm:pt>
    <dgm:pt modelId="{C395AF5E-52DA-4985-B83A-33775408B69A}" type="pres">
      <dgm:prSet presAssocID="{6877ECEF-91E1-4330-9D73-45107ED31617}" presName="parTxOnlySpace" presStyleCnt="0"/>
      <dgm:spPr/>
    </dgm:pt>
    <dgm:pt modelId="{1A4B2E12-18EA-4B9A-A9BC-5033320596BA}" type="pres">
      <dgm:prSet presAssocID="{F0963F76-7655-4310-A345-D8C8F1508750}" presName="parTxOnly" presStyleLbl="node1" presStyleIdx="4" presStyleCnt="5" custLinFactNeighborX="-98496">
        <dgm:presLayoutVars>
          <dgm:chMax val="0"/>
          <dgm:chPref val="0"/>
          <dgm:bulletEnabled val="1"/>
        </dgm:presLayoutVars>
      </dgm:prSet>
      <dgm:spPr/>
    </dgm:pt>
  </dgm:ptLst>
  <dgm:cxnLst>
    <dgm:cxn modelId="{93EC0209-ED57-4F68-8800-7E1E3114692B}" srcId="{BC43C0DA-FA5C-4859-A988-C2B21D2757F4}" destId="{F0963F76-7655-4310-A345-D8C8F1508750}" srcOrd="4" destOrd="0" parTransId="{42554FEB-C885-4AFA-B4EE-920D60D6EE4B}" sibTransId="{F43B1A00-C3FB-4A13-B5BD-B1245A7659CF}"/>
    <dgm:cxn modelId="{88263E34-D40B-4799-8793-00C42339F1F6}" type="presOf" srcId="{BC43C0DA-FA5C-4859-A988-C2B21D2757F4}" destId="{3504EBC2-360F-42E0-9C25-B86BFF327480}" srcOrd="0" destOrd="0" presId="urn:microsoft.com/office/officeart/2005/8/layout/chevron1"/>
    <dgm:cxn modelId="{68F09E5B-E2C5-4F84-81FF-423BCB80696B}" type="presOf" srcId="{A001A963-96C6-4712-A39A-CE1B62319CDB}" destId="{522B63DF-CFB0-4665-882C-5815C6F9DF5F}" srcOrd="0" destOrd="0" presId="urn:microsoft.com/office/officeart/2005/8/layout/chevron1"/>
    <dgm:cxn modelId="{28945C6E-6DFA-441E-A0CF-AC5F20EB2B5B}" type="presOf" srcId="{33C15BBC-A250-4E9B-9624-9842BDCAE9FF}" destId="{4E10C990-6A6E-4A01-84F7-7E857C8CAA37}" srcOrd="0" destOrd="0" presId="urn:microsoft.com/office/officeart/2005/8/layout/chevron1"/>
    <dgm:cxn modelId="{B6ED2088-36FD-4AC2-8B2A-951069CBF278}" srcId="{BC43C0DA-FA5C-4859-A988-C2B21D2757F4}" destId="{33C15BBC-A250-4E9B-9624-9842BDCAE9FF}" srcOrd="1" destOrd="0" parTransId="{F07CCF96-07E0-4BB8-9731-E73393171161}" sibTransId="{19758408-C8B9-4116-A656-C4BBAEF2ADFE}"/>
    <dgm:cxn modelId="{68DF7E99-0E31-4F23-AB27-9E7DDBB5F0C1}" type="presOf" srcId="{BA97D0EA-187D-41C9-9389-B8201CB948D8}" destId="{3AA9DAAB-594B-478B-A792-47AEEDA801A1}" srcOrd="0" destOrd="0" presId="urn:microsoft.com/office/officeart/2005/8/layout/chevron1"/>
    <dgm:cxn modelId="{A7E84BA8-97C9-4143-8C0A-34A52B19288F}" srcId="{BC43C0DA-FA5C-4859-A988-C2B21D2757F4}" destId="{BA97D0EA-187D-41C9-9389-B8201CB948D8}" srcOrd="0" destOrd="0" parTransId="{6394B2C0-6DBF-4A15-A06F-F3860802B1D5}" sibTransId="{CCEE9437-1450-4021-995A-C99D068241EF}"/>
    <dgm:cxn modelId="{8E667EAA-11B2-4459-996E-EBF980984DDE}" srcId="{BC43C0DA-FA5C-4859-A988-C2B21D2757F4}" destId="{A001A963-96C6-4712-A39A-CE1B62319CDB}" srcOrd="3" destOrd="0" parTransId="{3256ABAE-1F40-43C1-A927-515B93A5ED53}" sibTransId="{6877ECEF-91E1-4330-9D73-45107ED31617}"/>
    <dgm:cxn modelId="{D1C9B9D3-4AAC-4181-B1E5-3A7A1A3B1FF1}" type="presOf" srcId="{F0963F76-7655-4310-A345-D8C8F1508750}" destId="{1A4B2E12-18EA-4B9A-A9BC-5033320596BA}" srcOrd="0" destOrd="0" presId="urn:microsoft.com/office/officeart/2005/8/layout/chevron1"/>
    <dgm:cxn modelId="{9CB95FFF-E5DD-4BA3-9841-8ABBF314FA11}" type="presOf" srcId="{CAC68E5D-3A59-4E4C-8117-49B4C524900D}" destId="{743591B4-2D8B-4F0A-B562-18597AEFFD3B}" srcOrd="0" destOrd="0" presId="urn:microsoft.com/office/officeart/2005/8/layout/chevron1"/>
    <dgm:cxn modelId="{791B479F-C5E0-417B-B526-E5FEFE616339}" srcId="{BC43C0DA-FA5C-4859-A988-C2B21D2757F4}" destId="{CAC68E5D-3A59-4E4C-8117-49B4C524900D}" srcOrd="2" destOrd="0" parTransId="{8F725108-931B-4633-848F-A2CFE6541FA6}" sibTransId="{B1A74DA2-E824-4190-92F5-EB06A08BE407}"/>
    <dgm:cxn modelId="{04B53E14-DB44-478C-BB97-1ABAD3601D48}" type="presParOf" srcId="{3504EBC2-360F-42E0-9C25-B86BFF327480}" destId="{3AA9DAAB-594B-478B-A792-47AEEDA801A1}" srcOrd="0" destOrd="0" presId="urn:microsoft.com/office/officeart/2005/8/layout/chevron1"/>
    <dgm:cxn modelId="{C58B2B9A-00D8-43D2-A526-CB612B8004CB}" type="presParOf" srcId="{3504EBC2-360F-42E0-9C25-B86BFF327480}" destId="{0AD98B9D-82E6-445A-861A-225EB6F4F580}" srcOrd="1" destOrd="0" presId="urn:microsoft.com/office/officeart/2005/8/layout/chevron1"/>
    <dgm:cxn modelId="{8ABDCD0D-64C0-46C7-A698-E7AE2E51C918}" type="presParOf" srcId="{3504EBC2-360F-42E0-9C25-B86BFF327480}" destId="{4E10C990-6A6E-4A01-84F7-7E857C8CAA37}" srcOrd="2" destOrd="0" presId="urn:microsoft.com/office/officeart/2005/8/layout/chevron1"/>
    <dgm:cxn modelId="{99D0DFD7-7DD2-4000-8FD1-6A0E9672B92D}" type="presParOf" srcId="{3504EBC2-360F-42E0-9C25-B86BFF327480}" destId="{79D6F6D6-95E1-4233-B08E-4AFC252FCAC8}" srcOrd="3" destOrd="0" presId="urn:microsoft.com/office/officeart/2005/8/layout/chevron1"/>
    <dgm:cxn modelId="{B1AE6CEB-59FE-481F-8CEC-883F962C016A}" type="presParOf" srcId="{3504EBC2-360F-42E0-9C25-B86BFF327480}" destId="{743591B4-2D8B-4F0A-B562-18597AEFFD3B}" srcOrd="4" destOrd="0" presId="urn:microsoft.com/office/officeart/2005/8/layout/chevron1"/>
    <dgm:cxn modelId="{873AFF4F-D1E0-4E8B-97BD-9FD3E8051C0F}" type="presParOf" srcId="{3504EBC2-360F-42E0-9C25-B86BFF327480}" destId="{FA828ADA-D396-4228-8401-78D69C6038E2}" srcOrd="5" destOrd="0" presId="urn:microsoft.com/office/officeart/2005/8/layout/chevron1"/>
    <dgm:cxn modelId="{94CC2A4E-69F8-482E-BC1F-AE1EC0DD789F}" type="presParOf" srcId="{3504EBC2-360F-42E0-9C25-B86BFF327480}" destId="{522B63DF-CFB0-4665-882C-5815C6F9DF5F}" srcOrd="6" destOrd="0" presId="urn:microsoft.com/office/officeart/2005/8/layout/chevron1"/>
    <dgm:cxn modelId="{BE2D67E6-B9F2-43A6-8884-85A6D4C5BB92}" type="presParOf" srcId="{3504EBC2-360F-42E0-9C25-B86BFF327480}" destId="{C395AF5E-52DA-4985-B83A-33775408B69A}" srcOrd="7" destOrd="0" presId="urn:microsoft.com/office/officeart/2005/8/layout/chevron1"/>
    <dgm:cxn modelId="{0A7F2F95-860E-4319-B93D-D69ED2182938}" type="presParOf" srcId="{3504EBC2-360F-42E0-9C25-B86BFF327480}" destId="{1A4B2E12-18EA-4B9A-A9BC-5033320596BA}" srcOrd="8" destOrd="0" presId="urn:microsoft.com/office/officeart/2005/8/layout/chevron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9DAAB-594B-478B-A792-47AEEDA801A1}">
      <dsp:nvSpPr>
        <dsp:cNvPr id="0" name=""/>
        <dsp:cNvSpPr/>
      </dsp:nvSpPr>
      <dsp:spPr>
        <a:xfrm>
          <a:off x="1302" y="0"/>
          <a:ext cx="1587023"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AU" sz="1800" b="1" kern="1200"/>
            <a:t>1</a:t>
          </a:r>
        </a:p>
      </dsp:txBody>
      <dsp:txXfrm>
        <a:off x="194977" y="0"/>
        <a:ext cx="1199673" cy="387350"/>
      </dsp:txXfrm>
    </dsp:sp>
    <dsp:sp modelId="{4E10C990-6A6E-4A01-84F7-7E857C8CAA37}">
      <dsp:nvSpPr>
        <dsp:cNvPr id="0" name=""/>
        <dsp:cNvSpPr/>
      </dsp:nvSpPr>
      <dsp:spPr>
        <a:xfrm>
          <a:off x="1429623" y="0"/>
          <a:ext cx="1587023"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AU" sz="1800" b="1" kern="1200"/>
            <a:t>2</a:t>
          </a:r>
        </a:p>
      </dsp:txBody>
      <dsp:txXfrm>
        <a:off x="1623298" y="0"/>
        <a:ext cx="1199673" cy="387350"/>
      </dsp:txXfrm>
    </dsp:sp>
    <dsp:sp modelId="{743591B4-2D8B-4F0A-B562-18597AEFFD3B}">
      <dsp:nvSpPr>
        <dsp:cNvPr id="0" name=""/>
        <dsp:cNvSpPr/>
      </dsp:nvSpPr>
      <dsp:spPr>
        <a:xfrm>
          <a:off x="2857944" y="0"/>
          <a:ext cx="1587023"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ct val="35000"/>
            </a:spcAft>
            <a:buNone/>
          </a:pPr>
          <a:r>
            <a:rPr lang="en-AU" sz="1800" b="1" kern="1200"/>
            <a:t>3</a:t>
          </a:r>
        </a:p>
      </dsp:txBody>
      <dsp:txXfrm>
        <a:off x="3051619" y="0"/>
        <a:ext cx="1199673" cy="3873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9DAAB-594B-478B-A792-47AEEDA801A1}">
      <dsp:nvSpPr>
        <dsp:cNvPr id="0" name=""/>
        <dsp:cNvSpPr/>
      </dsp:nvSpPr>
      <dsp:spPr>
        <a:xfrm>
          <a:off x="0" y="0"/>
          <a:ext cx="1961809"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b="1" kern="1200"/>
            <a:t>1</a:t>
          </a:r>
          <a:br>
            <a:rPr lang="en-AU" sz="1200" b="1" kern="1200"/>
          </a:br>
          <a:r>
            <a:rPr lang="en-AU" sz="800" kern="1200"/>
            <a:t>Business case</a:t>
          </a:r>
          <a:endParaRPr lang="en-AU" sz="800" b="1" kern="1200"/>
        </a:p>
      </dsp:txBody>
      <dsp:txXfrm>
        <a:off x="193675" y="0"/>
        <a:ext cx="1574459" cy="387350"/>
      </dsp:txXfrm>
    </dsp:sp>
    <dsp:sp modelId="{4E10C990-6A6E-4A01-84F7-7E857C8CAA37}">
      <dsp:nvSpPr>
        <dsp:cNvPr id="0" name=""/>
        <dsp:cNvSpPr/>
      </dsp:nvSpPr>
      <dsp:spPr>
        <a:xfrm>
          <a:off x="1767238" y="0"/>
          <a:ext cx="1961809"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b="1" kern="1200"/>
            <a:t>2</a:t>
          </a:r>
          <a:br>
            <a:rPr lang="en-AU" sz="1200" b="1" kern="1200"/>
          </a:br>
          <a:r>
            <a:rPr lang="en-AU" sz="800" kern="1200"/>
            <a:t>Procurement</a:t>
          </a:r>
          <a:endParaRPr lang="en-AU" sz="800" b="1" kern="1200" baseline="0"/>
        </a:p>
      </dsp:txBody>
      <dsp:txXfrm>
        <a:off x="1960913" y="0"/>
        <a:ext cx="1574459" cy="387350"/>
      </dsp:txXfrm>
    </dsp:sp>
    <dsp:sp modelId="{743591B4-2D8B-4F0A-B562-18597AEFFD3B}">
      <dsp:nvSpPr>
        <dsp:cNvPr id="0" name=""/>
        <dsp:cNvSpPr/>
      </dsp:nvSpPr>
      <dsp:spPr>
        <a:xfrm>
          <a:off x="3532866" y="0"/>
          <a:ext cx="1961809"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b="1" kern="1200"/>
            <a:t>3</a:t>
          </a:r>
          <a:br>
            <a:rPr lang="en-AU" sz="1200" b="1" kern="1200"/>
          </a:br>
          <a:r>
            <a:rPr lang="en-AU" sz="800" kern="1200"/>
            <a:t>Delivery</a:t>
          </a:r>
          <a:endParaRPr lang="en-AU" sz="800" b="0" kern="1200"/>
        </a:p>
      </dsp:txBody>
      <dsp:txXfrm>
        <a:off x="3726541" y="0"/>
        <a:ext cx="1574459" cy="3873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9DAAB-594B-478B-A792-47AEEDA801A1}">
      <dsp:nvSpPr>
        <dsp:cNvPr id="0" name=""/>
        <dsp:cNvSpPr/>
      </dsp:nvSpPr>
      <dsp:spPr>
        <a:xfrm>
          <a:off x="1432" y="0"/>
          <a:ext cx="1744852"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b="1" kern="1200"/>
            <a:t>1</a:t>
          </a:r>
          <a:br>
            <a:rPr lang="en-AU" sz="1200" b="1" kern="1200"/>
          </a:br>
          <a:r>
            <a:rPr lang="en-AU" sz="800" kern="1200"/>
            <a:t>Business case</a:t>
          </a:r>
          <a:endParaRPr lang="en-AU" sz="800" b="1" kern="1200"/>
        </a:p>
      </dsp:txBody>
      <dsp:txXfrm>
        <a:off x="195107" y="0"/>
        <a:ext cx="1357502" cy="387350"/>
      </dsp:txXfrm>
    </dsp:sp>
    <dsp:sp modelId="{4E10C990-6A6E-4A01-84F7-7E857C8CAA37}">
      <dsp:nvSpPr>
        <dsp:cNvPr id="0" name=""/>
        <dsp:cNvSpPr/>
      </dsp:nvSpPr>
      <dsp:spPr>
        <a:xfrm>
          <a:off x="1571798" y="0"/>
          <a:ext cx="1744852"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b="1" kern="1200"/>
            <a:t>2</a:t>
          </a:r>
          <a:br>
            <a:rPr lang="en-AU" sz="1200" b="1" kern="1200"/>
          </a:br>
          <a:r>
            <a:rPr lang="en-AU" sz="800" kern="1200"/>
            <a:t>Procurement</a:t>
          </a:r>
          <a:endParaRPr lang="en-AU" sz="800" b="1" kern="1200" baseline="0"/>
        </a:p>
      </dsp:txBody>
      <dsp:txXfrm>
        <a:off x="1765473" y="0"/>
        <a:ext cx="1357502" cy="387350"/>
      </dsp:txXfrm>
    </dsp:sp>
    <dsp:sp modelId="{743591B4-2D8B-4F0A-B562-18597AEFFD3B}">
      <dsp:nvSpPr>
        <dsp:cNvPr id="0" name=""/>
        <dsp:cNvSpPr/>
      </dsp:nvSpPr>
      <dsp:spPr>
        <a:xfrm>
          <a:off x="3142165" y="0"/>
          <a:ext cx="1744852"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AU" sz="1200" b="1" kern="1200"/>
            <a:t>3</a:t>
          </a:r>
          <a:br>
            <a:rPr lang="en-AU" sz="1200" b="1" kern="1200"/>
          </a:br>
          <a:r>
            <a:rPr lang="en-AU" sz="800" kern="1200"/>
            <a:t>Delivery</a:t>
          </a:r>
          <a:endParaRPr lang="en-AU" sz="800" b="0" kern="1200"/>
        </a:p>
      </dsp:txBody>
      <dsp:txXfrm>
        <a:off x="3335840" y="0"/>
        <a:ext cx="1357502" cy="3873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9DAAB-594B-478B-A792-47AEEDA801A1}">
      <dsp:nvSpPr>
        <dsp:cNvPr id="0" name=""/>
        <dsp:cNvSpPr/>
      </dsp:nvSpPr>
      <dsp:spPr>
        <a:xfrm>
          <a:off x="1350" y="0"/>
          <a:ext cx="1202267"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Business case</a:t>
          </a:r>
        </a:p>
      </dsp:txBody>
      <dsp:txXfrm>
        <a:off x="195025" y="0"/>
        <a:ext cx="814917" cy="387350"/>
      </dsp:txXfrm>
    </dsp:sp>
    <dsp:sp modelId="{4E10C990-6A6E-4A01-84F7-7E857C8CAA37}">
      <dsp:nvSpPr>
        <dsp:cNvPr id="0" name=""/>
        <dsp:cNvSpPr/>
      </dsp:nvSpPr>
      <dsp:spPr>
        <a:xfrm>
          <a:off x="1037340" y="0"/>
          <a:ext cx="1202267"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Procurement</a:t>
          </a:r>
        </a:p>
      </dsp:txBody>
      <dsp:txXfrm>
        <a:off x="1231015" y="0"/>
        <a:ext cx="814917" cy="387350"/>
      </dsp:txXfrm>
    </dsp:sp>
    <dsp:sp modelId="{743591B4-2D8B-4F0A-B562-18597AEFFD3B}">
      <dsp:nvSpPr>
        <dsp:cNvPr id="0" name=""/>
        <dsp:cNvSpPr/>
      </dsp:nvSpPr>
      <dsp:spPr>
        <a:xfrm>
          <a:off x="2099644" y="0"/>
          <a:ext cx="1202267"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Delivery</a:t>
          </a:r>
        </a:p>
      </dsp:txBody>
      <dsp:txXfrm>
        <a:off x="2293319" y="0"/>
        <a:ext cx="814917" cy="387350"/>
      </dsp:txXfrm>
    </dsp:sp>
    <dsp:sp modelId="{522B63DF-CFB0-4665-882C-5815C6F9DF5F}">
      <dsp:nvSpPr>
        <dsp:cNvPr id="0" name=""/>
        <dsp:cNvSpPr/>
      </dsp:nvSpPr>
      <dsp:spPr>
        <a:xfrm>
          <a:off x="3148792" y="0"/>
          <a:ext cx="1202267" cy="387350"/>
        </a:xfrm>
        <a:prstGeom prst="chevr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t>Evaluation</a:t>
          </a:r>
        </a:p>
      </dsp:txBody>
      <dsp:txXfrm>
        <a:off x="3342467" y="0"/>
        <a:ext cx="814917" cy="387350"/>
      </dsp:txXfrm>
    </dsp:sp>
    <dsp:sp modelId="{1A4B2E12-18EA-4B9A-A9BC-5033320596BA}">
      <dsp:nvSpPr>
        <dsp:cNvPr id="0" name=""/>
        <dsp:cNvSpPr/>
      </dsp:nvSpPr>
      <dsp:spPr>
        <a:xfrm>
          <a:off x="4211096" y="0"/>
          <a:ext cx="1202267" cy="387350"/>
        </a:xfrm>
        <a:prstGeom prst="chevron">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solidFill>
            </a:rPr>
            <a:t>Ongoing management</a:t>
          </a:r>
        </a:p>
      </dsp:txBody>
      <dsp:txXfrm>
        <a:off x="4404771" y="0"/>
        <a:ext cx="814917" cy="3873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TF standard">
  <a:themeElements>
    <a:clrScheme name="Brand Victoria - Navy">
      <a:dk1>
        <a:sysClr val="windowText" lastClr="000000"/>
      </a:dk1>
      <a:lt1>
        <a:sysClr val="window" lastClr="FFFFFF"/>
      </a:lt1>
      <a:dk2>
        <a:srgbClr val="53565A"/>
      </a:dk2>
      <a:lt2>
        <a:srgbClr val="D9D9D6"/>
      </a:lt2>
      <a:accent1>
        <a:srgbClr val="201547"/>
      </a:accent1>
      <a:accent2>
        <a:srgbClr val="004EA8"/>
      </a:accent2>
      <a:accent3>
        <a:srgbClr val="0072CE"/>
      </a:accent3>
      <a:accent4>
        <a:srgbClr val="8F8AA3"/>
      </a:accent4>
      <a:accent5>
        <a:srgbClr val="99B8DC"/>
      </a:accent5>
      <a:accent6>
        <a:srgbClr val="CCE3F5"/>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EA62-7991-4D8A-9848-D788EE858B4E}">
  <ds:schemaRefs>
    <ds:schemaRef ds:uri="http://www.w3.org/2001/XMLSchema"/>
  </ds:schemaRefs>
</ds:datastoreItem>
</file>

<file path=customXml/itemProps2.xml><?xml version="1.0" encoding="utf-8"?>
<ds:datastoreItem xmlns:ds="http://schemas.openxmlformats.org/officeDocument/2006/customXml" ds:itemID="{41D65B94-FE02-4C44-938D-0B0B95B8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9123</Words>
  <Characters>52003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61004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Leigh Anlezark</dc:creator>
  <cp:keywords/>
  <cp:lastModifiedBy>Deidre Steain (DTF)</cp:lastModifiedBy>
  <cp:revision>3</cp:revision>
  <cp:lastPrinted>2019-11-15T02:22:00Z</cp:lastPrinted>
  <dcterms:created xsi:type="dcterms:W3CDTF">2019-11-29T05:41:00Z</dcterms:created>
  <dcterms:modified xsi:type="dcterms:W3CDTF">2019-12-03T23:09:00Z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4d082061-b218-447b-a843-e0dd9551287c</vt:lpwstr>
  </property>
  <property fmtid="{D5CDD505-2E9C-101B-9397-08002B2CF9AE}" pid="4" name="Classification">
    <vt:lpwstr>Unclassified</vt:lpwstr>
  </property>
  <property fmtid="{D5CDD505-2E9C-101B-9397-08002B2CF9AE}" pid="5" name="MSIP_Label_bb4ee517-5ca4-4fff-98d2-ed4f906edd6d_Enabled">
    <vt:lpwstr>True</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Owner">
    <vt:lpwstr>leigh.anlezark@dtf.vic.gov.au</vt:lpwstr>
  </property>
  <property fmtid="{D5CDD505-2E9C-101B-9397-08002B2CF9AE}" pid="8" name="MSIP_Label_bb4ee517-5ca4-4fff-98d2-ed4f906edd6d_SetDate">
    <vt:lpwstr>2019-11-29T04:55:48.7993604Z</vt:lpwstr>
  </property>
  <property fmtid="{D5CDD505-2E9C-101B-9397-08002B2CF9AE}" pid="9" name="MSIP_Label_bb4ee517-5ca4-4fff-98d2-ed4f906edd6d_Name">
    <vt:lpwstr>DoNotMark</vt:lpwstr>
  </property>
  <property fmtid="{D5CDD505-2E9C-101B-9397-08002B2CF9AE}" pid="10" name="MSIP_Label_bb4ee517-5ca4-4fff-98d2-ed4f906edd6d_Application">
    <vt:lpwstr>Microsoft Azure Information Protection</vt:lpwstr>
  </property>
  <property fmtid="{D5CDD505-2E9C-101B-9397-08002B2CF9AE}" pid="11" name="MSIP_Label_bb4ee517-5ca4-4fff-98d2-ed4f906edd6d_Extended_MSFT_Method">
    <vt:lpwstr>Manual</vt:lpwstr>
  </property>
  <property fmtid="{D5CDD505-2E9C-101B-9397-08002B2CF9AE}" pid="12" name="Sensitivity">
    <vt:lpwstr>DoNotMark</vt:lpwstr>
  </property>
</Properties>
</file>