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3DE78" w14:textId="36DA6F54" w:rsidR="00A42A9B" w:rsidRPr="00A42A9B" w:rsidRDefault="00A42A9B" w:rsidP="004661D4">
      <w:pPr>
        <w:pStyle w:val="Title"/>
        <w:ind w:firstLine="720"/>
      </w:pPr>
      <w:r w:rsidRPr="00A42A9B">
        <w:rPr>
          <w:noProof/>
        </w:rPr>
        <mc:AlternateContent>
          <mc:Choice Requires="wps">
            <w:drawing>
              <wp:anchor distT="0" distB="0" distL="114300" distR="114300" simplePos="0" relativeHeight="251658240" behindDoc="1" locked="0" layoutInCell="1" allowOverlap="1" wp14:anchorId="2A5EC91B" wp14:editId="20B384D9">
                <wp:simplePos x="0" y="0"/>
                <wp:positionH relativeFrom="column">
                  <wp:posOffset>-630365</wp:posOffset>
                </wp:positionH>
                <wp:positionV relativeFrom="page">
                  <wp:posOffset>0</wp:posOffset>
                </wp:positionV>
                <wp:extent cx="7543800" cy="10687685"/>
                <wp:effectExtent l="0" t="0" r="19050" b="18415"/>
                <wp:wrapNone/>
                <wp:docPr id="290" name="Rectangle 290"/>
                <wp:cNvGraphicFramePr/>
                <a:graphic xmlns:a="http://schemas.openxmlformats.org/drawingml/2006/main">
                  <a:graphicData uri="http://schemas.microsoft.com/office/word/2010/wordprocessingShape">
                    <wps:wsp>
                      <wps:cNvSpPr/>
                      <wps:spPr>
                        <a:xfrm>
                          <a:off x="0" y="0"/>
                          <a:ext cx="7543800" cy="10687685"/>
                        </a:xfrm>
                        <a:prstGeom prst="rect">
                          <a:avLst/>
                        </a:prstGeom>
                        <a:solidFill>
                          <a:srgbClr val="6B6E73"/>
                        </a:solidFill>
                        <a:ln>
                          <a:solidFill>
                            <a:srgbClr val="6B6E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78C57" id="Rectangle 290" o:spid="_x0000_s1026" style="position:absolute;margin-left:-49.65pt;margin-top:0;width:594pt;height:8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" fillcolor="#6b6e73" strokecolor="#6b6e73" strokeweight="2pt">
                <w10:wrap anchory="page"/>
              </v:rect>
            </w:pict>
          </mc:Fallback>
        </mc:AlternateContent>
      </w:r>
      <w:r w:rsidRPr="00A42A9B">
        <w:rPr>
          <w:noProof/>
        </w:rPr>
        <mc:AlternateContent>
          <mc:Choice Requires="wps">
            <w:drawing>
              <wp:anchor distT="0" distB="0" distL="114300" distR="114300" simplePos="0" relativeHeight="251658242" behindDoc="0" locked="0" layoutInCell="1" allowOverlap="1" wp14:anchorId="24FB77CD" wp14:editId="5E2FC37F">
                <wp:simplePos x="0" y="0"/>
                <wp:positionH relativeFrom="column">
                  <wp:posOffset>5625465</wp:posOffset>
                </wp:positionH>
                <wp:positionV relativeFrom="page">
                  <wp:posOffset>7714615</wp:posOffset>
                </wp:positionV>
                <wp:extent cx="1481328" cy="3099816"/>
                <wp:effectExtent l="0" t="0" r="5080" b="5715"/>
                <wp:wrapNone/>
                <wp:docPr id="3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1328" cy="3099816"/>
                        </a:xfrm>
                        <a:custGeom>
                          <a:avLst/>
                          <a:gdLst>
                            <a:gd name="T0" fmla="*/ 0 w 2326"/>
                            <a:gd name="T1" fmla="*/ 4887 h 4887"/>
                            <a:gd name="T2" fmla="*/ 2326 w 2326"/>
                            <a:gd name="T3" fmla="*/ 4887 h 4887"/>
                            <a:gd name="T4" fmla="*/ 2326 w 2326"/>
                            <a:gd name="T5" fmla="*/ 0 h 4887"/>
                            <a:gd name="T6" fmla="*/ 0 w 2326"/>
                            <a:gd name="T7" fmla="*/ 4887 h 4887"/>
                          </a:gdLst>
                          <a:ahLst/>
                          <a:cxnLst>
                            <a:cxn ang="0">
                              <a:pos x="T0" y="T1"/>
                            </a:cxn>
                            <a:cxn ang="0">
                              <a:pos x="T2" y="T3"/>
                            </a:cxn>
                            <a:cxn ang="0">
                              <a:pos x="T4" y="T5"/>
                            </a:cxn>
                            <a:cxn ang="0">
                              <a:pos x="T6" y="T7"/>
                            </a:cxn>
                          </a:cxnLst>
                          <a:rect l="0" t="0" r="r" b="b"/>
                          <a:pathLst>
                            <a:path w="2326" h="4887">
                              <a:moveTo>
                                <a:pt x="0" y="4887"/>
                              </a:moveTo>
                              <a:lnTo>
                                <a:pt x="2326" y="4887"/>
                              </a:lnTo>
                              <a:lnTo>
                                <a:pt x="2326" y="0"/>
                              </a:lnTo>
                              <a:lnTo>
                                <a:pt x="0" y="4887"/>
                              </a:lnTo>
                              <a:close/>
                            </a:path>
                          </a:pathLst>
                        </a:custGeom>
                        <a:solidFill>
                          <a:srgbClr val="53565A"/>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7273BA" id="Freeform 9" o:spid="_x0000_s1026" style="position:absolute;margin-left:442.95pt;margin-top:607.45pt;width:116.65pt;height:244.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326,4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" path="m,4887r2326,l2326,,,4887xe" fillcolor="#53565a" stroked="f">
                <v:path arrowok="t" o:connecttype="custom" o:connectlocs="0,3099816;1481328,3099816;1481328,0;0,3099816" o:connectangles="0,0,0,0"/>
                <w10:wrap anchory="page"/>
              </v:shape>
            </w:pict>
          </mc:Fallback>
        </mc:AlternateContent>
      </w:r>
      <w:r w:rsidRPr="00A42A9B">
        <w:rPr>
          <w:noProof/>
        </w:rPr>
        <w:drawing>
          <wp:anchor distT="0" distB="0" distL="114300" distR="114300" simplePos="0" relativeHeight="251658243" behindDoc="0" locked="0" layoutInCell="1" allowOverlap="1" wp14:anchorId="696BB8AC" wp14:editId="6498A102">
            <wp:simplePos x="0" y="0"/>
            <wp:positionH relativeFrom="column">
              <wp:posOffset>5614035</wp:posOffset>
            </wp:positionH>
            <wp:positionV relativeFrom="page">
              <wp:posOffset>9914255</wp:posOffset>
            </wp:positionV>
            <wp:extent cx="822960" cy="4660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 Gov Logo - White - 12 August 201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2960" cy="466090"/>
                    </a:xfrm>
                    <a:prstGeom prst="rect">
                      <a:avLst/>
                    </a:prstGeom>
                  </pic:spPr>
                </pic:pic>
              </a:graphicData>
            </a:graphic>
            <wp14:sizeRelV relativeFrom="margin">
              <wp14:pctHeight>0</wp14:pctHeight>
            </wp14:sizeRelV>
          </wp:anchor>
        </w:drawing>
      </w:r>
      <w:r w:rsidRPr="00A42A9B">
        <w:rPr>
          <w:noProof/>
        </w:rPr>
        <mc:AlternateContent>
          <mc:Choice Requires="wps">
            <w:drawing>
              <wp:anchor distT="0" distB="0" distL="114300" distR="114300" simplePos="0" relativeHeight="251658241" behindDoc="1" locked="0" layoutInCell="1" allowOverlap="1" wp14:anchorId="4E65B39A" wp14:editId="2EA7E7AC">
                <wp:simplePos x="0" y="0"/>
                <wp:positionH relativeFrom="column">
                  <wp:posOffset>-864117</wp:posOffset>
                </wp:positionH>
                <wp:positionV relativeFrom="page">
                  <wp:posOffset>-325</wp:posOffset>
                </wp:positionV>
                <wp:extent cx="3332027" cy="6851665"/>
                <wp:effectExtent l="0" t="0" r="1905" b="6350"/>
                <wp:wrapNone/>
                <wp:docPr id="2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2027" cy="6851665"/>
                        </a:xfrm>
                        <a:custGeom>
                          <a:avLst/>
                          <a:gdLst>
                            <a:gd name="T0" fmla="*/ 0 w 5630"/>
                            <a:gd name="T1" fmla="*/ 0 h 11575"/>
                            <a:gd name="T2" fmla="*/ 0 w 5630"/>
                            <a:gd name="T3" fmla="*/ 11575 h 11575"/>
                            <a:gd name="T4" fmla="*/ 5630 w 5630"/>
                            <a:gd name="T5" fmla="*/ 0 h 11575"/>
                            <a:gd name="T6" fmla="*/ 0 w 5630"/>
                            <a:gd name="T7" fmla="*/ 0 h 11575"/>
                          </a:gdLst>
                          <a:ahLst/>
                          <a:cxnLst>
                            <a:cxn ang="0">
                              <a:pos x="T0" y="T1"/>
                            </a:cxn>
                            <a:cxn ang="0">
                              <a:pos x="T2" y="T3"/>
                            </a:cxn>
                            <a:cxn ang="0">
                              <a:pos x="T4" y="T5"/>
                            </a:cxn>
                            <a:cxn ang="0">
                              <a:pos x="T6" y="T7"/>
                            </a:cxn>
                          </a:cxnLst>
                          <a:rect l="0" t="0" r="r" b="b"/>
                          <a:pathLst>
                            <a:path w="5630" h="11575">
                              <a:moveTo>
                                <a:pt x="0" y="0"/>
                              </a:moveTo>
                              <a:lnTo>
                                <a:pt x="0" y="11575"/>
                              </a:lnTo>
                              <a:lnTo>
                                <a:pt x="5630" y="0"/>
                              </a:lnTo>
                              <a:lnTo>
                                <a:pt x="0" y="0"/>
                              </a:lnTo>
                              <a:close/>
                            </a:path>
                          </a:pathLst>
                        </a:custGeom>
                        <a:solidFill>
                          <a:srgbClr val="53565A"/>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66FD1" id="Freeform 5" o:spid="_x0000_s1026" style="position:absolute;margin-left:-68.05pt;margin-top:-.05pt;width:262.35pt;height:53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5630,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" path="m,l,11575,5630,,,xe" fillcolor="#53565a" stroked="f">
                <v:path arrowok="t" o:connecttype="custom" o:connectlocs="0,0;0,6851665;3332027,0;0,0" o:connectangles="0,0,0,0"/>
                <w10:wrap anchory="page"/>
              </v:shape>
            </w:pict>
          </mc:Fallback>
        </mc:AlternateContent>
      </w:r>
      <w:r w:rsidRPr="00A42A9B">
        <w:t>Guidance</w:t>
      </w:r>
    </w:p>
    <w:p w14:paraId="3DCA6A93" w14:textId="374914E5" w:rsidR="00A42A9B" w:rsidRPr="00A42A9B" w:rsidRDefault="00A42A9B" w:rsidP="004661D4">
      <w:pPr>
        <w:pStyle w:val="Subtitle"/>
        <w:ind w:left="2880"/>
      </w:pPr>
      <w:r w:rsidRPr="00A42A9B">
        <w:t xml:space="preserve">supporting the Standing Directions </w:t>
      </w:r>
      <w:r w:rsidR="00780F7A">
        <w:t xml:space="preserve">2018 under the </w:t>
      </w:r>
      <w:r w:rsidR="00780F7A" w:rsidRPr="00780F7A">
        <w:rPr>
          <w:i/>
        </w:rPr>
        <w:t>Financial Management Act 1994</w:t>
      </w:r>
    </w:p>
    <w:p w14:paraId="5D84E742" w14:textId="77777777" w:rsidR="00B62F8F" w:rsidRDefault="00B62F8F" w:rsidP="00A42A9B">
      <w:pPr>
        <w:pStyle w:val="TertiaryTitle"/>
      </w:pPr>
    </w:p>
    <w:p w14:paraId="2DDE58A1" w14:textId="42C54138" w:rsidR="00E91D64" w:rsidRPr="00A42A9B" w:rsidRDefault="00E91D64" w:rsidP="004661D4">
      <w:pPr>
        <w:pStyle w:val="TertiaryTitle"/>
        <w:ind w:firstLine="720"/>
      </w:pPr>
      <w:r>
        <w:t>(</w:t>
      </w:r>
      <w:r w:rsidR="00C443E9">
        <w:t xml:space="preserve">revised </w:t>
      </w:r>
      <w:r w:rsidR="00BA5505">
        <w:t>4</w:t>
      </w:r>
      <w:r w:rsidR="007B3DA0">
        <w:t xml:space="preserve"> </w:t>
      </w:r>
      <w:r w:rsidR="001E1801">
        <w:t>September</w:t>
      </w:r>
      <w:r w:rsidR="007B3DA0">
        <w:t xml:space="preserve"> 2023</w:t>
      </w:r>
      <w:r>
        <w:t>)</w:t>
      </w:r>
    </w:p>
    <w:p w14:paraId="45FADF25" w14:textId="77777777" w:rsidR="00A42A9B" w:rsidRPr="0097649A" w:rsidRDefault="00A42A9B" w:rsidP="00A42A9B">
      <w:pPr>
        <w:rPr>
          <w:i/>
          <w:noProof/>
        </w:rPr>
      </w:pPr>
      <w:r>
        <w:rPr>
          <w:i/>
          <w:noProof/>
        </w:rPr>
        <w:t xml:space="preserve"> </w:t>
      </w:r>
    </w:p>
    <w:p w14:paraId="444F734C" w14:textId="77777777" w:rsidR="00A42A9B" w:rsidRDefault="00A42A9B">
      <w:pPr>
        <w:spacing w:before="0" w:after="200" w:line="276" w:lineRule="auto"/>
        <w:rPr>
          <w:b/>
          <w:color w:val="53565A"/>
          <w:sz w:val="60"/>
        </w:rPr>
      </w:pPr>
      <w:r>
        <w:br w:type="page"/>
      </w:r>
    </w:p>
    <w:p w14:paraId="3706F0D1" w14:textId="77777777" w:rsidR="00EB7747" w:rsidRDefault="00EB7747" w:rsidP="00EB7747">
      <w:pPr>
        <w:ind w:left="792"/>
      </w:pPr>
    </w:p>
    <w:p w14:paraId="20516356" w14:textId="77777777" w:rsidR="00EB7747" w:rsidRDefault="00EB7747" w:rsidP="00995ED6">
      <w:pPr>
        <w:spacing w:before="5200"/>
      </w:pPr>
    </w:p>
    <w:p w14:paraId="6D5C92D0" w14:textId="77777777" w:rsidR="00EB7747" w:rsidRPr="00E46801" w:rsidRDefault="00EB7747" w:rsidP="00995ED6">
      <w:pPr>
        <w:pStyle w:val="NormalTight"/>
        <w:ind w:right="1970"/>
      </w:pPr>
      <w:r w:rsidRPr="00E46801">
        <w:t>The Secretary</w:t>
      </w:r>
    </w:p>
    <w:p w14:paraId="137914B9" w14:textId="77777777" w:rsidR="00EB7747" w:rsidRPr="00E46801" w:rsidRDefault="00EB7747" w:rsidP="00995ED6">
      <w:pPr>
        <w:pStyle w:val="NormalTight"/>
        <w:ind w:right="1970"/>
      </w:pPr>
      <w:r w:rsidRPr="00E46801">
        <w:t>Department of Treasury and Finance</w:t>
      </w:r>
    </w:p>
    <w:p w14:paraId="271CCB0F" w14:textId="77777777" w:rsidR="00EB7747" w:rsidRPr="00E46801" w:rsidRDefault="00EB7747" w:rsidP="00995ED6">
      <w:pPr>
        <w:pStyle w:val="NormalTight"/>
        <w:ind w:right="1970"/>
      </w:pPr>
      <w:r w:rsidRPr="00E46801">
        <w:t>1 Treasury Place</w:t>
      </w:r>
    </w:p>
    <w:p w14:paraId="16A6CDBA" w14:textId="77777777" w:rsidR="00EB7747" w:rsidRPr="00E46801" w:rsidRDefault="00EB7747" w:rsidP="00995ED6">
      <w:pPr>
        <w:pStyle w:val="NormalTight"/>
        <w:ind w:right="1970"/>
      </w:pPr>
      <w:r w:rsidRPr="00E46801">
        <w:t>Melbourne Victoria 3002</w:t>
      </w:r>
    </w:p>
    <w:p w14:paraId="182F12CB" w14:textId="77777777" w:rsidR="00EB7747" w:rsidRPr="00E46801" w:rsidRDefault="00EB7747" w:rsidP="00995ED6">
      <w:pPr>
        <w:pStyle w:val="NormalTight"/>
        <w:ind w:right="1970"/>
      </w:pPr>
      <w:r w:rsidRPr="00E46801">
        <w:t>Australia</w:t>
      </w:r>
    </w:p>
    <w:p w14:paraId="60F0AE64" w14:textId="77777777" w:rsidR="00EB7747" w:rsidRPr="00E46801" w:rsidRDefault="00EB7747" w:rsidP="00995ED6">
      <w:pPr>
        <w:pStyle w:val="NormalTight"/>
        <w:ind w:right="1970"/>
      </w:pPr>
      <w:r w:rsidRPr="00E46801">
        <w:t>Telephone: +61 3 9651 5111</w:t>
      </w:r>
    </w:p>
    <w:p w14:paraId="0C5F1875" w14:textId="77777777" w:rsidR="00EB7747" w:rsidRPr="00E46801" w:rsidRDefault="00EB7747" w:rsidP="00995ED6">
      <w:pPr>
        <w:pStyle w:val="NormalTight"/>
        <w:ind w:right="1970"/>
      </w:pPr>
      <w:r w:rsidRPr="00E46801">
        <w:t xml:space="preserve">Facsimile: +61 3 9651 </w:t>
      </w:r>
      <w:r>
        <w:t>2062</w:t>
      </w:r>
    </w:p>
    <w:p w14:paraId="373A0A16" w14:textId="08739C0F" w:rsidR="00EB7747" w:rsidRPr="00E46801" w:rsidRDefault="00EB7747" w:rsidP="00995ED6">
      <w:pPr>
        <w:pStyle w:val="NormalTight"/>
        <w:ind w:right="1970"/>
      </w:pPr>
      <w:hyperlink r:id="rId13" w:history="1">
        <w:r w:rsidRPr="003100B4">
          <w:rPr>
            <w:rStyle w:val="Hyperlink"/>
          </w:rPr>
          <w:t>dtf.vic.gov.au</w:t>
        </w:r>
      </w:hyperlink>
    </w:p>
    <w:p w14:paraId="48A1AFB4" w14:textId="77777777" w:rsidR="00EB7747" w:rsidRPr="00E46801" w:rsidRDefault="00EB7747" w:rsidP="00995ED6">
      <w:pPr>
        <w:pStyle w:val="NormalTight"/>
        <w:ind w:right="1970"/>
      </w:pPr>
    </w:p>
    <w:p w14:paraId="7DDE71B1" w14:textId="77777777" w:rsidR="00EB7747" w:rsidRPr="00E46801" w:rsidRDefault="00EB7747" w:rsidP="00995ED6">
      <w:pPr>
        <w:pStyle w:val="NormalTight"/>
        <w:ind w:right="1970"/>
      </w:pPr>
      <w:r w:rsidRPr="00E46801">
        <w:t>Authorised by the Victorian Government</w:t>
      </w:r>
    </w:p>
    <w:p w14:paraId="59BC8351" w14:textId="77777777" w:rsidR="00EB7747" w:rsidRPr="00E46801" w:rsidRDefault="00EB7747" w:rsidP="00995ED6">
      <w:pPr>
        <w:pStyle w:val="NormalTight"/>
        <w:ind w:right="1970"/>
      </w:pPr>
      <w:r w:rsidRPr="00E46801">
        <w:t>1 Treasury Place, Melbourne, 3002</w:t>
      </w:r>
    </w:p>
    <w:p w14:paraId="3006A98C" w14:textId="77777777" w:rsidR="00EB7747" w:rsidRDefault="00EB7747" w:rsidP="00995ED6">
      <w:pPr>
        <w:pStyle w:val="NormalTight"/>
        <w:ind w:right="1970"/>
      </w:pPr>
    </w:p>
    <w:p w14:paraId="0AA321A6" w14:textId="426FE6E6" w:rsidR="00EB7747" w:rsidRPr="00891D32" w:rsidRDefault="001F5E2E" w:rsidP="00995ED6">
      <w:pPr>
        <w:ind w:right="1970"/>
        <w:rPr>
          <w:rFonts w:asciiTheme="minorHAnsi" w:hAnsiTheme="minorHAnsi" w:cstheme="minorHAnsi"/>
        </w:rPr>
      </w:pPr>
      <w:r>
        <w:rPr>
          <w:rFonts w:asciiTheme="minorHAnsi" w:hAnsiTheme="minorHAnsi" w:cstheme="minorHAnsi"/>
        </w:rPr>
        <w:t xml:space="preserve">© State of Victoria </w:t>
      </w:r>
      <w:r w:rsidR="00CA40FD">
        <w:rPr>
          <w:rFonts w:asciiTheme="minorHAnsi" w:hAnsiTheme="minorHAnsi" w:cstheme="minorHAnsi"/>
        </w:rPr>
        <w:t>202</w:t>
      </w:r>
      <w:r w:rsidR="004C0CB9">
        <w:rPr>
          <w:rFonts w:asciiTheme="minorHAnsi" w:hAnsiTheme="minorHAnsi" w:cstheme="minorHAnsi"/>
        </w:rPr>
        <w:t>3</w:t>
      </w:r>
    </w:p>
    <w:p w14:paraId="2F4EA337" w14:textId="77777777" w:rsidR="00EB7747" w:rsidRPr="00891D32" w:rsidRDefault="00EB7747" w:rsidP="00995ED6">
      <w:pPr>
        <w:ind w:right="1970"/>
        <w:rPr>
          <w:rFonts w:asciiTheme="minorHAnsi" w:hAnsiTheme="minorHAnsi" w:cstheme="minorHAnsi"/>
        </w:rPr>
      </w:pPr>
      <w:r>
        <w:rPr>
          <w:rFonts w:asciiTheme="minorHAnsi" w:hAnsiTheme="minorHAnsi" w:cstheme="minorHAnsi"/>
          <w:noProof/>
        </w:rPr>
        <w:drawing>
          <wp:inline distT="0" distB="0" distL="0" distR="0" wp14:anchorId="7A6F8B52" wp14:editId="59B235C2">
            <wp:extent cx="1117460" cy="390972"/>
            <wp:effectExtent l="0" t="0" r="698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91D32">
        <w:rPr>
          <w:rFonts w:asciiTheme="minorHAnsi" w:hAnsiTheme="minorHAnsi" w:cstheme="minorHAnsi"/>
        </w:rPr>
        <w:t xml:space="preserve"> </w:t>
      </w:r>
    </w:p>
    <w:p w14:paraId="76D83A83" w14:textId="69A96928" w:rsidR="00EB7747" w:rsidRPr="0075605B" w:rsidRDefault="00EB7747" w:rsidP="00995ED6">
      <w:pPr>
        <w:pStyle w:val="NormalTight"/>
      </w:pPr>
      <w:r w:rsidRPr="0075605B">
        <w:t>You are free to re</w:t>
      </w:r>
      <w:r w:rsidR="00D62B6D">
        <w:noBreakHyphen/>
      </w:r>
      <w:r w:rsidRPr="0075605B">
        <w:t xml:space="preserve">use this work under a </w:t>
      </w:r>
      <w:hyperlink r:id="rId15" w:history="1">
        <w:r w:rsidRPr="0075605B">
          <w:rPr>
            <w:rStyle w:val="Hyperlink"/>
          </w:rPr>
          <w:t>Creative Commons Attribution 4.0 licence</w:t>
        </w:r>
      </w:hyperlink>
      <w:r w:rsidRPr="0075605B">
        <w:rPr>
          <w:rStyle w:val="Hyperlink"/>
        </w:rPr>
        <w:t>,</w:t>
      </w:r>
      <w:r w:rsidRPr="0075605B">
        <w:t xml:space="preserve"> provided you credit the State of Victoria (Department of Treasury and Finance) as author, </w:t>
      </w:r>
      <w:r w:rsidRPr="0075605B">
        <w:rPr>
          <w:lang w:eastAsia="en-US"/>
        </w:rPr>
        <w:t>indicate if changes were made and comply with the other licence terms</w:t>
      </w:r>
      <w:r w:rsidRPr="0075605B">
        <w:t>. The licence does not apply to any branding, including Government logos.</w:t>
      </w:r>
    </w:p>
    <w:p w14:paraId="6049A302" w14:textId="23341354" w:rsidR="00EB7747" w:rsidRPr="00891D32" w:rsidRDefault="00EB7747" w:rsidP="00995ED6">
      <w:pPr>
        <w:ind w:right="1970"/>
        <w:rPr>
          <w:rFonts w:asciiTheme="minorHAnsi" w:hAnsiTheme="minorHAnsi" w:cstheme="minorHAnsi"/>
        </w:rPr>
      </w:pPr>
      <w:r w:rsidRPr="00891D32">
        <w:rPr>
          <w:rFonts w:asciiTheme="minorHAnsi" w:hAnsiTheme="minorHAnsi" w:cstheme="minorHAnsi"/>
        </w:rPr>
        <w:t xml:space="preserve">Copyright queries may be directed to </w:t>
      </w:r>
      <w:hyperlink r:id="rId16" w:history="1">
        <w:r w:rsidRPr="00217B24">
          <w:rPr>
            <w:rStyle w:val="Hyperlink"/>
            <w:rFonts w:asciiTheme="minorHAnsi" w:hAnsiTheme="minorHAnsi" w:cstheme="minorHAnsi"/>
          </w:rPr>
          <w:t>IPpolicy@dtf.vic.gov.au</w:t>
        </w:r>
      </w:hyperlink>
    </w:p>
    <w:p w14:paraId="03FF6177" w14:textId="77777777" w:rsidR="00EB7747" w:rsidRDefault="00EB7747" w:rsidP="00995ED6">
      <w:pPr>
        <w:pStyle w:val="NormalTight"/>
        <w:ind w:right="1970"/>
      </w:pPr>
    </w:p>
    <w:p w14:paraId="774ACE9F" w14:textId="77777777" w:rsidR="00EB7747" w:rsidRPr="00CE6D7B" w:rsidRDefault="00693946" w:rsidP="00995ED6">
      <w:pPr>
        <w:pStyle w:val="NormalTight"/>
        <w:ind w:right="1970"/>
      </w:pPr>
      <w:r w:rsidRPr="00CE6D7B">
        <w:t>ISBN 978</w:t>
      </w:r>
      <w:r w:rsidR="00D62B6D">
        <w:noBreakHyphen/>
      </w:r>
      <w:r w:rsidRPr="00CE6D7B">
        <w:t>1</w:t>
      </w:r>
      <w:r w:rsidR="00D62B6D">
        <w:noBreakHyphen/>
      </w:r>
      <w:r w:rsidRPr="00CE6D7B">
        <w:t>922222</w:t>
      </w:r>
      <w:r w:rsidR="00D62B6D">
        <w:noBreakHyphen/>
      </w:r>
      <w:r w:rsidRPr="00CE6D7B">
        <w:t>75</w:t>
      </w:r>
      <w:r w:rsidR="00D62B6D">
        <w:noBreakHyphen/>
      </w:r>
      <w:r w:rsidRPr="00CE6D7B">
        <w:t>6 (pdf/online)</w:t>
      </w:r>
    </w:p>
    <w:p w14:paraId="0BE5930A" w14:textId="0D81A99F" w:rsidR="00EB7747" w:rsidRPr="00E46801" w:rsidRDefault="00A84E0A" w:rsidP="00995ED6">
      <w:pPr>
        <w:pStyle w:val="NormalTight"/>
        <w:ind w:right="1970"/>
      </w:pPr>
      <w:r>
        <w:t>Originally p</w:t>
      </w:r>
      <w:r w:rsidR="00EB7747" w:rsidRPr="00CE6D7B">
        <w:t xml:space="preserve">ublished </w:t>
      </w:r>
      <w:r w:rsidR="00B257A5">
        <w:t>August</w:t>
      </w:r>
      <w:r w:rsidR="00EB7747" w:rsidRPr="00CE6D7B">
        <w:t xml:space="preserve"> 2016</w:t>
      </w:r>
    </w:p>
    <w:p w14:paraId="0146A20E" w14:textId="77777777" w:rsidR="00EB7747" w:rsidRDefault="00EB7747" w:rsidP="00995ED6">
      <w:pPr>
        <w:pStyle w:val="NormalTight"/>
        <w:ind w:right="1970"/>
      </w:pPr>
    </w:p>
    <w:p w14:paraId="0DC3A823" w14:textId="1FD6314B" w:rsidR="00EB7747" w:rsidRPr="00B8202F" w:rsidRDefault="00EB7747" w:rsidP="00995ED6">
      <w:pPr>
        <w:pStyle w:val="NormalTight"/>
        <w:ind w:right="1970"/>
      </w:pPr>
      <w:r>
        <w:t xml:space="preserve">If you would like to receive this publication in an accessible format please </w:t>
      </w:r>
      <w:r w:rsidRPr="00B8202F">
        <w:t xml:space="preserve">email </w:t>
      </w:r>
      <w:hyperlink r:id="rId17" w:history="1">
        <w:r w:rsidRPr="003100B4">
          <w:rPr>
            <w:rStyle w:val="Hyperlink"/>
          </w:rPr>
          <w:t>information@dtf.vic.gov.au</w:t>
        </w:r>
      </w:hyperlink>
      <w:r>
        <w:t xml:space="preserve"> </w:t>
      </w:r>
    </w:p>
    <w:p w14:paraId="26161146" w14:textId="772DD16D" w:rsidR="00EB7747" w:rsidRPr="00B8202F" w:rsidRDefault="00EB7747" w:rsidP="00995ED6">
      <w:pPr>
        <w:pStyle w:val="NormalTight"/>
        <w:ind w:right="1970"/>
      </w:pPr>
      <w:r w:rsidRPr="00B8202F">
        <w:t xml:space="preserve">This document is also available in </w:t>
      </w:r>
      <w:r>
        <w:t xml:space="preserve">Word and </w:t>
      </w:r>
      <w:r w:rsidRPr="00B8202F">
        <w:t xml:space="preserve">PDF format at </w:t>
      </w:r>
      <w:hyperlink r:id="rId18" w:history="1">
        <w:r w:rsidRPr="00844722">
          <w:rPr>
            <w:rStyle w:val="Hyperlink"/>
          </w:rPr>
          <w:t>dtf.vic.gov.au</w:t>
        </w:r>
      </w:hyperlink>
    </w:p>
    <w:p w14:paraId="37A15F25" w14:textId="77777777" w:rsidR="00EB7747" w:rsidRDefault="00EB7747" w:rsidP="00975E2F"/>
    <w:p w14:paraId="44CBCCD2" w14:textId="77777777" w:rsidR="00975E2F" w:rsidRDefault="00975E2F" w:rsidP="00011FE1">
      <w:pPr>
        <w:pStyle w:val="GuidanceTitle"/>
        <w:sectPr w:rsidR="00975E2F" w:rsidSect="00C1102B">
          <w:headerReference w:type="even" r:id="rId19"/>
          <w:headerReference w:type="default" r:id="rId20"/>
          <w:footerReference w:type="even" r:id="rId21"/>
          <w:footerReference w:type="default" r:id="rId22"/>
          <w:headerReference w:type="first" r:id="rId23"/>
          <w:footerReference w:type="first" r:id="rId24"/>
          <w:pgSz w:w="11906" w:h="16838"/>
          <w:pgMar w:top="1440" w:right="2608" w:bottom="1440" w:left="1009" w:header="709" w:footer="391" w:gutter="0"/>
          <w:cols w:space="708"/>
          <w:titlePg/>
          <w:docGrid w:linePitch="360"/>
        </w:sectPr>
      </w:pPr>
    </w:p>
    <w:p w14:paraId="597D6343" w14:textId="77777777" w:rsidR="00E7501B" w:rsidRDefault="00E7501B" w:rsidP="00011FE1">
      <w:pPr>
        <w:pStyle w:val="GuidanceTitle"/>
      </w:pPr>
      <w:bookmarkStart w:id="0" w:name="_Toc441672081"/>
      <w:r>
        <w:lastRenderedPageBreak/>
        <w:t>Guidance</w:t>
      </w:r>
      <w:bookmarkEnd w:id="0"/>
      <w:r w:rsidR="0089196D">
        <w:t xml:space="preserve"> </w:t>
      </w:r>
    </w:p>
    <w:p w14:paraId="3A55EC6A" w14:textId="69A57E60" w:rsidR="00E7501B" w:rsidRPr="00924EDE" w:rsidRDefault="00FA3B67" w:rsidP="00E7501B">
      <w:pPr>
        <w:rPr>
          <w:b/>
        </w:rPr>
      </w:pPr>
      <w:r w:rsidRPr="00924EDE">
        <w:rPr>
          <w:b/>
        </w:rPr>
        <w:t xml:space="preserve">This </w:t>
      </w:r>
      <w:r w:rsidR="00D43142" w:rsidRPr="00924EDE">
        <w:rPr>
          <w:b/>
        </w:rPr>
        <w:t>Guidance</w:t>
      </w:r>
      <w:r w:rsidR="00E7501B" w:rsidRPr="00924EDE">
        <w:rPr>
          <w:b/>
        </w:rPr>
        <w:t xml:space="preserve"> </w:t>
      </w:r>
      <w:r w:rsidRPr="00924EDE">
        <w:rPr>
          <w:b/>
        </w:rPr>
        <w:t xml:space="preserve">is </w:t>
      </w:r>
      <w:r w:rsidR="00E7501B" w:rsidRPr="00924EDE">
        <w:rPr>
          <w:b/>
        </w:rPr>
        <w:t>issued by the Department of Treasury and Finance to</w:t>
      </w:r>
      <w:r w:rsidR="009F61C7" w:rsidRPr="00924EDE">
        <w:rPr>
          <w:b/>
        </w:rPr>
        <w:t xml:space="preserve"> provide further information to</w:t>
      </w:r>
      <w:r w:rsidR="00E7501B" w:rsidRPr="00924EDE">
        <w:rPr>
          <w:b/>
        </w:rPr>
        <w:t xml:space="preserve"> support</w:t>
      </w:r>
      <w:r w:rsidR="00453706" w:rsidRPr="00924EDE">
        <w:rPr>
          <w:b/>
        </w:rPr>
        <w:t xml:space="preserve"> A</w:t>
      </w:r>
      <w:r w:rsidR="009F61C7" w:rsidRPr="00924EDE">
        <w:rPr>
          <w:b/>
        </w:rPr>
        <w:t>gencies to implement</w:t>
      </w:r>
      <w:r w:rsidR="00E7501B" w:rsidRPr="00924EDE">
        <w:rPr>
          <w:b/>
        </w:rPr>
        <w:t xml:space="preserve"> the Standing Directions </w:t>
      </w:r>
      <w:r w:rsidR="00780F7A" w:rsidRPr="00924EDE">
        <w:rPr>
          <w:b/>
        </w:rPr>
        <w:t xml:space="preserve">under the </w:t>
      </w:r>
      <w:r w:rsidR="00780F7A" w:rsidRPr="00924EDE">
        <w:rPr>
          <w:b/>
          <w:i/>
        </w:rPr>
        <w:t>Financial Management Act 1994</w:t>
      </w:r>
      <w:r w:rsidR="009F61C7" w:rsidRPr="00924EDE">
        <w:rPr>
          <w:b/>
        </w:rPr>
        <w:t xml:space="preserve"> (Directions)</w:t>
      </w:r>
      <w:r w:rsidR="00021760" w:rsidRPr="00924EDE">
        <w:rPr>
          <w:b/>
        </w:rPr>
        <w:t xml:space="preserve"> and </w:t>
      </w:r>
      <w:r w:rsidR="00492552" w:rsidRPr="00924EDE">
        <w:rPr>
          <w:b/>
        </w:rPr>
        <w:t>Instructions.</w:t>
      </w:r>
    </w:p>
    <w:p w14:paraId="0D5B67A4" w14:textId="79F87FCB" w:rsidR="00E7501B" w:rsidRDefault="00E7501B" w:rsidP="00E7501B">
      <w:r>
        <w:t xml:space="preserve">Guidance is </w:t>
      </w:r>
      <w:r w:rsidRPr="00E7501B">
        <w:rPr>
          <w:b/>
        </w:rPr>
        <w:t>not mandatory</w:t>
      </w:r>
      <w:r>
        <w:t xml:space="preserve"> and is for reference only.</w:t>
      </w:r>
    </w:p>
    <w:p w14:paraId="06A3BCD9" w14:textId="4D4B87AE" w:rsidR="009F61C7" w:rsidRDefault="009F61C7" w:rsidP="009F61C7">
      <w:r>
        <w:t>The numbering of the Guidance corresponds with the associated Directions.</w:t>
      </w:r>
    </w:p>
    <w:p w14:paraId="52908222" w14:textId="7A6C5F50" w:rsidR="00A85F76" w:rsidRDefault="00A85F76" w:rsidP="009F61C7">
      <w:r w:rsidRPr="00A85F76">
        <w:t xml:space="preserve">Queries may be directed to </w:t>
      </w:r>
      <w:hyperlink r:id="rId25" w:history="1">
        <w:r w:rsidRPr="00A85F76">
          <w:rPr>
            <w:rStyle w:val="Hyperlink"/>
          </w:rPr>
          <w:t>Standing.Directions@dtf.vic.gov.au.</w:t>
        </w:r>
      </w:hyperlink>
    </w:p>
    <w:p w14:paraId="0CDD4020" w14:textId="77777777" w:rsidR="009F61C7" w:rsidRPr="004661D4" w:rsidRDefault="009F61C7" w:rsidP="009F61C7">
      <w:r w:rsidRPr="004661D4">
        <w:t>The Guidance is as follows:</w:t>
      </w:r>
    </w:p>
    <w:tbl>
      <w:tblPr>
        <w:tblStyle w:val="LightShading"/>
        <w:tblW w:w="0" w:type="auto"/>
        <w:shd w:val="clear" w:color="auto" w:fill="D9D9D9" w:themeFill="background1" w:themeFillShade="D9"/>
        <w:tblLook w:val="04A0" w:firstRow="1" w:lastRow="0" w:firstColumn="1" w:lastColumn="0" w:noHBand="0" w:noVBand="1"/>
      </w:tblPr>
      <w:tblGrid>
        <w:gridCol w:w="2080"/>
        <w:gridCol w:w="6741"/>
        <w:gridCol w:w="1011"/>
      </w:tblGrid>
      <w:tr w:rsidR="00D43142" w:rsidRPr="00D64424" w14:paraId="376CE1DB" w14:textId="77777777" w:rsidTr="008E3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1EF1C313" w14:textId="77777777" w:rsidR="00D43142" w:rsidRPr="004661D4" w:rsidRDefault="00D43142" w:rsidP="00BC35A1">
            <w:pPr>
              <w:spacing w:before="60" w:after="60"/>
            </w:pPr>
            <w:r w:rsidRPr="004661D4">
              <w:t>Guidance</w:t>
            </w:r>
          </w:p>
        </w:tc>
        <w:tc>
          <w:tcPr>
            <w:tcW w:w="6804" w:type="dxa"/>
            <w:shd w:val="clear" w:color="auto" w:fill="F2F2F2" w:themeFill="background1" w:themeFillShade="F2"/>
          </w:tcPr>
          <w:p w14:paraId="3BD57343" w14:textId="77777777" w:rsidR="00D43142" w:rsidRPr="004661D4" w:rsidRDefault="00D43142" w:rsidP="00BC35A1">
            <w:pPr>
              <w:spacing w:before="60" w:after="60"/>
              <w:cnfStyle w:val="100000000000" w:firstRow="1" w:lastRow="0" w:firstColumn="0" w:lastColumn="0" w:oddVBand="0" w:evenVBand="0" w:oddHBand="0" w:evenHBand="0" w:firstRowFirstColumn="0" w:firstRowLastColumn="0" w:lastRowFirstColumn="0" w:lastRowLastColumn="0"/>
              <w:rPr>
                <w:bCs w:val="0"/>
              </w:rPr>
            </w:pPr>
            <w:r w:rsidRPr="004661D4">
              <w:t>Title</w:t>
            </w:r>
          </w:p>
        </w:tc>
        <w:tc>
          <w:tcPr>
            <w:tcW w:w="1017" w:type="dxa"/>
            <w:shd w:val="clear" w:color="auto" w:fill="F2F2F2" w:themeFill="background1" w:themeFillShade="F2"/>
          </w:tcPr>
          <w:p w14:paraId="06B3B67F" w14:textId="77777777" w:rsidR="00D43142" w:rsidRPr="004661D4" w:rsidRDefault="00D43142" w:rsidP="00BC35A1">
            <w:pPr>
              <w:spacing w:before="60" w:after="60"/>
              <w:jc w:val="right"/>
              <w:cnfStyle w:val="100000000000" w:firstRow="1" w:lastRow="0" w:firstColumn="0" w:lastColumn="0" w:oddVBand="0" w:evenVBand="0" w:oddHBand="0" w:evenHBand="0" w:firstRowFirstColumn="0" w:firstRowLastColumn="0" w:lastRowFirstColumn="0" w:lastRowLastColumn="0"/>
              <w:rPr>
                <w:bCs w:val="0"/>
              </w:rPr>
            </w:pPr>
            <w:r w:rsidRPr="004661D4">
              <w:t>Page</w:t>
            </w:r>
          </w:p>
        </w:tc>
      </w:tr>
      <w:tr w:rsidR="00B229EE" w:rsidRPr="00D64424" w14:paraId="3EFCAD77"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67215F7B" w14:textId="7AA420E0" w:rsidR="00B229EE" w:rsidRPr="004661D4" w:rsidRDefault="004077F9" w:rsidP="00BC35A1">
            <w:pPr>
              <w:spacing w:before="60" w:after="60"/>
              <w:rPr>
                <w:b/>
              </w:rPr>
            </w:pPr>
            <w:r w:rsidRPr="004661D4">
              <w:rPr>
                <w:b/>
              </w:rPr>
              <w:fldChar w:fldCharType="begin"/>
            </w:r>
            <w:r w:rsidRPr="004661D4">
              <w:rPr>
                <w:b/>
              </w:rPr>
              <w:instrText xml:space="preserve"> REF Guidance_1_5 \h  \* MERGEFORMAT </w:instrText>
            </w:r>
            <w:r w:rsidRPr="004661D4">
              <w:rPr>
                <w:b/>
              </w:rPr>
            </w:r>
            <w:r w:rsidRPr="004661D4">
              <w:rPr>
                <w:b/>
              </w:rPr>
              <w:fldChar w:fldCharType="separate"/>
            </w:r>
            <w:r w:rsidR="00D44155" w:rsidRPr="00D44155">
              <w:rPr>
                <w:b/>
              </w:rPr>
              <w:t>Guidance 1.5</w:t>
            </w:r>
            <w:r w:rsidRPr="004661D4">
              <w:rPr>
                <w:b/>
              </w:rPr>
              <w:fldChar w:fldCharType="end"/>
            </w:r>
          </w:p>
        </w:tc>
        <w:tc>
          <w:tcPr>
            <w:tcW w:w="6804" w:type="dxa"/>
            <w:shd w:val="clear" w:color="auto" w:fill="auto"/>
          </w:tcPr>
          <w:p w14:paraId="0658D21F" w14:textId="77777777" w:rsidR="00B229EE" w:rsidRPr="004661D4" w:rsidRDefault="00B229EE" w:rsidP="00BC35A1">
            <w:pPr>
              <w:spacing w:before="60" w:after="60"/>
              <w:cnfStyle w:val="000000100000" w:firstRow="0" w:lastRow="0" w:firstColumn="0" w:lastColumn="0" w:oddVBand="0" w:evenVBand="0" w:oddHBand="1" w:evenHBand="0" w:firstRowFirstColumn="0" w:firstRowLastColumn="0" w:lastRowFirstColumn="0" w:lastRowLastColumn="0"/>
              <w:rPr>
                <w:bCs/>
              </w:rPr>
            </w:pPr>
            <w:r w:rsidRPr="004661D4">
              <w:rPr>
                <w:bCs/>
              </w:rPr>
              <w:t>Exemptions</w:t>
            </w:r>
          </w:p>
        </w:tc>
        <w:tc>
          <w:tcPr>
            <w:tcW w:w="1017" w:type="dxa"/>
          </w:tcPr>
          <w:p w14:paraId="188199F9" w14:textId="62C29E78" w:rsidR="00B229EE" w:rsidRPr="004661D4" w:rsidRDefault="00047052" w:rsidP="00BC35A1">
            <w:pPr>
              <w:spacing w:before="60" w:after="60"/>
              <w:jc w:val="right"/>
              <w:cnfStyle w:val="000000100000" w:firstRow="0" w:lastRow="0" w:firstColumn="0" w:lastColumn="0" w:oddVBand="0" w:evenVBand="0" w:oddHBand="1" w:evenHBand="0" w:firstRowFirstColumn="0" w:firstRowLastColumn="0" w:lastRowFirstColumn="0" w:lastRowLastColumn="0"/>
              <w:rPr>
                <w:bCs/>
              </w:rPr>
            </w:pPr>
            <w:r>
              <w:rPr>
                <w:bCs/>
              </w:rPr>
              <w:t>4</w:t>
            </w:r>
          </w:p>
        </w:tc>
      </w:tr>
      <w:tr w:rsidR="00D43142" w:rsidRPr="00D64424" w14:paraId="439EB5CB"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7E97770F" w14:textId="766199A8" w:rsidR="00D43142" w:rsidRPr="004661D4" w:rsidRDefault="00311574" w:rsidP="00BC35A1">
            <w:pPr>
              <w:spacing w:before="60" w:after="60"/>
              <w:rPr>
                <w:b/>
              </w:rPr>
            </w:pPr>
            <w:r w:rsidRPr="004661D4">
              <w:rPr>
                <w:b/>
              </w:rPr>
              <w:fldChar w:fldCharType="begin"/>
            </w:r>
            <w:r w:rsidRPr="004661D4">
              <w:rPr>
                <w:b/>
              </w:rPr>
              <w:instrText xml:space="preserve"> REF Guidance_1_6 \h </w:instrText>
            </w:r>
            <w:r w:rsidR="007F577D" w:rsidRPr="004661D4">
              <w:rPr>
                <w:b/>
              </w:rPr>
              <w:instrText xml:space="preserve"> \* MERGEFORMAT </w:instrText>
            </w:r>
            <w:r w:rsidRPr="004661D4">
              <w:rPr>
                <w:b/>
              </w:rPr>
            </w:r>
            <w:r w:rsidRPr="004661D4">
              <w:rPr>
                <w:b/>
              </w:rPr>
              <w:fldChar w:fldCharType="separate"/>
            </w:r>
            <w:r w:rsidR="00D44155" w:rsidRPr="00D44155">
              <w:rPr>
                <w:b/>
              </w:rPr>
              <w:t>Guidance 1.6</w:t>
            </w:r>
            <w:r w:rsidRPr="004661D4">
              <w:rPr>
                <w:b/>
              </w:rPr>
              <w:fldChar w:fldCharType="end"/>
            </w:r>
          </w:p>
        </w:tc>
        <w:tc>
          <w:tcPr>
            <w:tcW w:w="6804" w:type="dxa"/>
            <w:shd w:val="clear" w:color="auto" w:fill="auto"/>
          </w:tcPr>
          <w:p w14:paraId="13BF6992" w14:textId="77777777" w:rsidR="00D43142" w:rsidRPr="004661D4" w:rsidRDefault="00B229EE"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rPr>
                <w:bCs/>
              </w:rPr>
              <w:t>Glossary of terms</w:t>
            </w:r>
          </w:p>
        </w:tc>
        <w:tc>
          <w:tcPr>
            <w:tcW w:w="1017" w:type="dxa"/>
          </w:tcPr>
          <w:p w14:paraId="3141C7E7" w14:textId="5F4656C8" w:rsidR="00D43142" w:rsidRPr="004661D4" w:rsidRDefault="00770875" w:rsidP="00BC35A1">
            <w:pPr>
              <w:spacing w:before="60" w:after="60"/>
              <w:jc w:val="right"/>
              <w:cnfStyle w:val="000000010000" w:firstRow="0" w:lastRow="0" w:firstColumn="0" w:lastColumn="0" w:oddVBand="0" w:evenVBand="0" w:oddHBand="0" w:evenHBand="1" w:firstRowFirstColumn="0" w:firstRowLastColumn="0" w:lastRowFirstColumn="0" w:lastRowLastColumn="0"/>
              <w:rPr>
                <w:bCs/>
              </w:rPr>
            </w:pPr>
            <w:r>
              <w:rPr>
                <w:bCs/>
              </w:rPr>
              <w:t>8</w:t>
            </w:r>
          </w:p>
        </w:tc>
      </w:tr>
      <w:tr w:rsidR="00B229EE" w:rsidRPr="00D64424" w14:paraId="23DBD23F"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3AB11486" w14:textId="3A880E63" w:rsidR="00B229EE" w:rsidRPr="004661D4" w:rsidRDefault="00311574" w:rsidP="00BC35A1">
            <w:pPr>
              <w:spacing w:before="60" w:after="60"/>
              <w:rPr>
                <w:b/>
              </w:rPr>
            </w:pPr>
            <w:r w:rsidRPr="004661D4">
              <w:rPr>
                <w:b/>
              </w:rPr>
              <w:fldChar w:fldCharType="begin"/>
            </w:r>
            <w:r w:rsidRPr="004661D4">
              <w:rPr>
                <w:b/>
              </w:rPr>
              <w:instrText xml:space="preserve"> REF Guidance_2_3_4 \h </w:instrText>
            </w:r>
            <w:r w:rsidR="007F577D" w:rsidRPr="004661D4">
              <w:rPr>
                <w:b/>
              </w:rPr>
              <w:instrText xml:space="preserve"> \* MERGEFORMAT </w:instrText>
            </w:r>
            <w:r w:rsidRPr="004661D4">
              <w:rPr>
                <w:b/>
              </w:rPr>
            </w:r>
            <w:r w:rsidRPr="004661D4">
              <w:rPr>
                <w:b/>
              </w:rPr>
              <w:fldChar w:fldCharType="separate"/>
            </w:r>
            <w:r w:rsidR="00D44155" w:rsidRPr="00D44155">
              <w:rPr>
                <w:b/>
              </w:rPr>
              <w:t>Guidance 2.3.4</w:t>
            </w:r>
            <w:r w:rsidRPr="004661D4">
              <w:rPr>
                <w:b/>
              </w:rPr>
              <w:fldChar w:fldCharType="end"/>
            </w:r>
          </w:p>
        </w:tc>
        <w:tc>
          <w:tcPr>
            <w:tcW w:w="6804" w:type="dxa"/>
            <w:shd w:val="clear" w:color="auto" w:fill="auto"/>
          </w:tcPr>
          <w:p w14:paraId="366D221C" w14:textId="77777777" w:rsidR="00B229EE" w:rsidRPr="004661D4" w:rsidRDefault="00B229EE" w:rsidP="00BC35A1">
            <w:pPr>
              <w:spacing w:before="60" w:after="60"/>
              <w:cnfStyle w:val="000000100000" w:firstRow="0" w:lastRow="0" w:firstColumn="0" w:lastColumn="0" w:oddVBand="0" w:evenVBand="0" w:oddHBand="1" w:evenHBand="0" w:firstRowFirstColumn="0" w:firstRowLastColumn="0" w:lastRowFirstColumn="0" w:lastRowLastColumn="0"/>
            </w:pPr>
            <w:r w:rsidRPr="004661D4">
              <w:t>Portfolio relationship</w:t>
            </w:r>
          </w:p>
        </w:tc>
        <w:tc>
          <w:tcPr>
            <w:tcW w:w="1017" w:type="dxa"/>
          </w:tcPr>
          <w:p w14:paraId="13C26650" w14:textId="287C13CB" w:rsidR="00B229EE" w:rsidRPr="004661D4" w:rsidRDefault="00770875" w:rsidP="00BC35A1">
            <w:pPr>
              <w:spacing w:before="60" w:after="60"/>
              <w:jc w:val="right"/>
              <w:cnfStyle w:val="000000100000" w:firstRow="0" w:lastRow="0" w:firstColumn="0" w:lastColumn="0" w:oddVBand="0" w:evenVBand="0" w:oddHBand="1" w:evenHBand="0" w:firstRowFirstColumn="0" w:firstRowLastColumn="0" w:lastRowFirstColumn="0" w:lastRowLastColumn="0"/>
            </w:pPr>
            <w:r>
              <w:t>12</w:t>
            </w:r>
          </w:p>
        </w:tc>
      </w:tr>
      <w:tr w:rsidR="009667D8" w:rsidRPr="00D64424" w14:paraId="25E1A569"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431D83CB" w14:textId="66A47AC7" w:rsidR="009667D8" w:rsidRPr="004661D4" w:rsidRDefault="00311574" w:rsidP="00BC35A1">
            <w:pPr>
              <w:spacing w:before="60" w:after="60"/>
              <w:rPr>
                <w:b/>
              </w:rPr>
            </w:pPr>
            <w:r w:rsidRPr="004661D4">
              <w:rPr>
                <w:b/>
              </w:rPr>
              <w:fldChar w:fldCharType="begin"/>
            </w:r>
            <w:r w:rsidRPr="004661D4">
              <w:rPr>
                <w:b/>
              </w:rPr>
              <w:instrText xml:space="preserve"> REF Guidance_2_3_5 \h </w:instrText>
            </w:r>
            <w:r w:rsidR="007F577D" w:rsidRPr="004661D4">
              <w:rPr>
                <w:b/>
              </w:rPr>
              <w:instrText xml:space="preserve"> \* MERGEFORMAT </w:instrText>
            </w:r>
            <w:r w:rsidRPr="004661D4">
              <w:rPr>
                <w:b/>
              </w:rPr>
            </w:r>
            <w:r w:rsidRPr="004661D4">
              <w:rPr>
                <w:b/>
              </w:rPr>
              <w:fldChar w:fldCharType="separate"/>
            </w:r>
            <w:r w:rsidR="00D44155" w:rsidRPr="00D44155">
              <w:rPr>
                <w:b/>
              </w:rPr>
              <w:t>Guidance 2.3.5</w:t>
            </w:r>
            <w:r w:rsidRPr="004661D4">
              <w:rPr>
                <w:b/>
              </w:rPr>
              <w:fldChar w:fldCharType="end"/>
            </w:r>
          </w:p>
        </w:tc>
        <w:tc>
          <w:tcPr>
            <w:tcW w:w="6804" w:type="dxa"/>
            <w:shd w:val="clear" w:color="auto" w:fill="auto"/>
          </w:tcPr>
          <w:p w14:paraId="5E55D278" w14:textId="77777777" w:rsidR="009667D8" w:rsidRPr="004661D4" w:rsidRDefault="009667D8"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Responsibility to establish requirements for excluded entities</w:t>
            </w:r>
          </w:p>
        </w:tc>
        <w:tc>
          <w:tcPr>
            <w:tcW w:w="1017" w:type="dxa"/>
          </w:tcPr>
          <w:p w14:paraId="1D7829A0" w14:textId="3B10241E" w:rsidR="009667D8" w:rsidRPr="004661D4" w:rsidRDefault="00770875" w:rsidP="00BC35A1">
            <w:pPr>
              <w:spacing w:before="60" w:after="60"/>
              <w:jc w:val="right"/>
              <w:cnfStyle w:val="000000010000" w:firstRow="0" w:lastRow="0" w:firstColumn="0" w:lastColumn="0" w:oddVBand="0" w:evenVBand="0" w:oddHBand="0" w:evenHBand="1" w:firstRowFirstColumn="0" w:firstRowLastColumn="0" w:lastRowFirstColumn="0" w:lastRowLastColumn="0"/>
            </w:pPr>
            <w:r>
              <w:t>16</w:t>
            </w:r>
          </w:p>
        </w:tc>
      </w:tr>
      <w:tr w:rsidR="00B229EE" w:rsidRPr="00D64424" w14:paraId="5F6C1E0A"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5C936F28" w14:textId="0F29F3C3" w:rsidR="00B229EE" w:rsidRPr="004661D4" w:rsidRDefault="00311574" w:rsidP="00BC35A1">
            <w:pPr>
              <w:spacing w:before="60" w:after="60"/>
              <w:rPr>
                <w:b/>
              </w:rPr>
            </w:pPr>
            <w:r w:rsidRPr="004661D4">
              <w:rPr>
                <w:b/>
              </w:rPr>
              <w:fldChar w:fldCharType="begin"/>
            </w:r>
            <w:r w:rsidRPr="004661D4">
              <w:rPr>
                <w:b/>
              </w:rPr>
              <w:instrText xml:space="preserve"> REF Guidance_2_4 \h </w:instrText>
            </w:r>
            <w:r w:rsidR="007F577D" w:rsidRPr="004661D4">
              <w:rPr>
                <w:b/>
              </w:rPr>
              <w:instrText xml:space="preserve"> \* MERGEFORMAT </w:instrText>
            </w:r>
            <w:r w:rsidRPr="004661D4">
              <w:rPr>
                <w:b/>
              </w:rPr>
            </w:r>
            <w:r w:rsidRPr="004661D4">
              <w:rPr>
                <w:b/>
              </w:rPr>
              <w:fldChar w:fldCharType="separate"/>
            </w:r>
            <w:r w:rsidR="00D44155" w:rsidRPr="00D44155">
              <w:rPr>
                <w:b/>
              </w:rPr>
              <w:t xml:space="preserve">Guidance 2.4 </w:t>
            </w:r>
            <w:r w:rsidRPr="004661D4">
              <w:rPr>
                <w:b/>
              </w:rPr>
              <w:fldChar w:fldCharType="end"/>
            </w:r>
          </w:p>
        </w:tc>
        <w:tc>
          <w:tcPr>
            <w:tcW w:w="6804" w:type="dxa"/>
            <w:shd w:val="clear" w:color="auto" w:fill="auto"/>
          </w:tcPr>
          <w:p w14:paraId="1F1C2C59" w14:textId="77777777" w:rsidR="00B229EE" w:rsidRPr="004661D4" w:rsidRDefault="00B229EE" w:rsidP="00BC35A1">
            <w:pPr>
              <w:spacing w:before="60" w:after="60"/>
              <w:cnfStyle w:val="000000100000" w:firstRow="0" w:lastRow="0" w:firstColumn="0" w:lastColumn="0" w:oddVBand="0" w:evenVBand="0" w:oddHBand="1" w:evenHBand="0" w:firstRowFirstColumn="0" w:firstRowLastColumn="0" w:lastRowFirstColumn="0" w:lastRowLastColumn="0"/>
            </w:pPr>
            <w:r w:rsidRPr="004661D4">
              <w:t>Chief Finance Officer</w:t>
            </w:r>
          </w:p>
        </w:tc>
        <w:tc>
          <w:tcPr>
            <w:tcW w:w="1017" w:type="dxa"/>
          </w:tcPr>
          <w:p w14:paraId="16DE0B81" w14:textId="5F9B7D21" w:rsidR="00B229EE" w:rsidRPr="004661D4" w:rsidRDefault="00C1102B" w:rsidP="00BC35A1">
            <w:pPr>
              <w:spacing w:before="60" w:after="60"/>
              <w:jc w:val="righ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Guidance_2_4 \h </w:instrText>
            </w:r>
            <w:r>
              <w:fldChar w:fldCharType="separate"/>
            </w:r>
            <w:r w:rsidR="00D44155">
              <w:rPr>
                <w:noProof/>
              </w:rPr>
              <w:t>19</w:t>
            </w:r>
            <w:r>
              <w:fldChar w:fldCharType="end"/>
            </w:r>
          </w:p>
        </w:tc>
      </w:tr>
      <w:tr w:rsidR="001A5787" w:rsidRPr="00D64424" w14:paraId="0240A145"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6E4DDD65" w14:textId="091BDBBF" w:rsidR="001A5787" w:rsidRPr="004661D4" w:rsidRDefault="00D64424" w:rsidP="00BC35A1">
            <w:pPr>
              <w:spacing w:before="60" w:after="60"/>
              <w:rPr>
                <w:b/>
              </w:rPr>
            </w:pPr>
            <w:r w:rsidRPr="004661D4">
              <w:rPr>
                <w:b/>
              </w:rPr>
              <w:fldChar w:fldCharType="begin"/>
            </w:r>
            <w:r w:rsidRPr="004661D4">
              <w:rPr>
                <w:b/>
              </w:rPr>
              <w:instrText xml:space="preserve"> REF Guidance_2_4_6 \h  \* MERGEFORMAT </w:instrText>
            </w:r>
            <w:r w:rsidRPr="004661D4">
              <w:rPr>
                <w:b/>
              </w:rPr>
            </w:r>
            <w:r w:rsidRPr="004661D4">
              <w:rPr>
                <w:b/>
              </w:rPr>
              <w:fldChar w:fldCharType="separate"/>
            </w:r>
            <w:r w:rsidR="00D44155" w:rsidRPr="00D44155">
              <w:rPr>
                <w:b/>
              </w:rPr>
              <w:t>Guidance 2.4.6</w:t>
            </w:r>
            <w:r w:rsidRPr="004661D4">
              <w:rPr>
                <w:b/>
              </w:rPr>
              <w:fldChar w:fldCharType="end"/>
            </w:r>
          </w:p>
        </w:tc>
        <w:tc>
          <w:tcPr>
            <w:tcW w:w="6804" w:type="dxa"/>
            <w:shd w:val="clear" w:color="auto" w:fill="auto"/>
          </w:tcPr>
          <w:p w14:paraId="3C335C3C" w14:textId="4A73226C" w:rsidR="001A5787" w:rsidRPr="004661D4" w:rsidRDefault="00D64424"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CFO whole of government responsibilities</w:t>
            </w:r>
          </w:p>
        </w:tc>
        <w:tc>
          <w:tcPr>
            <w:tcW w:w="1017" w:type="dxa"/>
          </w:tcPr>
          <w:p w14:paraId="19663D0B" w14:textId="754676C6" w:rsidR="001A5787" w:rsidRPr="004661D4" w:rsidRDefault="00770875" w:rsidP="00BC35A1">
            <w:pPr>
              <w:spacing w:before="60" w:after="60"/>
              <w:jc w:val="right"/>
              <w:cnfStyle w:val="000000010000" w:firstRow="0" w:lastRow="0" w:firstColumn="0" w:lastColumn="0" w:oddVBand="0" w:evenVBand="0" w:oddHBand="0" w:evenHBand="1" w:firstRowFirstColumn="0" w:firstRowLastColumn="0" w:lastRowFirstColumn="0" w:lastRowLastColumn="0"/>
            </w:pPr>
            <w:r>
              <w:t>21</w:t>
            </w:r>
          </w:p>
        </w:tc>
      </w:tr>
      <w:tr w:rsidR="00171798" w:rsidRPr="00D64424" w14:paraId="15393689"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51C95F17" w14:textId="7621176C" w:rsidR="00171798" w:rsidRPr="00BA5FF2" w:rsidRDefault="00C1102B" w:rsidP="00BC35A1">
            <w:pPr>
              <w:spacing w:before="60" w:after="60"/>
              <w:rPr>
                <w:b/>
              </w:rPr>
            </w:pPr>
            <w:r w:rsidRPr="00BA5FF2">
              <w:rPr>
                <w:b/>
              </w:rPr>
              <w:fldChar w:fldCharType="begin"/>
            </w:r>
            <w:r w:rsidRPr="00BA5FF2">
              <w:rPr>
                <w:b/>
              </w:rPr>
              <w:instrText xml:space="preserve"> REF Guidance_2_5 \h  \* MERGEFORMAT </w:instrText>
            </w:r>
            <w:r w:rsidRPr="00BA5FF2">
              <w:rPr>
                <w:b/>
              </w:rPr>
            </w:r>
            <w:r w:rsidRPr="00BA5FF2">
              <w:rPr>
                <w:b/>
              </w:rPr>
              <w:fldChar w:fldCharType="separate"/>
            </w:r>
            <w:r w:rsidR="00D44155" w:rsidRPr="00D44155">
              <w:rPr>
                <w:b/>
              </w:rPr>
              <w:t>Guidance 2.5</w:t>
            </w:r>
            <w:r w:rsidRPr="00BA5FF2">
              <w:rPr>
                <w:b/>
              </w:rPr>
              <w:fldChar w:fldCharType="end"/>
            </w:r>
          </w:p>
        </w:tc>
        <w:tc>
          <w:tcPr>
            <w:tcW w:w="6804" w:type="dxa"/>
            <w:shd w:val="clear" w:color="auto" w:fill="auto"/>
          </w:tcPr>
          <w:p w14:paraId="3551E00E" w14:textId="72FD65EE" w:rsidR="00171798" w:rsidRPr="004661D4" w:rsidRDefault="00D64424" w:rsidP="00BC35A1">
            <w:pPr>
              <w:spacing w:before="60" w:after="60"/>
              <w:cnfStyle w:val="000000100000" w:firstRow="0" w:lastRow="0" w:firstColumn="0" w:lastColumn="0" w:oddVBand="0" w:evenVBand="0" w:oddHBand="1" w:evenHBand="0" w:firstRowFirstColumn="0" w:firstRowLastColumn="0" w:lastRowFirstColumn="0" w:lastRowLastColumn="0"/>
            </w:pPr>
            <w:r w:rsidRPr="004661D4">
              <w:t>Delegations</w:t>
            </w:r>
            <w:r w:rsidR="00171798" w:rsidRPr="004661D4">
              <w:t xml:space="preserve"> </w:t>
            </w:r>
          </w:p>
        </w:tc>
        <w:tc>
          <w:tcPr>
            <w:tcW w:w="1017" w:type="dxa"/>
          </w:tcPr>
          <w:p w14:paraId="210D45BD" w14:textId="1CFEA699" w:rsidR="00171798" w:rsidRPr="004661D4" w:rsidRDefault="00C1102B" w:rsidP="00BC35A1">
            <w:pPr>
              <w:spacing w:before="60" w:after="60"/>
              <w:jc w:val="righ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Guidance_2_5 \h </w:instrText>
            </w:r>
            <w:r>
              <w:fldChar w:fldCharType="separate"/>
            </w:r>
            <w:r w:rsidR="00D44155">
              <w:rPr>
                <w:noProof/>
              </w:rPr>
              <w:t>25</w:t>
            </w:r>
            <w:r>
              <w:fldChar w:fldCharType="end"/>
            </w:r>
          </w:p>
        </w:tc>
      </w:tr>
      <w:tr w:rsidR="00D43142" w:rsidRPr="00D64424" w14:paraId="035FC6E3"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4EEDD533" w14:textId="4AF652C4" w:rsidR="00D43142" w:rsidRPr="00BA5FF2" w:rsidRDefault="00311574" w:rsidP="00BC35A1">
            <w:pPr>
              <w:spacing w:before="60" w:after="60"/>
              <w:rPr>
                <w:b/>
              </w:rPr>
            </w:pPr>
            <w:r w:rsidRPr="00BA5FF2">
              <w:rPr>
                <w:b/>
              </w:rPr>
              <w:fldChar w:fldCharType="begin"/>
            </w:r>
            <w:r w:rsidRPr="00BA5FF2">
              <w:rPr>
                <w:b/>
              </w:rPr>
              <w:instrText xml:space="preserve"> REF Guidance_3_2_1 \h </w:instrText>
            </w:r>
            <w:r w:rsidR="007F577D" w:rsidRPr="00BA5FF2">
              <w:rPr>
                <w:b/>
              </w:rPr>
              <w:instrText xml:space="preserve"> \* MERGEFORMAT </w:instrText>
            </w:r>
            <w:r w:rsidRPr="00BA5FF2">
              <w:rPr>
                <w:b/>
              </w:rPr>
            </w:r>
            <w:r w:rsidRPr="00BA5FF2">
              <w:rPr>
                <w:b/>
              </w:rPr>
              <w:fldChar w:fldCharType="separate"/>
            </w:r>
            <w:r w:rsidR="00D44155" w:rsidRPr="00D44155">
              <w:rPr>
                <w:b/>
              </w:rPr>
              <w:t>Guidance 3.2.1</w:t>
            </w:r>
            <w:r w:rsidRPr="00BA5FF2">
              <w:rPr>
                <w:b/>
              </w:rPr>
              <w:fldChar w:fldCharType="end"/>
            </w:r>
          </w:p>
        </w:tc>
        <w:tc>
          <w:tcPr>
            <w:tcW w:w="6804" w:type="dxa"/>
            <w:shd w:val="clear" w:color="auto" w:fill="auto"/>
          </w:tcPr>
          <w:p w14:paraId="1518DE8C" w14:textId="77777777" w:rsidR="00D43142" w:rsidRPr="004661D4" w:rsidRDefault="00657907"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Audit Committee</w:t>
            </w:r>
          </w:p>
        </w:tc>
        <w:tc>
          <w:tcPr>
            <w:tcW w:w="1017" w:type="dxa"/>
          </w:tcPr>
          <w:p w14:paraId="761E4C3D" w14:textId="1FB4E6BA" w:rsidR="00D43142" w:rsidRPr="004661D4" w:rsidRDefault="00C1102B" w:rsidP="00BC35A1">
            <w:pPr>
              <w:spacing w:before="60" w:after="60"/>
              <w:jc w:val="right"/>
              <w:cnfStyle w:val="000000010000" w:firstRow="0" w:lastRow="0" w:firstColumn="0" w:lastColumn="0" w:oddVBand="0" w:evenVBand="0" w:oddHBand="0" w:evenHBand="1" w:firstRowFirstColumn="0" w:firstRowLastColumn="0" w:lastRowFirstColumn="0" w:lastRowLastColumn="0"/>
            </w:pPr>
            <w:r>
              <w:fldChar w:fldCharType="begin"/>
            </w:r>
            <w:r>
              <w:instrText xml:space="preserve"> PAGEREF Guidance_3_2_1 \h </w:instrText>
            </w:r>
            <w:r>
              <w:fldChar w:fldCharType="separate"/>
            </w:r>
            <w:r w:rsidR="00D44155">
              <w:rPr>
                <w:noProof/>
              </w:rPr>
              <w:t>27</w:t>
            </w:r>
            <w:r>
              <w:fldChar w:fldCharType="end"/>
            </w:r>
          </w:p>
        </w:tc>
      </w:tr>
      <w:tr w:rsidR="00D43142" w:rsidRPr="00D64424" w14:paraId="21479735"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0C5D965C" w14:textId="0A323D98" w:rsidR="00D43142" w:rsidRPr="004661D4" w:rsidRDefault="00311574" w:rsidP="00BC35A1">
            <w:pPr>
              <w:spacing w:before="60" w:after="60"/>
              <w:rPr>
                <w:b/>
              </w:rPr>
            </w:pPr>
            <w:r w:rsidRPr="004661D4">
              <w:rPr>
                <w:b/>
              </w:rPr>
              <w:fldChar w:fldCharType="begin"/>
            </w:r>
            <w:r w:rsidRPr="004661D4">
              <w:rPr>
                <w:b/>
              </w:rPr>
              <w:instrText xml:space="preserve"> REF Guidance_3_2_2 \h </w:instrText>
            </w:r>
            <w:r w:rsidR="007F577D" w:rsidRPr="004661D4">
              <w:rPr>
                <w:b/>
              </w:rPr>
              <w:instrText xml:space="preserve"> \* MERGEFORMAT </w:instrText>
            </w:r>
            <w:r w:rsidRPr="004661D4">
              <w:rPr>
                <w:b/>
              </w:rPr>
            </w:r>
            <w:r w:rsidRPr="004661D4">
              <w:rPr>
                <w:b/>
              </w:rPr>
              <w:fldChar w:fldCharType="separate"/>
            </w:r>
            <w:r w:rsidR="00D44155" w:rsidRPr="00D44155">
              <w:rPr>
                <w:b/>
              </w:rPr>
              <w:t>Guidance 3.2.2</w:t>
            </w:r>
            <w:r w:rsidRPr="004661D4">
              <w:rPr>
                <w:b/>
              </w:rPr>
              <w:fldChar w:fldCharType="end"/>
            </w:r>
          </w:p>
        </w:tc>
        <w:tc>
          <w:tcPr>
            <w:tcW w:w="6804" w:type="dxa"/>
            <w:shd w:val="clear" w:color="auto" w:fill="auto"/>
          </w:tcPr>
          <w:p w14:paraId="7D5DFB1E" w14:textId="77777777" w:rsidR="00D43142" w:rsidRPr="004661D4" w:rsidRDefault="00D43142" w:rsidP="00BC35A1">
            <w:pPr>
              <w:spacing w:before="60" w:after="60"/>
              <w:cnfStyle w:val="000000100000" w:firstRow="0" w:lastRow="0" w:firstColumn="0" w:lastColumn="0" w:oddVBand="0" w:evenVBand="0" w:oddHBand="1" w:evenHBand="0" w:firstRowFirstColumn="0" w:firstRowLastColumn="0" w:lastRowFirstColumn="0" w:lastRowLastColumn="0"/>
            </w:pPr>
            <w:r w:rsidRPr="004661D4">
              <w:t>Internal audit</w:t>
            </w:r>
          </w:p>
        </w:tc>
        <w:tc>
          <w:tcPr>
            <w:tcW w:w="1017" w:type="dxa"/>
          </w:tcPr>
          <w:p w14:paraId="1977BAD7" w14:textId="57372E9C" w:rsidR="00D43142" w:rsidRPr="004661D4" w:rsidRDefault="00C1102B" w:rsidP="00BC35A1">
            <w:pPr>
              <w:spacing w:before="60" w:after="60"/>
              <w:jc w:val="righ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Guidance_3_2_2 \h </w:instrText>
            </w:r>
            <w:r>
              <w:fldChar w:fldCharType="separate"/>
            </w:r>
            <w:r w:rsidR="00D44155">
              <w:rPr>
                <w:noProof/>
              </w:rPr>
              <w:t>35</w:t>
            </w:r>
            <w:r>
              <w:fldChar w:fldCharType="end"/>
            </w:r>
          </w:p>
        </w:tc>
      </w:tr>
      <w:tr w:rsidR="00D43142" w:rsidRPr="00D64424" w14:paraId="5F38808A"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5280A292" w14:textId="5888CFED" w:rsidR="00D43142" w:rsidRPr="004661D4" w:rsidRDefault="00311574" w:rsidP="00BC35A1">
            <w:pPr>
              <w:spacing w:before="60" w:after="60"/>
              <w:rPr>
                <w:b/>
              </w:rPr>
            </w:pPr>
            <w:r w:rsidRPr="004661D4">
              <w:rPr>
                <w:b/>
              </w:rPr>
              <w:fldChar w:fldCharType="begin"/>
            </w:r>
            <w:r w:rsidRPr="004661D4">
              <w:rPr>
                <w:b/>
              </w:rPr>
              <w:instrText xml:space="preserve"> REF Guidance_3_3 \h </w:instrText>
            </w:r>
            <w:r w:rsidR="007F577D" w:rsidRPr="004661D4">
              <w:rPr>
                <w:b/>
              </w:rPr>
              <w:instrText xml:space="preserve"> \* MERGEFORMAT </w:instrText>
            </w:r>
            <w:r w:rsidRPr="004661D4">
              <w:rPr>
                <w:b/>
              </w:rPr>
            </w:r>
            <w:r w:rsidRPr="004661D4">
              <w:rPr>
                <w:b/>
              </w:rPr>
              <w:fldChar w:fldCharType="separate"/>
            </w:r>
            <w:r w:rsidR="00D44155" w:rsidRPr="00D44155">
              <w:rPr>
                <w:b/>
              </w:rPr>
              <w:t xml:space="preserve">Guidance 3.3 </w:t>
            </w:r>
            <w:r w:rsidRPr="004661D4">
              <w:rPr>
                <w:b/>
              </w:rPr>
              <w:fldChar w:fldCharType="end"/>
            </w:r>
          </w:p>
        </w:tc>
        <w:tc>
          <w:tcPr>
            <w:tcW w:w="6804" w:type="dxa"/>
            <w:shd w:val="clear" w:color="auto" w:fill="auto"/>
          </w:tcPr>
          <w:p w14:paraId="2BE99E78" w14:textId="77777777" w:rsidR="00D43142" w:rsidRPr="004661D4" w:rsidRDefault="00657907"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 xml:space="preserve">Financial Authorisations </w:t>
            </w:r>
          </w:p>
        </w:tc>
        <w:tc>
          <w:tcPr>
            <w:tcW w:w="1017" w:type="dxa"/>
          </w:tcPr>
          <w:p w14:paraId="3C713CDB" w14:textId="22F5A903" w:rsidR="00D43142" w:rsidRPr="004661D4" w:rsidRDefault="00C1102B" w:rsidP="00BC35A1">
            <w:pPr>
              <w:spacing w:before="60" w:after="60"/>
              <w:jc w:val="right"/>
              <w:cnfStyle w:val="000000010000" w:firstRow="0" w:lastRow="0" w:firstColumn="0" w:lastColumn="0" w:oddVBand="0" w:evenVBand="0" w:oddHBand="0" w:evenHBand="1" w:firstRowFirstColumn="0" w:firstRowLastColumn="0" w:lastRowFirstColumn="0" w:lastRowLastColumn="0"/>
            </w:pPr>
            <w:r>
              <w:fldChar w:fldCharType="begin"/>
            </w:r>
            <w:r>
              <w:instrText xml:space="preserve"> PAGEREF Guidance_3_3 \h </w:instrText>
            </w:r>
            <w:r>
              <w:fldChar w:fldCharType="separate"/>
            </w:r>
            <w:r w:rsidR="00D44155">
              <w:rPr>
                <w:noProof/>
              </w:rPr>
              <w:t>39</w:t>
            </w:r>
            <w:r>
              <w:fldChar w:fldCharType="end"/>
            </w:r>
          </w:p>
        </w:tc>
      </w:tr>
      <w:tr w:rsidR="00D43142" w:rsidRPr="00D64424" w14:paraId="6DDE75FC"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15A805F4" w14:textId="53981693" w:rsidR="00D43142" w:rsidRPr="004661D4" w:rsidRDefault="007F577D" w:rsidP="00BC35A1">
            <w:pPr>
              <w:spacing w:before="60" w:after="60"/>
              <w:rPr>
                <w:b/>
              </w:rPr>
            </w:pPr>
            <w:r w:rsidRPr="004661D4">
              <w:rPr>
                <w:b/>
              </w:rPr>
              <w:fldChar w:fldCharType="begin"/>
            </w:r>
            <w:r w:rsidRPr="004661D4">
              <w:rPr>
                <w:b/>
              </w:rPr>
              <w:instrText xml:space="preserve"> REF Guidance_3_4 \h  \* MERGEFORMAT </w:instrText>
            </w:r>
            <w:r w:rsidRPr="004661D4">
              <w:rPr>
                <w:b/>
              </w:rPr>
            </w:r>
            <w:r w:rsidRPr="004661D4">
              <w:rPr>
                <w:b/>
              </w:rPr>
              <w:fldChar w:fldCharType="separate"/>
            </w:r>
            <w:r w:rsidR="00D44155" w:rsidRPr="00D44155">
              <w:rPr>
                <w:b/>
              </w:rPr>
              <w:t xml:space="preserve">Guidance 3.4 </w:t>
            </w:r>
            <w:r w:rsidRPr="004661D4">
              <w:rPr>
                <w:b/>
              </w:rPr>
              <w:fldChar w:fldCharType="end"/>
            </w:r>
          </w:p>
        </w:tc>
        <w:tc>
          <w:tcPr>
            <w:tcW w:w="6804" w:type="dxa"/>
            <w:shd w:val="clear" w:color="auto" w:fill="auto"/>
          </w:tcPr>
          <w:p w14:paraId="69F9109E" w14:textId="77777777" w:rsidR="00D43142" w:rsidRPr="004661D4" w:rsidRDefault="00D43142" w:rsidP="00BC35A1">
            <w:pPr>
              <w:spacing w:before="60" w:after="60"/>
              <w:cnfStyle w:val="000000100000" w:firstRow="0" w:lastRow="0" w:firstColumn="0" w:lastColumn="0" w:oddVBand="0" w:evenVBand="0" w:oddHBand="1" w:evenHBand="0" w:firstRowFirstColumn="0" w:firstRowLastColumn="0" w:lastRowFirstColumn="0" w:lastRowLastColumn="0"/>
            </w:pPr>
            <w:r w:rsidRPr="004661D4">
              <w:t>Internal control system</w:t>
            </w:r>
          </w:p>
        </w:tc>
        <w:tc>
          <w:tcPr>
            <w:tcW w:w="1017" w:type="dxa"/>
          </w:tcPr>
          <w:p w14:paraId="12FF7955" w14:textId="2B478F01" w:rsidR="00D43142" w:rsidRPr="004661D4" w:rsidRDefault="00770875" w:rsidP="00BC35A1">
            <w:pPr>
              <w:spacing w:before="60" w:after="60"/>
              <w:jc w:val="right"/>
              <w:cnfStyle w:val="000000100000" w:firstRow="0" w:lastRow="0" w:firstColumn="0" w:lastColumn="0" w:oddVBand="0" w:evenVBand="0" w:oddHBand="1" w:evenHBand="0" w:firstRowFirstColumn="0" w:firstRowLastColumn="0" w:lastRowFirstColumn="0" w:lastRowLastColumn="0"/>
            </w:pPr>
            <w:r>
              <w:t>42</w:t>
            </w:r>
          </w:p>
        </w:tc>
      </w:tr>
      <w:tr w:rsidR="00D43142" w:rsidRPr="00D64424" w14:paraId="6E076EE8"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0A614906" w14:textId="021A21D8" w:rsidR="00D43142" w:rsidRPr="004661D4" w:rsidRDefault="007F577D" w:rsidP="00BC35A1">
            <w:pPr>
              <w:spacing w:before="60" w:after="60"/>
              <w:rPr>
                <w:b/>
              </w:rPr>
            </w:pPr>
            <w:r w:rsidRPr="004661D4">
              <w:rPr>
                <w:b/>
              </w:rPr>
              <w:fldChar w:fldCharType="begin"/>
            </w:r>
            <w:r w:rsidRPr="004661D4">
              <w:rPr>
                <w:b/>
              </w:rPr>
              <w:instrText xml:space="preserve"> REF Guidance_3_5 \h  \* MERGEFORMAT </w:instrText>
            </w:r>
            <w:r w:rsidRPr="004661D4">
              <w:rPr>
                <w:b/>
              </w:rPr>
            </w:r>
            <w:r w:rsidRPr="004661D4">
              <w:rPr>
                <w:b/>
              </w:rPr>
              <w:fldChar w:fldCharType="separate"/>
            </w:r>
            <w:r w:rsidR="00D44155" w:rsidRPr="00D44155">
              <w:rPr>
                <w:b/>
              </w:rPr>
              <w:t xml:space="preserve">Guidance 3.5 </w:t>
            </w:r>
            <w:r w:rsidRPr="004661D4">
              <w:rPr>
                <w:b/>
              </w:rPr>
              <w:fldChar w:fldCharType="end"/>
            </w:r>
          </w:p>
        </w:tc>
        <w:tc>
          <w:tcPr>
            <w:tcW w:w="6804" w:type="dxa"/>
            <w:shd w:val="clear" w:color="auto" w:fill="auto"/>
          </w:tcPr>
          <w:p w14:paraId="513B240D" w14:textId="77777777" w:rsidR="00D43142" w:rsidRPr="004661D4" w:rsidRDefault="00987DC4"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Fraud, C</w:t>
            </w:r>
            <w:r w:rsidR="00D43142" w:rsidRPr="004661D4">
              <w:t xml:space="preserve">orruption and </w:t>
            </w:r>
            <w:r w:rsidRPr="004661D4">
              <w:t>O</w:t>
            </w:r>
            <w:r w:rsidR="00D43142" w:rsidRPr="004661D4">
              <w:t xml:space="preserve">ther </w:t>
            </w:r>
            <w:r w:rsidRPr="004661D4">
              <w:t>L</w:t>
            </w:r>
            <w:r w:rsidR="00D43142" w:rsidRPr="004661D4">
              <w:t>osses</w:t>
            </w:r>
          </w:p>
        </w:tc>
        <w:tc>
          <w:tcPr>
            <w:tcW w:w="1017" w:type="dxa"/>
          </w:tcPr>
          <w:p w14:paraId="64E2DB64" w14:textId="7345E39D" w:rsidR="00D43142" w:rsidRPr="004661D4" w:rsidRDefault="00770875" w:rsidP="00BC35A1">
            <w:pPr>
              <w:spacing w:before="60" w:after="60"/>
              <w:jc w:val="right"/>
              <w:cnfStyle w:val="000000010000" w:firstRow="0" w:lastRow="0" w:firstColumn="0" w:lastColumn="0" w:oddVBand="0" w:evenVBand="0" w:oddHBand="0" w:evenHBand="1" w:firstRowFirstColumn="0" w:firstRowLastColumn="0" w:lastRowFirstColumn="0" w:lastRowLastColumn="0"/>
            </w:pPr>
            <w:r>
              <w:t>50</w:t>
            </w:r>
          </w:p>
        </w:tc>
      </w:tr>
      <w:tr w:rsidR="00D43142" w:rsidRPr="00D64424" w14:paraId="0E9F91C7"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2E36A37B" w14:textId="016E6552" w:rsidR="00D43142" w:rsidRPr="004661D4" w:rsidRDefault="007F577D" w:rsidP="00BC35A1">
            <w:pPr>
              <w:spacing w:before="60" w:after="60"/>
              <w:rPr>
                <w:b/>
              </w:rPr>
            </w:pPr>
            <w:r w:rsidRPr="004661D4">
              <w:rPr>
                <w:b/>
              </w:rPr>
              <w:fldChar w:fldCharType="begin"/>
            </w:r>
            <w:r w:rsidRPr="004661D4">
              <w:rPr>
                <w:b/>
              </w:rPr>
              <w:instrText xml:space="preserve"> REF Guidance_3_6 \h  \* MERGEFORMAT </w:instrText>
            </w:r>
            <w:r w:rsidRPr="004661D4">
              <w:rPr>
                <w:b/>
              </w:rPr>
            </w:r>
            <w:r w:rsidRPr="004661D4">
              <w:rPr>
                <w:b/>
              </w:rPr>
              <w:fldChar w:fldCharType="separate"/>
            </w:r>
            <w:r w:rsidR="00D44155" w:rsidRPr="00D44155">
              <w:rPr>
                <w:b/>
              </w:rPr>
              <w:t xml:space="preserve">Guidance 3.6 </w:t>
            </w:r>
            <w:r w:rsidRPr="004661D4">
              <w:rPr>
                <w:b/>
              </w:rPr>
              <w:fldChar w:fldCharType="end"/>
            </w:r>
          </w:p>
        </w:tc>
        <w:tc>
          <w:tcPr>
            <w:tcW w:w="6804" w:type="dxa"/>
            <w:shd w:val="clear" w:color="auto" w:fill="auto"/>
          </w:tcPr>
          <w:p w14:paraId="012A806D" w14:textId="59F9D9B3" w:rsidR="00D43142" w:rsidRPr="004661D4" w:rsidRDefault="00D43142" w:rsidP="00BC35A1">
            <w:pPr>
              <w:spacing w:before="60" w:after="60"/>
              <w:cnfStyle w:val="000000100000" w:firstRow="0" w:lastRow="0" w:firstColumn="0" w:lastColumn="0" w:oddVBand="0" w:evenVBand="0" w:oddHBand="1" w:evenHBand="0" w:firstRowFirstColumn="0" w:firstRowLastColumn="0" w:lastRowFirstColumn="0" w:lastRowLastColumn="0"/>
            </w:pPr>
            <w:r w:rsidRPr="004661D4">
              <w:t>Pu</w:t>
            </w:r>
            <w:r w:rsidR="00987DC4" w:rsidRPr="004661D4">
              <w:t>rchasing cards</w:t>
            </w:r>
          </w:p>
        </w:tc>
        <w:tc>
          <w:tcPr>
            <w:tcW w:w="1017" w:type="dxa"/>
          </w:tcPr>
          <w:p w14:paraId="568D87CC" w14:textId="21CF5135" w:rsidR="00D43142" w:rsidRPr="004661D4" w:rsidRDefault="00C1102B" w:rsidP="00BC35A1">
            <w:pPr>
              <w:spacing w:before="60" w:after="60"/>
              <w:jc w:val="righ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Guidance_3_6 \h </w:instrText>
            </w:r>
            <w:r>
              <w:fldChar w:fldCharType="separate"/>
            </w:r>
            <w:r w:rsidR="00D44155">
              <w:rPr>
                <w:noProof/>
              </w:rPr>
              <w:t>54</w:t>
            </w:r>
            <w:r>
              <w:fldChar w:fldCharType="end"/>
            </w:r>
          </w:p>
        </w:tc>
      </w:tr>
      <w:tr w:rsidR="00D43142" w:rsidRPr="00D64424" w14:paraId="16C94D36"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1AA8371E" w14:textId="33AB269D" w:rsidR="00D43142" w:rsidRPr="008A5429" w:rsidRDefault="007F577D" w:rsidP="00BC35A1">
            <w:pPr>
              <w:spacing w:before="60" w:after="60"/>
              <w:rPr>
                <w:b/>
              </w:rPr>
            </w:pPr>
            <w:r w:rsidRPr="008A5429">
              <w:rPr>
                <w:b/>
              </w:rPr>
              <w:fldChar w:fldCharType="begin"/>
            </w:r>
            <w:r w:rsidRPr="008A5429">
              <w:rPr>
                <w:b/>
              </w:rPr>
              <w:instrText xml:space="preserve"> REF Guidance_3_7 \h  \* MERGEFORMAT </w:instrText>
            </w:r>
            <w:r w:rsidRPr="008A5429">
              <w:rPr>
                <w:b/>
              </w:rPr>
            </w:r>
            <w:r w:rsidRPr="008A5429">
              <w:rPr>
                <w:b/>
              </w:rPr>
              <w:fldChar w:fldCharType="separate"/>
            </w:r>
            <w:r w:rsidR="00D44155" w:rsidRPr="00D44155">
              <w:rPr>
                <w:b/>
                <w:lang w:val="en-US"/>
              </w:rPr>
              <w:t>Guidance 3.7</w:t>
            </w:r>
            <w:r w:rsidRPr="008A5429">
              <w:rPr>
                <w:b/>
              </w:rPr>
              <w:fldChar w:fldCharType="end"/>
            </w:r>
          </w:p>
        </w:tc>
        <w:tc>
          <w:tcPr>
            <w:tcW w:w="6804" w:type="dxa"/>
            <w:shd w:val="clear" w:color="auto" w:fill="auto"/>
          </w:tcPr>
          <w:p w14:paraId="425739BD" w14:textId="77777777" w:rsidR="00D43142" w:rsidRPr="004661D4" w:rsidRDefault="00D43142"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Managing specific risks – Business continuity planning, indemnities and immunities</w:t>
            </w:r>
          </w:p>
        </w:tc>
        <w:tc>
          <w:tcPr>
            <w:tcW w:w="1017" w:type="dxa"/>
          </w:tcPr>
          <w:p w14:paraId="274ED836" w14:textId="5B39FE76" w:rsidR="00D43142" w:rsidRPr="004661D4" w:rsidRDefault="00770875" w:rsidP="00BC35A1">
            <w:pPr>
              <w:spacing w:before="60" w:after="60"/>
              <w:jc w:val="right"/>
              <w:cnfStyle w:val="000000010000" w:firstRow="0" w:lastRow="0" w:firstColumn="0" w:lastColumn="0" w:oddVBand="0" w:evenVBand="0" w:oddHBand="0" w:evenHBand="1" w:firstRowFirstColumn="0" w:firstRowLastColumn="0" w:lastRowFirstColumn="0" w:lastRowLastColumn="0"/>
            </w:pPr>
            <w:r>
              <w:t>61</w:t>
            </w:r>
          </w:p>
        </w:tc>
      </w:tr>
      <w:tr w:rsidR="00D43142" w:rsidRPr="00D64424" w14:paraId="6274502E"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43A3CFEF" w14:textId="53F0A0D0" w:rsidR="00D43142" w:rsidRPr="00BC35A1" w:rsidRDefault="00BC35A1" w:rsidP="00BC35A1">
            <w:pPr>
              <w:spacing w:before="60" w:after="60"/>
              <w:rPr>
                <w:b/>
              </w:rPr>
            </w:pPr>
            <w:r w:rsidRPr="00BC35A1">
              <w:rPr>
                <w:b/>
              </w:rPr>
              <w:fldChar w:fldCharType="begin"/>
            </w:r>
            <w:r w:rsidRPr="00BC35A1">
              <w:rPr>
                <w:b/>
              </w:rPr>
              <w:instrText xml:space="preserve"> REF Guidance_3_7_2 \h  \* MERGEFORMAT </w:instrText>
            </w:r>
            <w:r w:rsidRPr="00BC35A1">
              <w:rPr>
                <w:b/>
              </w:rPr>
            </w:r>
            <w:r w:rsidRPr="00BC35A1">
              <w:rPr>
                <w:b/>
              </w:rPr>
              <w:fldChar w:fldCharType="separate"/>
            </w:r>
            <w:r w:rsidR="00D44155" w:rsidRPr="00D44155">
              <w:rPr>
                <w:b/>
              </w:rPr>
              <w:t>Guidance 3.7.2</w:t>
            </w:r>
            <w:r w:rsidRPr="00BC35A1">
              <w:rPr>
                <w:b/>
              </w:rPr>
              <w:fldChar w:fldCharType="end"/>
            </w:r>
          </w:p>
        </w:tc>
        <w:tc>
          <w:tcPr>
            <w:tcW w:w="6804" w:type="dxa"/>
            <w:shd w:val="clear" w:color="auto" w:fill="auto"/>
          </w:tcPr>
          <w:p w14:paraId="7E6CC9F4" w14:textId="2F6C5D14" w:rsidR="00D43142" w:rsidRPr="004661D4" w:rsidRDefault="00832363" w:rsidP="00BC35A1">
            <w:pPr>
              <w:spacing w:before="60" w:after="60"/>
              <w:cnfStyle w:val="000000100000" w:firstRow="0" w:lastRow="0" w:firstColumn="0" w:lastColumn="0" w:oddVBand="0" w:evenVBand="0" w:oddHBand="1" w:evenHBand="0" w:firstRowFirstColumn="0" w:firstRowLastColumn="0" w:lastRowFirstColumn="0" w:lastRowLastColumn="0"/>
            </w:pPr>
            <w:bookmarkStart w:id="1" w:name="_Hlk109054341"/>
            <w:r>
              <w:t xml:space="preserve">Centralised </w:t>
            </w:r>
            <w:r w:rsidR="00AF42FD" w:rsidRPr="004661D4">
              <w:t>Treasury</w:t>
            </w:r>
            <w:r>
              <w:t xml:space="preserve"> and Investment</w:t>
            </w:r>
            <w:r w:rsidR="00AF42FD" w:rsidRPr="004661D4">
              <w:t xml:space="preserve"> </w:t>
            </w:r>
            <w:r w:rsidR="00081824">
              <w:t>management</w:t>
            </w:r>
            <w:r w:rsidR="00AF42FD" w:rsidRPr="004661D4">
              <w:t xml:space="preserve">, including </w:t>
            </w:r>
            <w:r w:rsidR="000D38CF" w:rsidRPr="004661D4">
              <w:t>Central Banking System</w:t>
            </w:r>
            <w:bookmarkEnd w:id="1"/>
          </w:p>
        </w:tc>
        <w:tc>
          <w:tcPr>
            <w:tcW w:w="1017" w:type="dxa"/>
          </w:tcPr>
          <w:p w14:paraId="2E8C9672" w14:textId="5AE3DB98" w:rsidR="00D43142" w:rsidRPr="004661D4" w:rsidRDefault="00770875" w:rsidP="00BC35A1">
            <w:pPr>
              <w:spacing w:before="60" w:after="60"/>
              <w:jc w:val="right"/>
              <w:cnfStyle w:val="000000100000" w:firstRow="0" w:lastRow="0" w:firstColumn="0" w:lastColumn="0" w:oddVBand="0" w:evenVBand="0" w:oddHBand="1" w:evenHBand="0" w:firstRowFirstColumn="0" w:firstRowLastColumn="0" w:lastRowFirstColumn="0" w:lastRowLastColumn="0"/>
            </w:pPr>
            <w:r>
              <w:t>62</w:t>
            </w:r>
          </w:p>
        </w:tc>
      </w:tr>
      <w:tr w:rsidR="00D43142" w:rsidRPr="00D64424" w14:paraId="2E303C98"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2334DA77" w14:textId="0B6DD8C6" w:rsidR="00D43142" w:rsidRPr="008A5429" w:rsidRDefault="007F577D" w:rsidP="00BC35A1">
            <w:pPr>
              <w:spacing w:before="60" w:after="60"/>
              <w:rPr>
                <w:b/>
              </w:rPr>
            </w:pPr>
            <w:r w:rsidRPr="008A5429">
              <w:rPr>
                <w:b/>
              </w:rPr>
              <w:fldChar w:fldCharType="begin"/>
            </w:r>
            <w:r w:rsidRPr="008A5429">
              <w:rPr>
                <w:b/>
              </w:rPr>
              <w:instrText xml:space="preserve"> REF Guidance_3_7_2_</w:instrText>
            </w:r>
            <w:r w:rsidR="008A5429" w:rsidRPr="008A5429">
              <w:rPr>
                <w:b/>
              </w:rPr>
              <w:instrText>2</w:instrText>
            </w:r>
            <w:r w:rsidRPr="008A5429">
              <w:rPr>
                <w:b/>
              </w:rPr>
              <w:instrText xml:space="preserve"> \h  \* MERGEFORMAT </w:instrText>
            </w:r>
            <w:r w:rsidRPr="008A5429">
              <w:rPr>
                <w:b/>
              </w:rPr>
            </w:r>
            <w:r w:rsidRPr="008A5429">
              <w:rPr>
                <w:b/>
              </w:rPr>
              <w:fldChar w:fldCharType="separate"/>
            </w:r>
            <w:r w:rsidR="00D44155" w:rsidRPr="00D44155">
              <w:rPr>
                <w:b/>
                <w:lang w:val="en-US"/>
              </w:rPr>
              <w:t xml:space="preserve">Guidance 3.7.2.3 </w:t>
            </w:r>
            <w:r w:rsidRPr="008A5429">
              <w:rPr>
                <w:b/>
              </w:rPr>
              <w:fldChar w:fldCharType="end"/>
            </w:r>
          </w:p>
        </w:tc>
        <w:tc>
          <w:tcPr>
            <w:tcW w:w="6804" w:type="dxa"/>
            <w:shd w:val="clear" w:color="auto" w:fill="auto"/>
          </w:tcPr>
          <w:p w14:paraId="3DADD455" w14:textId="2634AB15" w:rsidR="003D7DBD" w:rsidRPr="004661D4" w:rsidRDefault="00576240" w:rsidP="00924EDE">
            <w:pPr>
              <w:pStyle w:val="GuidanceBullet1"/>
              <w:numPr>
                <w:ilvl w:val="0"/>
                <w:numId w:val="0"/>
              </w:numPr>
              <w:cnfStyle w:val="000000010000" w:firstRow="0" w:lastRow="0" w:firstColumn="0" w:lastColumn="0" w:oddVBand="0" w:evenVBand="0" w:oddHBand="0" w:evenHBand="1" w:firstRowFirstColumn="0" w:firstRowLastColumn="0" w:lastRowFirstColumn="0" w:lastRowLastColumn="0"/>
            </w:pPr>
            <w:r>
              <w:t>Treasury Management Policy</w:t>
            </w:r>
          </w:p>
        </w:tc>
        <w:tc>
          <w:tcPr>
            <w:tcW w:w="1017" w:type="dxa"/>
          </w:tcPr>
          <w:p w14:paraId="50B79732" w14:textId="7C1DF04A" w:rsidR="00D43142" w:rsidRPr="004661D4" w:rsidRDefault="00BC35A1" w:rsidP="00BC35A1">
            <w:pPr>
              <w:spacing w:before="60" w:after="60"/>
              <w:jc w:val="right"/>
              <w:cnfStyle w:val="000000010000" w:firstRow="0" w:lastRow="0" w:firstColumn="0" w:lastColumn="0" w:oddVBand="0" w:evenVBand="0" w:oddHBand="0" w:evenHBand="1" w:firstRowFirstColumn="0" w:firstRowLastColumn="0" w:lastRowFirstColumn="0" w:lastRowLastColumn="0"/>
            </w:pPr>
            <w:r>
              <w:fldChar w:fldCharType="begin"/>
            </w:r>
            <w:r>
              <w:instrText xml:space="preserve"> PAGEREF Guidance_3_7_2_2 \h </w:instrText>
            </w:r>
            <w:r>
              <w:fldChar w:fldCharType="separate"/>
            </w:r>
            <w:r w:rsidR="00D44155">
              <w:rPr>
                <w:noProof/>
              </w:rPr>
              <w:t>67</w:t>
            </w:r>
            <w:r>
              <w:fldChar w:fldCharType="end"/>
            </w:r>
          </w:p>
        </w:tc>
      </w:tr>
      <w:tr w:rsidR="002F1FE6" w:rsidRPr="00D64424" w14:paraId="182ED4FF"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03C026A3" w14:textId="1267B2FD" w:rsidR="002F1FE6" w:rsidRPr="004661D4" w:rsidRDefault="002F1FE6" w:rsidP="00BC35A1">
            <w:pPr>
              <w:spacing w:before="60" w:after="60"/>
              <w:rPr>
                <w:b/>
              </w:rPr>
            </w:pPr>
            <w:r>
              <w:rPr>
                <w:b/>
              </w:rPr>
              <w:t>Guidance 3.7.2.4</w:t>
            </w:r>
          </w:p>
        </w:tc>
        <w:tc>
          <w:tcPr>
            <w:tcW w:w="6804" w:type="dxa"/>
            <w:shd w:val="clear" w:color="auto" w:fill="auto"/>
          </w:tcPr>
          <w:p w14:paraId="7D96E3AC" w14:textId="558F54D8" w:rsidR="002F1FE6" w:rsidRPr="004661D4" w:rsidRDefault="00576240" w:rsidP="00BC35A1">
            <w:pPr>
              <w:spacing w:before="60" w:after="60"/>
              <w:cnfStyle w:val="000000100000" w:firstRow="0" w:lastRow="0" w:firstColumn="0" w:lastColumn="0" w:oddVBand="0" w:evenVBand="0" w:oddHBand="1" w:evenHBand="0" w:firstRowFirstColumn="0" w:firstRowLastColumn="0" w:lastRowFirstColumn="0" w:lastRowLastColumn="0"/>
            </w:pPr>
            <w:r w:rsidRPr="004661D4">
              <w:t>Investment Management Polic</w:t>
            </w:r>
            <w:r>
              <w:t>y</w:t>
            </w:r>
          </w:p>
        </w:tc>
        <w:tc>
          <w:tcPr>
            <w:tcW w:w="1017" w:type="dxa"/>
          </w:tcPr>
          <w:p w14:paraId="20A940FC" w14:textId="3789C035" w:rsidR="002F1FE6" w:rsidRDefault="002F1FE6" w:rsidP="00BC35A1">
            <w:pPr>
              <w:spacing w:before="60" w:after="60"/>
              <w:jc w:val="right"/>
              <w:cnfStyle w:val="000000100000" w:firstRow="0" w:lastRow="0" w:firstColumn="0" w:lastColumn="0" w:oddVBand="0" w:evenVBand="0" w:oddHBand="1" w:evenHBand="0" w:firstRowFirstColumn="0" w:firstRowLastColumn="0" w:lastRowFirstColumn="0" w:lastRowLastColumn="0"/>
            </w:pPr>
            <w:r>
              <w:t>77</w:t>
            </w:r>
          </w:p>
        </w:tc>
      </w:tr>
      <w:tr w:rsidR="00D43142" w:rsidRPr="004D552F" w14:paraId="033F08C0"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0B916E7C" w14:textId="34D2C94C" w:rsidR="00D43142" w:rsidRPr="004661D4" w:rsidRDefault="007F577D" w:rsidP="00BC35A1">
            <w:pPr>
              <w:spacing w:before="60" w:after="60"/>
              <w:rPr>
                <w:b/>
              </w:rPr>
            </w:pPr>
            <w:r w:rsidRPr="004661D4">
              <w:rPr>
                <w:b/>
              </w:rPr>
              <w:fldChar w:fldCharType="begin"/>
            </w:r>
            <w:r w:rsidRPr="004661D4">
              <w:rPr>
                <w:b/>
              </w:rPr>
              <w:instrText xml:space="preserve"> REF Guidance_3_9 \h  \* MERGEFORMAT </w:instrText>
            </w:r>
            <w:r w:rsidRPr="004661D4">
              <w:rPr>
                <w:b/>
              </w:rPr>
            </w:r>
            <w:r w:rsidRPr="004661D4">
              <w:rPr>
                <w:b/>
              </w:rPr>
              <w:fldChar w:fldCharType="separate"/>
            </w:r>
            <w:r w:rsidR="00D44155" w:rsidRPr="00D44155">
              <w:rPr>
                <w:b/>
              </w:rPr>
              <w:t xml:space="preserve">Guidance 3.9 </w:t>
            </w:r>
            <w:r w:rsidRPr="004661D4">
              <w:rPr>
                <w:b/>
              </w:rPr>
              <w:fldChar w:fldCharType="end"/>
            </w:r>
          </w:p>
        </w:tc>
        <w:tc>
          <w:tcPr>
            <w:tcW w:w="6804" w:type="dxa"/>
            <w:shd w:val="clear" w:color="auto" w:fill="auto"/>
          </w:tcPr>
          <w:p w14:paraId="654847A9" w14:textId="77777777" w:rsidR="00D43142" w:rsidRPr="004661D4" w:rsidRDefault="00D43142"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 xml:space="preserve">Managing </w:t>
            </w:r>
            <w:r w:rsidR="00657907" w:rsidRPr="004661D4">
              <w:t xml:space="preserve">financial </w:t>
            </w:r>
            <w:r w:rsidRPr="004661D4">
              <w:t>information</w:t>
            </w:r>
          </w:p>
        </w:tc>
        <w:tc>
          <w:tcPr>
            <w:tcW w:w="1017" w:type="dxa"/>
          </w:tcPr>
          <w:p w14:paraId="20F21C93" w14:textId="053AE21C" w:rsidR="00D43142" w:rsidRPr="004661D4" w:rsidRDefault="004D552F" w:rsidP="004D552F">
            <w:pPr>
              <w:spacing w:before="60" w:after="60"/>
              <w:jc w:val="right"/>
              <w:cnfStyle w:val="000000010000" w:firstRow="0" w:lastRow="0" w:firstColumn="0" w:lastColumn="0" w:oddVBand="0" w:evenVBand="0" w:oddHBand="0" w:evenHBand="1" w:firstRowFirstColumn="0" w:firstRowLastColumn="0" w:lastRowFirstColumn="0" w:lastRowLastColumn="0"/>
            </w:pPr>
            <w:r>
              <w:t>83</w:t>
            </w:r>
          </w:p>
        </w:tc>
      </w:tr>
      <w:tr w:rsidR="00D43142" w:rsidRPr="00D64424" w14:paraId="31A20E79"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243F5CF5" w14:textId="2123CB97" w:rsidR="00D43142" w:rsidRPr="008A5429" w:rsidRDefault="007F577D" w:rsidP="00BC35A1">
            <w:pPr>
              <w:spacing w:before="60" w:after="60"/>
              <w:rPr>
                <w:b/>
              </w:rPr>
            </w:pPr>
            <w:r w:rsidRPr="008A5429">
              <w:rPr>
                <w:b/>
              </w:rPr>
              <w:fldChar w:fldCharType="begin"/>
            </w:r>
            <w:r w:rsidRPr="008A5429">
              <w:rPr>
                <w:b/>
              </w:rPr>
              <w:instrText xml:space="preserve"> REF Guidance_4_1_1 \h  \* MERGEFORMAT </w:instrText>
            </w:r>
            <w:r w:rsidRPr="008A5429">
              <w:rPr>
                <w:b/>
              </w:rPr>
            </w:r>
            <w:r w:rsidRPr="008A5429">
              <w:rPr>
                <w:b/>
              </w:rPr>
              <w:fldChar w:fldCharType="separate"/>
            </w:r>
            <w:r w:rsidR="00D44155" w:rsidRPr="00D44155">
              <w:rPr>
                <w:b/>
                <w:lang w:val="en-US"/>
              </w:rPr>
              <w:t>Guidance 4.1.1</w:t>
            </w:r>
            <w:r w:rsidRPr="008A5429">
              <w:rPr>
                <w:b/>
              </w:rPr>
              <w:fldChar w:fldCharType="end"/>
            </w:r>
          </w:p>
        </w:tc>
        <w:tc>
          <w:tcPr>
            <w:tcW w:w="6804" w:type="dxa"/>
            <w:shd w:val="clear" w:color="auto" w:fill="auto"/>
          </w:tcPr>
          <w:p w14:paraId="79AA7D6E" w14:textId="77777777" w:rsidR="00D43142" w:rsidRDefault="00D43142" w:rsidP="00BC35A1">
            <w:pPr>
              <w:spacing w:before="60" w:after="60"/>
              <w:cnfStyle w:val="000000100000" w:firstRow="0" w:lastRow="0" w:firstColumn="0" w:lastColumn="0" w:oddVBand="0" w:evenVBand="0" w:oddHBand="1" w:evenHBand="0" w:firstRowFirstColumn="0" w:firstRowLastColumn="0" w:lastRowFirstColumn="0" w:lastRowLastColumn="0"/>
              <w:rPr>
                <w:i/>
              </w:rPr>
            </w:pPr>
            <w:r w:rsidRPr="004661D4">
              <w:t xml:space="preserve">Planning and </w:t>
            </w:r>
            <w:r w:rsidR="00657907" w:rsidRPr="004661D4">
              <w:t>managing performance</w:t>
            </w:r>
            <w:r w:rsidR="00D64424">
              <w:t xml:space="preserve"> </w:t>
            </w:r>
            <w:r w:rsidR="00D64424" w:rsidRPr="004661D4">
              <w:rPr>
                <w:i/>
              </w:rPr>
              <w:t>including:</w:t>
            </w:r>
          </w:p>
          <w:p w14:paraId="2DDDE71E" w14:textId="7EBF1095" w:rsidR="00D64424" w:rsidRPr="004661D4" w:rsidRDefault="00D64424" w:rsidP="00BC35A1">
            <w:pPr>
              <w:spacing w:before="60" w:after="60"/>
              <w:cnfStyle w:val="000000100000" w:firstRow="0" w:lastRow="0" w:firstColumn="0" w:lastColumn="0" w:oddVBand="0" w:evenVBand="0" w:oddHBand="1" w:evenHBand="0" w:firstRowFirstColumn="0" w:firstRowLastColumn="0" w:lastRowFirstColumn="0" w:lastRowLastColumn="0"/>
            </w:pPr>
            <w:r>
              <w:t>Appendix 1 – Medium-term planning and financial sustainability</w:t>
            </w:r>
          </w:p>
        </w:tc>
        <w:tc>
          <w:tcPr>
            <w:tcW w:w="1017" w:type="dxa"/>
          </w:tcPr>
          <w:p w14:paraId="34F838A6" w14:textId="1F9C504F" w:rsidR="00D43142" w:rsidRPr="004661D4" w:rsidRDefault="00BC35A1" w:rsidP="00BC35A1">
            <w:pPr>
              <w:spacing w:before="60" w:after="60"/>
              <w:jc w:val="right"/>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Guidance_4_1_1 \h </w:instrText>
            </w:r>
            <w:r>
              <w:fldChar w:fldCharType="separate"/>
            </w:r>
            <w:r w:rsidR="00D44155">
              <w:rPr>
                <w:noProof/>
              </w:rPr>
              <w:t>86</w:t>
            </w:r>
            <w:r>
              <w:fldChar w:fldCharType="end"/>
            </w:r>
          </w:p>
        </w:tc>
      </w:tr>
      <w:tr w:rsidR="00D43142" w:rsidRPr="00D64424" w14:paraId="6548C8D2"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31120D74" w14:textId="113F8BC1" w:rsidR="00D43142" w:rsidRPr="004661D4" w:rsidRDefault="007F577D" w:rsidP="00BC35A1">
            <w:pPr>
              <w:spacing w:before="60" w:after="60"/>
              <w:rPr>
                <w:b/>
              </w:rPr>
            </w:pPr>
            <w:r w:rsidRPr="004661D4">
              <w:rPr>
                <w:b/>
              </w:rPr>
              <w:fldChar w:fldCharType="begin"/>
            </w:r>
            <w:r w:rsidRPr="004661D4">
              <w:rPr>
                <w:b/>
              </w:rPr>
              <w:instrText xml:space="preserve"> REF Guidance_4_2_1 \h  \* MERGEFORMAT </w:instrText>
            </w:r>
            <w:r w:rsidRPr="004661D4">
              <w:rPr>
                <w:b/>
              </w:rPr>
            </w:r>
            <w:r w:rsidRPr="004661D4">
              <w:rPr>
                <w:b/>
              </w:rPr>
              <w:fldChar w:fldCharType="separate"/>
            </w:r>
            <w:r w:rsidR="00D44155" w:rsidRPr="00D44155">
              <w:rPr>
                <w:b/>
              </w:rPr>
              <w:t xml:space="preserve">Guidance 4.2.1 </w:t>
            </w:r>
            <w:r w:rsidRPr="004661D4">
              <w:rPr>
                <w:b/>
              </w:rPr>
              <w:fldChar w:fldCharType="end"/>
            </w:r>
          </w:p>
        </w:tc>
        <w:tc>
          <w:tcPr>
            <w:tcW w:w="6804" w:type="dxa"/>
            <w:shd w:val="clear" w:color="auto" w:fill="auto"/>
          </w:tcPr>
          <w:p w14:paraId="1C9AD849" w14:textId="77777777" w:rsidR="00D43142" w:rsidRPr="004661D4" w:rsidRDefault="00D43142"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Acquisition of assets, goods and services</w:t>
            </w:r>
          </w:p>
        </w:tc>
        <w:tc>
          <w:tcPr>
            <w:tcW w:w="1017" w:type="dxa"/>
          </w:tcPr>
          <w:p w14:paraId="7B682462" w14:textId="3F0104D1" w:rsidR="00D43142" w:rsidRPr="004661D4" w:rsidRDefault="004D552F" w:rsidP="00BC35A1">
            <w:pPr>
              <w:spacing w:before="60" w:after="60"/>
              <w:jc w:val="right"/>
              <w:cnfStyle w:val="000000010000" w:firstRow="0" w:lastRow="0" w:firstColumn="0" w:lastColumn="0" w:oddVBand="0" w:evenVBand="0" w:oddHBand="0" w:evenHBand="1" w:firstRowFirstColumn="0" w:firstRowLastColumn="0" w:lastRowFirstColumn="0" w:lastRowLastColumn="0"/>
            </w:pPr>
            <w:r>
              <w:t>98</w:t>
            </w:r>
          </w:p>
        </w:tc>
      </w:tr>
      <w:tr w:rsidR="00D43142" w:rsidRPr="00D64424" w14:paraId="0AF50A02"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344D1EFE" w14:textId="5FC0CD28" w:rsidR="00D43142" w:rsidRPr="004661D4" w:rsidRDefault="007F577D" w:rsidP="00BC35A1">
            <w:pPr>
              <w:spacing w:before="60" w:after="60"/>
              <w:rPr>
                <w:b/>
              </w:rPr>
            </w:pPr>
            <w:r w:rsidRPr="004661D4">
              <w:rPr>
                <w:b/>
              </w:rPr>
              <w:fldChar w:fldCharType="begin"/>
            </w:r>
            <w:r w:rsidRPr="004661D4">
              <w:rPr>
                <w:b/>
              </w:rPr>
              <w:instrText xml:space="preserve"> REF Guidance_4_2_2 \h  \* MERGEFORMAT </w:instrText>
            </w:r>
            <w:r w:rsidRPr="004661D4">
              <w:rPr>
                <w:b/>
              </w:rPr>
            </w:r>
            <w:r w:rsidRPr="004661D4">
              <w:rPr>
                <w:b/>
              </w:rPr>
              <w:fldChar w:fldCharType="separate"/>
            </w:r>
            <w:r w:rsidR="00D44155" w:rsidRPr="00D44155">
              <w:rPr>
                <w:b/>
              </w:rPr>
              <w:t xml:space="preserve">Guidance 4.2.2 </w:t>
            </w:r>
            <w:r w:rsidRPr="004661D4">
              <w:rPr>
                <w:b/>
              </w:rPr>
              <w:fldChar w:fldCharType="end"/>
            </w:r>
          </w:p>
        </w:tc>
        <w:tc>
          <w:tcPr>
            <w:tcW w:w="6804" w:type="dxa"/>
            <w:shd w:val="clear" w:color="auto" w:fill="auto"/>
          </w:tcPr>
          <w:p w14:paraId="0DAAD609" w14:textId="77777777" w:rsidR="00D43142" w:rsidRPr="004661D4" w:rsidRDefault="00D43142" w:rsidP="00BC35A1">
            <w:pPr>
              <w:spacing w:before="60" w:after="60"/>
              <w:cnfStyle w:val="000000100000" w:firstRow="0" w:lastRow="0" w:firstColumn="0" w:lastColumn="0" w:oddVBand="0" w:evenVBand="0" w:oddHBand="1" w:evenHBand="0" w:firstRowFirstColumn="0" w:firstRowLastColumn="0" w:lastRowFirstColumn="0" w:lastRowLastColumn="0"/>
            </w:pPr>
            <w:r w:rsidRPr="004661D4">
              <w:t>Discretionary financial benefits – grants, sponsorships and donations</w:t>
            </w:r>
          </w:p>
        </w:tc>
        <w:tc>
          <w:tcPr>
            <w:tcW w:w="1017" w:type="dxa"/>
          </w:tcPr>
          <w:p w14:paraId="6DE1CFFD" w14:textId="04E8924C" w:rsidR="00D43142" w:rsidRPr="004661D4" w:rsidRDefault="004D552F" w:rsidP="00BC35A1">
            <w:pPr>
              <w:spacing w:before="60" w:after="60"/>
              <w:jc w:val="right"/>
              <w:cnfStyle w:val="000000100000" w:firstRow="0" w:lastRow="0" w:firstColumn="0" w:lastColumn="0" w:oddVBand="0" w:evenVBand="0" w:oddHBand="1" w:evenHBand="0" w:firstRowFirstColumn="0" w:firstRowLastColumn="0" w:lastRowFirstColumn="0" w:lastRowLastColumn="0"/>
            </w:pPr>
            <w:r>
              <w:t>105</w:t>
            </w:r>
          </w:p>
        </w:tc>
      </w:tr>
      <w:tr w:rsidR="00D43142" w14:paraId="0116F706"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tcPr>
          <w:p w14:paraId="758DB42F" w14:textId="0828CD43" w:rsidR="00D43142" w:rsidRPr="004661D4" w:rsidRDefault="007F577D" w:rsidP="00BC35A1">
            <w:pPr>
              <w:spacing w:before="60" w:after="60"/>
              <w:rPr>
                <w:b/>
              </w:rPr>
            </w:pPr>
            <w:r w:rsidRPr="004661D4">
              <w:rPr>
                <w:b/>
              </w:rPr>
              <w:fldChar w:fldCharType="begin"/>
            </w:r>
            <w:r w:rsidRPr="004661D4">
              <w:rPr>
                <w:b/>
              </w:rPr>
              <w:instrText xml:space="preserve"> REF Guidance_5_1 \h  \* MERGEFORMAT </w:instrText>
            </w:r>
            <w:r w:rsidRPr="004661D4">
              <w:rPr>
                <w:b/>
              </w:rPr>
            </w:r>
            <w:r w:rsidRPr="004661D4">
              <w:rPr>
                <w:b/>
              </w:rPr>
              <w:fldChar w:fldCharType="separate"/>
            </w:r>
            <w:r w:rsidR="00D44155" w:rsidRPr="00D44155">
              <w:rPr>
                <w:b/>
              </w:rPr>
              <w:t xml:space="preserve">Guidance 5.1 </w:t>
            </w:r>
            <w:r w:rsidRPr="004661D4">
              <w:rPr>
                <w:b/>
              </w:rPr>
              <w:fldChar w:fldCharType="end"/>
            </w:r>
          </w:p>
        </w:tc>
        <w:tc>
          <w:tcPr>
            <w:tcW w:w="6804" w:type="dxa"/>
            <w:shd w:val="clear" w:color="auto" w:fill="auto"/>
          </w:tcPr>
          <w:p w14:paraId="58465786" w14:textId="77777777" w:rsidR="00D43142" w:rsidRPr="004661D4" w:rsidRDefault="00D43142" w:rsidP="00BC35A1">
            <w:pPr>
              <w:spacing w:before="60" w:after="60"/>
              <w:cnfStyle w:val="000000010000" w:firstRow="0" w:lastRow="0" w:firstColumn="0" w:lastColumn="0" w:oddVBand="0" w:evenVBand="0" w:oddHBand="0" w:evenHBand="1" w:firstRowFirstColumn="0" w:firstRowLastColumn="0" w:lastRowFirstColumn="0" w:lastRowLastColumn="0"/>
            </w:pPr>
            <w:r w:rsidRPr="004661D4">
              <w:t>Financial management compliance</w:t>
            </w:r>
          </w:p>
        </w:tc>
        <w:tc>
          <w:tcPr>
            <w:tcW w:w="1017" w:type="dxa"/>
          </w:tcPr>
          <w:p w14:paraId="1D98919D" w14:textId="72D7944A" w:rsidR="00D43142" w:rsidRDefault="004D552F" w:rsidP="00BC35A1">
            <w:pPr>
              <w:spacing w:before="60" w:after="60"/>
              <w:jc w:val="right"/>
              <w:cnfStyle w:val="000000010000" w:firstRow="0" w:lastRow="0" w:firstColumn="0" w:lastColumn="0" w:oddVBand="0" w:evenVBand="0" w:oddHBand="0" w:evenHBand="1" w:firstRowFirstColumn="0" w:firstRowLastColumn="0" w:lastRowFirstColumn="0" w:lastRowLastColumn="0"/>
            </w:pPr>
            <w:r>
              <w:t>107</w:t>
            </w:r>
          </w:p>
        </w:tc>
      </w:tr>
    </w:tbl>
    <w:p w14:paraId="0E68A91A" w14:textId="77777777" w:rsidR="00B009A5" w:rsidRDefault="00B009A5" w:rsidP="008708C0">
      <w:pPr>
        <w:pStyle w:val="Spacer"/>
      </w:pPr>
    </w:p>
    <w:p w14:paraId="537583F5" w14:textId="77777777" w:rsidR="00BC35A1" w:rsidRDefault="00BC35A1">
      <w:r>
        <w:rPr>
          <w:b/>
          <w:bCs/>
        </w:rPr>
        <w:br w:type="page"/>
      </w:r>
    </w:p>
    <w:tbl>
      <w:tblPr>
        <w:tblStyle w:val="LightShading"/>
        <w:tblW w:w="9900" w:type="dxa"/>
        <w:tblLook w:val="04A0" w:firstRow="1" w:lastRow="0" w:firstColumn="1" w:lastColumn="0" w:noHBand="0" w:noVBand="1"/>
      </w:tblPr>
      <w:tblGrid>
        <w:gridCol w:w="3150"/>
        <w:gridCol w:w="1670"/>
        <w:gridCol w:w="5080"/>
      </w:tblGrid>
      <w:tr w:rsidR="008708C0" w:rsidRPr="008708C0" w14:paraId="079FB486" w14:textId="77777777" w:rsidTr="00995E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00" w:type="dxa"/>
            <w:gridSpan w:val="3"/>
            <w:shd w:val="clear" w:color="auto" w:fill="BFBFBF" w:themeFill="background1" w:themeFillShade="BF"/>
          </w:tcPr>
          <w:p w14:paraId="7D3F7CB2" w14:textId="388EA5A5" w:rsidR="00515507" w:rsidRPr="00924EDE" w:rsidRDefault="00515507" w:rsidP="008E306C">
            <w:pPr>
              <w:rPr>
                <w:sz w:val="16"/>
              </w:rPr>
            </w:pPr>
            <w:r w:rsidRPr="003960F3">
              <w:rPr>
                <w:sz w:val="16"/>
              </w:rPr>
              <w:lastRenderedPageBreak/>
              <w:t xml:space="preserve">Key </w:t>
            </w:r>
            <w:r w:rsidR="008708C0" w:rsidRPr="003960F3">
              <w:rPr>
                <w:sz w:val="16"/>
              </w:rPr>
              <w:t>revisions</w:t>
            </w:r>
            <w:r w:rsidRPr="003960F3">
              <w:rPr>
                <w:sz w:val="16"/>
              </w:rPr>
              <w:t>/updates to Guidance supporting the Standing Directions 2018 from May 2019</w:t>
            </w:r>
          </w:p>
        </w:tc>
      </w:tr>
      <w:tr w:rsidR="00515507" w14:paraId="2FB3F137" w14:textId="77777777" w:rsidTr="00D7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bottom w:val="single" w:sz="6" w:space="0" w:color="7F7F7F" w:themeColor="text1" w:themeTint="80"/>
            </w:tcBorders>
            <w:shd w:val="clear" w:color="auto" w:fill="D9D9D9" w:themeFill="background1" w:themeFillShade="D9"/>
          </w:tcPr>
          <w:p w14:paraId="4B61A3B3" w14:textId="62C2A39C" w:rsidR="00515507" w:rsidRPr="00764EE3" w:rsidRDefault="00515507" w:rsidP="008E306C">
            <w:pPr>
              <w:rPr>
                <w:b/>
                <w:sz w:val="16"/>
                <w:szCs w:val="16"/>
              </w:rPr>
            </w:pPr>
            <w:r w:rsidRPr="00764EE3">
              <w:rPr>
                <w:b/>
                <w:sz w:val="16"/>
                <w:szCs w:val="16"/>
              </w:rPr>
              <w:t>Guidance revised/updated</w:t>
            </w:r>
          </w:p>
        </w:tc>
        <w:tc>
          <w:tcPr>
            <w:tcW w:w="1670" w:type="dxa"/>
            <w:shd w:val="clear" w:color="auto" w:fill="D9D9D9" w:themeFill="background1" w:themeFillShade="D9"/>
          </w:tcPr>
          <w:p w14:paraId="7BD1F672" w14:textId="0CE87C51" w:rsidR="00515507" w:rsidRPr="00764EE3" w:rsidRDefault="00515507" w:rsidP="008E306C">
            <w:pPr>
              <w:cnfStyle w:val="000000100000" w:firstRow="0" w:lastRow="0" w:firstColumn="0" w:lastColumn="0" w:oddVBand="0" w:evenVBand="0" w:oddHBand="1" w:evenHBand="0" w:firstRowFirstColumn="0" w:firstRowLastColumn="0" w:lastRowFirstColumn="0" w:lastRowLastColumn="0"/>
              <w:rPr>
                <w:b/>
                <w:sz w:val="16"/>
                <w:szCs w:val="16"/>
              </w:rPr>
            </w:pPr>
            <w:r w:rsidRPr="00764EE3">
              <w:rPr>
                <w:b/>
                <w:sz w:val="16"/>
                <w:szCs w:val="16"/>
              </w:rPr>
              <w:t>Date of revision</w:t>
            </w:r>
          </w:p>
        </w:tc>
        <w:tc>
          <w:tcPr>
            <w:tcW w:w="5080" w:type="dxa"/>
            <w:shd w:val="clear" w:color="auto" w:fill="D9D9D9" w:themeFill="background1" w:themeFillShade="D9"/>
          </w:tcPr>
          <w:p w14:paraId="40E86D3F" w14:textId="0CF4F6E3" w:rsidR="00515507" w:rsidRPr="00764EE3" w:rsidRDefault="00515507" w:rsidP="008E306C">
            <w:pPr>
              <w:cnfStyle w:val="000000100000" w:firstRow="0" w:lastRow="0" w:firstColumn="0" w:lastColumn="0" w:oddVBand="0" w:evenVBand="0" w:oddHBand="1" w:evenHBand="0" w:firstRowFirstColumn="0" w:firstRowLastColumn="0" w:lastRowFirstColumn="0" w:lastRowLastColumn="0"/>
              <w:rPr>
                <w:b/>
                <w:sz w:val="16"/>
                <w:szCs w:val="16"/>
              </w:rPr>
            </w:pPr>
            <w:r w:rsidRPr="00764EE3">
              <w:rPr>
                <w:b/>
                <w:sz w:val="16"/>
                <w:szCs w:val="16"/>
              </w:rPr>
              <w:t xml:space="preserve">Nature of </w:t>
            </w:r>
            <w:r w:rsidR="00650EFA" w:rsidRPr="00764EE3">
              <w:rPr>
                <w:b/>
                <w:sz w:val="16"/>
                <w:szCs w:val="16"/>
              </w:rPr>
              <w:t>r</w:t>
            </w:r>
            <w:r w:rsidRPr="00764EE3">
              <w:rPr>
                <w:b/>
                <w:sz w:val="16"/>
                <w:szCs w:val="16"/>
              </w:rPr>
              <w:t>evision/update</w:t>
            </w:r>
          </w:p>
        </w:tc>
      </w:tr>
      <w:tr w:rsidR="00492B9A" w:rsidRPr="002D61D4" w14:paraId="4EC3B11B" w14:textId="77777777" w:rsidTr="00CD3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val="restart"/>
            <w:shd w:val="clear" w:color="auto" w:fill="F2F2F2" w:themeFill="background1" w:themeFillShade="F2"/>
          </w:tcPr>
          <w:p w14:paraId="0C7BE775" w14:textId="5B7838B6" w:rsidR="00492B9A" w:rsidRPr="00764EE3" w:rsidRDefault="00492B9A" w:rsidP="008E306C">
            <w:pPr>
              <w:rPr>
                <w:sz w:val="16"/>
                <w:szCs w:val="16"/>
              </w:rPr>
            </w:pPr>
            <w:r w:rsidRPr="00764EE3">
              <w:rPr>
                <w:sz w:val="16"/>
                <w:szCs w:val="16"/>
              </w:rPr>
              <w:t>Guidance 1.5 – Exemptions</w:t>
            </w:r>
          </w:p>
        </w:tc>
        <w:tc>
          <w:tcPr>
            <w:tcW w:w="1670" w:type="dxa"/>
          </w:tcPr>
          <w:p w14:paraId="07937965" w14:textId="162ADF56" w:rsidR="00492B9A" w:rsidRPr="00764EE3" w:rsidRDefault="00492B9A"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 May 2019</w:t>
            </w:r>
          </w:p>
        </w:tc>
        <w:tc>
          <w:tcPr>
            <w:tcW w:w="5080" w:type="dxa"/>
          </w:tcPr>
          <w:p w14:paraId="239B498C" w14:textId="77777777" w:rsidR="00492B9A" w:rsidRPr="00764EE3" w:rsidRDefault="00492B9A"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Discussion of Treasurer’s powers with respect to certain Directions</w:t>
            </w:r>
          </w:p>
          <w:p w14:paraId="086B2DBA" w14:textId="0DA88CB6" w:rsidR="00492B9A" w:rsidRPr="00764EE3" w:rsidRDefault="00492B9A" w:rsidP="00995ED6">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Clarification of circumstances when exemption is not necessary</w:t>
            </w:r>
          </w:p>
        </w:tc>
      </w:tr>
      <w:tr w:rsidR="00492B9A" w:rsidRPr="002D61D4" w14:paraId="266244E4" w14:textId="77777777" w:rsidTr="00CD3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38626E0F" w14:textId="77777777" w:rsidR="00492B9A" w:rsidRPr="00764EE3" w:rsidRDefault="00492B9A" w:rsidP="008E306C">
            <w:pPr>
              <w:rPr>
                <w:sz w:val="16"/>
                <w:szCs w:val="16"/>
              </w:rPr>
            </w:pPr>
          </w:p>
        </w:tc>
        <w:tc>
          <w:tcPr>
            <w:tcW w:w="1670" w:type="dxa"/>
          </w:tcPr>
          <w:p w14:paraId="332519A1" w14:textId="6E5686EA" w:rsidR="00492B9A" w:rsidRPr="00764EE3" w:rsidRDefault="00492B9A"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13 December 2019</w:t>
            </w:r>
          </w:p>
        </w:tc>
        <w:tc>
          <w:tcPr>
            <w:tcW w:w="5080" w:type="dxa"/>
          </w:tcPr>
          <w:p w14:paraId="315509B5" w14:textId="05C6A915" w:rsidR="00492B9A" w:rsidRPr="00764EE3" w:rsidRDefault="00492B9A"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Clarification that retrospective application will only be approved in special circumstances</w:t>
            </w:r>
          </w:p>
        </w:tc>
      </w:tr>
      <w:tr w:rsidR="00492B9A" w:rsidRPr="002D61D4" w14:paraId="774A35EE" w14:textId="77777777" w:rsidTr="00CD3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5AE1A941" w14:textId="77777777" w:rsidR="00492B9A" w:rsidRPr="00764EE3" w:rsidRDefault="00492B9A" w:rsidP="008E306C">
            <w:pPr>
              <w:rPr>
                <w:sz w:val="16"/>
                <w:szCs w:val="16"/>
              </w:rPr>
            </w:pPr>
          </w:p>
        </w:tc>
        <w:tc>
          <w:tcPr>
            <w:tcW w:w="1670" w:type="dxa"/>
          </w:tcPr>
          <w:p w14:paraId="1E26F6FC" w14:textId="68D3F391" w:rsidR="00492B9A" w:rsidRPr="00764EE3" w:rsidRDefault="00492B9A"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 February 2021</w:t>
            </w:r>
          </w:p>
        </w:tc>
        <w:tc>
          <w:tcPr>
            <w:tcW w:w="5080" w:type="dxa"/>
          </w:tcPr>
          <w:p w14:paraId="57DDE941" w14:textId="54B33EC5" w:rsidR="00492B9A" w:rsidRPr="00764EE3" w:rsidRDefault="00492B9A"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Clarification of processes for exemption from Central Banking System requirements</w:t>
            </w:r>
          </w:p>
        </w:tc>
      </w:tr>
      <w:tr w:rsidR="00492B9A" w:rsidRPr="002D61D4" w14:paraId="5E0D934C" w14:textId="77777777" w:rsidTr="00CD3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tcBorders>
              <w:bottom w:val="single" w:sz="4" w:space="0" w:color="auto"/>
            </w:tcBorders>
            <w:shd w:val="clear" w:color="auto" w:fill="F2F2F2" w:themeFill="background1" w:themeFillShade="F2"/>
          </w:tcPr>
          <w:p w14:paraId="38134DD0" w14:textId="77777777" w:rsidR="00492B9A" w:rsidRPr="00764EE3" w:rsidRDefault="00492B9A" w:rsidP="008E306C">
            <w:pPr>
              <w:rPr>
                <w:sz w:val="16"/>
                <w:szCs w:val="16"/>
              </w:rPr>
            </w:pPr>
          </w:p>
        </w:tc>
        <w:tc>
          <w:tcPr>
            <w:tcW w:w="1670" w:type="dxa"/>
          </w:tcPr>
          <w:p w14:paraId="579CF050" w14:textId="45BAFAC4" w:rsidR="00492B9A" w:rsidRPr="00764EE3" w:rsidRDefault="00023D2C"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w:t>
            </w:r>
            <w:r w:rsidR="00492B9A">
              <w:rPr>
                <w:sz w:val="16"/>
                <w:szCs w:val="16"/>
              </w:rPr>
              <w:t xml:space="preserve"> </w:t>
            </w:r>
            <w:r>
              <w:rPr>
                <w:sz w:val="16"/>
                <w:szCs w:val="16"/>
              </w:rPr>
              <w:t>August</w:t>
            </w:r>
            <w:r w:rsidR="00A004C4">
              <w:rPr>
                <w:sz w:val="16"/>
                <w:szCs w:val="16"/>
              </w:rPr>
              <w:t xml:space="preserve"> 2022</w:t>
            </w:r>
          </w:p>
        </w:tc>
        <w:tc>
          <w:tcPr>
            <w:tcW w:w="5080" w:type="dxa"/>
          </w:tcPr>
          <w:p w14:paraId="3ABC1F67" w14:textId="2B8D03CA" w:rsidR="00492B9A" w:rsidRPr="00764EE3" w:rsidRDefault="00492B9A"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Clarification of e</w:t>
            </w:r>
            <w:r w:rsidRPr="00492B9A">
              <w:rPr>
                <w:sz w:val="16"/>
                <w:szCs w:val="16"/>
              </w:rPr>
              <w:t>xemptions to hold financial assets outside of the Central Banking System (Direction 3.7.2)</w:t>
            </w:r>
          </w:p>
        </w:tc>
      </w:tr>
      <w:tr w:rsidR="00D778F3" w:rsidRPr="002D61D4" w14:paraId="3F824F26" w14:textId="77777777" w:rsidTr="00D778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val="restart"/>
            <w:tcBorders>
              <w:top w:val="single" w:sz="4" w:space="0" w:color="auto"/>
            </w:tcBorders>
            <w:shd w:val="clear" w:color="auto" w:fill="F2F2F2" w:themeFill="background1" w:themeFillShade="F2"/>
          </w:tcPr>
          <w:p w14:paraId="72644AEF" w14:textId="2A971F21" w:rsidR="00D778F3" w:rsidRPr="00764EE3" w:rsidRDefault="00D778F3" w:rsidP="008E306C">
            <w:pPr>
              <w:rPr>
                <w:sz w:val="16"/>
                <w:szCs w:val="16"/>
              </w:rPr>
            </w:pPr>
            <w:r w:rsidRPr="00576F73">
              <w:rPr>
                <w:sz w:val="16"/>
                <w:szCs w:val="16"/>
              </w:rPr>
              <w:t>Guidance 1.6 – Glossary of terms</w:t>
            </w:r>
          </w:p>
        </w:tc>
        <w:tc>
          <w:tcPr>
            <w:tcW w:w="1670" w:type="dxa"/>
          </w:tcPr>
          <w:p w14:paraId="2ECF0288" w14:textId="77777777" w:rsidR="00D778F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12 April 2021</w:t>
            </w:r>
          </w:p>
          <w:p w14:paraId="35750992" w14:textId="77777777" w:rsidR="00D778F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p>
          <w:p w14:paraId="0C9BA1DF" w14:textId="00B1862C" w:rsidR="00D778F3" w:rsidRPr="00764EE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22 November 2022</w:t>
            </w:r>
          </w:p>
        </w:tc>
        <w:tc>
          <w:tcPr>
            <w:tcW w:w="5080" w:type="dxa"/>
          </w:tcPr>
          <w:p w14:paraId="0A732CCD" w14:textId="77777777" w:rsidR="00D778F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 xml:space="preserve">Updating definition of </w:t>
            </w:r>
            <w:r w:rsidRPr="00CB6AC6">
              <w:rPr>
                <w:sz w:val="16"/>
                <w:szCs w:val="16"/>
              </w:rPr>
              <w:t>public body</w:t>
            </w:r>
            <w:r w:rsidRPr="00764EE3">
              <w:rPr>
                <w:sz w:val="16"/>
                <w:szCs w:val="16"/>
              </w:rPr>
              <w:t xml:space="preserve"> to note that a Corporations Act company may be declared to be a public body in specified circumstances</w:t>
            </w:r>
          </w:p>
          <w:p w14:paraId="499DA2FB" w14:textId="5B2F3C37" w:rsidR="00D778F3" w:rsidRPr="00764EE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Inclusion of definition of ‘fully compliant’</w:t>
            </w:r>
          </w:p>
        </w:tc>
      </w:tr>
      <w:tr w:rsidR="00D778F3" w:rsidRPr="002D61D4" w14:paraId="59D593E5" w14:textId="77777777" w:rsidTr="00D7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426BE5C3" w14:textId="77777777" w:rsidR="00D778F3" w:rsidRPr="00D778F3" w:rsidRDefault="00D778F3" w:rsidP="008E306C">
            <w:pPr>
              <w:rPr>
                <w:sz w:val="16"/>
                <w:szCs w:val="16"/>
                <w:highlight w:val="yellow"/>
              </w:rPr>
            </w:pPr>
          </w:p>
        </w:tc>
        <w:tc>
          <w:tcPr>
            <w:tcW w:w="1670" w:type="dxa"/>
          </w:tcPr>
          <w:p w14:paraId="405A3D3C" w14:textId="769AACEF" w:rsidR="00D778F3" w:rsidRPr="00764EE3" w:rsidRDefault="00567933"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 February</w:t>
            </w:r>
            <w:r w:rsidR="00D778F3">
              <w:rPr>
                <w:sz w:val="16"/>
                <w:szCs w:val="16"/>
              </w:rPr>
              <w:t xml:space="preserve"> 2023</w:t>
            </w:r>
          </w:p>
        </w:tc>
        <w:tc>
          <w:tcPr>
            <w:tcW w:w="5080" w:type="dxa"/>
          </w:tcPr>
          <w:p w14:paraId="60EC0701" w14:textId="726C3B2C" w:rsidR="00D778F3" w:rsidRPr="00764EE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Inclusion of definitions of ‘Administrative Office’ and ‘Administrative Office Head’</w:t>
            </w:r>
          </w:p>
        </w:tc>
      </w:tr>
      <w:tr w:rsidR="00DE72AB" w:rsidRPr="002D61D4" w14:paraId="17A854A9" w14:textId="77777777" w:rsidTr="00D904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446E48C0" w14:textId="356359A8" w:rsidR="00DE72AB" w:rsidRPr="00764EE3" w:rsidRDefault="00995ED6" w:rsidP="008E306C">
            <w:pPr>
              <w:rPr>
                <w:sz w:val="16"/>
                <w:szCs w:val="16"/>
              </w:rPr>
            </w:pPr>
            <w:r w:rsidRPr="00764EE3">
              <w:rPr>
                <w:sz w:val="16"/>
                <w:szCs w:val="16"/>
              </w:rPr>
              <w:t xml:space="preserve">Guidance </w:t>
            </w:r>
            <w:r w:rsidR="004E6DB6" w:rsidRPr="00764EE3">
              <w:rPr>
                <w:sz w:val="16"/>
                <w:szCs w:val="16"/>
              </w:rPr>
              <w:t>2.4</w:t>
            </w:r>
            <w:r w:rsidR="005114AF" w:rsidRPr="00764EE3">
              <w:rPr>
                <w:sz w:val="16"/>
                <w:szCs w:val="16"/>
              </w:rPr>
              <w:t xml:space="preserve"> – Chief Finance Officer</w:t>
            </w:r>
          </w:p>
        </w:tc>
        <w:tc>
          <w:tcPr>
            <w:tcW w:w="1670" w:type="dxa"/>
          </w:tcPr>
          <w:p w14:paraId="300782D0" w14:textId="08D1224D" w:rsidR="00DE72AB" w:rsidRPr="00764EE3" w:rsidRDefault="004E6DB6"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 May 2019</w:t>
            </w:r>
          </w:p>
        </w:tc>
        <w:tc>
          <w:tcPr>
            <w:tcW w:w="5080" w:type="dxa"/>
          </w:tcPr>
          <w:p w14:paraId="55E9D5D3" w14:textId="063ACF27" w:rsidR="00DE72AB" w:rsidRPr="00764EE3" w:rsidRDefault="004E6DB6"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Incorporation of Government policy in relation to Portfolio Department CFOs</w:t>
            </w:r>
          </w:p>
        </w:tc>
      </w:tr>
      <w:tr w:rsidR="00995ED6" w:rsidRPr="002D61D4" w14:paraId="60ABD356" w14:textId="77777777" w:rsidTr="00D90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val="restart"/>
            <w:shd w:val="clear" w:color="auto" w:fill="F2F2F2" w:themeFill="background1" w:themeFillShade="F2"/>
          </w:tcPr>
          <w:p w14:paraId="2FC4A014" w14:textId="3F7364C9" w:rsidR="00995ED6" w:rsidRPr="00764EE3" w:rsidRDefault="00995ED6" w:rsidP="008E306C">
            <w:pPr>
              <w:rPr>
                <w:sz w:val="16"/>
                <w:szCs w:val="16"/>
              </w:rPr>
            </w:pPr>
            <w:r w:rsidRPr="00764EE3">
              <w:rPr>
                <w:sz w:val="16"/>
                <w:szCs w:val="16"/>
              </w:rPr>
              <w:t>Guidance 2.4.6 – CFO whole of government responsibilities</w:t>
            </w:r>
          </w:p>
        </w:tc>
        <w:tc>
          <w:tcPr>
            <w:tcW w:w="1670" w:type="dxa"/>
          </w:tcPr>
          <w:p w14:paraId="3E5E8AA1" w14:textId="27604B45" w:rsidR="00995ED6" w:rsidRPr="00764EE3" w:rsidRDefault="00995ED6"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1 May 2019</w:t>
            </w:r>
          </w:p>
        </w:tc>
        <w:tc>
          <w:tcPr>
            <w:tcW w:w="5080" w:type="dxa"/>
          </w:tcPr>
          <w:p w14:paraId="253DDA16" w14:textId="789B18F5" w:rsidR="00995ED6" w:rsidRPr="00764EE3" w:rsidRDefault="00995ED6"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Incorporation of Government policy in relation to Portfolio Department CFOs</w:t>
            </w:r>
          </w:p>
        </w:tc>
      </w:tr>
      <w:tr w:rsidR="00995ED6" w:rsidRPr="002D61D4" w14:paraId="0C380ABD" w14:textId="77777777" w:rsidTr="00D904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611D4C8F" w14:textId="77777777" w:rsidR="00995ED6" w:rsidRPr="00764EE3" w:rsidRDefault="00995ED6" w:rsidP="008E306C">
            <w:pPr>
              <w:rPr>
                <w:sz w:val="16"/>
                <w:szCs w:val="16"/>
              </w:rPr>
            </w:pPr>
          </w:p>
        </w:tc>
        <w:tc>
          <w:tcPr>
            <w:tcW w:w="1670" w:type="dxa"/>
          </w:tcPr>
          <w:p w14:paraId="3C0EF82B" w14:textId="2FC69CA9" w:rsidR="00995ED6" w:rsidRPr="00764EE3" w:rsidRDefault="00995ED6"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 February 2021</w:t>
            </w:r>
          </w:p>
        </w:tc>
        <w:tc>
          <w:tcPr>
            <w:tcW w:w="5080" w:type="dxa"/>
          </w:tcPr>
          <w:p w14:paraId="25536AE1" w14:textId="4D8168B7" w:rsidR="00995ED6" w:rsidRPr="00764EE3" w:rsidRDefault="00995ED6"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Clarification of compliance and reporting requirements</w:t>
            </w:r>
          </w:p>
        </w:tc>
      </w:tr>
      <w:tr w:rsidR="00D778F3" w:rsidRPr="002D61D4" w14:paraId="0CBE8BF1" w14:textId="77777777" w:rsidTr="00D90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val="restart"/>
            <w:shd w:val="clear" w:color="auto" w:fill="F2F2F2" w:themeFill="background1" w:themeFillShade="F2"/>
          </w:tcPr>
          <w:p w14:paraId="3AD77D2F" w14:textId="48EE5C4B" w:rsidR="00D778F3" w:rsidRPr="00764EE3" w:rsidRDefault="00D778F3" w:rsidP="008E306C">
            <w:pPr>
              <w:rPr>
                <w:sz w:val="16"/>
                <w:szCs w:val="16"/>
              </w:rPr>
            </w:pPr>
            <w:r w:rsidRPr="00576F73">
              <w:rPr>
                <w:sz w:val="16"/>
                <w:szCs w:val="16"/>
              </w:rPr>
              <w:t>Guidance 2.5 – Delegations</w:t>
            </w:r>
          </w:p>
        </w:tc>
        <w:tc>
          <w:tcPr>
            <w:tcW w:w="1670" w:type="dxa"/>
          </w:tcPr>
          <w:p w14:paraId="2EC09430" w14:textId="72708841" w:rsidR="00D778F3" w:rsidRPr="00764EE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1 May 2019</w:t>
            </w:r>
          </w:p>
        </w:tc>
        <w:tc>
          <w:tcPr>
            <w:tcW w:w="5080" w:type="dxa"/>
          </w:tcPr>
          <w:p w14:paraId="77EA3FF9" w14:textId="04C699E8" w:rsidR="00D778F3" w:rsidRPr="00764EE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New Guidance (based on Guidance 3.3 – Financial authorisations)</w:t>
            </w:r>
          </w:p>
        </w:tc>
      </w:tr>
      <w:tr w:rsidR="00D778F3" w:rsidRPr="002D61D4" w14:paraId="2096AC77" w14:textId="77777777" w:rsidTr="00D904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020F160D" w14:textId="77777777" w:rsidR="00D778F3" w:rsidRPr="00764EE3" w:rsidRDefault="00D778F3" w:rsidP="008E306C">
            <w:pPr>
              <w:rPr>
                <w:sz w:val="16"/>
                <w:szCs w:val="16"/>
              </w:rPr>
            </w:pPr>
          </w:p>
        </w:tc>
        <w:tc>
          <w:tcPr>
            <w:tcW w:w="1670" w:type="dxa"/>
          </w:tcPr>
          <w:p w14:paraId="17CD9F08" w14:textId="7A4CE16A" w:rsidR="00D778F3" w:rsidRPr="00764EE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13 December 2019</w:t>
            </w:r>
          </w:p>
        </w:tc>
        <w:tc>
          <w:tcPr>
            <w:tcW w:w="5080" w:type="dxa"/>
          </w:tcPr>
          <w:p w14:paraId="465AB320" w14:textId="551AEB6D" w:rsidR="00D778F3" w:rsidRPr="00764EE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Clarification that secondees and others may be treated as employees for delegation purposes</w:t>
            </w:r>
          </w:p>
        </w:tc>
      </w:tr>
      <w:tr w:rsidR="00D778F3" w:rsidRPr="002D61D4" w14:paraId="3C803D1F" w14:textId="77777777" w:rsidTr="00D90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37D62AB1" w14:textId="77777777" w:rsidR="00D778F3" w:rsidRPr="00764EE3" w:rsidRDefault="00D778F3" w:rsidP="008E306C">
            <w:pPr>
              <w:rPr>
                <w:sz w:val="16"/>
                <w:szCs w:val="16"/>
              </w:rPr>
            </w:pPr>
          </w:p>
        </w:tc>
        <w:tc>
          <w:tcPr>
            <w:tcW w:w="1670" w:type="dxa"/>
          </w:tcPr>
          <w:p w14:paraId="2E309CAC" w14:textId="26E93DAC" w:rsidR="00D778F3" w:rsidRPr="00764EE3" w:rsidRDefault="00567933"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 February</w:t>
            </w:r>
            <w:r w:rsidR="00D778F3">
              <w:rPr>
                <w:sz w:val="16"/>
                <w:szCs w:val="16"/>
              </w:rPr>
              <w:t>2023</w:t>
            </w:r>
          </w:p>
        </w:tc>
        <w:tc>
          <w:tcPr>
            <w:tcW w:w="5080" w:type="dxa"/>
          </w:tcPr>
          <w:p w14:paraId="19F73A32" w14:textId="1A3EE6C1" w:rsidR="00D778F3" w:rsidRPr="00764EE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Clarification that Administrative Office Heads, executives, and employees are treated as employees for delegation purposes</w:t>
            </w:r>
          </w:p>
        </w:tc>
      </w:tr>
      <w:tr w:rsidR="00492B9A" w:rsidRPr="002D61D4" w14:paraId="5C1ED7CF" w14:textId="77777777" w:rsidTr="00D904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3BBECA6C" w14:textId="1F65672B" w:rsidR="00492B9A" w:rsidRPr="00764EE3" w:rsidRDefault="00492B9A" w:rsidP="008E306C">
            <w:pPr>
              <w:rPr>
                <w:sz w:val="16"/>
                <w:szCs w:val="16"/>
              </w:rPr>
            </w:pPr>
            <w:r>
              <w:rPr>
                <w:sz w:val="16"/>
                <w:szCs w:val="16"/>
              </w:rPr>
              <w:t>Guidance 3.2.1 – Audit Committee</w:t>
            </w:r>
          </w:p>
        </w:tc>
        <w:tc>
          <w:tcPr>
            <w:tcW w:w="1670" w:type="dxa"/>
          </w:tcPr>
          <w:p w14:paraId="2168708C" w14:textId="0F7D6830" w:rsidR="00492B9A" w:rsidRPr="00764EE3" w:rsidRDefault="00023D2C"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12</w:t>
            </w:r>
            <w:r w:rsidR="00492B9A">
              <w:rPr>
                <w:sz w:val="16"/>
                <w:szCs w:val="16"/>
              </w:rPr>
              <w:t xml:space="preserve"> </w:t>
            </w:r>
            <w:r>
              <w:rPr>
                <w:sz w:val="16"/>
                <w:szCs w:val="16"/>
              </w:rPr>
              <w:t>August</w:t>
            </w:r>
            <w:r w:rsidR="00A004C4">
              <w:rPr>
                <w:sz w:val="16"/>
                <w:szCs w:val="16"/>
              </w:rPr>
              <w:t xml:space="preserve"> 2022</w:t>
            </w:r>
          </w:p>
        </w:tc>
        <w:tc>
          <w:tcPr>
            <w:tcW w:w="5080" w:type="dxa"/>
          </w:tcPr>
          <w:p w14:paraId="3EB26022" w14:textId="5B913D28" w:rsidR="00492B9A" w:rsidRPr="00764EE3" w:rsidRDefault="00492B9A"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Inclusion of details of </w:t>
            </w:r>
            <w:r w:rsidRPr="00492B9A">
              <w:rPr>
                <w:sz w:val="16"/>
                <w:szCs w:val="16"/>
              </w:rPr>
              <w:t>Audit Committee</w:t>
            </w:r>
            <w:r>
              <w:rPr>
                <w:sz w:val="16"/>
                <w:szCs w:val="16"/>
              </w:rPr>
              <w:t>’s responsibilities to</w:t>
            </w:r>
            <w:r w:rsidRPr="00492B9A">
              <w:rPr>
                <w:sz w:val="16"/>
                <w:szCs w:val="16"/>
              </w:rPr>
              <w:t xml:space="preserve"> review and monitor long term investments</w:t>
            </w:r>
          </w:p>
        </w:tc>
      </w:tr>
      <w:tr w:rsidR="00D778F3" w:rsidRPr="002D61D4" w14:paraId="3E2A4145" w14:textId="77777777" w:rsidTr="00D90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val="restart"/>
            <w:shd w:val="clear" w:color="auto" w:fill="F2F2F2" w:themeFill="background1" w:themeFillShade="F2"/>
          </w:tcPr>
          <w:p w14:paraId="1A0CD3A5" w14:textId="7B578AF3" w:rsidR="00D778F3" w:rsidRPr="00764EE3" w:rsidRDefault="00D778F3" w:rsidP="008E306C">
            <w:pPr>
              <w:rPr>
                <w:sz w:val="16"/>
                <w:szCs w:val="16"/>
              </w:rPr>
            </w:pPr>
            <w:r w:rsidRPr="00576F73">
              <w:rPr>
                <w:sz w:val="16"/>
                <w:szCs w:val="16"/>
              </w:rPr>
              <w:t>Guidance 3.3 – Financial authorisations</w:t>
            </w:r>
          </w:p>
        </w:tc>
        <w:tc>
          <w:tcPr>
            <w:tcW w:w="1670" w:type="dxa"/>
          </w:tcPr>
          <w:p w14:paraId="3AFB6F61" w14:textId="77777777" w:rsidR="00D778F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1 May 2019</w:t>
            </w:r>
          </w:p>
          <w:p w14:paraId="4296D707" w14:textId="77777777" w:rsidR="005A268A" w:rsidRDefault="005A268A" w:rsidP="008E306C">
            <w:pPr>
              <w:cnfStyle w:val="000000100000" w:firstRow="0" w:lastRow="0" w:firstColumn="0" w:lastColumn="0" w:oddVBand="0" w:evenVBand="0" w:oddHBand="1" w:evenHBand="0" w:firstRowFirstColumn="0" w:firstRowLastColumn="0" w:lastRowFirstColumn="0" w:lastRowLastColumn="0"/>
              <w:rPr>
                <w:sz w:val="16"/>
                <w:szCs w:val="16"/>
              </w:rPr>
            </w:pPr>
          </w:p>
          <w:p w14:paraId="79202AD1" w14:textId="5BA0E72D" w:rsidR="005A268A" w:rsidRPr="00764EE3" w:rsidRDefault="005A268A" w:rsidP="008E306C">
            <w:pPr>
              <w:cnfStyle w:val="000000100000" w:firstRow="0" w:lastRow="0" w:firstColumn="0" w:lastColumn="0" w:oddVBand="0" w:evenVBand="0" w:oddHBand="1" w:evenHBand="0" w:firstRowFirstColumn="0" w:firstRowLastColumn="0" w:lastRowFirstColumn="0" w:lastRowLastColumn="0"/>
              <w:rPr>
                <w:sz w:val="16"/>
                <w:szCs w:val="16"/>
              </w:rPr>
            </w:pPr>
          </w:p>
        </w:tc>
        <w:tc>
          <w:tcPr>
            <w:tcW w:w="5080" w:type="dxa"/>
          </w:tcPr>
          <w:p w14:paraId="700AAFB6" w14:textId="77777777" w:rsidR="00D778F3" w:rsidRPr="00764EE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Incorporation of Government policy in relation to Portfolio Department CFOs</w:t>
            </w:r>
          </w:p>
          <w:p w14:paraId="621797DF" w14:textId="5726D1E8" w:rsidR="00D778F3" w:rsidRPr="00764EE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Clarification that public service body Heads have direct, not delegated, authority to incur employment-related expenditure</w:t>
            </w:r>
          </w:p>
        </w:tc>
      </w:tr>
      <w:tr w:rsidR="00D778F3" w:rsidRPr="002D61D4" w14:paraId="0FB2BACA" w14:textId="77777777" w:rsidTr="00D778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4A2853FC" w14:textId="77777777" w:rsidR="00D778F3" w:rsidRPr="00764EE3" w:rsidRDefault="00D778F3" w:rsidP="008E306C">
            <w:pPr>
              <w:rPr>
                <w:sz w:val="16"/>
                <w:szCs w:val="16"/>
              </w:rPr>
            </w:pPr>
          </w:p>
        </w:tc>
        <w:tc>
          <w:tcPr>
            <w:tcW w:w="1670" w:type="dxa"/>
          </w:tcPr>
          <w:p w14:paraId="082AD566" w14:textId="5D4787B6" w:rsidR="00D778F3" w:rsidRPr="00764EE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13 December 2019</w:t>
            </w:r>
          </w:p>
        </w:tc>
        <w:tc>
          <w:tcPr>
            <w:tcW w:w="5080" w:type="dxa"/>
          </w:tcPr>
          <w:p w14:paraId="6E495E47" w14:textId="64190F32" w:rsidR="00D778F3" w:rsidRPr="00764EE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Clarification that secondees and others may be treated as employees for financial authorisation purposes</w:t>
            </w:r>
          </w:p>
        </w:tc>
      </w:tr>
      <w:tr w:rsidR="00D778F3" w:rsidRPr="002D61D4" w14:paraId="469B5C55" w14:textId="77777777" w:rsidTr="00D7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0B0548BC" w14:textId="77777777" w:rsidR="00D778F3" w:rsidRPr="00764EE3" w:rsidRDefault="00D778F3" w:rsidP="008E306C">
            <w:pPr>
              <w:rPr>
                <w:sz w:val="16"/>
                <w:szCs w:val="16"/>
              </w:rPr>
            </w:pPr>
          </w:p>
        </w:tc>
        <w:tc>
          <w:tcPr>
            <w:tcW w:w="1670" w:type="dxa"/>
          </w:tcPr>
          <w:p w14:paraId="64C402FA" w14:textId="24D1D412" w:rsidR="00D778F3" w:rsidRPr="00764EE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12 April 2021</w:t>
            </w:r>
          </w:p>
        </w:tc>
        <w:tc>
          <w:tcPr>
            <w:tcW w:w="5080" w:type="dxa"/>
          </w:tcPr>
          <w:p w14:paraId="4EB310E1" w14:textId="52EC6AF0" w:rsidR="00D778F3" w:rsidRPr="00764EE3" w:rsidRDefault="00D778F3"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Clarification that to approve an extension to a contract, a person’s financial authorisation limit must be sufficient to cover the whole contract including the extension</w:t>
            </w:r>
          </w:p>
        </w:tc>
      </w:tr>
      <w:tr w:rsidR="00D778F3" w:rsidRPr="002D61D4" w14:paraId="0F8B2374" w14:textId="77777777" w:rsidTr="00D778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vMerge/>
            <w:shd w:val="clear" w:color="auto" w:fill="F2F2F2" w:themeFill="background1" w:themeFillShade="F2"/>
          </w:tcPr>
          <w:p w14:paraId="4C399627" w14:textId="77777777" w:rsidR="00D778F3" w:rsidRPr="00764EE3" w:rsidRDefault="00D778F3" w:rsidP="008E306C">
            <w:pPr>
              <w:rPr>
                <w:sz w:val="16"/>
                <w:szCs w:val="16"/>
              </w:rPr>
            </w:pPr>
          </w:p>
        </w:tc>
        <w:tc>
          <w:tcPr>
            <w:tcW w:w="1670" w:type="dxa"/>
          </w:tcPr>
          <w:p w14:paraId="58423E64" w14:textId="5CEFA8CE" w:rsidR="00D778F3" w:rsidRPr="00764EE3" w:rsidRDefault="00567933"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8 February</w:t>
            </w:r>
            <w:r w:rsidR="00D778F3">
              <w:rPr>
                <w:sz w:val="16"/>
                <w:szCs w:val="16"/>
              </w:rPr>
              <w:t xml:space="preserve"> 2023</w:t>
            </w:r>
          </w:p>
        </w:tc>
        <w:tc>
          <w:tcPr>
            <w:tcW w:w="5080" w:type="dxa"/>
          </w:tcPr>
          <w:p w14:paraId="00607592" w14:textId="49BAC0D2" w:rsidR="00D778F3" w:rsidRPr="00764EE3" w:rsidRDefault="00D778F3"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Clarification that Administrative Office Heads, executives, and employees are treated as employees for financial authorisation purposes</w:t>
            </w:r>
          </w:p>
        </w:tc>
      </w:tr>
      <w:tr w:rsidR="00DB5566" w:rsidRPr="002D61D4" w14:paraId="3871A1EA" w14:textId="77777777" w:rsidTr="00D90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40279618" w14:textId="6BF5449B" w:rsidR="00DB5566" w:rsidRPr="00764EE3" w:rsidRDefault="00DB5566" w:rsidP="008E306C">
            <w:pPr>
              <w:rPr>
                <w:sz w:val="16"/>
                <w:szCs w:val="16"/>
              </w:rPr>
            </w:pPr>
            <w:r>
              <w:rPr>
                <w:sz w:val="16"/>
                <w:szCs w:val="16"/>
              </w:rPr>
              <w:t>Guidance 3.4 – Internal control system</w:t>
            </w:r>
          </w:p>
        </w:tc>
        <w:tc>
          <w:tcPr>
            <w:tcW w:w="1670" w:type="dxa"/>
          </w:tcPr>
          <w:p w14:paraId="49B5EB3D" w14:textId="3AF8D085" w:rsidR="00DB5566" w:rsidRPr="00764EE3" w:rsidRDefault="00BA5505"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w:t>
            </w:r>
            <w:r w:rsidR="007B3DA0">
              <w:rPr>
                <w:sz w:val="16"/>
                <w:szCs w:val="16"/>
              </w:rPr>
              <w:t xml:space="preserve"> </w:t>
            </w:r>
            <w:r w:rsidR="001E1801">
              <w:rPr>
                <w:sz w:val="16"/>
                <w:szCs w:val="16"/>
              </w:rPr>
              <w:t>September</w:t>
            </w:r>
            <w:r w:rsidR="007B3DA0">
              <w:rPr>
                <w:sz w:val="16"/>
                <w:szCs w:val="16"/>
              </w:rPr>
              <w:t xml:space="preserve"> 2023</w:t>
            </w:r>
          </w:p>
        </w:tc>
        <w:tc>
          <w:tcPr>
            <w:tcW w:w="5080" w:type="dxa"/>
          </w:tcPr>
          <w:p w14:paraId="630E58CD" w14:textId="606167CC" w:rsidR="00DB5566" w:rsidRPr="00764EE3" w:rsidRDefault="00DB5566"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Updated reference to </w:t>
            </w:r>
            <w:r w:rsidRPr="001051AF">
              <w:rPr>
                <w:i/>
                <w:iCs/>
                <w:sz w:val="16"/>
                <w:szCs w:val="16"/>
              </w:rPr>
              <w:t>Pricing for Value Guide</w:t>
            </w:r>
            <w:r>
              <w:rPr>
                <w:sz w:val="16"/>
                <w:szCs w:val="16"/>
              </w:rPr>
              <w:t xml:space="preserve"> and removed some references to the old </w:t>
            </w:r>
            <w:r w:rsidRPr="001051AF">
              <w:rPr>
                <w:i/>
                <w:iCs/>
                <w:sz w:val="16"/>
                <w:szCs w:val="16"/>
              </w:rPr>
              <w:t>Cost Recovery Guidelines</w:t>
            </w:r>
          </w:p>
        </w:tc>
      </w:tr>
      <w:tr w:rsidR="00853B19" w:rsidRPr="002D61D4" w14:paraId="37CC4DAD" w14:textId="77777777" w:rsidTr="00D904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37A596E7" w14:textId="687A8715" w:rsidR="00853B19" w:rsidRPr="00764EE3" w:rsidRDefault="00995ED6" w:rsidP="008E306C">
            <w:pPr>
              <w:rPr>
                <w:sz w:val="16"/>
                <w:szCs w:val="16"/>
              </w:rPr>
            </w:pPr>
            <w:r w:rsidRPr="00764EE3">
              <w:rPr>
                <w:sz w:val="16"/>
                <w:szCs w:val="16"/>
              </w:rPr>
              <w:t xml:space="preserve">Guidance </w:t>
            </w:r>
            <w:r w:rsidR="00853B19" w:rsidRPr="00764EE3">
              <w:rPr>
                <w:sz w:val="16"/>
                <w:szCs w:val="16"/>
              </w:rPr>
              <w:t>3.6 – Purchasing cards</w:t>
            </w:r>
          </w:p>
        </w:tc>
        <w:tc>
          <w:tcPr>
            <w:tcW w:w="1670" w:type="dxa"/>
          </w:tcPr>
          <w:p w14:paraId="669AEDE3" w14:textId="371D0988" w:rsidR="00853B19" w:rsidRPr="00764EE3" w:rsidRDefault="00853B19"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13 December 2019</w:t>
            </w:r>
          </w:p>
        </w:tc>
        <w:tc>
          <w:tcPr>
            <w:tcW w:w="5080" w:type="dxa"/>
          </w:tcPr>
          <w:p w14:paraId="60A512BA" w14:textId="5D1C414D" w:rsidR="00853B19" w:rsidRPr="00764EE3" w:rsidRDefault="00853B19"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Revision to clarify that policy applies to all forms of financial commitment</w:t>
            </w:r>
          </w:p>
        </w:tc>
      </w:tr>
      <w:tr w:rsidR="009A3D40" w:rsidRPr="002D61D4" w14:paraId="6F5FDFD6" w14:textId="77777777" w:rsidTr="00D77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4D7F5A86" w14:textId="3C412186" w:rsidR="009A3D40" w:rsidRDefault="009A3D40" w:rsidP="008E306C">
            <w:pPr>
              <w:rPr>
                <w:sz w:val="16"/>
                <w:szCs w:val="16"/>
              </w:rPr>
            </w:pPr>
            <w:r>
              <w:rPr>
                <w:sz w:val="16"/>
                <w:szCs w:val="16"/>
              </w:rPr>
              <w:t xml:space="preserve">Guidance 3.7.2 - </w:t>
            </w:r>
            <w:r w:rsidRPr="009A3D40">
              <w:rPr>
                <w:sz w:val="16"/>
                <w:szCs w:val="16"/>
              </w:rPr>
              <w:t>Treasury management, including Central Banking System</w:t>
            </w:r>
          </w:p>
        </w:tc>
        <w:tc>
          <w:tcPr>
            <w:tcW w:w="1670" w:type="dxa"/>
          </w:tcPr>
          <w:p w14:paraId="29C0B2A7" w14:textId="44ED87B3" w:rsidR="009A3D40" w:rsidRPr="00764EE3" w:rsidRDefault="009A3D40"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1 May 2019</w:t>
            </w:r>
          </w:p>
        </w:tc>
        <w:tc>
          <w:tcPr>
            <w:tcW w:w="5080" w:type="dxa"/>
          </w:tcPr>
          <w:p w14:paraId="609280B1" w14:textId="17CE8F5A" w:rsidR="009A3D40" w:rsidRPr="00764EE3" w:rsidRDefault="009A3D40" w:rsidP="009A3D40">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Incorporation of Government policy in relation to Central Banking System</w:t>
            </w:r>
          </w:p>
        </w:tc>
      </w:tr>
      <w:tr w:rsidR="009A3D40" w:rsidRPr="002D61D4" w14:paraId="59EB746F" w14:textId="77777777" w:rsidTr="009A3D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66E08C7E" w14:textId="4D4FD2A2" w:rsidR="009A3D40" w:rsidRPr="00764EE3" w:rsidRDefault="009A3D40" w:rsidP="008E306C">
            <w:pPr>
              <w:rPr>
                <w:sz w:val="16"/>
                <w:szCs w:val="16"/>
              </w:rPr>
            </w:pPr>
          </w:p>
        </w:tc>
        <w:tc>
          <w:tcPr>
            <w:tcW w:w="1670" w:type="dxa"/>
          </w:tcPr>
          <w:p w14:paraId="4F7AAD57" w14:textId="53B46C36" w:rsidR="009A3D40" w:rsidRPr="00764EE3" w:rsidRDefault="009A3D40"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 February 2021</w:t>
            </w:r>
          </w:p>
        </w:tc>
        <w:tc>
          <w:tcPr>
            <w:tcW w:w="5080" w:type="dxa"/>
          </w:tcPr>
          <w:p w14:paraId="3058CE34" w14:textId="1263C022" w:rsidR="009A3D40" w:rsidRPr="00764EE3" w:rsidRDefault="009A3D40"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Clarification and updating to current best practice</w:t>
            </w:r>
          </w:p>
        </w:tc>
      </w:tr>
      <w:tr w:rsidR="009A3D40" w:rsidRPr="002D61D4" w14:paraId="330071BF" w14:textId="77777777" w:rsidTr="00995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5D71152B" w14:textId="3E7C52A5" w:rsidR="009A3D40" w:rsidRPr="00764EE3" w:rsidRDefault="009A3D40" w:rsidP="008E306C">
            <w:pPr>
              <w:rPr>
                <w:sz w:val="16"/>
                <w:szCs w:val="16"/>
              </w:rPr>
            </w:pPr>
          </w:p>
        </w:tc>
        <w:tc>
          <w:tcPr>
            <w:tcW w:w="1670" w:type="dxa"/>
          </w:tcPr>
          <w:p w14:paraId="5645F5E6" w14:textId="598A953B" w:rsidR="009A3D40" w:rsidRPr="00764EE3" w:rsidRDefault="00023D2C"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 August</w:t>
            </w:r>
            <w:r w:rsidR="009A3D40">
              <w:rPr>
                <w:sz w:val="16"/>
                <w:szCs w:val="16"/>
              </w:rPr>
              <w:t xml:space="preserve"> 2022</w:t>
            </w:r>
          </w:p>
        </w:tc>
        <w:tc>
          <w:tcPr>
            <w:tcW w:w="5080" w:type="dxa"/>
          </w:tcPr>
          <w:p w14:paraId="54F76C3E" w14:textId="181E6452" w:rsidR="009A3D40" w:rsidRPr="00764EE3" w:rsidRDefault="009A3D40"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Clarification and inclusion of further details relating to funds which may be held outside the Central Banking System</w:t>
            </w:r>
          </w:p>
        </w:tc>
      </w:tr>
      <w:tr w:rsidR="009A3D40" w:rsidRPr="002D61D4" w14:paraId="573EB3B2" w14:textId="77777777" w:rsidTr="00995E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15E49F33" w14:textId="648321C3" w:rsidR="009A3D40" w:rsidRPr="00764EE3" w:rsidRDefault="009A3D40" w:rsidP="008E306C">
            <w:pPr>
              <w:rPr>
                <w:sz w:val="16"/>
                <w:szCs w:val="16"/>
              </w:rPr>
            </w:pPr>
            <w:r>
              <w:rPr>
                <w:sz w:val="16"/>
                <w:szCs w:val="16"/>
              </w:rPr>
              <w:t xml:space="preserve">Guidance 3.7.2.2 - </w:t>
            </w:r>
            <w:r w:rsidRPr="009A3D40">
              <w:rPr>
                <w:sz w:val="16"/>
                <w:szCs w:val="16"/>
              </w:rPr>
              <w:t>Treasury and Investment Risk Management Policies</w:t>
            </w:r>
          </w:p>
        </w:tc>
        <w:tc>
          <w:tcPr>
            <w:tcW w:w="1670" w:type="dxa"/>
          </w:tcPr>
          <w:p w14:paraId="7EBC33F4" w14:textId="1230CF17" w:rsidR="009A3D40" w:rsidRPr="00764EE3" w:rsidRDefault="00023D2C"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12 August</w:t>
            </w:r>
            <w:r w:rsidR="009A3D40">
              <w:rPr>
                <w:sz w:val="16"/>
                <w:szCs w:val="16"/>
              </w:rPr>
              <w:t xml:space="preserve"> 2022</w:t>
            </w:r>
          </w:p>
        </w:tc>
        <w:tc>
          <w:tcPr>
            <w:tcW w:w="5080" w:type="dxa"/>
          </w:tcPr>
          <w:p w14:paraId="152212FA" w14:textId="21EE99AF" w:rsidR="009A3D40" w:rsidRPr="00764EE3" w:rsidRDefault="000C79E8"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No longer under this reference. Some </w:t>
            </w:r>
            <w:r w:rsidR="009A3D40" w:rsidRPr="00764EE3">
              <w:rPr>
                <w:sz w:val="16"/>
                <w:szCs w:val="16"/>
              </w:rPr>
              <w:t>provisions inc</w:t>
            </w:r>
            <w:r>
              <w:rPr>
                <w:sz w:val="16"/>
                <w:szCs w:val="16"/>
              </w:rPr>
              <w:t>lud</w:t>
            </w:r>
            <w:r w:rsidR="009A3D40" w:rsidRPr="00764EE3">
              <w:rPr>
                <w:sz w:val="16"/>
                <w:szCs w:val="16"/>
              </w:rPr>
              <w:t>ed in Guidance</w:t>
            </w:r>
            <w:r>
              <w:rPr>
                <w:sz w:val="16"/>
                <w:szCs w:val="16"/>
              </w:rPr>
              <w:t xml:space="preserve"> 3.7.2.3 and others in Guidance 3.7.2.4, with revisions</w:t>
            </w:r>
          </w:p>
        </w:tc>
      </w:tr>
      <w:tr w:rsidR="009A3D40" w:rsidRPr="002D61D4" w14:paraId="55D2402B" w14:textId="77777777" w:rsidTr="00995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0F409167" w14:textId="36CC6A42" w:rsidR="009A3D40" w:rsidRDefault="009A3D40" w:rsidP="008E306C">
            <w:pPr>
              <w:rPr>
                <w:sz w:val="16"/>
                <w:szCs w:val="16"/>
              </w:rPr>
            </w:pPr>
            <w:r w:rsidRPr="00764EE3">
              <w:rPr>
                <w:sz w:val="16"/>
                <w:szCs w:val="16"/>
              </w:rPr>
              <w:t>Guidance 3.7.2.3 – Borrowings, investments and financial arrangements</w:t>
            </w:r>
          </w:p>
        </w:tc>
        <w:tc>
          <w:tcPr>
            <w:tcW w:w="1670" w:type="dxa"/>
          </w:tcPr>
          <w:p w14:paraId="3B16E4CD" w14:textId="2161BB13" w:rsidR="009A3D40" w:rsidRDefault="00023D2C"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w:t>
            </w:r>
            <w:r w:rsidR="009A3D40">
              <w:rPr>
                <w:sz w:val="16"/>
                <w:szCs w:val="16"/>
              </w:rPr>
              <w:t xml:space="preserve"> </w:t>
            </w:r>
            <w:r>
              <w:rPr>
                <w:sz w:val="16"/>
                <w:szCs w:val="16"/>
              </w:rPr>
              <w:t>August</w:t>
            </w:r>
            <w:r w:rsidR="009A3D40">
              <w:rPr>
                <w:sz w:val="16"/>
                <w:szCs w:val="16"/>
              </w:rPr>
              <w:t xml:space="preserve"> 2022</w:t>
            </w:r>
          </w:p>
        </w:tc>
        <w:tc>
          <w:tcPr>
            <w:tcW w:w="5080" w:type="dxa"/>
          </w:tcPr>
          <w:p w14:paraId="66674D87" w14:textId="3D52995A" w:rsidR="009A3D40" w:rsidRDefault="009A3D40" w:rsidP="009A3D40">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Renumbered (formerly 3.7.2.2)</w:t>
            </w:r>
          </w:p>
          <w:p w14:paraId="785451C7" w14:textId="24D1D62F" w:rsidR="009A3D40" w:rsidRPr="00764EE3" w:rsidRDefault="009A3D40" w:rsidP="009A3D40">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Investment Management Guidance moved to new Guidance 3.7.2.4</w:t>
            </w:r>
          </w:p>
        </w:tc>
      </w:tr>
      <w:tr w:rsidR="00674704" w:rsidRPr="002D61D4" w14:paraId="1D955BE3" w14:textId="77777777" w:rsidTr="00995E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38248DE9" w14:textId="4947C7D1" w:rsidR="00674704" w:rsidRPr="00764EE3" w:rsidRDefault="00674704" w:rsidP="008E306C">
            <w:pPr>
              <w:rPr>
                <w:sz w:val="16"/>
                <w:szCs w:val="16"/>
              </w:rPr>
            </w:pPr>
            <w:r w:rsidRPr="00674704">
              <w:rPr>
                <w:sz w:val="16"/>
                <w:szCs w:val="16"/>
              </w:rPr>
              <w:t>Guidance 3.7.2.4 – Investment Management Policy</w:t>
            </w:r>
          </w:p>
        </w:tc>
        <w:tc>
          <w:tcPr>
            <w:tcW w:w="1670" w:type="dxa"/>
          </w:tcPr>
          <w:p w14:paraId="6D64FFE1" w14:textId="5D5DBD9A" w:rsidR="00674704" w:rsidRPr="00764EE3" w:rsidRDefault="00023D2C"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12 August</w:t>
            </w:r>
            <w:r w:rsidR="00A004C4">
              <w:rPr>
                <w:sz w:val="16"/>
                <w:szCs w:val="16"/>
              </w:rPr>
              <w:t xml:space="preserve"> 2022</w:t>
            </w:r>
          </w:p>
        </w:tc>
        <w:tc>
          <w:tcPr>
            <w:tcW w:w="5080" w:type="dxa"/>
          </w:tcPr>
          <w:p w14:paraId="56B94B94" w14:textId="4EA53E3B" w:rsidR="00674704" w:rsidRPr="00764EE3" w:rsidRDefault="00674704" w:rsidP="008E306C">
            <w:pP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Separated from Guidance 3.7.2.3, also clarified and additional information included</w:t>
            </w:r>
          </w:p>
        </w:tc>
      </w:tr>
      <w:tr w:rsidR="004E6DB6" w:rsidRPr="002D61D4" w14:paraId="3565692A" w14:textId="77777777" w:rsidTr="00995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7A345A2D" w14:textId="35D639C0" w:rsidR="004E6DB6" w:rsidRPr="00764EE3" w:rsidRDefault="00995ED6" w:rsidP="008E306C">
            <w:pPr>
              <w:rPr>
                <w:sz w:val="16"/>
                <w:szCs w:val="16"/>
              </w:rPr>
            </w:pPr>
            <w:r w:rsidRPr="00764EE3">
              <w:rPr>
                <w:sz w:val="16"/>
                <w:szCs w:val="16"/>
              </w:rPr>
              <w:t xml:space="preserve">Guidance </w:t>
            </w:r>
            <w:r w:rsidR="006C66DB" w:rsidRPr="00764EE3">
              <w:rPr>
                <w:sz w:val="16"/>
                <w:szCs w:val="16"/>
              </w:rPr>
              <w:t>4.1.1</w:t>
            </w:r>
            <w:r w:rsidR="005114AF" w:rsidRPr="00764EE3">
              <w:rPr>
                <w:sz w:val="16"/>
                <w:szCs w:val="16"/>
              </w:rPr>
              <w:t xml:space="preserve"> – Planning and managing performance</w:t>
            </w:r>
          </w:p>
        </w:tc>
        <w:tc>
          <w:tcPr>
            <w:tcW w:w="1670" w:type="dxa"/>
          </w:tcPr>
          <w:p w14:paraId="5A3579EC" w14:textId="77777777" w:rsidR="004E6DB6" w:rsidRDefault="006C66DB"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1 May 2019</w:t>
            </w:r>
          </w:p>
          <w:p w14:paraId="45745F9E" w14:textId="6CF936CE" w:rsidR="003023EF" w:rsidRPr="00764EE3" w:rsidRDefault="00BA5505"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w:t>
            </w:r>
            <w:r w:rsidR="007B3DA0">
              <w:rPr>
                <w:sz w:val="16"/>
                <w:szCs w:val="16"/>
              </w:rPr>
              <w:t xml:space="preserve"> </w:t>
            </w:r>
            <w:r w:rsidR="001E1801">
              <w:rPr>
                <w:sz w:val="16"/>
                <w:szCs w:val="16"/>
              </w:rPr>
              <w:t>September</w:t>
            </w:r>
            <w:r w:rsidR="007B3DA0">
              <w:rPr>
                <w:sz w:val="16"/>
                <w:szCs w:val="16"/>
              </w:rPr>
              <w:t xml:space="preserve"> 2023</w:t>
            </w:r>
          </w:p>
        </w:tc>
        <w:tc>
          <w:tcPr>
            <w:tcW w:w="5080" w:type="dxa"/>
          </w:tcPr>
          <w:p w14:paraId="6D776C60" w14:textId="77777777" w:rsidR="004E6DB6" w:rsidRDefault="005114AF" w:rsidP="008E306C">
            <w:pPr>
              <w:cnfStyle w:val="000000100000" w:firstRow="0" w:lastRow="0" w:firstColumn="0" w:lastColumn="0" w:oddVBand="0" w:evenVBand="0" w:oddHBand="1" w:evenHBand="0" w:firstRowFirstColumn="0" w:firstRowLastColumn="0" w:lastRowFirstColumn="0" w:lastRowLastColumn="0"/>
              <w:rPr>
                <w:sz w:val="16"/>
                <w:szCs w:val="16"/>
              </w:rPr>
            </w:pPr>
            <w:r w:rsidRPr="00764EE3">
              <w:rPr>
                <w:sz w:val="16"/>
                <w:szCs w:val="16"/>
              </w:rPr>
              <w:t>Clarification and u</w:t>
            </w:r>
            <w:r w:rsidR="006C66DB" w:rsidRPr="00764EE3">
              <w:rPr>
                <w:sz w:val="16"/>
                <w:szCs w:val="16"/>
              </w:rPr>
              <w:t>pdating to current best practice</w:t>
            </w:r>
          </w:p>
          <w:p w14:paraId="1C850033" w14:textId="0E45B738" w:rsidR="003023EF" w:rsidRPr="00764EE3" w:rsidRDefault="003023EF" w:rsidP="008E306C">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Added reference to </w:t>
            </w:r>
            <w:r w:rsidRPr="001051AF">
              <w:rPr>
                <w:i/>
                <w:iCs/>
                <w:sz w:val="16"/>
                <w:szCs w:val="16"/>
              </w:rPr>
              <w:t xml:space="preserve">Pricing for Value Guide </w:t>
            </w:r>
            <w:r>
              <w:rPr>
                <w:sz w:val="16"/>
                <w:szCs w:val="16"/>
              </w:rPr>
              <w:t>in Appendix 1</w:t>
            </w:r>
          </w:p>
        </w:tc>
      </w:tr>
      <w:tr w:rsidR="004E6DB6" w:rsidRPr="002D61D4" w14:paraId="100D8C28" w14:textId="77777777" w:rsidTr="00995E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077A84C2" w14:textId="76725CFA" w:rsidR="004E6DB6" w:rsidRPr="00764EE3" w:rsidRDefault="00995ED6" w:rsidP="008E306C">
            <w:pPr>
              <w:rPr>
                <w:sz w:val="16"/>
                <w:szCs w:val="16"/>
              </w:rPr>
            </w:pPr>
            <w:r w:rsidRPr="00764EE3">
              <w:rPr>
                <w:sz w:val="16"/>
                <w:szCs w:val="16"/>
              </w:rPr>
              <w:t xml:space="preserve">Guidance </w:t>
            </w:r>
            <w:r w:rsidR="005114AF" w:rsidRPr="00764EE3">
              <w:rPr>
                <w:sz w:val="16"/>
                <w:szCs w:val="16"/>
              </w:rPr>
              <w:t xml:space="preserve">4.2.1 </w:t>
            </w:r>
            <w:r w:rsidR="00833051" w:rsidRPr="00764EE3">
              <w:rPr>
                <w:sz w:val="16"/>
                <w:szCs w:val="16"/>
              </w:rPr>
              <w:t>–</w:t>
            </w:r>
            <w:r w:rsidR="005114AF" w:rsidRPr="00764EE3">
              <w:rPr>
                <w:sz w:val="16"/>
                <w:szCs w:val="16"/>
              </w:rPr>
              <w:t xml:space="preserve"> </w:t>
            </w:r>
            <w:r w:rsidR="00833051" w:rsidRPr="00764EE3">
              <w:rPr>
                <w:sz w:val="16"/>
                <w:szCs w:val="16"/>
              </w:rPr>
              <w:t>Acquisition of assets, goods and services</w:t>
            </w:r>
          </w:p>
        </w:tc>
        <w:tc>
          <w:tcPr>
            <w:tcW w:w="1670" w:type="dxa"/>
          </w:tcPr>
          <w:p w14:paraId="0243CE0A" w14:textId="16778F47" w:rsidR="004E6DB6" w:rsidRPr="00764EE3" w:rsidRDefault="005114AF"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1 May 2019</w:t>
            </w:r>
          </w:p>
        </w:tc>
        <w:tc>
          <w:tcPr>
            <w:tcW w:w="5080" w:type="dxa"/>
          </w:tcPr>
          <w:p w14:paraId="7E43F4A6" w14:textId="7E98C733" w:rsidR="004E6DB6" w:rsidRPr="00764EE3" w:rsidRDefault="005114AF" w:rsidP="008E306C">
            <w:pPr>
              <w:cnfStyle w:val="000000010000" w:firstRow="0" w:lastRow="0" w:firstColumn="0" w:lastColumn="0" w:oddVBand="0" w:evenVBand="0" w:oddHBand="0" w:evenHBand="1" w:firstRowFirstColumn="0" w:firstRowLastColumn="0" w:lastRowFirstColumn="0" w:lastRowLastColumn="0"/>
              <w:rPr>
                <w:sz w:val="16"/>
                <w:szCs w:val="16"/>
              </w:rPr>
            </w:pPr>
            <w:r w:rsidRPr="00764EE3">
              <w:rPr>
                <w:sz w:val="16"/>
                <w:szCs w:val="16"/>
              </w:rPr>
              <w:t>Incorporation of Government policy in relation to Social Procurement</w:t>
            </w:r>
          </w:p>
        </w:tc>
      </w:tr>
      <w:tr w:rsidR="004E6DB6" w:rsidRPr="002D61D4" w14:paraId="7882C2C3" w14:textId="77777777" w:rsidTr="00995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shd w:val="clear" w:color="auto" w:fill="F2F2F2" w:themeFill="background1" w:themeFillShade="F2"/>
          </w:tcPr>
          <w:p w14:paraId="07273EC5" w14:textId="1C65E80C" w:rsidR="004E6DB6" w:rsidRPr="008027F3" w:rsidRDefault="00995ED6" w:rsidP="008E306C">
            <w:pPr>
              <w:rPr>
                <w:sz w:val="16"/>
                <w:szCs w:val="16"/>
              </w:rPr>
            </w:pPr>
            <w:r w:rsidRPr="008027F3">
              <w:rPr>
                <w:sz w:val="16"/>
                <w:szCs w:val="16"/>
              </w:rPr>
              <w:t xml:space="preserve">Guidance </w:t>
            </w:r>
            <w:r w:rsidR="005114AF" w:rsidRPr="008027F3">
              <w:rPr>
                <w:sz w:val="16"/>
                <w:szCs w:val="16"/>
              </w:rPr>
              <w:t>5.1</w:t>
            </w:r>
            <w:r w:rsidR="00833051" w:rsidRPr="008027F3">
              <w:rPr>
                <w:sz w:val="16"/>
                <w:szCs w:val="16"/>
              </w:rPr>
              <w:t xml:space="preserve"> – Financial management compliance</w:t>
            </w:r>
          </w:p>
        </w:tc>
        <w:tc>
          <w:tcPr>
            <w:tcW w:w="1670" w:type="dxa"/>
          </w:tcPr>
          <w:p w14:paraId="079FC50A" w14:textId="40D99070" w:rsidR="004E6DB6" w:rsidRPr="008027F3" w:rsidRDefault="005114AF" w:rsidP="008E306C">
            <w:pPr>
              <w:cnfStyle w:val="000000100000" w:firstRow="0" w:lastRow="0" w:firstColumn="0" w:lastColumn="0" w:oddVBand="0" w:evenVBand="0" w:oddHBand="1" w:evenHBand="0" w:firstRowFirstColumn="0" w:firstRowLastColumn="0" w:lastRowFirstColumn="0" w:lastRowLastColumn="0"/>
              <w:rPr>
                <w:sz w:val="16"/>
                <w:szCs w:val="16"/>
              </w:rPr>
            </w:pPr>
            <w:r w:rsidRPr="008027F3">
              <w:rPr>
                <w:sz w:val="16"/>
                <w:szCs w:val="16"/>
              </w:rPr>
              <w:t>1 May 2019</w:t>
            </w:r>
          </w:p>
        </w:tc>
        <w:tc>
          <w:tcPr>
            <w:tcW w:w="5080" w:type="dxa"/>
          </w:tcPr>
          <w:p w14:paraId="1756D053" w14:textId="3DFC373A" w:rsidR="004E6DB6" w:rsidRPr="008027F3" w:rsidRDefault="005114AF" w:rsidP="008E306C">
            <w:pPr>
              <w:cnfStyle w:val="000000100000" w:firstRow="0" w:lastRow="0" w:firstColumn="0" w:lastColumn="0" w:oddVBand="0" w:evenVBand="0" w:oddHBand="1" w:evenHBand="0" w:firstRowFirstColumn="0" w:firstRowLastColumn="0" w:lastRowFirstColumn="0" w:lastRowLastColumn="0"/>
              <w:rPr>
                <w:sz w:val="16"/>
                <w:szCs w:val="16"/>
              </w:rPr>
            </w:pPr>
            <w:r w:rsidRPr="008027F3">
              <w:rPr>
                <w:sz w:val="16"/>
                <w:szCs w:val="16"/>
              </w:rPr>
              <w:t>Clarification with respect to materiality</w:t>
            </w:r>
          </w:p>
        </w:tc>
      </w:tr>
    </w:tbl>
    <w:p w14:paraId="206BA618" w14:textId="5CCFA20F" w:rsidR="008708C0" w:rsidRDefault="008708C0"/>
    <w:p w14:paraId="24891442" w14:textId="77777777" w:rsidR="008708C0" w:rsidRDefault="008708C0"/>
    <w:p w14:paraId="12D2F73F" w14:textId="35C93D22" w:rsidR="00E7501B" w:rsidRDefault="00170BC6" w:rsidP="008E306C">
      <w:pPr>
        <w:sectPr w:rsidR="00E7501B" w:rsidSect="007D4FB9">
          <w:headerReference w:type="even" r:id="rId26"/>
          <w:headerReference w:type="default" r:id="rId27"/>
          <w:footerReference w:type="default" r:id="rId28"/>
          <w:headerReference w:type="first" r:id="rId29"/>
          <w:footerReference w:type="first" r:id="rId30"/>
          <w:pgSz w:w="11906" w:h="16838"/>
          <w:pgMar w:top="1440" w:right="1008" w:bottom="1440" w:left="1008" w:header="706" w:footer="389" w:gutter="0"/>
          <w:pgNumType w:start="1"/>
          <w:cols w:space="708"/>
          <w:titlePg/>
          <w:docGrid w:linePitch="360"/>
        </w:sectPr>
      </w:pPr>
      <w:r>
        <w:t xml:space="preserve">Further information for each section of the Guidance document is provided below.  </w:t>
      </w:r>
    </w:p>
    <w:p w14:paraId="4263E030" w14:textId="77777777" w:rsidR="00855DF6" w:rsidRPr="00CC7C39" w:rsidRDefault="00855DF6" w:rsidP="00855DF6">
      <w:pPr>
        <w:pStyle w:val="GuidanceTitle"/>
      </w:pPr>
      <w:bookmarkStart w:id="2" w:name="Guidance_1_5"/>
      <w:bookmarkStart w:id="3" w:name="_Toc441672082"/>
      <w:r>
        <w:lastRenderedPageBreak/>
        <w:t>Guidance 1.5</w:t>
      </w:r>
      <w:bookmarkEnd w:id="2"/>
      <w:r>
        <w:t xml:space="preserve"> – Exemptions</w:t>
      </w:r>
      <w:bookmarkEnd w:id="3"/>
    </w:p>
    <w:tbl>
      <w:tblPr>
        <w:tblStyle w:val="Table12"/>
        <w:tblW w:w="9900" w:type="dxa"/>
        <w:tblLook w:val="0080" w:firstRow="0" w:lastRow="0" w:firstColumn="1" w:lastColumn="0" w:noHBand="0" w:noVBand="0"/>
      </w:tblPr>
      <w:tblGrid>
        <w:gridCol w:w="3119"/>
        <w:gridCol w:w="6781"/>
      </w:tblGrid>
      <w:tr w:rsidR="00855DF6" w:rsidRPr="00DF5B1B" w14:paraId="428FB2A6" w14:textId="77777777" w:rsidTr="00350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C9C630A" w14:textId="77777777" w:rsidR="00855DF6" w:rsidRPr="002A1F83" w:rsidRDefault="00855DF6" w:rsidP="00350E0D">
            <w:pPr>
              <w:spacing w:before="60" w:after="60" w:line="252" w:lineRule="auto"/>
              <w:rPr>
                <w:rFonts w:cs="Times New Roman"/>
                <w:b/>
                <w:sz w:val="18"/>
                <w:szCs w:val="20"/>
              </w:rPr>
            </w:pPr>
            <w:r w:rsidRPr="002A1F83">
              <w:rPr>
                <w:rFonts w:cs="Times New Roman"/>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669022B0" w14:textId="77777777" w:rsidR="00855DF6" w:rsidRPr="00DF5B1B" w:rsidRDefault="00453706" w:rsidP="000B6691">
            <w:pPr>
              <w:spacing w:before="60" w:after="60" w:line="252" w:lineRule="auto"/>
              <w:rPr>
                <w:rFonts w:cs="Times New Roman"/>
                <w:bCs/>
                <w:sz w:val="18"/>
                <w:szCs w:val="20"/>
              </w:rPr>
            </w:pPr>
            <w:r>
              <w:rPr>
                <w:rFonts w:cs="Times New Roman"/>
                <w:bCs/>
                <w:sz w:val="18"/>
                <w:szCs w:val="20"/>
              </w:rPr>
              <w:t>To assist A</w:t>
            </w:r>
            <w:r w:rsidR="00855DF6">
              <w:rPr>
                <w:rFonts w:cs="Times New Roman"/>
                <w:bCs/>
                <w:sz w:val="18"/>
                <w:szCs w:val="20"/>
              </w:rPr>
              <w:t>gencies in applying for exemptions from the Directions</w:t>
            </w:r>
          </w:p>
        </w:tc>
      </w:tr>
      <w:tr w:rsidR="00855DF6" w:rsidRPr="00DF5B1B" w14:paraId="3E44AA07" w14:textId="77777777" w:rsidTr="00350E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DC555AF" w14:textId="77777777" w:rsidR="00855DF6" w:rsidRPr="002A1F83" w:rsidRDefault="00855DF6" w:rsidP="00350E0D">
            <w:pPr>
              <w:spacing w:before="60" w:after="60" w:line="252" w:lineRule="auto"/>
              <w:rPr>
                <w:rFonts w:cs="Times New Roman"/>
                <w:b/>
                <w:sz w:val="18"/>
                <w:szCs w:val="20"/>
              </w:rPr>
            </w:pPr>
            <w:r w:rsidRPr="002A1F83">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3674EA13" w14:textId="77777777" w:rsidR="00855DF6" w:rsidRPr="00DF5B1B" w:rsidRDefault="00855DF6" w:rsidP="00350E0D">
            <w:pPr>
              <w:spacing w:before="60" w:after="60" w:line="252" w:lineRule="auto"/>
              <w:rPr>
                <w:rFonts w:cs="Times New Roman"/>
                <w:bCs/>
                <w:sz w:val="18"/>
                <w:szCs w:val="20"/>
              </w:rPr>
            </w:pPr>
            <w:r>
              <w:rPr>
                <w:rFonts w:cs="Times New Roman"/>
                <w:bCs/>
                <w:sz w:val="18"/>
                <w:szCs w:val="20"/>
              </w:rPr>
              <w:t>1 July 2016</w:t>
            </w:r>
          </w:p>
        </w:tc>
      </w:tr>
      <w:tr w:rsidR="00855DF6" w:rsidRPr="00DF5B1B" w14:paraId="43B26677" w14:textId="77777777" w:rsidTr="00350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B3BA130" w14:textId="77777777" w:rsidR="00855DF6" w:rsidRPr="002A1F83" w:rsidRDefault="00855DF6" w:rsidP="002A7DE1">
            <w:pPr>
              <w:spacing w:before="60" w:after="60" w:line="252" w:lineRule="auto"/>
              <w:rPr>
                <w:rFonts w:cs="Times New Roman"/>
                <w:b/>
                <w:sz w:val="18"/>
                <w:szCs w:val="20"/>
              </w:rPr>
            </w:pPr>
            <w:r w:rsidRPr="002A1F83">
              <w:rPr>
                <w:rFonts w:cs="Times New Roman"/>
                <w:b/>
                <w:sz w:val="18"/>
                <w:szCs w:val="20"/>
              </w:rPr>
              <w:t xml:space="preserve">Relevant </w:t>
            </w:r>
            <w:r w:rsidR="002A7DE1">
              <w:rPr>
                <w:rFonts w:cs="Times New Roman"/>
                <w:b/>
                <w:sz w:val="18"/>
                <w:szCs w:val="20"/>
              </w:rPr>
              <w:t>Direction</w:t>
            </w:r>
          </w:p>
        </w:tc>
        <w:tc>
          <w:tcPr>
            <w:cnfStyle w:val="000010000000" w:firstRow="0" w:lastRow="0" w:firstColumn="0" w:lastColumn="0" w:oddVBand="1" w:evenVBand="0" w:oddHBand="0" w:evenHBand="0" w:firstRowFirstColumn="0" w:firstRowLastColumn="0" w:lastRowFirstColumn="0" w:lastRowLastColumn="0"/>
            <w:tcW w:w="6781" w:type="dxa"/>
          </w:tcPr>
          <w:p w14:paraId="69A395B0" w14:textId="33A88822" w:rsidR="00855DF6" w:rsidRPr="00DF5B1B" w:rsidRDefault="00855DF6" w:rsidP="00350E0D">
            <w:pPr>
              <w:spacing w:before="60" w:after="60" w:line="252" w:lineRule="auto"/>
              <w:rPr>
                <w:rFonts w:cs="Times New Roman"/>
                <w:bCs/>
                <w:sz w:val="18"/>
                <w:szCs w:val="20"/>
              </w:rPr>
            </w:pPr>
            <w:hyperlink r:id="rId31" w:anchor="standing-directions-2018" w:history="1">
              <w:r w:rsidRPr="00D053D9">
                <w:rPr>
                  <w:rStyle w:val="Hyperlink"/>
                  <w:rFonts w:cs="Times New Roman"/>
                  <w:bCs/>
                  <w:sz w:val="18"/>
                  <w:szCs w:val="20"/>
                </w:rPr>
                <w:t>1.5 Exemptions</w:t>
              </w:r>
            </w:hyperlink>
          </w:p>
        </w:tc>
      </w:tr>
      <w:tr w:rsidR="00855DF6" w:rsidRPr="00DF5B1B" w14:paraId="281A591F" w14:textId="77777777" w:rsidTr="00350E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E11C1CB" w14:textId="77777777" w:rsidR="00855DF6" w:rsidRPr="002A1F83" w:rsidRDefault="00855DF6" w:rsidP="00350E0D">
            <w:pPr>
              <w:spacing w:before="60" w:after="60" w:line="252" w:lineRule="auto"/>
              <w:rPr>
                <w:rFonts w:cs="Times New Roman"/>
                <w:b/>
                <w:sz w:val="18"/>
                <w:szCs w:val="20"/>
              </w:rPr>
            </w:pPr>
            <w:r w:rsidRPr="002A1F83">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7A44450F" w14:textId="18337095" w:rsidR="00855DF6" w:rsidRPr="00DF5B1B" w:rsidRDefault="00023D2C" w:rsidP="00350E0D">
            <w:pPr>
              <w:spacing w:before="60" w:after="60" w:line="252" w:lineRule="auto"/>
              <w:rPr>
                <w:rFonts w:cs="Times New Roman"/>
                <w:bCs/>
                <w:sz w:val="18"/>
                <w:szCs w:val="20"/>
              </w:rPr>
            </w:pPr>
            <w:r>
              <w:rPr>
                <w:rFonts w:cs="Times New Roman"/>
                <w:bCs/>
                <w:sz w:val="18"/>
                <w:szCs w:val="20"/>
              </w:rPr>
              <w:t>12 August</w:t>
            </w:r>
            <w:r w:rsidR="00A004C4">
              <w:rPr>
                <w:rFonts w:cs="Times New Roman"/>
                <w:bCs/>
                <w:sz w:val="18"/>
                <w:szCs w:val="20"/>
              </w:rPr>
              <w:t xml:space="preserve"> 2022</w:t>
            </w:r>
          </w:p>
        </w:tc>
      </w:tr>
    </w:tbl>
    <w:p w14:paraId="15D9B9BB" w14:textId="77777777" w:rsidR="00855DF6" w:rsidRDefault="00855DF6" w:rsidP="00995ED6">
      <w:pPr>
        <w:pStyle w:val="Spacer"/>
      </w:pPr>
    </w:p>
    <w:p w14:paraId="5CB6E8A3" w14:textId="77777777" w:rsidR="00786459" w:rsidRPr="00CA6A16" w:rsidRDefault="00786459" w:rsidP="00786459">
      <w:pPr>
        <w:pStyle w:val="Heading1NoNum"/>
      </w:pPr>
      <w:r>
        <w:t>Summary</w:t>
      </w:r>
    </w:p>
    <w:p w14:paraId="7007ADC6" w14:textId="4D931935" w:rsidR="00786459" w:rsidRDefault="00EE5890" w:rsidP="00786459">
      <w:pPr>
        <w:rPr>
          <w:rFonts w:eastAsia="+mn-ea" w:cstheme="minorHAnsi"/>
          <w:szCs w:val="20"/>
        </w:rPr>
      </w:pPr>
      <w:r>
        <w:rPr>
          <w:rFonts w:eastAsia="+mn-ea" w:cstheme="minorHAnsi"/>
          <w:szCs w:val="20"/>
        </w:rPr>
        <w:t xml:space="preserve">Section 8(d) of the </w:t>
      </w:r>
      <w:r w:rsidR="00C726FA">
        <w:rPr>
          <w:rFonts w:eastAsia="+mn-ea" w:cstheme="minorHAnsi"/>
          <w:szCs w:val="20"/>
        </w:rPr>
        <w:t>FMA</w:t>
      </w:r>
      <w:r>
        <w:rPr>
          <w:rFonts w:eastAsia="+mn-ea" w:cstheme="minorHAnsi"/>
          <w:szCs w:val="20"/>
        </w:rPr>
        <w:t xml:space="preserve">, and </w:t>
      </w:r>
      <w:hyperlink r:id="rId32" w:anchor="standing-directions-2018" w:history="1">
        <w:r w:rsidR="00786459" w:rsidRPr="0051115B">
          <w:rPr>
            <w:rStyle w:val="Hyperlink"/>
            <w:rFonts w:eastAsia="+mn-ea" w:cstheme="minorHAnsi"/>
            <w:szCs w:val="20"/>
          </w:rPr>
          <w:t>Direction 1.5</w:t>
        </w:r>
      </w:hyperlink>
      <w:r>
        <w:rPr>
          <w:rFonts w:eastAsia="+mn-ea" w:cstheme="minorHAnsi"/>
          <w:szCs w:val="20"/>
        </w:rPr>
        <w:t>, provide</w:t>
      </w:r>
      <w:r w:rsidR="00786459">
        <w:rPr>
          <w:rFonts w:eastAsia="+mn-ea" w:cstheme="minorHAnsi"/>
          <w:szCs w:val="20"/>
        </w:rPr>
        <w:t xml:space="preserve"> that the </w:t>
      </w:r>
      <w:r w:rsidR="00780F7A">
        <w:rPr>
          <w:rFonts w:eastAsia="+mn-ea" w:cstheme="minorHAnsi"/>
          <w:szCs w:val="20"/>
        </w:rPr>
        <w:t>Assistant Treasurer</w:t>
      </w:r>
      <w:r w:rsidR="006F0D5C">
        <w:rPr>
          <w:rFonts w:eastAsia="+mn-ea" w:cstheme="minorHAnsi"/>
          <w:szCs w:val="20"/>
        </w:rPr>
        <w:t xml:space="preserve"> may exempt an A</w:t>
      </w:r>
      <w:r w:rsidR="00786459">
        <w:rPr>
          <w:rFonts w:eastAsia="+mn-ea" w:cstheme="minorHAnsi"/>
          <w:szCs w:val="20"/>
        </w:rPr>
        <w:t xml:space="preserve">gency </w:t>
      </w:r>
      <w:r w:rsidR="00786459" w:rsidRPr="00166D96">
        <w:rPr>
          <w:rFonts w:eastAsia="+mn-ea" w:cstheme="minorHAnsi"/>
          <w:szCs w:val="20"/>
        </w:rPr>
        <w:t>from specific or all requirements in the Directions</w:t>
      </w:r>
      <w:r>
        <w:rPr>
          <w:rFonts w:eastAsia="+mn-ea" w:cstheme="minorHAnsi"/>
          <w:szCs w:val="20"/>
        </w:rPr>
        <w:t xml:space="preserve"> and Instructions</w:t>
      </w:r>
      <w:r w:rsidR="00786459">
        <w:rPr>
          <w:rFonts w:eastAsia="+mn-ea" w:cstheme="minorHAnsi"/>
          <w:szCs w:val="20"/>
        </w:rPr>
        <w:t>.</w:t>
      </w:r>
      <w:r w:rsidR="00EE07BA">
        <w:rPr>
          <w:rStyle w:val="FootnoteReference"/>
          <w:rFonts w:eastAsia="+mn-ea" w:cstheme="minorHAnsi"/>
          <w:szCs w:val="20"/>
        </w:rPr>
        <w:footnoteReference w:id="2"/>
      </w:r>
    </w:p>
    <w:p w14:paraId="71A268BB" w14:textId="380D2DC3" w:rsidR="00786459" w:rsidRDefault="00786459" w:rsidP="00786459">
      <w:pPr>
        <w:rPr>
          <w:rFonts w:eastAsia="+mn-ea" w:cstheme="minorHAnsi"/>
          <w:szCs w:val="20"/>
        </w:rPr>
      </w:pPr>
      <w:hyperlink r:id="rId33" w:anchor="standing-directions-2018" w:history="1">
        <w:r w:rsidRPr="0051115B">
          <w:rPr>
            <w:rStyle w:val="Hyperlink"/>
            <w:rFonts w:eastAsia="+mn-ea" w:cstheme="minorHAnsi"/>
            <w:szCs w:val="20"/>
          </w:rPr>
          <w:t xml:space="preserve">Direction </w:t>
        </w:r>
        <w:r w:rsidR="00EE07BA" w:rsidRPr="0051115B">
          <w:rPr>
            <w:rStyle w:val="Hyperlink"/>
            <w:rFonts w:eastAsia="+mn-ea" w:cstheme="minorHAnsi"/>
            <w:szCs w:val="20"/>
          </w:rPr>
          <w:t>1.5</w:t>
        </w:r>
      </w:hyperlink>
      <w:r w:rsidR="00EE07BA">
        <w:rPr>
          <w:rFonts w:eastAsia="+mn-ea" w:cstheme="minorHAnsi"/>
          <w:szCs w:val="20"/>
        </w:rPr>
        <w:t xml:space="preserve"> </w:t>
      </w:r>
      <w:r>
        <w:rPr>
          <w:rFonts w:eastAsia="+mn-ea" w:cstheme="minorHAnsi"/>
          <w:szCs w:val="20"/>
        </w:rPr>
        <w:t xml:space="preserve">sets out the minimum requirements for an exemption request: that it be in writing, state the reasons for the exemption, and specify proposed </w:t>
      </w:r>
      <w:r w:rsidRPr="00CA40FD">
        <w:rPr>
          <w:rFonts w:eastAsia="+mn-ea" w:cstheme="minorHAnsi"/>
          <w:szCs w:val="20"/>
        </w:rPr>
        <w:t>alternative action</w:t>
      </w:r>
      <w:r w:rsidR="00B30BA4" w:rsidRPr="00CA40FD">
        <w:rPr>
          <w:rFonts w:eastAsia="+mn-ea" w:cstheme="minorHAnsi"/>
          <w:szCs w:val="20"/>
        </w:rPr>
        <w:t>s</w:t>
      </w:r>
      <w:r w:rsidRPr="00CA40FD">
        <w:rPr>
          <w:rFonts w:eastAsia="+mn-ea" w:cstheme="minorHAnsi"/>
          <w:szCs w:val="20"/>
        </w:rPr>
        <w:t xml:space="preserve"> or procedures</w:t>
      </w:r>
      <w:r>
        <w:rPr>
          <w:rFonts w:eastAsia="+mn-ea" w:cstheme="minorHAnsi"/>
          <w:szCs w:val="20"/>
        </w:rPr>
        <w:t>.</w:t>
      </w:r>
    </w:p>
    <w:p w14:paraId="7E98CC09" w14:textId="775725C7" w:rsidR="00786459" w:rsidRDefault="00786459" w:rsidP="00786459">
      <w:pPr>
        <w:rPr>
          <w:rFonts w:eastAsia="+mn-ea" w:cstheme="minorHAnsi"/>
          <w:szCs w:val="20"/>
        </w:rPr>
      </w:pPr>
      <w:r w:rsidRPr="0003333A">
        <w:rPr>
          <w:rFonts w:eastAsia="+mn-ea" w:cstheme="minorHAnsi"/>
          <w:szCs w:val="20"/>
        </w:rPr>
        <w:t>The Directions and Instructions are intended to set down the minimum financial management standards for the Victorian Public Sector (VPS).</w:t>
      </w:r>
      <w:r>
        <w:rPr>
          <w:rFonts w:eastAsia="+mn-ea" w:cstheme="minorHAnsi"/>
          <w:szCs w:val="20"/>
        </w:rPr>
        <w:t xml:space="preserve"> Accordingly, exemptions will only be granted in exceptional circumstances. Agencies should </w:t>
      </w:r>
      <w:r w:rsidR="003D3D25">
        <w:rPr>
          <w:rFonts w:eastAsia="+mn-ea" w:cstheme="minorHAnsi"/>
          <w:szCs w:val="20"/>
        </w:rPr>
        <w:t>only seek</w:t>
      </w:r>
      <w:r>
        <w:rPr>
          <w:rFonts w:eastAsia="+mn-ea" w:cstheme="minorHAnsi"/>
          <w:szCs w:val="20"/>
        </w:rPr>
        <w:t xml:space="preserve"> an exemption as</w:t>
      </w:r>
      <w:r w:rsidR="00872DE8">
        <w:rPr>
          <w:rFonts w:eastAsia="+mn-ea" w:cstheme="minorHAnsi"/>
          <w:szCs w:val="20"/>
        </w:rPr>
        <w:t xml:space="preserve"> a</w:t>
      </w:r>
      <w:r>
        <w:rPr>
          <w:rFonts w:eastAsia="+mn-ea" w:cstheme="minorHAnsi"/>
          <w:szCs w:val="20"/>
        </w:rPr>
        <w:t xml:space="preserve"> last resort. </w:t>
      </w:r>
    </w:p>
    <w:p w14:paraId="204006C4" w14:textId="0C5CD049" w:rsidR="00CA40FD" w:rsidRPr="00137171" w:rsidRDefault="007E7BBF" w:rsidP="00786459">
      <w:pPr>
        <w:rPr>
          <w:rFonts w:eastAsia="+mn-ea"/>
          <w:lang w:val="en-US"/>
        </w:rPr>
      </w:pPr>
      <w:r w:rsidRPr="007E7BBF">
        <w:rPr>
          <w:rFonts w:eastAsia="+mn-ea" w:cstheme="minorHAnsi"/>
          <w:b/>
          <w:bCs/>
          <w:szCs w:val="20"/>
        </w:rPr>
        <w:t xml:space="preserve">Further guidance on </w:t>
      </w:r>
      <w:r w:rsidR="00F15198">
        <w:rPr>
          <w:rFonts w:eastAsia="+mn-ea" w:cstheme="minorHAnsi"/>
          <w:b/>
          <w:bCs/>
          <w:szCs w:val="20"/>
        </w:rPr>
        <w:t>which</w:t>
      </w:r>
      <w:r w:rsidRPr="007E7BBF">
        <w:rPr>
          <w:rFonts w:eastAsia="+mn-ea" w:cstheme="minorHAnsi"/>
          <w:b/>
          <w:bCs/>
          <w:szCs w:val="20"/>
        </w:rPr>
        <w:t xml:space="preserve"> sources of funds </w:t>
      </w:r>
      <w:r w:rsidR="00F15198">
        <w:rPr>
          <w:rFonts w:eastAsia="+mn-ea" w:cstheme="minorHAnsi"/>
          <w:b/>
          <w:bCs/>
          <w:szCs w:val="20"/>
        </w:rPr>
        <w:t>are</w:t>
      </w:r>
      <w:r w:rsidRPr="007E7BBF">
        <w:rPr>
          <w:rFonts w:eastAsia="+mn-ea" w:cstheme="minorHAnsi"/>
          <w:b/>
          <w:bCs/>
          <w:szCs w:val="20"/>
        </w:rPr>
        <w:t xml:space="preserve"> automatically exempt from </w:t>
      </w:r>
      <w:r w:rsidR="00F15198">
        <w:rPr>
          <w:rFonts w:eastAsia="+mn-ea" w:cstheme="minorHAnsi"/>
          <w:b/>
          <w:bCs/>
          <w:szCs w:val="20"/>
        </w:rPr>
        <w:t>being held in the C</w:t>
      </w:r>
      <w:r w:rsidR="00632E28">
        <w:rPr>
          <w:rFonts w:eastAsia="+mn-ea" w:cstheme="minorHAnsi"/>
          <w:b/>
          <w:bCs/>
          <w:szCs w:val="20"/>
        </w:rPr>
        <w:t xml:space="preserve">entral </w:t>
      </w:r>
      <w:r w:rsidR="00F15198">
        <w:rPr>
          <w:rFonts w:eastAsia="+mn-ea" w:cstheme="minorHAnsi"/>
          <w:b/>
          <w:bCs/>
          <w:szCs w:val="20"/>
        </w:rPr>
        <w:t>B</w:t>
      </w:r>
      <w:r w:rsidR="00632E28">
        <w:rPr>
          <w:rFonts w:eastAsia="+mn-ea" w:cstheme="minorHAnsi"/>
          <w:b/>
          <w:bCs/>
          <w:szCs w:val="20"/>
        </w:rPr>
        <w:t xml:space="preserve">anking </w:t>
      </w:r>
      <w:r w:rsidR="00F15198">
        <w:rPr>
          <w:rFonts w:eastAsia="+mn-ea" w:cstheme="minorHAnsi"/>
          <w:b/>
          <w:bCs/>
          <w:szCs w:val="20"/>
        </w:rPr>
        <w:t>S</w:t>
      </w:r>
      <w:r w:rsidR="00632E28">
        <w:rPr>
          <w:rFonts w:eastAsia="+mn-ea" w:cstheme="minorHAnsi"/>
          <w:b/>
          <w:bCs/>
          <w:szCs w:val="20"/>
        </w:rPr>
        <w:t>ystem</w:t>
      </w:r>
      <w:r w:rsidR="00F15198">
        <w:rPr>
          <w:rFonts w:eastAsia="+mn-ea" w:cstheme="minorHAnsi"/>
          <w:b/>
          <w:bCs/>
          <w:szCs w:val="20"/>
        </w:rPr>
        <w:t xml:space="preserve"> </w:t>
      </w:r>
      <w:r w:rsidRPr="007E7BBF">
        <w:rPr>
          <w:rFonts w:eastAsia="+mn-ea" w:cstheme="minorHAnsi"/>
          <w:b/>
          <w:bCs/>
          <w:szCs w:val="20"/>
        </w:rPr>
        <w:t xml:space="preserve">or how to seek exemption from </w:t>
      </w:r>
      <w:r w:rsidR="00F15198">
        <w:rPr>
          <w:rFonts w:eastAsia="+mn-ea" w:cstheme="minorHAnsi"/>
          <w:b/>
          <w:bCs/>
          <w:szCs w:val="20"/>
        </w:rPr>
        <w:t xml:space="preserve">Direction </w:t>
      </w:r>
      <w:r w:rsidRPr="007E7BBF">
        <w:rPr>
          <w:rFonts w:eastAsia="+mn-ea" w:cstheme="minorHAnsi"/>
          <w:b/>
          <w:bCs/>
          <w:szCs w:val="20"/>
        </w:rPr>
        <w:t xml:space="preserve">3.7.2 </w:t>
      </w:r>
      <w:r w:rsidR="000172A8">
        <w:rPr>
          <w:rFonts w:eastAsia="+mn-ea" w:cstheme="minorHAnsi"/>
          <w:b/>
          <w:bCs/>
          <w:szCs w:val="20"/>
        </w:rPr>
        <w:t>is</w:t>
      </w:r>
      <w:r w:rsidRPr="007E7BBF">
        <w:rPr>
          <w:rFonts w:eastAsia="+mn-ea" w:cstheme="minorHAnsi"/>
          <w:b/>
          <w:bCs/>
          <w:szCs w:val="20"/>
        </w:rPr>
        <w:t xml:space="preserve"> provided below.</w:t>
      </w:r>
    </w:p>
    <w:p w14:paraId="46D86A15" w14:textId="77777777" w:rsidR="00786459" w:rsidRPr="002B1140" w:rsidRDefault="00786459" w:rsidP="00786459">
      <w:pPr>
        <w:pStyle w:val="Heading1NoNum"/>
      </w:pPr>
      <w:r w:rsidRPr="002B1140">
        <w:t xml:space="preserve">Preparing </w:t>
      </w:r>
      <w:r>
        <w:t>to apply</w:t>
      </w:r>
    </w:p>
    <w:p w14:paraId="776A885C" w14:textId="4B4E1976" w:rsidR="00786459" w:rsidRDefault="00786459" w:rsidP="00786459">
      <w:pPr>
        <w:rPr>
          <w:rFonts w:eastAsia="+mn-ea"/>
        </w:rPr>
      </w:pPr>
      <w:r>
        <w:rPr>
          <w:rFonts w:eastAsia="+mn-ea"/>
        </w:rPr>
        <w:t>Before</w:t>
      </w:r>
      <w:r w:rsidR="006F0D5C">
        <w:rPr>
          <w:rFonts w:eastAsia="+mn-ea"/>
        </w:rPr>
        <w:t xml:space="preserve"> applying for an exemption, an A</w:t>
      </w:r>
      <w:r>
        <w:rPr>
          <w:rFonts w:eastAsia="+mn-ea"/>
        </w:rPr>
        <w:t xml:space="preserve">gency should closely consider whether the exemption is required. It may be that the relevant Direction can be achieved without the need for an exemption. It should be kept in mind </w:t>
      </w:r>
      <w:r w:rsidRPr="0003333A">
        <w:rPr>
          <w:rFonts w:eastAsia="+mn-ea"/>
        </w:rPr>
        <w:t>that the Directions are intended to be applied in a manner consistent wit</w:t>
      </w:r>
      <w:r w:rsidR="00453706" w:rsidRPr="0003333A">
        <w:rPr>
          <w:rFonts w:eastAsia="+mn-ea"/>
        </w:rPr>
        <w:t>h the size and risk profile of A</w:t>
      </w:r>
      <w:r w:rsidRPr="0003333A">
        <w:rPr>
          <w:rFonts w:eastAsia="+mn-ea"/>
        </w:rPr>
        <w:t>gencies</w:t>
      </w:r>
      <w:r w:rsidR="00636152" w:rsidRPr="0003333A">
        <w:rPr>
          <w:rFonts w:eastAsia="+mn-ea"/>
        </w:rPr>
        <w:t>: see</w:t>
      </w:r>
      <w:r w:rsidR="003D3D25" w:rsidRPr="0003333A">
        <w:rPr>
          <w:rFonts w:eastAsia="+mn-ea"/>
        </w:rPr>
        <w:t xml:space="preserve"> </w:t>
      </w:r>
      <w:hyperlink r:id="rId34" w:anchor="standing-directions-2018" w:history="1">
        <w:r w:rsidR="003D3D25" w:rsidRPr="0003333A">
          <w:rPr>
            <w:rStyle w:val="Hyperlink"/>
            <w:rFonts w:eastAsia="+mn-ea"/>
          </w:rPr>
          <w:t>Direction 1.1(b)</w:t>
        </w:r>
      </w:hyperlink>
      <w:r w:rsidR="00995ED6" w:rsidRPr="0003333A">
        <w:rPr>
          <w:rFonts w:eastAsia="+mn-ea"/>
        </w:rPr>
        <w:t>.</w:t>
      </w:r>
      <w:r w:rsidR="00995ED6">
        <w:rPr>
          <w:rFonts w:eastAsia="+mn-ea"/>
        </w:rPr>
        <w:t xml:space="preserve"> </w:t>
      </w:r>
    </w:p>
    <w:p w14:paraId="4CFE1E5E" w14:textId="77777777" w:rsidR="00786459" w:rsidRDefault="00786459" w:rsidP="00786459">
      <w:pPr>
        <w:rPr>
          <w:rFonts w:eastAsia="+mn-ea"/>
        </w:rPr>
      </w:pPr>
      <w:r>
        <w:rPr>
          <w:rFonts w:eastAsia="+mn-ea"/>
        </w:rPr>
        <w:t>If</w:t>
      </w:r>
      <w:r w:rsidR="006F0D5C">
        <w:rPr>
          <w:rFonts w:eastAsia="+mn-ea"/>
        </w:rPr>
        <w:t xml:space="preserve"> an exemption is required, the A</w:t>
      </w:r>
      <w:r>
        <w:rPr>
          <w:rFonts w:eastAsia="+mn-ea"/>
        </w:rPr>
        <w:t>gency should identify the minimum exemption necessary.</w:t>
      </w:r>
    </w:p>
    <w:p w14:paraId="4BDFDA2F" w14:textId="3C888862" w:rsidR="00786459" w:rsidRDefault="00786459" w:rsidP="00786459">
      <w:pPr>
        <w:rPr>
          <w:rFonts w:eastAsia="+mn-ea"/>
        </w:rPr>
      </w:pPr>
      <w:r>
        <w:rPr>
          <w:rFonts w:eastAsia="+mn-ea"/>
        </w:rPr>
        <w:t>Agencies should consult with</w:t>
      </w:r>
      <w:r w:rsidR="00636152">
        <w:rPr>
          <w:rFonts w:eastAsia="+mn-ea"/>
        </w:rPr>
        <w:t xml:space="preserve"> their Portfolio Department and</w:t>
      </w:r>
      <w:r>
        <w:rPr>
          <w:rFonts w:eastAsia="+mn-ea"/>
        </w:rPr>
        <w:t xml:space="preserve"> DTF as soon as possible before making a formal exemption request. This may save time and effort later and provide a chance to ensure that the application is tailored appropriately. </w:t>
      </w:r>
    </w:p>
    <w:p w14:paraId="55C3CD24" w14:textId="076198CF" w:rsidR="00104FFB" w:rsidRPr="00137171" w:rsidRDefault="00786459" w:rsidP="00C3502B">
      <w:pPr>
        <w:rPr>
          <w:color w:val="404040"/>
          <w:sz w:val="28"/>
        </w:rPr>
      </w:pPr>
      <w:r>
        <w:rPr>
          <w:rFonts w:eastAsia="+mn-ea"/>
        </w:rPr>
        <w:t xml:space="preserve">Agencies should dedicate sufficient time and resources to preparing a strong case for an exemption. </w:t>
      </w:r>
    </w:p>
    <w:p w14:paraId="61B98365" w14:textId="603E6C0B" w:rsidR="00786459" w:rsidRDefault="00786459" w:rsidP="00786459">
      <w:pPr>
        <w:pStyle w:val="Heading1NoNum"/>
      </w:pPr>
      <w:r w:rsidRPr="00166D96">
        <w:t>How to apply</w:t>
      </w:r>
    </w:p>
    <w:p w14:paraId="24F29CE6" w14:textId="7623ED5C" w:rsidR="00786459" w:rsidRDefault="006F0D5C" w:rsidP="00786459">
      <w:pPr>
        <w:rPr>
          <w:rFonts w:eastAsia="+mn-ea"/>
        </w:rPr>
      </w:pPr>
      <w:r>
        <w:rPr>
          <w:rFonts w:eastAsia="+mn-ea"/>
        </w:rPr>
        <w:t>An A</w:t>
      </w:r>
      <w:r w:rsidR="00786459" w:rsidRPr="00350E0D">
        <w:rPr>
          <w:rFonts w:eastAsia="+mn-ea"/>
        </w:rPr>
        <w:t>gency should apply for an exemption by letter from the</w:t>
      </w:r>
      <w:r w:rsidR="00786459">
        <w:rPr>
          <w:rFonts w:eastAsia="+mn-ea"/>
        </w:rPr>
        <w:t>ir</w:t>
      </w:r>
      <w:r w:rsidR="00786459" w:rsidRPr="00350E0D">
        <w:rPr>
          <w:rFonts w:eastAsia="+mn-ea"/>
        </w:rPr>
        <w:t xml:space="preserve"> Accountable Officer or Responsible Minister to the </w:t>
      </w:r>
      <w:r w:rsidR="00780F7A">
        <w:rPr>
          <w:rFonts w:eastAsia="+mn-ea"/>
        </w:rPr>
        <w:t>Assistant Treasurer</w:t>
      </w:r>
      <w:r w:rsidR="00786459" w:rsidRPr="00350E0D">
        <w:rPr>
          <w:rFonts w:eastAsia="+mn-ea"/>
        </w:rPr>
        <w:t xml:space="preserve">. The application should also be </w:t>
      </w:r>
      <w:r w:rsidR="00786459">
        <w:rPr>
          <w:rFonts w:eastAsia="+mn-ea"/>
        </w:rPr>
        <w:t>copied</w:t>
      </w:r>
      <w:r w:rsidR="00786459" w:rsidRPr="00350E0D">
        <w:rPr>
          <w:rFonts w:eastAsia="+mn-ea"/>
        </w:rPr>
        <w:t xml:space="preserve"> to DTF.</w:t>
      </w:r>
    </w:p>
    <w:p w14:paraId="0A79E9EA" w14:textId="77777777" w:rsidR="00786459" w:rsidRPr="00B02EE3" w:rsidRDefault="006F0D5C" w:rsidP="00786459">
      <w:pPr>
        <w:rPr>
          <w:rFonts w:eastAsia="+mn-ea"/>
        </w:rPr>
      </w:pPr>
      <w:r>
        <w:rPr>
          <w:rFonts w:eastAsia="+mn-ea"/>
        </w:rPr>
        <w:t>An A</w:t>
      </w:r>
      <w:r w:rsidR="00786459">
        <w:rPr>
          <w:rFonts w:eastAsia="+mn-ea"/>
        </w:rPr>
        <w:t>gency should</w:t>
      </w:r>
      <w:r w:rsidR="00786459" w:rsidRPr="00B02EE3">
        <w:rPr>
          <w:rFonts w:eastAsia="+mn-ea"/>
        </w:rPr>
        <w:t xml:space="preserve"> include the following</w:t>
      </w:r>
      <w:r w:rsidR="00786459">
        <w:rPr>
          <w:rFonts w:eastAsia="+mn-ea"/>
        </w:rPr>
        <w:t xml:space="preserve"> information</w:t>
      </w:r>
      <w:r w:rsidR="00786459" w:rsidRPr="00B02EE3">
        <w:rPr>
          <w:rFonts w:eastAsia="+mn-ea"/>
        </w:rPr>
        <w:t xml:space="preserve"> in the application:</w:t>
      </w:r>
    </w:p>
    <w:p w14:paraId="020F7EFE" w14:textId="77777777" w:rsidR="00786459" w:rsidRPr="00B02EE3" w:rsidRDefault="00786459" w:rsidP="00104FFB">
      <w:pPr>
        <w:pStyle w:val="GuidanceBullet1"/>
        <w:rPr>
          <w:rFonts w:eastAsia="+mn-ea"/>
        </w:rPr>
      </w:pPr>
      <w:r>
        <w:rPr>
          <w:rFonts w:eastAsia="+mn-ea"/>
        </w:rPr>
        <w:t>the Directions and/or Instructions from which the</w:t>
      </w:r>
      <w:r w:rsidRPr="00B02EE3">
        <w:rPr>
          <w:rFonts w:eastAsia="+mn-ea"/>
        </w:rPr>
        <w:t xml:space="preserve"> exemption is sought;</w:t>
      </w:r>
    </w:p>
    <w:p w14:paraId="2787869B" w14:textId="77777777" w:rsidR="00786459" w:rsidRDefault="00786459" w:rsidP="00104FFB">
      <w:pPr>
        <w:pStyle w:val="GuidanceBullet1"/>
        <w:rPr>
          <w:rFonts w:eastAsia="+mn-ea"/>
        </w:rPr>
      </w:pPr>
      <w:r>
        <w:rPr>
          <w:rFonts w:eastAsia="+mn-ea"/>
        </w:rPr>
        <w:t>the reasons for seeking the</w:t>
      </w:r>
      <w:r w:rsidRPr="00B02EE3">
        <w:rPr>
          <w:rFonts w:eastAsia="+mn-ea"/>
        </w:rPr>
        <w:t xml:space="preserve"> exemption</w:t>
      </w:r>
      <w:r>
        <w:rPr>
          <w:rFonts w:eastAsia="+mn-ea"/>
        </w:rPr>
        <w:t xml:space="preserve"> (see discussion below);</w:t>
      </w:r>
    </w:p>
    <w:p w14:paraId="1543A1DC" w14:textId="77777777" w:rsidR="00786459" w:rsidRPr="00B02EE3" w:rsidRDefault="006F0D5C" w:rsidP="00104FFB">
      <w:pPr>
        <w:pStyle w:val="GuidanceBullet1"/>
        <w:rPr>
          <w:rFonts w:eastAsia="+mn-ea"/>
        </w:rPr>
      </w:pPr>
      <w:r>
        <w:rPr>
          <w:rFonts w:eastAsia="+mn-ea"/>
        </w:rPr>
        <w:t>relevant information about the A</w:t>
      </w:r>
      <w:r w:rsidR="00786459">
        <w:rPr>
          <w:rFonts w:eastAsia="+mn-ea"/>
        </w:rPr>
        <w:t>gency, including size and risk profile if relevant;</w:t>
      </w:r>
    </w:p>
    <w:p w14:paraId="5EA52C38" w14:textId="77777777" w:rsidR="00786459" w:rsidRPr="00B02EE3" w:rsidRDefault="00786459" w:rsidP="00104FFB">
      <w:pPr>
        <w:pStyle w:val="GuidanceBullet1"/>
        <w:rPr>
          <w:rFonts w:eastAsia="+mn-ea"/>
        </w:rPr>
      </w:pPr>
      <w:r>
        <w:rPr>
          <w:rFonts w:eastAsia="+mn-ea"/>
        </w:rPr>
        <w:t xml:space="preserve">details of </w:t>
      </w:r>
      <w:r w:rsidRPr="00B02EE3">
        <w:rPr>
          <w:rFonts w:eastAsia="+mn-ea"/>
        </w:rPr>
        <w:t xml:space="preserve">any </w:t>
      </w:r>
      <w:r>
        <w:rPr>
          <w:rFonts w:eastAsia="+mn-ea"/>
        </w:rPr>
        <w:t xml:space="preserve">previous or </w:t>
      </w:r>
      <w:r w:rsidRPr="00B02EE3">
        <w:rPr>
          <w:rFonts w:eastAsia="+mn-ea"/>
        </w:rPr>
        <w:t xml:space="preserve">existing exemptions </w:t>
      </w:r>
      <w:r w:rsidR="006F0D5C">
        <w:rPr>
          <w:rFonts w:eastAsia="+mn-ea"/>
        </w:rPr>
        <w:t>of the A</w:t>
      </w:r>
      <w:r>
        <w:rPr>
          <w:rFonts w:eastAsia="+mn-ea"/>
        </w:rPr>
        <w:t>gency;</w:t>
      </w:r>
    </w:p>
    <w:p w14:paraId="019E3C23" w14:textId="77777777" w:rsidR="00786459" w:rsidRDefault="00786459" w:rsidP="00104FFB">
      <w:pPr>
        <w:pStyle w:val="GuidanceBullet1"/>
        <w:rPr>
          <w:rFonts w:eastAsia="+mn-ea"/>
        </w:rPr>
      </w:pPr>
      <w:r w:rsidRPr="00B02EE3">
        <w:rPr>
          <w:rFonts w:eastAsia="+mn-ea"/>
        </w:rPr>
        <w:t>alternative action or procedures to ensure that the objectives of the relevant</w:t>
      </w:r>
      <w:r>
        <w:rPr>
          <w:rFonts w:eastAsia="+mn-ea"/>
        </w:rPr>
        <w:t xml:space="preserve"> Directions are achieved; and</w:t>
      </w:r>
    </w:p>
    <w:p w14:paraId="2E75AB63" w14:textId="77777777" w:rsidR="00786459" w:rsidRPr="00775442" w:rsidRDefault="00786459" w:rsidP="00104FFB">
      <w:pPr>
        <w:pStyle w:val="GuidanceBullet1"/>
        <w:rPr>
          <w:rFonts w:eastAsia="+mn-ea"/>
        </w:rPr>
      </w:pPr>
      <w:r>
        <w:rPr>
          <w:rFonts w:eastAsia="+mn-ea"/>
        </w:rPr>
        <w:t>the duration of the exemption: for a specified period, or ongoing.</w:t>
      </w:r>
    </w:p>
    <w:p w14:paraId="733CAFEF" w14:textId="77777777" w:rsidR="00786459" w:rsidRDefault="00786459" w:rsidP="00FC17D9">
      <w:pPr>
        <w:pStyle w:val="Heading2NoNum"/>
      </w:pPr>
      <w:r>
        <w:lastRenderedPageBreak/>
        <w:t xml:space="preserve">Reasons for </w:t>
      </w:r>
      <w:r w:rsidRPr="00B02EE3">
        <w:t>an exemption</w:t>
      </w:r>
    </w:p>
    <w:p w14:paraId="678323FA" w14:textId="2969C734" w:rsidR="001667DD" w:rsidRDefault="001667DD" w:rsidP="00786459">
      <w:pPr>
        <w:rPr>
          <w:rFonts w:eastAsia="+mn-ea"/>
        </w:rPr>
      </w:pPr>
      <w:r>
        <w:rPr>
          <w:rFonts w:eastAsia="+mn-ea"/>
        </w:rPr>
        <w:t xml:space="preserve">There is no need for an Agency to seek an exemption in relation to a Direction or Instruction which is not relevant to it (for example, a Direction or Instruction covering financial investments would not be relevant to an Agency which never has funds to invest). </w:t>
      </w:r>
      <w:r w:rsidR="00CB2561">
        <w:rPr>
          <w:rFonts w:eastAsia="+mn-ea"/>
        </w:rPr>
        <w:t>In those circumstances, a</w:t>
      </w:r>
      <w:r>
        <w:rPr>
          <w:rFonts w:eastAsia="+mn-ea"/>
        </w:rPr>
        <w:t xml:space="preserve">ll the Agency is required to do is to note that the particular Direction or Instruction </w:t>
      </w:r>
      <w:r w:rsidR="00CB2561">
        <w:rPr>
          <w:rFonts w:eastAsia="+mn-ea"/>
        </w:rPr>
        <w:t>is not relevant</w:t>
      </w:r>
      <w:r w:rsidR="00F81CE4">
        <w:rPr>
          <w:rFonts w:eastAsia="+mn-ea"/>
        </w:rPr>
        <w:t xml:space="preserve"> to it</w:t>
      </w:r>
      <w:r w:rsidR="00CB2561">
        <w:rPr>
          <w:rFonts w:eastAsia="+mn-ea"/>
        </w:rPr>
        <w:t>, and ensure it has procedures in place to alert it to the need to apply the Direction or Instruction should the circumstances change.</w:t>
      </w:r>
    </w:p>
    <w:p w14:paraId="7A36474A" w14:textId="755C6F07" w:rsidR="00EE5890" w:rsidRDefault="006F0D5C" w:rsidP="00786459">
      <w:pPr>
        <w:rPr>
          <w:rFonts w:eastAsia="+mn-ea"/>
        </w:rPr>
      </w:pPr>
      <w:r>
        <w:rPr>
          <w:rFonts w:eastAsia="+mn-ea"/>
        </w:rPr>
        <w:t>An A</w:t>
      </w:r>
      <w:r w:rsidR="00786459">
        <w:rPr>
          <w:rFonts w:eastAsia="+mn-ea"/>
        </w:rPr>
        <w:t xml:space="preserve">gency seeking an exemption needs to </w:t>
      </w:r>
      <w:r w:rsidR="00EE5890">
        <w:rPr>
          <w:rFonts w:eastAsia="+mn-ea"/>
        </w:rPr>
        <w:t xml:space="preserve">provide reasons that </w:t>
      </w:r>
      <w:r w:rsidR="00786459">
        <w:rPr>
          <w:rFonts w:eastAsia="+mn-ea"/>
        </w:rPr>
        <w:t xml:space="preserve">demonstrate to the </w:t>
      </w:r>
      <w:r w:rsidR="00780F7A">
        <w:rPr>
          <w:rFonts w:eastAsia="+mn-ea"/>
        </w:rPr>
        <w:t>Assistant Treasurer</w:t>
      </w:r>
      <w:r w:rsidR="00786459">
        <w:rPr>
          <w:rFonts w:eastAsia="+mn-ea"/>
        </w:rPr>
        <w:t xml:space="preserve"> that</w:t>
      </w:r>
      <w:r w:rsidR="00EE5890">
        <w:rPr>
          <w:rFonts w:eastAsia="+mn-ea"/>
        </w:rPr>
        <w:t xml:space="preserve"> it has a compelling case for an exemption.</w:t>
      </w:r>
      <w:r w:rsidR="00786459">
        <w:rPr>
          <w:rFonts w:eastAsia="+mn-ea"/>
        </w:rPr>
        <w:t xml:space="preserve"> </w:t>
      </w:r>
    </w:p>
    <w:p w14:paraId="04211051" w14:textId="77777777" w:rsidR="00670C25" w:rsidRDefault="006F0D5C" w:rsidP="00670C25">
      <w:pPr>
        <w:rPr>
          <w:rFonts w:eastAsia="+mn-ea"/>
        </w:rPr>
      </w:pPr>
      <w:r>
        <w:rPr>
          <w:rFonts w:eastAsia="+mn-ea"/>
        </w:rPr>
        <w:t>An A</w:t>
      </w:r>
      <w:r w:rsidR="00670C25">
        <w:rPr>
          <w:rFonts w:eastAsia="+mn-ea"/>
        </w:rPr>
        <w:t>gency may provide the following information to support its case for an exemption:</w:t>
      </w:r>
    </w:p>
    <w:p w14:paraId="037B96CC" w14:textId="6FED8162" w:rsidR="00670C25" w:rsidRDefault="00670C25" w:rsidP="00104FFB">
      <w:pPr>
        <w:pStyle w:val="GuidanceBullet1"/>
        <w:rPr>
          <w:rFonts w:eastAsia="+mn-ea"/>
        </w:rPr>
      </w:pPr>
      <w:r w:rsidRPr="00C00B59">
        <w:rPr>
          <w:rFonts w:eastAsia="+mn-ea"/>
        </w:rPr>
        <w:t xml:space="preserve">an explanation of how </w:t>
      </w:r>
      <w:r w:rsidR="00D953BE">
        <w:rPr>
          <w:rFonts w:eastAsia="+mn-ea"/>
        </w:rPr>
        <w:t xml:space="preserve">approval of </w:t>
      </w:r>
      <w:r w:rsidRPr="00C00B59">
        <w:rPr>
          <w:rFonts w:eastAsia="+mn-ea"/>
        </w:rPr>
        <w:t xml:space="preserve">the exemption </w:t>
      </w:r>
      <w:r w:rsidR="00D953BE">
        <w:rPr>
          <w:rFonts w:eastAsia="+mn-ea"/>
        </w:rPr>
        <w:t>request</w:t>
      </w:r>
      <w:r w:rsidRPr="00C00B59">
        <w:rPr>
          <w:rFonts w:eastAsia="+mn-ea"/>
        </w:rPr>
        <w:t xml:space="preserve"> and </w:t>
      </w:r>
      <w:r w:rsidR="00D953BE">
        <w:rPr>
          <w:rFonts w:eastAsia="+mn-ea"/>
        </w:rPr>
        <w:t xml:space="preserve">implementation of the </w:t>
      </w:r>
      <w:r w:rsidR="00D953BE" w:rsidRPr="00C00B59">
        <w:rPr>
          <w:rFonts w:eastAsia="+mn-ea"/>
        </w:rPr>
        <w:t xml:space="preserve">proposed </w:t>
      </w:r>
      <w:r w:rsidRPr="00C00B59">
        <w:rPr>
          <w:rFonts w:eastAsia="+mn-ea"/>
        </w:rPr>
        <w:t xml:space="preserve">alternative arrangements would not </w:t>
      </w:r>
      <w:r w:rsidR="006F0D5C">
        <w:rPr>
          <w:rFonts w:eastAsia="+mn-ea"/>
        </w:rPr>
        <w:t>undermine the integrity of the A</w:t>
      </w:r>
      <w:r w:rsidRPr="00C00B59">
        <w:rPr>
          <w:rFonts w:eastAsia="+mn-ea"/>
        </w:rPr>
        <w:t>gency’s financial management systems</w:t>
      </w:r>
      <w:r>
        <w:rPr>
          <w:rFonts w:eastAsia="+mn-ea"/>
        </w:rPr>
        <w:t xml:space="preserve"> and the objectives of the Direction;</w:t>
      </w:r>
    </w:p>
    <w:p w14:paraId="3754B965" w14:textId="77777777" w:rsidR="00670C25" w:rsidRPr="00AE1005" w:rsidRDefault="00670C25" w:rsidP="00104FFB">
      <w:pPr>
        <w:pStyle w:val="GuidanceBullet1"/>
        <w:rPr>
          <w:rFonts w:eastAsia="+mn-ea"/>
        </w:rPr>
      </w:pPr>
      <w:r>
        <w:rPr>
          <w:rFonts w:eastAsia="+mn-ea"/>
        </w:rPr>
        <w:t>a</w:t>
      </w:r>
      <w:r w:rsidRPr="00AE1005">
        <w:rPr>
          <w:rFonts w:eastAsia="+mn-ea"/>
        </w:rPr>
        <w:t xml:space="preserve"> description of the effects on the </w:t>
      </w:r>
      <w:r w:rsidR="006F0D5C">
        <w:rPr>
          <w:rFonts w:eastAsia="+mn-ea"/>
        </w:rPr>
        <w:t>A</w:t>
      </w:r>
      <w:r w:rsidRPr="00AE1005">
        <w:rPr>
          <w:rFonts w:eastAsia="+mn-ea"/>
        </w:rPr>
        <w:t xml:space="preserve">gency of (a) </w:t>
      </w:r>
      <w:r>
        <w:rPr>
          <w:rFonts w:eastAsia="+mn-ea"/>
        </w:rPr>
        <w:t xml:space="preserve">being granted, </w:t>
      </w:r>
      <w:r w:rsidRPr="00AE1005">
        <w:rPr>
          <w:rFonts w:eastAsia="+mn-ea"/>
        </w:rPr>
        <w:t>an</w:t>
      </w:r>
      <w:r>
        <w:rPr>
          <w:rFonts w:eastAsia="+mn-ea"/>
        </w:rPr>
        <w:t xml:space="preserve">d (b) being denied, the exemption; </w:t>
      </w:r>
    </w:p>
    <w:p w14:paraId="485934C1" w14:textId="77777777" w:rsidR="00670C25" w:rsidRDefault="00670C25" w:rsidP="00995ED6">
      <w:pPr>
        <w:pStyle w:val="GuidanceBullet1"/>
        <w:rPr>
          <w:rFonts w:eastAsia="+mn-ea"/>
        </w:rPr>
      </w:pPr>
      <w:r w:rsidRPr="00C42127">
        <w:rPr>
          <w:rFonts w:eastAsia="+mn-ea"/>
        </w:rPr>
        <w:t>a cost</w:t>
      </w:r>
      <w:r w:rsidR="00D62B6D">
        <w:rPr>
          <w:rFonts w:eastAsia="+mn-ea"/>
        </w:rPr>
        <w:noBreakHyphen/>
      </w:r>
      <w:r w:rsidRPr="00C42127">
        <w:rPr>
          <w:rFonts w:eastAsia="+mn-ea"/>
        </w:rPr>
        <w:t>benefit analysis, or other analysis, of the</w:t>
      </w:r>
      <w:r>
        <w:rPr>
          <w:rFonts w:eastAsia="+mn-ea"/>
        </w:rPr>
        <w:t xml:space="preserve"> exemption; and</w:t>
      </w:r>
    </w:p>
    <w:p w14:paraId="5EEBD149" w14:textId="320917AF" w:rsidR="002D0DC1" w:rsidRPr="00DD3F76" w:rsidRDefault="00670C25" w:rsidP="00DD3F76">
      <w:pPr>
        <w:pStyle w:val="GuidanceBullet1"/>
        <w:rPr>
          <w:rFonts w:eastAsia="+mn-ea"/>
        </w:rPr>
      </w:pPr>
      <w:r>
        <w:rPr>
          <w:rFonts w:eastAsia="+mn-ea"/>
        </w:rPr>
        <w:t xml:space="preserve">relevant supporting material. </w:t>
      </w:r>
    </w:p>
    <w:p w14:paraId="50E8471E" w14:textId="061E0EB1" w:rsidR="00727CD4" w:rsidRDefault="00EE5890" w:rsidP="0003333A">
      <w:pPr>
        <w:rPr>
          <w:rFonts w:eastAsia="+mn-ea"/>
        </w:rPr>
      </w:pPr>
      <w:r>
        <w:rPr>
          <w:rFonts w:eastAsia="+mn-ea"/>
        </w:rPr>
        <w:t xml:space="preserve">Demonstrating that the exemption </w:t>
      </w:r>
      <w:r w:rsidR="00786459">
        <w:rPr>
          <w:rFonts w:eastAsia="+mn-ea"/>
        </w:rPr>
        <w:t xml:space="preserve">will result in a </w:t>
      </w:r>
      <w:r w:rsidR="00786459" w:rsidRPr="00924EDE">
        <w:rPr>
          <w:rFonts w:eastAsia="+mn-ea"/>
        </w:rPr>
        <w:t>clear</w:t>
      </w:r>
      <w:r w:rsidR="00786459" w:rsidRPr="00EC6FD0">
        <w:rPr>
          <w:rFonts w:eastAsia="+mn-ea"/>
          <w:bCs/>
        </w:rPr>
        <w:t xml:space="preserve"> </w:t>
      </w:r>
      <w:r w:rsidR="00786459" w:rsidRPr="00924EDE">
        <w:rPr>
          <w:rFonts w:eastAsia="+mn-ea"/>
        </w:rPr>
        <w:t>net benefit</w:t>
      </w:r>
      <w:r w:rsidR="00786459" w:rsidRPr="009E1915">
        <w:rPr>
          <w:rFonts w:eastAsia="+mn-ea"/>
          <w:b/>
        </w:rPr>
        <w:t xml:space="preserve"> </w:t>
      </w:r>
      <w:r w:rsidR="00786459">
        <w:rPr>
          <w:rFonts w:eastAsia="+mn-ea"/>
        </w:rPr>
        <w:t>to the Victorian community</w:t>
      </w:r>
      <w:r>
        <w:rPr>
          <w:rFonts w:eastAsia="+mn-ea"/>
        </w:rPr>
        <w:t xml:space="preserve"> may be persuasive</w:t>
      </w:r>
      <w:r w:rsidR="00786459">
        <w:rPr>
          <w:rFonts w:eastAsia="+mn-ea"/>
        </w:rPr>
        <w:t>. A ‘net benefit’ is an overall positive impact on the community. It takes into account th</w:t>
      </w:r>
      <w:r>
        <w:rPr>
          <w:rFonts w:eastAsia="+mn-ea"/>
        </w:rPr>
        <w:t>e costs and benefits related to economic impact, financial risks and other matters.</w:t>
      </w:r>
      <w:r w:rsidR="00670C25">
        <w:rPr>
          <w:rFonts w:eastAsia="+mn-ea"/>
        </w:rPr>
        <w:t xml:space="preserve"> </w:t>
      </w:r>
      <w:r w:rsidR="00786459">
        <w:rPr>
          <w:rFonts w:eastAsia="+mn-ea"/>
        </w:rPr>
        <w:t>Assessment of the benefit to the community will be</w:t>
      </w:r>
      <w:r w:rsidR="006F0D5C">
        <w:rPr>
          <w:rFonts w:eastAsia="+mn-ea"/>
        </w:rPr>
        <w:t xml:space="preserve"> informed by the nature of the A</w:t>
      </w:r>
      <w:r w:rsidR="00786459">
        <w:rPr>
          <w:rFonts w:eastAsia="+mn-ea"/>
        </w:rPr>
        <w:t>gency’s operation and services.</w:t>
      </w:r>
      <w:r w:rsidR="00670C25">
        <w:rPr>
          <w:rFonts w:eastAsia="+mn-ea"/>
        </w:rPr>
        <w:t xml:space="preserve"> </w:t>
      </w:r>
      <w:r w:rsidR="00786459">
        <w:rPr>
          <w:rFonts w:eastAsia="+mn-ea"/>
        </w:rPr>
        <w:t>A potential cost of any exemption is the risk associ</w:t>
      </w:r>
      <w:r w:rsidR="006F0D5C">
        <w:rPr>
          <w:rFonts w:eastAsia="+mn-ea"/>
        </w:rPr>
        <w:t>ated with an A</w:t>
      </w:r>
      <w:r w:rsidR="00786459">
        <w:rPr>
          <w:rFonts w:eastAsia="+mn-ea"/>
        </w:rPr>
        <w:t xml:space="preserve">gency being subject to a different standard of financial management to the rest of the VPS. </w:t>
      </w:r>
      <w:bookmarkStart w:id="4" w:name="_Hlk45881560"/>
    </w:p>
    <w:p w14:paraId="551346BA" w14:textId="7E817EA9" w:rsidR="00ED1266" w:rsidRPr="00E60CD7" w:rsidRDefault="00ED1266" w:rsidP="00ED1266">
      <w:pPr>
        <w:rPr>
          <w:rFonts w:eastAsia="+mn-ea"/>
          <w:color w:val="000000" w:themeColor="text1"/>
          <w:sz w:val="24"/>
          <w:szCs w:val="24"/>
        </w:rPr>
      </w:pPr>
      <w:r>
        <w:rPr>
          <w:rFonts w:eastAsia="+mn-ea"/>
          <w:color w:val="000000" w:themeColor="text1"/>
          <w:sz w:val="24"/>
          <w:szCs w:val="24"/>
        </w:rPr>
        <w:t>Requests for retrospective exemptions</w:t>
      </w:r>
    </w:p>
    <w:p w14:paraId="5F8D28FB" w14:textId="77777777" w:rsidR="00ED1266" w:rsidRDefault="00ED1266" w:rsidP="00ED1266">
      <w:pPr>
        <w:rPr>
          <w:rFonts w:eastAsia="+mn-ea"/>
        </w:rPr>
      </w:pPr>
      <w:r>
        <w:rPr>
          <w:rFonts w:eastAsia="+mn-ea"/>
        </w:rPr>
        <w:t>Direction 1.5(d) states that exemptions will not normally be provided with retrospective effect. Providing retrospective effect requires the Assistant Treasurer to determine formally that the exemption commenced on a date that is earlier than the date on which he approved the request for the exemption.</w:t>
      </w:r>
    </w:p>
    <w:p w14:paraId="456A161A" w14:textId="06A54CD4" w:rsidR="00ED1266" w:rsidRDefault="00ED1266" w:rsidP="00ED1266">
      <w:pPr>
        <w:rPr>
          <w:rFonts w:eastAsia="+mn-ea"/>
        </w:rPr>
      </w:pPr>
      <w:r>
        <w:rPr>
          <w:rFonts w:eastAsia="+mn-ea"/>
        </w:rPr>
        <w:t>Retrospective effect has the effect of ‘excusing’ an agency’s failure to apply a Direction or Instruction between those two dates. The possibility of obtaining a retrospective exemption could therefore encourage an agency to fail to apply, or to be less than properly diligent in ensuring that it is applying, a relevant Direction or Instruction. DTF will therefore usually not recommend to the Assistant Treasurer that he approve a retrospective exemption unless the agency has made a compelling case to explain why:</w:t>
      </w:r>
    </w:p>
    <w:p w14:paraId="11DEB306" w14:textId="77777777" w:rsidR="00ED1266" w:rsidRDefault="00ED1266" w:rsidP="00ED1266">
      <w:pPr>
        <w:pStyle w:val="GuidanceBullet1"/>
        <w:rPr>
          <w:rFonts w:eastAsia="+mn-ea"/>
        </w:rPr>
      </w:pPr>
      <w:r w:rsidRPr="00CE2C9B">
        <w:rPr>
          <w:rFonts w:eastAsia="+mn-ea"/>
        </w:rPr>
        <w:t>the Direction</w:t>
      </w:r>
      <w:r>
        <w:rPr>
          <w:rFonts w:eastAsia="+mn-ea"/>
        </w:rPr>
        <w:t xml:space="preserve"> or Instruction</w:t>
      </w:r>
      <w:r w:rsidRPr="00CE2C9B">
        <w:rPr>
          <w:rFonts w:eastAsia="+mn-ea"/>
        </w:rPr>
        <w:t>, although relevant, was not or could not be applied</w:t>
      </w:r>
      <w:r>
        <w:rPr>
          <w:rFonts w:eastAsia="+mn-ea"/>
        </w:rPr>
        <w:t xml:space="preserve"> during the period for which the retrospective effect is sought;</w:t>
      </w:r>
      <w:r w:rsidRPr="00CE2C9B">
        <w:rPr>
          <w:rFonts w:eastAsia="+mn-ea"/>
        </w:rPr>
        <w:t xml:space="preserve"> and</w:t>
      </w:r>
    </w:p>
    <w:p w14:paraId="27869CE9" w14:textId="77777777" w:rsidR="00ED1266" w:rsidRDefault="00ED1266" w:rsidP="00ED1266">
      <w:pPr>
        <w:pStyle w:val="GuidanceBullet1"/>
        <w:rPr>
          <w:rFonts w:eastAsia="+mn-ea"/>
        </w:rPr>
      </w:pPr>
      <w:r>
        <w:rPr>
          <w:rFonts w:eastAsia="+mn-ea"/>
        </w:rPr>
        <w:t>the exemption was not or could not be sought earlier so that the period of non-compliance did not occur.</w:t>
      </w:r>
    </w:p>
    <w:p w14:paraId="723E652B" w14:textId="77777777" w:rsidR="00ED1266" w:rsidRPr="00CE2C9B" w:rsidRDefault="00ED1266" w:rsidP="00ED1266">
      <w:pPr>
        <w:ind w:left="43"/>
        <w:rPr>
          <w:rFonts w:eastAsia="+mn-ea"/>
        </w:rPr>
      </w:pPr>
      <w:r>
        <w:rPr>
          <w:rFonts w:eastAsia="+mn-ea"/>
        </w:rPr>
        <w:t>Agencies need to consider carefully whether a request for an exemption is in fact seeking retrospective impact. For example, section 45(1) of the FMA requires that an agency prepare its report of operations and financial statements ‘as soon as practicable after the end of each financial year’. A Direction or Instruction relating to annual reporting is therefore not relevant to a particular financial year until after the end of that financial year, and so a request for exemption from part of it which is made after the end of the financial year but before preparation of the report or financial statement is finalised will not need to raise the issue of retrospectivity.</w:t>
      </w:r>
    </w:p>
    <w:p w14:paraId="5EBC0A3F" w14:textId="77777777" w:rsidR="00ED1266" w:rsidRPr="005A7D1A" w:rsidRDefault="00ED1266" w:rsidP="00ED1266">
      <w:pPr>
        <w:pStyle w:val="Heading1NoNum"/>
      </w:pPr>
      <w:r>
        <w:t>Evaluation and response</w:t>
      </w:r>
    </w:p>
    <w:p w14:paraId="6EE1F4D1" w14:textId="0E811ED6" w:rsidR="00ED1266" w:rsidRDefault="00ED1266" w:rsidP="00ED1266">
      <w:pPr>
        <w:rPr>
          <w:rFonts w:eastAsia="+mn-ea"/>
        </w:rPr>
      </w:pPr>
      <w:r>
        <w:rPr>
          <w:rFonts w:eastAsia="+mn-ea"/>
        </w:rPr>
        <w:t>DTF evaluates exemption applications on a case</w:t>
      </w:r>
      <w:r>
        <w:rPr>
          <w:rFonts w:eastAsia="+mn-ea"/>
        </w:rPr>
        <w:noBreakHyphen/>
        <w:t>by</w:t>
      </w:r>
      <w:r>
        <w:rPr>
          <w:rFonts w:eastAsia="+mn-ea"/>
        </w:rPr>
        <w:noBreakHyphen/>
        <w:t xml:space="preserve">case basis and makes a recommendation to the Assistant Treasurer. </w:t>
      </w:r>
      <w:r w:rsidRPr="005F3795">
        <w:rPr>
          <w:rFonts w:eastAsia="+mn-ea"/>
        </w:rPr>
        <w:t xml:space="preserve">Careful consideration will be given to </w:t>
      </w:r>
      <w:r>
        <w:rPr>
          <w:rFonts w:eastAsia="+mn-ea"/>
        </w:rPr>
        <w:t>the application, the costs and benefits to the Victorian community, risks, and the impact on the Agency of granting or denying the exemption.</w:t>
      </w:r>
      <w:r w:rsidRPr="004C19DE">
        <w:rPr>
          <w:rFonts w:eastAsia="+mn-ea"/>
        </w:rPr>
        <w:t xml:space="preserve"> </w:t>
      </w:r>
      <w:r>
        <w:rPr>
          <w:rFonts w:eastAsia="+mn-ea"/>
        </w:rPr>
        <w:t>DTF will also consider the</w:t>
      </w:r>
      <w:r w:rsidRPr="00464DDF">
        <w:rPr>
          <w:rFonts w:eastAsia="+mn-ea"/>
        </w:rPr>
        <w:t xml:space="preserve"> purpose of the Directi</w:t>
      </w:r>
      <w:r>
        <w:rPr>
          <w:rFonts w:eastAsia="+mn-ea"/>
        </w:rPr>
        <w:t>on and the impact that granting the exemption would have on the integrity of the financial management framework.</w:t>
      </w:r>
    </w:p>
    <w:p w14:paraId="6D79DF46" w14:textId="77777777" w:rsidR="00ED1266" w:rsidRDefault="00ED1266" w:rsidP="00ED1266">
      <w:pPr>
        <w:rPr>
          <w:rFonts w:eastAsia="+mn-ea"/>
        </w:rPr>
      </w:pPr>
      <w:r>
        <w:rPr>
          <w:rFonts w:eastAsia="+mn-ea"/>
        </w:rPr>
        <w:t>DTF may contact an Agency to clarify aspects of the exemption application. This is more likely if the Agency has not consulted with DTF prior to lodging the application.</w:t>
      </w:r>
    </w:p>
    <w:p w14:paraId="77776940" w14:textId="77777777" w:rsidR="00ED1266" w:rsidRDefault="00ED1266" w:rsidP="00ED1266">
      <w:pPr>
        <w:rPr>
          <w:rFonts w:eastAsia="+mn-ea"/>
        </w:rPr>
      </w:pPr>
      <w:r>
        <w:rPr>
          <w:rFonts w:eastAsia="+mn-ea"/>
        </w:rPr>
        <w:t xml:space="preserve">The Assistant Treasurer makes the ultimate decision about whether to grant or reject a request for exemption. The Minister will respond by letter to the Agency. </w:t>
      </w:r>
    </w:p>
    <w:p w14:paraId="3B0DC0F3" w14:textId="77777777" w:rsidR="00ED1266" w:rsidRDefault="00ED1266" w:rsidP="00ED1266">
      <w:pPr>
        <w:pStyle w:val="Heading1NoNum"/>
      </w:pPr>
      <w:r>
        <w:lastRenderedPageBreak/>
        <w:t>After an exemption</w:t>
      </w:r>
    </w:p>
    <w:p w14:paraId="19AFF821" w14:textId="77777777" w:rsidR="00ED1266" w:rsidRDefault="00ED1266" w:rsidP="00ED1266">
      <w:pPr>
        <w:rPr>
          <w:rFonts w:eastAsia="+mn-ea"/>
        </w:rPr>
      </w:pPr>
      <w:r>
        <w:rPr>
          <w:rFonts w:eastAsia="+mn-ea"/>
        </w:rPr>
        <w:t>An exemption may be provided for a specified time period or on an ongoing basis. It will relate to specific Directions and/or Instructions, or to the Directions and/or Instructions as a whole.</w:t>
      </w:r>
    </w:p>
    <w:p w14:paraId="0ECED944" w14:textId="77777777" w:rsidR="00ED1266" w:rsidRDefault="00ED1266" w:rsidP="00ED1266">
      <w:pPr>
        <w:rPr>
          <w:rFonts w:eastAsia="+mn-ea"/>
        </w:rPr>
      </w:pPr>
      <w:r>
        <w:rPr>
          <w:rFonts w:eastAsia="+mn-ea"/>
        </w:rPr>
        <w:t>The exemption may be subject to conditions. Usually, implementation of the</w:t>
      </w:r>
      <w:r w:rsidRPr="005C72BC">
        <w:rPr>
          <w:rFonts w:eastAsia="+mn-ea"/>
        </w:rPr>
        <w:t xml:space="preserve"> </w:t>
      </w:r>
      <w:r>
        <w:rPr>
          <w:rFonts w:eastAsia="+mn-ea"/>
        </w:rPr>
        <w:t xml:space="preserve">proposed alternative action or procedures will be a condition of the exemption. In some cases, the Agency may also be required to provide an annual assurance that </w:t>
      </w:r>
      <w:r w:rsidRPr="004C19DE">
        <w:rPr>
          <w:rFonts w:eastAsia="+mn-ea"/>
        </w:rPr>
        <w:t xml:space="preserve">there has not been any significant change to </w:t>
      </w:r>
      <w:r>
        <w:rPr>
          <w:rFonts w:eastAsia="+mn-ea"/>
        </w:rPr>
        <w:t>the A</w:t>
      </w:r>
      <w:r w:rsidRPr="004C19DE">
        <w:rPr>
          <w:rFonts w:eastAsia="+mn-ea"/>
        </w:rPr>
        <w:t>gency’s risk profile and functions</w:t>
      </w:r>
      <w:r>
        <w:rPr>
          <w:rFonts w:eastAsia="+mn-ea"/>
        </w:rPr>
        <w:t xml:space="preserve">, or a relevant adverse key audit finding. If such a condition is not complied with, the exemption may lapse. </w:t>
      </w:r>
    </w:p>
    <w:p w14:paraId="3071BFEC" w14:textId="366BB9D4" w:rsidR="00ED1266" w:rsidRDefault="00ED1266" w:rsidP="00ED1266">
      <w:pPr>
        <w:rPr>
          <w:rFonts w:eastAsia="+mn-ea"/>
        </w:rPr>
      </w:pPr>
      <w:r w:rsidRPr="00E862D1">
        <w:rPr>
          <w:rFonts w:eastAsia="+mn-ea"/>
        </w:rPr>
        <w:t xml:space="preserve">Under </w:t>
      </w:r>
      <w:hyperlink r:id="rId35" w:anchor="standing-directions-2018" w:history="1">
        <w:r w:rsidRPr="0051115B">
          <w:rPr>
            <w:rStyle w:val="Hyperlink"/>
            <w:rFonts w:eastAsia="+mn-ea"/>
          </w:rPr>
          <w:t>Direction 3.2.1.2</w:t>
        </w:r>
      </w:hyperlink>
      <w:r w:rsidRPr="00E862D1">
        <w:rPr>
          <w:rFonts w:eastAsia="+mn-ea"/>
        </w:rPr>
        <w:t>,</w:t>
      </w:r>
      <w:r>
        <w:rPr>
          <w:rFonts w:eastAsia="+mn-ea"/>
        </w:rPr>
        <w:t xml:space="preserve"> where an Agency is exempt from the requirement to maintain an Audit Committee, the Responsible Body must </w:t>
      </w:r>
      <w:r w:rsidRPr="00923894">
        <w:rPr>
          <w:rFonts w:eastAsia="+mn-ea"/>
        </w:rPr>
        <w:t>actively assume the responsibilities of an Audit Committee</w:t>
      </w:r>
      <w:r>
        <w:rPr>
          <w:rFonts w:eastAsia="+mn-ea"/>
        </w:rPr>
        <w:t xml:space="preserve">, and </w:t>
      </w:r>
      <w:r w:rsidRPr="00923894">
        <w:rPr>
          <w:rFonts w:eastAsia="+mn-ea"/>
        </w:rPr>
        <w:t>take appropriate steps to ensure these responsibilities are fully discharged</w:t>
      </w:r>
      <w:r>
        <w:rPr>
          <w:rFonts w:eastAsia="+mn-ea"/>
        </w:rPr>
        <w:t xml:space="preserve">. </w:t>
      </w:r>
    </w:p>
    <w:p w14:paraId="16DC9FBF" w14:textId="77777777" w:rsidR="00ED1266" w:rsidRDefault="00ED1266" w:rsidP="00ED1266">
      <w:pPr>
        <w:rPr>
          <w:rFonts w:eastAsia="+mn-ea"/>
        </w:rPr>
      </w:pPr>
      <w:r>
        <w:rPr>
          <w:rFonts w:eastAsia="+mn-ea"/>
        </w:rPr>
        <w:t xml:space="preserve">After receiving an exemption, the Agency should implement the proposed alternative action or procedures immediately. </w:t>
      </w:r>
    </w:p>
    <w:p w14:paraId="28E92227" w14:textId="366DF12F" w:rsidR="00ED1266" w:rsidRDefault="00ED1266" w:rsidP="00ED1266">
      <w:pPr>
        <w:rPr>
          <w:rFonts w:eastAsia="+mn-ea"/>
        </w:rPr>
      </w:pPr>
      <w:hyperlink r:id="rId36" w:anchor="standing-directions-2018" w:history="1">
        <w:r w:rsidRPr="0051115B">
          <w:rPr>
            <w:rStyle w:val="Hyperlink"/>
            <w:rFonts w:eastAsia="+mn-ea"/>
          </w:rPr>
          <w:t>Direction 1.5</w:t>
        </w:r>
      </w:hyperlink>
      <w:r>
        <w:rPr>
          <w:rFonts w:eastAsia="+mn-ea"/>
        </w:rPr>
        <w:t xml:space="preserve"> provides that the Accountable Officer must maintain a register of exemptions (including any conditions) granted by the Minister and must make the register available for inspection by the Auditor</w:t>
      </w:r>
      <w:r>
        <w:rPr>
          <w:rFonts w:eastAsia="+mn-ea"/>
        </w:rPr>
        <w:noBreakHyphen/>
        <w:t xml:space="preserve">General. </w:t>
      </w:r>
    </w:p>
    <w:p w14:paraId="12CFFBC0" w14:textId="77777777" w:rsidR="00ED1266" w:rsidRDefault="00ED1266" w:rsidP="00ED1266">
      <w:pPr>
        <w:rPr>
          <w:rFonts w:eastAsia="+mn-ea"/>
        </w:rPr>
      </w:pPr>
      <w:r>
        <w:rPr>
          <w:rFonts w:eastAsia="+mn-ea"/>
        </w:rPr>
        <w:t xml:space="preserve">DTF also maintains a register of exemptions. </w:t>
      </w:r>
    </w:p>
    <w:p w14:paraId="4FF9B676" w14:textId="77777777" w:rsidR="00ED1266" w:rsidRDefault="00ED1266" w:rsidP="00ED1266">
      <w:pPr>
        <w:pStyle w:val="Heading1NoNum"/>
      </w:pPr>
      <w:r>
        <w:t>Exemptions from Instructions</w:t>
      </w:r>
    </w:p>
    <w:p w14:paraId="39D9B22C" w14:textId="3745BEB7" w:rsidR="00ED1266" w:rsidRDefault="00ED1266" w:rsidP="00ED1266">
      <w:pPr>
        <w:rPr>
          <w:rFonts w:eastAsia="+mn-ea"/>
        </w:rPr>
      </w:pPr>
      <w:r w:rsidRPr="00E862D1">
        <w:rPr>
          <w:rFonts w:eastAsia="+mn-ea"/>
        </w:rPr>
        <w:t>The Directions provide that the</w:t>
      </w:r>
      <w:r>
        <w:rPr>
          <w:rFonts w:eastAsia="+mn-ea"/>
        </w:rPr>
        <w:t xml:space="preserve"> DTF Deputy Secretary</w:t>
      </w:r>
      <w:r w:rsidRPr="00E862D1">
        <w:rPr>
          <w:rFonts w:eastAsia="+mn-ea"/>
        </w:rPr>
        <w:t xml:space="preserve"> may make an</w:t>
      </w:r>
      <w:r>
        <w:rPr>
          <w:rFonts w:eastAsia="+mn-ea"/>
        </w:rPr>
        <w:t>d</w:t>
      </w:r>
      <w:r w:rsidRPr="00E862D1">
        <w:rPr>
          <w:rFonts w:eastAsia="+mn-ea"/>
        </w:rPr>
        <w:t xml:space="preserve"> issue Instructions and may grant exemptions from</w:t>
      </w:r>
      <w:r>
        <w:rPr>
          <w:rFonts w:eastAsia="+mn-ea"/>
        </w:rPr>
        <w:t xml:space="preserve"> Instructions. If an Agency intends to seek an exemption from an Instruction, without seeking to be exempt from any Directions, it may do so by writing to the DTF Deputy Secretary. In doing so, the Guidance above should be considered.</w:t>
      </w:r>
    </w:p>
    <w:p w14:paraId="6F950BA3" w14:textId="77777777" w:rsidR="00ED1266" w:rsidRDefault="00ED1266" w:rsidP="00ED1266">
      <w:pPr>
        <w:rPr>
          <w:rFonts w:eastAsia="+mn-ea"/>
        </w:rPr>
      </w:pPr>
      <w:r>
        <w:rPr>
          <w:rFonts w:eastAsia="+mn-ea"/>
        </w:rPr>
        <w:t>The Minister may also give exemptions from Instructions.</w:t>
      </w:r>
    </w:p>
    <w:p w14:paraId="5C93D0BB" w14:textId="327ACB59" w:rsidR="00727CD4" w:rsidRPr="005A7D1A" w:rsidRDefault="00727CD4" w:rsidP="005639F0">
      <w:pPr>
        <w:pStyle w:val="Heading1NoNum"/>
      </w:pPr>
      <w:bookmarkStart w:id="5" w:name="_Hlk102568524"/>
      <w:r>
        <w:t xml:space="preserve">Exemptions to </w:t>
      </w:r>
      <w:r w:rsidR="005639F0">
        <w:t xml:space="preserve">hold </w:t>
      </w:r>
      <w:r w:rsidR="00EC6FD0">
        <w:t xml:space="preserve">financial assets </w:t>
      </w:r>
      <w:r w:rsidR="005639F0">
        <w:t>outside the Central Banking System (</w:t>
      </w:r>
      <w:r>
        <w:t>Direction 3.7.2</w:t>
      </w:r>
      <w:r w:rsidR="005639F0">
        <w:t>)</w:t>
      </w:r>
    </w:p>
    <w:p w14:paraId="5E166F3F" w14:textId="4821D687" w:rsidR="00250778" w:rsidRPr="008F45D0" w:rsidRDefault="00E5381F" w:rsidP="008F45D0">
      <w:pPr>
        <w:pStyle w:val="Num1"/>
        <w:contextualSpacing w:val="0"/>
        <w:rPr>
          <w:rFonts w:eastAsia="+mn-ea"/>
        </w:rPr>
      </w:pPr>
      <w:bookmarkStart w:id="6" w:name="_Hlk98320256"/>
      <w:bookmarkEnd w:id="5"/>
      <w:r>
        <w:rPr>
          <w:rFonts w:eastAsia="+mn-ea"/>
        </w:rPr>
        <w:t>Standing Direction 3.7.2.2</w:t>
      </w:r>
      <w:r w:rsidR="00E2554B">
        <w:rPr>
          <w:rFonts w:eastAsia="+mn-ea"/>
        </w:rPr>
        <w:t xml:space="preserve">(a) </w:t>
      </w:r>
      <w:r>
        <w:rPr>
          <w:rFonts w:eastAsia="+mn-ea"/>
        </w:rPr>
        <w:t>requires</w:t>
      </w:r>
      <w:r w:rsidR="00250778">
        <w:rPr>
          <w:rFonts w:eastAsia="+mn-ea"/>
        </w:rPr>
        <w:t xml:space="preserve"> </w:t>
      </w:r>
      <w:r w:rsidR="00250778" w:rsidRPr="008F45D0">
        <w:rPr>
          <w:rFonts w:eastAsia="+mn-ea"/>
        </w:rPr>
        <w:t xml:space="preserve">all Financial Assets of </w:t>
      </w:r>
      <w:r w:rsidR="00250778">
        <w:rPr>
          <w:rFonts w:eastAsia="+mn-ea"/>
        </w:rPr>
        <w:t>agencies to be</w:t>
      </w:r>
      <w:r w:rsidR="00250778" w:rsidRPr="008F45D0">
        <w:rPr>
          <w:rFonts w:eastAsia="+mn-ea"/>
        </w:rPr>
        <w:t xml:space="preserve"> deposited into </w:t>
      </w:r>
      <w:r w:rsidR="00250778">
        <w:rPr>
          <w:rFonts w:eastAsia="+mn-ea"/>
        </w:rPr>
        <w:t xml:space="preserve">the CBS </w:t>
      </w:r>
      <w:r w:rsidR="00250778" w:rsidRPr="008F45D0">
        <w:rPr>
          <w:rFonts w:eastAsia="+mn-ea"/>
        </w:rPr>
        <w:t xml:space="preserve">except: </w:t>
      </w:r>
    </w:p>
    <w:p w14:paraId="1DB6BE06" w14:textId="2F8D395D" w:rsidR="00250778" w:rsidRDefault="00250778" w:rsidP="00F819D8">
      <w:pPr>
        <w:pStyle w:val="ListParagraph"/>
        <w:numPr>
          <w:ilvl w:val="0"/>
          <w:numId w:val="78"/>
        </w:numPr>
        <w:rPr>
          <w:rFonts w:eastAsia="+mn-ea"/>
        </w:rPr>
      </w:pPr>
      <w:r w:rsidRPr="008F45D0">
        <w:rPr>
          <w:rFonts w:eastAsia="+mn-ea"/>
        </w:rPr>
        <w:t>notes and coins;</w:t>
      </w:r>
    </w:p>
    <w:p w14:paraId="06A4A282" w14:textId="76A75C41" w:rsidR="00250778" w:rsidRDefault="00250778" w:rsidP="00F819D8">
      <w:pPr>
        <w:pStyle w:val="ListParagraph"/>
        <w:numPr>
          <w:ilvl w:val="0"/>
          <w:numId w:val="78"/>
        </w:numPr>
        <w:rPr>
          <w:rFonts w:eastAsia="+mn-ea"/>
        </w:rPr>
      </w:pPr>
      <w:r w:rsidRPr="008F45D0">
        <w:rPr>
          <w:rFonts w:eastAsia="+mn-ea"/>
        </w:rPr>
        <w:t>Third Party Funds</w:t>
      </w:r>
      <w:r>
        <w:rPr>
          <w:rFonts w:eastAsia="+mn-ea"/>
        </w:rPr>
        <w:t>;</w:t>
      </w:r>
    </w:p>
    <w:p w14:paraId="74FAFCC9" w14:textId="022ED636" w:rsidR="00250778" w:rsidRDefault="00250778" w:rsidP="00F819D8">
      <w:pPr>
        <w:pStyle w:val="ListParagraph"/>
        <w:numPr>
          <w:ilvl w:val="0"/>
          <w:numId w:val="78"/>
        </w:numPr>
        <w:rPr>
          <w:rFonts w:eastAsia="+mn-ea"/>
        </w:rPr>
      </w:pPr>
      <w:r w:rsidRPr="008F45D0">
        <w:rPr>
          <w:rFonts w:eastAsia="+mn-ea"/>
        </w:rPr>
        <w:t>Non-Government Source Funds, other than Own Source Revenue;</w:t>
      </w:r>
    </w:p>
    <w:p w14:paraId="5BC0A7A0" w14:textId="6ADC52A8" w:rsidR="00250778" w:rsidRDefault="00250778" w:rsidP="00F819D8">
      <w:pPr>
        <w:pStyle w:val="ListParagraph"/>
        <w:numPr>
          <w:ilvl w:val="0"/>
          <w:numId w:val="78"/>
        </w:numPr>
        <w:rPr>
          <w:rFonts w:eastAsia="+mn-ea"/>
        </w:rPr>
      </w:pPr>
      <w:r w:rsidRPr="008F45D0">
        <w:rPr>
          <w:rFonts w:eastAsia="+mn-ea"/>
        </w:rPr>
        <w:t>Any part of the Agency’s Long-Term Investment Funds which the Agency originally received from money appropriated for tangible asset investment, with approval to invest in financial assets pending payment for the tangible asset;</w:t>
      </w:r>
      <w:r w:rsidRPr="008F45D0" w:rsidDel="00C95842">
        <w:rPr>
          <w:rFonts w:eastAsia="+mn-ea"/>
        </w:rPr>
        <w:t xml:space="preserve"> </w:t>
      </w:r>
      <w:r w:rsidRPr="008F45D0">
        <w:rPr>
          <w:rFonts w:eastAsia="+mn-ea"/>
        </w:rPr>
        <w:t xml:space="preserve">or </w:t>
      </w:r>
    </w:p>
    <w:p w14:paraId="08EB81AA" w14:textId="630361F0" w:rsidR="00250778" w:rsidRPr="008F45D0" w:rsidRDefault="00250778" w:rsidP="008F45D0">
      <w:pPr>
        <w:pStyle w:val="ListParagraph"/>
        <w:numPr>
          <w:ilvl w:val="0"/>
          <w:numId w:val="78"/>
        </w:numPr>
        <w:rPr>
          <w:rFonts w:eastAsia="+mn-ea"/>
        </w:rPr>
      </w:pPr>
      <w:r w:rsidRPr="008F45D0">
        <w:rPr>
          <w:rFonts w:eastAsia="+mn-ea"/>
        </w:rPr>
        <w:t xml:space="preserve">Financial Assets in respect of which an exemption has been provided under </w:t>
      </w:r>
      <w:hyperlink r:id="rId37" w:anchor="standing-directions-2018" w:history="1">
        <w:r w:rsidRPr="0054521F">
          <w:rPr>
            <w:rStyle w:val="Hyperlink"/>
            <w:rFonts w:eastAsia="+mn-ea"/>
          </w:rPr>
          <w:t>Direction</w:t>
        </w:r>
        <w:r w:rsidR="0054521F" w:rsidRPr="0054521F">
          <w:rPr>
            <w:rStyle w:val="Hyperlink"/>
            <w:rFonts w:eastAsia="+mn-ea"/>
          </w:rPr>
          <w:t xml:space="preserve"> 1.5</w:t>
        </w:r>
      </w:hyperlink>
      <w:r w:rsidR="0054521F">
        <w:rPr>
          <w:rFonts w:eastAsia="+mn-ea"/>
        </w:rPr>
        <w:t>.</w:t>
      </w:r>
      <w:r w:rsidRPr="008F45D0">
        <w:rPr>
          <w:rFonts w:eastAsia="+mn-ea"/>
        </w:rPr>
        <w:t xml:space="preserve"> </w:t>
      </w:r>
    </w:p>
    <w:p w14:paraId="11D1B2C8" w14:textId="761C114B" w:rsidR="00413961" w:rsidRDefault="00E2554B" w:rsidP="00450E9C">
      <w:pPr>
        <w:pStyle w:val="Num1"/>
        <w:rPr>
          <w:rFonts w:eastAsia="+mn-ea"/>
        </w:rPr>
      </w:pPr>
      <w:r>
        <w:rPr>
          <w:rFonts w:eastAsia="+mn-ea"/>
        </w:rPr>
        <w:t xml:space="preserve">Standing Direction 3.7.2.2 (c) </w:t>
      </w:r>
      <w:r w:rsidR="00250778">
        <w:rPr>
          <w:rFonts w:eastAsia="+mn-ea"/>
        </w:rPr>
        <w:t xml:space="preserve">therefore </w:t>
      </w:r>
      <w:r>
        <w:rPr>
          <w:rFonts w:eastAsia="+mn-ea"/>
        </w:rPr>
        <w:t xml:space="preserve">requires funds </w:t>
      </w:r>
      <w:r w:rsidR="00EC6FD0">
        <w:rPr>
          <w:rFonts w:eastAsia="+mn-ea"/>
        </w:rPr>
        <w:t>held outside of the</w:t>
      </w:r>
      <w:r w:rsidRPr="00450E9C">
        <w:rPr>
          <w:rFonts w:eastAsia="+mn-ea"/>
        </w:rPr>
        <w:t xml:space="preserve"> CBS, other than notes and coin</w:t>
      </w:r>
      <w:r w:rsidR="008E0C1D">
        <w:rPr>
          <w:rFonts w:eastAsia="+mn-ea"/>
        </w:rPr>
        <w:t>s</w:t>
      </w:r>
      <w:r w:rsidRPr="00450E9C">
        <w:rPr>
          <w:rFonts w:eastAsia="+mn-ea"/>
        </w:rPr>
        <w:t>, to be deposited with VFMC or TCV or as otherwise specified</w:t>
      </w:r>
      <w:r w:rsidR="004205F2">
        <w:rPr>
          <w:rFonts w:eastAsia="+mn-ea"/>
        </w:rPr>
        <w:t xml:space="preserve"> in relevant legislation or as </w:t>
      </w:r>
      <w:r w:rsidR="00D12695">
        <w:rPr>
          <w:rFonts w:eastAsia="+mn-ea"/>
        </w:rPr>
        <w:t>determin</w:t>
      </w:r>
      <w:r w:rsidR="004205F2">
        <w:rPr>
          <w:rFonts w:eastAsia="+mn-ea"/>
        </w:rPr>
        <w:t xml:space="preserve">ed </w:t>
      </w:r>
      <w:r w:rsidR="00EC6FD0">
        <w:rPr>
          <w:rFonts w:eastAsia="+mn-ea"/>
        </w:rPr>
        <w:t xml:space="preserve">by the </w:t>
      </w:r>
      <w:r w:rsidR="00F515FE">
        <w:rPr>
          <w:rFonts w:eastAsia="+mn-ea"/>
        </w:rPr>
        <w:t xml:space="preserve">Assistant </w:t>
      </w:r>
      <w:r w:rsidR="00EC6FD0">
        <w:rPr>
          <w:rFonts w:eastAsia="+mn-ea"/>
        </w:rPr>
        <w:t xml:space="preserve">Treasurer </w:t>
      </w:r>
      <w:r w:rsidRPr="00450E9C">
        <w:rPr>
          <w:rFonts w:eastAsia="+mn-ea"/>
        </w:rPr>
        <w:t xml:space="preserve">under </w:t>
      </w:r>
      <w:hyperlink r:id="rId38" w:anchor="standing-directions-2018" w:history="1">
        <w:r w:rsidR="0054521F" w:rsidRPr="0054521F">
          <w:rPr>
            <w:rStyle w:val="Hyperlink"/>
            <w:rFonts w:eastAsia="+mn-ea"/>
          </w:rPr>
          <w:t>Direction 1.5</w:t>
        </w:r>
      </w:hyperlink>
      <w:r w:rsidR="0054521F">
        <w:rPr>
          <w:rFonts w:eastAsia="+mn-ea"/>
        </w:rPr>
        <w:t>.</w:t>
      </w:r>
    </w:p>
    <w:bookmarkEnd w:id="6"/>
    <w:p w14:paraId="34C4674B" w14:textId="58001BDD" w:rsidR="00413961" w:rsidRDefault="00413961" w:rsidP="00413961">
      <w:r>
        <w:t xml:space="preserve">Contributed capital, prudential capital, retained earnings and general reserves will not be considered for an exemption. These funds should be invested in the CBS as it is not appropriate to place these funds in investments that put at risk the capital value of these </w:t>
      </w:r>
      <w:r w:rsidRPr="00450E9C">
        <w:t>funds which are there to support the financial viability of the entity.</w:t>
      </w:r>
    </w:p>
    <w:p w14:paraId="1DD69A41" w14:textId="7BAF7A99" w:rsidR="00E2554B" w:rsidRPr="00ED1266" w:rsidRDefault="00E2554B" w:rsidP="00E2554B">
      <w:pPr>
        <w:pStyle w:val="Heading2NoNum"/>
      </w:pPr>
      <w:r w:rsidRPr="00ED1266">
        <w:t xml:space="preserve">Exemption to </w:t>
      </w:r>
      <w:r w:rsidR="004205F2">
        <w:t>i</w:t>
      </w:r>
      <w:r w:rsidRPr="00ED1266">
        <w:t xml:space="preserve">nvest outside of the CBS – with TCV or VFMC </w:t>
      </w:r>
    </w:p>
    <w:p w14:paraId="3935D1B6" w14:textId="36EABFEC" w:rsidR="00832630" w:rsidRPr="00450E9C" w:rsidRDefault="00832630" w:rsidP="00B96A10">
      <w:pPr>
        <w:autoSpaceDE w:val="0"/>
        <w:autoSpaceDN w:val="0"/>
      </w:pPr>
      <w:r w:rsidRPr="00450E9C">
        <w:t xml:space="preserve">Exemption </w:t>
      </w:r>
      <w:r w:rsidR="00B96A10" w:rsidRPr="00450E9C">
        <w:t xml:space="preserve">requests </w:t>
      </w:r>
      <w:r w:rsidR="00DA633E" w:rsidRPr="00450E9C">
        <w:t xml:space="preserve">to invest with VFMC or TCV </w:t>
      </w:r>
      <w:r w:rsidR="00B96A10" w:rsidRPr="00450E9C">
        <w:t xml:space="preserve">must be addressed to the </w:t>
      </w:r>
      <w:r w:rsidR="001301D5">
        <w:t xml:space="preserve">Assistant </w:t>
      </w:r>
      <w:r w:rsidR="00B96A10" w:rsidRPr="00450E9C">
        <w:t>Treasurer</w:t>
      </w:r>
      <w:r w:rsidR="006A3E50" w:rsidRPr="00450E9C">
        <w:t xml:space="preserve"> and</w:t>
      </w:r>
      <w:r w:rsidRPr="00450E9C">
        <w:t xml:space="preserve"> </w:t>
      </w:r>
      <w:r w:rsidR="003652A6" w:rsidRPr="00450E9C">
        <w:t>must</w:t>
      </w:r>
      <w:r w:rsidRPr="00450E9C">
        <w:t xml:space="preserve"> address</w:t>
      </w:r>
      <w:r w:rsidR="006A3E50" w:rsidRPr="00450E9C">
        <w:t xml:space="preserve"> the following</w:t>
      </w:r>
      <w:r w:rsidRPr="00450E9C">
        <w:t>:</w:t>
      </w:r>
    </w:p>
    <w:p w14:paraId="0826C026" w14:textId="6038CFFF" w:rsidR="007E7BBF" w:rsidRPr="00450E9C" w:rsidRDefault="007E7BBF" w:rsidP="00832630">
      <w:pPr>
        <w:rPr>
          <w:i/>
          <w:iCs/>
        </w:rPr>
      </w:pPr>
      <w:bookmarkStart w:id="7" w:name="_Hlk86652851"/>
      <w:r w:rsidRPr="00450E9C">
        <w:rPr>
          <w:i/>
          <w:iCs/>
        </w:rPr>
        <w:t>Source of funds</w:t>
      </w:r>
    </w:p>
    <w:p w14:paraId="6E9D5ECA" w14:textId="67104F41" w:rsidR="005D1959" w:rsidRDefault="00DA633E" w:rsidP="00832630">
      <w:r w:rsidRPr="00450E9C">
        <w:t xml:space="preserve">The exemption request will apply to funds other than </w:t>
      </w:r>
      <w:r w:rsidR="00413961">
        <w:t xml:space="preserve">items </w:t>
      </w:r>
      <w:r w:rsidR="00F15198">
        <w:t>i</w:t>
      </w:r>
      <w:r w:rsidR="00413961">
        <w:t xml:space="preserve"> to </w:t>
      </w:r>
      <w:r w:rsidR="00F15198">
        <w:t>v</w:t>
      </w:r>
      <w:r w:rsidR="00413961">
        <w:t xml:space="preserve"> above that are </w:t>
      </w:r>
      <w:r w:rsidRPr="00450E9C">
        <w:t>automatically exempted</w:t>
      </w:r>
      <w:r w:rsidR="00413961">
        <w:t>.</w:t>
      </w:r>
      <w:r w:rsidRPr="00450E9C">
        <w:t xml:space="preserve"> </w:t>
      </w:r>
      <w:r w:rsidR="00832630" w:rsidRPr="00450E9C">
        <w:t xml:space="preserve">The </w:t>
      </w:r>
      <w:r w:rsidR="00D76AA1" w:rsidRPr="00450E9C">
        <w:t>definition</w:t>
      </w:r>
      <w:r w:rsidR="00413961">
        <w:t>s</w:t>
      </w:r>
      <w:r w:rsidR="00D76AA1" w:rsidRPr="00450E9C">
        <w:t xml:space="preserve"> </w:t>
      </w:r>
      <w:r w:rsidR="00413961">
        <w:t xml:space="preserve">of the Financial Assets noted above are </w:t>
      </w:r>
      <w:r w:rsidR="00D76AA1" w:rsidRPr="00450E9C">
        <w:t xml:space="preserve">outlined at </w:t>
      </w:r>
      <w:r w:rsidR="00712F18" w:rsidRPr="00450E9C">
        <w:t>Directi</w:t>
      </w:r>
      <w:r w:rsidR="003652A6" w:rsidRPr="00450E9C">
        <w:t>o</w:t>
      </w:r>
      <w:r w:rsidR="00712F18" w:rsidRPr="00450E9C">
        <w:t>n 1.6</w:t>
      </w:r>
      <w:r w:rsidR="00413961">
        <w:t>.</w:t>
      </w:r>
      <w:bookmarkEnd w:id="7"/>
      <w:r w:rsidR="00832630">
        <w:t xml:space="preserve"> </w:t>
      </w:r>
    </w:p>
    <w:p w14:paraId="468927B9" w14:textId="4335C619" w:rsidR="00A44C87" w:rsidRPr="00B96A10" w:rsidRDefault="00A44C87" w:rsidP="00047052">
      <w:pPr>
        <w:keepNext/>
        <w:spacing w:before="240"/>
        <w:rPr>
          <w:i/>
          <w:iCs/>
        </w:rPr>
      </w:pPr>
      <w:r w:rsidRPr="00B96A10">
        <w:rPr>
          <w:i/>
          <w:iCs/>
        </w:rPr>
        <w:lastRenderedPageBreak/>
        <w:t>Purpose and intended use of funds</w:t>
      </w:r>
    </w:p>
    <w:p w14:paraId="4558890B" w14:textId="7F971196" w:rsidR="00A44C87" w:rsidRDefault="00A44C87" w:rsidP="00047052">
      <w:pPr>
        <w:keepNext/>
      </w:pPr>
      <w:r>
        <w:t>An exemption request should include the intended future use of the funds</w:t>
      </w:r>
      <w:r w:rsidR="004205F2">
        <w:t xml:space="preserve"> and alignment with government policy, for example to meet a future capital commitment. </w:t>
      </w:r>
    </w:p>
    <w:p w14:paraId="1FB837FD" w14:textId="605A91C0" w:rsidR="00B20806" w:rsidRDefault="00B20806" w:rsidP="00A44C87">
      <w:r>
        <w:t xml:space="preserve">Working capital funds </w:t>
      </w:r>
      <w:r w:rsidR="00AB376E">
        <w:t xml:space="preserve">are </w:t>
      </w:r>
      <w:r w:rsidR="001F5D8D">
        <w:t xml:space="preserve">generally </w:t>
      </w:r>
      <w:r w:rsidR="00AB376E">
        <w:t>required to be held in the CBS. In limited circumstances</w:t>
      </w:r>
      <w:r w:rsidR="002E3008">
        <w:t xml:space="preserve"> an </w:t>
      </w:r>
      <w:r w:rsidR="00BE6955">
        <w:t xml:space="preserve">exemption </w:t>
      </w:r>
      <w:r w:rsidR="00216DA7">
        <w:t xml:space="preserve">may be granted to invest funds on a </w:t>
      </w:r>
      <w:r w:rsidR="00786854">
        <w:t>longer-term</w:t>
      </w:r>
      <w:r w:rsidR="00216DA7">
        <w:t xml:space="preserve"> </w:t>
      </w:r>
      <w:r w:rsidR="00CF1FF3">
        <w:t>bas</w:t>
      </w:r>
      <w:r w:rsidR="00C64E88">
        <w:t>is</w:t>
      </w:r>
      <w:r w:rsidR="00DE071A">
        <w:t xml:space="preserve"> where it can be demonstrated that </w:t>
      </w:r>
      <w:r w:rsidR="00806050">
        <w:t>the funds should be</w:t>
      </w:r>
      <w:r w:rsidR="00317474">
        <w:t xml:space="preserve"> invested</w:t>
      </w:r>
      <w:r w:rsidR="004C3488">
        <w:t xml:space="preserve"> for example, </w:t>
      </w:r>
      <w:r w:rsidR="00806050">
        <w:t xml:space="preserve">to </w:t>
      </w:r>
      <w:r w:rsidR="00BC2D69">
        <w:t>manage the risk of meeting</w:t>
      </w:r>
      <w:r w:rsidR="00806050">
        <w:t xml:space="preserve"> a future </w:t>
      </w:r>
      <w:r w:rsidR="00D925E9">
        <w:t>long-term</w:t>
      </w:r>
      <w:r w:rsidR="000B2AB0">
        <w:t xml:space="preserve"> </w:t>
      </w:r>
      <w:r w:rsidR="005C0E3A">
        <w:t>commitment</w:t>
      </w:r>
      <w:r w:rsidR="000B2AB0">
        <w:t xml:space="preserve">. </w:t>
      </w:r>
      <w:r w:rsidR="00C64E88">
        <w:t xml:space="preserve"> </w:t>
      </w:r>
      <w:r w:rsidR="00CF1FF3">
        <w:t xml:space="preserve"> </w:t>
      </w:r>
    </w:p>
    <w:p w14:paraId="1C77FCFA" w14:textId="4C3CEDA6" w:rsidR="00A44C87" w:rsidRDefault="00A44C87" w:rsidP="00A44C87">
      <w:r w:rsidRPr="00CC731E">
        <w:t>In circumstances where an entity has borrowings with TCV</w:t>
      </w:r>
      <w:r>
        <w:t>,</w:t>
      </w:r>
      <w:r w:rsidRPr="00CC731E">
        <w:t xml:space="preserve"> </w:t>
      </w:r>
      <w:r>
        <w:t>funds should be invested in the CBS or used to repay debt rather than invested in a long</w:t>
      </w:r>
      <w:r w:rsidR="003652A6">
        <w:t>-</w:t>
      </w:r>
      <w:r>
        <w:t>term strategy with VFMC.</w:t>
      </w:r>
    </w:p>
    <w:p w14:paraId="4230CDAD" w14:textId="77777777" w:rsidR="00A44C87" w:rsidRPr="00AB247E" w:rsidRDefault="00A44C87" w:rsidP="00A44C87">
      <w:pPr>
        <w:rPr>
          <w:i/>
          <w:iCs/>
        </w:rPr>
      </w:pPr>
      <w:r w:rsidRPr="00AB247E">
        <w:rPr>
          <w:i/>
          <w:iCs/>
        </w:rPr>
        <w:t xml:space="preserve">Investment </w:t>
      </w:r>
      <w:r>
        <w:rPr>
          <w:i/>
          <w:iCs/>
        </w:rPr>
        <w:t>horizon</w:t>
      </w:r>
    </w:p>
    <w:p w14:paraId="654F2AEE" w14:textId="78A27749" w:rsidR="00A44C87" w:rsidRDefault="00A44C87" w:rsidP="00A44C87">
      <w:bookmarkStart w:id="8" w:name="_Hlk86676065"/>
      <w:r w:rsidRPr="003707A2">
        <w:t xml:space="preserve">The </w:t>
      </w:r>
      <w:r>
        <w:t>exemption application should stipulate a minimum i</w:t>
      </w:r>
      <w:r w:rsidRPr="003707A2">
        <w:t>nvestment horizon</w:t>
      </w:r>
      <w:r w:rsidR="00D76AA1">
        <w:t xml:space="preserve">, an explanation for </w:t>
      </w:r>
      <w:r w:rsidRPr="003707A2">
        <w:t xml:space="preserve">the </w:t>
      </w:r>
      <w:r>
        <w:t>basis for choosing this investment horizon</w:t>
      </w:r>
      <w:r w:rsidR="00D76AA1">
        <w:t xml:space="preserve">, along </w:t>
      </w:r>
      <w:r>
        <w:t>with details of forecast future cash flows.</w:t>
      </w:r>
    </w:p>
    <w:bookmarkEnd w:id="8"/>
    <w:p w14:paraId="08CAB213" w14:textId="444A38CB" w:rsidR="00D87A7C" w:rsidRDefault="00A44C87" w:rsidP="00D87A7C">
      <w:pPr>
        <w:pStyle w:val="CommentText"/>
      </w:pPr>
      <w:r>
        <w:t xml:space="preserve">The choice of investment strategy and the </w:t>
      </w:r>
      <w:r w:rsidR="009D7425">
        <w:t xml:space="preserve">investment </w:t>
      </w:r>
      <w:r>
        <w:t>risk associated with that strategy will be heavily influenced by the length of the investment horizon.</w:t>
      </w:r>
      <w:r w:rsidR="00ED1266">
        <w:t xml:space="preserve"> </w:t>
      </w:r>
      <w:bookmarkStart w:id="9" w:name="_Hlk88221988"/>
      <w:r w:rsidR="00860F17">
        <w:t>Once an exemption has been obtained, t</w:t>
      </w:r>
      <w:r>
        <w:t xml:space="preserve">he </w:t>
      </w:r>
      <w:r w:rsidR="001966F9">
        <w:t xml:space="preserve">agency </w:t>
      </w:r>
      <w:r>
        <w:t>should work with VFMC to develop an investment policy</w:t>
      </w:r>
      <w:r w:rsidR="0070031C">
        <w:t xml:space="preserve">, including </w:t>
      </w:r>
      <w:r w:rsidR="00BA04DC">
        <w:t xml:space="preserve">investment </w:t>
      </w:r>
      <w:r w:rsidR="0070031C">
        <w:t xml:space="preserve">objectives </w:t>
      </w:r>
      <w:r w:rsidR="009F0ED0">
        <w:t>(</w:t>
      </w:r>
      <w:r w:rsidR="0070031C">
        <w:t>e.g. return and risk targets</w:t>
      </w:r>
      <w:r w:rsidR="009F0ED0">
        <w:t>)</w:t>
      </w:r>
      <w:r>
        <w:t xml:space="preserve"> based on the intended use of funds and investment horizon</w:t>
      </w:r>
      <w:r w:rsidR="0029658E">
        <w:t xml:space="preserve">. </w:t>
      </w:r>
      <w:r w:rsidR="00860F17">
        <w:t xml:space="preserve"> T</w:t>
      </w:r>
      <w:r w:rsidR="00ED2A53">
        <w:t xml:space="preserve">he investment policy should </w:t>
      </w:r>
      <w:r w:rsidR="00413961">
        <w:t xml:space="preserve">then </w:t>
      </w:r>
      <w:r w:rsidR="00ED2A53">
        <w:t>be</w:t>
      </w:r>
      <w:r w:rsidR="00860F17">
        <w:t xml:space="preserve"> </w:t>
      </w:r>
      <w:r w:rsidR="00ED2A53">
        <w:t xml:space="preserve">submitted to </w:t>
      </w:r>
      <w:r w:rsidR="004921FF">
        <w:t>DTF for approval</w:t>
      </w:r>
      <w:r>
        <w:t>.</w:t>
      </w:r>
      <w:bookmarkEnd w:id="9"/>
      <w:r>
        <w:t xml:space="preserve">  </w:t>
      </w:r>
      <w:r w:rsidR="00D87A7C">
        <w:t>Investments with VFMC should be for a minimum of two years when investing in highly liquid investment products and greater than ten years for growth orientated investments such as equities.</w:t>
      </w:r>
    </w:p>
    <w:p w14:paraId="57725655" w14:textId="21900DF1" w:rsidR="00ED1266" w:rsidRDefault="00DE4733" w:rsidP="00ED1266">
      <w:r>
        <w:t>In certain cir</w:t>
      </w:r>
      <w:r w:rsidR="00893491">
        <w:t>cumstances, t</w:t>
      </w:r>
      <w:r w:rsidR="00A343B7">
        <w:t xml:space="preserve">he investment strategy </w:t>
      </w:r>
      <w:r w:rsidR="00947F1E">
        <w:t>option</w:t>
      </w:r>
      <w:r w:rsidR="00A343B7">
        <w:t xml:space="preserve"> could include </w:t>
      </w:r>
      <w:r w:rsidR="00E7441E">
        <w:t xml:space="preserve">making a term deposit with </w:t>
      </w:r>
      <w:r w:rsidR="00A44C87" w:rsidRPr="00F819D8">
        <w:t>TCV</w:t>
      </w:r>
      <w:r w:rsidR="00B33D89" w:rsidRPr="00F819D8">
        <w:t xml:space="preserve"> </w:t>
      </w:r>
      <w:r w:rsidR="00B33D89" w:rsidRPr="00866D64">
        <w:rPr>
          <w:color w:val="000000" w:themeColor="text1"/>
        </w:rPr>
        <w:t>with an investment horizon of up to 12 months</w:t>
      </w:r>
      <w:r w:rsidR="00E7441E" w:rsidRPr="00866D64">
        <w:rPr>
          <w:color w:val="000000" w:themeColor="text1"/>
        </w:rPr>
        <w:t>.</w:t>
      </w:r>
      <w:r w:rsidR="00E7441E">
        <w:t xml:space="preserve"> </w:t>
      </w:r>
    </w:p>
    <w:p w14:paraId="3A40050E" w14:textId="1B6745F3" w:rsidR="00A44C87" w:rsidRPr="00ED1266" w:rsidRDefault="00A44C87" w:rsidP="00ED1266">
      <w:pPr>
        <w:pStyle w:val="Heading2NoNum"/>
      </w:pPr>
      <w:r w:rsidRPr="00ED1266">
        <w:t xml:space="preserve">Exemption to Invest </w:t>
      </w:r>
      <w:r w:rsidR="00C549C5" w:rsidRPr="00ED1266">
        <w:t xml:space="preserve">outside of the CBS – with an ADI or a </w:t>
      </w:r>
      <w:r w:rsidRPr="00ED1266">
        <w:t xml:space="preserve">Fund Manager other than </w:t>
      </w:r>
      <w:r w:rsidR="00C549C5" w:rsidRPr="00ED1266">
        <w:t xml:space="preserve">TCV or </w:t>
      </w:r>
      <w:r w:rsidRPr="00ED1266">
        <w:t>VFMC</w:t>
      </w:r>
      <w:r w:rsidR="00C549C5" w:rsidRPr="00ED1266">
        <w:t xml:space="preserve"> </w:t>
      </w:r>
    </w:p>
    <w:p w14:paraId="4EC9FA4A" w14:textId="1772F7EE" w:rsidR="00871C36" w:rsidRDefault="004205F2">
      <w:r>
        <w:t>A</w:t>
      </w:r>
      <w:r w:rsidR="00A44C87">
        <w:t xml:space="preserve"> </w:t>
      </w:r>
      <w:r w:rsidR="00B912B2">
        <w:t xml:space="preserve">request </w:t>
      </w:r>
      <w:r>
        <w:t xml:space="preserve">for </w:t>
      </w:r>
      <w:r w:rsidR="00B912B2">
        <w:t xml:space="preserve">an exemption to </w:t>
      </w:r>
      <w:r w:rsidR="00A44C87">
        <w:t xml:space="preserve">invest outside of </w:t>
      </w:r>
      <w:r w:rsidR="00B912B2">
        <w:t xml:space="preserve">TCV or VFMC </w:t>
      </w:r>
      <w:r w:rsidR="00072A73">
        <w:t xml:space="preserve">can be made </w:t>
      </w:r>
      <w:r w:rsidR="00A44C87">
        <w:t>under circumstances where the product offering of TCV or VFMC cannot meet a specific legislative investment requirement</w:t>
      </w:r>
      <w:r w:rsidR="00D964BC">
        <w:t xml:space="preserve">. </w:t>
      </w:r>
      <w:r w:rsidR="00A44C87">
        <w:t xml:space="preserve">DTF will require confirmation from VFMC and/or TCV before recommending such an exemption to the </w:t>
      </w:r>
      <w:r w:rsidR="00FC08E4">
        <w:t xml:space="preserve">Assistant </w:t>
      </w:r>
      <w:r w:rsidR="00A44C87">
        <w:t xml:space="preserve">Treasurer. </w:t>
      </w:r>
    </w:p>
    <w:p w14:paraId="4631B8DB" w14:textId="5E6D9AB0" w:rsidR="00727CD4" w:rsidRPr="00826985" w:rsidRDefault="00A44C87" w:rsidP="0003333A">
      <w:pPr>
        <w:pStyle w:val="Heading2NoNum"/>
      </w:pPr>
      <w:r>
        <w:t xml:space="preserve">Treasurer’s Permanent </w:t>
      </w:r>
      <w:r w:rsidR="00727CD4" w:rsidRPr="00826985">
        <w:t xml:space="preserve">Exemption of </w:t>
      </w:r>
      <w:r w:rsidR="00B96A10">
        <w:t xml:space="preserve">community donations </w:t>
      </w:r>
      <w:r w:rsidR="00727CD4" w:rsidRPr="00826985">
        <w:t>from Direction 3.7.2.2</w:t>
      </w:r>
      <w:r>
        <w:t>(c)</w:t>
      </w:r>
    </w:p>
    <w:p w14:paraId="0C0B32CF" w14:textId="5C5F5269" w:rsidR="00727CD4" w:rsidRPr="0003333A" w:rsidRDefault="00EC7DBB" w:rsidP="0003333A">
      <w:pPr>
        <w:rPr>
          <w:rFonts w:eastAsia="+mn-ea"/>
        </w:rPr>
      </w:pPr>
      <w:r>
        <w:rPr>
          <w:rFonts w:eastAsia="+mn-ea"/>
        </w:rPr>
        <w:t>Under the previous provisions of the Standing Directions, t</w:t>
      </w:r>
      <w:r w:rsidR="00727CD4">
        <w:rPr>
          <w:rFonts w:eastAsia="+mn-ea"/>
        </w:rPr>
        <w:t xml:space="preserve">he Treasurer </w:t>
      </w:r>
      <w:r>
        <w:rPr>
          <w:rFonts w:eastAsia="+mn-ea"/>
        </w:rPr>
        <w:t xml:space="preserve">determined </w:t>
      </w:r>
      <w:r w:rsidR="00727CD4">
        <w:rPr>
          <w:rFonts w:eastAsia="+mn-ea"/>
        </w:rPr>
        <w:t>an exemption under Direction 1.5 to all agencies (</w:t>
      </w:r>
      <w:r w:rsidR="00C549C5">
        <w:rPr>
          <w:rFonts w:eastAsia="+mn-ea"/>
        </w:rPr>
        <w:t>GG</w:t>
      </w:r>
      <w:r w:rsidR="00727CD4">
        <w:rPr>
          <w:rFonts w:eastAsia="+mn-ea"/>
        </w:rPr>
        <w:t xml:space="preserve">, PNFC and PFC) for the investment </w:t>
      </w:r>
      <w:r w:rsidR="009F28AE">
        <w:rPr>
          <w:rFonts w:eastAsia="+mn-ea"/>
        </w:rPr>
        <w:t>of community</w:t>
      </w:r>
      <w:r w:rsidR="00727CD4">
        <w:rPr>
          <w:rFonts w:eastAsia="+mn-ea"/>
        </w:rPr>
        <w:t xml:space="preserve"> donations and auxiliaries with an </w:t>
      </w:r>
      <w:r w:rsidR="00B96A10">
        <w:rPr>
          <w:rFonts w:eastAsia="+mn-ea"/>
        </w:rPr>
        <w:t>ADI</w:t>
      </w:r>
      <w:r w:rsidR="00727CD4">
        <w:rPr>
          <w:rFonts w:eastAsia="+mn-ea"/>
        </w:rPr>
        <w:t xml:space="preserve"> outside of the CBS.  This exemption is ongoing, subject to periodic review by DTF to ensure that the intent and purpose of the </w:t>
      </w:r>
      <w:r w:rsidR="004F0815">
        <w:rPr>
          <w:rFonts w:eastAsia="+mn-ea"/>
        </w:rPr>
        <w:t xml:space="preserve">exemption </w:t>
      </w:r>
      <w:r w:rsidR="00727CD4">
        <w:rPr>
          <w:rFonts w:eastAsia="+mn-ea"/>
        </w:rPr>
        <w:t xml:space="preserve">is maintained. </w:t>
      </w:r>
      <w:r w:rsidR="00727CD4" w:rsidRPr="0003333A">
        <w:rPr>
          <w:rFonts w:eastAsia="+mn-ea"/>
        </w:rPr>
        <w:t>Exemptions to 3.7.2.2</w:t>
      </w:r>
      <w:r w:rsidR="00A44C87">
        <w:rPr>
          <w:rFonts w:eastAsia="+mn-ea"/>
        </w:rPr>
        <w:t>(c)</w:t>
      </w:r>
      <w:r w:rsidR="00727CD4" w:rsidRPr="0003333A">
        <w:rPr>
          <w:rFonts w:eastAsia="+mn-ea"/>
        </w:rPr>
        <w:t xml:space="preserve"> will need to meet the prescribed reporting requirements stipulated under </w:t>
      </w:r>
      <w:r w:rsidR="00727CD4" w:rsidRPr="00933BCC">
        <w:rPr>
          <w:rFonts w:eastAsia="+mn-ea"/>
        </w:rPr>
        <w:t>Direction 3.7.2.3(b).</w:t>
      </w:r>
      <w:r w:rsidR="00727CD4" w:rsidRPr="0003333A">
        <w:rPr>
          <w:rFonts w:eastAsia="+mn-ea"/>
        </w:rPr>
        <w:t xml:space="preserve"> </w:t>
      </w:r>
    </w:p>
    <w:bookmarkEnd w:id="4"/>
    <w:p w14:paraId="2CD5B63B" w14:textId="77777777" w:rsidR="00ED1266" w:rsidRDefault="00ED1266" w:rsidP="00ED1266">
      <w:pPr>
        <w:pStyle w:val="Heading2NoNum"/>
      </w:pPr>
      <w:r>
        <w:t>Reporting of funds invested outside of the CBS</w:t>
      </w:r>
    </w:p>
    <w:p w14:paraId="1DBCAD8F" w14:textId="32CF720E" w:rsidR="00ED1266" w:rsidRPr="0003333A" w:rsidRDefault="00ED1266" w:rsidP="00ED1266">
      <w:pPr>
        <w:rPr>
          <w:highlight w:val="yellow"/>
        </w:rPr>
      </w:pPr>
      <w:r w:rsidRPr="00842CCB">
        <w:rPr>
          <w:rFonts w:eastAsia="+mn-ea"/>
        </w:rPr>
        <w:t>When an exemption is granted</w:t>
      </w:r>
      <w:r>
        <w:rPr>
          <w:rFonts w:eastAsia="+mn-ea"/>
        </w:rPr>
        <w:t xml:space="preserve"> to invest with TCV or VFMC</w:t>
      </w:r>
      <w:r w:rsidRPr="00842CCB">
        <w:rPr>
          <w:rFonts w:eastAsia="+mn-ea"/>
        </w:rPr>
        <w:t>, the Responsible Body must ensure that the investments are</w:t>
      </w:r>
      <w:r>
        <w:rPr>
          <w:rFonts w:eastAsia="+mn-ea"/>
        </w:rPr>
        <w:t xml:space="preserve"> reported separately in the financial reports </w:t>
      </w:r>
      <w:r w:rsidR="00B912B2">
        <w:rPr>
          <w:rFonts w:eastAsia="+mn-ea"/>
        </w:rPr>
        <w:t xml:space="preserve">and </w:t>
      </w:r>
      <w:r w:rsidRPr="00842CCB">
        <w:rPr>
          <w:rFonts w:eastAsia="+mn-ea"/>
        </w:rPr>
        <w:t xml:space="preserve">clearly identified as ‘State Funds’ by </w:t>
      </w:r>
      <w:r w:rsidRPr="00450E9C">
        <w:rPr>
          <w:rFonts w:eastAsia="+mn-ea"/>
        </w:rPr>
        <w:t xml:space="preserve">including </w:t>
      </w:r>
      <w:r w:rsidR="006A3E50" w:rsidRPr="00450E9C">
        <w:rPr>
          <w:rFonts w:eastAsia="+mn-ea"/>
        </w:rPr>
        <w:t>this</w:t>
      </w:r>
      <w:r w:rsidR="006A3E50">
        <w:rPr>
          <w:rFonts w:eastAsia="+mn-ea"/>
        </w:rPr>
        <w:t xml:space="preserve"> </w:t>
      </w:r>
      <w:r w:rsidRPr="00842CCB">
        <w:rPr>
          <w:rFonts w:eastAsia="+mn-ea"/>
        </w:rPr>
        <w:t>in the name of the investment (part of the Unit holder name) with VFMC. For example, Hospital A would register its investment with VFMC as ‘Hospital A – State Funds’. This will assist to meet DTF’s reporting requirements</w:t>
      </w:r>
      <w:r>
        <w:rPr>
          <w:rFonts w:eastAsia="+mn-ea"/>
        </w:rPr>
        <w:t xml:space="preserve">. </w:t>
      </w:r>
    </w:p>
    <w:p w14:paraId="2AFBE144" w14:textId="77777777" w:rsidR="00760CC3" w:rsidRDefault="00760CC3" w:rsidP="00786459">
      <w:pPr>
        <w:rPr>
          <w:rFonts w:eastAsia="+mn-ea"/>
        </w:rPr>
      </w:pPr>
    </w:p>
    <w:p w14:paraId="1BFDBA5B" w14:textId="77777777" w:rsidR="00760CC3" w:rsidRPr="005C72BC" w:rsidRDefault="00760CC3" w:rsidP="00786459">
      <w:pPr>
        <w:rPr>
          <w:rFonts w:eastAsia="+mn-ea"/>
        </w:rPr>
        <w:sectPr w:rsidR="00760CC3" w:rsidRPr="005C72BC" w:rsidSect="0048431F">
          <w:pgSz w:w="11906" w:h="16838"/>
          <w:pgMar w:top="1440" w:right="1008" w:bottom="1440" w:left="1008" w:header="706" w:footer="391" w:gutter="0"/>
          <w:cols w:space="708"/>
          <w:titlePg/>
          <w:docGrid w:linePitch="360"/>
        </w:sectPr>
      </w:pPr>
    </w:p>
    <w:p w14:paraId="6FE307ED" w14:textId="77777777" w:rsidR="00011FE1" w:rsidRPr="001B0A2A" w:rsidRDefault="00011FE1" w:rsidP="008E306C">
      <w:pPr>
        <w:pStyle w:val="GuidanceTitle"/>
      </w:pPr>
      <w:bookmarkStart w:id="10" w:name="Guidance_1_6"/>
      <w:bookmarkStart w:id="11" w:name="_Toc441672083"/>
      <w:r w:rsidRPr="00BD1230">
        <w:lastRenderedPageBreak/>
        <w:t xml:space="preserve">Guidance </w:t>
      </w:r>
      <w:r>
        <w:t>1.6</w:t>
      </w:r>
      <w:bookmarkEnd w:id="10"/>
      <w:r w:rsidRPr="00BD1230">
        <w:t xml:space="preserve"> – </w:t>
      </w:r>
      <w:r w:rsidR="00B229EE">
        <w:t>Glossary of terms</w:t>
      </w:r>
      <w:bookmarkEnd w:id="11"/>
    </w:p>
    <w:tbl>
      <w:tblPr>
        <w:tblStyle w:val="Table12"/>
        <w:tblW w:w="9900" w:type="dxa"/>
        <w:tblLook w:val="0080" w:firstRow="0" w:lastRow="0" w:firstColumn="1" w:lastColumn="0" w:noHBand="0" w:noVBand="0"/>
      </w:tblPr>
      <w:tblGrid>
        <w:gridCol w:w="3119"/>
        <w:gridCol w:w="6781"/>
      </w:tblGrid>
      <w:tr w:rsidR="00011FE1" w:rsidRPr="00DF5B1B" w14:paraId="461BF32E"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3B40B40" w14:textId="77777777" w:rsidR="00011FE1" w:rsidRPr="008C7825" w:rsidRDefault="00011FE1" w:rsidP="008A37A5">
            <w:pPr>
              <w:pStyle w:val="Tabletext"/>
              <w:rPr>
                <w:b/>
                <w:bCs/>
              </w:rPr>
            </w:pPr>
            <w:r w:rsidRPr="008C7825">
              <w:rPr>
                <w:b/>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5D2095B4" w14:textId="77777777" w:rsidR="00011FE1" w:rsidRPr="00DC6A03" w:rsidRDefault="00011FE1" w:rsidP="000B6691">
            <w:pPr>
              <w:pStyle w:val="Tabletext"/>
              <w:rPr>
                <w:bCs w:val="0"/>
              </w:rPr>
            </w:pPr>
            <w:r w:rsidRPr="00DC6A03">
              <w:t xml:space="preserve">Provides definitions as guidance in interpreting </w:t>
            </w:r>
            <w:r w:rsidR="00021760">
              <w:t xml:space="preserve">the Directions and </w:t>
            </w:r>
            <w:r w:rsidRPr="00DC6A03">
              <w:t xml:space="preserve">Instructions. </w:t>
            </w:r>
          </w:p>
        </w:tc>
      </w:tr>
      <w:tr w:rsidR="00011FE1" w:rsidRPr="00DF5B1B" w14:paraId="6DFBB5E9"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94D0EEB" w14:textId="77777777" w:rsidR="00011FE1" w:rsidRPr="008C7825" w:rsidRDefault="00011FE1" w:rsidP="008A37A5">
            <w:pPr>
              <w:pStyle w:val="Tabletext"/>
              <w:rPr>
                <w:b/>
                <w:sz w:val="20"/>
              </w:rPr>
            </w:pPr>
            <w:r w:rsidRPr="008C7825">
              <w:rPr>
                <w:b/>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5C4213BA" w14:textId="77777777" w:rsidR="00011FE1" w:rsidRPr="005921BC" w:rsidRDefault="00011FE1" w:rsidP="008A37A5">
            <w:pPr>
              <w:pStyle w:val="Tabletext"/>
              <w:rPr>
                <w:sz w:val="20"/>
              </w:rPr>
            </w:pPr>
            <w:r>
              <w:t>1 July 2016</w:t>
            </w:r>
          </w:p>
        </w:tc>
      </w:tr>
      <w:tr w:rsidR="00011FE1" w:rsidRPr="00DF5B1B" w14:paraId="66852FCA"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C7EA8B3" w14:textId="77777777" w:rsidR="00011FE1" w:rsidRPr="008C7825" w:rsidRDefault="00011FE1" w:rsidP="002A7DE1">
            <w:pPr>
              <w:pStyle w:val="Tabletext"/>
              <w:rPr>
                <w:b/>
              </w:rPr>
            </w:pPr>
            <w:r w:rsidRPr="008C7825">
              <w:rPr>
                <w:b/>
              </w:rPr>
              <w:br w:type="page"/>
              <w:t>Relevant Directi</w:t>
            </w:r>
            <w:r w:rsidR="002A7DE1">
              <w:rPr>
                <w:b/>
              </w:rPr>
              <w:t>on</w:t>
            </w:r>
          </w:p>
        </w:tc>
        <w:tc>
          <w:tcPr>
            <w:cnfStyle w:val="000010000000" w:firstRow="0" w:lastRow="0" w:firstColumn="0" w:lastColumn="0" w:oddVBand="1" w:evenVBand="0" w:oddHBand="0" w:evenHBand="0" w:firstRowFirstColumn="0" w:firstRowLastColumn="0" w:lastRowFirstColumn="0" w:lastRowLastColumn="0"/>
            <w:tcW w:w="6781" w:type="dxa"/>
          </w:tcPr>
          <w:p w14:paraId="521ABB02" w14:textId="4978C248" w:rsidR="00011FE1" w:rsidRPr="005B0C7B" w:rsidRDefault="00011FE1" w:rsidP="008A37A5">
            <w:pPr>
              <w:pStyle w:val="Tabletext"/>
            </w:pPr>
            <w:hyperlink r:id="rId39" w:anchor="standing-directions-2018" w:history="1">
              <w:r w:rsidRPr="00D053D9">
                <w:rPr>
                  <w:rStyle w:val="Hyperlink"/>
                </w:rPr>
                <w:t>1.6 Definitions and interpretation</w:t>
              </w:r>
            </w:hyperlink>
          </w:p>
        </w:tc>
      </w:tr>
      <w:tr w:rsidR="00011FE1" w:rsidRPr="00DF5B1B" w14:paraId="64789666"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E874016" w14:textId="77777777" w:rsidR="00011FE1" w:rsidRPr="008C7825" w:rsidRDefault="00011FE1" w:rsidP="008A37A5">
            <w:pPr>
              <w:spacing w:before="60" w:after="60" w:line="252" w:lineRule="auto"/>
              <w:rPr>
                <w:rFonts w:cs="Times New Roman"/>
                <w:b/>
                <w:sz w:val="18"/>
                <w:szCs w:val="20"/>
              </w:rPr>
            </w:pPr>
            <w:r w:rsidRPr="008C7825">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45B24E74" w14:textId="594DD22F" w:rsidR="00011FE1" w:rsidRPr="00DF5B1B" w:rsidRDefault="00567933">
            <w:pPr>
              <w:spacing w:before="60" w:after="60" w:line="252" w:lineRule="auto"/>
              <w:rPr>
                <w:rFonts w:cs="Times New Roman"/>
                <w:bCs/>
                <w:sz w:val="18"/>
                <w:szCs w:val="20"/>
              </w:rPr>
            </w:pPr>
            <w:r>
              <w:rPr>
                <w:rFonts w:cs="Times New Roman"/>
                <w:bCs/>
                <w:sz w:val="18"/>
                <w:szCs w:val="20"/>
              </w:rPr>
              <w:t>8 February</w:t>
            </w:r>
            <w:r w:rsidR="00D778F3">
              <w:rPr>
                <w:rFonts w:cs="Times New Roman"/>
                <w:bCs/>
                <w:sz w:val="18"/>
                <w:szCs w:val="20"/>
              </w:rPr>
              <w:t xml:space="preserve"> 2023</w:t>
            </w:r>
          </w:p>
        </w:tc>
      </w:tr>
    </w:tbl>
    <w:p w14:paraId="012EB43B" w14:textId="77777777" w:rsidR="00011FE1" w:rsidRDefault="00011FE1" w:rsidP="008E306C">
      <w:r w:rsidRPr="005B0C7B">
        <w:t xml:space="preserve">The following </w:t>
      </w:r>
      <w:r w:rsidR="00636152">
        <w:t>glossary of terms</w:t>
      </w:r>
      <w:r w:rsidRPr="005B0C7B">
        <w:t xml:space="preserve"> </w:t>
      </w:r>
      <w:r w:rsidR="00636152">
        <w:t xml:space="preserve">is </w:t>
      </w:r>
      <w:r w:rsidRPr="005B0C7B">
        <w:t xml:space="preserve">provided as guidance </w:t>
      </w:r>
      <w:r w:rsidR="00923894">
        <w:t>to</w:t>
      </w:r>
      <w:r w:rsidR="00085197">
        <w:t xml:space="preserve"> help</w:t>
      </w:r>
      <w:r w:rsidR="00923894">
        <w:t xml:space="preserve"> interpret</w:t>
      </w:r>
      <w:r w:rsidRPr="005B0C7B">
        <w:t xml:space="preserve"> the Directions.</w:t>
      </w:r>
    </w:p>
    <w:p w14:paraId="77C4E17E" w14:textId="04034385" w:rsidR="00636152" w:rsidRDefault="00636152" w:rsidP="00A53069">
      <w:pPr>
        <w:pStyle w:val="NoteNormal"/>
      </w:pPr>
      <w:r>
        <w:t xml:space="preserve">* An </w:t>
      </w:r>
      <w:r w:rsidR="00D61013" w:rsidRPr="00D61013">
        <w:t>asterisk</w:t>
      </w:r>
      <w:r w:rsidR="00D61013">
        <w:t xml:space="preserve"> </w:t>
      </w:r>
      <w:r>
        <w:t xml:space="preserve">indicates that the relevant term is defined in the Directions. </w:t>
      </w:r>
      <w:r w:rsidR="00667FD5">
        <w:t>D</w:t>
      </w:r>
      <w:r w:rsidR="00D953BE">
        <w:t xml:space="preserve">efinitions </w:t>
      </w:r>
      <w:r w:rsidR="00667FD5">
        <w:t xml:space="preserve">so marked </w:t>
      </w:r>
      <w:r w:rsidR="00D953BE">
        <w:t>are repeated here for convenience.</w:t>
      </w:r>
    </w:p>
    <w:tbl>
      <w:tblPr>
        <w:tblStyle w:val="LightShading"/>
        <w:tblW w:w="9900" w:type="dxa"/>
        <w:tblLayout w:type="fixed"/>
        <w:tblLook w:val="0420" w:firstRow="1" w:lastRow="0" w:firstColumn="0" w:lastColumn="0" w:noHBand="0" w:noVBand="1"/>
      </w:tblPr>
      <w:tblGrid>
        <w:gridCol w:w="2610"/>
        <w:gridCol w:w="7290"/>
      </w:tblGrid>
      <w:tr w:rsidR="00011FE1" w:rsidRPr="005B0C7B" w14:paraId="111865D0" w14:textId="77777777" w:rsidTr="00995ED6">
        <w:trPr>
          <w:cnfStyle w:val="100000000000" w:firstRow="1" w:lastRow="0" w:firstColumn="0" w:lastColumn="0" w:oddVBand="0" w:evenVBand="0" w:oddHBand="0" w:evenHBand="0" w:firstRowFirstColumn="0" w:firstRowLastColumn="0" w:lastRowFirstColumn="0" w:lastRowLastColumn="0"/>
          <w:cantSplit/>
          <w:tblHeader/>
        </w:trPr>
        <w:tc>
          <w:tcPr>
            <w:tcW w:w="2610" w:type="dxa"/>
          </w:tcPr>
          <w:p w14:paraId="570BA977" w14:textId="77777777" w:rsidR="00011FE1" w:rsidRPr="005B0C7B" w:rsidRDefault="00011FE1" w:rsidP="008A37A5">
            <w:pPr>
              <w:pStyle w:val="Tableheader"/>
              <w:rPr>
                <w:b/>
              </w:rPr>
            </w:pPr>
            <w:r w:rsidRPr="003960F3">
              <w:t>Term</w:t>
            </w:r>
          </w:p>
        </w:tc>
        <w:tc>
          <w:tcPr>
            <w:tcW w:w="7290" w:type="dxa"/>
          </w:tcPr>
          <w:p w14:paraId="757127FF" w14:textId="77777777" w:rsidR="00011FE1" w:rsidRPr="005B0C7B" w:rsidRDefault="00011FE1" w:rsidP="008A37A5">
            <w:pPr>
              <w:pStyle w:val="Tableheader"/>
              <w:rPr>
                <w:b/>
              </w:rPr>
            </w:pPr>
            <w:r w:rsidRPr="003960F3">
              <w:t>Description</w:t>
            </w:r>
          </w:p>
        </w:tc>
      </w:tr>
      <w:tr w:rsidR="00011FE1" w:rsidRPr="005B0C7B" w14:paraId="1F18B7B3"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70069FEC" w14:textId="77777777" w:rsidR="00011FE1" w:rsidRPr="00406EFF" w:rsidRDefault="00011FE1" w:rsidP="008A37A5">
            <w:pPr>
              <w:pStyle w:val="Tabletext"/>
            </w:pPr>
            <w:r w:rsidRPr="00406EFF">
              <w:t xml:space="preserve">Accountable </w:t>
            </w:r>
            <w:r w:rsidR="00962FB8">
              <w:t>O</w:t>
            </w:r>
            <w:r w:rsidRPr="00406EFF">
              <w:t>fficer</w:t>
            </w:r>
            <w:r w:rsidR="00A53069">
              <w:t>*</w:t>
            </w:r>
          </w:p>
        </w:tc>
        <w:tc>
          <w:tcPr>
            <w:tcW w:w="7290" w:type="dxa"/>
            <w:shd w:val="clear" w:color="auto" w:fill="auto"/>
          </w:tcPr>
          <w:p w14:paraId="493205E3" w14:textId="77777777" w:rsidR="00011FE1" w:rsidRPr="005B0C7B" w:rsidRDefault="00923894" w:rsidP="00C726FA">
            <w:pPr>
              <w:pStyle w:val="Tabletext"/>
              <w:rPr>
                <w:i/>
                <w:szCs w:val="18"/>
              </w:rPr>
            </w:pPr>
            <w:r>
              <w:t>H</w:t>
            </w:r>
            <w:r w:rsidRPr="00FE181A">
              <w:t>as the same meaning</w:t>
            </w:r>
            <w:r w:rsidRPr="00AB1868">
              <w:t xml:space="preserve"> as par</w:t>
            </w:r>
            <w:r w:rsidRPr="00DC723C">
              <w:t>a (a)</w:t>
            </w:r>
            <w:r>
              <w:t xml:space="preserve"> of the definition of </w:t>
            </w:r>
            <w:r w:rsidRPr="00BB33DA">
              <w:rPr>
                <w:i/>
              </w:rPr>
              <w:t>accountable officer</w:t>
            </w:r>
            <w:r>
              <w:t xml:space="preserve"> in section 3 of </w:t>
            </w:r>
            <w:r w:rsidRPr="00354AB3">
              <w:t xml:space="preserve">the </w:t>
            </w:r>
            <w:r w:rsidR="00C726FA">
              <w:t>FMA.</w:t>
            </w:r>
          </w:p>
        </w:tc>
      </w:tr>
      <w:tr w:rsidR="00BD1308" w:rsidRPr="005B0C7B" w14:paraId="1F15CFC7"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4AD0CF6D" w14:textId="6A40A208" w:rsidR="00BD1308" w:rsidRPr="00406EFF" w:rsidRDefault="00BD1308" w:rsidP="008A37A5">
            <w:pPr>
              <w:pStyle w:val="Tabletext"/>
            </w:pPr>
            <w:r w:rsidRPr="00BD1308">
              <w:t>Administrative Office</w:t>
            </w:r>
            <w:r>
              <w:t>*</w:t>
            </w:r>
          </w:p>
        </w:tc>
        <w:tc>
          <w:tcPr>
            <w:tcW w:w="7290" w:type="dxa"/>
            <w:shd w:val="clear" w:color="auto" w:fill="auto"/>
          </w:tcPr>
          <w:p w14:paraId="47B2528D" w14:textId="01C663E7" w:rsidR="00BD1308" w:rsidRDefault="00BD1308">
            <w:pPr>
              <w:pStyle w:val="Tabletext"/>
            </w:pPr>
            <w:r>
              <w:t>H</w:t>
            </w:r>
            <w:r w:rsidRPr="00BD1308">
              <w:t xml:space="preserve">as the same meaning as section 4(1) of the </w:t>
            </w:r>
            <w:r w:rsidRPr="00BD1308">
              <w:rPr>
                <w:i/>
                <w:iCs/>
              </w:rPr>
              <w:t>Public Administration Act 2004</w:t>
            </w:r>
            <w:r w:rsidRPr="00D170DF">
              <w:t>.</w:t>
            </w:r>
          </w:p>
        </w:tc>
      </w:tr>
      <w:tr w:rsidR="00BD1308" w:rsidRPr="005B0C7B" w14:paraId="703AB31A"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32000FB7" w14:textId="4CA0D561" w:rsidR="00BD1308" w:rsidRPr="00406EFF" w:rsidRDefault="00BD1308" w:rsidP="008A37A5">
            <w:pPr>
              <w:pStyle w:val="Tabletext"/>
            </w:pPr>
            <w:r>
              <w:t>Administrative Office Head*</w:t>
            </w:r>
          </w:p>
        </w:tc>
        <w:tc>
          <w:tcPr>
            <w:tcW w:w="7290" w:type="dxa"/>
            <w:shd w:val="clear" w:color="auto" w:fill="auto"/>
          </w:tcPr>
          <w:p w14:paraId="4767B294" w14:textId="7200E52D" w:rsidR="00BD1308" w:rsidRDefault="00BD1308" w:rsidP="008A37A5">
            <w:pPr>
              <w:pStyle w:val="Tabletext"/>
            </w:pPr>
            <w:r>
              <w:t xml:space="preserve">Has the same meaning as section 4(1) of the </w:t>
            </w:r>
            <w:r>
              <w:rPr>
                <w:i/>
                <w:iCs/>
              </w:rPr>
              <w:t>Public Administration Act 2004</w:t>
            </w:r>
            <w:r w:rsidRPr="00D170DF">
              <w:t>.</w:t>
            </w:r>
          </w:p>
        </w:tc>
      </w:tr>
      <w:tr w:rsidR="00011FE1" w:rsidRPr="005B0C7B" w14:paraId="514AAED5"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124C0687" w14:textId="77777777" w:rsidR="00011FE1" w:rsidRPr="00406EFF" w:rsidRDefault="00011FE1" w:rsidP="008A37A5">
            <w:pPr>
              <w:pStyle w:val="Tabletext"/>
            </w:pPr>
            <w:r w:rsidRPr="00406EFF">
              <w:t>Agency</w:t>
            </w:r>
            <w:r w:rsidR="00A53069">
              <w:t>*</w:t>
            </w:r>
          </w:p>
        </w:tc>
        <w:tc>
          <w:tcPr>
            <w:tcW w:w="7290" w:type="dxa"/>
            <w:shd w:val="clear" w:color="auto" w:fill="auto"/>
          </w:tcPr>
          <w:p w14:paraId="09A31AE0" w14:textId="77777777" w:rsidR="00011FE1" w:rsidRPr="005B0C7B" w:rsidRDefault="00923894" w:rsidP="008A37A5">
            <w:pPr>
              <w:pStyle w:val="Tabletext"/>
              <w:rPr>
                <w:i/>
                <w:szCs w:val="18"/>
              </w:rPr>
            </w:pPr>
            <w:r>
              <w:t>M</w:t>
            </w:r>
            <w:r w:rsidRPr="00354AB3">
              <w:t>eans any</w:t>
            </w:r>
            <w:r>
              <w:t xml:space="preserve"> </w:t>
            </w:r>
            <w:r w:rsidRPr="00354AB3">
              <w:t>Public Body</w:t>
            </w:r>
            <w:r>
              <w:t xml:space="preserve"> </w:t>
            </w:r>
            <w:r w:rsidRPr="00F202FC">
              <w:t>or</w:t>
            </w:r>
            <w:r>
              <w:t xml:space="preserve"> Departmen</w:t>
            </w:r>
            <w:r>
              <w:rPr>
                <w:szCs w:val="18"/>
              </w:rPr>
              <w:t>t.</w:t>
            </w:r>
          </w:p>
        </w:tc>
      </w:tr>
      <w:tr w:rsidR="00CD0472" w:rsidRPr="005B0C7B" w14:paraId="58459829"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392208B5" w14:textId="77777777" w:rsidR="00CD0472" w:rsidRPr="00C726FA" w:rsidRDefault="00CD0472" w:rsidP="008A37A5">
            <w:pPr>
              <w:pStyle w:val="Tabletext"/>
            </w:pPr>
            <w:r w:rsidRPr="00C726FA">
              <w:t>Annual Report</w:t>
            </w:r>
            <w:r w:rsidR="00A53069">
              <w:t>*</w:t>
            </w:r>
          </w:p>
        </w:tc>
        <w:tc>
          <w:tcPr>
            <w:tcW w:w="7290" w:type="dxa"/>
            <w:shd w:val="clear" w:color="auto" w:fill="auto"/>
          </w:tcPr>
          <w:p w14:paraId="69B4CDBC" w14:textId="77777777" w:rsidR="00CD0472" w:rsidRPr="00C726FA" w:rsidRDefault="00CD0472" w:rsidP="00C726FA">
            <w:pPr>
              <w:pStyle w:val="Tabletext"/>
              <w:rPr>
                <w:szCs w:val="18"/>
              </w:rPr>
            </w:pPr>
            <w:r w:rsidRPr="00C726FA">
              <w:rPr>
                <w:szCs w:val="18"/>
              </w:rPr>
              <w:t xml:space="preserve">Means the report of operations and financial statements prepared under section 45 of the </w:t>
            </w:r>
            <w:r w:rsidR="00C726FA" w:rsidRPr="00C726FA">
              <w:rPr>
                <w:szCs w:val="18"/>
              </w:rPr>
              <w:t>FMA,</w:t>
            </w:r>
            <w:r w:rsidRPr="00C726FA">
              <w:rPr>
                <w:szCs w:val="18"/>
              </w:rPr>
              <w:t xml:space="preserve"> except in relation to an Agency to which section 53A(1) of the </w:t>
            </w:r>
            <w:r w:rsidR="00C726FA">
              <w:rPr>
                <w:szCs w:val="18"/>
              </w:rPr>
              <w:t>FMA</w:t>
            </w:r>
            <w:r w:rsidR="00BC165F" w:rsidRPr="00C726FA">
              <w:rPr>
                <w:szCs w:val="18"/>
              </w:rPr>
              <w:t xml:space="preserve"> applies, in which case it means the annual report, including audited financial statements, required to be submitted under section 53A(4) of the </w:t>
            </w:r>
            <w:r w:rsidR="00C726FA">
              <w:rPr>
                <w:szCs w:val="18"/>
              </w:rPr>
              <w:t>FMA</w:t>
            </w:r>
            <w:r w:rsidR="00C726FA" w:rsidRPr="00C726FA">
              <w:rPr>
                <w:szCs w:val="18"/>
              </w:rPr>
              <w:t xml:space="preserve">. </w:t>
            </w:r>
          </w:p>
        </w:tc>
      </w:tr>
      <w:tr w:rsidR="00C726FA" w:rsidRPr="005B0C7B" w14:paraId="1645B303"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00EB4832" w14:textId="77777777" w:rsidR="00C726FA" w:rsidRPr="00406EFF" w:rsidRDefault="00C726FA" w:rsidP="008A37A5">
            <w:pPr>
              <w:pStyle w:val="Tabletext"/>
            </w:pPr>
            <w:r>
              <w:t>Audit Committee</w:t>
            </w:r>
            <w:r w:rsidR="00A53069">
              <w:t>*</w:t>
            </w:r>
          </w:p>
        </w:tc>
        <w:tc>
          <w:tcPr>
            <w:tcW w:w="7290" w:type="dxa"/>
            <w:shd w:val="clear" w:color="auto" w:fill="auto"/>
          </w:tcPr>
          <w:p w14:paraId="5D3D5DD6" w14:textId="5A679365" w:rsidR="00C726FA" w:rsidRPr="005B0C7B" w:rsidRDefault="00C726FA" w:rsidP="00923894">
            <w:pPr>
              <w:pStyle w:val="Tabletext"/>
              <w:rPr>
                <w:szCs w:val="18"/>
              </w:rPr>
            </w:pPr>
            <w:r>
              <w:rPr>
                <w:szCs w:val="18"/>
              </w:rPr>
              <w:t xml:space="preserve">Means an audit committee established in accordance with </w:t>
            </w:r>
            <w:hyperlink r:id="rId40" w:anchor="standing-directions-2018" w:history="1">
              <w:r w:rsidRPr="0051115B">
                <w:rPr>
                  <w:rStyle w:val="Hyperlink"/>
                  <w:szCs w:val="18"/>
                </w:rPr>
                <w:t>Direction 3.2.1</w:t>
              </w:r>
            </w:hyperlink>
            <w:r>
              <w:rPr>
                <w:szCs w:val="18"/>
              </w:rPr>
              <w:t>.</w:t>
            </w:r>
          </w:p>
        </w:tc>
      </w:tr>
      <w:tr w:rsidR="00011FE1" w:rsidRPr="005B0C7B" w14:paraId="1D6EF39E"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0AF137FC" w14:textId="2163CC3D" w:rsidR="00011FE1" w:rsidRPr="00C726FA" w:rsidRDefault="00011FE1" w:rsidP="008A37A5">
            <w:pPr>
              <w:pStyle w:val="Tabletext"/>
            </w:pPr>
            <w:r w:rsidRPr="00C726FA">
              <w:t>Authorised Deposit Taking Institution (ADI)</w:t>
            </w:r>
            <w:r w:rsidR="00A53069">
              <w:t>*</w:t>
            </w:r>
          </w:p>
        </w:tc>
        <w:tc>
          <w:tcPr>
            <w:tcW w:w="7290" w:type="dxa"/>
            <w:shd w:val="clear" w:color="auto" w:fill="auto"/>
          </w:tcPr>
          <w:p w14:paraId="62FD735F" w14:textId="16D8AB05" w:rsidR="00C726FA" w:rsidRPr="00C726FA" w:rsidRDefault="00CB6AC6" w:rsidP="00923894">
            <w:pPr>
              <w:pStyle w:val="Tabletext"/>
              <w:rPr>
                <w:szCs w:val="18"/>
              </w:rPr>
            </w:pPr>
            <w:r>
              <w:t>H</w:t>
            </w:r>
            <w:r w:rsidR="00C12877">
              <w:t xml:space="preserve">as the same meaning as </w:t>
            </w:r>
            <w:r w:rsidR="00C12877">
              <w:rPr>
                <w:i/>
              </w:rPr>
              <w:t xml:space="preserve">ADI </w:t>
            </w:r>
            <w:r w:rsidR="00C12877">
              <w:t xml:space="preserve">in section 38 of the </w:t>
            </w:r>
            <w:r w:rsidR="00C12877" w:rsidRPr="000C7484">
              <w:rPr>
                <w:i/>
              </w:rPr>
              <w:t>Interpretation of Legislation Act 1984</w:t>
            </w:r>
            <w:r w:rsidR="00011FE1" w:rsidRPr="00C726FA">
              <w:rPr>
                <w:szCs w:val="18"/>
              </w:rPr>
              <w:t xml:space="preserve">. </w:t>
            </w:r>
          </w:p>
          <w:p w14:paraId="303FDF86" w14:textId="77777777" w:rsidR="00011FE1" w:rsidRPr="005B0C7B" w:rsidRDefault="00011FE1" w:rsidP="00923894">
            <w:pPr>
              <w:pStyle w:val="Tabletext"/>
              <w:rPr>
                <w:szCs w:val="18"/>
              </w:rPr>
            </w:pPr>
            <w:r w:rsidRPr="00C726FA">
              <w:rPr>
                <w:szCs w:val="18"/>
              </w:rPr>
              <w:t>ADIs include banks, building societies and credit unions.</w:t>
            </w:r>
          </w:p>
        </w:tc>
      </w:tr>
      <w:tr w:rsidR="00C726FA" w:rsidRPr="005B0C7B" w14:paraId="3EFFA0E0"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4484C95E" w14:textId="77777777" w:rsidR="00C726FA" w:rsidRPr="00406EFF" w:rsidRDefault="00C726FA" w:rsidP="008A37A5">
            <w:pPr>
              <w:pStyle w:val="Tabletext"/>
            </w:pPr>
            <w:r>
              <w:t>Authority</w:t>
            </w:r>
            <w:r w:rsidR="00A53069">
              <w:t>*</w:t>
            </w:r>
          </w:p>
        </w:tc>
        <w:tc>
          <w:tcPr>
            <w:tcW w:w="7290" w:type="dxa"/>
            <w:shd w:val="clear" w:color="auto" w:fill="auto"/>
          </w:tcPr>
          <w:p w14:paraId="352DF43D" w14:textId="77777777" w:rsidR="00C726FA" w:rsidRPr="005B0C7B" w:rsidRDefault="00C726FA" w:rsidP="00C726FA">
            <w:pPr>
              <w:pStyle w:val="Tabletext"/>
              <w:rPr>
                <w:szCs w:val="18"/>
              </w:rPr>
            </w:pPr>
            <w:r>
              <w:rPr>
                <w:szCs w:val="18"/>
              </w:rPr>
              <w:t xml:space="preserve">Has the same meaning as </w:t>
            </w:r>
            <w:r w:rsidRPr="00C726FA">
              <w:rPr>
                <w:i/>
                <w:szCs w:val="18"/>
              </w:rPr>
              <w:t>authority</w:t>
            </w:r>
            <w:r>
              <w:rPr>
                <w:szCs w:val="18"/>
              </w:rPr>
              <w:t xml:space="preserve"> in section 3 of the </w:t>
            </w:r>
            <w:r w:rsidRPr="00C726FA">
              <w:rPr>
                <w:szCs w:val="18"/>
              </w:rPr>
              <w:t>FMA.</w:t>
            </w:r>
          </w:p>
        </w:tc>
      </w:tr>
      <w:tr w:rsidR="00011FE1" w:rsidRPr="005B0C7B" w14:paraId="1C42B2B6"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6FCB8D9C" w14:textId="77777777" w:rsidR="00011FE1" w:rsidRPr="00406EFF" w:rsidRDefault="00011FE1" w:rsidP="008A37A5">
            <w:pPr>
              <w:pStyle w:val="Tabletext"/>
            </w:pPr>
            <w:r w:rsidRPr="00406EFF">
              <w:t>Borrowing/financial accommodation</w:t>
            </w:r>
          </w:p>
        </w:tc>
        <w:tc>
          <w:tcPr>
            <w:tcW w:w="7290" w:type="dxa"/>
            <w:shd w:val="clear" w:color="auto" w:fill="auto"/>
          </w:tcPr>
          <w:p w14:paraId="6F048A83" w14:textId="77777777" w:rsidR="00011FE1" w:rsidRPr="005B0C7B" w:rsidRDefault="00011FE1" w:rsidP="008A37A5">
            <w:pPr>
              <w:pStyle w:val="Tabletext"/>
              <w:rPr>
                <w:szCs w:val="18"/>
              </w:rPr>
            </w:pPr>
            <w:r w:rsidRPr="005B0C7B">
              <w:rPr>
                <w:szCs w:val="18"/>
              </w:rPr>
              <w:t xml:space="preserve">Has the same meaning as in the </w:t>
            </w:r>
            <w:r w:rsidRPr="005B0C7B">
              <w:rPr>
                <w:i/>
                <w:szCs w:val="18"/>
              </w:rPr>
              <w:t xml:space="preserve">Borrowing and Investment Powers Act 1987. </w:t>
            </w:r>
          </w:p>
        </w:tc>
      </w:tr>
      <w:tr w:rsidR="00011FE1" w:rsidRPr="005B0C7B" w14:paraId="6F11A239"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45CEB1FB" w14:textId="7490BCC9" w:rsidR="00011FE1" w:rsidRPr="00406EFF" w:rsidRDefault="00923894" w:rsidP="00923894">
            <w:pPr>
              <w:pStyle w:val="Tabletext"/>
            </w:pPr>
            <w:r>
              <w:t xml:space="preserve">CFO </w:t>
            </w:r>
            <w:r w:rsidR="00F864A4">
              <w:rPr>
                <w:i/>
              </w:rPr>
              <w:t>or</w:t>
            </w:r>
            <w:r w:rsidR="00F864A4">
              <w:t xml:space="preserve"> </w:t>
            </w:r>
            <w:r w:rsidR="00011FE1" w:rsidRPr="00406EFF">
              <w:t>Chief Finance Officer</w:t>
            </w:r>
            <w:r w:rsidR="00A53069">
              <w:t>*</w:t>
            </w:r>
          </w:p>
        </w:tc>
        <w:tc>
          <w:tcPr>
            <w:tcW w:w="7290" w:type="dxa"/>
            <w:shd w:val="clear" w:color="auto" w:fill="auto"/>
          </w:tcPr>
          <w:p w14:paraId="258EB710" w14:textId="019BBFFB" w:rsidR="00011FE1" w:rsidRPr="005B0C7B" w:rsidRDefault="00DA7B57" w:rsidP="008A37A5">
            <w:pPr>
              <w:pStyle w:val="Tabletext"/>
              <w:rPr>
                <w:szCs w:val="18"/>
              </w:rPr>
            </w:pPr>
            <w:r>
              <w:rPr>
                <w:szCs w:val="18"/>
              </w:rPr>
              <w:t>Each has</w:t>
            </w:r>
            <w:r w:rsidR="00923894" w:rsidRPr="00923894">
              <w:rPr>
                <w:szCs w:val="18"/>
              </w:rPr>
              <w:t xml:space="preserve"> the same meaning as </w:t>
            </w:r>
            <w:r w:rsidR="00923894" w:rsidRPr="00923894">
              <w:rPr>
                <w:i/>
                <w:szCs w:val="18"/>
              </w:rPr>
              <w:t>chief finance and accounting officer</w:t>
            </w:r>
            <w:r w:rsidR="00923894" w:rsidRPr="00923894">
              <w:rPr>
                <w:szCs w:val="18"/>
              </w:rPr>
              <w:t xml:space="preserve"> in section 3 of the FMA</w:t>
            </w:r>
            <w:r w:rsidR="00C726FA">
              <w:rPr>
                <w:szCs w:val="18"/>
              </w:rPr>
              <w:t>.</w:t>
            </w:r>
          </w:p>
        </w:tc>
      </w:tr>
      <w:tr w:rsidR="006F0D04" w:rsidRPr="005B0C7B" w14:paraId="53CF36C2"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12895481" w14:textId="77777777" w:rsidR="006F0D04" w:rsidRPr="00406EFF" w:rsidRDefault="006F0D04" w:rsidP="008A37A5">
            <w:pPr>
              <w:pStyle w:val="Tabletext"/>
            </w:pPr>
            <w:r>
              <w:t>Controlled Entities</w:t>
            </w:r>
            <w:r w:rsidR="00A53069">
              <w:t>*</w:t>
            </w:r>
          </w:p>
        </w:tc>
        <w:tc>
          <w:tcPr>
            <w:tcW w:w="7290" w:type="dxa"/>
            <w:shd w:val="clear" w:color="auto" w:fill="auto"/>
          </w:tcPr>
          <w:p w14:paraId="397B8CA4" w14:textId="77777777" w:rsidR="006F0D04" w:rsidRPr="005B0C7B" w:rsidRDefault="00082B9F" w:rsidP="008A37A5">
            <w:pPr>
              <w:pStyle w:val="Tabletext"/>
              <w:rPr>
                <w:szCs w:val="18"/>
              </w:rPr>
            </w:pPr>
            <w:r>
              <w:rPr>
                <w:szCs w:val="18"/>
              </w:rPr>
              <w:t>Means those entities in the ‘Controlled E</w:t>
            </w:r>
            <w:r w:rsidR="006F0D04">
              <w:rPr>
                <w:szCs w:val="18"/>
              </w:rPr>
              <w:t xml:space="preserve">ntities’ list in the notes to the most recent annual financial report for the State of Victoria. </w:t>
            </w:r>
          </w:p>
        </w:tc>
      </w:tr>
      <w:tr w:rsidR="00011FE1" w:rsidRPr="005B0C7B" w14:paraId="3C8C4034"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4F749FBF" w14:textId="77777777" w:rsidR="00011FE1" w:rsidRPr="00406EFF" w:rsidRDefault="00011FE1" w:rsidP="008A37A5">
            <w:pPr>
              <w:pStyle w:val="Tabletext"/>
            </w:pPr>
            <w:r w:rsidRPr="00406EFF">
              <w:t>Commercial based acquisitions</w:t>
            </w:r>
          </w:p>
        </w:tc>
        <w:tc>
          <w:tcPr>
            <w:tcW w:w="7290" w:type="dxa"/>
            <w:shd w:val="clear" w:color="auto" w:fill="auto"/>
          </w:tcPr>
          <w:p w14:paraId="4821321C" w14:textId="77777777" w:rsidR="00011FE1" w:rsidRPr="005B0C7B" w:rsidRDefault="00011FE1" w:rsidP="008A37A5">
            <w:pPr>
              <w:pStyle w:val="Tabletext"/>
              <w:rPr>
                <w:szCs w:val="18"/>
              </w:rPr>
            </w:pPr>
            <w:r w:rsidRPr="005B0C7B">
              <w:rPr>
                <w:szCs w:val="18"/>
              </w:rPr>
              <w:t>Includes a range of acquisition activities such as procuring goods, services (including commissioning), and investing in assets and infrastructure.</w:t>
            </w:r>
          </w:p>
        </w:tc>
      </w:tr>
      <w:tr w:rsidR="00011FE1" w:rsidRPr="005B0C7B" w14:paraId="78203D4F"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6B87D12C" w14:textId="77777777" w:rsidR="00011FE1" w:rsidRPr="00406EFF" w:rsidRDefault="006F0D04" w:rsidP="008A37A5">
            <w:pPr>
              <w:pStyle w:val="Tabletext"/>
            </w:pPr>
            <w:r>
              <w:t>Compliance D</w:t>
            </w:r>
            <w:r w:rsidR="00011FE1" w:rsidRPr="00406EFF">
              <w:t>eficiency</w:t>
            </w:r>
            <w:r w:rsidR="00A53069">
              <w:t>*</w:t>
            </w:r>
          </w:p>
        </w:tc>
        <w:tc>
          <w:tcPr>
            <w:tcW w:w="7290" w:type="dxa"/>
            <w:shd w:val="clear" w:color="auto" w:fill="auto"/>
          </w:tcPr>
          <w:p w14:paraId="54706D5C" w14:textId="03AE024B" w:rsidR="00011FE1" w:rsidRPr="005B0C7B" w:rsidRDefault="00011FE1" w:rsidP="002A7DE1">
            <w:pPr>
              <w:pStyle w:val="Tabletext"/>
              <w:rPr>
                <w:szCs w:val="18"/>
              </w:rPr>
            </w:pPr>
            <w:r w:rsidRPr="005B0C7B">
              <w:rPr>
                <w:szCs w:val="18"/>
              </w:rPr>
              <w:t xml:space="preserve">Attribute, </w:t>
            </w:r>
            <w:hyperlink r:id="rId41" w:history="1">
              <w:r w:rsidRPr="005B0C7B">
                <w:rPr>
                  <w:szCs w:val="18"/>
                </w:rPr>
                <w:t>condition</w:t>
              </w:r>
            </w:hyperlink>
            <w:r w:rsidRPr="005B0C7B">
              <w:rPr>
                <w:szCs w:val="18"/>
              </w:rPr>
              <w:t>, action or omission th</w:t>
            </w:r>
            <w:r w:rsidR="006F0D04">
              <w:rPr>
                <w:szCs w:val="18"/>
              </w:rPr>
              <w:t xml:space="preserve">at is not </w:t>
            </w:r>
            <w:r w:rsidR="006F0D04" w:rsidRPr="00553A21">
              <w:rPr>
                <w:b/>
                <w:bCs w:val="0"/>
                <w:szCs w:val="18"/>
              </w:rPr>
              <w:t>fully compliant</w:t>
            </w:r>
            <w:r w:rsidR="006F0D04">
              <w:rPr>
                <w:szCs w:val="18"/>
              </w:rPr>
              <w:t xml:space="preserve"> with an applicable requirement in the </w:t>
            </w:r>
            <w:r w:rsidRPr="005B0C7B">
              <w:rPr>
                <w:szCs w:val="18"/>
              </w:rPr>
              <w:t xml:space="preserve">FMA, Directions </w:t>
            </w:r>
            <w:r w:rsidR="006F0D04">
              <w:rPr>
                <w:szCs w:val="18"/>
              </w:rPr>
              <w:t>and/</w:t>
            </w:r>
            <w:r w:rsidRPr="005B0C7B">
              <w:rPr>
                <w:szCs w:val="18"/>
              </w:rPr>
              <w:t>o</w:t>
            </w:r>
            <w:r w:rsidR="00021760">
              <w:rPr>
                <w:szCs w:val="18"/>
              </w:rPr>
              <w:t xml:space="preserve">r </w:t>
            </w:r>
            <w:r w:rsidRPr="005B0C7B">
              <w:rPr>
                <w:szCs w:val="18"/>
              </w:rPr>
              <w:t>Instructions.</w:t>
            </w:r>
          </w:p>
        </w:tc>
      </w:tr>
      <w:tr w:rsidR="00011FE1" w:rsidRPr="005B0C7B" w14:paraId="5B4823BF"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07DCE634" w14:textId="77777777" w:rsidR="00011FE1" w:rsidRPr="00406EFF" w:rsidRDefault="00011FE1" w:rsidP="008A37A5">
            <w:pPr>
              <w:pStyle w:val="Tabletext"/>
            </w:pPr>
            <w:r w:rsidRPr="00406EFF">
              <w:t>Compliant</w:t>
            </w:r>
          </w:p>
        </w:tc>
        <w:tc>
          <w:tcPr>
            <w:tcW w:w="7290" w:type="dxa"/>
            <w:shd w:val="clear" w:color="auto" w:fill="auto"/>
          </w:tcPr>
          <w:p w14:paraId="40781EF3" w14:textId="77777777" w:rsidR="00011FE1" w:rsidRPr="005B0C7B" w:rsidRDefault="00011FE1" w:rsidP="00021760">
            <w:pPr>
              <w:pStyle w:val="Tabletext"/>
              <w:rPr>
                <w:szCs w:val="18"/>
              </w:rPr>
            </w:pPr>
            <w:r w:rsidRPr="005B0C7B">
              <w:rPr>
                <w:szCs w:val="18"/>
              </w:rPr>
              <w:t xml:space="preserve">A </w:t>
            </w:r>
            <w:r w:rsidR="008E1161">
              <w:rPr>
                <w:szCs w:val="18"/>
              </w:rPr>
              <w:t>P</w:t>
            </w:r>
            <w:r w:rsidRPr="005B0C7B">
              <w:rPr>
                <w:szCs w:val="18"/>
              </w:rPr>
              <w:t xml:space="preserve">ublic </w:t>
            </w:r>
            <w:r w:rsidR="008E1161">
              <w:rPr>
                <w:szCs w:val="18"/>
              </w:rPr>
              <w:t>S</w:t>
            </w:r>
            <w:r w:rsidRPr="005B0C7B">
              <w:rPr>
                <w:szCs w:val="18"/>
              </w:rPr>
              <w:t xml:space="preserve">ector Agency which is compliant with the </w:t>
            </w:r>
            <w:r w:rsidR="008E1161">
              <w:rPr>
                <w:szCs w:val="18"/>
              </w:rPr>
              <w:t>Directions and Instructions</w:t>
            </w:r>
            <w:r w:rsidRPr="005B0C7B">
              <w:rPr>
                <w:szCs w:val="18"/>
              </w:rPr>
              <w:t>.</w:t>
            </w:r>
          </w:p>
        </w:tc>
      </w:tr>
      <w:tr w:rsidR="00011FE1" w:rsidRPr="005B0C7B" w14:paraId="05E0DCF4"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79903D8F" w14:textId="77777777" w:rsidR="00011FE1" w:rsidRPr="00406EFF" w:rsidRDefault="00011FE1" w:rsidP="008A37A5">
            <w:pPr>
              <w:pStyle w:val="Tabletext"/>
              <w:rPr>
                <w:sz w:val="20"/>
              </w:rPr>
            </w:pPr>
            <w:r w:rsidRPr="00406EFF">
              <w:t>Commodity risks</w:t>
            </w:r>
          </w:p>
        </w:tc>
        <w:tc>
          <w:tcPr>
            <w:tcW w:w="7290" w:type="dxa"/>
            <w:shd w:val="clear" w:color="auto" w:fill="auto"/>
          </w:tcPr>
          <w:p w14:paraId="2D969BB9" w14:textId="77777777" w:rsidR="00011FE1" w:rsidRPr="005B0C7B" w:rsidRDefault="00011FE1" w:rsidP="008A37A5">
            <w:pPr>
              <w:pStyle w:val="Tabletext"/>
              <w:rPr>
                <w:sz w:val="20"/>
              </w:rPr>
            </w:pPr>
            <w:r w:rsidRPr="005B0C7B">
              <w:rPr>
                <w:szCs w:val="18"/>
              </w:rPr>
              <w:t>Risks arising from future changes in the price and/or availability of commodities.</w:t>
            </w:r>
          </w:p>
        </w:tc>
      </w:tr>
      <w:tr w:rsidR="00011FE1" w:rsidRPr="005B0C7B" w14:paraId="0CA67968"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1E8940D4" w14:textId="77777777" w:rsidR="00011FE1" w:rsidRPr="00406EFF" w:rsidRDefault="00011FE1" w:rsidP="008A37A5">
            <w:pPr>
              <w:pStyle w:val="Tabletext"/>
            </w:pPr>
            <w:r w:rsidRPr="00406EFF">
              <w:t>Corruption</w:t>
            </w:r>
            <w:r w:rsidR="00A53069">
              <w:t>*</w:t>
            </w:r>
          </w:p>
        </w:tc>
        <w:tc>
          <w:tcPr>
            <w:tcW w:w="7290" w:type="dxa"/>
            <w:shd w:val="clear" w:color="auto" w:fill="auto"/>
          </w:tcPr>
          <w:p w14:paraId="1288C3BC" w14:textId="4F20C2A5" w:rsidR="008E3ED7" w:rsidRDefault="00011FE1" w:rsidP="008E3ED7">
            <w:pPr>
              <w:pStyle w:val="Tabletext"/>
              <w:rPr>
                <w:szCs w:val="18"/>
              </w:rPr>
            </w:pPr>
            <w:r w:rsidRPr="005B0C7B">
              <w:rPr>
                <w:szCs w:val="18"/>
              </w:rPr>
              <w:t>Has the same meaning as in the latest A</w:t>
            </w:r>
            <w:r w:rsidR="008E3ED7">
              <w:rPr>
                <w:szCs w:val="18"/>
              </w:rPr>
              <w:t xml:space="preserve">ustralian </w:t>
            </w:r>
            <w:r w:rsidRPr="005B0C7B">
              <w:rPr>
                <w:szCs w:val="18"/>
              </w:rPr>
              <w:t>S</w:t>
            </w:r>
            <w:r w:rsidR="008E3ED7">
              <w:rPr>
                <w:szCs w:val="18"/>
              </w:rPr>
              <w:t xml:space="preserve">tandard on </w:t>
            </w:r>
            <w:r w:rsidRPr="008E3ED7">
              <w:rPr>
                <w:i/>
                <w:szCs w:val="18"/>
              </w:rPr>
              <w:t>Fraud a</w:t>
            </w:r>
            <w:r w:rsidR="008E3ED7" w:rsidRPr="008E3ED7">
              <w:rPr>
                <w:i/>
                <w:szCs w:val="18"/>
              </w:rPr>
              <w:t>nd Corruption Control</w:t>
            </w:r>
            <w:r w:rsidR="008E3ED7">
              <w:rPr>
                <w:szCs w:val="18"/>
              </w:rPr>
              <w:t xml:space="preserve"> (AS 8001).</w:t>
            </w:r>
          </w:p>
          <w:p w14:paraId="23C9B80C" w14:textId="36D81234" w:rsidR="00011FE1" w:rsidRPr="005B0C7B" w:rsidRDefault="00322B5B" w:rsidP="008E3ED7">
            <w:pPr>
              <w:pStyle w:val="Tabletext"/>
              <w:rPr>
                <w:szCs w:val="18"/>
              </w:rPr>
            </w:pPr>
            <w:r>
              <w:rPr>
                <w:szCs w:val="18"/>
              </w:rPr>
              <w:t>[</w:t>
            </w:r>
            <w:r w:rsidR="00011FE1" w:rsidRPr="005B0C7B">
              <w:rPr>
                <w:szCs w:val="18"/>
              </w:rPr>
              <w:t>Dishonest activity in which an employee of an entity acts contrary to the interests of the entity and abuses his/her position of trust in order to achieve some personal gain or advantage for him/herself or for another person or entity.</w:t>
            </w:r>
            <w:r>
              <w:rPr>
                <w:szCs w:val="18"/>
              </w:rPr>
              <w:t>]</w:t>
            </w:r>
          </w:p>
        </w:tc>
      </w:tr>
      <w:tr w:rsidR="008E3ED7" w:rsidRPr="005B0C7B" w14:paraId="3CFA7D9F"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698C4479" w14:textId="77777777" w:rsidR="008E3ED7" w:rsidRPr="00406EFF" w:rsidRDefault="008E3ED7" w:rsidP="008A37A5">
            <w:pPr>
              <w:pStyle w:val="Tabletext"/>
            </w:pPr>
            <w:r>
              <w:t>CSV</w:t>
            </w:r>
            <w:r w:rsidR="00A53069">
              <w:t>*</w:t>
            </w:r>
          </w:p>
        </w:tc>
        <w:tc>
          <w:tcPr>
            <w:tcW w:w="7290" w:type="dxa"/>
            <w:shd w:val="clear" w:color="auto" w:fill="auto"/>
          </w:tcPr>
          <w:p w14:paraId="452BD0EA" w14:textId="3FA2ACAB" w:rsidR="008E3ED7" w:rsidRPr="005B0C7B" w:rsidRDefault="008E3ED7" w:rsidP="00A87BDB">
            <w:pPr>
              <w:pStyle w:val="Tabletext"/>
              <w:rPr>
                <w:szCs w:val="18"/>
              </w:rPr>
            </w:pPr>
            <w:r>
              <w:rPr>
                <w:szCs w:val="18"/>
              </w:rPr>
              <w:t xml:space="preserve">Means Court Services Victoria established under the </w:t>
            </w:r>
            <w:r w:rsidRPr="008E3ED7">
              <w:rPr>
                <w:i/>
                <w:szCs w:val="18"/>
              </w:rPr>
              <w:t xml:space="preserve">Court Services </w:t>
            </w:r>
            <w:r w:rsidR="00BC46EA">
              <w:rPr>
                <w:i/>
                <w:szCs w:val="18"/>
              </w:rPr>
              <w:t xml:space="preserve">Victoria </w:t>
            </w:r>
            <w:r w:rsidRPr="008E3ED7">
              <w:rPr>
                <w:i/>
                <w:szCs w:val="18"/>
              </w:rPr>
              <w:t>Act 2014</w:t>
            </w:r>
            <w:r w:rsidR="00A87BDB">
              <w:rPr>
                <w:szCs w:val="18"/>
              </w:rPr>
              <w:t>.</w:t>
            </w:r>
          </w:p>
        </w:tc>
      </w:tr>
      <w:tr w:rsidR="00011FE1" w:rsidRPr="005B0C7B" w14:paraId="1DEDC17E"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70B203B7" w14:textId="77777777" w:rsidR="00011FE1" w:rsidRPr="00406EFF" w:rsidRDefault="00011FE1" w:rsidP="008A37A5">
            <w:pPr>
              <w:pStyle w:val="Tabletext"/>
            </w:pPr>
            <w:r w:rsidRPr="00406EFF">
              <w:t>Department</w:t>
            </w:r>
            <w:r w:rsidR="00A53069">
              <w:t>*</w:t>
            </w:r>
          </w:p>
        </w:tc>
        <w:tc>
          <w:tcPr>
            <w:tcW w:w="7290" w:type="dxa"/>
            <w:shd w:val="clear" w:color="auto" w:fill="auto"/>
          </w:tcPr>
          <w:p w14:paraId="78458434" w14:textId="77777777" w:rsidR="00011FE1" w:rsidRPr="005B0C7B" w:rsidRDefault="00011FE1" w:rsidP="00C726FA">
            <w:pPr>
              <w:pStyle w:val="Tabletext"/>
              <w:rPr>
                <w:szCs w:val="18"/>
              </w:rPr>
            </w:pPr>
            <w:r w:rsidRPr="005B0C7B">
              <w:rPr>
                <w:szCs w:val="18"/>
              </w:rPr>
              <w:t xml:space="preserve">Has the same meaning same as in section 3 of the </w:t>
            </w:r>
            <w:r w:rsidR="00C726FA" w:rsidRPr="00C726FA">
              <w:rPr>
                <w:iCs/>
                <w:szCs w:val="18"/>
              </w:rPr>
              <w:t>FMA</w:t>
            </w:r>
            <w:r w:rsidRPr="00C726FA">
              <w:rPr>
                <w:szCs w:val="18"/>
              </w:rPr>
              <w:t>.</w:t>
            </w:r>
          </w:p>
        </w:tc>
      </w:tr>
      <w:tr w:rsidR="00011FE1" w:rsidRPr="005B0C7B" w14:paraId="21B52773"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4524C954" w14:textId="77777777" w:rsidR="00011FE1" w:rsidRPr="00406EFF" w:rsidRDefault="00011FE1" w:rsidP="008A37A5">
            <w:pPr>
              <w:pStyle w:val="Tabletext"/>
            </w:pPr>
            <w:r w:rsidRPr="00406EFF">
              <w:lastRenderedPageBreak/>
              <w:t>Departmental funding model</w:t>
            </w:r>
          </w:p>
        </w:tc>
        <w:tc>
          <w:tcPr>
            <w:tcW w:w="7290" w:type="dxa"/>
            <w:shd w:val="clear" w:color="auto" w:fill="auto"/>
          </w:tcPr>
          <w:p w14:paraId="2F4C6B17" w14:textId="77777777" w:rsidR="00011FE1" w:rsidRPr="005B0C7B" w:rsidRDefault="00011FE1" w:rsidP="008A37A5">
            <w:pPr>
              <w:pStyle w:val="Tabletext"/>
              <w:rPr>
                <w:szCs w:val="18"/>
              </w:rPr>
            </w:pPr>
            <w:r w:rsidRPr="005B0C7B">
              <w:rPr>
                <w:szCs w:val="18"/>
              </w:rPr>
              <w:t xml:space="preserve">The model used by the Government to fund the general government sector (comprising the department and the portfolio </w:t>
            </w:r>
            <w:r>
              <w:rPr>
                <w:szCs w:val="18"/>
              </w:rPr>
              <w:t xml:space="preserve">general government sector </w:t>
            </w:r>
            <w:r w:rsidR="00453706">
              <w:rPr>
                <w:szCs w:val="18"/>
              </w:rPr>
              <w:t>A</w:t>
            </w:r>
            <w:r w:rsidRPr="005B0C7B">
              <w:rPr>
                <w:szCs w:val="18"/>
              </w:rPr>
              <w:t>gencies), where the Government determines th</w:t>
            </w:r>
            <w:r w:rsidR="00465158">
              <w:rPr>
                <w:szCs w:val="18"/>
              </w:rPr>
              <w:t>e outputs to be delivered by a Portfolio D</w:t>
            </w:r>
            <w:r w:rsidRPr="005B0C7B">
              <w:rPr>
                <w:szCs w:val="18"/>
              </w:rPr>
              <w:t>epartment and the price for each of the outputs for a given level of quantity, quality and timeliness. The output price is derived from unit pricing, where revenues need to be sufficient to cover all expenses incurred in the delivery of an output, including depreciation (in the form of depreciation equivalent revenue).</w:t>
            </w:r>
          </w:p>
        </w:tc>
      </w:tr>
      <w:tr w:rsidR="00011FE1" w:rsidRPr="00C726FA" w14:paraId="55C47970"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3DB7354D" w14:textId="77777777" w:rsidR="00011FE1" w:rsidRPr="00C726FA" w:rsidRDefault="00011FE1" w:rsidP="008A37A5">
            <w:pPr>
              <w:pStyle w:val="Tabletext"/>
            </w:pPr>
            <w:r w:rsidRPr="00C726FA">
              <w:t>Directions</w:t>
            </w:r>
            <w:r w:rsidR="00A53069">
              <w:t>*</w:t>
            </w:r>
          </w:p>
        </w:tc>
        <w:tc>
          <w:tcPr>
            <w:tcW w:w="7290" w:type="dxa"/>
            <w:shd w:val="clear" w:color="auto" w:fill="auto"/>
          </w:tcPr>
          <w:p w14:paraId="3884B299" w14:textId="1A3F272A" w:rsidR="00011FE1" w:rsidRPr="00C726FA" w:rsidRDefault="00011FE1" w:rsidP="00322B5B">
            <w:pPr>
              <w:pStyle w:val="Tabletext"/>
              <w:rPr>
                <w:szCs w:val="18"/>
              </w:rPr>
            </w:pPr>
            <w:r w:rsidRPr="00C726FA">
              <w:rPr>
                <w:szCs w:val="18"/>
              </w:rPr>
              <w:t xml:space="preserve">Standing Directions </w:t>
            </w:r>
            <w:r w:rsidR="00780F7A">
              <w:rPr>
                <w:szCs w:val="18"/>
              </w:rPr>
              <w:t xml:space="preserve">under the </w:t>
            </w:r>
            <w:r w:rsidR="00780F7A" w:rsidRPr="00780F7A">
              <w:rPr>
                <w:i/>
                <w:szCs w:val="18"/>
              </w:rPr>
              <w:t>Financial Management Act 1994</w:t>
            </w:r>
            <w:r w:rsidR="00780F7A">
              <w:rPr>
                <w:szCs w:val="18"/>
              </w:rPr>
              <w:t xml:space="preserve">, </w:t>
            </w:r>
            <w:r w:rsidRPr="00C726FA">
              <w:rPr>
                <w:szCs w:val="18"/>
              </w:rPr>
              <w:t xml:space="preserve">issued by the </w:t>
            </w:r>
            <w:r w:rsidR="00780F7A">
              <w:rPr>
                <w:szCs w:val="18"/>
              </w:rPr>
              <w:t>Assistant Treasurer</w:t>
            </w:r>
            <w:r w:rsidRPr="00C726FA">
              <w:rPr>
                <w:szCs w:val="18"/>
              </w:rPr>
              <w:t xml:space="preserve"> </w:t>
            </w:r>
            <w:r w:rsidR="00322B5B">
              <w:rPr>
                <w:szCs w:val="18"/>
              </w:rPr>
              <w:t xml:space="preserve">under </w:t>
            </w:r>
            <w:r w:rsidRPr="00C726FA">
              <w:rPr>
                <w:szCs w:val="18"/>
              </w:rPr>
              <w:t xml:space="preserve">section 8 of the </w:t>
            </w:r>
            <w:r w:rsidR="00C726FA" w:rsidRPr="00C726FA">
              <w:rPr>
                <w:iCs/>
                <w:szCs w:val="18"/>
              </w:rPr>
              <w:t>FMA.</w:t>
            </w:r>
          </w:p>
        </w:tc>
      </w:tr>
      <w:tr w:rsidR="00011FE1" w:rsidRPr="005B0C7B" w14:paraId="68895867"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6D73A011" w14:textId="77777777" w:rsidR="00011FE1" w:rsidRPr="00406EFF" w:rsidRDefault="00011FE1" w:rsidP="008A37A5">
            <w:pPr>
              <w:pStyle w:val="Tabletext"/>
              <w:rPr>
                <w:rFonts w:cs="Calibri"/>
              </w:rPr>
            </w:pPr>
            <w:r w:rsidRPr="00406EFF">
              <w:rPr>
                <w:rFonts w:cs="Calibri"/>
              </w:rPr>
              <w:t xml:space="preserve">Discretionary </w:t>
            </w:r>
            <w:r w:rsidRPr="00406EFF">
              <w:t>financial benefits</w:t>
            </w:r>
          </w:p>
        </w:tc>
        <w:tc>
          <w:tcPr>
            <w:tcW w:w="7290" w:type="dxa"/>
            <w:shd w:val="clear" w:color="auto" w:fill="auto"/>
          </w:tcPr>
          <w:p w14:paraId="07D098FA" w14:textId="77777777" w:rsidR="00011FE1" w:rsidRPr="005B0C7B" w:rsidRDefault="00011FE1" w:rsidP="008A37A5">
            <w:pPr>
              <w:pStyle w:val="Tabletext"/>
              <w:rPr>
                <w:rFonts w:cs="Calibri"/>
                <w:szCs w:val="18"/>
              </w:rPr>
            </w:pPr>
            <w:r w:rsidRPr="005B0C7B">
              <w:rPr>
                <w:rFonts w:cs="Calibri"/>
                <w:szCs w:val="18"/>
              </w:rPr>
              <w:t>A financial benefit given to a person or body for a specified purpose directed at achieving outcomes sought by government policy (e.g. grants, sponsorships and donations).</w:t>
            </w:r>
          </w:p>
        </w:tc>
      </w:tr>
      <w:tr w:rsidR="00011FE1" w:rsidRPr="005B0C7B" w14:paraId="16F22C66"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tcPr>
          <w:p w14:paraId="78116059" w14:textId="77777777" w:rsidR="00011FE1" w:rsidRPr="00406EFF" w:rsidRDefault="00011FE1" w:rsidP="008A37A5">
            <w:pPr>
              <w:pStyle w:val="Tabletext"/>
              <w:rPr>
                <w:rFonts w:cs="Calibri"/>
              </w:rPr>
            </w:pPr>
            <w:r w:rsidRPr="00406EFF">
              <w:rPr>
                <w:rFonts w:cs="Calibri"/>
              </w:rPr>
              <w:t>Donations</w:t>
            </w:r>
          </w:p>
        </w:tc>
        <w:tc>
          <w:tcPr>
            <w:tcW w:w="7290" w:type="dxa"/>
          </w:tcPr>
          <w:p w14:paraId="4DAA3CFA" w14:textId="6EBFA5E3" w:rsidR="00011FE1" w:rsidRPr="005B0C7B" w:rsidRDefault="00011FE1" w:rsidP="008A37A5">
            <w:pPr>
              <w:pStyle w:val="Tabletext"/>
              <w:rPr>
                <w:rFonts w:cs="Calibri"/>
                <w:sz w:val="20"/>
              </w:rPr>
            </w:pPr>
            <w:hyperlink r:id="rId42" w:tooltip="Gift" w:history="1">
              <w:r w:rsidRPr="005B0C7B">
                <w:rPr>
                  <w:rFonts w:cs="Calibri"/>
                  <w:szCs w:val="18"/>
                </w:rPr>
                <w:t>Gift</w:t>
              </w:r>
            </w:hyperlink>
            <w:r w:rsidRPr="005B0C7B">
              <w:rPr>
                <w:rFonts w:cs="Calibri"/>
                <w:szCs w:val="18"/>
              </w:rPr>
              <w:t xml:space="preserve">s </w:t>
            </w:r>
            <w:r w:rsidRPr="007F54C0">
              <w:rPr>
                <w:rFonts w:cs="Calibri"/>
                <w:szCs w:val="18"/>
              </w:rPr>
              <w:t>given</w:t>
            </w:r>
            <w:r w:rsidR="00071A87" w:rsidRPr="007F54C0">
              <w:rPr>
                <w:rFonts w:cs="Calibri"/>
                <w:szCs w:val="18"/>
              </w:rPr>
              <w:t xml:space="preserve"> to</w:t>
            </w:r>
            <w:r w:rsidR="00D12695">
              <w:rPr>
                <w:rFonts w:cs="Calibri"/>
                <w:szCs w:val="18"/>
              </w:rPr>
              <w:t xml:space="preserve"> the</w:t>
            </w:r>
            <w:r w:rsidRPr="005B0C7B">
              <w:rPr>
                <w:rFonts w:cs="Calibri"/>
                <w:szCs w:val="18"/>
              </w:rPr>
              <w:t xml:space="preserve"> </w:t>
            </w:r>
            <w:r w:rsidR="00BD1308">
              <w:rPr>
                <w:rFonts w:cs="Calibri"/>
                <w:szCs w:val="18"/>
              </w:rPr>
              <w:t xml:space="preserve">Victorian </w:t>
            </w:r>
            <w:r w:rsidR="008E1161">
              <w:rPr>
                <w:rFonts w:cs="Calibri"/>
                <w:szCs w:val="18"/>
              </w:rPr>
              <w:t>P</w:t>
            </w:r>
            <w:r w:rsidRPr="005B0C7B">
              <w:rPr>
                <w:rFonts w:cs="Calibri"/>
                <w:szCs w:val="18"/>
              </w:rPr>
              <w:t xml:space="preserve">ublic </w:t>
            </w:r>
            <w:r w:rsidR="008E1161">
              <w:rPr>
                <w:rFonts w:cs="Calibri"/>
                <w:szCs w:val="18"/>
              </w:rPr>
              <w:t>S</w:t>
            </w:r>
            <w:r w:rsidRPr="005B0C7B">
              <w:rPr>
                <w:rFonts w:cs="Calibri"/>
                <w:szCs w:val="18"/>
              </w:rPr>
              <w:t xml:space="preserve">ector Agency, typically for </w:t>
            </w:r>
            <w:hyperlink r:id="rId43" w:tooltip="Charitable organization" w:history="1">
              <w:r w:rsidRPr="005B0C7B">
                <w:rPr>
                  <w:rFonts w:cs="Calibri"/>
                  <w:szCs w:val="18"/>
                </w:rPr>
                <w:t>charitable</w:t>
              </w:r>
            </w:hyperlink>
            <w:r w:rsidRPr="005B0C7B">
              <w:rPr>
                <w:rFonts w:cs="Calibri"/>
                <w:szCs w:val="18"/>
              </w:rPr>
              <w:t xml:space="preserve"> purposes and/or to benefit a cause.</w:t>
            </w:r>
            <w:r w:rsidRPr="005B0C7B">
              <w:rPr>
                <w:rFonts w:cs="Calibri"/>
                <w:sz w:val="20"/>
              </w:rPr>
              <w:t xml:space="preserve"> </w:t>
            </w:r>
            <w:r w:rsidRPr="005B0C7B">
              <w:rPr>
                <w:rFonts w:cs="Calibri"/>
              </w:rPr>
              <w:t>They impose no obligations on the recipient and offer little or no rights or benefits to the provider.</w:t>
            </w:r>
          </w:p>
        </w:tc>
      </w:tr>
      <w:tr w:rsidR="008E3ED7" w:rsidRPr="005B0C7B" w14:paraId="2F309D7C"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639DF5E8" w14:textId="77777777" w:rsidR="008E3ED7" w:rsidRPr="00E862D1" w:rsidRDefault="008E3ED7" w:rsidP="008A37A5">
            <w:pPr>
              <w:pStyle w:val="Tabletext"/>
              <w:rPr>
                <w:rFonts w:cs="Calibri"/>
              </w:rPr>
            </w:pPr>
            <w:r>
              <w:rPr>
                <w:rFonts w:cs="Calibri"/>
              </w:rPr>
              <w:t>DTF</w:t>
            </w:r>
            <w:r w:rsidR="00A53069">
              <w:rPr>
                <w:rFonts w:cs="Calibri"/>
              </w:rPr>
              <w:t>*</w:t>
            </w:r>
          </w:p>
        </w:tc>
        <w:tc>
          <w:tcPr>
            <w:tcW w:w="7290" w:type="dxa"/>
            <w:shd w:val="clear" w:color="auto" w:fill="auto"/>
          </w:tcPr>
          <w:p w14:paraId="3DEFAF9B" w14:textId="77777777" w:rsidR="008E3ED7" w:rsidRPr="00E862D1" w:rsidRDefault="008E3ED7" w:rsidP="00E862D1">
            <w:pPr>
              <w:pStyle w:val="Tabletext"/>
              <w:rPr>
                <w:rFonts w:cs="Calibri"/>
                <w:szCs w:val="18"/>
              </w:rPr>
            </w:pPr>
            <w:r>
              <w:rPr>
                <w:rFonts w:cs="Calibri"/>
                <w:szCs w:val="18"/>
              </w:rPr>
              <w:t xml:space="preserve">Means the Department of Treasury and Finance in its capacity as a central agency supporting the Minister in administration of the FMA. </w:t>
            </w:r>
          </w:p>
        </w:tc>
      </w:tr>
      <w:tr w:rsidR="008E3ED7" w:rsidRPr="005B0C7B" w14:paraId="2793C530"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77165F28" w14:textId="77777777" w:rsidR="008E3ED7" w:rsidRPr="00E862D1" w:rsidRDefault="008E3ED7" w:rsidP="008A37A5">
            <w:pPr>
              <w:pStyle w:val="Tabletext"/>
              <w:rPr>
                <w:rFonts w:cs="Calibri"/>
              </w:rPr>
            </w:pPr>
            <w:r>
              <w:rPr>
                <w:rFonts w:cs="Calibri"/>
              </w:rPr>
              <w:t>DTF Deputy Secretary</w:t>
            </w:r>
            <w:r w:rsidR="00A53069">
              <w:rPr>
                <w:rFonts w:cs="Calibri"/>
              </w:rPr>
              <w:t>*</w:t>
            </w:r>
          </w:p>
        </w:tc>
        <w:tc>
          <w:tcPr>
            <w:tcW w:w="7290" w:type="dxa"/>
            <w:shd w:val="clear" w:color="auto" w:fill="auto"/>
          </w:tcPr>
          <w:p w14:paraId="304D7BD1" w14:textId="77777777" w:rsidR="008E3ED7" w:rsidRPr="008E3ED7" w:rsidRDefault="008E3ED7" w:rsidP="008E3ED7">
            <w:pPr>
              <w:rPr>
                <w:bCs/>
                <w:sz w:val="18"/>
                <w:szCs w:val="18"/>
              </w:rPr>
            </w:pPr>
            <w:r w:rsidRPr="008E3ED7">
              <w:rPr>
                <w:bCs/>
                <w:sz w:val="18"/>
                <w:szCs w:val="18"/>
              </w:rPr>
              <w:t>Means the Deputy Secretary of DTF’s Budget and Finance Division, or anyone who occupies that office temporarily or any DTF officer who becomes responsible for the functions of that office from time to time.</w:t>
            </w:r>
          </w:p>
        </w:tc>
      </w:tr>
      <w:tr w:rsidR="00011FE1" w:rsidRPr="005B0C7B" w14:paraId="129F5A51"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6B00881E" w14:textId="77777777" w:rsidR="00011FE1" w:rsidRPr="00406EFF" w:rsidRDefault="00011FE1" w:rsidP="008A37A5">
            <w:pPr>
              <w:pStyle w:val="Tabletext"/>
            </w:pPr>
            <w:r w:rsidRPr="00576F73">
              <w:t>Employee</w:t>
            </w:r>
            <w:r w:rsidRPr="00406EFF">
              <w:t xml:space="preserve"> </w:t>
            </w:r>
          </w:p>
        </w:tc>
        <w:tc>
          <w:tcPr>
            <w:tcW w:w="7290" w:type="dxa"/>
            <w:shd w:val="clear" w:color="auto" w:fill="auto"/>
          </w:tcPr>
          <w:p w14:paraId="0E72E442" w14:textId="01FFC9DB" w:rsidR="00011FE1" w:rsidRPr="001B0A2A" w:rsidRDefault="00011FE1" w:rsidP="00576F73">
            <w:pPr>
              <w:pStyle w:val="FootnoteText"/>
              <w:rPr>
                <w:szCs w:val="18"/>
              </w:rPr>
            </w:pPr>
            <w:r w:rsidRPr="001B0A2A">
              <w:rPr>
                <w:szCs w:val="18"/>
              </w:rPr>
              <w:t xml:space="preserve">A person employed by a </w:t>
            </w:r>
            <w:r w:rsidR="004F1308">
              <w:rPr>
                <w:szCs w:val="18"/>
              </w:rPr>
              <w:t xml:space="preserve">Victorian </w:t>
            </w:r>
            <w:r w:rsidR="008E1161">
              <w:rPr>
                <w:szCs w:val="18"/>
              </w:rPr>
              <w:t>P</w:t>
            </w:r>
            <w:r w:rsidRPr="001B0A2A">
              <w:rPr>
                <w:szCs w:val="18"/>
              </w:rPr>
              <w:t xml:space="preserve">ublic </w:t>
            </w:r>
            <w:r w:rsidR="008E1161">
              <w:rPr>
                <w:szCs w:val="18"/>
              </w:rPr>
              <w:t>S</w:t>
            </w:r>
            <w:r w:rsidRPr="001B0A2A">
              <w:rPr>
                <w:szCs w:val="18"/>
              </w:rPr>
              <w:t xml:space="preserve">ector </w:t>
            </w:r>
            <w:r w:rsidR="008E1161">
              <w:rPr>
                <w:szCs w:val="18"/>
              </w:rPr>
              <w:t>A</w:t>
            </w:r>
            <w:r w:rsidRPr="001B0A2A">
              <w:rPr>
                <w:szCs w:val="18"/>
              </w:rPr>
              <w:t>gency and paid an annual salary. This includes persons employed on a ‘fixed term’ basis who are on the Agency’s payroll and performs a public service function. On</w:t>
            </w:r>
            <w:r w:rsidR="00D62B6D">
              <w:rPr>
                <w:szCs w:val="18"/>
              </w:rPr>
              <w:noBreakHyphen/>
            </w:r>
            <w:r w:rsidRPr="001B0A2A">
              <w:rPr>
                <w:szCs w:val="18"/>
              </w:rPr>
              <w:t xml:space="preserve">hire workers are the employees </w:t>
            </w:r>
            <w:r w:rsidR="00465158">
              <w:rPr>
                <w:szCs w:val="18"/>
              </w:rPr>
              <w:t>of the master vendors, not the D</w:t>
            </w:r>
            <w:r w:rsidRPr="001B0A2A">
              <w:rPr>
                <w:szCs w:val="18"/>
              </w:rPr>
              <w:t>epartment.</w:t>
            </w:r>
            <w:r w:rsidR="00D435AE">
              <w:rPr>
                <w:szCs w:val="18"/>
              </w:rPr>
              <w:t xml:space="preserve"> </w:t>
            </w:r>
          </w:p>
          <w:p w14:paraId="68AB671B" w14:textId="77777777" w:rsidR="00011FE1" w:rsidRPr="001B0A2A" w:rsidRDefault="00011FE1" w:rsidP="008A37A5">
            <w:pPr>
              <w:pStyle w:val="Tabletext"/>
              <w:rPr>
                <w:szCs w:val="18"/>
              </w:rPr>
            </w:pPr>
            <w:r w:rsidRPr="001B0A2A">
              <w:rPr>
                <w:szCs w:val="18"/>
              </w:rPr>
              <w:t xml:space="preserve">For differences between employees, contractors and consultants, refer to Financial Reporting Direction 22D and Guidance, and the Victorian Public Sector Commission’s </w:t>
            </w:r>
            <w:r w:rsidRPr="006A0869">
              <w:t>Guidance for Managers Engaging Contractors and Consultants to P</w:t>
            </w:r>
            <w:r w:rsidR="00C05769">
              <w:t>erform a Public Sector function</w:t>
            </w:r>
            <w:r w:rsidR="006A0869">
              <w:rPr>
                <w:rStyle w:val="FootnoteReference"/>
                <w:color w:val="595959" w:themeColor="text1" w:themeTint="A6"/>
              </w:rPr>
              <w:footnoteReference w:id="3"/>
            </w:r>
            <w:r w:rsidR="00C05769">
              <w:t>.</w:t>
            </w:r>
          </w:p>
        </w:tc>
      </w:tr>
      <w:tr w:rsidR="00011FE1" w:rsidRPr="005B0C7B" w14:paraId="1491E901"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0658914C" w14:textId="77777777" w:rsidR="00011FE1" w:rsidRPr="00406EFF" w:rsidRDefault="00011FE1" w:rsidP="008A37A5">
            <w:pPr>
              <w:pStyle w:val="Tabletext"/>
            </w:pPr>
            <w:r w:rsidRPr="00406EFF">
              <w:t>Exempt trust money</w:t>
            </w:r>
          </w:p>
        </w:tc>
        <w:tc>
          <w:tcPr>
            <w:tcW w:w="7290" w:type="dxa"/>
            <w:shd w:val="clear" w:color="auto" w:fill="auto"/>
          </w:tcPr>
          <w:p w14:paraId="0ECAC91C" w14:textId="77777777" w:rsidR="00011FE1" w:rsidRPr="005B0C7B" w:rsidRDefault="00011FE1" w:rsidP="008A37A5">
            <w:pPr>
              <w:pStyle w:val="Tabletext"/>
              <w:rPr>
                <w:iCs/>
                <w:szCs w:val="18"/>
                <w:lang w:val="en-GB"/>
              </w:rPr>
            </w:pPr>
            <w:r w:rsidRPr="005B0C7B">
              <w:rPr>
                <w:iCs/>
                <w:szCs w:val="18"/>
                <w:lang w:val="en-GB"/>
              </w:rPr>
              <w:t>Money, other than money he</w:t>
            </w:r>
            <w:r w:rsidR="002A1E36">
              <w:rPr>
                <w:iCs/>
                <w:szCs w:val="18"/>
                <w:lang w:val="en-GB"/>
              </w:rPr>
              <w:t>ld on trust for the State or a Public B</w:t>
            </w:r>
            <w:r w:rsidRPr="005B0C7B">
              <w:rPr>
                <w:iCs/>
                <w:szCs w:val="18"/>
                <w:lang w:val="en-GB"/>
              </w:rPr>
              <w:t>ody, invested pursuant to a statutory function to hold it on trust for a known beneficiary. Consequently</w:t>
            </w:r>
            <w:r w:rsidR="00DB2C10">
              <w:rPr>
                <w:iCs/>
                <w:szCs w:val="18"/>
                <w:lang w:val="en-GB"/>
              </w:rPr>
              <w:t>,</w:t>
            </w:r>
            <w:r w:rsidRPr="005B0C7B">
              <w:rPr>
                <w:iCs/>
                <w:szCs w:val="18"/>
                <w:lang w:val="en-GB"/>
              </w:rPr>
              <w:t xml:space="preserve"> these funds should be sourced from an entity or person external to the State of Victoria, and must be returnable to this source. These funds should be held in a separate trust account.</w:t>
            </w:r>
          </w:p>
        </w:tc>
      </w:tr>
      <w:tr w:rsidR="00011FE1" w:rsidRPr="005B0C7B" w14:paraId="229B9C62"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3CA476D2" w14:textId="77777777" w:rsidR="00011FE1" w:rsidRPr="00406EFF" w:rsidRDefault="00011FE1" w:rsidP="008A37A5">
            <w:pPr>
              <w:pStyle w:val="Tabletext"/>
            </w:pPr>
            <w:r w:rsidRPr="00406EFF">
              <w:t>Financial arrangement/derivative</w:t>
            </w:r>
          </w:p>
        </w:tc>
        <w:tc>
          <w:tcPr>
            <w:tcW w:w="7290" w:type="dxa"/>
            <w:shd w:val="clear" w:color="auto" w:fill="auto"/>
          </w:tcPr>
          <w:p w14:paraId="0C6F3D9E" w14:textId="690549C9" w:rsidR="00011FE1" w:rsidRPr="005B0C7B" w:rsidRDefault="00011FE1" w:rsidP="008A37A5">
            <w:pPr>
              <w:pStyle w:val="Tabletext"/>
              <w:rPr>
                <w:szCs w:val="18"/>
              </w:rPr>
            </w:pPr>
            <w:r w:rsidRPr="005B0C7B">
              <w:rPr>
                <w:szCs w:val="18"/>
              </w:rPr>
              <w:t xml:space="preserve">Has the same meaning as in the </w:t>
            </w:r>
            <w:r w:rsidRPr="005B0C7B">
              <w:rPr>
                <w:i/>
                <w:szCs w:val="18"/>
              </w:rPr>
              <w:t>Borrowing and Investment Powers Act 1987</w:t>
            </w:r>
            <w:r w:rsidR="00995ED6">
              <w:rPr>
                <w:i/>
                <w:szCs w:val="18"/>
              </w:rPr>
              <w:t xml:space="preserve">. </w:t>
            </w:r>
          </w:p>
        </w:tc>
      </w:tr>
      <w:tr w:rsidR="008E3ED7" w:rsidRPr="008E3ED7" w14:paraId="592F4F0F"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46CB281A" w14:textId="77777777" w:rsidR="008E3ED7" w:rsidRDefault="008E3ED7" w:rsidP="008A37A5">
            <w:pPr>
              <w:pStyle w:val="Tabletext"/>
            </w:pPr>
            <w:r>
              <w:t>Financial Reporting Direction</w:t>
            </w:r>
            <w:r w:rsidR="00A53069">
              <w:t>*</w:t>
            </w:r>
          </w:p>
        </w:tc>
        <w:tc>
          <w:tcPr>
            <w:tcW w:w="7290" w:type="dxa"/>
            <w:shd w:val="clear" w:color="auto" w:fill="auto"/>
          </w:tcPr>
          <w:p w14:paraId="7ACE58BD" w14:textId="77777777" w:rsidR="008E3ED7" w:rsidRPr="008E3ED7" w:rsidRDefault="008E3ED7" w:rsidP="00453706">
            <w:pPr>
              <w:rPr>
                <w:rFonts w:cs="Times New Roman"/>
                <w:bCs/>
                <w:sz w:val="18"/>
                <w:szCs w:val="18"/>
              </w:rPr>
            </w:pPr>
            <w:r w:rsidRPr="008E3ED7">
              <w:rPr>
                <w:rFonts w:cs="Times New Roman"/>
                <w:bCs/>
                <w:sz w:val="18"/>
                <w:szCs w:val="18"/>
              </w:rPr>
              <w:t xml:space="preserve">Means the </w:t>
            </w:r>
            <w:r w:rsidR="00453706">
              <w:rPr>
                <w:rFonts w:cs="Times New Roman"/>
                <w:bCs/>
                <w:sz w:val="18"/>
                <w:szCs w:val="18"/>
              </w:rPr>
              <w:t>Financial Reporting D</w:t>
            </w:r>
            <w:r w:rsidRPr="008E3ED7">
              <w:rPr>
                <w:rFonts w:cs="Times New Roman"/>
                <w:bCs/>
                <w:sz w:val="18"/>
                <w:szCs w:val="18"/>
              </w:rPr>
              <w:t>irections issued under section 8 of the FMA.</w:t>
            </w:r>
          </w:p>
        </w:tc>
      </w:tr>
      <w:tr w:rsidR="00C726FA" w:rsidRPr="005B0C7B" w14:paraId="3DB54F2A"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06F8CACB" w14:textId="77777777" w:rsidR="00C726FA" w:rsidRPr="00406EFF" w:rsidRDefault="00C726FA" w:rsidP="008A37A5">
            <w:pPr>
              <w:pStyle w:val="Tabletext"/>
            </w:pPr>
            <w:r>
              <w:t>FMA</w:t>
            </w:r>
            <w:r w:rsidR="00A53069">
              <w:t>*</w:t>
            </w:r>
          </w:p>
        </w:tc>
        <w:tc>
          <w:tcPr>
            <w:tcW w:w="7290" w:type="dxa"/>
            <w:shd w:val="clear" w:color="auto" w:fill="auto"/>
          </w:tcPr>
          <w:p w14:paraId="11888725" w14:textId="77777777" w:rsidR="00C726FA" w:rsidRPr="001B0A2A" w:rsidRDefault="00C726FA" w:rsidP="008A37A5">
            <w:pPr>
              <w:pStyle w:val="Tabletext"/>
              <w:rPr>
                <w:szCs w:val="18"/>
                <w:lang w:val="en-GB"/>
              </w:rPr>
            </w:pPr>
            <w:r>
              <w:rPr>
                <w:szCs w:val="18"/>
                <w:lang w:val="en-GB"/>
              </w:rPr>
              <w:t xml:space="preserve">Means the </w:t>
            </w:r>
            <w:r w:rsidRPr="00C726FA">
              <w:rPr>
                <w:i/>
                <w:szCs w:val="18"/>
                <w:lang w:val="en-GB"/>
              </w:rPr>
              <w:t>Financial Management Act 1994</w:t>
            </w:r>
            <w:r>
              <w:rPr>
                <w:szCs w:val="18"/>
                <w:lang w:val="en-GB"/>
              </w:rPr>
              <w:t>.</w:t>
            </w:r>
          </w:p>
        </w:tc>
      </w:tr>
      <w:tr w:rsidR="00011FE1" w:rsidRPr="005B0C7B" w14:paraId="04063376"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6FAAC4FD" w14:textId="77777777" w:rsidR="00011FE1" w:rsidRPr="00406EFF" w:rsidRDefault="00011FE1" w:rsidP="008A37A5">
            <w:pPr>
              <w:pStyle w:val="Tabletext"/>
            </w:pPr>
            <w:r w:rsidRPr="00406EFF">
              <w:t>Fraud</w:t>
            </w:r>
            <w:r w:rsidR="00A53069">
              <w:t>*</w:t>
            </w:r>
          </w:p>
        </w:tc>
        <w:tc>
          <w:tcPr>
            <w:tcW w:w="7290" w:type="dxa"/>
            <w:shd w:val="clear" w:color="auto" w:fill="auto"/>
          </w:tcPr>
          <w:p w14:paraId="055409BC" w14:textId="19AD85BE" w:rsidR="00011FE1" w:rsidRPr="001B0A2A" w:rsidRDefault="008E3ED7" w:rsidP="008E3ED7">
            <w:pPr>
              <w:pStyle w:val="Tabletext"/>
              <w:rPr>
                <w:szCs w:val="18"/>
                <w:u w:val="single"/>
                <w:lang w:val="en-GB"/>
              </w:rPr>
            </w:pPr>
            <w:r>
              <w:rPr>
                <w:szCs w:val="18"/>
                <w:lang w:val="en-GB"/>
              </w:rPr>
              <w:t xml:space="preserve">Has the same meaning as in the Australian Standard on </w:t>
            </w:r>
            <w:r w:rsidR="00011FE1" w:rsidRPr="001B0A2A">
              <w:rPr>
                <w:i/>
                <w:szCs w:val="18"/>
                <w:lang w:val="en-GB"/>
              </w:rPr>
              <w:t xml:space="preserve">Fraud and Corruption Control </w:t>
            </w:r>
            <w:r>
              <w:rPr>
                <w:szCs w:val="18"/>
                <w:lang w:val="en-GB"/>
              </w:rPr>
              <w:t>(AS 8001).</w:t>
            </w:r>
          </w:p>
        </w:tc>
      </w:tr>
      <w:tr w:rsidR="00553A21" w:rsidRPr="005B0C7B" w14:paraId="3333DB17"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141F8789" w14:textId="237B6CF9" w:rsidR="00553A21" w:rsidRPr="00406EFF" w:rsidRDefault="00553A21" w:rsidP="008A37A5">
            <w:pPr>
              <w:pStyle w:val="Tabletext"/>
            </w:pPr>
            <w:r>
              <w:t>Fully compliant</w:t>
            </w:r>
          </w:p>
        </w:tc>
        <w:tc>
          <w:tcPr>
            <w:tcW w:w="7290" w:type="dxa"/>
            <w:shd w:val="clear" w:color="auto" w:fill="auto"/>
          </w:tcPr>
          <w:p w14:paraId="189F52B0" w14:textId="12FA0EBC" w:rsidR="00553A21" w:rsidRDefault="00553A21" w:rsidP="008E3ED7">
            <w:pPr>
              <w:pStyle w:val="Tabletext"/>
              <w:rPr>
                <w:szCs w:val="18"/>
                <w:lang w:val="en-GB"/>
              </w:rPr>
            </w:pPr>
            <w:r>
              <w:t xml:space="preserve">Means that there was no period during the relevant financial year in which there was </w:t>
            </w:r>
            <w:r w:rsidR="00413773">
              <w:t>non-compliance</w:t>
            </w:r>
            <w:r>
              <w:t xml:space="preserve"> with respect to an applicable requirement in the FMA, Standing Directions and/or Instructions.</w:t>
            </w:r>
          </w:p>
        </w:tc>
      </w:tr>
      <w:tr w:rsidR="00011FE1" w:rsidRPr="005B0C7B" w14:paraId="54A60B49"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7CF0F840" w14:textId="6816BEAB" w:rsidR="00011FE1" w:rsidRPr="00406EFF" w:rsidRDefault="00011FE1" w:rsidP="008A37A5">
            <w:pPr>
              <w:pStyle w:val="Tabletext"/>
            </w:pPr>
            <w:r w:rsidRPr="00406EFF">
              <w:t>General government</w:t>
            </w:r>
            <w:r w:rsidR="00107E2C">
              <w:t xml:space="preserve"> (GG)</w:t>
            </w:r>
            <w:r w:rsidRPr="00406EFF">
              <w:t xml:space="preserve"> sector Agencies</w:t>
            </w:r>
          </w:p>
        </w:tc>
        <w:tc>
          <w:tcPr>
            <w:tcW w:w="7290" w:type="dxa"/>
            <w:shd w:val="clear" w:color="auto" w:fill="auto"/>
          </w:tcPr>
          <w:p w14:paraId="4370ACE8" w14:textId="30F098C6" w:rsidR="00011FE1" w:rsidRPr="005B0C7B" w:rsidRDefault="00465158" w:rsidP="00453706">
            <w:pPr>
              <w:pStyle w:val="Tabletext"/>
              <w:rPr>
                <w:iCs/>
                <w:szCs w:val="18"/>
                <w:lang w:val="en-GB"/>
              </w:rPr>
            </w:pPr>
            <w:r>
              <w:rPr>
                <w:iCs/>
                <w:szCs w:val="18"/>
                <w:lang w:val="en-GB"/>
              </w:rPr>
              <w:t>Comprises all government D</w:t>
            </w:r>
            <w:r w:rsidR="00011FE1" w:rsidRPr="005B0C7B">
              <w:rPr>
                <w:iCs/>
                <w:szCs w:val="18"/>
                <w:lang w:val="en-GB"/>
              </w:rPr>
              <w:t xml:space="preserve">epartments, offices and other government </w:t>
            </w:r>
            <w:r w:rsidR="00453706">
              <w:rPr>
                <w:iCs/>
                <w:szCs w:val="18"/>
                <w:lang w:val="en-GB"/>
              </w:rPr>
              <w:t>A</w:t>
            </w:r>
            <w:r w:rsidR="00011FE1" w:rsidRPr="005B0C7B">
              <w:rPr>
                <w:iCs/>
                <w:szCs w:val="18"/>
                <w:lang w:val="en-GB"/>
              </w:rPr>
              <w:t>gencies engaged in providing public services free of charge or at prices significantly below the cost of production. Some of these entities may also earn revenue from commercial activities</w:t>
            </w:r>
            <w:r w:rsidR="00515507">
              <w:rPr>
                <w:iCs/>
                <w:szCs w:val="18"/>
                <w:lang w:val="en-GB"/>
              </w:rPr>
              <w:t xml:space="preserve">, </w:t>
            </w:r>
            <w:r w:rsidR="00011FE1" w:rsidRPr="005B0C7B">
              <w:rPr>
                <w:iCs/>
                <w:szCs w:val="18"/>
                <w:lang w:val="en-GB"/>
              </w:rPr>
              <w:t>however such revenue represents less than half of their total revenue.</w:t>
            </w:r>
          </w:p>
        </w:tc>
      </w:tr>
      <w:tr w:rsidR="008E3ED7" w:rsidRPr="005B0C7B" w14:paraId="5902F471"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010BC28B" w14:textId="77777777" w:rsidR="008E3ED7" w:rsidRPr="00406EFF" w:rsidRDefault="008E3ED7" w:rsidP="008A37A5">
            <w:pPr>
              <w:pStyle w:val="Tabletext"/>
            </w:pPr>
            <w:r>
              <w:t>Government objectives and/or priorities</w:t>
            </w:r>
            <w:r w:rsidR="00A53069">
              <w:t>*</w:t>
            </w:r>
          </w:p>
        </w:tc>
        <w:tc>
          <w:tcPr>
            <w:tcW w:w="7290" w:type="dxa"/>
            <w:shd w:val="clear" w:color="auto" w:fill="auto"/>
          </w:tcPr>
          <w:p w14:paraId="3B330BDD" w14:textId="77777777" w:rsidR="008E3ED7" w:rsidRDefault="008E3ED7" w:rsidP="008A37A5">
            <w:pPr>
              <w:pStyle w:val="Tabletext"/>
              <w:rPr>
                <w:iCs/>
                <w:szCs w:val="18"/>
                <w:lang w:val="en-GB"/>
              </w:rPr>
            </w:pPr>
            <w:r>
              <w:rPr>
                <w:iCs/>
                <w:szCs w:val="18"/>
                <w:lang w:val="en-GB"/>
              </w:rPr>
              <w:t>Means:</w:t>
            </w:r>
          </w:p>
          <w:p w14:paraId="305AEE0F" w14:textId="77777777" w:rsidR="008E3ED7" w:rsidRPr="008E3ED7" w:rsidRDefault="008E3ED7" w:rsidP="000B15FD">
            <w:pPr>
              <w:pStyle w:val="Tabletext"/>
              <w:numPr>
                <w:ilvl w:val="0"/>
                <w:numId w:val="19"/>
              </w:numPr>
            </w:pPr>
            <w:r w:rsidRPr="008E3ED7">
              <w:rPr>
                <w:lang w:val="en-GB"/>
              </w:rPr>
              <w:t xml:space="preserve">in relation </w:t>
            </w:r>
            <w:r w:rsidRPr="008E3ED7">
              <w:t>to all Agencies apart from Independent Offices and CSV, the stated objectives and priorities of the government of the day; and</w:t>
            </w:r>
          </w:p>
          <w:p w14:paraId="2B6B9369" w14:textId="77777777" w:rsidR="008E3ED7" w:rsidRPr="005B0C7B" w:rsidRDefault="008E3ED7" w:rsidP="000B15FD">
            <w:pPr>
              <w:pStyle w:val="Tabletext"/>
              <w:numPr>
                <w:ilvl w:val="0"/>
                <w:numId w:val="19"/>
              </w:numPr>
              <w:rPr>
                <w:lang w:val="en-GB"/>
              </w:rPr>
            </w:pPr>
            <w:r w:rsidRPr="008E3ED7">
              <w:t>in relation to Independent Offices and CSV, the functions and/or objectives for which they were established as specified in their governing legislation.</w:t>
            </w:r>
          </w:p>
        </w:tc>
      </w:tr>
      <w:tr w:rsidR="00011FE1" w:rsidRPr="005B0C7B" w14:paraId="44995568"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61686FF6" w14:textId="77777777" w:rsidR="00011FE1" w:rsidRPr="00406EFF" w:rsidRDefault="00011FE1" w:rsidP="008A37A5">
            <w:pPr>
              <w:pStyle w:val="Tabletext"/>
            </w:pPr>
            <w:r w:rsidRPr="00406EFF">
              <w:lastRenderedPageBreak/>
              <w:t>Grant</w:t>
            </w:r>
          </w:p>
        </w:tc>
        <w:tc>
          <w:tcPr>
            <w:tcW w:w="7290" w:type="dxa"/>
            <w:shd w:val="clear" w:color="auto" w:fill="auto"/>
          </w:tcPr>
          <w:p w14:paraId="7E9C1332" w14:textId="77777777" w:rsidR="00011FE1" w:rsidRPr="005B0C7B" w:rsidRDefault="00011FE1" w:rsidP="008A37A5">
            <w:pPr>
              <w:pStyle w:val="Tabletext"/>
              <w:rPr>
                <w:rFonts w:ascii="Arial" w:hAnsi="Arial"/>
                <w:iCs/>
                <w:szCs w:val="18"/>
              </w:rPr>
            </w:pPr>
            <w:r w:rsidRPr="005B0C7B">
              <w:rPr>
                <w:iCs/>
                <w:szCs w:val="18"/>
                <w:lang w:val="en-GB"/>
              </w:rPr>
              <w:t>Money given to organisations or individuals for a specified purpose directed at achieving goals and objectives consistent with government policy, where the recipient is selected on merit against a set of criteria.</w:t>
            </w:r>
          </w:p>
        </w:tc>
      </w:tr>
      <w:tr w:rsidR="00011FE1" w:rsidRPr="005B0C7B" w14:paraId="16E5BF08"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496E5484" w14:textId="77777777" w:rsidR="00011FE1" w:rsidRPr="00406EFF" w:rsidRDefault="00011FE1" w:rsidP="008A37A5">
            <w:pPr>
              <w:pStyle w:val="Tabletext"/>
            </w:pPr>
            <w:r w:rsidRPr="00406EFF">
              <w:t>High Value High Risk (HVHR)</w:t>
            </w:r>
          </w:p>
        </w:tc>
        <w:tc>
          <w:tcPr>
            <w:tcW w:w="7290" w:type="dxa"/>
            <w:shd w:val="clear" w:color="auto" w:fill="auto"/>
          </w:tcPr>
          <w:p w14:paraId="28AD2EB6" w14:textId="77777777" w:rsidR="00011FE1" w:rsidRPr="005B0C7B" w:rsidRDefault="00011FE1" w:rsidP="008A37A5">
            <w:pPr>
              <w:pStyle w:val="Tabletext"/>
              <w:rPr>
                <w:iCs/>
                <w:szCs w:val="18"/>
                <w:lang w:val="en-GB"/>
              </w:rPr>
            </w:pPr>
            <w:r w:rsidRPr="005B0C7B">
              <w:rPr>
                <w:iCs/>
                <w:szCs w:val="18"/>
                <w:lang w:val="en-GB"/>
              </w:rPr>
              <w:t>Projects that have a total estimated investment (TEI) of $100</w:t>
            </w:r>
            <w:r>
              <w:rPr>
                <w:iCs/>
                <w:szCs w:val="18"/>
                <w:lang w:val="en-GB"/>
              </w:rPr>
              <w:t> million</w:t>
            </w:r>
            <w:r w:rsidRPr="005B0C7B">
              <w:rPr>
                <w:iCs/>
                <w:szCs w:val="18"/>
                <w:lang w:val="en-GB"/>
              </w:rPr>
              <w:t xml:space="preserve"> or more (regardless of funding source), and/or are projects identified as high risk under the Gateway Project Profile Model (PPM), and/or are projects nominated by Government as HVHR.</w:t>
            </w:r>
          </w:p>
        </w:tc>
      </w:tr>
      <w:tr w:rsidR="00F367D7" w:rsidRPr="005B0C7B" w14:paraId="3B88F357"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06DE5141" w14:textId="77777777" w:rsidR="00F367D7" w:rsidRPr="00406EFF" w:rsidRDefault="00F367D7" w:rsidP="00CA6002">
            <w:pPr>
              <w:pStyle w:val="Tabletext"/>
            </w:pPr>
            <w:r>
              <w:t>Incorporated committee of management</w:t>
            </w:r>
          </w:p>
        </w:tc>
        <w:tc>
          <w:tcPr>
            <w:tcW w:w="7290" w:type="dxa"/>
            <w:shd w:val="clear" w:color="auto" w:fill="auto"/>
          </w:tcPr>
          <w:p w14:paraId="19DFD8B2" w14:textId="1921BA1A" w:rsidR="00F367D7" w:rsidRDefault="00F367D7" w:rsidP="008E3ED7">
            <w:pPr>
              <w:pStyle w:val="Tabletext"/>
              <w:rPr>
                <w:iCs/>
                <w:szCs w:val="18"/>
                <w:lang w:val="en-GB"/>
              </w:rPr>
            </w:pPr>
            <w:r>
              <w:rPr>
                <w:iCs/>
                <w:szCs w:val="18"/>
                <w:lang w:val="en-GB"/>
              </w:rPr>
              <w:t xml:space="preserve">Has the same meaning as incorporated committee in section 14B of the </w:t>
            </w:r>
            <w:r w:rsidRPr="00F367D7">
              <w:rPr>
                <w:i/>
                <w:iCs/>
                <w:szCs w:val="18"/>
                <w:lang w:val="en-GB"/>
              </w:rPr>
              <w:t>Crown Land (Reserves) Act 1978</w:t>
            </w:r>
            <w:r>
              <w:rPr>
                <w:iCs/>
                <w:szCs w:val="18"/>
                <w:lang w:val="en-GB"/>
              </w:rPr>
              <w:t>.</w:t>
            </w:r>
          </w:p>
        </w:tc>
      </w:tr>
      <w:tr w:rsidR="00011FE1" w:rsidRPr="005B0C7B" w14:paraId="6BA4133F"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0FEC1FCF" w14:textId="77777777" w:rsidR="00011FE1" w:rsidRPr="00406EFF" w:rsidRDefault="00011FE1" w:rsidP="00CA6002">
            <w:pPr>
              <w:pStyle w:val="Tabletext"/>
              <w:rPr>
                <w:sz w:val="20"/>
              </w:rPr>
            </w:pPr>
            <w:r w:rsidRPr="00406EFF">
              <w:t xml:space="preserve">Independent </w:t>
            </w:r>
            <w:r w:rsidR="00CA6002">
              <w:t>O</w:t>
            </w:r>
            <w:r w:rsidRPr="00406EFF">
              <w:t>ffice</w:t>
            </w:r>
            <w:r w:rsidR="00A53069">
              <w:t>*</w:t>
            </w:r>
          </w:p>
        </w:tc>
        <w:tc>
          <w:tcPr>
            <w:tcW w:w="7290" w:type="dxa"/>
            <w:shd w:val="clear" w:color="auto" w:fill="auto"/>
          </w:tcPr>
          <w:p w14:paraId="708CFB73" w14:textId="77777777" w:rsidR="008E3ED7" w:rsidRPr="008E3ED7" w:rsidRDefault="008E3ED7" w:rsidP="008E3ED7">
            <w:pPr>
              <w:pStyle w:val="Tabletext"/>
              <w:rPr>
                <w:iCs/>
                <w:szCs w:val="18"/>
                <w:lang w:val="en-GB"/>
              </w:rPr>
            </w:pPr>
            <w:r>
              <w:rPr>
                <w:iCs/>
                <w:szCs w:val="18"/>
                <w:lang w:val="en-GB"/>
              </w:rPr>
              <w:t>Means:</w:t>
            </w:r>
          </w:p>
          <w:p w14:paraId="6B974DE8" w14:textId="77777777" w:rsidR="008E3ED7" w:rsidRPr="008E3ED7" w:rsidRDefault="008E3ED7" w:rsidP="000B15FD">
            <w:pPr>
              <w:pStyle w:val="Tabletext"/>
              <w:numPr>
                <w:ilvl w:val="0"/>
                <w:numId w:val="20"/>
              </w:numPr>
              <w:rPr>
                <w:lang w:val="en-GB"/>
              </w:rPr>
            </w:pPr>
            <w:r w:rsidRPr="008E3ED7">
              <w:rPr>
                <w:lang w:val="en-GB"/>
              </w:rPr>
              <w:t>the Victorian Auditor General’s Office; or</w:t>
            </w:r>
          </w:p>
          <w:p w14:paraId="2694A31C" w14:textId="77777777" w:rsidR="008E3ED7" w:rsidRPr="008E3ED7" w:rsidRDefault="008E3ED7" w:rsidP="000B15FD">
            <w:pPr>
              <w:pStyle w:val="Tabletext"/>
              <w:numPr>
                <w:ilvl w:val="0"/>
                <w:numId w:val="20"/>
              </w:numPr>
              <w:rPr>
                <w:lang w:val="en-GB"/>
              </w:rPr>
            </w:pPr>
            <w:r w:rsidRPr="008E3ED7">
              <w:rPr>
                <w:lang w:val="en-GB"/>
              </w:rPr>
              <w:t>the Office of the Victorian Ombudsman; or</w:t>
            </w:r>
          </w:p>
          <w:p w14:paraId="2F423D51" w14:textId="77777777" w:rsidR="008E3ED7" w:rsidRPr="008E3ED7" w:rsidRDefault="008E3ED7" w:rsidP="000B15FD">
            <w:pPr>
              <w:pStyle w:val="Tabletext"/>
              <w:numPr>
                <w:ilvl w:val="0"/>
                <w:numId w:val="20"/>
              </w:numPr>
              <w:rPr>
                <w:lang w:val="en-GB"/>
              </w:rPr>
            </w:pPr>
            <w:r w:rsidRPr="008E3ED7">
              <w:rPr>
                <w:lang w:val="en-GB"/>
              </w:rPr>
              <w:t>the Victorian Electoral Commission; or</w:t>
            </w:r>
          </w:p>
          <w:p w14:paraId="1B372598" w14:textId="77777777" w:rsidR="008E3ED7" w:rsidRPr="008E3ED7" w:rsidRDefault="008E3ED7" w:rsidP="000B15FD">
            <w:pPr>
              <w:pStyle w:val="Tabletext"/>
              <w:numPr>
                <w:ilvl w:val="0"/>
                <w:numId w:val="20"/>
              </w:numPr>
              <w:rPr>
                <w:lang w:val="en-GB"/>
              </w:rPr>
            </w:pPr>
            <w:r w:rsidRPr="008E3ED7">
              <w:rPr>
                <w:lang w:val="en-GB"/>
              </w:rPr>
              <w:t>the Independent Broad</w:t>
            </w:r>
            <w:r w:rsidR="00D62B6D">
              <w:rPr>
                <w:lang w:val="en-GB"/>
              </w:rPr>
              <w:noBreakHyphen/>
            </w:r>
            <w:r w:rsidRPr="008E3ED7">
              <w:rPr>
                <w:lang w:val="en-GB"/>
              </w:rPr>
              <w:t>based Anti</w:t>
            </w:r>
            <w:r w:rsidR="00D62B6D">
              <w:rPr>
                <w:lang w:val="en-GB"/>
              </w:rPr>
              <w:noBreakHyphen/>
            </w:r>
            <w:r w:rsidRPr="008E3ED7">
              <w:rPr>
                <w:lang w:val="en-GB"/>
              </w:rPr>
              <w:t>corruption Commission; or</w:t>
            </w:r>
          </w:p>
          <w:p w14:paraId="2DA9F18A" w14:textId="77777777" w:rsidR="00011FE1" w:rsidRPr="005B0C7B" w:rsidRDefault="008E3ED7" w:rsidP="000B15FD">
            <w:pPr>
              <w:pStyle w:val="Tabletext"/>
              <w:numPr>
                <w:ilvl w:val="0"/>
                <w:numId w:val="20"/>
              </w:numPr>
              <w:rPr>
                <w:iCs/>
                <w:szCs w:val="18"/>
                <w:lang w:val="en-GB"/>
              </w:rPr>
            </w:pPr>
            <w:r w:rsidRPr="008E3ED7">
              <w:rPr>
                <w:lang w:val="en-GB"/>
              </w:rPr>
              <w:t>the Victorian Inspectorate.</w:t>
            </w:r>
          </w:p>
        </w:tc>
      </w:tr>
      <w:tr w:rsidR="008E3ED7" w:rsidRPr="005B0C7B" w14:paraId="4A26D7AC"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1083491B" w14:textId="77777777" w:rsidR="008E3ED7" w:rsidRPr="00406EFF" w:rsidRDefault="008E3ED7" w:rsidP="008A37A5">
            <w:pPr>
              <w:pStyle w:val="Tabletext"/>
            </w:pPr>
            <w:r>
              <w:t>Instructions</w:t>
            </w:r>
            <w:r w:rsidR="00A53069">
              <w:t>*</w:t>
            </w:r>
          </w:p>
        </w:tc>
        <w:tc>
          <w:tcPr>
            <w:tcW w:w="7290" w:type="dxa"/>
            <w:shd w:val="clear" w:color="auto" w:fill="auto"/>
          </w:tcPr>
          <w:p w14:paraId="179855F8" w14:textId="3DED2693" w:rsidR="008E3ED7" w:rsidRPr="005B0C7B" w:rsidRDefault="008E3ED7" w:rsidP="008A37A5">
            <w:pPr>
              <w:pStyle w:val="Tabletext"/>
              <w:rPr>
                <w:iCs/>
                <w:szCs w:val="18"/>
                <w:lang w:val="en-GB"/>
              </w:rPr>
            </w:pPr>
            <w:r>
              <w:rPr>
                <w:iCs/>
                <w:szCs w:val="18"/>
                <w:lang w:val="en-GB"/>
              </w:rPr>
              <w:t xml:space="preserve">Means the mandatory instructions made by the DTF Secretary under delegation of the </w:t>
            </w:r>
            <w:r w:rsidR="00780F7A">
              <w:rPr>
                <w:iCs/>
                <w:szCs w:val="18"/>
                <w:lang w:val="en-GB"/>
              </w:rPr>
              <w:t>Assistant Treasurer</w:t>
            </w:r>
            <w:r>
              <w:rPr>
                <w:iCs/>
                <w:szCs w:val="18"/>
                <w:lang w:val="en-GB"/>
              </w:rPr>
              <w:t xml:space="preserve">. </w:t>
            </w:r>
          </w:p>
        </w:tc>
      </w:tr>
      <w:tr w:rsidR="00011FE1" w:rsidRPr="005B0C7B" w14:paraId="4903F861"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4F2CAD63" w14:textId="77777777" w:rsidR="00011FE1" w:rsidRPr="00406EFF" w:rsidRDefault="00011FE1" w:rsidP="008A37A5">
            <w:pPr>
              <w:pStyle w:val="Tabletext"/>
            </w:pPr>
            <w:r w:rsidRPr="00406EFF">
              <w:t>Intangible assets</w:t>
            </w:r>
          </w:p>
        </w:tc>
        <w:tc>
          <w:tcPr>
            <w:tcW w:w="7290" w:type="dxa"/>
            <w:shd w:val="clear" w:color="auto" w:fill="auto"/>
          </w:tcPr>
          <w:p w14:paraId="000488E2" w14:textId="77777777" w:rsidR="00011FE1" w:rsidRPr="005B0C7B" w:rsidRDefault="00011FE1" w:rsidP="008A37A5">
            <w:pPr>
              <w:pStyle w:val="Tabletext"/>
              <w:rPr>
                <w:iCs/>
                <w:szCs w:val="18"/>
                <w:lang w:val="en-GB"/>
              </w:rPr>
            </w:pPr>
            <w:r w:rsidRPr="005B0C7B">
              <w:rPr>
                <w:iCs/>
                <w:szCs w:val="18"/>
                <w:lang w:val="en-GB"/>
              </w:rPr>
              <w:t>Identifiable non</w:t>
            </w:r>
            <w:r w:rsidR="00D62B6D">
              <w:rPr>
                <w:iCs/>
                <w:szCs w:val="18"/>
                <w:lang w:val="en-GB"/>
              </w:rPr>
              <w:noBreakHyphen/>
            </w:r>
            <w:r w:rsidRPr="005B0C7B">
              <w:rPr>
                <w:iCs/>
                <w:szCs w:val="18"/>
                <w:lang w:val="en-GB"/>
              </w:rPr>
              <w:t xml:space="preserve">monetary assets without physical substance (AASB 138 </w:t>
            </w:r>
            <w:r w:rsidRPr="00005449">
              <w:rPr>
                <w:i/>
                <w:iCs/>
                <w:szCs w:val="18"/>
                <w:lang w:val="en-GB"/>
              </w:rPr>
              <w:t>Intangible Assets</w:t>
            </w:r>
            <w:r w:rsidRPr="005B0C7B">
              <w:rPr>
                <w:iCs/>
                <w:szCs w:val="18"/>
                <w:lang w:val="en-GB"/>
              </w:rPr>
              <w:t>). They are the long</w:t>
            </w:r>
            <w:r w:rsidR="00D62B6D">
              <w:rPr>
                <w:iCs/>
                <w:szCs w:val="18"/>
                <w:lang w:val="en-GB"/>
              </w:rPr>
              <w:noBreakHyphen/>
            </w:r>
            <w:r w:rsidRPr="005B0C7B">
              <w:rPr>
                <w:iCs/>
                <w:szCs w:val="18"/>
                <w:lang w:val="en-GB"/>
              </w:rPr>
              <w:t>term resources of an entity and derive their value from intellectual or legal rights, and from the value they add to the other assets.</w:t>
            </w:r>
          </w:p>
        </w:tc>
      </w:tr>
      <w:tr w:rsidR="00011FE1" w:rsidRPr="005B0C7B" w14:paraId="50878052"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385C7682" w14:textId="77777777" w:rsidR="00011FE1" w:rsidRPr="00406EFF" w:rsidRDefault="00011FE1" w:rsidP="008A37A5">
            <w:pPr>
              <w:pStyle w:val="Tabletext"/>
            </w:pPr>
            <w:r w:rsidRPr="00406EFF">
              <w:t>Investment</w:t>
            </w:r>
          </w:p>
        </w:tc>
        <w:tc>
          <w:tcPr>
            <w:tcW w:w="7290" w:type="dxa"/>
            <w:shd w:val="clear" w:color="auto" w:fill="auto"/>
          </w:tcPr>
          <w:p w14:paraId="4E3B35B0" w14:textId="77777777" w:rsidR="00011FE1" w:rsidRPr="005B0C7B" w:rsidRDefault="00011FE1" w:rsidP="008A37A5">
            <w:pPr>
              <w:pStyle w:val="Tabletext"/>
              <w:rPr>
                <w:rFonts w:ascii="Arial" w:hAnsi="Arial"/>
                <w:iCs/>
                <w:szCs w:val="18"/>
              </w:rPr>
            </w:pPr>
            <w:r w:rsidRPr="005B0C7B">
              <w:rPr>
                <w:iCs/>
                <w:szCs w:val="18"/>
                <w:lang w:val="en-GB"/>
              </w:rPr>
              <w:t xml:space="preserve">A financial asset, as defined in Australian Accounting Standard AASB 132 </w:t>
            </w:r>
            <w:r w:rsidRPr="005B0C7B">
              <w:rPr>
                <w:i/>
                <w:iCs/>
                <w:szCs w:val="18"/>
                <w:lang w:val="en-GB"/>
              </w:rPr>
              <w:t>Financial Instruments: Presentation,</w:t>
            </w:r>
            <w:r w:rsidRPr="005B0C7B">
              <w:rPr>
                <w:iCs/>
                <w:szCs w:val="18"/>
                <w:lang w:val="en-GB"/>
              </w:rPr>
              <w:t xml:space="preserve"> which is not a trade receivable, a loan receivable and an advance receivable.</w:t>
            </w:r>
          </w:p>
        </w:tc>
      </w:tr>
      <w:tr w:rsidR="00A87BDB" w:rsidRPr="005B0C7B" w14:paraId="3AD24891"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7952AC64" w14:textId="77777777" w:rsidR="00A87BDB" w:rsidRPr="00406EFF" w:rsidRDefault="00A87BDB" w:rsidP="008A37A5">
            <w:pPr>
              <w:pStyle w:val="Tabletext"/>
            </w:pPr>
            <w:r>
              <w:t>JCV</w:t>
            </w:r>
            <w:r w:rsidR="00A53069">
              <w:t>*</w:t>
            </w:r>
          </w:p>
        </w:tc>
        <w:tc>
          <w:tcPr>
            <w:tcW w:w="7290" w:type="dxa"/>
            <w:shd w:val="clear" w:color="auto" w:fill="auto"/>
          </w:tcPr>
          <w:p w14:paraId="73AC7A07" w14:textId="77777777" w:rsidR="00A87BDB" w:rsidRPr="005B0C7B" w:rsidRDefault="00A87BDB" w:rsidP="008A37A5">
            <w:pPr>
              <w:pStyle w:val="Tabletext"/>
              <w:rPr>
                <w:iCs/>
                <w:szCs w:val="18"/>
                <w:lang w:val="en-GB"/>
              </w:rPr>
            </w:pPr>
            <w:r>
              <w:rPr>
                <w:szCs w:val="18"/>
              </w:rPr>
              <w:t xml:space="preserve">Judicial College of Victoria established under the </w:t>
            </w:r>
            <w:r w:rsidRPr="008E3ED7">
              <w:rPr>
                <w:i/>
                <w:szCs w:val="18"/>
              </w:rPr>
              <w:t>Judicial College of Victoria Act 2001</w:t>
            </w:r>
            <w:r>
              <w:rPr>
                <w:i/>
                <w:szCs w:val="18"/>
              </w:rPr>
              <w:t>.</w:t>
            </w:r>
          </w:p>
        </w:tc>
      </w:tr>
      <w:tr w:rsidR="008E3ED7" w:rsidRPr="005B0C7B" w14:paraId="7FC4FB33"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3036BD6A" w14:textId="77777777" w:rsidR="008E3ED7" w:rsidRPr="00406EFF" w:rsidRDefault="008E3ED7" w:rsidP="008A37A5">
            <w:pPr>
              <w:pStyle w:val="Tabletext"/>
            </w:pPr>
            <w:r>
              <w:t>Material Compliance Deficiency</w:t>
            </w:r>
            <w:r w:rsidR="00A53069">
              <w:t>*</w:t>
            </w:r>
          </w:p>
        </w:tc>
        <w:tc>
          <w:tcPr>
            <w:tcW w:w="7290" w:type="dxa"/>
            <w:shd w:val="clear" w:color="auto" w:fill="auto"/>
          </w:tcPr>
          <w:p w14:paraId="3F0D6413" w14:textId="77777777" w:rsidR="008E3ED7" w:rsidRDefault="008E3ED7" w:rsidP="008A37A5">
            <w:pPr>
              <w:pStyle w:val="Tabletext"/>
              <w:rPr>
                <w:szCs w:val="18"/>
              </w:rPr>
            </w:pPr>
            <w:r>
              <w:rPr>
                <w:szCs w:val="18"/>
              </w:rPr>
              <w:t>M</w:t>
            </w:r>
            <w:r w:rsidRPr="008E3ED7">
              <w:rPr>
                <w:szCs w:val="18"/>
              </w:rPr>
              <w:t>eans a Compliance Deficiency that a reasonable person would consider has a material impact on the Agency or the State's reputation, financial position or financial management.</w:t>
            </w:r>
          </w:p>
        </w:tc>
      </w:tr>
      <w:tr w:rsidR="00011FE1" w:rsidRPr="005B0C7B" w14:paraId="3CFC8E16"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42E5CC9D" w14:textId="77777777" w:rsidR="00011FE1" w:rsidRPr="00406EFF" w:rsidRDefault="008E3ED7" w:rsidP="008A37A5">
            <w:pPr>
              <w:pStyle w:val="Tabletext"/>
            </w:pPr>
            <w:r>
              <w:t>Other Loss</w:t>
            </w:r>
            <w:r w:rsidR="00A53069">
              <w:t>*</w:t>
            </w:r>
          </w:p>
        </w:tc>
        <w:tc>
          <w:tcPr>
            <w:tcW w:w="7290" w:type="dxa"/>
            <w:shd w:val="clear" w:color="auto" w:fill="auto"/>
          </w:tcPr>
          <w:p w14:paraId="04E76AE5" w14:textId="77777777" w:rsidR="00011FE1" w:rsidRPr="005B0C7B" w:rsidRDefault="00923894" w:rsidP="008A37A5">
            <w:pPr>
              <w:pStyle w:val="Tabletext"/>
              <w:rPr>
                <w:szCs w:val="18"/>
              </w:rPr>
            </w:pPr>
            <w:r>
              <w:rPr>
                <w:szCs w:val="18"/>
              </w:rPr>
              <w:t>A</w:t>
            </w:r>
            <w:r w:rsidRPr="00923894">
              <w:rPr>
                <w:szCs w:val="18"/>
              </w:rPr>
              <w:t xml:space="preserve"> loss caused by any intentional or negligent act or omission, including theft, vandalism a</w:t>
            </w:r>
            <w:r w:rsidR="008E3ED7">
              <w:rPr>
                <w:szCs w:val="18"/>
              </w:rPr>
              <w:t>nd arson and excluding acts of G</w:t>
            </w:r>
            <w:r w:rsidRPr="00923894">
              <w:rPr>
                <w:szCs w:val="18"/>
              </w:rPr>
              <w:t>od</w:t>
            </w:r>
            <w:r w:rsidR="00011FE1" w:rsidRPr="005B0C7B">
              <w:rPr>
                <w:szCs w:val="18"/>
              </w:rPr>
              <w:t>.</w:t>
            </w:r>
          </w:p>
        </w:tc>
      </w:tr>
      <w:tr w:rsidR="00923894" w:rsidRPr="005B0C7B" w14:paraId="19C57904"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3FE3B2FD" w14:textId="77777777" w:rsidR="00923894" w:rsidRPr="00406EFF" w:rsidRDefault="00923894" w:rsidP="008A37A5">
            <w:pPr>
              <w:pStyle w:val="Tabletext"/>
            </w:pPr>
            <w:r>
              <w:t>Portfolio Agency</w:t>
            </w:r>
            <w:r w:rsidR="00A53069">
              <w:t>*</w:t>
            </w:r>
            <w:r w:rsidR="008E3ED7">
              <w:t xml:space="preserve"> </w:t>
            </w:r>
          </w:p>
        </w:tc>
        <w:tc>
          <w:tcPr>
            <w:tcW w:w="7290" w:type="dxa"/>
            <w:shd w:val="clear" w:color="auto" w:fill="auto"/>
          </w:tcPr>
          <w:p w14:paraId="1D567B50" w14:textId="77777777" w:rsidR="00923894" w:rsidRDefault="00923894" w:rsidP="008A37A5">
            <w:pPr>
              <w:pStyle w:val="Tabletext"/>
              <w:rPr>
                <w:szCs w:val="18"/>
              </w:rPr>
            </w:pPr>
            <w:r>
              <w:rPr>
                <w:szCs w:val="18"/>
              </w:rPr>
              <w:t>I</w:t>
            </w:r>
            <w:r w:rsidRPr="00923894">
              <w:rPr>
                <w:szCs w:val="18"/>
              </w:rPr>
              <w:t>n relation to a Portfolio Department, an Agency (apart from Independent Offices and CSV) which shares the same Responsible Minister as that Portfolio Department.</w:t>
            </w:r>
          </w:p>
        </w:tc>
      </w:tr>
      <w:tr w:rsidR="00011FE1" w:rsidRPr="005B0C7B" w14:paraId="21C46E3D"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47C056D5" w14:textId="77777777" w:rsidR="00011FE1" w:rsidRPr="00406EFF" w:rsidRDefault="00011FE1" w:rsidP="008A37A5">
            <w:pPr>
              <w:pStyle w:val="Tabletext"/>
            </w:pPr>
            <w:r w:rsidRPr="00406EFF">
              <w:t>Portfolio Department</w:t>
            </w:r>
            <w:r w:rsidR="00A53069">
              <w:t>*</w:t>
            </w:r>
          </w:p>
        </w:tc>
        <w:tc>
          <w:tcPr>
            <w:tcW w:w="7290" w:type="dxa"/>
            <w:shd w:val="clear" w:color="auto" w:fill="auto"/>
          </w:tcPr>
          <w:p w14:paraId="38D0150D" w14:textId="77777777" w:rsidR="00011FE1" w:rsidRPr="005B0C7B" w:rsidRDefault="00011FE1" w:rsidP="00465158">
            <w:pPr>
              <w:pStyle w:val="Tabletext"/>
              <w:rPr>
                <w:szCs w:val="18"/>
              </w:rPr>
            </w:pPr>
            <w:r w:rsidRPr="005B0C7B">
              <w:rPr>
                <w:szCs w:val="18"/>
              </w:rPr>
              <w:t xml:space="preserve">Has the same meaning as defined in part (a) of </w:t>
            </w:r>
            <w:r w:rsidRPr="00465158">
              <w:rPr>
                <w:i/>
                <w:szCs w:val="18"/>
              </w:rPr>
              <w:t>department</w:t>
            </w:r>
            <w:r w:rsidRPr="005B0C7B">
              <w:rPr>
                <w:szCs w:val="18"/>
              </w:rPr>
              <w:t xml:space="preserve"> in section 3 of the</w:t>
            </w:r>
            <w:r w:rsidR="00C726FA">
              <w:rPr>
                <w:szCs w:val="18"/>
              </w:rPr>
              <w:t xml:space="preserve"> FMA</w:t>
            </w:r>
            <w:r w:rsidR="003855E2">
              <w:rPr>
                <w:szCs w:val="18"/>
              </w:rPr>
              <w:t>.</w:t>
            </w:r>
          </w:p>
        </w:tc>
      </w:tr>
      <w:tr w:rsidR="00011FE1" w:rsidRPr="005B0C7B" w14:paraId="1FFAB13D"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07C5DDD3" w14:textId="77777777" w:rsidR="00011FE1" w:rsidRPr="00406EFF" w:rsidRDefault="00011FE1" w:rsidP="008A37A5">
            <w:pPr>
              <w:pStyle w:val="Tabletext"/>
            </w:pPr>
            <w:r w:rsidRPr="00406EFF">
              <w:t>Prepaid debit card</w:t>
            </w:r>
            <w:r w:rsidR="0039220A">
              <w:t xml:space="preserve"> (</w:t>
            </w:r>
            <w:r w:rsidR="0039220A">
              <w:rPr>
                <w:szCs w:val="18"/>
              </w:rPr>
              <w:t>a</w:t>
            </w:r>
            <w:r w:rsidR="0039220A" w:rsidRPr="0039220A">
              <w:rPr>
                <w:szCs w:val="18"/>
              </w:rPr>
              <w:t>lso known as st</w:t>
            </w:r>
            <w:r w:rsidR="0039220A">
              <w:rPr>
                <w:szCs w:val="18"/>
              </w:rPr>
              <w:t>ored value card)</w:t>
            </w:r>
          </w:p>
        </w:tc>
        <w:tc>
          <w:tcPr>
            <w:tcW w:w="7290" w:type="dxa"/>
            <w:shd w:val="clear" w:color="auto" w:fill="auto"/>
          </w:tcPr>
          <w:p w14:paraId="4CDB9BF4" w14:textId="77777777" w:rsidR="00011FE1" w:rsidRPr="005B0C7B" w:rsidRDefault="0039220A" w:rsidP="0039220A">
            <w:pPr>
              <w:pStyle w:val="Tabletext"/>
              <w:rPr>
                <w:szCs w:val="18"/>
              </w:rPr>
            </w:pPr>
            <w:r>
              <w:rPr>
                <w:szCs w:val="18"/>
              </w:rPr>
              <w:t>M</w:t>
            </w:r>
            <w:r w:rsidRPr="0039220A">
              <w:rPr>
                <w:szCs w:val="18"/>
              </w:rPr>
              <w:t>eans a card which has money ‘stored’ via prepaid deposits made by a Public Sector Agency for use by the Agency and their employees for official business, or in the case of cards issued to the public for the benefit of the recipient of the card. The card must not link directly to a bank account or credit facility.</w:t>
            </w:r>
          </w:p>
        </w:tc>
      </w:tr>
      <w:tr w:rsidR="00011FE1" w:rsidRPr="005B0C7B" w14:paraId="10917CC7"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tcPr>
          <w:p w14:paraId="6F6E4394" w14:textId="77777777" w:rsidR="00011FE1" w:rsidRPr="00406EFF" w:rsidRDefault="00011FE1" w:rsidP="008A37A5">
            <w:pPr>
              <w:pStyle w:val="Tabletext"/>
            </w:pPr>
            <w:r w:rsidRPr="00406EFF">
              <w:t>Public body</w:t>
            </w:r>
            <w:r w:rsidR="00A53069">
              <w:t>*</w:t>
            </w:r>
          </w:p>
        </w:tc>
        <w:tc>
          <w:tcPr>
            <w:tcW w:w="7290" w:type="dxa"/>
          </w:tcPr>
          <w:p w14:paraId="74237D79" w14:textId="53A309EE" w:rsidR="00011FE1" w:rsidRPr="0057026F" w:rsidRDefault="00923894" w:rsidP="00A772DD">
            <w:pPr>
              <w:pStyle w:val="Tabletext"/>
              <w:rPr>
                <w:szCs w:val="18"/>
              </w:rPr>
            </w:pPr>
            <w:r>
              <w:t xml:space="preserve">Has the same meaning as </w:t>
            </w:r>
            <w:r w:rsidRPr="00BB33DA">
              <w:rPr>
                <w:i/>
              </w:rPr>
              <w:t>public body</w:t>
            </w:r>
            <w:r>
              <w:t xml:space="preserve"> in section 3 of </w:t>
            </w:r>
            <w:r w:rsidRPr="00354AB3">
              <w:t xml:space="preserve">the </w:t>
            </w:r>
            <w:r w:rsidRPr="00C208AB">
              <w:t>FMA.</w:t>
            </w:r>
            <w:r w:rsidR="0057026F">
              <w:t xml:space="preserve"> Legal advice obtained in 2021 is that a company formed under the Corporations Act may be declared to be a </w:t>
            </w:r>
            <w:r w:rsidR="0057026F">
              <w:rPr>
                <w:i/>
                <w:iCs/>
              </w:rPr>
              <w:t xml:space="preserve">public body </w:t>
            </w:r>
            <w:r w:rsidR="0057026F">
              <w:t>under item (c) of this definition if the company is controlled by the State and a Minister or the Governor in Council had originally instructed that the company was to be formed (noting that an already-formed company subsequently purchased by the State would not satisfy this requirement).</w:t>
            </w:r>
          </w:p>
        </w:tc>
      </w:tr>
      <w:tr w:rsidR="00011FE1" w:rsidRPr="005B0C7B" w14:paraId="71923E5C"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386C8E79" w14:textId="77777777" w:rsidR="00011FE1" w:rsidRPr="00406EFF" w:rsidRDefault="00011FE1" w:rsidP="008A37A5">
            <w:pPr>
              <w:pStyle w:val="Tabletext"/>
            </w:pPr>
            <w:r w:rsidRPr="00406EFF">
              <w:t>Public financial corporations (PFCs)</w:t>
            </w:r>
          </w:p>
        </w:tc>
        <w:tc>
          <w:tcPr>
            <w:tcW w:w="7290" w:type="dxa"/>
            <w:shd w:val="clear" w:color="auto" w:fill="auto"/>
          </w:tcPr>
          <w:p w14:paraId="37A289EE" w14:textId="77777777" w:rsidR="00011FE1" w:rsidRPr="005B0C7B" w:rsidRDefault="00011FE1" w:rsidP="008A37A5">
            <w:pPr>
              <w:pStyle w:val="Tabletext"/>
            </w:pPr>
            <w:r w:rsidRPr="005B0C7B">
              <w:t>Agencies engaged primarily in the provision of financial intermediation services or auxiliary financial services.</w:t>
            </w:r>
          </w:p>
        </w:tc>
      </w:tr>
      <w:tr w:rsidR="00011FE1" w:rsidRPr="005B0C7B" w14:paraId="7C3E147F"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126F3387" w14:textId="77777777" w:rsidR="00011FE1" w:rsidRPr="00406EFF" w:rsidRDefault="00011FE1" w:rsidP="008A37A5">
            <w:pPr>
              <w:pStyle w:val="Tabletext"/>
            </w:pPr>
            <w:r w:rsidRPr="00406EFF">
              <w:t>Public non</w:t>
            </w:r>
            <w:r w:rsidR="00D62B6D">
              <w:noBreakHyphen/>
            </w:r>
            <w:r w:rsidRPr="00406EFF">
              <w:t>financial corporations (PNFCs)</w:t>
            </w:r>
          </w:p>
        </w:tc>
        <w:tc>
          <w:tcPr>
            <w:tcW w:w="7290" w:type="dxa"/>
            <w:shd w:val="clear" w:color="auto" w:fill="auto"/>
          </w:tcPr>
          <w:p w14:paraId="4F188F4B" w14:textId="77777777" w:rsidR="00011FE1" w:rsidRPr="005B0C7B" w:rsidRDefault="00011FE1" w:rsidP="008A37A5">
            <w:pPr>
              <w:pStyle w:val="Tabletext"/>
            </w:pPr>
            <w:r w:rsidRPr="005B0C7B">
              <w:t>Agencies engaged in the production and sale of goods and services within a competitive market that is non</w:t>
            </w:r>
            <w:r w:rsidR="00D62B6D">
              <w:noBreakHyphen/>
            </w:r>
            <w:r w:rsidRPr="005B0C7B">
              <w:t>regulatory or non</w:t>
            </w:r>
            <w:r w:rsidR="00D62B6D">
              <w:noBreakHyphen/>
            </w:r>
            <w:r w:rsidRPr="005B0C7B">
              <w:t>financial in nature.</w:t>
            </w:r>
          </w:p>
        </w:tc>
      </w:tr>
      <w:tr w:rsidR="00011FE1" w:rsidRPr="005B0C7B" w14:paraId="5DD90A29"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74A54DAF" w14:textId="77777777" w:rsidR="00011FE1" w:rsidRPr="00406EFF" w:rsidRDefault="00011FE1" w:rsidP="008A37A5">
            <w:pPr>
              <w:pStyle w:val="Tabletext"/>
            </w:pPr>
            <w:r w:rsidRPr="00406EFF">
              <w:t>Public resources</w:t>
            </w:r>
          </w:p>
        </w:tc>
        <w:tc>
          <w:tcPr>
            <w:tcW w:w="7290" w:type="dxa"/>
            <w:shd w:val="clear" w:color="auto" w:fill="auto"/>
          </w:tcPr>
          <w:p w14:paraId="04A23507" w14:textId="77777777" w:rsidR="00011FE1" w:rsidRPr="005B0C7B" w:rsidRDefault="00011FE1" w:rsidP="008A37A5">
            <w:pPr>
              <w:pStyle w:val="Tabletext"/>
            </w:pPr>
            <w:r w:rsidRPr="005B0C7B">
              <w:t xml:space="preserve">All financial resources the Agency is responsible for directly or indirectly (e.g. resources managed on behalf of the State), including budgeted expenditure, revenue and administered items. </w:t>
            </w:r>
          </w:p>
        </w:tc>
      </w:tr>
      <w:tr w:rsidR="00011FE1" w:rsidRPr="005B0C7B" w14:paraId="59B3616F"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6A679EB5" w14:textId="77777777" w:rsidR="00011FE1" w:rsidRPr="00F97EBD" w:rsidRDefault="00011FE1" w:rsidP="008A37A5">
            <w:pPr>
              <w:pStyle w:val="Tabletext"/>
            </w:pPr>
            <w:r w:rsidRPr="00F97EBD">
              <w:lastRenderedPageBreak/>
              <w:t>Purchasing card</w:t>
            </w:r>
          </w:p>
        </w:tc>
        <w:tc>
          <w:tcPr>
            <w:tcW w:w="7290" w:type="dxa"/>
            <w:shd w:val="clear" w:color="auto" w:fill="auto"/>
          </w:tcPr>
          <w:p w14:paraId="24408176" w14:textId="4E0EC25D" w:rsidR="00011FE1" w:rsidRPr="005B0C7B" w:rsidRDefault="0039220A" w:rsidP="006F0D5C">
            <w:pPr>
              <w:pStyle w:val="Tabletext"/>
            </w:pPr>
            <w:r>
              <w:t>Means a</w:t>
            </w:r>
            <w:r w:rsidRPr="00937F81">
              <w:t xml:space="preserve">ny </w:t>
            </w:r>
            <w:r w:rsidR="009E7959" w:rsidRPr="009E7959">
              <w:t>electronic facility which enables the person using it to commit a Public Sector Agency to pay for the provision of goods and services (i.e. general government purchasing card, corporate card, credit card, purchasing card facility, prepaid debit card, or virtual card, whether in Australian currency or a foreign currency), including a purchasing card issued by an Agency to the employee in the name of the Agency</w:t>
            </w:r>
            <w:r w:rsidR="009E7959">
              <w:t>.</w:t>
            </w:r>
          </w:p>
        </w:tc>
      </w:tr>
      <w:tr w:rsidR="00BF35CC" w:rsidRPr="005B0C7B" w14:paraId="5C653E1E"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51ADC9CC" w14:textId="77777777" w:rsidR="00BF35CC" w:rsidRPr="00406EFF" w:rsidRDefault="00BF35CC" w:rsidP="008A37A5">
            <w:pPr>
              <w:pStyle w:val="Tabletext"/>
            </w:pPr>
            <w:r>
              <w:t>Responsible Minister</w:t>
            </w:r>
            <w:r w:rsidR="00A53069">
              <w:t>*</w:t>
            </w:r>
          </w:p>
        </w:tc>
        <w:tc>
          <w:tcPr>
            <w:tcW w:w="7290" w:type="dxa"/>
            <w:shd w:val="clear" w:color="auto" w:fill="auto"/>
          </w:tcPr>
          <w:p w14:paraId="13237539" w14:textId="77777777" w:rsidR="003855E2" w:rsidRDefault="003855E2" w:rsidP="003855E2">
            <w:pPr>
              <w:pStyle w:val="ListParagraph"/>
              <w:ind w:left="0"/>
              <w:rPr>
                <w:rFonts w:cs="Times New Roman"/>
                <w:bCs/>
                <w:sz w:val="18"/>
                <w:szCs w:val="20"/>
              </w:rPr>
            </w:pPr>
            <w:r>
              <w:rPr>
                <w:rFonts w:cs="Times New Roman"/>
                <w:bCs/>
                <w:sz w:val="18"/>
                <w:szCs w:val="20"/>
              </w:rPr>
              <w:t>Means:</w:t>
            </w:r>
          </w:p>
          <w:p w14:paraId="5254C494" w14:textId="77777777" w:rsidR="00923894" w:rsidRPr="00923894" w:rsidRDefault="00923894" w:rsidP="000B15FD">
            <w:pPr>
              <w:pStyle w:val="ListParagraph"/>
              <w:numPr>
                <w:ilvl w:val="0"/>
                <w:numId w:val="9"/>
              </w:numPr>
              <w:rPr>
                <w:rFonts w:cs="Times New Roman"/>
                <w:bCs/>
                <w:sz w:val="18"/>
                <w:szCs w:val="20"/>
              </w:rPr>
            </w:pPr>
            <w:r>
              <w:rPr>
                <w:rFonts w:cs="Times New Roman"/>
                <w:bCs/>
                <w:sz w:val="18"/>
                <w:szCs w:val="20"/>
              </w:rPr>
              <w:t>I</w:t>
            </w:r>
            <w:r w:rsidRPr="00923894">
              <w:rPr>
                <w:rFonts w:cs="Times New Roman"/>
                <w:bCs/>
                <w:sz w:val="18"/>
                <w:szCs w:val="20"/>
              </w:rPr>
              <w:t>n relation to a Department (other than an Independent Office), the Minister or Ministers for the time being responsible for any part of that Department;</w:t>
            </w:r>
          </w:p>
          <w:p w14:paraId="19063670" w14:textId="77777777" w:rsidR="00923894" w:rsidRPr="00923894" w:rsidRDefault="00923894" w:rsidP="000B15FD">
            <w:pPr>
              <w:pStyle w:val="ListParagraph"/>
              <w:numPr>
                <w:ilvl w:val="0"/>
                <w:numId w:val="9"/>
              </w:numPr>
              <w:rPr>
                <w:rFonts w:cs="Times New Roman"/>
                <w:bCs/>
                <w:sz w:val="18"/>
                <w:szCs w:val="20"/>
              </w:rPr>
            </w:pPr>
            <w:r w:rsidRPr="00923894">
              <w:rPr>
                <w:rFonts w:cs="Times New Roman"/>
                <w:bCs/>
                <w:sz w:val="18"/>
                <w:szCs w:val="20"/>
              </w:rPr>
              <w:t>in relation to an Independent Office, the Responsible Body;</w:t>
            </w:r>
          </w:p>
          <w:p w14:paraId="1E6323E8" w14:textId="77777777" w:rsidR="00BF35CC" w:rsidRPr="00923894" w:rsidRDefault="00923894" w:rsidP="000B15FD">
            <w:pPr>
              <w:pStyle w:val="ListParagraph"/>
              <w:numPr>
                <w:ilvl w:val="0"/>
                <w:numId w:val="9"/>
              </w:numPr>
              <w:rPr>
                <w:rFonts w:cs="Times New Roman"/>
                <w:bCs/>
                <w:sz w:val="18"/>
                <w:szCs w:val="20"/>
              </w:rPr>
            </w:pPr>
            <w:r w:rsidRPr="00923894">
              <w:rPr>
                <w:rFonts w:cs="Times New Roman"/>
                <w:bCs/>
                <w:sz w:val="18"/>
                <w:szCs w:val="20"/>
              </w:rPr>
              <w:t>in relation to all other Agencies, the Minister or Ministers for the time being administering the legislation or enactment under which the Agency is established or as otherwise declared by way of that establishing legislation or instrument.</w:t>
            </w:r>
          </w:p>
        </w:tc>
      </w:tr>
      <w:tr w:rsidR="00011FE1" w:rsidRPr="005B0C7B" w14:paraId="391E4A6D"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330CDFA3" w14:textId="77777777" w:rsidR="00011FE1" w:rsidRPr="00406EFF" w:rsidRDefault="00011FE1" w:rsidP="008A37A5">
            <w:pPr>
              <w:pStyle w:val="Tabletext"/>
            </w:pPr>
            <w:r w:rsidRPr="00406EFF">
              <w:t>Responsible Body</w:t>
            </w:r>
            <w:r w:rsidR="00A53069">
              <w:t>*</w:t>
            </w:r>
          </w:p>
        </w:tc>
        <w:tc>
          <w:tcPr>
            <w:tcW w:w="7290" w:type="dxa"/>
            <w:shd w:val="clear" w:color="auto" w:fill="auto"/>
          </w:tcPr>
          <w:p w14:paraId="0FEC48C9" w14:textId="11259D3C" w:rsidR="003855E2" w:rsidRPr="003855E2" w:rsidRDefault="003855E2" w:rsidP="003855E2">
            <w:pPr>
              <w:rPr>
                <w:rFonts w:cs="Times New Roman"/>
                <w:bCs/>
                <w:sz w:val="18"/>
                <w:szCs w:val="20"/>
              </w:rPr>
            </w:pPr>
            <w:r>
              <w:rPr>
                <w:rFonts w:cs="Times New Roman"/>
                <w:bCs/>
                <w:sz w:val="18"/>
                <w:szCs w:val="20"/>
              </w:rPr>
              <w:t>Means</w:t>
            </w:r>
            <w:r w:rsidR="00CB6AC6">
              <w:rPr>
                <w:rFonts w:cs="Times New Roman"/>
                <w:bCs/>
                <w:sz w:val="18"/>
                <w:szCs w:val="20"/>
              </w:rPr>
              <w:t>:</w:t>
            </w:r>
          </w:p>
          <w:p w14:paraId="76B0EEF4" w14:textId="4DEDB8E8" w:rsidR="00923894" w:rsidRPr="00923894" w:rsidRDefault="00923894" w:rsidP="000B15FD">
            <w:pPr>
              <w:pStyle w:val="ListParagraph"/>
              <w:numPr>
                <w:ilvl w:val="0"/>
                <w:numId w:val="10"/>
              </w:numPr>
              <w:rPr>
                <w:rFonts w:cs="Times New Roman"/>
                <w:bCs/>
                <w:sz w:val="18"/>
                <w:szCs w:val="20"/>
              </w:rPr>
            </w:pPr>
            <w:r>
              <w:rPr>
                <w:rFonts w:cs="Times New Roman"/>
                <w:bCs/>
                <w:sz w:val="18"/>
                <w:szCs w:val="20"/>
              </w:rPr>
              <w:t>I</w:t>
            </w:r>
            <w:r w:rsidRPr="00923894">
              <w:rPr>
                <w:rFonts w:cs="Times New Roman"/>
                <w:bCs/>
                <w:sz w:val="18"/>
                <w:szCs w:val="20"/>
              </w:rPr>
              <w:t>n relation to an Agency with a statutory board or equivalent governing body established by or under statute, that board or governing body; and</w:t>
            </w:r>
          </w:p>
          <w:p w14:paraId="7CCBFFB9" w14:textId="77777777" w:rsidR="00011FE1" w:rsidRPr="00923894" w:rsidRDefault="00923894" w:rsidP="000B15FD">
            <w:pPr>
              <w:pStyle w:val="ListParagraph"/>
              <w:numPr>
                <w:ilvl w:val="0"/>
                <w:numId w:val="10"/>
              </w:numPr>
              <w:rPr>
                <w:rFonts w:cs="Times New Roman"/>
                <w:bCs/>
                <w:sz w:val="18"/>
                <w:szCs w:val="20"/>
              </w:rPr>
            </w:pPr>
            <w:r w:rsidRPr="00923894">
              <w:rPr>
                <w:rFonts w:cs="Times New Roman"/>
                <w:bCs/>
                <w:sz w:val="18"/>
                <w:szCs w:val="20"/>
              </w:rPr>
              <w:t xml:space="preserve">in relation to an Agency without a statutory board or equivalent governing body established by or under statute, that Agency’s Accountable Officer. </w:t>
            </w:r>
          </w:p>
        </w:tc>
      </w:tr>
      <w:tr w:rsidR="003855E2" w:rsidRPr="005B0C7B" w14:paraId="193D4AE1" w14:textId="77777777" w:rsidTr="00995ED6">
        <w:trPr>
          <w:cnfStyle w:val="000000010000" w:firstRow="0" w:lastRow="0" w:firstColumn="0" w:lastColumn="0" w:oddVBand="0" w:evenVBand="0" w:oddHBand="0" w:evenHBand="1" w:firstRowFirstColumn="0" w:firstRowLastColumn="0" w:lastRowFirstColumn="0" w:lastRowLastColumn="0"/>
          <w:cantSplit/>
        </w:trPr>
        <w:tc>
          <w:tcPr>
            <w:tcW w:w="2610" w:type="dxa"/>
            <w:shd w:val="clear" w:color="auto" w:fill="auto"/>
          </w:tcPr>
          <w:p w14:paraId="5A1A18EE" w14:textId="77777777" w:rsidR="003855E2" w:rsidRPr="00406EFF" w:rsidRDefault="003855E2" w:rsidP="00CD45E9">
            <w:pPr>
              <w:pStyle w:val="Tabletext"/>
            </w:pPr>
            <w:r>
              <w:t xml:space="preserve">Significant or </w:t>
            </w:r>
            <w:r w:rsidR="00CD45E9">
              <w:t>S</w:t>
            </w:r>
            <w:r>
              <w:t>ystemic</w:t>
            </w:r>
            <w:r w:rsidR="00A53069">
              <w:t>*</w:t>
            </w:r>
          </w:p>
        </w:tc>
        <w:tc>
          <w:tcPr>
            <w:tcW w:w="7290" w:type="dxa"/>
            <w:shd w:val="clear" w:color="auto" w:fill="auto"/>
          </w:tcPr>
          <w:p w14:paraId="363B3A6D" w14:textId="77777777" w:rsidR="003855E2" w:rsidRPr="005B0C7B" w:rsidRDefault="003855E2" w:rsidP="008A37A5">
            <w:pPr>
              <w:pStyle w:val="Tabletext"/>
              <w:rPr>
                <w:szCs w:val="18"/>
              </w:rPr>
            </w:pPr>
            <w:r>
              <w:rPr>
                <w:szCs w:val="18"/>
              </w:rPr>
              <w:t>M</w:t>
            </w:r>
            <w:r w:rsidRPr="003855E2">
              <w:rPr>
                <w:szCs w:val="18"/>
              </w:rPr>
              <w:t>eans an incident, or a pattern or recurrence of incidences, that a reasonable person would consider has a significant impact on the Agency or the State's reputation, financial position or financial management</w:t>
            </w:r>
            <w:r>
              <w:rPr>
                <w:szCs w:val="18"/>
              </w:rPr>
              <w:t>.</w:t>
            </w:r>
          </w:p>
        </w:tc>
      </w:tr>
      <w:tr w:rsidR="00011FE1" w:rsidRPr="005B0C7B" w14:paraId="09D4CBA2" w14:textId="77777777" w:rsidTr="00995ED6">
        <w:trPr>
          <w:cnfStyle w:val="000000100000" w:firstRow="0" w:lastRow="0" w:firstColumn="0" w:lastColumn="0" w:oddVBand="0" w:evenVBand="0" w:oddHBand="1" w:evenHBand="0" w:firstRowFirstColumn="0" w:firstRowLastColumn="0" w:lastRowFirstColumn="0" w:lastRowLastColumn="0"/>
          <w:cantSplit/>
        </w:trPr>
        <w:tc>
          <w:tcPr>
            <w:tcW w:w="2610" w:type="dxa"/>
            <w:shd w:val="clear" w:color="auto" w:fill="auto"/>
          </w:tcPr>
          <w:p w14:paraId="5F6E6710" w14:textId="77777777" w:rsidR="00011FE1" w:rsidRPr="00406EFF" w:rsidRDefault="00011FE1" w:rsidP="008A37A5">
            <w:pPr>
              <w:pStyle w:val="Tabletext"/>
            </w:pPr>
            <w:r w:rsidRPr="00406EFF">
              <w:t>Sponsorship</w:t>
            </w:r>
          </w:p>
        </w:tc>
        <w:tc>
          <w:tcPr>
            <w:tcW w:w="7290" w:type="dxa"/>
            <w:shd w:val="clear" w:color="auto" w:fill="auto"/>
          </w:tcPr>
          <w:p w14:paraId="2974BC09" w14:textId="77777777" w:rsidR="00011FE1" w:rsidRPr="005B0C7B" w:rsidRDefault="00011FE1" w:rsidP="008A37A5">
            <w:pPr>
              <w:pStyle w:val="Tabletext"/>
              <w:rPr>
                <w:szCs w:val="18"/>
              </w:rPr>
            </w:pPr>
            <w:r w:rsidRPr="005B0C7B">
              <w:rPr>
                <w:szCs w:val="18"/>
              </w:rPr>
              <w:t>Purchase or receipt of rights or benefits, including naming rights, delivered through association with an organisation's products, services or activities. The rights or benefits typically relate to the sponsor's reputation management or communication objectives.</w:t>
            </w:r>
          </w:p>
          <w:p w14:paraId="7E5E7C55" w14:textId="77777777" w:rsidR="00011FE1" w:rsidRPr="005B0C7B" w:rsidRDefault="00011FE1" w:rsidP="008A37A5">
            <w:pPr>
              <w:pStyle w:val="Tabletext"/>
              <w:rPr>
                <w:szCs w:val="18"/>
              </w:rPr>
            </w:pPr>
            <w:r w:rsidRPr="005B0C7B">
              <w:rPr>
                <w:szCs w:val="18"/>
              </w:rPr>
              <w:t xml:space="preserve">Sponsorship includes partnership arrangements, except where the arrangement is governed by the </w:t>
            </w:r>
            <w:r w:rsidRPr="005B0C7B">
              <w:rPr>
                <w:i/>
                <w:iCs/>
                <w:szCs w:val="18"/>
              </w:rPr>
              <w:t>Partnerships Victoria Requirements 2010</w:t>
            </w:r>
            <w:r w:rsidRPr="005B0C7B">
              <w:rPr>
                <w:szCs w:val="18"/>
              </w:rPr>
              <w:t xml:space="preserve"> or otherwise involves the development or management of infrastructure. It does not include grants, donations/bequests,</w:t>
            </w:r>
            <w:r w:rsidRPr="005B0C7B">
              <w:rPr>
                <w:szCs w:val="18"/>
                <w:lang w:val="en-GB"/>
              </w:rPr>
              <w:t xml:space="preserve"> sale of advertising space, editorial comment, or advertorials.</w:t>
            </w:r>
          </w:p>
        </w:tc>
      </w:tr>
    </w:tbl>
    <w:p w14:paraId="4394B7FB" w14:textId="77777777" w:rsidR="00FA3B67" w:rsidRDefault="00FA3B67">
      <w:pPr>
        <w:spacing w:before="0" w:after="200" w:line="276" w:lineRule="auto"/>
      </w:pPr>
    </w:p>
    <w:p w14:paraId="3B62DF84" w14:textId="77777777" w:rsidR="00FA3B67" w:rsidRDefault="00FA3B67">
      <w:pPr>
        <w:spacing w:before="0" w:after="200" w:line="276" w:lineRule="auto"/>
      </w:pPr>
    </w:p>
    <w:p w14:paraId="5B25A1CB" w14:textId="77777777" w:rsidR="00011FE1" w:rsidRDefault="00011FE1" w:rsidP="008E306C">
      <w:pPr>
        <w:spacing w:before="0" w:after="200" w:line="276" w:lineRule="auto"/>
        <w:sectPr w:rsidR="00011FE1" w:rsidSect="00107DA3">
          <w:pgSz w:w="11906" w:h="16838" w:code="9"/>
          <w:pgMar w:top="1440" w:right="1009" w:bottom="1440" w:left="1009" w:header="709" w:footer="391" w:gutter="0"/>
          <w:cols w:space="708"/>
          <w:titlePg/>
          <w:docGrid w:linePitch="360"/>
        </w:sectPr>
      </w:pPr>
    </w:p>
    <w:p w14:paraId="4DBCD697" w14:textId="77777777" w:rsidR="00011FE1" w:rsidRPr="00322B5C" w:rsidRDefault="00011FE1" w:rsidP="008E306C">
      <w:pPr>
        <w:pStyle w:val="GuidanceTitle"/>
      </w:pPr>
      <w:bookmarkStart w:id="12" w:name="Guidance_2_3_4"/>
      <w:bookmarkStart w:id="13" w:name="_Toc441672084"/>
      <w:r w:rsidRPr="00BD1230">
        <w:lastRenderedPageBreak/>
        <w:t>Guidance 2.</w:t>
      </w:r>
      <w:r w:rsidR="00961833">
        <w:t>3</w:t>
      </w:r>
      <w:r>
        <w:t>.</w:t>
      </w:r>
      <w:r w:rsidR="00961833">
        <w:t>4</w:t>
      </w:r>
      <w:bookmarkEnd w:id="12"/>
      <w:r w:rsidRPr="00BD1230">
        <w:t xml:space="preserve"> – </w:t>
      </w:r>
      <w:r w:rsidR="00973C6F">
        <w:t>Portfolio relationship</w:t>
      </w:r>
      <w:bookmarkEnd w:id="13"/>
    </w:p>
    <w:p w14:paraId="608143A2" w14:textId="77777777" w:rsidR="00011FE1" w:rsidRDefault="00011FE1" w:rsidP="008E306C">
      <w:pPr>
        <w:pStyle w:val="Spacer"/>
      </w:pPr>
    </w:p>
    <w:tbl>
      <w:tblPr>
        <w:tblStyle w:val="Table12"/>
        <w:tblW w:w="9900" w:type="dxa"/>
        <w:tblLook w:val="0080" w:firstRow="0" w:lastRow="0" w:firstColumn="1" w:lastColumn="0" w:noHBand="0" w:noVBand="0"/>
      </w:tblPr>
      <w:tblGrid>
        <w:gridCol w:w="3119"/>
        <w:gridCol w:w="6781"/>
      </w:tblGrid>
      <w:tr w:rsidR="00011FE1" w:rsidRPr="00DF1F81" w14:paraId="4EF960C8"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A0C8374" w14:textId="77777777" w:rsidR="00011FE1" w:rsidRPr="00DF1F81" w:rsidRDefault="00011FE1" w:rsidP="008A37A5">
            <w:pPr>
              <w:pStyle w:val="Tabletext"/>
              <w:rPr>
                <w:b/>
                <w:sz w:val="20"/>
              </w:rPr>
            </w:pPr>
            <w:r w:rsidRPr="00DF1F81">
              <w:rPr>
                <w:b/>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2D1BDEAC" w14:textId="77777777" w:rsidR="00011FE1" w:rsidRPr="005921BC" w:rsidRDefault="00011FE1" w:rsidP="008A37A5">
            <w:pPr>
              <w:pStyle w:val="Tabletext"/>
              <w:rPr>
                <w:szCs w:val="18"/>
              </w:rPr>
            </w:pPr>
            <w:r w:rsidRPr="005921BC">
              <w:rPr>
                <w:szCs w:val="18"/>
              </w:rPr>
              <w:t xml:space="preserve">Provides </w:t>
            </w:r>
            <w:r w:rsidR="00275A14">
              <w:rPr>
                <w:szCs w:val="18"/>
              </w:rPr>
              <w:t>P</w:t>
            </w:r>
            <w:r>
              <w:rPr>
                <w:szCs w:val="18"/>
              </w:rPr>
              <w:t>ortfolio</w:t>
            </w:r>
            <w:r w:rsidRPr="005921BC">
              <w:rPr>
                <w:szCs w:val="18"/>
              </w:rPr>
              <w:t xml:space="preserve"> Department</w:t>
            </w:r>
            <w:r w:rsidR="00275A14">
              <w:rPr>
                <w:szCs w:val="18"/>
              </w:rPr>
              <w:t>s and Portfolio Agencies with</w:t>
            </w:r>
            <w:r w:rsidRPr="005921BC">
              <w:rPr>
                <w:szCs w:val="18"/>
              </w:rPr>
              <w:t xml:space="preserve"> guidance</w:t>
            </w:r>
            <w:r w:rsidR="00275A14">
              <w:rPr>
                <w:szCs w:val="18"/>
              </w:rPr>
              <w:t xml:space="preserve"> on their roles and responsibilities in relation to one another, including</w:t>
            </w:r>
            <w:r w:rsidRPr="005921BC">
              <w:rPr>
                <w:szCs w:val="18"/>
              </w:rPr>
              <w:t>:</w:t>
            </w:r>
          </w:p>
          <w:p w14:paraId="213A24AF" w14:textId="77777777" w:rsidR="00275A14" w:rsidRDefault="00275A14" w:rsidP="00351220">
            <w:pPr>
              <w:pStyle w:val="TableBullet"/>
              <w:numPr>
                <w:ilvl w:val="0"/>
                <w:numId w:val="3"/>
              </w:numPr>
            </w:pPr>
            <w:r>
              <w:t>advice to the Minister from Portfolio Departments on matters relating to Portfolio Agencies;</w:t>
            </w:r>
          </w:p>
          <w:p w14:paraId="4E9E09E4" w14:textId="77777777" w:rsidR="00275A14" w:rsidRDefault="00275A14" w:rsidP="00351220">
            <w:pPr>
              <w:pStyle w:val="TableBullet"/>
              <w:numPr>
                <w:ilvl w:val="0"/>
                <w:numId w:val="3"/>
              </w:numPr>
            </w:pPr>
            <w:r>
              <w:t xml:space="preserve">Portfolio Departments support for their Portfolio Agencies; </w:t>
            </w:r>
          </w:p>
          <w:p w14:paraId="1FEE5223" w14:textId="77777777" w:rsidR="00275A14" w:rsidRDefault="00275A14" w:rsidP="00351220">
            <w:pPr>
              <w:pStyle w:val="TableBullet"/>
              <w:numPr>
                <w:ilvl w:val="0"/>
                <w:numId w:val="3"/>
              </w:numPr>
            </w:pPr>
            <w:r>
              <w:t>Portfolio Agencies responsibility to inform their Portfolio Departments; and</w:t>
            </w:r>
          </w:p>
          <w:p w14:paraId="14D1C82F" w14:textId="77777777" w:rsidR="00011FE1" w:rsidRPr="001F5470" w:rsidRDefault="00275A14" w:rsidP="00351220">
            <w:pPr>
              <w:pStyle w:val="TableBullet"/>
              <w:numPr>
                <w:ilvl w:val="0"/>
                <w:numId w:val="3"/>
              </w:numPr>
            </w:pPr>
            <w:r>
              <w:t>how the relationship can contribute</w:t>
            </w:r>
            <w:r w:rsidR="00011FE1" w:rsidRPr="001F5470">
              <w:t xml:space="preserve"> to managing the Government’s whole of state financial management performance.</w:t>
            </w:r>
          </w:p>
        </w:tc>
      </w:tr>
      <w:tr w:rsidR="00011FE1" w:rsidRPr="00DF1F81" w14:paraId="5D6D44BD"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002AADA" w14:textId="77777777" w:rsidR="00011FE1" w:rsidRPr="00322B5C" w:rsidRDefault="00011FE1" w:rsidP="008A37A5">
            <w:pPr>
              <w:pStyle w:val="Tabletext"/>
              <w:rPr>
                <w:b/>
                <w:sz w:val="20"/>
              </w:rPr>
            </w:pPr>
            <w:r w:rsidRPr="00322B5C">
              <w:rPr>
                <w:b/>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11615101" w14:textId="77777777" w:rsidR="00011FE1" w:rsidRPr="005921BC" w:rsidRDefault="00011FE1" w:rsidP="008A37A5">
            <w:pPr>
              <w:pStyle w:val="Tabletext"/>
              <w:rPr>
                <w:sz w:val="20"/>
              </w:rPr>
            </w:pPr>
            <w:r>
              <w:t>1 July 2016</w:t>
            </w:r>
          </w:p>
        </w:tc>
      </w:tr>
      <w:tr w:rsidR="00011FE1" w:rsidRPr="00DF1F81" w14:paraId="407B9EEB"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3F2FB66" w14:textId="77777777" w:rsidR="00011FE1" w:rsidRPr="00E862D1" w:rsidRDefault="00011FE1" w:rsidP="002A7DE1">
            <w:pPr>
              <w:pStyle w:val="Tabletext"/>
              <w:rPr>
                <w:b/>
              </w:rPr>
            </w:pPr>
            <w:r w:rsidRPr="00322B5C">
              <w:rPr>
                <w:b/>
              </w:rPr>
              <w:br w:type="page"/>
            </w:r>
            <w:r w:rsidRPr="00E862D1">
              <w:rPr>
                <w:b/>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5BA351BE" w14:textId="54BB90BE" w:rsidR="00011FE1" w:rsidRPr="00E862D1" w:rsidRDefault="00011FE1" w:rsidP="008A37A5">
            <w:pPr>
              <w:pStyle w:val="Tabletext"/>
            </w:pPr>
            <w:hyperlink r:id="rId44" w:anchor="standing-directions-2018" w:history="1">
              <w:r w:rsidRPr="00D053D9">
                <w:rPr>
                  <w:rStyle w:val="Hyperlink"/>
                </w:rPr>
                <w:t>2.</w:t>
              </w:r>
              <w:r w:rsidR="00BB7A8C" w:rsidRPr="00D053D9">
                <w:rPr>
                  <w:rStyle w:val="Hyperlink"/>
                </w:rPr>
                <w:t>3</w:t>
              </w:r>
              <w:r w:rsidRPr="00D053D9">
                <w:rPr>
                  <w:rStyle w:val="Hyperlink"/>
                </w:rPr>
                <w:t xml:space="preserve"> Accountable Officer</w:t>
              </w:r>
            </w:hyperlink>
          </w:p>
          <w:p w14:paraId="2383D020" w14:textId="1A5F67B6" w:rsidR="00E862D1" w:rsidRPr="00E862D1" w:rsidRDefault="00E862D1" w:rsidP="00E862D1">
            <w:pPr>
              <w:spacing w:before="60" w:after="60" w:line="252" w:lineRule="auto"/>
              <w:rPr>
                <w:rFonts w:cs="Times New Roman"/>
                <w:bCs/>
                <w:sz w:val="18"/>
                <w:szCs w:val="20"/>
              </w:rPr>
            </w:pPr>
            <w:hyperlink r:id="rId45" w:anchor="standing-directions-2018" w:history="1">
              <w:r w:rsidRPr="00D053D9">
                <w:rPr>
                  <w:rStyle w:val="Hyperlink"/>
                  <w:rFonts w:cs="Times New Roman"/>
                  <w:bCs/>
                  <w:sz w:val="18"/>
                  <w:szCs w:val="20"/>
                </w:rPr>
                <w:t>2.4.4 Responsibilities of Portfolio Department CFO</w:t>
              </w:r>
            </w:hyperlink>
            <w:r w:rsidRPr="00E862D1">
              <w:rPr>
                <w:rFonts w:cs="Times New Roman"/>
                <w:bCs/>
                <w:sz w:val="18"/>
                <w:szCs w:val="20"/>
              </w:rPr>
              <w:t xml:space="preserve"> </w:t>
            </w:r>
          </w:p>
          <w:p w14:paraId="12D416E5" w14:textId="654607EE" w:rsidR="00011FE1" w:rsidRPr="00E862D1" w:rsidRDefault="00011FE1" w:rsidP="008A37A5">
            <w:pPr>
              <w:pStyle w:val="Tabletext"/>
            </w:pPr>
            <w:hyperlink r:id="rId46" w:anchor="standing-directions-2018" w:history="1">
              <w:r w:rsidRPr="00D053D9">
                <w:rPr>
                  <w:rStyle w:val="Hyperlink"/>
                </w:rPr>
                <w:t>5</w:t>
              </w:r>
              <w:r w:rsidR="00E862D1" w:rsidRPr="00D053D9">
                <w:rPr>
                  <w:rStyle w:val="Hyperlink"/>
                </w:rPr>
                <w:t>.1.7 Portfolio Departments’ reporting to DTF</w:t>
              </w:r>
            </w:hyperlink>
          </w:p>
          <w:p w14:paraId="6D7F1CAA" w14:textId="683EC9FE" w:rsidR="00011FE1" w:rsidRPr="005921BC" w:rsidRDefault="00011FE1" w:rsidP="008A37A5">
            <w:pPr>
              <w:pStyle w:val="Tabletext"/>
              <w:rPr>
                <w:sz w:val="20"/>
              </w:rPr>
            </w:pPr>
            <w:hyperlink r:id="rId47" w:anchor="standing-directions-2018" w:history="1">
              <w:r w:rsidRPr="00D053D9">
                <w:rPr>
                  <w:rStyle w:val="Hyperlink"/>
                </w:rPr>
                <w:t>5.3 External reporting and information provision</w:t>
              </w:r>
            </w:hyperlink>
          </w:p>
        </w:tc>
      </w:tr>
      <w:tr w:rsidR="00011FE1" w:rsidRPr="00DF1F81" w14:paraId="3C42A03C"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18C6C45" w14:textId="77777777" w:rsidR="00011FE1" w:rsidRPr="00322B5C" w:rsidRDefault="00011FE1" w:rsidP="008A37A5">
            <w:pPr>
              <w:pStyle w:val="Tabletext"/>
              <w:rPr>
                <w:b/>
                <w:sz w:val="20"/>
              </w:rPr>
            </w:pPr>
            <w:r w:rsidRPr="00322B5C">
              <w:rPr>
                <w:b/>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6322772B" w14:textId="0E4881F9" w:rsidR="00011FE1" w:rsidRPr="005921BC" w:rsidRDefault="00515507" w:rsidP="008A37A5">
            <w:pPr>
              <w:pStyle w:val="Tabletext"/>
              <w:rPr>
                <w:sz w:val="20"/>
              </w:rPr>
            </w:pPr>
            <w:r>
              <w:rPr>
                <w:bCs w:val="0"/>
              </w:rPr>
              <w:t>1</w:t>
            </w:r>
            <w:r w:rsidR="00BC46EA">
              <w:rPr>
                <w:bCs w:val="0"/>
              </w:rPr>
              <w:t xml:space="preserve"> Ma</w:t>
            </w:r>
            <w:r>
              <w:rPr>
                <w:bCs w:val="0"/>
              </w:rPr>
              <w:t>y</w:t>
            </w:r>
            <w:r w:rsidR="00BC46EA">
              <w:rPr>
                <w:bCs w:val="0"/>
              </w:rPr>
              <w:t xml:space="preserve"> 2019</w:t>
            </w:r>
          </w:p>
        </w:tc>
      </w:tr>
    </w:tbl>
    <w:p w14:paraId="630A020D" w14:textId="77777777" w:rsidR="00973C6F" w:rsidRDefault="00011FE1" w:rsidP="00973C6F">
      <w:r>
        <w:t xml:space="preserve">Ministers are accountable to the Parliament and public for the performance of their Agencies. They have constitutional and legislative governance responsibility for the Agencies in their portfolio. To carry out these responsibilities, Ministers require support from portfolio Departments to provide advice on the operations and performance of </w:t>
      </w:r>
      <w:r w:rsidR="00085197">
        <w:t>P</w:t>
      </w:r>
      <w:r>
        <w:t>ortfolio Agencies.</w:t>
      </w:r>
      <w:r w:rsidR="00973C6F">
        <w:t xml:space="preserve"> Portfolio Departments and Portfolio Agencies also have responsibilities in relation to one another. </w:t>
      </w:r>
    </w:p>
    <w:p w14:paraId="11FD87EA" w14:textId="77777777" w:rsidR="00973C6F" w:rsidRDefault="00973C6F" w:rsidP="00973C6F">
      <w:r>
        <w:t xml:space="preserve">These relationships are described in section 13A of the </w:t>
      </w:r>
      <w:r w:rsidRPr="001731AF">
        <w:rPr>
          <w:i/>
        </w:rPr>
        <w:t>Public Administration Act</w:t>
      </w:r>
      <w:r>
        <w:t xml:space="preserve"> </w:t>
      </w:r>
      <w:r w:rsidR="00FB6728" w:rsidRPr="00FB6728">
        <w:rPr>
          <w:i/>
        </w:rPr>
        <w:t>2004</w:t>
      </w:r>
      <w:r w:rsidR="00FB6728">
        <w:t xml:space="preserve"> </w:t>
      </w:r>
      <w:r>
        <w:t>(PAA), which provides that</w:t>
      </w:r>
      <w:r>
        <w:rPr>
          <w:rStyle w:val="FootnoteReference"/>
        </w:rPr>
        <w:footnoteReference w:id="4"/>
      </w:r>
      <w:r>
        <w:t>:</w:t>
      </w:r>
    </w:p>
    <w:p w14:paraId="4653D1A8" w14:textId="77777777" w:rsidR="00973C6F" w:rsidRPr="00104FFB" w:rsidRDefault="00973C6F" w:rsidP="00104FFB">
      <w:pPr>
        <w:pStyle w:val="GuidanceBullet1"/>
      </w:pPr>
      <w:r w:rsidRPr="00104FFB">
        <w:t>the Accountable Officer of a portfolio Department must advise the relevant Min</w:t>
      </w:r>
      <w:r w:rsidR="00A31469" w:rsidRPr="00104FFB">
        <w:t>ister on matters relating to a P</w:t>
      </w:r>
      <w:r w:rsidRPr="00104FFB">
        <w:t>ortfolio Agency, including the discharge by the Agency of its responsibilities;</w:t>
      </w:r>
    </w:p>
    <w:p w14:paraId="189EF5F9" w14:textId="77777777" w:rsidR="00973C6F" w:rsidRPr="00104FFB" w:rsidRDefault="00973C6F" w:rsidP="00104FFB">
      <w:pPr>
        <w:pStyle w:val="GuidanceBullet1"/>
      </w:pPr>
      <w:r w:rsidRPr="00104FFB">
        <w:t xml:space="preserve">the Accountable Officer of a portfolio Department must work with, </w:t>
      </w:r>
      <w:r w:rsidR="00A31469" w:rsidRPr="00104FFB">
        <w:t>and provide guidance to, their P</w:t>
      </w:r>
      <w:r w:rsidRPr="00104FFB">
        <w:t>ortfolio Agencies to assist them on matters relating to public administration and governance;</w:t>
      </w:r>
    </w:p>
    <w:p w14:paraId="254F0010" w14:textId="64C47055" w:rsidR="00973C6F" w:rsidRPr="00104FFB" w:rsidRDefault="00A31469" w:rsidP="00104FFB">
      <w:pPr>
        <w:pStyle w:val="GuidanceBullet1"/>
      </w:pPr>
      <w:r w:rsidRPr="00104FFB">
        <w:t>a P</w:t>
      </w:r>
      <w:r w:rsidR="00973C6F" w:rsidRPr="00104FFB">
        <w:t xml:space="preserve">ortfolio Agency must provide to the Accountable Officer of a portfolio Department any information required to enable the Accountable Officer to advise the Minister on matters related to the Agency (this requirement </w:t>
      </w:r>
      <w:r w:rsidR="00BF40A7" w:rsidRPr="00104FFB">
        <w:t xml:space="preserve">does not </w:t>
      </w:r>
      <w:r w:rsidR="00973C6F" w:rsidRPr="00104FFB">
        <w:t>appl</w:t>
      </w:r>
      <w:r w:rsidR="00BF40A7" w:rsidRPr="00104FFB">
        <w:t>y</w:t>
      </w:r>
      <w:r w:rsidR="00973C6F" w:rsidRPr="00104FFB">
        <w:t xml:space="preserve"> </w:t>
      </w:r>
      <w:r w:rsidR="00BF40A7" w:rsidRPr="00104FFB">
        <w:t xml:space="preserve">if </w:t>
      </w:r>
      <w:r w:rsidR="00973C6F" w:rsidRPr="00104FFB">
        <w:t>the Agency is prohibited from doing so under law);</w:t>
      </w:r>
      <w:r w:rsidR="0009610F" w:rsidRPr="00104FFB">
        <w:t xml:space="preserve"> and</w:t>
      </w:r>
    </w:p>
    <w:p w14:paraId="62C23EE7" w14:textId="77777777" w:rsidR="00973C6F" w:rsidRPr="00104FFB" w:rsidRDefault="00973C6F" w:rsidP="00104FFB">
      <w:pPr>
        <w:pStyle w:val="GuidanceBullet1"/>
      </w:pPr>
      <w:r w:rsidRPr="00104FFB">
        <w:t xml:space="preserve">the Accountable Officer of a portfolio Department must not </w:t>
      </w:r>
      <w:r w:rsidR="00A31469" w:rsidRPr="00104FFB">
        <w:t>direct or control a P</w:t>
      </w:r>
      <w:r w:rsidRPr="00104FFB">
        <w:t>ortfolio Agency in the performance of the functions conferred on the Agency under law.</w:t>
      </w:r>
    </w:p>
    <w:p w14:paraId="50F3FCA2" w14:textId="5F165939" w:rsidR="00011FE1" w:rsidRDefault="00011FE1" w:rsidP="008E306C">
      <w:r>
        <w:t xml:space="preserve">The Treasurer and the </w:t>
      </w:r>
      <w:r w:rsidR="00780F7A">
        <w:t>Assistant Treasurer</w:t>
      </w:r>
      <w:r>
        <w:t xml:space="preserve"> are accountable to Parliament for the financial management performance of the State of Victoria and their obligations under the </w:t>
      </w:r>
      <w:r w:rsidR="00C726FA">
        <w:t>FMA</w:t>
      </w:r>
      <w:r>
        <w:t>.</w:t>
      </w:r>
    </w:p>
    <w:p w14:paraId="3B2FAF17" w14:textId="77777777" w:rsidR="00011FE1" w:rsidRDefault="00011FE1" w:rsidP="008E306C">
      <w:r>
        <w:t xml:space="preserve">Portfolio Departments have </w:t>
      </w:r>
      <w:r w:rsidR="00973C6F">
        <w:t xml:space="preserve">a </w:t>
      </w:r>
      <w:r>
        <w:t>role to</w:t>
      </w:r>
      <w:r w:rsidR="00973C6F">
        <w:t xml:space="preserve"> help</w:t>
      </w:r>
      <w:r>
        <w:t>:</w:t>
      </w:r>
    </w:p>
    <w:p w14:paraId="2F5CCFD6" w14:textId="77777777" w:rsidR="00011FE1" w:rsidRPr="00104FFB" w:rsidRDefault="00011FE1" w:rsidP="00104FFB">
      <w:pPr>
        <w:pStyle w:val="GuidanceBullet1"/>
      </w:pPr>
      <w:r w:rsidRPr="00104FFB">
        <w:t>safeguard the State’s resources;</w:t>
      </w:r>
    </w:p>
    <w:p w14:paraId="169E0D5A" w14:textId="77777777" w:rsidR="00011FE1" w:rsidRPr="00104FFB" w:rsidRDefault="00011FE1" w:rsidP="00104FFB">
      <w:pPr>
        <w:pStyle w:val="GuidanceBullet1"/>
      </w:pPr>
      <w:r w:rsidRPr="00104FFB">
        <w:t xml:space="preserve">manage financial risks; </w:t>
      </w:r>
    </w:p>
    <w:p w14:paraId="4872E98C" w14:textId="77777777" w:rsidR="00011FE1" w:rsidRPr="00104FFB" w:rsidRDefault="00011FE1" w:rsidP="00104FFB">
      <w:pPr>
        <w:pStyle w:val="GuidanceBullet1"/>
      </w:pPr>
      <w:r w:rsidRPr="00104FFB">
        <w:t>support the government’s financial management and performance accountability to Parliament at Agency, portfolio and whole of State levels</w:t>
      </w:r>
      <w:r w:rsidR="00FD211E" w:rsidRPr="00104FFB">
        <w:t>;</w:t>
      </w:r>
    </w:p>
    <w:p w14:paraId="7B766E02" w14:textId="77777777" w:rsidR="00011FE1" w:rsidRPr="00104FFB" w:rsidRDefault="00011FE1" w:rsidP="00104FFB">
      <w:pPr>
        <w:pStyle w:val="GuidanceBullet1"/>
      </w:pPr>
      <w:r w:rsidRPr="00104FFB">
        <w:t xml:space="preserve">support the portfolio Ministers in their oversight of the portfolio as a whole, and of Agencies individually; </w:t>
      </w:r>
    </w:p>
    <w:p w14:paraId="09672DE1" w14:textId="31C01656" w:rsidR="00011FE1" w:rsidRPr="00104FFB" w:rsidRDefault="00011FE1" w:rsidP="00104FFB">
      <w:pPr>
        <w:pStyle w:val="GuidanceBullet1"/>
      </w:pPr>
      <w:r w:rsidRPr="00104FFB">
        <w:t xml:space="preserve">support the Treasurer and </w:t>
      </w:r>
      <w:r w:rsidR="00780F7A" w:rsidRPr="00104FFB">
        <w:t>Assistant Treasurer</w:t>
      </w:r>
      <w:r w:rsidRPr="00104FFB">
        <w:t xml:space="preserve"> by providing DTF with quality information about the portfolio; and</w:t>
      </w:r>
    </w:p>
    <w:p w14:paraId="5657BA9F" w14:textId="77777777" w:rsidR="00011FE1" w:rsidRPr="00104FFB" w:rsidRDefault="00011FE1" w:rsidP="00104FFB">
      <w:pPr>
        <w:pStyle w:val="GuidanceBullet1"/>
      </w:pPr>
      <w:r w:rsidRPr="00104FFB">
        <w:t>facilitate portfolio outcomes and their contribution to achieving the State’s fiscal objectives and strategy.</w:t>
      </w:r>
    </w:p>
    <w:p w14:paraId="7E9F5434" w14:textId="267045B6" w:rsidR="00FD211E" w:rsidRPr="00E862D1" w:rsidRDefault="00973C6F" w:rsidP="00CD45E9">
      <w:r>
        <w:t xml:space="preserve">The Directions include </w:t>
      </w:r>
      <w:r w:rsidR="00FD211E">
        <w:t xml:space="preserve">specific </w:t>
      </w:r>
      <w:r>
        <w:t>requirements</w:t>
      </w:r>
      <w:r w:rsidR="00FD211E">
        <w:t xml:space="preserve"> for Portfolio Departments, Portfolio Agencies</w:t>
      </w:r>
      <w:r>
        <w:t xml:space="preserve"> </w:t>
      </w:r>
      <w:r w:rsidR="00FD211E">
        <w:t>and DTF in relation to the portfolio relationship</w:t>
      </w:r>
      <w:r w:rsidR="0065721F">
        <w:t>, including</w:t>
      </w:r>
      <w:r w:rsidR="00CD45E9">
        <w:t xml:space="preserve"> in </w:t>
      </w:r>
      <w:hyperlink r:id="rId48" w:anchor="standing-directions-2018" w:history="1">
        <w:r w:rsidR="00CD45E9" w:rsidRPr="004D1156">
          <w:rPr>
            <w:rStyle w:val="Hyperlink"/>
          </w:rPr>
          <w:t xml:space="preserve">Directions 2.3.3, 2.3.4, 2.3.5, 2.4.3, </w:t>
        </w:r>
        <w:r w:rsidR="00E862D1" w:rsidRPr="004D1156">
          <w:rPr>
            <w:rStyle w:val="Hyperlink"/>
          </w:rPr>
          <w:t>2.4.4</w:t>
        </w:r>
        <w:r w:rsidR="001A672F" w:rsidRPr="004D1156">
          <w:rPr>
            <w:rStyle w:val="Hyperlink"/>
          </w:rPr>
          <w:t>, 5.1.7 and 5.3</w:t>
        </w:r>
      </w:hyperlink>
      <w:r w:rsidR="00CD45E9">
        <w:t>.</w:t>
      </w:r>
    </w:p>
    <w:p w14:paraId="3E5BEECC" w14:textId="77777777" w:rsidR="00973C6F" w:rsidRDefault="00FD211E" w:rsidP="00995ED6">
      <w:pPr>
        <w:keepNext/>
      </w:pPr>
      <w:r>
        <w:lastRenderedPageBreak/>
        <w:t>The</w:t>
      </w:r>
      <w:r w:rsidR="00085197">
        <w:t xml:space="preserve"> </w:t>
      </w:r>
      <w:r>
        <w:t>focus for Portfolio Departments is on working with, and providing guidance to, their Portfolio Agencies.</w:t>
      </w:r>
      <w:r w:rsidR="00F258BC">
        <w:t xml:space="preserve"> </w:t>
      </w:r>
      <w:r>
        <w:t>A Portfolio Departm</w:t>
      </w:r>
      <w:r w:rsidR="00A31469">
        <w:t>ent cannot direct or control a P</w:t>
      </w:r>
      <w:r>
        <w:t>ortfolio Agency in relation to the performance of its statutory functions.</w:t>
      </w:r>
    </w:p>
    <w:p w14:paraId="67E4D13D" w14:textId="77777777" w:rsidR="00011FE1" w:rsidRDefault="00011FE1" w:rsidP="00104FFB">
      <w:r>
        <w:t xml:space="preserve">The Directions seek to </w:t>
      </w:r>
      <w:r w:rsidR="00F258BC">
        <w:t xml:space="preserve">improve the relationship between Portfolio Departments and Portfolio Agencies in relation to financial management, performance and sustainability. This will improve the </w:t>
      </w:r>
      <w:r>
        <w:t xml:space="preserve">information </w:t>
      </w:r>
      <w:r w:rsidR="00F258BC">
        <w:t xml:space="preserve">available to Portfolio Departments </w:t>
      </w:r>
      <w:r>
        <w:t>to support:</w:t>
      </w:r>
    </w:p>
    <w:p w14:paraId="503BF5CA" w14:textId="77777777" w:rsidR="00011FE1" w:rsidRPr="00F97EBD" w:rsidRDefault="00011FE1" w:rsidP="000B15FD">
      <w:pPr>
        <w:pStyle w:val="GuidanceBullet1"/>
        <w:numPr>
          <w:ilvl w:val="0"/>
          <w:numId w:val="28"/>
        </w:numPr>
      </w:pPr>
      <w:r w:rsidRPr="00F97EBD">
        <w:t xml:space="preserve">their portfolio Ministers, on individual Agency and portfolio financial performance matters; and </w:t>
      </w:r>
    </w:p>
    <w:p w14:paraId="27511E0D" w14:textId="77777777" w:rsidR="00011FE1" w:rsidRPr="00F97EBD" w:rsidRDefault="00011FE1" w:rsidP="000B15FD">
      <w:pPr>
        <w:pStyle w:val="GuidanceBullet1"/>
        <w:numPr>
          <w:ilvl w:val="0"/>
          <w:numId w:val="28"/>
        </w:numPr>
      </w:pPr>
      <w:r w:rsidRPr="00F97EBD">
        <w:t>government, on whole of state financial performance.</w:t>
      </w:r>
    </w:p>
    <w:p w14:paraId="6DFAA020" w14:textId="77777777" w:rsidR="00011FE1" w:rsidRDefault="00011FE1" w:rsidP="008E306C">
      <w:r>
        <w:t xml:space="preserve">These expectations aim to ensure portfolio and whole of government issues and risks are managed effectively and to improve government outcomes. </w:t>
      </w:r>
    </w:p>
    <w:p w14:paraId="42DDEFCC" w14:textId="77777777" w:rsidR="00011FE1" w:rsidRDefault="00011FE1" w:rsidP="008E306C">
      <w:pPr>
        <w:pStyle w:val="Heading1NoNum"/>
      </w:pPr>
      <w:r>
        <w:t xml:space="preserve">Portfolio </w:t>
      </w:r>
      <w:r w:rsidR="000B3803">
        <w:t>D</w:t>
      </w:r>
      <w:r>
        <w:t xml:space="preserve">epartment </w:t>
      </w:r>
      <w:r w:rsidR="00226EE6">
        <w:t xml:space="preserve">responsibilities </w:t>
      </w:r>
    </w:p>
    <w:p w14:paraId="57454ED5" w14:textId="77777777" w:rsidR="00011FE1" w:rsidRDefault="00011FE1" w:rsidP="00FC17D9">
      <w:pPr>
        <w:pStyle w:val="Heading2NoNum"/>
      </w:pPr>
      <w:r>
        <w:t xml:space="preserve">Key functions </w:t>
      </w:r>
    </w:p>
    <w:p w14:paraId="18EE2689" w14:textId="77777777" w:rsidR="00011FE1" w:rsidRDefault="00011FE1" w:rsidP="008E306C">
      <w:r>
        <w:t>The Victorian Public Sector Commission (VPSC) articulates the role of the depart</w:t>
      </w:r>
      <w:r w:rsidR="005D25DD">
        <w:t>m</w:t>
      </w:r>
      <w:r w:rsidR="00F7563B">
        <w:t xml:space="preserve">ental Secretary as the </w:t>
      </w:r>
      <w:r w:rsidR="005D25DD">
        <w:t>principal</w:t>
      </w:r>
      <w:r>
        <w:t xml:space="preserve"> portfolio adviser to government on policy matters and to assist Ministers maintain an awareness of operations within their portfolios. The Departmental Secretary often acts as the interface between Ministers, portfolio Agencies and stakeholders.</w:t>
      </w:r>
    </w:p>
    <w:p w14:paraId="0349117E" w14:textId="77777777" w:rsidR="00011FE1" w:rsidRDefault="00011FE1" w:rsidP="008E306C">
      <w:r>
        <w:t>Consistent with these expectations, portfolio Departments advise and support their portfolio Ministers on financial management by:</w:t>
      </w:r>
    </w:p>
    <w:p w14:paraId="2530B956" w14:textId="77777777" w:rsidR="00011FE1" w:rsidRPr="00104FFB" w:rsidRDefault="00011FE1" w:rsidP="00104FFB">
      <w:pPr>
        <w:pStyle w:val="GuidanceBullet1"/>
      </w:pPr>
      <w:r w:rsidRPr="00104FFB">
        <w:t xml:space="preserve">monitoring </w:t>
      </w:r>
      <w:r w:rsidR="008E44F5" w:rsidRPr="00104FFB">
        <w:t>P</w:t>
      </w:r>
      <w:r w:rsidRPr="00104FFB">
        <w:t>ortfolio Agencies</w:t>
      </w:r>
      <w:r w:rsidR="008E44F5" w:rsidRPr="00104FFB">
        <w:t xml:space="preserve"> to the extent required to appropriately advise the Minister</w:t>
      </w:r>
      <w:r w:rsidRPr="00104FFB">
        <w:t>;</w:t>
      </w:r>
    </w:p>
    <w:p w14:paraId="5942D250" w14:textId="77777777" w:rsidR="00011FE1" w:rsidRPr="00104FFB" w:rsidRDefault="008E44F5" w:rsidP="00104FFB">
      <w:pPr>
        <w:pStyle w:val="GuidanceBullet1"/>
      </w:pPr>
      <w:r w:rsidRPr="00104FFB">
        <w:t>advising the</w:t>
      </w:r>
      <w:r w:rsidR="00011FE1" w:rsidRPr="00104FFB">
        <w:t xml:space="preserve"> Ministers on </w:t>
      </w:r>
      <w:r w:rsidRPr="00104FFB">
        <w:t>matters relating to</w:t>
      </w:r>
      <w:r w:rsidR="00011FE1" w:rsidRPr="00104FFB">
        <w:t xml:space="preserve"> portfolio Agencies;</w:t>
      </w:r>
    </w:p>
    <w:p w14:paraId="738B2F23" w14:textId="77777777" w:rsidR="00885FEB" w:rsidRPr="00104FFB" w:rsidRDefault="00885FEB" w:rsidP="00104FFB">
      <w:pPr>
        <w:pStyle w:val="GuidanceBullet1"/>
      </w:pPr>
      <w:r w:rsidRPr="00104FFB">
        <w:t>working with, and providing guidance to, their portfolio Agencies;</w:t>
      </w:r>
    </w:p>
    <w:p w14:paraId="3D9C3705" w14:textId="77777777" w:rsidR="00011FE1" w:rsidRPr="00104FFB" w:rsidRDefault="00011FE1" w:rsidP="00104FFB">
      <w:pPr>
        <w:pStyle w:val="GuidanceBullet1"/>
      </w:pPr>
      <w:r w:rsidRPr="00104FFB">
        <w:t>facilitating and coordinating portfolio delivery of intended government policies and priorities including efficiency and effectiveness; and</w:t>
      </w:r>
    </w:p>
    <w:p w14:paraId="2CF78479" w14:textId="77777777" w:rsidR="00011FE1" w:rsidRPr="00104FFB" w:rsidRDefault="00011FE1" w:rsidP="00104FFB">
      <w:pPr>
        <w:pStyle w:val="GuidanceBullet1"/>
      </w:pPr>
      <w:r w:rsidRPr="00104FFB">
        <w:t>facilitating liaison and information sharing between Agencies and their Ministers, and with DTF on whole of government financial management and performance matters.</w:t>
      </w:r>
    </w:p>
    <w:p w14:paraId="2EA1DEA4" w14:textId="77777777" w:rsidR="00011FE1" w:rsidRDefault="00A473BD" w:rsidP="008E306C">
      <w:r>
        <w:t>Appropriately advising the Minister of matters relating to portfolio Agencies will usually require a Portfolio Department to monitor its Portfolio Agencies to some extent. In doing so, Portfolio Departments should m</w:t>
      </w:r>
      <w:r w:rsidR="008E44F5">
        <w:t xml:space="preserve">aintain </w:t>
      </w:r>
      <w:r w:rsidR="00011FE1">
        <w:t>an up</w:t>
      </w:r>
      <w:r w:rsidR="00D62B6D">
        <w:noBreakHyphen/>
      </w:r>
      <w:r w:rsidR="00011FE1">
        <w:t>to</w:t>
      </w:r>
      <w:r w:rsidR="00D62B6D">
        <w:noBreakHyphen/>
      </w:r>
      <w:r w:rsidR="00011FE1">
        <w:t>date record of portfolio Agencies and be aware of the portfolio Agencies’ roles and responsibilities, risks and issues, and planned and actual performance.</w:t>
      </w:r>
    </w:p>
    <w:p w14:paraId="12E6F466" w14:textId="77777777" w:rsidR="00011FE1" w:rsidRDefault="008E44F5" w:rsidP="008E306C">
      <w:r>
        <w:t>The requirement to advise Ministers will assist to provide Ministers with</w:t>
      </w:r>
      <w:r w:rsidR="00011FE1">
        <w:t xml:space="preserve"> early warning of portfolio issues</w:t>
      </w:r>
      <w:r>
        <w:t>.</w:t>
      </w:r>
      <w:r w:rsidR="00011FE1">
        <w:t xml:space="preserve"> This </w:t>
      </w:r>
      <w:r>
        <w:t xml:space="preserve">advice should </w:t>
      </w:r>
      <w:r w:rsidR="00011FE1">
        <w:t xml:space="preserve">focus on governance, risk and organisational profile matters, assessing the financial and related performance of Agencies, and advising Ministers of issues to avoid surprises and mitigate risks. </w:t>
      </w:r>
    </w:p>
    <w:p w14:paraId="413AB716" w14:textId="77777777" w:rsidR="00011FE1" w:rsidRDefault="002A1E36" w:rsidP="008E306C">
      <w:r>
        <w:t>Major P</w:t>
      </w:r>
      <w:r w:rsidR="00011FE1">
        <w:t>ortfolio Agency risks/issues may include:</w:t>
      </w:r>
    </w:p>
    <w:p w14:paraId="048E8C28" w14:textId="77777777" w:rsidR="00011FE1" w:rsidRPr="009402E8" w:rsidRDefault="00011FE1" w:rsidP="00104FFB">
      <w:pPr>
        <w:pStyle w:val="GuidanceBullet1"/>
      </w:pPr>
      <w:r w:rsidRPr="009402E8">
        <w:t xml:space="preserve">outstanding legal action or potential legal exposure; </w:t>
      </w:r>
    </w:p>
    <w:p w14:paraId="6BA380BE" w14:textId="77777777" w:rsidR="00011FE1" w:rsidRPr="009402E8" w:rsidRDefault="00011FE1" w:rsidP="00104FFB">
      <w:pPr>
        <w:pStyle w:val="GuidanceBullet1"/>
      </w:pPr>
      <w:r w:rsidRPr="009402E8">
        <w:t>performance audits/investigations scheduled or underway;</w:t>
      </w:r>
    </w:p>
    <w:p w14:paraId="7A8EEB49" w14:textId="77777777" w:rsidR="00011FE1" w:rsidRPr="009402E8" w:rsidRDefault="00011FE1" w:rsidP="00104FFB">
      <w:pPr>
        <w:pStyle w:val="GuidanceBullet1"/>
      </w:pPr>
      <w:r w:rsidRPr="009402E8">
        <w:t>current media issues and attention;</w:t>
      </w:r>
    </w:p>
    <w:p w14:paraId="57E54FDF" w14:textId="77777777" w:rsidR="00011FE1" w:rsidRPr="009402E8" w:rsidRDefault="00011FE1" w:rsidP="00104FFB">
      <w:pPr>
        <w:pStyle w:val="GuidanceBullet1"/>
      </w:pPr>
      <w:r w:rsidRPr="009402E8">
        <w:t>governance</w:t>
      </w:r>
      <w:r w:rsidR="00CA6002">
        <w:t xml:space="preserve"> and management issues such as F</w:t>
      </w:r>
      <w:r w:rsidRPr="009402E8">
        <w:t xml:space="preserve">raud, financial performance and sustainability; and </w:t>
      </w:r>
    </w:p>
    <w:p w14:paraId="1335FDB3" w14:textId="77777777" w:rsidR="00011FE1" w:rsidRPr="009402E8" w:rsidRDefault="00011FE1" w:rsidP="00104FFB">
      <w:pPr>
        <w:pStyle w:val="GuidanceBullet1"/>
      </w:pPr>
      <w:r w:rsidRPr="009402E8">
        <w:t>any other reputational risks.</w:t>
      </w:r>
    </w:p>
    <w:p w14:paraId="19526DC8" w14:textId="77777777" w:rsidR="00011FE1" w:rsidRDefault="00011FE1" w:rsidP="008E306C">
      <w:r>
        <w:t>This is not an exhaustive list of risks, but is intended to prompt Agencies to identify key risks.</w:t>
      </w:r>
    </w:p>
    <w:p w14:paraId="0A4A5C83" w14:textId="77777777" w:rsidR="00885FEB" w:rsidRDefault="00885FEB" w:rsidP="008E306C">
      <w:r>
        <w:t xml:space="preserve">Working with, and providing guidance to, Portfolio Agencies is required to assist agencies and to improve the advice available to the Minister. </w:t>
      </w:r>
    </w:p>
    <w:p w14:paraId="61CBD2AC" w14:textId="77777777" w:rsidR="00011FE1" w:rsidRDefault="00011FE1" w:rsidP="008E306C">
      <w:r>
        <w:t>Facilitating and coordinating portfolio delivery</w:t>
      </w:r>
      <w:r w:rsidR="00885FEB">
        <w:t xml:space="preserve"> will help to</w:t>
      </w:r>
      <w:r>
        <w:t xml:space="preserve"> ensure</w:t>
      </w:r>
      <w:r w:rsidR="00885FEB">
        <w:t xml:space="preserve"> that</w:t>
      </w:r>
      <w:r>
        <w:t xml:space="preserve"> Agencies’ plans align with the delivery of government policy and priorities, and can consider establishing more effective and efficient governance and operational inter</w:t>
      </w:r>
      <w:r w:rsidR="00D62B6D">
        <w:noBreakHyphen/>
      </w:r>
      <w:r>
        <w:t>agency arrangements across the portfolio (e.g. shared services, co</w:t>
      </w:r>
      <w:r w:rsidR="00D62B6D">
        <w:noBreakHyphen/>
      </w:r>
      <w:r>
        <w:t xml:space="preserve">location). </w:t>
      </w:r>
    </w:p>
    <w:p w14:paraId="635DFC74" w14:textId="77777777" w:rsidR="00011FE1" w:rsidRDefault="00011FE1" w:rsidP="008E306C">
      <w:r>
        <w:lastRenderedPageBreak/>
        <w:t>Facilitating liaison and information from and between portfolio Agencies builds on the portfolio coordination function to ensure timely and accurate information is provided to government Ministers and DTF, to effectively manage whole of government matters.</w:t>
      </w:r>
    </w:p>
    <w:p w14:paraId="27AAE487" w14:textId="77777777" w:rsidR="00011FE1" w:rsidRDefault="00011FE1" w:rsidP="00FC17D9">
      <w:pPr>
        <w:pStyle w:val="Heading2NoNum"/>
      </w:pPr>
      <w:r>
        <w:t xml:space="preserve">Nature and extent of </w:t>
      </w:r>
      <w:r w:rsidR="00885FEB">
        <w:t>portfolio relationship</w:t>
      </w:r>
    </w:p>
    <w:p w14:paraId="620DE895" w14:textId="77777777" w:rsidR="00046688" w:rsidRDefault="00011FE1" w:rsidP="008E306C">
      <w:r>
        <w:t xml:space="preserve">The nature and extent of </w:t>
      </w:r>
      <w:r w:rsidR="00885FEB">
        <w:t xml:space="preserve">portfolio relationship </w:t>
      </w:r>
      <w:r w:rsidR="004A409E">
        <w:t>will vary according to</w:t>
      </w:r>
      <w:r w:rsidR="007A0429">
        <w:t xml:space="preserve"> </w:t>
      </w:r>
      <w:r>
        <w:t xml:space="preserve">the level of financial management risk and performance of </w:t>
      </w:r>
      <w:r w:rsidR="004A409E">
        <w:t>the</w:t>
      </w:r>
      <w:r w:rsidR="002A1E36">
        <w:t xml:space="preserve"> individual P</w:t>
      </w:r>
      <w:r>
        <w:t xml:space="preserve">ortfolio Agency </w:t>
      </w:r>
      <w:r w:rsidR="004A409E">
        <w:t>in question</w:t>
      </w:r>
      <w:r w:rsidR="00885FEB">
        <w:t>. For example,</w:t>
      </w:r>
      <w:r>
        <w:t xml:space="preserve"> </w:t>
      </w:r>
      <w:r w:rsidR="005003F6">
        <w:t>incorporated</w:t>
      </w:r>
      <w:r>
        <w:t xml:space="preserve"> committees of management</w:t>
      </w:r>
      <w:r w:rsidR="00885FEB">
        <w:t xml:space="preserve"> </w:t>
      </w:r>
      <w:r w:rsidR="00046688">
        <w:t xml:space="preserve">are likely to </w:t>
      </w:r>
      <w:r w:rsidR="00885FEB">
        <w:t xml:space="preserve">require a different </w:t>
      </w:r>
      <w:r w:rsidR="00046688">
        <w:t>nature and extent of relationship</w:t>
      </w:r>
      <w:r w:rsidR="00885FEB">
        <w:t xml:space="preserve"> </w:t>
      </w:r>
      <w:r w:rsidR="00046688">
        <w:t xml:space="preserve">with the Portfolio Department </w:t>
      </w:r>
      <w:r w:rsidR="00885FEB">
        <w:t xml:space="preserve">than </w:t>
      </w:r>
      <w:r w:rsidR="00046688">
        <w:t xml:space="preserve">a </w:t>
      </w:r>
      <w:r w:rsidR="00885FEB">
        <w:t>large statu</w:t>
      </w:r>
      <w:r w:rsidR="00046688">
        <w:t>tory corporation</w:t>
      </w:r>
      <w:r>
        <w:t xml:space="preserve">. </w:t>
      </w:r>
    </w:p>
    <w:p w14:paraId="4AA0784A" w14:textId="3125BF47" w:rsidR="00011FE1" w:rsidRDefault="00011FE1" w:rsidP="008E306C">
      <w:r>
        <w:t xml:space="preserve">The </w:t>
      </w:r>
      <w:r w:rsidR="00046688">
        <w:t>requirement for a relationship</w:t>
      </w:r>
      <w:r>
        <w:t xml:space="preserve"> applies, at some level, to all portfolio Agencies, regardless of the form of establishment and whether they are legally required to fully apply the FMA (e.g. government</w:t>
      </w:r>
      <w:r w:rsidR="00DB2C10">
        <w:t>-</w:t>
      </w:r>
      <w:r>
        <w:t>controlled companies).</w:t>
      </w:r>
    </w:p>
    <w:p w14:paraId="093398C3" w14:textId="77777777" w:rsidR="00011FE1" w:rsidRDefault="00011FE1" w:rsidP="008E306C">
      <w:r>
        <w:t xml:space="preserve">An alternative to a ‘one size fits all’ approach to </w:t>
      </w:r>
      <w:r w:rsidR="004A409E">
        <w:t>managing</w:t>
      </w:r>
      <w:r w:rsidR="00046688">
        <w:t xml:space="preserve"> the relationship between</w:t>
      </w:r>
      <w:r>
        <w:t xml:space="preserve"> </w:t>
      </w:r>
      <w:r w:rsidR="00046688">
        <w:t>P</w:t>
      </w:r>
      <w:r>
        <w:t xml:space="preserve">ortfolio </w:t>
      </w:r>
      <w:r w:rsidR="00046688">
        <w:t xml:space="preserve">Departments and Portfolio </w:t>
      </w:r>
      <w:r w:rsidR="00465158">
        <w:t>Agencies is for D</w:t>
      </w:r>
      <w:r>
        <w:t>epartments to tailor the</w:t>
      </w:r>
      <w:r w:rsidR="004A409E">
        <w:t>ir approach</w:t>
      </w:r>
      <w:r>
        <w:t xml:space="preserve"> to meet the relevant materiality, complexity, capability, risk and performance of individual Agencies and/or groups</w:t>
      </w:r>
      <w:r w:rsidR="004A409E">
        <w:t xml:space="preserve"> of Agencies</w:t>
      </w:r>
      <w:r>
        <w:t xml:space="preserve">, and to complement any existing </w:t>
      </w:r>
      <w:r w:rsidR="004A409E">
        <w:t xml:space="preserve">relationship </w:t>
      </w:r>
      <w:r>
        <w:t>frameworks (which may be outlined in specific establishing legislation). The approach may consider specific monitoring based on whether portfolio Agencies are funded through general revenue sources or their own revenue sources, and the specific governance and accountability arrangements in place.</w:t>
      </w:r>
    </w:p>
    <w:p w14:paraId="1B781735" w14:textId="77777777" w:rsidR="00011FE1" w:rsidRDefault="00011FE1" w:rsidP="008E306C">
      <w:r>
        <w:t>The ‘fit for purpose’ approach could be enhanced by considering, for example, an ‘earned autonomy’ model. The model recognises and grants greater autonomy to portfolio Agencies when they have ‘earned’ this privilege by demonstrating consistently high standards in discharging their financial management responsibilities. Such a model could be based on specifying minimum requirements/controls across all portfolio Agencies and further tailored requirements.</w:t>
      </w:r>
    </w:p>
    <w:p w14:paraId="691EFFBA" w14:textId="77777777" w:rsidR="00011FE1" w:rsidRDefault="00011FE1" w:rsidP="008E306C">
      <w:r>
        <w:t xml:space="preserve">Whatever model(s) is chosen, </w:t>
      </w:r>
      <w:r w:rsidR="004A409E">
        <w:t>P</w:t>
      </w:r>
      <w:r>
        <w:t>ortfolio Departments need to be satisfied that the level of assurance will meet their portfolio responsibilities. Common key features for any model chosen include:</w:t>
      </w:r>
    </w:p>
    <w:p w14:paraId="65457A9A" w14:textId="77777777" w:rsidR="00011FE1" w:rsidRPr="009402E8" w:rsidRDefault="00011FE1" w:rsidP="00104FFB">
      <w:pPr>
        <w:pStyle w:val="GuidanceBullet1"/>
      </w:pPr>
      <w:r w:rsidRPr="009402E8">
        <w:t>periodic risk assessment in which the portfolio Department regularly assesses the risk of portfolio Agencies and when necessary, adjusts the monitoring and reporting requirements appropriate to the change in the risk environment;</w:t>
      </w:r>
    </w:p>
    <w:p w14:paraId="357D65B3" w14:textId="77777777" w:rsidR="00011FE1" w:rsidRPr="009402E8" w:rsidRDefault="00011FE1" w:rsidP="00104FFB">
      <w:pPr>
        <w:pStyle w:val="GuidanceBullet1"/>
      </w:pPr>
      <w:r w:rsidRPr="009402E8">
        <w:t xml:space="preserve">monitoring and reporting capability requirements of the </w:t>
      </w:r>
      <w:r w:rsidR="004A409E">
        <w:t>P</w:t>
      </w:r>
      <w:r w:rsidRPr="009402E8">
        <w:t>ortfolio Department to critically analyse Agency information, performance and compliance and identify necessary improvements; and</w:t>
      </w:r>
    </w:p>
    <w:p w14:paraId="26B35241" w14:textId="77777777" w:rsidR="00011FE1" w:rsidRPr="009402E8" w:rsidRDefault="00011FE1" w:rsidP="00104FFB">
      <w:pPr>
        <w:pStyle w:val="GuidanceBullet1"/>
      </w:pPr>
      <w:r w:rsidRPr="009402E8">
        <w:t>effective accountability mechanisms for management at both the portfolio Department and Agency levels.</w:t>
      </w:r>
    </w:p>
    <w:p w14:paraId="4867535E" w14:textId="77777777" w:rsidR="00011FE1" w:rsidRDefault="00011FE1" w:rsidP="008E306C">
      <w:r>
        <w:t>Portfolio Departments may consider establishing a portfolio board or a portfolio level audit and risk committee (including members external t</w:t>
      </w:r>
      <w:r w:rsidR="00465158">
        <w:t>o government) to support their D</w:t>
      </w:r>
      <w:r>
        <w:t>epartmental Secretary in effectively undertaking this portfolio role.</w:t>
      </w:r>
    </w:p>
    <w:p w14:paraId="3EF60920" w14:textId="77777777" w:rsidR="00011FE1" w:rsidRDefault="004A409E" w:rsidP="000501DE">
      <w:pPr>
        <w:pStyle w:val="Heading3NoNum"/>
      </w:pPr>
      <w:r>
        <w:t>Mechanisms to improve support</w:t>
      </w:r>
    </w:p>
    <w:p w14:paraId="7FC8F181" w14:textId="77777777" w:rsidR="00011FE1" w:rsidRDefault="00011FE1" w:rsidP="008E306C">
      <w:r>
        <w:t>To provide the necessary support</w:t>
      </w:r>
      <w:r w:rsidR="00453706">
        <w:t xml:space="preserve"> to Ministers and A</w:t>
      </w:r>
      <w:r w:rsidR="004A409E">
        <w:t>gencies</w:t>
      </w:r>
      <w:r>
        <w:t xml:space="preserve">, </w:t>
      </w:r>
      <w:r w:rsidR="004A409E">
        <w:t>P</w:t>
      </w:r>
      <w:r>
        <w:t>ortfolio Departments may:</w:t>
      </w:r>
    </w:p>
    <w:p w14:paraId="5AE5DCBF" w14:textId="1027DF10" w:rsidR="00011FE1" w:rsidRPr="009402E8" w:rsidRDefault="00011FE1" w:rsidP="00104FFB">
      <w:pPr>
        <w:pStyle w:val="GuidanceBullet1"/>
      </w:pPr>
      <w:r w:rsidRPr="009402E8">
        <w:t xml:space="preserve">review </w:t>
      </w:r>
      <w:r w:rsidR="0026669C">
        <w:t>P</w:t>
      </w:r>
      <w:r w:rsidR="004A409E" w:rsidRPr="009402E8">
        <w:t xml:space="preserve">ortfolio Agencies’ </w:t>
      </w:r>
      <w:r w:rsidRPr="009402E8">
        <w:t xml:space="preserve">planning documents to ensure they align with government priorities and intended objectives for the Agencies and to advise the Minister on the suitability of the plans, including financial sustainability. In the case of general government sector Agencies, </w:t>
      </w:r>
      <w:r w:rsidR="004A409E">
        <w:t xml:space="preserve">this provides </w:t>
      </w:r>
      <w:r w:rsidRPr="009402E8">
        <w:t>the ability to discuss and shape key strategies as part of corporate and long</w:t>
      </w:r>
      <w:r w:rsidR="00DB2C10">
        <w:t>-</w:t>
      </w:r>
      <w:r w:rsidRPr="009402E8">
        <w:t>term planning for the portfolio and in the development of objectives</w:t>
      </w:r>
      <w:r w:rsidR="00D8719C" w:rsidRPr="009402E8">
        <w:t>,</w:t>
      </w:r>
      <w:r w:rsidRPr="009402E8">
        <w:t xml:space="preserve"> indicators and performance measures; </w:t>
      </w:r>
    </w:p>
    <w:p w14:paraId="3F526108" w14:textId="77777777" w:rsidR="00011FE1" w:rsidRPr="009402E8" w:rsidRDefault="00011FE1" w:rsidP="00104FFB">
      <w:pPr>
        <w:pStyle w:val="GuidanceBullet1"/>
      </w:pPr>
      <w:r w:rsidRPr="009402E8">
        <w:t xml:space="preserve">facilitate </w:t>
      </w:r>
      <w:r w:rsidR="004A409E">
        <w:t xml:space="preserve">Portfolio </w:t>
      </w:r>
      <w:r w:rsidRPr="009402E8">
        <w:t>Agencies’ understanding and interpretation of government policy objectives and priorities and provide greate</w:t>
      </w:r>
      <w:r w:rsidR="00453706">
        <w:t>r clarity in the definition of A</w:t>
      </w:r>
      <w:r w:rsidRPr="009402E8">
        <w:t>gencies’ purpose, direction and objectives to ensure government’s intended purpose for establishing the Agency is achieved. This could be achieved through the relationship between government, portfolio Departments and Agencies, including through regular communication of expectations;</w:t>
      </w:r>
    </w:p>
    <w:p w14:paraId="56613AFC" w14:textId="77777777" w:rsidR="00011FE1" w:rsidRPr="009402E8" w:rsidRDefault="00011FE1" w:rsidP="00104FFB">
      <w:pPr>
        <w:pStyle w:val="GuidanceBullet1"/>
      </w:pPr>
      <w:r w:rsidRPr="009402E8">
        <w:t>review</w:t>
      </w:r>
      <w:r w:rsidR="004A409E">
        <w:t xml:space="preserve"> </w:t>
      </w:r>
      <w:r w:rsidR="0026669C">
        <w:t>P</w:t>
      </w:r>
      <w:r w:rsidR="004A409E" w:rsidRPr="009402E8">
        <w:t>ortfolio Agencies’</w:t>
      </w:r>
      <w:r w:rsidRPr="009402E8">
        <w:t xml:space="preserve"> periodic performance reports and advise on progress towards achieving targets;</w:t>
      </w:r>
    </w:p>
    <w:p w14:paraId="6B20AF89" w14:textId="77777777" w:rsidR="00011FE1" w:rsidRPr="009402E8" w:rsidRDefault="00011FE1" w:rsidP="00104FFB">
      <w:pPr>
        <w:pStyle w:val="GuidanceBullet1"/>
      </w:pPr>
      <w:r w:rsidRPr="009402E8">
        <w:t xml:space="preserve">review portfolio Agencies’ annual report to Parliament for alignment with government policies and priorities and review annual reports for smaller Agencies not required to table in Parliament; </w:t>
      </w:r>
    </w:p>
    <w:p w14:paraId="5FFAFA60" w14:textId="77777777" w:rsidR="00011FE1" w:rsidRPr="009402E8" w:rsidRDefault="00011FE1" w:rsidP="00104FFB">
      <w:pPr>
        <w:pStyle w:val="GuidanceBullet1"/>
      </w:pPr>
      <w:r w:rsidRPr="009402E8">
        <w:t>monitor overall compliance</w:t>
      </w:r>
      <w:r w:rsidR="004A409E">
        <w:t xml:space="preserve"> </w:t>
      </w:r>
      <w:r w:rsidR="004A409E" w:rsidRPr="009402E8">
        <w:t>with financial management requirements (including the FMA, Directions, Instructions and Compliance Framework)</w:t>
      </w:r>
      <w:r w:rsidR="004A409E">
        <w:t>,</w:t>
      </w:r>
      <w:r w:rsidR="004A409E" w:rsidRPr="009402E8">
        <w:t xml:space="preserve"> </w:t>
      </w:r>
      <w:r w:rsidR="00A053FA">
        <w:t>identify Significant or S</w:t>
      </w:r>
      <w:r w:rsidRPr="009402E8">
        <w:t>ystemic risk issues and remedial actions</w:t>
      </w:r>
      <w:r w:rsidR="004A409E">
        <w:t>, and provide advice to the Minister</w:t>
      </w:r>
      <w:r w:rsidRPr="009402E8">
        <w:t>; and</w:t>
      </w:r>
    </w:p>
    <w:p w14:paraId="3A642C63" w14:textId="77777777" w:rsidR="00011FE1" w:rsidRPr="009402E8" w:rsidRDefault="00011FE1" w:rsidP="00104FFB">
      <w:pPr>
        <w:pStyle w:val="GuidanceBullet1"/>
      </w:pPr>
      <w:r w:rsidRPr="009402E8">
        <w:t>provide timely, relevant and quality advice and inform</w:t>
      </w:r>
      <w:r w:rsidR="00465158">
        <w:t>ation to government and DTF on Departmental and P</w:t>
      </w:r>
      <w:r w:rsidRPr="009402E8">
        <w:t>ortfolio Agency performance, and ensure effective relationships with DTF to enable the management of whole of government financial risks and reporting on the State's finances.</w:t>
      </w:r>
    </w:p>
    <w:p w14:paraId="3007A0F1" w14:textId="77777777" w:rsidR="00011FE1" w:rsidRDefault="00011FE1" w:rsidP="00FC17D9">
      <w:pPr>
        <w:pStyle w:val="Heading2NoNum"/>
      </w:pPr>
      <w:r>
        <w:lastRenderedPageBreak/>
        <w:t>Portfolio roles, responsibilities and relationships</w:t>
      </w:r>
    </w:p>
    <w:p w14:paraId="2FB60243" w14:textId="77777777" w:rsidR="00011FE1" w:rsidRDefault="00011FE1" w:rsidP="008E306C">
      <w:r>
        <w:t xml:space="preserve">For </w:t>
      </w:r>
      <w:r w:rsidR="004A409E">
        <w:t>P</w:t>
      </w:r>
      <w:r>
        <w:t>ortfolio Departments to be well placed to provide timely advice to their Ministers</w:t>
      </w:r>
      <w:r w:rsidR="00465158">
        <w:t xml:space="preserve"> and DTF, it is important that D</w:t>
      </w:r>
      <w:r>
        <w:t>epartments:</w:t>
      </w:r>
    </w:p>
    <w:p w14:paraId="74818D78" w14:textId="77777777" w:rsidR="00011FE1" w:rsidRPr="009402E8" w:rsidRDefault="00011FE1" w:rsidP="00104FFB">
      <w:pPr>
        <w:pStyle w:val="GuidanceBullet1"/>
      </w:pPr>
      <w:r w:rsidRPr="009402E8">
        <w:t>have strong working relationships with portfolio Agencies, in particular between the departmental Secretary and Agency Accountable Officer; and</w:t>
      </w:r>
    </w:p>
    <w:p w14:paraId="291D1939" w14:textId="77777777" w:rsidR="00011FE1" w:rsidRPr="009402E8" w:rsidRDefault="00011FE1" w:rsidP="00104FFB">
      <w:pPr>
        <w:pStyle w:val="GuidanceBullet1"/>
      </w:pPr>
      <w:r w:rsidRPr="009402E8">
        <w:t xml:space="preserve">maintain effective communication channels. </w:t>
      </w:r>
    </w:p>
    <w:p w14:paraId="5C5D7772" w14:textId="77777777" w:rsidR="00011FE1" w:rsidRDefault="00011FE1" w:rsidP="008E306C">
      <w:r>
        <w:t>Provision of information that is appropriate and of sufficient quali</w:t>
      </w:r>
      <w:r w:rsidR="00465158">
        <w:t>ty by the Agencies will assist D</w:t>
      </w:r>
      <w:r>
        <w:t>epartments to develop policy, advise Ministers and provide information to DTF.</w:t>
      </w:r>
    </w:p>
    <w:p w14:paraId="08BC4528" w14:textId="77777777" w:rsidR="00011FE1" w:rsidRDefault="00011FE1" w:rsidP="008E306C">
      <w:r>
        <w:t xml:space="preserve">In supporting their </w:t>
      </w:r>
      <w:r w:rsidR="00465158">
        <w:t>Minister(s)’ responsibilities, D</w:t>
      </w:r>
      <w:r>
        <w:t xml:space="preserve">epartments should not interfere with the statutory independence of portfolio Agencies. </w:t>
      </w:r>
    </w:p>
    <w:p w14:paraId="39B5C2DC" w14:textId="77777777" w:rsidR="00011FE1" w:rsidRDefault="00011FE1" w:rsidP="008E306C">
      <w:r>
        <w:t xml:space="preserve">By providing the required support to Ministers, </w:t>
      </w:r>
      <w:r w:rsidR="00275A14">
        <w:t>Portfolio D</w:t>
      </w:r>
      <w:r>
        <w:t>epartments will have the business intelligence and relationships necessary to better support DTF in their whole of State advice to government. Departments contribute to managing whole of State outcomes by actively monitoring and advising on the overall portfolio performance, in addition to individual Agency performance and facilitating information flows.</w:t>
      </w:r>
    </w:p>
    <w:p w14:paraId="0D0135A9" w14:textId="77777777" w:rsidR="000B3803" w:rsidRDefault="000B3803" w:rsidP="000B3803">
      <w:pPr>
        <w:pStyle w:val="Heading1NoNum"/>
      </w:pPr>
      <w:r>
        <w:t xml:space="preserve">Portfolio Agency responsibilities </w:t>
      </w:r>
    </w:p>
    <w:p w14:paraId="02744FAB" w14:textId="77777777" w:rsidR="0026669C" w:rsidRDefault="0026669C" w:rsidP="000B3803">
      <w:r>
        <w:t>Under the Directions, Portfolio Agencies are required to:</w:t>
      </w:r>
    </w:p>
    <w:p w14:paraId="4320FA3C" w14:textId="51CC7874" w:rsidR="000B3803" w:rsidRDefault="0026669C" w:rsidP="00104FFB">
      <w:pPr>
        <w:pStyle w:val="GuidanceBullet1"/>
      </w:pPr>
      <w:r w:rsidRPr="0026669C">
        <w:t xml:space="preserve">notify their Portfolio Department’s Accountable Officer of any significant issue of which the they are aware that may affect or have affected the Agency’s or State’s </w:t>
      </w:r>
      <w:r w:rsidR="00085197" w:rsidRPr="00354AB3">
        <w:t>financial management</w:t>
      </w:r>
      <w:r w:rsidR="00085197">
        <w:t>, performance, sustainability</w:t>
      </w:r>
      <w:r w:rsidR="00085197">
        <w:rPr>
          <w:lang w:eastAsia="en-US"/>
        </w:rPr>
        <w:t xml:space="preserve"> or reputation</w:t>
      </w:r>
      <w:r w:rsidR="00085197">
        <w:t xml:space="preserve"> </w:t>
      </w:r>
      <w:r>
        <w:t>(</w:t>
      </w:r>
      <w:hyperlink r:id="rId49" w:anchor="standing-directions-2018" w:history="1">
        <w:r w:rsidRPr="0051115B">
          <w:rPr>
            <w:rStyle w:val="Hyperlink"/>
          </w:rPr>
          <w:t xml:space="preserve">Direction </w:t>
        </w:r>
        <w:r w:rsidR="00085197" w:rsidRPr="0051115B">
          <w:rPr>
            <w:rStyle w:val="Hyperlink"/>
          </w:rPr>
          <w:t>2.3.3</w:t>
        </w:r>
      </w:hyperlink>
      <w:r>
        <w:t>);</w:t>
      </w:r>
      <w:r w:rsidR="00085197">
        <w:t xml:space="preserve"> and</w:t>
      </w:r>
    </w:p>
    <w:p w14:paraId="632CA298" w14:textId="7DDB82CA" w:rsidR="0026669C" w:rsidRDefault="00085197" w:rsidP="00104FFB">
      <w:pPr>
        <w:pStyle w:val="GuidanceBullet1"/>
      </w:pPr>
      <w:r>
        <w:t xml:space="preserve">in the case of their CFO, </w:t>
      </w:r>
      <w:r w:rsidR="0026669C" w:rsidRPr="0026669C">
        <w:t>provide quality and timely information to the rel</w:t>
      </w:r>
      <w:r>
        <w:t xml:space="preserve">evant Portfolio Department CFO </w:t>
      </w:r>
      <w:r w:rsidRPr="00085197">
        <w:t>to meet portfolio reporting obligations</w:t>
      </w:r>
      <w:r>
        <w:t xml:space="preserve">, and </w:t>
      </w:r>
      <w:r w:rsidRPr="0026669C">
        <w:t xml:space="preserve">establish and maintain an effective relationship with the relevant Portfolio Department CFO </w:t>
      </w:r>
      <w:r w:rsidR="0026669C">
        <w:t>(</w:t>
      </w:r>
      <w:hyperlink r:id="rId50" w:anchor="standing-directions-2018" w:history="1">
        <w:r w:rsidR="0026669C" w:rsidRPr="0051115B">
          <w:rPr>
            <w:rStyle w:val="Hyperlink"/>
          </w:rPr>
          <w:t xml:space="preserve">Direction </w:t>
        </w:r>
        <w:r w:rsidRPr="0051115B">
          <w:rPr>
            <w:rStyle w:val="Hyperlink"/>
          </w:rPr>
          <w:t>2.4.3</w:t>
        </w:r>
      </w:hyperlink>
      <w:r>
        <w:t xml:space="preserve">); </w:t>
      </w:r>
    </w:p>
    <w:p w14:paraId="4266870C" w14:textId="69081A85" w:rsidR="00085197" w:rsidRDefault="00085197" w:rsidP="00104FFB">
      <w:pPr>
        <w:pStyle w:val="GuidanceBullet1"/>
      </w:pPr>
      <w:r>
        <w:t xml:space="preserve">notify the Portfolio Department </w:t>
      </w:r>
      <w:r w:rsidRPr="00085197">
        <w:t>of any Material Compliance Deficiency, and of planned and completed remedial actions, as soon as practicable</w:t>
      </w:r>
      <w:r>
        <w:t xml:space="preserve"> (</w:t>
      </w:r>
      <w:hyperlink r:id="rId51" w:anchor="standing-directions-2018" w:history="1">
        <w:r w:rsidRPr="0051115B">
          <w:rPr>
            <w:rStyle w:val="Hyperlink"/>
          </w:rPr>
          <w:t>Direction 5.1.6</w:t>
        </w:r>
      </w:hyperlink>
      <w:r>
        <w:t>);</w:t>
      </w:r>
    </w:p>
    <w:p w14:paraId="7257AB6D" w14:textId="29C0D2BE" w:rsidR="00085197" w:rsidRDefault="00085197" w:rsidP="00104FFB">
      <w:pPr>
        <w:pStyle w:val="GuidanceBullet1"/>
      </w:pPr>
      <w:r>
        <w:t>for Portfolio Agencies that are Controlled Entities, comply with additional repor</w:t>
      </w:r>
      <w:r w:rsidR="001A672F">
        <w:t>ting requirements (</w:t>
      </w:r>
      <w:hyperlink r:id="rId52" w:anchor="standing-directions-2018" w:history="1">
        <w:r w:rsidR="001A672F" w:rsidRPr="0051115B">
          <w:rPr>
            <w:rStyle w:val="Hyperlink"/>
          </w:rPr>
          <w:t>Direction 5.3</w:t>
        </w:r>
        <w:r w:rsidRPr="0051115B">
          <w:rPr>
            <w:rStyle w:val="Hyperlink"/>
          </w:rPr>
          <w:t>.2</w:t>
        </w:r>
      </w:hyperlink>
      <w:r>
        <w:t>).</w:t>
      </w:r>
    </w:p>
    <w:p w14:paraId="28586D29" w14:textId="77777777" w:rsidR="0026669C" w:rsidRDefault="0026669C" w:rsidP="0026669C">
      <w:r>
        <w:t>These Directions are intended to be</w:t>
      </w:r>
      <w:r w:rsidR="00085197">
        <w:t xml:space="preserve"> broadly</w:t>
      </w:r>
      <w:r>
        <w:t xml:space="preserve"> consistent with section 13A of the PAA. The focus is on providing reliable and timely information to the Portfolio Departme</w:t>
      </w:r>
      <w:r w:rsidR="00465158">
        <w:t>nt, which can then support the D</w:t>
      </w:r>
      <w:r>
        <w:t xml:space="preserve">epartment to advise the Minister on matters affecting the Portfolio Agency. There is also a focus on fostering a positive relationship. </w:t>
      </w:r>
    </w:p>
    <w:p w14:paraId="63607B69" w14:textId="77777777" w:rsidR="00011FE1" w:rsidRDefault="00011FE1" w:rsidP="008E306C">
      <w:pPr>
        <w:pStyle w:val="Heading1NoNum"/>
      </w:pPr>
      <w:r>
        <w:t>Further information</w:t>
      </w:r>
    </w:p>
    <w:p w14:paraId="076B49DC" w14:textId="1390FAB4" w:rsidR="00011FE1" w:rsidRDefault="00011FE1" w:rsidP="00104FFB">
      <w:pPr>
        <w:pStyle w:val="GuidanceBullet1"/>
      </w:pPr>
      <w:r w:rsidRPr="00676551">
        <w:t>Victorian Public Sector Commission</w:t>
      </w:r>
      <w:r w:rsidR="00676551">
        <w:t xml:space="preserve">: </w:t>
      </w:r>
      <w:r>
        <w:t xml:space="preserve"> </w:t>
      </w:r>
      <w:hyperlink r:id="rId53" w:history="1">
        <w:r w:rsidRPr="00CB53E8">
          <w:rPr>
            <w:rStyle w:val="Hyperlink"/>
          </w:rPr>
          <w:t>Serving Victoria: A Guide for Public Sector CEOs</w:t>
        </w:r>
      </w:hyperlink>
      <w:r w:rsidR="007A23FF">
        <w:rPr>
          <w:rStyle w:val="FootnoteReference"/>
          <w:color w:val="595959" w:themeColor="text1" w:themeTint="A6"/>
        </w:rPr>
        <w:footnoteReference w:id="5"/>
      </w:r>
      <w:r>
        <w:t>.</w:t>
      </w:r>
    </w:p>
    <w:p w14:paraId="39FD20D0" w14:textId="77777777" w:rsidR="00C93D5F" w:rsidRDefault="00C93D5F" w:rsidP="00C93D5F"/>
    <w:p w14:paraId="3EE0A5A0" w14:textId="77777777" w:rsidR="00E862D1" w:rsidRDefault="00E862D1" w:rsidP="00947A0F">
      <w:pPr>
        <w:pStyle w:val="GuidanceTitle"/>
        <w:sectPr w:rsidR="00E862D1" w:rsidSect="007F1A5E">
          <w:pgSz w:w="11906" w:h="16838"/>
          <w:pgMar w:top="1440" w:right="1008" w:bottom="1440" w:left="1008" w:header="706" w:footer="389" w:gutter="0"/>
          <w:cols w:space="708"/>
          <w:titlePg/>
          <w:docGrid w:linePitch="360"/>
        </w:sectPr>
      </w:pPr>
    </w:p>
    <w:p w14:paraId="4B3ED1B4" w14:textId="77777777" w:rsidR="00947A0F" w:rsidRPr="00322B5C" w:rsidRDefault="00E862D1" w:rsidP="00947A0F">
      <w:pPr>
        <w:pStyle w:val="GuidanceTitle"/>
      </w:pPr>
      <w:bookmarkStart w:id="14" w:name="Guidance_2_3_5"/>
      <w:bookmarkStart w:id="15" w:name="_Toc441672085"/>
      <w:r>
        <w:lastRenderedPageBreak/>
        <w:t xml:space="preserve">Guidance </w:t>
      </w:r>
      <w:r w:rsidR="00947A0F">
        <w:t>2.3.</w:t>
      </w:r>
      <w:r w:rsidR="00961833">
        <w:t>5</w:t>
      </w:r>
      <w:bookmarkEnd w:id="14"/>
      <w:r w:rsidR="00947A0F" w:rsidRPr="00BD1230">
        <w:t xml:space="preserve"> – </w:t>
      </w:r>
      <w:r w:rsidR="00947A0F" w:rsidRPr="00947A0F">
        <w:t xml:space="preserve">Responsibility to </w:t>
      </w:r>
      <w:r w:rsidR="00B01976">
        <w:t>establish requirements for</w:t>
      </w:r>
      <w:r w:rsidR="00947A0F" w:rsidRPr="00947A0F">
        <w:t xml:space="preserve"> </w:t>
      </w:r>
      <w:r w:rsidR="00A70E0A">
        <w:t>excluded</w:t>
      </w:r>
      <w:r w:rsidR="00947A0F" w:rsidRPr="00947A0F">
        <w:t xml:space="preserve"> entities</w:t>
      </w:r>
      <w:bookmarkEnd w:id="15"/>
    </w:p>
    <w:p w14:paraId="43FFB36B" w14:textId="77777777" w:rsidR="00947A0F" w:rsidRDefault="00947A0F" w:rsidP="00947A0F">
      <w:pPr>
        <w:pStyle w:val="Spacer"/>
      </w:pPr>
    </w:p>
    <w:tbl>
      <w:tblPr>
        <w:tblStyle w:val="Table12"/>
        <w:tblW w:w="9900" w:type="dxa"/>
        <w:tblLook w:val="0080" w:firstRow="0" w:lastRow="0" w:firstColumn="1" w:lastColumn="0" w:noHBand="0" w:noVBand="0"/>
      </w:tblPr>
      <w:tblGrid>
        <w:gridCol w:w="3119"/>
        <w:gridCol w:w="6781"/>
      </w:tblGrid>
      <w:tr w:rsidR="00947A0F" w:rsidRPr="00DF1F81" w14:paraId="79018214" w14:textId="77777777" w:rsidTr="0094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392DF38" w14:textId="77777777" w:rsidR="00947A0F" w:rsidRPr="00DF1F81" w:rsidRDefault="00947A0F" w:rsidP="00947A0F">
            <w:pPr>
              <w:pStyle w:val="Tabletext"/>
              <w:rPr>
                <w:b/>
                <w:sz w:val="20"/>
              </w:rPr>
            </w:pPr>
            <w:r w:rsidRPr="00DF1F81">
              <w:rPr>
                <w:b/>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748A4EE4" w14:textId="77777777" w:rsidR="00947A0F" w:rsidRPr="001F5470" w:rsidRDefault="00947A0F" w:rsidP="00697217">
            <w:pPr>
              <w:pStyle w:val="Tabletext"/>
            </w:pPr>
            <w:r w:rsidRPr="005921BC">
              <w:rPr>
                <w:szCs w:val="18"/>
              </w:rPr>
              <w:t>Provides</w:t>
            </w:r>
            <w:r w:rsidR="00697217">
              <w:rPr>
                <w:szCs w:val="18"/>
              </w:rPr>
              <w:t xml:space="preserve"> information to assist relevant Agencies to implement </w:t>
            </w:r>
            <w:r w:rsidR="0009610F">
              <w:rPr>
                <w:szCs w:val="18"/>
              </w:rPr>
              <w:t>the responsibility to establish</w:t>
            </w:r>
            <w:r w:rsidRPr="005921BC">
              <w:rPr>
                <w:szCs w:val="18"/>
              </w:rPr>
              <w:t xml:space="preserve"> </w:t>
            </w:r>
            <w:r w:rsidR="00697217">
              <w:rPr>
                <w:szCs w:val="18"/>
              </w:rPr>
              <w:t xml:space="preserve">financial management requirements for certain excluded entities. </w:t>
            </w:r>
          </w:p>
        </w:tc>
      </w:tr>
      <w:tr w:rsidR="00947A0F" w:rsidRPr="00DF1F81" w14:paraId="3610AD5B" w14:textId="77777777" w:rsidTr="00947A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9E81FD8" w14:textId="77777777" w:rsidR="00947A0F" w:rsidRPr="00322B5C" w:rsidRDefault="00947A0F" w:rsidP="00947A0F">
            <w:pPr>
              <w:pStyle w:val="Tabletext"/>
              <w:rPr>
                <w:b/>
                <w:sz w:val="20"/>
              </w:rPr>
            </w:pPr>
            <w:r w:rsidRPr="00322B5C">
              <w:rPr>
                <w:b/>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691A6E91" w14:textId="77777777" w:rsidR="00947A0F" w:rsidRPr="005921BC" w:rsidRDefault="00947A0F" w:rsidP="00947A0F">
            <w:pPr>
              <w:pStyle w:val="Tabletext"/>
              <w:rPr>
                <w:sz w:val="20"/>
              </w:rPr>
            </w:pPr>
            <w:r>
              <w:t>1 July 2016</w:t>
            </w:r>
          </w:p>
        </w:tc>
      </w:tr>
      <w:tr w:rsidR="00947A0F" w:rsidRPr="00DF1F81" w14:paraId="6837B30B" w14:textId="77777777" w:rsidTr="00947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8D75F7D" w14:textId="77777777" w:rsidR="00947A0F" w:rsidRPr="00322B5C" w:rsidRDefault="00947A0F" w:rsidP="002A7DE1">
            <w:pPr>
              <w:pStyle w:val="Tabletext"/>
              <w:rPr>
                <w:b/>
              </w:rPr>
            </w:pPr>
            <w:r w:rsidRPr="00322B5C">
              <w:rPr>
                <w:b/>
              </w:rPr>
              <w:br w:type="page"/>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397719AC" w14:textId="546DD2A3" w:rsidR="00727BBF" w:rsidRDefault="00727BBF" w:rsidP="00947A0F">
            <w:pPr>
              <w:pStyle w:val="Tabletext"/>
            </w:pPr>
            <w:hyperlink r:id="rId54" w:anchor="standing-directions-2018" w:history="1">
              <w:r w:rsidRPr="00D46AD3">
                <w:rPr>
                  <w:rStyle w:val="Hyperlink"/>
                </w:rPr>
                <w:t>1.2 Application</w:t>
              </w:r>
            </w:hyperlink>
            <w:r>
              <w:t xml:space="preserve"> </w:t>
            </w:r>
          </w:p>
          <w:p w14:paraId="2920BE77" w14:textId="7F946247" w:rsidR="00947A0F" w:rsidRPr="00727BBF" w:rsidRDefault="00727BBF" w:rsidP="003D3D25">
            <w:pPr>
              <w:pStyle w:val="Tabletext"/>
            </w:pPr>
            <w:hyperlink r:id="rId55" w:anchor="standing-directions-2018" w:history="1">
              <w:r w:rsidRPr="00D46AD3">
                <w:rPr>
                  <w:rStyle w:val="Hyperlink"/>
                </w:rPr>
                <w:t>2.3.</w:t>
              </w:r>
              <w:r w:rsidR="003D3D25" w:rsidRPr="00D46AD3">
                <w:rPr>
                  <w:rStyle w:val="Hyperlink"/>
                </w:rPr>
                <w:t>5</w:t>
              </w:r>
              <w:r w:rsidR="00947A0F" w:rsidRPr="00D46AD3">
                <w:rPr>
                  <w:rStyle w:val="Hyperlink"/>
                </w:rPr>
                <w:t xml:space="preserve"> </w:t>
              </w:r>
              <w:r w:rsidRPr="00D46AD3">
                <w:rPr>
                  <w:rStyle w:val="Hyperlink"/>
                </w:rPr>
                <w:t xml:space="preserve">Responsibility to </w:t>
              </w:r>
              <w:r w:rsidR="00A70E0A" w:rsidRPr="00D46AD3">
                <w:rPr>
                  <w:rStyle w:val="Hyperlink"/>
                </w:rPr>
                <w:t>establish requirements for excluded</w:t>
              </w:r>
              <w:r w:rsidRPr="00D46AD3">
                <w:rPr>
                  <w:rStyle w:val="Hyperlink"/>
                </w:rPr>
                <w:t xml:space="preserve"> entities</w:t>
              </w:r>
            </w:hyperlink>
          </w:p>
        </w:tc>
      </w:tr>
      <w:tr w:rsidR="00947A0F" w:rsidRPr="00DF1F81" w14:paraId="21835F7B" w14:textId="77777777" w:rsidTr="00947A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BDCA8B4" w14:textId="77777777" w:rsidR="00947A0F" w:rsidRPr="00322B5C" w:rsidRDefault="00947A0F" w:rsidP="00947A0F">
            <w:pPr>
              <w:pStyle w:val="Tabletext"/>
              <w:rPr>
                <w:b/>
                <w:sz w:val="20"/>
              </w:rPr>
            </w:pPr>
            <w:r w:rsidRPr="00322B5C">
              <w:rPr>
                <w:b/>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1B40D6F6" w14:textId="46B69A82" w:rsidR="00947A0F" w:rsidRPr="005921BC" w:rsidRDefault="00515507" w:rsidP="00947A0F">
            <w:pPr>
              <w:pStyle w:val="Tabletext"/>
              <w:rPr>
                <w:sz w:val="20"/>
              </w:rPr>
            </w:pPr>
            <w:r>
              <w:rPr>
                <w:bCs w:val="0"/>
              </w:rPr>
              <w:t>1</w:t>
            </w:r>
            <w:r w:rsidR="00A72443">
              <w:rPr>
                <w:bCs w:val="0"/>
              </w:rPr>
              <w:t xml:space="preserve"> Ma</w:t>
            </w:r>
            <w:r>
              <w:rPr>
                <w:bCs w:val="0"/>
              </w:rPr>
              <w:t>y</w:t>
            </w:r>
            <w:r w:rsidR="00A72443">
              <w:rPr>
                <w:bCs w:val="0"/>
              </w:rPr>
              <w:t xml:space="preserve"> 2019</w:t>
            </w:r>
          </w:p>
        </w:tc>
      </w:tr>
    </w:tbl>
    <w:p w14:paraId="47F2A96E" w14:textId="77777777" w:rsidR="000F78AE" w:rsidRDefault="000F78AE" w:rsidP="000F78AE">
      <w:pPr>
        <w:pStyle w:val="Heading1NoNum"/>
      </w:pPr>
      <w:r>
        <w:t>Application of Directions</w:t>
      </w:r>
    </w:p>
    <w:p w14:paraId="435AC032" w14:textId="18205CA9" w:rsidR="003D3D25" w:rsidRDefault="007031B1" w:rsidP="00727BBF">
      <w:hyperlink r:id="rId56" w:anchor="standing-directions-2018" w:history="1">
        <w:r w:rsidRPr="0051115B">
          <w:rPr>
            <w:rStyle w:val="Hyperlink"/>
          </w:rPr>
          <w:t>Direction 1.2</w:t>
        </w:r>
      </w:hyperlink>
      <w:r>
        <w:t xml:space="preserve"> provides that the Directions</w:t>
      </w:r>
      <w:r w:rsidR="005434CD">
        <w:t xml:space="preserve"> and Instructions</w:t>
      </w:r>
      <w:r>
        <w:t xml:space="preserve"> apply to all </w:t>
      </w:r>
      <w:r w:rsidR="003D3D25">
        <w:t>Agencies</w:t>
      </w:r>
      <w:r>
        <w:t xml:space="preserve">, </w:t>
      </w:r>
      <w:proofErr w:type="gramStart"/>
      <w:r>
        <w:t>except for:</w:t>
      </w:r>
      <w:proofErr w:type="gramEnd"/>
      <w:r w:rsidR="00D015A4">
        <w:t xml:space="preserve"> </w:t>
      </w:r>
      <w:r>
        <w:t xml:space="preserve">school councils; </w:t>
      </w:r>
      <w:r w:rsidR="005003F6">
        <w:t xml:space="preserve">incorporated </w:t>
      </w:r>
      <w:r>
        <w:t>committees of management; class B cemetery trusts;</w:t>
      </w:r>
      <w:r w:rsidR="00D015A4">
        <w:t xml:space="preserve"> </w:t>
      </w:r>
      <w:r w:rsidR="00936F20">
        <w:t>VicSES registered units; and</w:t>
      </w:r>
      <w:r w:rsidR="00D015A4">
        <w:t xml:space="preserve"> </w:t>
      </w:r>
      <w:r>
        <w:t>Country Fi</w:t>
      </w:r>
      <w:r w:rsidR="00D015A4">
        <w:t>re Authority volunteer brigades (note, however, that t</w:t>
      </w:r>
      <w:r w:rsidR="005434CD">
        <w:t xml:space="preserve">hese </w:t>
      </w:r>
      <w:r w:rsidR="003D3D25">
        <w:t xml:space="preserve">Agencies remain </w:t>
      </w:r>
      <w:r w:rsidR="005434CD">
        <w:t xml:space="preserve">subject to the requirements of the </w:t>
      </w:r>
      <w:r w:rsidR="00C726FA">
        <w:t>FMA</w:t>
      </w:r>
      <w:r w:rsidR="00D015A4">
        <w:t>)</w:t>
      </w:r>
      <w:r w:rsidR="005434CD">
        <w:t xml:space="preserve">. </w:t>
      </w:r>
    </w:p>
    <w:p w14:paraId="0B8C12D6" w14:textId="6170CA9A" w:rsidR="007031B1" w:rsidRDefault="007031B1" w:rsidP="00727BBF">
      <w:hyperlink r:id="rId57" w:anchor="standing-directions-2018" w:history="1">
        <w:r w:rsidRPr="0051115B">
          <w:rPr>
            <w:rStyle w:val="Hyperlink"/>
          </w:rPr>
          <w:t>Direction 2.3.</w:t>
        </w:r>
        <w:r w:rsidR="00FE08CF" w:rsidRPr="0051115B">
          <w:rPr>
            <w:rStyle w:val="Hyperlink"/>
          </w:rPr>
          <w:t>5</w:t>
        </w:r>
      </w:hyperlink>
      <w:r w:rsidR="007B47C8">
        <w:t xml:space="preserve"> then</w:t>
      </w:r>
      <w:r w:rsidR="00922B56">
        <w:t xml:space="preserve"> provides that</w:t>
      </w:r>
      <w:r>
        <w:t xml:space="preserve"> </w:t>
      </w:r>
      <w:r w:rsidR="00887221">
        <w:t xml:space="preserve">appropriate financial management requirements must be established for these excluded Agencies. </w:t>
      </w:r>
    </w:p>
    <w:p w14:paraId="17BB58F6" w14:textId="77777777" w:rsidR="00EE5AC7" w:rsidRDefault="00EE5AC7" w:rsidP="002F52C6">
      <w:r>
        <w:t>This means that:</w:t>
      </w:r>
      <w:r>
        <w:rPr>
          <w:rStyle w:val="FootnoteReference"/>
        </w:rPr>
        <w:footnoteReference w:id="6"/>
      </w:r>
    </w:p>
    <w:p w14:paraId="09509835" w14:textId="77777777" w:rsidR="00EE5AC7" w:rsidRDefault="00EE5AC7" w:rsidP="00104FFB">
      <w:pPr>
        <w:pStyle w:val="GuidanceBullet1"/>
      </w:pPr>
      <w:r>
        <w:t>the Department of Education and Training must establish requirements for school councils;</w:t>
      </w:r>
      <w:r w:rsidRPr="00EE5AC7">
        <w:t xml:space="preserve"> </w:t>
      </w:r>
    </w:p>
    <w:p w14:paraId="73EBDDA0" w14:textId="66523634" w:rsidR="00EE5AC7" w:rsidRDefault="00EE5AC7" w:rsidP="00104FFB">
      <w:pPr>
        <w:pStyle w:val="GuidanceBullet1"/>
      </w:pPr>
      <w:r>
        <w:t xml:space="preserve">the Department of </w:t>
      </w:r>
      <w:r w:rsidR="00780F7A">
        <w:t xml:space="preserve">Environment, </w:t>
      </w:r>
      <w:r>
        <w:t xml:space="preserve">Land, Water and Planning </w:t>
      </w:r>
      <w:r w:rsidR="00D537A3">
        <w:t xml:space="preserve">(DELWP) </w:t>
      </w:r>
      <w:r>
        <w:t xml:space="preserve">must establish requirements for </w:t>
      </w:r>
      <w:r w:rsidR="005003F6">
        <w:t xml:space="preserve">incorporated </w:t>
      </w:r>
      <w:r>
        <w:t>committees of management;</w:t>
      </w:r>
    </w:p>
    <w:p w14:paraId="3AA2420E" w14:textId="77777777" w:rsidR="00EE5AC7" w:rsidRDefault="00EE5AC7" w:rsidP="00104FFB">
      <w:pPr>
        <w:pStyle w:val="GuidanceBullet1"/>
      </w:pPr>
      <w:r>
        <w:t>the Department of Health and Human Services must establish requirements for class B cemetery trusts;</w:t>
      </w:r>
    </w:p>
    <w:p w14:paraId="7DCCE188" w14:textId="77777777" w:rsidR="005F2E39" w:rsidRDefault="005F2E39" w:rsidP="00104FFB">
      <w:pPr>
        <w:pStyle w:val="GuidanceBullet1"/>
      </w:pPr>
      <w:r>
        <w:t>VicSES must establish requirements for their registered units; and</w:t>
      </w:r>
    </w:p>
    <w:p w14:paraId="37F5256E" w14:textId="77777777" w:rsidR="00EE5AC7" w:rsidRDefault="00EE5AC7" w:rsidP="00104FFB">
      <w:pPr>
        <w:pStyle w:val="GuidanceBullet1"/>
      </w:pPr>
      <w:r>
        <w:t xml:space="preserve">the Country Fire Authority must establish requirements for </w:t>
      </w:r>
      <w:r w:rsidR="00936F20">
        <w:t xml:space="preserve">their </w:t>
      </w:r>
      <w:r w:rsidR="005F2E39">
        <w:t>volunteer brigades</w:t>
      </w:r>
      <w:r w:rsidR="00FE08CF">
        <w:t>.</w:t>
      </w:r>
    </w:p>
    <w:p w14:paraId="52A9ACB9" w14:textId="7AF665F1" w:rsidR="002F52C6" w:rsidRDefault="002F52C6" w:rsidP="002F52C6">
      <w:r>
        <w:t xml:space="preserve">Entities such as school councils and volunteer brigades are </w:t>
      </w:r>
      <w:r w:rsidR="00B01976">
        <w:t xml:space="preserve">excluded from </w:t>
      </w:r>
      <w:r>
        <w:t xml:space="preserve">the Directions because in most cases their size and risk profile </w:t>
      </w:r>
      <w:r w:rsidR="004458FC">
        <w:t xml:space="preserve">are </w:t>
      </w:r>
      <w:r>
        <w:t xml:space="preserve">such that many of the requirements would be </w:t>
      </w:r>
      <w:r w:rsidR="000F78AE">
        <w:t>inappropriate for them</w:t>
      </w:r>
      <w:r>
        <w:t>.</w:t>
      </w:r>
      <w:r w:rsidR="000F78AE">
        <w:t xml:space="preserve"> These entities usually have </w:t>
      </w:r>
      <w:r w:rsidR="00EE5AC7">
        <w:t>low</w:t>
      </w:r>
      <w:r>
        <w:t xml:space="preserve"> </w:t>
      </w:r>
      <w:r w:rsidR="000F78AE">
        <w:t xml:space="preserve">financial risk, and unique staffing arrangements (such as the extensive use of volunteers) that require tailored financial management requirements. </w:t>
      </w:r>
      <w:r>
        <w:t>Further, these entities have a closer relationship with their Portfolio Department or</w:t>
      </w:r>
      <w:r w:rsidR="000F78AE">
        <w:t xml:space="preserve"> (in the case of volunteer brigades) with their</w:t>
      </w:r>
      <w:r>
        <w:t xml:space="preserve"> Agency than most other Agencies</w:t>
      </w:r>
      <w:r w:rsidR="00B01976">
        <w:t>, including shared financial arrangements</w:t>
      </w:r>
      <w:r>
        <w:t xml:space="preserve">. Accordingly, it is more appropriate for </w:t>
      </w:r>
      <w:r w:rsidR="000F78AE">
        <w:t xml:space="preserve">their Portfolio Department or Agency to establish appropriate financial management requirements for them. </w:t>
      </w:r>
    </w:p>
    <w:p w14:paraId="52542526" w14:textId="77777777" w:rsidR="000F78AE" w:rsidRDefault="0097481C" w:rsidP="000F78AE">
      <w:pPr>
        <w:pStyle w:val="Heading1NoNum"/>
      </w:pPr>
      <w:r>
        <w:t>Establishing a</w:t>
      </w:r>
      <w:r w:rsidR="000F78AE">
        <w:t>ppropriate financial management requirements</w:t>
      </w:r>
    </w:p>
    <w:p w14:paraId="01220AE2" w14:textId="77777777" w:rsidR="00887221" w:rsidRDefault="007A23FF" w:rsidP="00887221">
      <w:r>
        <w:t>‘</w:t>
      </w:r>
      <w:r w:rsidR="00887221">
        <w:t>A</w:t>
      </w:r>
      <w:r w:rsidR="006421B6">
        <w:t>ppropriate fi</w:t>
      </w:r>
      <w:r w:rsidR="00887221">
        <w:t>nancial management requirements</w:t>
      </w:r>
      <w:r>
        <w:t>’</w:t>
      </w:r>
      <w:r w:rsidR="00887221">
        <w:t xml:space="preserve"> means a set of requirements that impose an appropriate level of financial management accountability, governance and compliance, having regard to the </w:t>
      </w:r>
      <w:r w:rsidR="007B47C8">
        <w:t xml:space="preserve">nature of the </w:t>
      </w:r>
      <w:r w:rsidR="00887221">
        <w:t>entities in question, including size, risk profile, and the financial risk that they pose to the State</w:t>
      </w:r>
      <w:r w:rsidR="00EF4F43">
        <w:t>, both individually and as a class</w:t>
      </w:r>
      <w:r w:rsidR="00887221">
        <w:t xml:space="preserve">. </w:t>
      </w:r>
    </w:p>
    <w:p w14:paraId="12083F0B" w14:textId="77777777" w:rsidR="00EF4F43" w:rsidRDefault="00EF4F43" w:rsidP="00887221">
      <w:r w:rsidRPr="00EF4F43">
        <w:t xml:space="preserve">The requirements should be proportionate to the financial management </w:t>
      </w:r>
      <w:r>
        <w:t xml:space="preserve">needs and </w:t>
      </w:r>
      <w:r w:rsidRPr="00EF4F43">
        <w:t>responsibilities of the</w:t>
      </w:r>
      <w:r>
        <w:t xml:space="preserve"> relevant </w:t>
      </w:r>
      <w:r w:rsidRPr="00EF4F43">
        <w:t xml:space="preserve">entities. For example, </w:t>
      </w:r>
      <w:r>
        <w:t xml:space="preserve">because </w:t>
      </w:r>
      <w:r w:rsidRPr="00EF4F43">
        <w:t>school councils</w:t>
      </w:r>
      <w:r>
        <w:t xml:space="preserve"> </w:t>
      </w:r>
      <w:r w:rsidR="003022D8">
        <w:t xml:space="preserve">collectively </w:t>
      </w:r>
      <w:r>
        <w:t xml:space="preserve">manage state assets of significant value, it would be appropriate for them to be subject to </w:t>
      </w:r>
      <w:r w:rsidR="003022D8">
        <w:t xml:space="preserve">sophisticated </w:t>
      </w:r>
      <w:r>
        <w:t>asset management requirements</w:t>
      </w:r>
      <w:r w:rsidR="003022D8">
        <w:t xml:space="preserve"> proportionate to the collective value of the assets they manage</w:t>
      </w:r>
      <w:r>
        <w:t xml:space="preserve">. By contrast, the requirements for other entities </w:t>
      </w:r>
      <w:r w:rsidR="003022D8">
        <w:t xml:space="preserve">and classes of entities </w:t>
      </w:r>
      <w:r>
        <w:t xml:space="preserve">that do not manage significant assets would be focused on other aspects of financial management. </w:t>
      </w:r>
    </w:p>
    <w:p w14:paraId="53DAA4D9" w14:textId="3A6F99D5" w:rsidR="00887221" w:rsidRDefault="00887221" w:rsidP="00995ED6">
      <w:pPr>
        <w:keepNext/>
      </w:pPr>
      <w:r>
        <w:t xml:space="preserve">The meaning of </w:t>
      </w:r>
      <w:r w:rsidR="007A23FF">
        <w:t>‘</w:t>
      </w:r>
      <w:r>
        <w:t>appropriate financial management requirements</w:t>
      </w:r>
      <w:r w:rsidR="007A23FF">
        <w:t>’</w:t>
      </w:r>
      <w:r w:rsidR="006421B6">
        <w:t xml:space="preserve"> </w:t>
      </w:r>
      <w:r>
        <w:t xml:space="preserve">is given more detail in </w:t>
      </w:r>
      <w:hyperlink r:id="rId58" w:anchor="standing-directions-2018" w:history="1">
        <w:r w:rsidRPr="0051115B">
          <w:rPr>
            <w:rStyle w:val="Hyperlink"/>
          </w:rPr>
          <w:t>Direction 2.3.5</w:t>
        </w:r>
        <w:r w:rsidRPr="00BE0C8F">
          <w:rPr>
            <w:rStyle w:val="Hyperlink"/>
          </w:rPr>
          <w:t>(c)</w:t>
        </w:r>
      </w:hyperlink>
      <w:r>
        <w:t>, which provides that the requirements must:</w:t>
      </w:r>
    </w:p>
    <w:p w14:paraId="05F308A1" w14:textId="77777777" w:rsidR="00887221" w:rsidRDefault="00887221" w:rsidP="00104FFB">
      <w:pPr>
        <w:pStyle w:val="GuidanceBullet1"/>
      </w:pPr>
      <w:r>
        <w:t>be established having regard to the requirements in the Directions and Instructions;</w:t>
      </w:r>
      <w:r w:rsidRPr="00887221">
        <w:t xml:space="preserve"> </w:t>
      </w:r>
    </w:p>
    <w:p w14:paraId="579EBC43" w14:textId="77777777" w:rsidR="00887221" w:rsidRDefault="00887221" w:rsidP="00104FFB">
      <w:pPr>
        <w:pStyle w:val="GuidanceBullet1"/>
      </w:pPr>
      <w:r>
        <w:lastRenderedPageBreak/>
        <w:t xml:space="preserve">include appropriate accountability arrangements and monitoring by the </w:t>
      </w:r>
      <w:r w:rsidR="007B47C8">
        <w:t>relevant Portfolio Department/Agency</w:t>
      </w:r>
      <w:r>
        <w:t xml:space="preserve"> to ensure entities’ compliance with the requirements; and</w:t>
      </w:r>
    </w:p>
    <w:p w14:paraId="7FA943E2" w14:textId="77777777" w:rsidR="00887221" w:rsidRDefault="00887221" w:rsidP="00104FFB">
      <w:pPr>
        <w:pStyle w:val="GuidanceBullet1"/>
      </w:pPr>
      <w:r>
        <w:t>be consistent with relevant Agencies’ governing legislation.</w:t>
      </w:r>
      <w:r w:rsidRPr="00887221">
        <w:t xml:space="preserve"> </w:t>
      </w:r>
    </w:p>
    <w:p w14:paraId="1B9E245F" w14:textId="77777777" w:rsidR="00887221" w:rsidRDefault="00887221" w:rsidP="00FC17D9">
      <w:pPr>
        <w:pStyle w:val="Heading2NoNum"/>
      </w:pPr>
      <w:r>
        <w:t>Having regard to the requirements in the Directions and Instructions</w:t>
      </w:r>
    </w:p>
    <w:p w14:paraId="1CE62050" w14:textId="77777777" w:rsidR="006421B6" w:rsidRDefault="006421B6" w:rsidP="006421B6">
      <w:r>
        <w:t>The requirements must be established having regard to the Directions</w:t>
      </w:r>
      <w:r w:rsidR="00C94BF4">
        <w:t xml:space="preserve"> and Instructions</w:t>
      </w:r>
      <w:r>
        <w:t xml:space="preserve">. </w:t>
      </w:r>
      <w:r w:rsidR="00D537A3">
        <w:t xml:space="preserve">However, the requirements do not need to replicate the </w:t>
      </w:r>
      <w:r w:rsidR="00C94BF4">
        <w:t>documents</w:t>
      </w:r>
      <w:r w:rsidR="00D537A3">
        <w:t xml:space="preserve">. </w:t>
      </w:r>
      <w:r>
        <w:t>In establishing requirements, relevant Portfolio Departments and Agencies are encouraged to use the Directions and Instructions as a starting point. A</w:t>
      </w:r>
      <w:r w:rsidR="00ED1326">
        <w:t xml:space="preserve"> </w:t>
      </w:r>
      <w:r>
        <w:t xml:space="preserve">Direction or Instruction should only be excluded </w:t>
      </w:r>
      <w:r w:rsidR="00ED1326">
        <w:t>from the requirements if there is a strong case to do so in the entity’s circumstances.</w:t>
      </w:r>
      <w:r w:rsidR="00D537A3">
        <w:t xml:space="preserve"> </w:t>
      </w:r>
    </w:p>
    <w:p w14:paraId="437261B2" w14:textId="77777777" w:rsidR="00887221" w:rsidRDefault="00887221" w:rsidP="00FC17D9">
      <w:pPr>
        <w:pStyle w:val="Heading2NoNum"/>
      </w:pPr>
      <w:r>
        <w:t>Compliance requirements</w:t>
      </w:r>
    </w:p>
    <w:p w14:paraId="161AD231" w14:textId="77777777" w:rsidR="00284B6C" w:rsidRDefault="0088430E" w:rsidP="006421B6">
      <w:r>
        <w:t>The requirements mus</w:t>
      </w:r>
      <w:r w:rsidR="00284B6C">
        <w:t>t also include appropriate accountability and monitoring to ensure compliance.</w:t>
      </w:r>
      <w:r>
        <w:t xml:space="preserve"> </w:t>
      </w:r>
    </w:p>
    <w:p w14:paraId="1DFE6431" w14:textId="77777777" w:rsidR="00284B6C" w:rsidRDefault="00284B6C" w:rsidP="006421B6">
      <w:r>
        <w:t xml:space="preserve">Specific compliance accountabilities should be placed on key staff in the Portfolio Department/Agency, and on the </w:t>
      </w:r>
      <w:r w:rsidR="009C5FBA">
        <w:t>excluded entities</w:t>
      </w:r>
      <w:r>
        <w:t xml:space="preserve">. For example, it may be appropriate to </w:t>
      </w:r>
      <w:r w:rsidR="009C5FBA">
        <w:t>make</w:t>
      </w:r>
      <w:r>
        <w:t xml:space="preserve"> the Accountable Officer of the entity </w:t>
      </w:r>
      <w:r w:rsidR="009C5FBA">
        <w:t xml:space="preserve">accountable for </w:t>
      </w:r>
      <w:r>
        <w:t>annually report</w:t>
      </w:r>
      <w:r w:rsidR="009C5FBA">
        <w:t>ing</w:t>
      </w:r>
      <w:r>
        <w:t xml:space="preserve"> to </w:t>
      </w:r>
      <w:r w:rsidR="009C5FBA">
        <w:t xml:space="preserve">the Portfolio Department on compliance. Similarly, the Accountable Officer of the Portfolio Department may have a specific accountability to </w:t>
      </w:r>
      <w:r w:rsidR="001C2725">
        <w:t>provide advice and support to</w:t>
      </w:r>
      <w:r w:rsidR="009C5FBA">
        <w:t xml:space="preserve"> the entities </w:t>
      </w:r>
      <w:r w:rsidR="001C2725">
        <w:t xml:space="preserve">on </w:t>
      </w:r>
      <w:r w:rsidR="009C5FBA">
        <w:t>compliance.</w:t>
      </w:r>
    </w:p>
    <w:p w14:paraId="43565CBB" w14:textId="77777777" w:rsidR="0088430E" w:rsidRDefault="009C5FBA" w:rsidP="006421B6">
      <w:r>
        <w:t xml:space="preserve">The requirements also must include monitoring by </w:t>
      </w:r>
      <w:r w:rsidR="0088430E">
        <w:t xml:space="preserve">the relevant Portfolio Departments and Agencies </w:t>
      </w:r>
      <w:r>
        <w:t xml:space="preserve">of the </w:t>
      </w:r>
      <w:r w:rsidR="0088430E" w:rsidRPr="0088430E">
        <w:t>relevant entities’ compliance with the requirements</w:t>
      </w:r>
      <w:r w:rsidR="0088430E">
        <w:t>. A risk based annual process to monitor compliance, with repor</w:t>
      </w:r>
      <w:r w:rsidR="001C2725">
        <w:t>ting from the relevant entities</w:t>
      </w:r>
      <w:r w:rsidR="0088430E">
        <w:t xml:space="preserve">, is encouraged. </w:t>
      </w:r>
    </w:p>
    <w:p w14:paraId="63303CDC" w14:textId="77777777" w:rsidR="007B47C8" w:rsidRDefault="007B47C8" w:rsidP="00FC17D9">
      <w:pPr>
        <w:pStyle w:val="Heading2NoNum"/>
      </w:pPr>
      <w:r>
        <w:t>Consistency with governing legislation</w:t>
      </w:r>
    </w:p>
    <w:p w14:paraId="4C9BB656" w14:textId="2EF86356" w:rsidR="007B47C8" w:rsidRDefault="007B47C8" w:rsidP="007B47C8">
      <w:r>
        <w:t>The requirements must have regard to, and be consistent with, the relevant entities’ governing legislation</w:t>
      </w:r>
      <w:r w:rsidR="00995ED6">
        <w:t xml:space="preserve">. </w:t>
      </w:r>
    </w:p>
    <w:p w14:paraId="0CAEE919" w14:textId="77777777" w:rsidR="00887221" w:rsidRDefault="00887221" w:rsidP="00FC17D9">
      <w:pPr>
        <w:pStyle w:val="Heading2NoNum"/>
      </w:pPr>
      <w:r>
        <w:t>Other requirements</w:t>
      </w:r>
    </w:p>
    <w:p w14:paraId="2D310E1E" w14:textId="77777777" w:rsidR="00ED1326" w:rsidRDefault="00ED1326" w:rsidP="006421B6">
      <w:r>
        <w:t>In most circumstances, the requirements should</w:t>
      </w:r>
      <w:r w:rsidR="0088430E">
        <w:t xml:space="preserve"> also</w:t>
      </w:r>
      <w:r>
        <w:t xml:space="preserve"> at least include:</w:t>
      </w:r>
    </w:p>
    <w:p w14:paraId="4DF76AEA" w14:textId="77777777" w:rsidR="003E451F" w:rsidRDefault="00284B6C" w:rsidP="00104FFB">
      <w:pPr>
        <w:pStyle w:val="GuidanceBullet1"/>
      </w:pPr>
      <w:r>
        <w:t xml:space="preserve">general accountabilities </w:t>
      </w:r>
      <w:r w:rsidR="003E451F">
        <w:t>for key staff</w:t>
      </w:r>
      <w:r w:rsidR="00FE08CF">
        <w:t>, volunteers and/or members</w:t>
      </w:r>
      <w:r w:rsidR="003E451F">
        <w:t>;</w:t>
      </w:r>
      <w:r>
        <w:rPr>
          <w:rStyle w:val="FootnoteReference"/>
        </w:rPr>
        <w:footnoteReference w:id="7"/>
      </w:r>
    </w:p>
    <w:p w14:paraId="27CD80EE" w14:textId="77777777" w:rsidR="003E451F" w:rsidRDefault="003E451F" w:rsidP="00104FFB">
      <w:pPr>
        <w:pStyle w:val="GuidanceBullet1"/>
      </w:pPr>
      <w:r>
        <w:t>effective governance and oversight;</w:t>
      </w:r>
      <w:r w:rsidR="0088430E">
        <w:t xml:space="preserve"> </w:t>
      </w:r>
    </w:p>
    <w:p w14:paraId="11D7EFD9" w14:textId="37D99B96" w:rsidR="003E451F" w:rsidRDefault="003E451F" w:rsidP="00104FFB">
      <w:pPr>
        <w:pStyle w:val="GuidanceBullet1"/>
      </w:pPr>
      <w:r>
        <w:t>appropriate internal controls</w:t>
      </w:r>
      <w:r w:rsidR="00FE08CF">
        <w:t xml:space="preserve">, such as those set out in </w:t>
      </w:r>
      <w:hyperlink r:id="rId59" w:anchor="instructions" w:history="1">
        <w:r w:rsidR="00FE08CF" w:rsidRPr="0051115B">
          <w:rPr>
            <w:rStyle w:val="Hyperlink"/>
          </w:rPr>
          <w:t>Instruction 3.4</w:t>
        </w:r>
      </w:hyperlink>
      <w:r w:rsidR="00284B6C">
        <w:t>;</w:t>
      </w:r>
    </w:p>
    <w:p w14:paraId="241912F4" w14:textId="1C7CFE06" w:rsidR="00284B6C" w:rsidRDefault="00284B6C" w:rsidP="00104FFB">
      <w:pPr>
        <w:pStyle w:val="GuidanceBullet1"/>
      </w:pPr>
      <w:r>
        <w:t xml:space="preserve">appropriate risk management, informed by </w:t>
      </w:r>
      <w:r w:rsidRPr="00284B6C">
        <w:t xml:space="preserve">the </w:t>
      </w:r>
      <w:hyperlink r:id="rId60" w:history="1">
        <w:r w:rsidRPr="008A10E9">
          <w:rPr>
            <w:rStyle w:val="Hyperlink"/>
          </w:rPr>
          <w:t>Victorian Government Risk Management Framework</w:t>
        </w:r>
      </w:hyperlink>
      <w:r w:rsidR="006A0869">
        <w:rPr>
          <w:rStyle w:val="FootnoteReference"/>
        </w:rPr>
        <w:footnoteReference w:id="8"/>
      </w:r>
      <w:r w:rsidR="00C05769">
        <w:t xml:space="preserve">; </w:t>
      </w:r>
      <w:r>
        <w:t>and</w:t>
      </w:r>
    </w:p>
    <w:p w14:paraId="70F8DA2D" w14:textId="1E2222ED" w:rsidR="00284B6C" w:rsidRDefault="00284B6C" w:rsidP="00104FFB">
      <w:pPr>
        <w:pStyle w:val="GuidanceBullet1"/>
      </w:pPr>
      <w:r>
        <w:t xml:space="preserve">where the entity manages assets, requirements to manage the assets informed by the Victorian Government’s </w:t>
      </w:r>
      <w:r w:rsidRPr="00092B7C">
        <w:t>Asset Management Accountability Framework</w:t>
      </w:r>
      <w:r>
        <w:t xml:space="preserve">. </w:t>
      </w:r>
    </w:p>
    <w:p w14:paraId="15D6F1C0" w14:textId="07CB5524" w:rsidR="00466F4C" w:rsidRDefault="00466F4C" w:rsidP="00FC17D9">
      <w:pPr>
        <w:pStyle w:val="Heading2NoNum"/>
      </w:pPr>
      <w:r>
        <w:t>Preparation and implementation of requirements</w:t>
      </w:r>
    </w:p>
    <w:p w14:paraId="720520E6" w14:textId="6CCF88B8" w:rsidR="00274C2F" w:rsidRDefault="00274C2F" w:rsidP="00274C2F">
      <w:r>
        <w:t>As at the</w:t>
      </w:r>
      <w:r w:rsidR="00C96702">
        <w:t xml:space="preserve"> commencement of the Directions,</w:t>
      </w:r>
      <w:r>
        <w:t xml:space="preserve"> some Portfolio Departments/Agencies may already have established financial management requirements for their excluded entities. These requirements should be rev</w:t>
      </w:r>
      <w:r w:rsidR="009C5FBA">
        <w:t xml:space="preserve">iewed by reference to </w:t>
      </w:r>
      <w:hyperlink r:id="rId61" w:anchor="standing-directions-2018" w:history="1">
        <w:r w:rsidR="009C5FBA" w:rsidRPr="0051115B">
          <w:rPr>
            <w:rStyle w:val="Hyperlink"/>
          </w:rPr>
          <w:t>Direction </w:t>
        </w:r>
        <w:r w:rsidRPr="0051115B">
          <w:rPr>
            <w:rStyle w:val="Hyperlink"/>
          </w:rPr>
          <w:t>2.3.5</w:t>
        </w:r>
      </w:hyperlink>
      <w:r>
        <w:t>.</w:t>
      </w:r>
    </w:p>
    <w:p w14:paraId="49CC02B4" w14:textId="77777777" w:rsidR="00274C2F" w:rsidRDefault="00274C2F" w:rsidP="00274C2F">
      <w:r>
        <w:t xml:space="preserve">Relevant Portfolio Departments and Agencies are encouraged to consult with DTF in establishing financial management requirements for their entities. </w:t>
      </w:r>
    </w:p>
    <w:p w14:paraId="329083A4" w14:textId="77777777" w:rsidR="00C94BF4" w:rsidRDefault="00C94BF4" w:rsidP="00CA6CEE">
      <w:pPr>
        <w:keepNext/>
      </w:pPr>
      <w:r>
        <w:t xml:space="preserve">The requirements may differ within a class of entities. For example, it would be open to DELWP to establish a number of sets of requirements that apply to different classes of </w:t>
      </w:r>
      <w:r w:rsidR="005003F6">
        <w:t xml:space="preserve">incorporated </w:t>
      </w:r>
      <w:r>
        <w:t xml:space="preserve">committees of management. </w:t>
      </w:r>
    </w:p>
    <w:p w14:paraId="6D16F2A8" w14:textId="77777777" w:rsidR="003E451F" w:rsidRDefault="003E451F" w:rsidP="003E451F">
      <w:r>
        <w:t xml:space="preserve">The requirements should be written clearly, distributed widely, accessible online and updated as necessary. The Portfolio Department or Agency should support the entities to implement the requirements. </w:t>
      </w:r>
    </w:p>
    <w:p w14:paraId="24680D32" w14:textId="77777777" w:rsidR="007031B1" w:rsidRDefault="00ED1326" w:rsidP="00ED1326">
      <w:pPr>
        <w:pStyle w:val="Heading1NoNum"/>
      </w:pPr>
      <w:r>
        <w:lastRenderedPageBreak/>
        <w:t>Accountability</w:t>
      </w:r>
    </w:p>
    <w:p w14:paraId="08016D8A" w14:textId="182E07E1" w:rsidR="008A7BB2" w:rsidRDefault="009F57CB" w:rsidP="008A7BB2">
      <w:hyperlink r:id="rId62" w:anchor="standing-directions-2018" w:history="1">
        <w:r w:rsidRPr="0051115B">
          <w:rPr>
            <w:rStyle w:val="Hyperlink"/>
          </w:rPr>
          <w:t>Direction</w:t>
        </w:r>
        <w:r w:rsidR="00FE08CF" w:rsidRPr="0051115B">
          <w:rPr>
            <w:rStyle w:val="Hyperlink"/>
          </w:rPr>
          <w:t xml:space="preserve"> 5.1</w:t>
        </w:r>
      </w:hyperlink>
      <w:r w:rsidR="00535C11">
        <w:t xml:space="preserve"> imposes compliance requirements on r</w:t>
      </w:r>
      <w:r w:rsidR="00ED1326">
        <w:t>elevant Portfolio Departments and Agencies</w:t>
      </w:r>
      <w:r w:rsidR="00535C11">
        <w:t xml:space="preserve">. The requirement to establish appropriate requirements for relevant entities under </w:t>
      </w:r>
      <w:hyperlink r:id="rId63" w:anchor="standing-directions-2018" w:history="1">
        <w:r w:rsidR="00535C11" w:rsidRPr="0051115B">
          <w:rPr>
            <w:rStyle w:val="Hyperlink"/>
          </w:rPr>
          <w:t>Direction 2.3.</w:t>
        </w:r>
        <w:r w:rsidR="00FE08CF" w:rsidRPr="0051115B">
          <w:rPr>
            <w:rStyle w:val="Hyperlink"/>
          </w:rPr>
          <w:t>5</w:t>
        </w:r>
      </w:hyperlink>
      <w:r w:rsidR="00535C11">
        <w:t xml:space="preserve"> is subject to this compliance, which includes:</w:t>
      </w:r>
      <w:r>
        <w:t xml:space="preserve"> </w:t>
      </w:r>
    </w:p>
    <w:p w14:paraId="2F4E22A8" w14:textId="77777777" w:rsidR="008A7BB2" w:rsidRDefault="00535C11" w:rsidP="00104FFB">
      <w:pPr>
        <w:pStyle w:val="GuidanceBullet1"/>
      </w:pPr>
      <w:r>
        <w:t>an annual assessment of compliance with the requirement;</w:t>
      </w:r>
    </w:p>
    <w:p w14:paraId="6FFFD34F" w14:textId="77777777" w:rsidR="008A7BB2" w:rsidRDefault="00FE08CF" w:rsidP="00104FFB">
      <w:pPr>
        <w:pStyle w:val="GuidanceBullet1"/>
      </w:pPr>
      <w:r>
        <w:t>a detailed period review by the internal audit function of compliance with the requirement;</w:t>
      </w:r>
    </w:p>
    <w:p w14:paraId="18C7E28D" w14:textId="77777777" w:rsidR="008A7BB2" w:rsidRDefault="00FE08CF" w:rsidP="00104FFB">
      <w:pPr>
        <w:pStyle w:val="GuidanceBullet1"/>
      </w:pPr>
      <w:r>
        <w:t xml:space="preserve">remedying a Compliance Deficiency in relation to the requirement; </w:t>
      </w:r>
    </w:p>
    <w:p w14:paraId="2DE03062" w14:textId="77777777" w:rsidR="008A7BB2" w:rsidRDefault="00FE08CF" w:rsidP="00104FFB">
      <w:pPr>
        <w:pStyle w:val="GuidanceBullet1"/>
      </w:pPr>
      <w:r>
        <w:t xml:space="preserve">reporting of a Material Compliance Deficiency in relation to the requirement to </w:t>
      </w:r>
      <w:r w:rsidR="0065721F">
        <w:t>the Responsible Minister and Portfolio Department</w:t>
      </w:r>
      <w:r>
        <w:t>; and</w:t>
      </w:r>
    </w:p>
    <w:p w14:paraId="0A93BB65" w14:textId="44272C6D" w:rsidR="00535C11" w:rsidRDefault="00535C11" w:rsidP="00104FFB">
      <w:pPr>
        <w:pStyle w:val="GuidanceBullet1"/>
      </w:pPr>
      <w:r w:rsidRPr="000F78AE">
        <w:t>attest</w:t>
      </w:r>
      <w:r>
        <w:t>ation</w:t>
      </w:r>
      <w:r w:rsidRPr="000F78AE">
        <w:t xml:space="preserve"> </w:t>
      </w:r>
      <w:r w:rsidR="00FE08CF">
        <w:t xml:space="preserve">in the Annual Report </w:t>
      </w:r>
      <w:r w:rsidRPr="000F78AE">
        <w:t xml:space="preserve">to </w:t>
      </w:r>
      <w:r>
        <w:t xml:space="preserve">compliance with the requirement. </w:t>
      </w:r>
    </w:p>
    <w:p w14:paraId="6088B5A8" w14:textId="794908CD" w:rsidR="003E5F5F" w:rsidRDefault="00535C11" w:rsidP="003E5F5F">
      <w:r>
        <w:t>Further, the Auditor</w:t>
      </w:r>
      <w:r w:rsidR="00D62B6D">
        <w:noBreakHyphen/>
      </w:r>
      <w:r>
        <w:t>General may audit against this requirement</w:t>
      </w:r>
      <w:r w:rsidR="00995ED6">
        <w:t xml:space="preserve">. </w:t>
      </w:r>
    </w:p>
    <w:p w14:paraId="77ADCF0F" w14:textId="21F8A855" w:rsidR="00461E30" w:rsidRDefault="00461E30" w:rsidP="003E5F5F">
      <w:r>
        <w:t xml:space="preserve">As for the accountability placed on excluded entities, the requirements that are set down should include accountability for key financial management roles in the entities. Further, Portfolio Departments and Agencies are required to </w:t>
      </w:r>
      <w:r w:rsidR="009C5FBA">
        <w:t>include appropriate accountability and monitoring to ensure compliance</w:t>
      </w:r>
      <w:r>
        <w:t>.</w:t>
      </w:r>
    </w:p>
    <w:p w14:paraId="5B5E8FCE" w14:textId="77777777" w:rsidR="00995ED6" w:rsidRDefault="00995ED6" w:rsidP="003E5F5F"/>
    <w:p w14:paraId="2AA24E86" w14:textId="77777777" w:rsidR="007A23FF" w:rsidRPr="007D61CD" w:rsidRDefault="007A23FF" w:rsidP="007D61CD"/>
    <w:p w14:paraId="2FAB225A" w14:textId="77777777" w:rsidR="00E862D1" w:rsidRDefault="00E862D1" w:rsidP="00E862D1">
      <w:pPr>
        <w:spacing w:before="0" w:after="200" w:line="276" w:lineRule="auto"/>
        <w:rPr>
          <w:color w:val="7F7F7F" w:themeColor="text1" w:themeTint="80"/>
          <w:sz w:val="40"/>
          <w:szCs w:val="40"/>
        </w:rPr>
        <w:sectPr w:rsidR="00E862D1" w:rsidSect="007F1A5E">
          <w:pgSz w:w="11906" w:h="16838"/>
          <w:pgMar w:top="1440" w:right="1008" w:bottom="1440" w:left="1008" w:header="706" w:footer="389" w:gutter="0"/>
          <w:cols w:space="708"/>
          <w:titlePg/>
          <w:docGrid w:linePitch="360"/>
        </w:sectPr>
      </w:pPr>
    </w:p>
    <w:p w14:paraId="5351AEF6" w14:textId="77777777" w:rsidR="002A4D76" w:rsidRPr="00C426D3" w:rsidRDefault="00CE6C62" w:rsidP="00107DA3">
      <w:pPr>
        <w:pStyle w:val="GuidanceTitle"/>
      </w:pPr>
      <w:bookmarkStart w:id="16" w:name="Guidance_2_4"/>
      <w:bookmarkStart w:id="17" w:name="_Toc441672086"/>
      <w:r w:rsidRPr="00C426D3">
        <w:lastRenderedPageBreak/>
        <w:t xml:space="preserve">Guidance </w:t>
      </w:r>
      <w:r>
        <w:t>2.</w:t>
      </w:r>
      <w:r w:rsidR="00961833">
        <w:t>4</w:t>
      </w:r>
      <w:r>
        <w:t xml:space="preserve"> </w:t>
      </w:r>
      <w:bookmarkEnd w:id="16"/>
      <w:r>
        <w:t>– Chief Finance Officer</w:t>
      </w:r>
      <w:bookmarkEnd w:id="17"/>
    </w:p>
    <w:tbl>
      <w:tblPr>
        <w:tblStyle w:val="Table121"/>
        <w:tblW w:w="9900" w:type="dxa"/>
        <w:tblLook w:val="0080" w:firstRow="0" w:lastRow="0" w:firstColumn="1" w:lastColumn="0" w:noHBand="0" w:noVBand="0"/>
      </w:tblPr>
      <w:tblGrid>
        <w:gridCol w:w="3119"/>
        <w:gridCol w:w="6781"/>
      </w:tblGrid>
      <w:tr w:rsidR="002D5358" w:rsidRPr="00C426D3" w14:paraId="70592204" w14:textId="77777777" w:rsidTr="00924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FB1EC27" w14:textId="77777777" w:rsidR="002D5358" w:rsidRPr="00C426D3" w:rsidRDefault="002D5358" w:rsidP="00924E62">
            <w:pPr>
              <w:spacing w:before="60" w:after="60" w:line="252" w:lineRule="auto"/>
              <w:rPr>
                <w:rFonts w:cs="Times New Roman"/>
                <w:b/>
                <w:sz w:val="18"/>
                <w:szCs w:val="20"/>
              </w:rPr>
            </w:pPr>
            <w:r w:rsidRPr="00C426D3">
              <w:rPr>
                <w:rFonts w:cs="Times New Roman"/>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67BD9DBC" w14:textId="77777777" w:rsidR="002D5358" w:rsidRPr="00C426D3" w:rsidRDefault="002D5358" w:rsidP="00924E62">
            <w:pPr>
              <w:spacing w:before="60" w:after="60" w:line="252" w:lineRule="auto"/>
              <w:rPr>
                <w:rFonts w:cs="Times New Roman"/>
                <w:bCs/>
                <w:sz w:val="18"/>
                <w:szCs w:val="20"/>
              </w:rPr>
            </w:pPr>
            <w:r>
              <w:rPr>
                <w:rFonts w:cs="Times New Roman"/>
                <w:bCs/>
                <w:sz w:val="18"/>
                <w:szCs w:val="20"/>
              </w:rPr>
              <w:t>Provides guidance on the role, responsibilities and qualifications of the CFO</w:t>
            </w:r>
          </w:p>
        </w:tc>
      </w:tr>
      <w:tr w:rsidR="002D5358" w:rsidRPr="00C426D3" w14:paraId="78BB921E" w14:textId="77777777" w:rsidTr="00924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67AE2CC" w14:textId="77777777" w:rsidR="002D5358" w:rsidRPr="00C426D3" w:rsidRDefault="002D5358" w:rsidP="00924E62">
            <w:pPr>
              <w:spacing w:before="60" w:after="60" w:line="252" w:lineRule="auto"/>
              <w:rPr>
                <w:rFonts w:cs="Times New Roman"/>
                <w:b/>
                <w:sz w:val="18"/>
                <w:szCs w:val="20"/>
              </w:rPr>
            </w:pPr>
            <w:r w:rsidRPr="00C426D3">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535B82F3" w14:textId="77777777" w:rsidR="002D5358" w:rsidRPr="00C426D3" w:rsidRDefault="002D5358" w:rsidP="00924E62">
            <w:pPr>
              <w:spacing w:before="60" w:after="60" w:line="252" w:lineRule="auto"/>
              <w:rPr>
                <w:rFonts w:cs="Times New Roman"/>
                <w:bCs/>
                <w:sz w:val="18"/>
                <w:szCs w:val="20"/>
              </w:rPr>
            </w:pPr>
            <w:r w:rsidRPr="00C426D3">
              <w:rPr>
                <w:rFonts w:cs="Times New Roman"/>
                <w:bCs/>
                <w:sz w:val="18"/>
                <w:szCs w:val="20"/>
              </w:rPr>
              <w:t>1 July 2016</w:t>
            </w:r>
          </w:p>
        </w:tc>
      </w:tr>
      <w:tr w:rsidR="002D5358" w:rsidRPr="00C426D3" w14:paraId="77B2A831" w14:textId="77777777" w:rsidTr="00924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EE1940A" w14:textId="77777777" w:rsidR="002D5358" w:rsidRPr="00C426D3" w:rsidRDefault="002D5358" w:rsidP="002A7DE1">
            <w:pPr>
              <w:spacing w:before="60" w:after="60" w:line="252" w:lineRule="auto"/>
              <w:rPr>
                <w:rFonts w:cs="Times New Roman"/>
                <w:b/>
                <w:sz w:val="18"/>
                <w:szCs w:val="20"/>
              </w:rPr>
            </w:pPr>
            <w:r w:rsidRPr="00C426D3">
              <w:rPr>
                <w:rFonts w:cs="Times New Roman"/>
                <w:b/>
                <w:sz w:val="18"/>
                <w:szCs w:val="20"/>
              </w:rPr>
              <w:t xml:space="preserve">Relevant </w:t>
            </w:r>
            <w:r w:rsidR="002A7DE1">
              <w:rPr>
                <w:rFonts w:cs="Times New Roman"/>
                <w:b/>
                <w:sz w:val="18"/>
                <w:szCs w:val="20"/>
              </w:rPr>
              <w:t>Direction</w:t>
            </w:r>
          </w:p>
        </w:tc>
        <w:tc>
          <w:tcPr>
            <w:cnfStyle w:val="000010000000" w:firstRow="0" w:lastRow="0" w:firstColumn="0" w:lastColumn="0" w:oddVBand="1" w:evenVBand="0" w:oddHBand="0" w:evenHBand="0" w:firstRowFirstColumn="0" w:firstRowLastColumn="0" w:lastRowFirstColumn="0" w:lastRowLastColumn="0"/>
            <w:tcW w:w="6781" w:type="dxa"/>
          </w:tcPr>
          <w:p w14:paraId="3EF92950" w14:textId="711FD868" w:rsidR="002D5358" w:rsidRPr="00C426D3" w:rsidRDefault="002D5358" w:rsidP="00767BBB">
            <w:pPr>
              <w:spacing w:before="60" w:after="60" w:line="252" w:lineRule="auto"/>
              <w:rPr>
                <w:rFonts w:cs="Times New Roman"/>
                <w:bCs/>
                <w:sz w:val="18"/>
                <w:szCs w:val="20"/>
              </w:rPr>
            </w:pPr>
            <w:hyperlink r:id="rId64" w:anchor="standing-directions-2018" w:history="1">
              <w:r w:rsidRPr="00AC7759">
                <w:rPr>
                  <w:rStyle w:val="Hyperlink"/>
                  <w:rFonts w:cs="Times New Roman"/>
                  <w:bCs/>
                  <w:sz w:val="18"/>
                  <w:szCs w:val="20"/>
                </w:rPr>
                <w:t>2.</w:t>
              </w:r>
              <w:r w:rsidR="00767BBB" w:rsidRPr="00AC7759">
                <w:rPr>
                  <w:rStyle w:val="Hyperlink"/>
                  <w:rFonts w:cs="Times New Roman"/>
                  <w:bCs/>
                  <w:sz w:val="18"/>
                  <w:szCs w:val="20"/>
                </w:rPr>
                <w:t>4</w:t>
              </w:r>
              <w:r w:rsidRPr="00AC7759">
                <w:rPr>
                  <w:rStyle w:val="Hyperlink"/>
                  <w:rFonts w:cs="Times New Roman"/>
                  <w:bCs/>
                  <w:sz w:val="18"/>
                  <w:szCs w:val="20"/>
                </w:rPr>
                <w:t xml:space="preserve"> Chief Finance Officer</w:t>
              </w:r>
            </w:hyperlink>
          </w:p>
        </w:tc>
      </w:tr>
      <w:tr w:rsidR="002D5358" w:rsidRPr="00C426D3" w14:paraId="1F78D9A8" w14:textId="77777777" w:rsidTr="00924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BEB609B" w14:textId="77777777" w:rsidR="002D5358" w:rsidRPr="00C426D3" w:rsidRDefault="002D5358" w:rsidP="00924E62">
            <w:pPr>
              <w:spacing w:before="60" w:after="60" w:line="252" w:lineRule="auto"/>
              <w:rPr>
                <w:rFonts w:cs="Times New Roman"/>
                <w:b/>
                <w:sz w:val="18"/>
                <w:szCs w:val="20"/>
              </w:rPr>
            </w:pPr>
            <w:r w:rsidRPr="00C426D3">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2FE5D714" w14:textId="6B5A24F9" w:rsidR="002D5358" w:rsidRPr="00C426D3" w:rsidRDefault="00515507" w:rsidP="00924E62">
            <w:pPr>
              <w:spacing w:before="60" w:after="60" w:line="252" w:lineRule="auto"/>
              <w:rPr>
                <w:rFonts w:cs="Times New Roman"/>
                <w:bCs/>
                <w:sz w:val="18"/>
                <w:szCs w:val="20"/>
              </w:rPr>
            </w:pPr>
            <w:r>
              <w:rPr>
                <w:rFonts w:cs="Times New Roman"/>
                <w:bCs/>
                <w:sz w:val="18"/>
                <w:szCs w:val="20"/>
              </w:rPr>
              <w:t>1</w:t>
            </w:r>
            <w:r w:rsidR="00BC7AD9">
              <w:rPr>
                <w:rFonts w:cs="Times New Roman"/>
                <w:bCs/>
                <w:sz w:val="18"/>
                <w:szCs w:val="20"/>
              </w:rPr>
              <w:t xml:space="preserve"> Ma</w:t>
            </w:r>
            <w:r>
              <w:rPr>
                <w:rFonts w:cs="Times New Roman"/>
                <w:bCs/>
                <w:sz w:val="18"/>
                <w:szCs w:val="20"/>
              </w:rPr>
              <w:t>y</w:t>
            </w:r>
            <w:r w:rsidR="00BC7AD9">
              <w:rPr>
                <w:rFonts w:cs="Times New Roman"/>
                <w:bCs/>
                <w:sz w:val="18"/>
                <w:szCs w:val="20"/>
              </w:rPr>
              <w:t xml:space="preserve"> 2019</w:t>
            </w:r>
          </w:p>
        </w:tc>
      </w:tr>
    </w:tbl>
    <w:p w14:paraId="7A42CF21" w14:textId="77777777" w:rsidR="00D445FC" w:rsidRDefault="00D445FC" w:rsidP="00D445FC">
      <w:pPr>
        <w:pStyle w:val="Heading1NoNum"/>
      </w:pPr>
      <w:r>
        <w:t>The role of CFO</w:t>
      </w:r>
    </w:p>
    <w:p w14:paraId="701121AB" w14:textId="233DA075" w:rsidR="00D445FC" w:rsidRDefault="00D445FC" w:rsidP="00D445FC">
      <w:r>
        <w:t xml:space="preserve">Section 43 of the </w:t>
      </w:r>
      <w:r w:rsidR="00157631" w:rsidRPr="00157631">
        <w:t>FMA</w:t>
      </w:r>
      <w:r w:rsidR="00157631">
        <w:rPr>
          <w:i/>
        </w:rPr>
        <w:t xml:space="preserve"> </w:t>
      </w:r>
      <w:r>
        <w:t xml:space="preserve">requires the Accountable Officer to </w:t>
      </w:r>
      <w:r w:rsidR="00897B77">
        <w:t xml:space="preserve">designate </w:t>
      </w:r>
      <w:r>
        <w:t>a</w:t>
      </w:r>
      <w:r w:rsidR="00897B77">
        <w:t xml:space="preserve"> position of</w:t>
      </w:r>
      <w:r>
        <w:t xml:space="preserve"> ‘Chief Finance and Accounting Officer’ (CFO)</w:t>
      </w:r>
      <w:r w:rsidR="00897B77">
        <w:t>. The person holding that position</w:t>
      </w:r>
      <w:r>
        <w:t xml:space="preserve"> </w:t>
      </w:r>
      <w:r w:rsidR="00897B77">
        <w:t>is</w:t>
      </w:r>
      <w:r>
        <w:t xml:space="preserve"> responsible for ensuring that proper accounting records/systems and other records are maintained in accor</w:t>
      </w:r>
      <w:r w:rsidR="00453706">
        <w:t>dance with the regulations and D</w:t>
      </w:r>
      <w:r>
        <w:t>irections.</w:t>
      </w:r>
    </w:p>
    <w:p w14:paraId="1AABD678" w14:textId="0958A6DC" w:rsidR="009B42B8" w:rsidRDefault="000A53F8" w:rsidP="00D445FC">
      <w:r>
        <w:t xml:space="preserve">The Directions incorporate Government policy that each Portfolio Department CFO be employed by the Secretary of DTF, and </w:t>
      </w:r>
      <w:r w:rsidR="001D0AED">
        <w:t xml:space="preserve">be </w:t>
      </w:r>
      <w:r>
        <w:t xml:space="preserve">responsible to him or her </w:t>
      </w:r>
      <w:r w:rsidR="00E505E3">
        <w:t>for</w:t>
      </w:r>
      <w:r>
        <w:t xml:space="preserve"> matters relating to whole of government financial strategy and priorities, without diminishing the CFO’s responsibilities to the Secretary of the Department within which the CFO is working. </w:t>
      </w:r>
    </w:p>
    <w:p w14:paraId="5C45808D" w14:textId="77777777" w:rsidR="00160910" w:rsidRDefault="00D445FC" w:rsidP="00D445FC">
      <w:r>
        <w:t xml:space="preserve">The Directions </w:t>
      </w:r>
      <w:r w:rsidR="00CE46C1">
        <w:t>describe</w:t>
      </w:r>
      <w:r>
        <w:t xml:space="preserve"> the CFO’s role. </w:t>
      </w:r>
      <w:r w:rsidR="0088403D">
        <w:t xml:space="preserve">The requirements include those traditionally associated with the role, such as </w:t>
      </w:r>
      <w:r w:rsidR="00160910">
        <w:t xml:space="preserve">preparing accurate financial information. The Directions also encourage a strategic role for CFOs, such as the requirement to provide strategic advice to management on matters such as future financial sustainability. </w:t>
      </w:r>
    </w:p>
    <w:p w14:paraId="71617C8F" w14:textId="77777777" w:rsidR="002455B0" w:rsidRDefault="002455B0" w:rsidP="002455B0">
      <w:pPr>
        <w:pStyle w:val="Heading1NoNum"/>
      </w:pPr>
      <w:r>
        <w:t>Access to executive</w:t>
      </w:r>
    </w:p>
    <w:p w14:paraId="43F463E6" w14:textId="77777777" w:rsidR="00D445FC" w:rsidRDefault="00160910" w:rsidP="00D445FC">
      <w:r>
        <w:t>To support this more strategic role, CFOs must have access to the Responsible Body and Accountable Officer. Access may include</w:t>
      </w:r>
      <w:r w:rsidR="0079716D">
        <w:t xml:space="preserve"> a direct reporting line,</w:t>
      </w:r>
      <w:r>
        <w:t xml:space="preserve"> regular formal </w:t>
      </w:r>
      <w:r w:rsidR="0079716D">
        <w:t xml:space="preserve">access (for example, through attendance at board meetings) </w:t>
      </w:r>
      <w:r>
        <w:t>and</w:t>
      </w:r>
      <w:r w:rsidR="0079716D">
        <w:t>/or</w:t>
      </w:r>
      <w:r>
        <w:t xml:space="preserve"> more informal </w:t>
      </w:r>
      <w:r w:rsidR="0079716D">
        <w:t xml:space="preserve">access </w:t>
      </w:r>
      <w:r w:rsidR="00157631">
        <w:t xml:space="preserve">as required </w:t>
      </w:r>
      <w:r w:rsidR="0079716D">
        <w:t xml:space="preserve">(such as </w:t>
      </w:r>
      <w:r>
        <w:t>meetings</w:t>
      </w:r>
      <w:r w:rsidR="0079716D">
        <w:t>)</w:t>
      </w:r>
      <w:r w:rsidR="00453706">
        <w:t>. In larger A</w:t>
      </w:r>
      <w:r w:rsidR="00465158">
        <w:t>gencies and D</w:t>
      </w:r>
      <w:r>
        <w:t xml:space="preserve">epartments, it may be </w:t>
      </w:r>
      <w:r w:rsidR="0079716D">
        <w:t xml:space="preserve">more </w:t>
      </w:r>
      <w:r>
        <w:t xml:space="preserve">appropriate for the CFO to directly report to the Accountable Officer. </w:t>
      </w:r>
    </w:p>
    <w:p w14:paraId="11A94267" w14:textId="77777777" w:rsidR="00D445FC" w:rsidRDefault="00D445FC" w:rsidP="00D445FC">
      <w:pPr>
        <w:pStyle w:val="Heading1NoNum"/>
      </w:pPr>
      <w:r>
        <w:t>Job title</w:t>
      </w:r>
    </w:p>
    <w:p w14:paraId="256526B6" w14:textId="117E824B" w:rsidR="00157631" w:rsidRDefault="00D445FC" w:rsidP="00D445FC">
      <w:r>
        <w:t xml:space="preserve">Section 43 of the </w:t>
      </w:r>
      <w:r w:rsidR="00157631">
        <w:t>FMA</w:t>
      </w:r>
      <w:r>
        <w:t xml:space="preserve"> </w:t>
      </w:r>
      <w:r w:rsidR="00157631">
        <w:t xml:space="preserve">requires the Accountable Officer to </w:t>
      </w:r>
      <w:r w:rsidR="000A53F8">
        <w:t xml:space="preserve">designate </w:t>
      </w:r>
      <w:r w:rsidR="00157631">
        <w:t>a</w:t>
      </w:r>
      <w:r>
        <w:t xml:space="preserve"> </w:t>
      </w:r>
      <w:r w:rsidR="000A53F8">
        <w:t xml:space="preserve">position of </w:t>
      </w:r>
      <w:r>
        <w:t>‘Chief Finance and Accounting Officer’. However, it is not necessary for the holder of this position to be referred to in this way. The Directions use the more modern title of ‘Chief Finance Officer’</w:t>
      </w:r>
      <w:r w:rsidR="00157631">
        <w:t xml:space="preserve"> to refer to the person appointed as Chief Finance and Accounting Officer under the</w:t>
      </w:r>
      <w:r w:rsidR="00995ED6">
        <w:t> </w:t>
      </w:r>
      <w:r w:rsidR="00157631">
        <w:t>FMA</w:t>
      </w:r>
      <w:r>
        <w:t xml:space="preserve">. </w:t>
      </w:r>
    </w:p>
    <w:p w14:paraId="348ADDEC" w14:textId="01354707" w:rsidR="00D445FC" w:rsidRDefault="000A53F8" w:rsidP="00D445FC">
      <w:r>
        <w:t>A</w:t>
      </w:r>
      <w:r w:rsidR="00D445FC">
        <w:t xml:space="preserve">lternative titles include ‘General Manager, Finance’ or ‘Deputy Secretary, Financial Management’. Alternative titles are appropriate, </w:t>
      </w:r>
      <w:r w:rsidR="00A021EB">
        <w:t xml:space="preserve">provided that </w:t>
      </w:r>
      <w:r w:rsidR="00D445FC">
        <w:t xml:space="preserve">the person </w:t>
      </w:r>
      <w:r w:rsidR="00EC2AAF">
        <w:t xml:space="preserve">appointed under the Act </w:t>
      </w:r>
      <w:r w:rsidR="00D445FC">
        <w:t xml:space="preserve">exercises the functions and has the responsibilities assigned to the role in the </w:t>
      </w:r>
      <w:r w:rsidR="00157631">
        <w:t>FMA</w:t>
      </w:r>
      <w:r w:rsidR="00D445FC">
        <w:t xml:space="preserve"> and the Directions.</w:t>
      </w:r>
    </w:p>
    <w:p w14:paraId="4E707D5A" w14:textId="2911E869" w:rsidR="00D445FC" w:rsidRDefault="00D445FC" w:rsidP="00D445FC">
      <w:r>
        <w:t xml:space="preserve">In some organisations, the person with the job title of ‘Chief Finance Officer’ </w:t>
      </w:r>
      <w:r w:rsidR="00CB13C1">
        <w:t xml:space="preserve">does </w:t>
      </w:r>
      <w:r>
        <w:t xml:space="preserve">not </w:t>
      </w:r>
      <w:r w:rsidR="00CB13C1">
        <w:t>hold the position designated</w:t>
      </w:r>
      <w:r>
        <w:t xml:space="preserve"> as CFO under the </w:t>
      </w:r>
      <w:r w:rsidR="00157631">
        <w:t>FMA</w:t>
      </w:r>
      <w:r>
        <w:t xml:space="preserve">. </w:t>
      </w:r>
      <w:r w:rsidR="00CB13C1">
        <w:t xml:space="preserve">This </w:t>
      </w:r>
      <w:r>
        <w:t xml:space="preserve">situation </w:t>
      </w:r>
      <w:r w:rsidR="00CB13C1">
        <w:t xml:space="preserve">creates confusion and </w:t>
      </w:r>
      <w:r>
        <w:t xml:space="preserve">is </w:t>
      </w:r>
      <w:r w:rsidR="00CB13C1">
        <w:t xml:space="preserve">strongly </w:t>
      </w:r>
      <w:r>
        <w:t>discouraged</w:t>
      </w:r>
      <w:r w:rsidR="00EC2AAF">
        <w:t xml:space="preserve">. </w:t>
      </w:r>
    </w:p>
    <w:p w14:paraId="4C85BEA2" w14:textId="77777777" w:rsidR="000C0FE0" w:rsidRDefault="000C0FE0" w:rsidP="000C0FE0">
      <w:pPr>
        <w:pStyle w:val="Heading1NoNum"/>
      </w:pPr>
      <w:r>
        <w:t>Portfolio responsibilities</w:t>
      </w:r>
    </w:p>
    <w:p w14:paraId="41EF3DFE" w14:textId="38D8B31A" w:rsidR="000C0FE0" w:rsidRDefault="000C0FE0" w:rsidP="00D445FC">
      <w:r>
        <w:t>The Directions provide certain portfolio responsib</w:t>
      </w:r>
      <w:r w:rsidR="006F0D5C">
        <w:t>ilities for CFOs. The CFO of a Portfolio A</w:t>
      </w:r>
      <w:r>
        <w:t>gency needs to form a strong re</w:t>
      </w:r>
      <w:r w:rsidR="00465158">
        <w:t>lationship with the CFO of the Portfolio D</w:t>
      </w:r>
      <w:r>
        <w:t xml:space="preserve">epartment, </w:t>
      </w:r>
      <w:r w:rsidR="00D47073">
        <w:t xml:space="preserve">including </w:t>
      </w:r>
      <w:r>
        <w:t xml:space="preserve">by providing quality and timely information. The CFO </w:t>
      </w:r>
      <w:r w:rsidR="00465158">
        <w:t>of a Portfolio D</w:t>
      </w:r>
      <w:r>
        <w:t>epartment needs to help their Accountable Of</w:t>
      </w:r>
      <w:r w:rsidR="00453706">
        <w:t>ficer and DTF to support their P</w:t>
      </w:r>
      <w:r>
        <w:t xml:space="preserve">ortfolio </w:t>
      </w:r>
      <w:r w:rsidR="00453706">
        <w:t>A</w:t>
      </w:r>
      <w:r>
        <w:t>gencies</w:t>
      </w:r>
      <w:r w:rsidR="00995ED6">
        <w:t xml:space="preserve">. </w:t>
      </w:r>
    </w:p>
    <w:p w14:paraId="122A1DC1" w14:textId="77777777" w:rsidR="00D445FC" w:rsidRDefault="00D445FC" w:rsidP="00D445FC">
      <w:pPr>
        <w:pStyle w:val="Heading1NoNum"/>
      </w:pPr>
      <w:r>
        <w:t>Outsourcing a CFO</w:t>
      </w:r>
    </w:p>
    <w:p w14:paraId="74C43ED7" w14:textId="22FF1641" w:rsidR="00BA0499" w:rsidRDefault="00BA0499" w:rsidP="00BA0499">
      <w:r>
        <w:t xml:space="preserve">For most Agencies and all Departments, outsourcing a CFO is </w:t>
      </w:r>
      <w:r w:rsidR="008944B1">
        <w:t>unlikely to be consistent with the Directions</w:t>
      </w:r>
      <w:r>
        <w:t xml:space="preserve">. A strong, internal, full time CFO role is central to proper financial management. </w:t>
      </w:r>
      <w:r w:rsidR="008944B1">
        <w:t>For example, i</w:t>
      </w:r>
      <w:r>
        <w:t xml:space="preserve">n such Agencies, it would be difficult to adequately fulfil the requirements in </w:t>
      </w:r>
      <w:hyperlink r:id="rId65" w:anchor="standing-directions-2018" w:history="1">
        <w:r w:rsidRPr="0051115B">
          <w:rPr>
            <w:rStyle w:val="Hyperlink"/>
          </w:rPr>
          <w:t>Direction 2.4</w:t>
        </w:r>
      </w:hyperlink>
      <w:r>
        <w:t xml:space="preserve"> with an outsourced CFO. </w:t>
      </w:r>
    </w:p>
    <w:p w14:paraId="27ABB41F" w14:textId="77777777" w:rsidR="006441AC" w:rsidRPr="006441AC" w:rsidRDefault="00BA0499" w:rsidP="006441AC">
      <w:pPr>
        <w:autoSpaceDE w:val="0"/>
        <w:autoSpaceDN w:val="0"/>
        <w:adjustRightInd w:val="0"/>
        <w:spacing w:before="240" w:after="0"/>
        <w:rPr>
          <w:rFonts w:asciiTheme="minorHAnsi" w:eastAsiaTheme="minorHAnsi" w:hAnsiTheme="minorHAnsi" w:cs="Helv"/>
          <w:b/>
          <w:color w:val="000000"/>
          <w:szCs w:val="20"/>
          <w:lang w:eastAsia="en-US"/>
        </w:rPr>
      </w:pPr>
      <w:r>
        <w:t>However, t</w:t>
      </w:r>
      <w:r w:rsidR="00D445FC">
        <w:t>he Act and Directions do not</w:t>
      </w:r>
      <w:r w:rsidR="008944B1">
        <w:t xml:space="preserve"> expressly</w:t>
      </w:r>
      <w:r w:rsidR="00D445FC">
        <w:t xml:space="preserve"> </w:t>
      </w:r>
      <w:r w:rsidR="00EC2AAF">
        <w:t>prohibit the role of the CF</w:t>
      </w:r>
      <w:r w:rsidR="00D445FC">
        <w:t>O from being undertaken by a person who is not a</w:t>
      </w:r>
      <w:r w:rsidR="0045433D">
        <w:t>n</w:t>
      </w:r>
      <w:r w:rsidR="00D445FC">
        <w:t xml:space="preserve"> employee</w:t>
      </w:r>
      <w:r>
        <w:t>. Accordingly, in a small</w:t>
      </w:r>
      <w:r w:rsidR="00EC2AAF">
        <w:t xml:space="preserve"> Agency</w:t>
      </w:r>
      <w:r>
        <w:t>, which may not have the size or risk profile to require an internal CFO, the</w:t>
      </w:r>
      <w:r w:rsidR="00EC2AAF">
        <w:t xml:space="preserve"> CFO may be outsourced.</w:t>
      </w:r>
      <w:r w:rsidR="00D445FC">
        <w:t xml:space="preserve"> </w:t>
      </w:r>
      <w:r w:rsidR="006441AC" w:rsidRPr="00922BC3">
        <w:rPr>
          <w:rFonts w:asciiTheme="minorHAnsi" w:eastAsiaTheme="minorHAnsi" w:hAnsiTheme="minorHAnsi" w:cstheme="minorBidi"/>
          <w:szCs w:val="20"/>
          <w:lang w:eastAsia="en-US"/>
        </w:rPr>
        <w:t>A key consideration when outsourcing a CFO is ensuring there is an appropriate separation of duties of the collection and processing of information from the preparation of the financial statements.</w:t>
      </w:r>
      <w:r w:rsidR="006441AC" w:rsidRPr="006441AC">
        <w:rPr>
          <w:rFonts w:asciiTheme="minorHAnsi" w:eastAsiaTheme="minorHAnsi" w:hAnsiTheme="minorHAnsi" w:cstheme="minorBidi"/>
          <w:szCs w:val="20"/>
          <w:lang w:eastAsia="en-US"/>
        </w:rPr>
        <w:t xml:space="preserve"> </w:t>
      </w:r>
    </w:p>
    <w:p w14:paraId="31D44073" w14:textId="77777777" w:rsidR="00D445FC" w:rsidRDefault="00EC2AAF" w:rsidP="00D445FC">
      <w:r>
        <w:lastRenderedPageBreak/>
        <w:t>Agencies considering an outsource</w:t>
      </w:r>
      <w:r w:rsidR="0045433D">
        <w:t>d</w:t>
      </w:r>
      <w:r>
        <w:t xml:space="preserve"> CFO should have regard to</w:t>
      </w:r>
      <w:r w:rsidR="00D445FC">
        <w:t>:</w:t>
      </w:r>
    </w:p>
    <w:p w14:paraId="36B94522" w14:textId="7F358806" w:rsidR="008C35EC" w:rsidRPr="00E862D1" w:rsidRDefault="00E862D1" w:rsidP="001D0AED">
      <w:pPr>
        <w:pStyle w:val="Bullet1"/>
        <w:ind w:left="284" w:hanging="284"/>
      </w:pPr>
      <w:hyperlink r:id="rId66" w:anchor="standing-directions-2018" w:history="1">
        <w:r w:rsidRPr="006A0869">
          <w:rPr>
            <w:rStyle w:val="Hyperlink"/>
          </w:rPr>
          <w:t>Direction 2.4.1</w:t>
        </w:r>
      </w:hyperlink>
      <w:r w:rsidR="008C35EC" w:rsidRPr="00E862D1">
        <w:t>, which require</w:t>
      </w:r>
      <w:r w:rsidR="00C34FCC">
        <w:t>s</w:t>
      </w:r>
      <w:r w:rsidR="008C35EC" w:rsidRPr="00E862D1">
        <w:t xml:space="preserve"> the CFO to have access to the Accountable Officer and the Responsible Body in carrying out the CFO’s </w:t>
      </w:r>
      <w:proofErr w:type="gramStart"/>
      <w:r w:rsidR="008C35EC" w:rsidRPr="00E862D1">
        <w:t>responsibilities;</w:t>
      </w:r>
      <w:proofErr w:type="gramEnd"/>
    </w:p>
    <w:p w14:paraId="7C9DFC85" w14:textId="14CFE9A5" w:rsidR="008C35EC" w:rsidRDefault="00E862D1" w:rsidP="001D0AED">
      <w:pPr>
        <w:pStyle w:val="Bullet1"/>
        <w:ind w:left="284" w:hanging="284"/>
      </w:pPr>
      <w:hyperlink r:id="rId67" w:anchor="standing-directions-2018" w:history="1">
        <w:r w:rsidRPr="0051115B">
          <w:rPr>
            <w:rStyle w:val="Hyperlink"/>
          </w:rPr>
          <w:t>Direction 2.4.2</w:t>
        </w:r>
      </w:hyperlink>
      <w:r w:rsidR="008C35EC" w:rsidRPr="00E862D1">
        <w:t xml:space="preserve">, which requires the CFO to sign a declaration in the Agency’s financial </w:t>
      </w:r>
      <w:proofErr w:type="gramStart"/>
      <w:r w:rsidR="008C35EC" w:rsidRPr="00E862D1">
        <w:t>statements;</w:t>
      </w:r>
      <w:proofErr w:type="gramEnd"/>
    </w:p>
    <w:p w14:paraId="53ED6BFB" w14:textId="02971A8C" w:rsidR="00F82375" w:rsidRPr="00D50FD5" w:rsidRDefault="00F82375" w:rsidP="001D0AED">
      <w:pPr>
        <w:pStyle w:val="Bullet1"/>
        <w:ind w:left="284" w:hanging="284"/>
      </w:pPr>
      <w:hyperlink r:id="rId68" w:anchor="standing-directions-2018" w:history="1">
        <w:r w:rsidRPr="0051115B">
          <w:rPr>
            <w:rStyle w:val="Hyperlink"/>
          </w:rPr>
          <w:t>Direction</w:t>
        </w:r>
        <w:r w:rsidR="00137DD6">
          <w:rPr>
            <w:rStyle w:val="Hyperlink"/>
          </w:rPr>
          <w:t>s 2.5</w:t>
        </w:r>
        <w:r w:rsidR="009E3727">
          <w:rPr>
            <w:rStyle w:val="Hyperlink"/>
          </w:rPr>
          <w:t xml:space="preserve"> and</w:t>
        </w:r>
        <w:r w:rsidRPr="0051115B">
          <w:rPr>
            <w:rStyle w:val="Hyperlink"/>
          </w:rPr>
          <w:t xml:space="preserve"> 3.3</w:t>
        </w:r>
      </w:hyperlink>
      <w:r w:rsidRPr="00D50FD5">
        <w:t xml:space="preserve">, which require </w:t>
      </w:r>
      <w:r w:rsidR="00137DD6">
        <w:t xml:space="preserve">delegations and </w:t>
      </w:r>
      <w:r w:rsidRPr="00D50FD5">
        <w:t>financial authorisations be given to employees not contractors or consultants</w:t>
      </w:r>
      <w:r w:rsidR="00D77A97">
        <w:t xml:space="preserve"> (with the CFO of a Portfolio Department </w:t>
      </w:r>
      <w:r w:rsidR="00137DD6">
        <w:t>treated as though he or she were an employee for these purposes</w:t>
      </w:r>
      <w:proofErr w:type="gramStart"/>
      <w:r w:rsidR="00137DD6">
        <w:t>)</w:t>
      </w:r>
      <w:r w:rsidRPr="00D50FD5">
        <w:t>;</w:t>
      </w:r>
      <w:proofErr w:type="gramEnd"/>
    </w:p>
    <w:p w14:paraId="56546B27" w14:textId="0DF0C163" w:rsidR="000B2663" w:rsidRDefault="000B2663" w:rsidP="001D0AED">
      <w:pPr>
        <w:pStyle w:val="Bullet1"/>
        <w:ind w:left="284" w:hanging="284"/>
      </w:pPr>
      <w:hyperlink r:id="rId69" w:anchor="instructions" w:history="1">
        <w:r w:rsidRPr="0051115B">
          <w:rPr>
            <w:rStyle w:val="Hyperlink"/>
          </w:rPr>
          <w:t>Instruction 4.2.1</w:t>
        </w:r>
      </w:hyperlink>
      <w:r w:rsidR="00292AAB">
        <w:t>, which</w:t>
      </w:r>
      <w:r>
        <w:t xml:space="preserve"> requires appropriate contract management and performance</w:t>
      </w:r>
      <w:r w:rsidR="00562899">
        <w:t>.</w:t>
      </w:r>
      <w:r>
        <w:t xml:space="preserve"> </w:t>
      </w:r>
      <w:r w:rsidR="00562899">
        <w:t xml:space="preserve">These requirements </w:t>
      </w:r>
      <w:r>
        <w:t>would apply to a contract to engage an outsourced CFO. Relevant requirements include that the Accountable Officer:</w:t>
      </w:r>
    </w:p>
    <w:p w14:paraId="7F9F9161" w14:textId="77777777" w:rsidR="000B2663" w:rsidRDefault="000B2663" w:rsidP="001D0AED">
      <w:pPr>
        <w:pStyle w:val="Bullet2"/>
      </w:pPr>
      <w:r>
        <w:t>establish an effective performance management framework for the contract;</w:t>
      </w:r>
    </w:p>
    <w:p w14:paraId="27992AC1" w14:textId="77777777" w:rsidR="000B2663" w:rsidRDefault="000B2663" w:rsidP="001D0AED">
      <w:pPr>
        <w:pStyle w:val="Bullet2"/>
      </w:pPr>
      <w:r>
        <w:t>include appropriate contract specification</w:t>
      </w:r>
      <w:r w:rsidR="00292AAB">
        <w:t xml:space="preserve">; </w:t>
      </w:r>
    </w:p>
    <w:p w14:paraId="3A09F2F9" w14:textId="77777777" w:rsidR="00292AAB" w:rsidRDefault="00292AAB" w:rsidP="001D0AED">
      <w:pPr>
        <w:pStyle w:val="Bullet2"/>
      </w:pPr>
      <w:r>
        <w:t>regularly monitor and manage performance; and</w:t>
      </w:r>
    </w:p>
    <w:p w14:paraId="2ABB1186" w14:textId="77777777" w:rsidR="00292AAB" w:rsidRDefault="00292AAB" w:rsidP="001D0AED">
      <w:pPr>
        <w:pStyle w:val="Bullet2"/>
      </w:pPr>
      <w:r>
        <w:t xml:space="preserve">regularly report to the Responsible Body on the contractor’s performance; </w:t>
      </w:r>
    </w:p>
    <w:p w14:paraId="659C1E10" w14:textId="77777777" w:rsidR="000B2663" w:rsidRDefault="00453706" w:rsidP="001D0AED">
      <w:pPr>
        <w:pStyle w:val="Bullet1"/>
        <w:ind w:left="284" w:hanging="284"/>
      </w:pPr>
      <w:r>
        <w:t>Departments and some A</w:t>
      </w:r>
      <w:r w:rsidR="000B2663">
        <w:t xml:space="preserve">gencies are subject to the policies issued by the Victorian Government Procurement Board. These policies will </w:t>
      </w:r>
      <w:r w:rsidR="00292AAB">
        <w:t>apply to</w:t>
      </w:r>
      <w:r w:rsidR="000B2663">
        <w:t xml:space="preserve"> the proposed engagement of an outsourced CFO.</w:t>
      </w:r>
    </w:p>
    <w:p w14:paraId="313A4A98" w14:textId="77777777" w:rsidR="00C132D6" w:rsidRDefault="00C132D6" w:rsidP="00C132D6">
      <w:pPr>
        <w:pStyle w:val="Heading1NoNum"/>
      </w:pPr>
      <w:r>
        <w:t>Joint Accountable Officer/CFO</w:t>
      </w:r>
    </w:p>
    <w:p w14:paraId="244C6996" w14:textId="1585BDDD" w:rsidR="00C132D6" w:rsidRDefault="00C132D6" w:rsidP="00C132D6">
      <w:r>
        <w:t xml:space="preserve">The Act and Directions do not prohibit the role of the CFO from being undertaken by the Accountable Officer. This may be </w:t>
      </w:r>
      <w:r w:rsidR="00453706">
        <w:t>appropriate in some very small A</w:t>
      </w:r>
      <w:r>
        <w:t xml:space="preserve">gencies where resources are limited and financial risk is low. </w:t>
      </w:r>
    </w:p>
    <w:p w14:paraId="227B5418" w14:textId="77777777" w:rsidR="00C132D6" w:rsidRDefault="00C132D6" w:rsidP="00C132D6">
      <w:r>
        <w:t xml:space="preserve">However, in most </w:t>
      </w:r>
      <w:r w:rsidR="008C35EC">
        <w:t>A</w:t>
      </w:r>
      <w:r>
        <w:t xml:space="preserve">gencies, it is unlikely that a joint Accountable Officer/CFO role would be workable or appropriate. A person in such a joint role would be subject to significant and diverging responsibilities under both the Directions are other </w:t>
      </w:r>
      <w:r w:rsidR="001907FC">
        <w:t>legislation, standards and policies.</w:t>
      </w:r>
      <w:r>
        <w:t xml:space="preserve"> </w:t>
      </w:r>
      <w:r w:rsidR="001907FC">
        <w:t>Further, t</w:t>
      </w:r>
      <w:r>
        <w:t xml:space="preserve">he separation of the roles is important </w:t>
      </w:r>
      <w:r w:rsidR="008C35EC">
        <w:t xml:space="preserve">in most Agencies </w:t>
      </w:r>
      <w:r>
        <w:t xml:space="preserve">to ensure sufficient focus on financial management. </w:t>
      </w:r>
    </w:p>
    <w:p w14:paraId="7055E3D3" w14:textId="77777777" w:rsidR="00160910" w:rsidRDefault="00160910" w:rsidP="00160910">
      <w:pPr>
        <w:pStyle w:val="Heading1NoNum"/>
      </w:pPr>
      <w:r>
        <w:t xml:space="preserve">CFO </w:t>
      </w:r>
      <w:r w:rsidR="008C35EC">
        <w:t xml:space="preserve">expertise and </w:t>
      </w:r>
      <w:r>
        <w:t>qualifications</w:t>
      </w:r>
    </w:p>
    <w:p w14:paraId="2A11FDF4" w14:textId="77777777" w:rsidR="00160910" w:rsidRDefault="000C0FE0" w:rsidP="00160910">
      <w:r>
        <w:t xml:space="preserve">The Directions provide that the CFO must be suitably experienced and hold a graduate or post graduate qualification in accounting or a relevant discipline granted by a tertiary education provider. </w:t>
      </w:r>
      <w:r w:rsidR="00986FED">
        <w:t xml:space="preserve">What constitutes a </w:t>
      </w:r>
      <w:r w:rsidR="007A23FF">
        <w:t>‘</w:t>
      </w:r>
      <w:r w:rsidR="00986FED">
        <w:t>relevant discipline</w:t>
      </w:r>
      <w:r w:rsidR="007A23FF">
        <w:t>’</w:t>
      </w:r>
      <w:r w:rsidR="00986FED">
        <w:t xml:space="preserve"> will depend on the judgement of the Accountable Officer having rega</w:t>
      </w:r>
      <w:r w:rsidR="006F0D5C">
        <w:t>rd to the circumstances of the A</w:t>
      </w:r>
      <w:r w:rsidR="00986FED">
        <w:t xml:space="preserve">gency. It may include a qualification in </w:t>
      </w:r>
      <w:r w:rsidR="001E0D5E">
        <w:t>finance, business or</w:t>
      </w:r>
      <w:r w:rsidR="00986FED">
        <w:t xml:space="preserve"> economics, particularly if the qualification is supported by relevant prior experience. </w:t>
      </w:r>
    </w:p>
    <w:p w14:paraId="0F484D7D" w14:textId="3FEDC44F" w:rsidR="002E08D5" w:rsidRDefault="000C0FE0" w:rsidP="00160910">
      <w:r>
        <w:t xml:space="preserve">Professional designation (such as </w:t>
      </w:r>
      <w:r w:rsidR="00986FED">
        <w:t xml:space="preserve">membership of </w:t>
      </w:r>
      <w:r w:rsidR="00972B46">
        <w:t>Chartered Accountants Australia New Zealand (CA</w:t>
      </w:r>
      <w:r w:rsidR="00DB2C10">
        <w:t xml:space="preserve"> </w:t>
      </w:r>
      <w:r w:rsidR="00972B46">
        <w:t>ANZ)</w:t>
      </w:r>
      <w:r w:rsidR="00DB2C10">
        <w:t xml:space="preserve"> </w:t>
      </w:r>
      <w:r w:rsidR="00972B46">
        <w:t>or CPA Australia)</w:t>
      </w:r>
      <w:r>
        <w:t xml:space="preserve"> is not a mandatory requirement for CFOs. However, it is a relevant qualification and will help</w:t>
      </w:r>
      <w:r w:rsidR="00986FED">
        <w:t xml:space="preserve"> to</w:t>
      </w:r>
      <w:r>
        <w:t xml:space="preserve"> ensure that </w:t>
      </w:r>
      <w:r w:rsidR="006332E3">
        <w:t>a</w:t>
      </w:r>
      <w:r>
        <w:t xml:space="preserve"> CFO complies with the requirement to keep their knowledge and expertise up to date with developments in financial management. </w:t>
      </w:r>
    </w:p>
    <w:p w14:paraId="63D171B3" w14:textId="77777777" w:rsidR="00AE69C7" w:rsidRDefault="00AE69C7" w:rsidP="00160910">
      <w:pPr>
        <w:sectPr w:rsidR="00AE69C7" w:rsidSect="007F1A5E">
          <w:pgSz w:w="11906" w:h="16838"/>
          <w:pgMar w:top="1440" w:right="1008" w:bottom="1440" w:left="1008" w:header="706" w:footer="389" w:gutter="0"/>
          <w:cols w:space="708"/>
          <w:titlePg/>
          <w:docGrid w:linePitch="360"/>
        </w:sectPr>
      </w:pPr>
    </w:p>
    <w:p w14:paraId="7503D031" w14:textId="77777777" w:rsidR="000C0FE0" w:rsidRDefault="00921074" w:rsidP="002E08D5">
      <w:pPr>
        <w:pStyle w:val="GuidanceTitle"/>
      </w:pPr>
      <w:bookmarkStart w:id="18" w:name="Guidance_2_4_6"/>
      <w:r w:rsidRPr="00D579DE">
        <w:lastRenderedPageBreak/>
        <w:t>Guidance 2.4.6</w:t>
      </w:r>
      <w:bookmarkEnd w:id="18"/>
      <w:r w:rsidRPr="00D579DE">
        <w:t xml:space="preserve"> – CFO whole of g</w:t>
      </w:r>
      <w:r w:rsidR="002E08D5" w:rsidRPr="00D579DE">
        <w:t>overnment responsibilities</w:t>
      </w:r>
      <w:r w:rsidR="002E08D5">
        <w:t xml:space="preserve"> </w:t>
      </w:r>
    </w:p>
    <w:tbl>
      <w:tblPr>
        <w:tblStyle w:val="Table121"/>
        <w:tblW w:w="9900" w:type="dxa"/>
        <w:tblLook w:val="0080" w:firstRow="0" w:lastRow="0" w:firstColumn="1" w:lastColumn="0" w:noHBand="0" w:noVBand="0"/>
      </w:tblPr>
      <w:tblGrid>
        <w:gridCol w:w="3119"/>
        <w:gridCol w:w="6781"/>
      </w:tblGrid>
      <w:tr w:rsidR="002E08D5" w:rsidRPr="00C426D3" w14:paraId="7944A95B" w14:textId="77777777" w:rsidTr="002E0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E56E4C8" w14:textId="77777777" w:rsidR="002E08D5" w:rsidRPr="00C426D3" w:rsidRDefault="002E08D5" w:rsidP="002E08D5">
            <w:pPr>
              <w:spacing w:before="60" w:after="60" w:line="252" w:lineRule="auto"/>
              <w:rPr>
                <w:rFonts w:cs="Times New Roman"/>
                <w:b/>
                <w:sz w:val="18"/>
                <w:szCs w:val="20"/>
              </w:rPr>
            </w:pPr>
            <w:r w:rsidRPr="00C426D3">
              <w:rPr>
                <w:rFonts w:cs="Times New Roman"/>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5693A598" w14:textId="77777777" w:rsidR="002E08D5" w:rsidRPr="00C426D3" w:rsidRDefault="00A85F76" w:rsidP="00921074">
            <w:pPr>
              <w:spacing w:before="60" w:after="60" w:line="252" w:lineRule="auto"/>
              <w:rPr>
                <w:rFonts w:cs="Times New Roman"/>
                <w:bCs/>
                <w:sz w:val="18"/>
                <w:szCs w:val="20"/>
              </w:rPr>
            </w:pPr>
            <w:r>
              <w:rPr>
                <w:rFonts w:cs="Times New Roman"/>
                <w:bCs/>
                <w:sz w:val="18"/>
                <w:szCs w:val="20"/>
              </w:rPr>
              <w:t xml:space="preserve">Provides guidance on setting </w:t>
            </w:r>
            <w:r w:rsidR="002E08D5" w:rsidRPr="002E08D5">
              <w:rPr>
                <w:rFonts w:cs="Times New Roman"/>
                <w:bCs/>
                <w:sz w:val="18"/>
                <w:szCs w:val="20"/>
              </w:rPr>
              <w:t xml:space="preserve">down accountabilities for public sector </w:t>
            </w:r>
            <w:r w:rsidR="002E08D5">
              <w:rPr>
                <w:rFonts w:cs="Times New Roman"/>
                <w:bCs/>
                <w:sz w:val="18"/>
                <w:szCs w:val="20"/>
              </w:rPr>
              <w:t>CFO</w:t>
            </w:r>
            <w:r w:rsidR="00921074">
              <w:rPr>
                <w:rFonts w:cs="Times New Roman"/>
                <w:bCs/>
                <w:sz w:val="18"/>
                <w:szCs w:val="20"/>
              </w:rPr>
              <w:t>s</w:t>
            </w:r>
            <w:r w:rsidR="002E08D5" w:rsidRPr="002E08D5">
              <w:rPr>
                <w:rFonts w:cs="Times New Roman"/>
                <w:bCs/>
                <w:sz w:val="18"/>
                <w:szCs w:val="20"/>
              </w:rPr>
              <w:t xml:space="preserve"> to support ministerial and whole of government financial objectives and to provide information to portfolio departments or DTF.</w:t>
            </w:r>
          </w:p>
        </w:tc>
      </w:tr>
      <w:tr w:rsidR="002E08D5" w:rsidRPr="00C426D3" w14:paraId="5EB51CD3" w14:textId="77777777" w:rsidTr="002E08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A2212E6" w14:textId="77777777" w:rsidR="002E08D5" w:rsidRPr="00C426D3" w:rsidRDefault="002E08D5" w:rsidP="002E08D5">
            <w:pPr>
              <w:spacing w:before="60" w:after="60" w:line="252" w:lineRule="auto"/>
              <w:rPr>
                <w:rFonts w:cs="Times New Roman"/>
                <w:b/>
                <w:sz w:val="18"/>
                <w:szCs w:val="20"/>
              </w:rPr>
            </w:pPr>
            <w:r w:rsidRPr="00C426D3">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683BF1B8" w14:textId="77777777" w:rsidR="002E08D5" w:rsidRPr="00C426D3" w:rsidRDefault="002E08D5" w:rsidP="002E08D5">
            <w:pPr>
              <w:spacing w:before="60" w:after="60" w:line="252" w:lineRule="auto"/>
              <w:rPr>
                <w:rFonts w:cs="Times New Roman"/>
                <w:bCs/>
                <w:sz w:val="18"/>
                <w:szCs w:val="20"/>
              </w:rPr>
            </w:pPr>
            <w:r>
              <w:rPr>
                <w:rFonts w:cs="Times New Roman"/>
                <w:bCs/>
                <w:sz w:val="18"/>
                <w:szCs w:val="20"/>
              </w:rPr>
              <w:t>1 February 2017</w:t>
            </w:r>
          </w:p>
        </w:tc>
      </w:tr>
      <w:tr w:rsidR="002E08D5" w:rsidRPr="00C426D3" w14:paraId="398E3323" w14:textId="77777777" w:rsidTr="002E0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51FA397" w14:textId="77777777" w:rsidR="002E08D5" w:rsidRPr="00C426D3" w:rsidRDefault="002E08D5" w:rsidP="002E08D5">
            <w:pPr>
              <w:spacing w:before="60" w:after="60" w:line="252" w:lineRule="auto"/>
              <w:rPr>
                <w:rFonts w:cs="Times New Roman"/>
                <w:b/>
                <w:sz w:val="18"/>
                <w:szCs w:val="20"/>
              </w:rPr>
            </w:pPr>
            <w:r w:rsidRPr="00C426D3">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09D3C900" w14:textId="20FEF1EC" w:rsidR="00D579DE" w:rsidRDefault="00D579DE" w:rsidP="002E08D5">
            <w:pPr>
              <w:spacing w:before="60" w:after="60" w:line="252" w:lineRule="auto"/>
              <w:rPr>
                <w:rStyle w:val="Hyperlink"/>
                <w:rFonts w:cs="Times New Roman"/>
                <w:bCs/>
                <w:sz w:val="18"/>
                <w:szCs w:val="20"/>
              </w:rPr>
            </w:pPr>
            <w:hyperlink r:id="rId70" w:anchor="standing-directions-2018" w:history="1">
              <w:r w:rsidRPr="00AC7759">
                <w:rPr>
                  <w:rStyle w:val="Hyperlink"/>
                  <w:rFonts w:cs="Times New Roman"/>
                  <w:bCs/>
                  <w:sz w:val="18"/>
                  <w:szCs w:val="20"/>
                </w:rPr>
                <w:t>2.4 Chief Finance Officer</w:t>
              </w:r>
            </w:hyperlink>
          </w:p>
          <w:p w14:paraId="1CD2C31E" w14:textId="0BC5E740" w:rsidR="00363FF8" w:rsidRDefault="00363FF8" w:rsidP="002E08D5">
            <w:pPr>
              <w:spacing w:before="60" w:after="60" w:line="252" w:lineRule="auto"/>
              <w:rPr>
                <w:rFonts w:cs="Times New Roman"/>
                <w:bCs/>
                <w:sz w:val="18"/>
                <w:szCs w:val="20"/>
                <w:highlight w:val="yellow"/>
              </w:rPr>
            </w:pPr>
            <w:hyperlink r:id="rId71" w:anchor="standing-directions-2018" w:history="1">
              <w:r>
                <w:rPr>
                  <w:rStyle w:val="Hyperlink"/>
                  <w:rFonts w:cs="Times New Roman"/>
                  <w:bCs/>
                  <w:sz w:val="18"/>
                  <w:szCs w:val="20"/>
                </w:rPr>
                <w:t xml:space="preserve">2.4.6 CFO whole of government responsibilities </w:t>
              </w:r>
            </w:hyperlink>
          </w:p>
          <w:p w14:paraId="5C941FA0" w14:textId="3AF6CCB9" w:rsidR="002E08D5" w:rsidRPr="00C426D3" w:rsidRDefault="00363FF8" w:rsidP="002E08D5">
            <w:pPr>
              <w:spacing w:before="60" w:after="60" w:line="252" w:lineRule="auto"/>
              <w:rPr>
                <w:rFonts w:cs="Times New Roman"/>
                <w:bCs/>
                <w:sz w:val="18"/>
                <w:szCs w:val="20"/>
              </w:rPr>
            </w:pPr>
            <w:hyperlink r:id="rId72" w:anchor="standing-directions-2018" w:history="1">
              <w:r w:rsidRPr="00AC7759">
                <w:rPr>
                  <w:rStyle w:val="Hyperlink"/>
                  <w:rFonts w:cs="Times New Roman"/>
                  <w:bCs/>
                  <w:sz w:val="18"/>
                  <w:szCs w:val="20"/>
                </w:rPr>
                <w:t>5.1 Financial management compliance</w:t>
              </w:r>
            </w:hyperlink>
          </w:p>
        </w:tc>
      </w:tr>
      <w:tr w:rsidR="002E08D5" w:rsidRPr="00C426D3" w14:paraId="518F72AA" w14:textId="77777777" w:rsidTr="002E08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F4CA2C7" w14:textId="77777777" w:rsidR="002E08D5" w:rsidRPr="00C426D3" w:rsidRDefault="002E08D5" w:rsidP="002E08D5">
            <w:pPr>
              <w:spacing w:before="60" w:after="60" w:line="252" w:lineRule="auto"/>
              <w:rPr>
                <w:rFonts w:cs="Times New Roman"/>
                <w:b/>
                <w:sz w:val="18"/>
                <w:szCs w:val="20"/>
              </w:rPr>
            </w:pPr>
            <w:r w:rsidRPr="00C426D3">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5A0D76B2" w14:textId="044FCB2F" w:rsidR="002E08D5" w:rsidRPr="00C426D3" w:rsidRDefault="00515507" w:rsidP="002E08D5">
            <w:pPr>
              <w:spacing w:before="60" w:after="60" w:line="252" w:lineRule="auto"/>
              <w:rPr>
                <w:rFonts w:cs="Times New Roman"/>
                <w:bCs/>
                <w:sz w:val="18"/>
                <w:szCs w:val="20"/>
              </w:rPr>
            </w:pPr>
            <w:r>
              <w:rPr>
                <w:rFonts w:cs="Times New Roman"/>
                <w:bCs/>
                <w:sz w:val="18"/>
                <w:szCs w:val="20"/>
              </w:rPr>
              <w:t>1</w:t>
            </w:r>
            <w:r w:rsidR="001C6EA2">
              <w:rPr>
                <w:rFonts w:cs="Times New Roman"/>
                <w:bCs/>
                <w:sz w:val="18"/>
                <w:szCs w:val="20"/>
              </w:rPr>
              <w:t xml:space="preserve"> Ma</w:t>
            </w:r>
            <w:r>
              <w:rPr>
                <w:rFonts w:cs="Times New Roman"/>
                <w:bCs/>
                <w:sz w:val="18"/>
                <w:szCs w:val="20"/>
              </w:rPr>
              <w:t>y</w:t>
            </w:r>
            <w:r w:rsidR="001C6EA2">
              <w:rPr>
                <w:rFonts w:cs="Times New Roman"/>
                <w:bCs/>
                <w:sz w:val="18"/>
                <w:szCs w:val="20"/>
              </w:rPr>
              <w:t xml:space="preserve"> 2019</w:t>
            </w:r>
          </w:p>
        </w:tc>
      </w:tr>
    </w:tbl>
    <w:p w14:paraId="072EC219" w14:textId="77777777" w:rsidR="002E08D5" w:rsidRDefault="002E08D5" w:rsidP="00995ED6">
      <w:pPr>
        <w:pStyle w:val="Spacer"/>
      </w:pPr>
    </w:p>
    <w:p w14:paraId="27D8E07F" w14:textId="77777777" w:rsidR="00A85F76" w:rsidRDefault="00A85F76" w:rsidP="00171798">
      <w:pPr>
        <w:pStyle w:val="Heading1NoNum"/>
      </w:pPr>
      <w:r>
        <w:t>Background</w:t>
      </w:r>
    </w:p>
    <w:p w14:paraId="05D3860A" w14:textId="73CB42F8" w:rsidR="00A85F76" w:rsidRDefault="00921074" w:rsidP="00A85F76">
      <w:hyperlink r:id="rId73" w:anchor="guidance" w:history="1">
        <w:r w:rsidRPr="00E77E92">
          <w:rPr>
            <w:rStyle w:val="Hyperlink"/>
          </w:rPr>
          <w:t>Direction 2.4.6</w:t>
        </w:r>
      </w:hyperlink>
      <w:r w:rsidR="00A85F76" w:rsidRPr="00E77E92">
        <w:t xml:space="preserve"> set</w:t>
      </w:r>
      <w:r w:rsidRPr="00E77E92">
        <w:t>s</w:t>
      </w:r>
      <w:r w:rsidR="00A85F76" w:rsidRPr="00E77E92">
        <w:t xml:space="preserve"> down accountabilities for public sector Chief Finance Officers (CFOs) to support ministerial and whole</w:t>
      </w:r>
      <w:r w:rsidR="00A85F76">
        <w:t xml:space="preserve"> of government financial objectives and to provide information to portfolio departments or DTF. </w:t>
      </w:r>
      <w:r w:rsidR="001D0AED">
        <w:t xml:space="preserve">This </w:t>
      </w:r>
      <w:r w:rsidR="00A85F76">
        <w:t>reflect</w:t>
      </w:r>
      <w:r w:rsidR="00093198">
        <w:t>s</w:t>
      </w:r>
      <w:r w:rsidR="00A85F76">
        <w:t xml:space="preserve"> </w:t>
      </w:r>
      <w:r w:rsidR="001D0AED">
        <w:t>the</w:t>
      </w:r>
      <w:r w:rsidR="00A85F76">
        <w:t xml:space="preserve"> broader priorities </w:t>
      </w:r>
      <w:r w:rsidR="001D0AED">
        <w:t xml:space="preserve">of Government </w:t>
      </w:r>
      <w:r w:rsidR="00A85F76">
        <w:t xml:space="preserve">to increase the accountability and transparency of departments’ and agencies’ finances. </w:t>
      </w:r>
    </w:p>
    <w:p w14:paraId="1EC9E575" w14:textId="3309D1AC" w:rsidR="00A85F76" w:rsidRDefault="00E77E92" w:rsidP="00A85F76">
      <w:hyperlink r:id="rId74" w:anchor="standing-directions-2018" w:history="1">
        <w:r w:rsidRPr="00E77E92">
          <w:rPr>
            <w:rStyle w:val="Hyperlink"/>
          </w:rPr>
          <w:t>Direction 2.4.6</w:t>
        </w:r>
      </w:hyperlink>
      <w:r w:rsidR="00093198">
        <w:t xml:space="preserve"> </w:t>
      </w:r>
      <w:r w:rsidR="003F5127">
        <w:t>is</w:t>
      </w:r>
      <w:r w:rsidR="00A85F76">
        <w:t xml:space="preserve"> subject to the compliance and reporting requirements in the </w:t>
      </w:r>
      <w:r w:rsidR="001D0AED">
        <w:t xml:space="preserve">FMA and </w:t>
      </w:r>
      <w:r w:rsidR="00A85F76">
        <w:t xml:space="preserve">Standing Directions. This is discussed further below. </w:t>
      </w:r>
    </w:p>
    <w:p w14:paraId="42747958" w14:textId="77777777" w:rsidR="00A85F76" w:rsidRDefault="00A85F76" w:rsidP="00171798">
      <w:pPr>
        <w:pStyle w:val="Heading1NoNum"/>
      </w:pPr>
      <w:r>
        <w:t>Application</w:t>
      </w:r>
    </w:p>
    <w:p w14:paraId="095FF585" w14:textId="1144EFC2" w:rsidR="00A85F76" w:rsidRDefault="00E77E92" w:rsidP="00A85F76">
      <w:hyperlink r:id="rId75" w:anchor="standing-directions-2018" w:history="1">
        <w:r w:rsidRPr="00E77E92">
          <w:rPr>
            <w:rStyle w:val="Hyperlink"/>
          </w:rPr>
          <w:t>Direction 2.4.6</w:t>
        </w:r>
      </w:hyperlink>
      <w:r>
        <w:t xml:space="preserve"> </w:t>
      </w:r>
      <w:r w:rsidR="00093198">
        <w:t>applies</w:t>
      </w:r>
      <w:r w:rsidR="00A85F76">
        <w:t xml:space="preserve"> to ‘relevant Departments’ and to ‘Agencies’, depending on the direction in question. </w:t>
      </w:r>
    </w:p>
    <w:p w14:paraId="52BD253F" w14:textId="5F1DE81D" w:rsidR="00A85F76" w:rsidRDefault="00A85F76" w:rsidP="001D0AED">
      <w:r>
        <w:t xml:space="preserve">At the time of publication </w:t>
      </w:r>
      <w:r w:rsidR="00EA5E02">
        <w:t xml:space="preserve">of this version, </w:t>
      </w:r>
      <w:r>
        <w:t>the relevant Departments were:</w:t>
      </w:r>
    </w:p>
    <w:p w14:paraId="4E83BA61" w14:textId="77777777" w:rsidR="001D0AED" w:rsidRDefault="00A85F76" w:rsidP="000B15FD">
      <w:pPr>
        <w:pStyle w:val="ListParagraph"/>
        <w:numPr>
          <w:ilvl w:val="0"/>
          <w:numId w:val="29"/>
        </w:numPr>
      </w:pPr>
      <w:r>
        <w:t>Department of Education and Training (DET);</w:t>
      </w:r>
    </w:p>
    <w:p w14:paraId="42920CE4" w14:textId="6102BC70" w:rsidR="001D0AED" w:rsidRDefault="00A85F76" w:rsidP="000B15FD">
      <w:pPr>
        <w:pStyle w:val="ListParagraph"/>
        <w:numPr>
          <w:ilvl w:val="0"/>
          <w:numId w:val="29"/>
        </w:numPr>
      </w:pPr>
      <w:r>
        <w:t>Department of Environment, Land, Water and Planning (DELWP);</w:t>
      </w:r>
    </w:p>
    <w:p w14:paraId="4103FB1D" w14:textId="3745A3F5" w:rsidR="007D0672" w:rsidRDefault="007D0672" w:rsidP="000B15FD">
      <w:pPr>
        <w:pStyle w:val="ListParagraph"/>
        <w:numPr>
          <w:ilvl w:val="0"/>
          <w:numId w:val="29"/>
        </w:numPr>
      </w:pPr>
      <w:r>
        <w:t>Department of Families</w:t>
      </w:r>
      <w:r w:rsidR="00C3721F">
        <w:t>,</w:t>
      </w:r>
      <w:r>
        <w:t xml:space="preserve"> </w:t>
      </w:r>
      <w:r w:rsidR="00C3721F">
        <w:t>F</w:t>
      </w:r>
      <w:r>
        <w:t>airness and Housing</w:t>
      </w:r>
      <w:r w:rsidR="00C3721F">
        <w:t xml:space="preserve"> (DFFH);</w:t>
      </w:r>
    </w:p>
    <w:p w14:paraId="37BE68EF" w14:textId="2CEDAC85" w:rsidR="001D0AED" w:rsidRDefault="00A85F76" w:rsidP="000B15FD">
      <w:pPr>
        <w:pStyle w:val="ListParagraph"/>
        <w:numPr>
          <w:ilvl w:val="0"/>
          <w:numId w:val="29"/>
        </w:numPr>
      </w:pPr>
      <w:r>
        <w:t>Department of Health (DH);</w:t>
      </w:r>
    </w:p>
    <w:p w14:paraId="4ECFFAA3" w14:textId="77777777" w:rsidR="001D0AED" w:rsidRDefault="00780F7A" w:rsidP="000B15FD">
      <w:pPr>
        <w:pStyle w:val="ListParagraph"/>
        <w:numPr>
          <w:ilvl w:val="0"/>
          <w:numId w:val="29"/>
        </w:numPr>
      </w:pPr>
      <w:r>
        <w:t>Department of Jobs, Precincts and Regions (DJPR);</w:t>
      </w:r>
    </w:p>
    <w:p w14:paraId="3AD79578" w14:textId="599A9A42" w:rsidR="001D0AED" w:rsidRDefault="00A85F76" w:rsidP="000B15FD">
      <w:pPr>
        <w:pStyle w:val="ListParagraph"/>
        <w:numPr>
          <w:ilvl w:val="0"/>
          <w:numId w:val="29"/>
        </w:numPr>
      </w:pPr>
      <w:r>
        <w:t xml:space="preserve">Department of Justice and </w:t>
      </w:r>
      <w:r w:rsidR="00780F7A">
        <w:t xml:space="preserve">Community Safety </w:t>
      </w:r>
      <w:r>
        <w:t>(DJ</w:t>
      </w:r>
      <w:r w:rsidR="00780F7A">
        <w:t>CS</w:t>
      </w:r>
      <w:r>
        <w:t>);</w:t>
      </w:r>
    </w:p>
    <w:p w14:paraId="52D13EA7" w14:textId="77777777" w:rsidR="001D0AED" w:rsidRDefault="00A85F76" w:rsidP="000B15FD">
      <w:pPr>
        <w:pStyle w:val="ListParagraph"/>
        <w:numPr>
          <w:ilvl w:val="0"/>
          <w:numId w:val="29"/>
        </w:numPr>
      </w:pPr>
      <w:r>
        <w:t xml:space="preserve">Department of Premier and Cabinet (DPC); </w:t>
      </w:r>
    </w:p>
    <w:p w14:paraId="3551887E" w14:textId="77777777" w:rsidR="001D0AED" w:rsidRDefault="00780F7A" w:rsidP="000B15FD">
      <w:pPr>
        <w:pStyle w:val="ListParagraph"/>
        <w:numPr>
          <w:ilvl w:val="0"/>
          <w:numId w:val="29"/>
        </w:numPr>
      </w:pPr>
      <w:r>
        <w:t xml:space="preserve">Department of Transport (DOT); </w:t>
      </w:r>
      <w:r w:rsidR="00A85F76">
        <w:t>and</w:t>
      </w:r>
    </w:p>
    <w:p w14:paraId="2C605DAE" w14:textId="28147ECF" w:rsidR="00A85F76" w:rsidRDefault="00A85F76" w:rsidP="000B15FD">
      <w:pPr>
        <w:pStyle w:val="ListParagraph"/>
        <w:numPr>
          <w:ilvl w:val="0"/>
          <w:numId w:val="29"/>
        </w:numPr>
      </w:pPr>
      <w:r>
        <w:t>Department of Treasury and Finance (DTF).</w:t>
      </w:r>
    </w:p>
    <w:p w14:paraId="07F69CE1" w14:textId="77777777" w:rsidR="00A85F76" w:rsidRDefault="00A85F76" w:rsidP="00A85F76">
      <w:r>
        <w:t xml:space="preserve">The definition of ‘Agencies’ captures public bodies as defined by the FMA, and bodies specified in section 16(1) of </w:t>
      </w:r>
      <w:r w:rsidRPr="00171798">
        <w:rPr>
          <w:i/>
        </w:rPr>
        <w:t>Public Administration Act 2004</w:t>
      </w:r>
      <w:r>
        <w:t>. It excludes those agencies that are already excluded from the Standing Directions, such as school councils. It also excludes Court Services Victoria, the Judicial College of Victoria</w:t>
      </w:r>
      <w:r w:rsidR="00EF6CB5">
        <w:t>, the Judicial Commission of Victoria,</w:t>
      </w:r>
      <w:r>
        <w:t xml:space="preserve"> and independent offices as defined in the Standing Directions, such as the Victorian Auditor-General’s Office. </w:t>
      </w:r>
    </w:p>
    <w:p w14:paraId="1AED0DDA" w14:textId="77777777" w:rsidR="00A85F76" w:rsidRDefault="00171798" w:rsidP="00171798">
      <w:pPr>
        <w:pStyle w:val="Heading1NoNum"/>
      </w:pPr>
      <w:r>
        <w:t>Direction 2.4.6.1</w:t>
      </w:r>
      <w:r w:rsidR="00A85F76">
        <w:t>: Whole of government financial accountability of CFOs</w:t>
      </w:r>
    </w:p>
    <w:p w14:paraId="13391AD2" w14:textId="23C3970B" w:rsidR="00A85F76" w:rsidRDefault="003A5BD1" w:rsidP="00A85F76">
      <w:hyperlink r:id="rId76" w:anchor="standing-directions-2018" w:history="1">
        <w:r w:rsidRPr="00E77E92">
          <w:rPr>
            <w:rStyle w:val="Hyperlink"/>
          </w:rPr>
          <w:t>Direction 2.4.6.1</w:t>
        </w:r>
      </w:hyperlink>
      <w:r w:rsidR="00A85F76">
        <w:t xml:space="preserve"> sets down whole of government, and portfolio-wide, accountability for CFOs. It requires CFOs to support the principles of sound financial management set down in section 23D of the FMA.</w:t>
      </w:r>
    </w:p>
    <w:p w14:paraId="10C6ADBA" w14:textId="4F673F7B" w:rsidR="00A85F76" w:rsidRDefault="00921074" w:rsidP="00A85F76">
      <w:r>
        <w:t>The concept of ‘whole of g</w:t>
      </w:r>
      <w:r w:rsidR="00A85F76">
        <w:t xml:space="preserve">overnment financial objectives’ </w:t>
      </w:r>
      <w:r w:rsidR="00A85F76" w:rsidRPr="00156430">
        <w:t xml:space="preserve">in </w:t>
      </w:r>
      <w:hyperlink r:id="rId77" w:anchor="standing-directions-2018" w:history="1">
        <w:r w:rsidR="00A85F76" w:rsidRPr="00156430">
          <w:rPr>
            <w:rStyle w:val="Hyperlink"/>
          </w:rPr>
          <w:t xml:space="preserve">Direction </w:t>
        </w:r>
        <w:r w:rsidR="00093198" w:rsidRPr="00156430">
          <w:rPr>
            <w:rStyle w:val="Hyperlink"/>
          </w:rPr>
          <w:t>2.4.6.</w:t>
        </w:r>
        <w:r w:rsidR="00A85F76" w:rsidRPr="00156430">
          <w:rPr>
            <w:rStyle w:val="Hyperlink"/>
          </w:rPr>
          <w:t>1(a)</w:t>
        </w:r>
      </w:hyperlink>
      <w:r w:rsidR="00A85F76">
        <w:t xml:space="preserve"> refers to the stated financial objectives of the Government of the day. It includes the financial policy objectives and strategies statement in the most recent Budget and Budget Update. </w:t>
      </w:r>
    </w:p>
    <w:p w14:paraId="31037E54" w14:textId="77777777" w:rsidR="00A85F76" w:rsidRDefault="00A85F76" w:rsidP="00A85F76">
      <w:r>
        <w:t>The ways in which a CFO might comply with t</w:t>
      </w:r>
      <w:r w:rsidR="00921074">
        <w:t>his D</w:t>
      </w:r>
      <w:r>
        <w:t>irection will vary widely in practice. For example, it might be achieved through advice to a minister or the Government on an issue affecting the agency that has regard to factors such as the financial risks faced by the State; the prevailing economic circumstances; financial effects on future generations; financial sustainability and/or whole of government financial implications. This advice would be provided in various contexts, such as advising on policy decisions, budget bids, services or assets. The advice is only required to be provided in relation to matters relevant to the department or agency.</w:t>
      </w:r>
    </w:p>
    <w:p w14:paraId="6E123A79" w14:textId="77777777" w:rsidR="00A85F76" w:rsidRDefault="00A85F76" w:rsidP="003A5BD1">
      <w:pPr>
        <w:pStyle w:val="Heading1NoNum"/>
      </w:pPr>
      <w:r>
        <w:lastRenderedPageBreak/>
        <w:t>Directions 2</w:t>
      </w:r>
      <w:r w:rsidR="003A5BD1">
        <w:t>.4.6.2 and 2.4.6.3</w:t>
      </w:r>
      <w:r>
        <w:t>: Accountability of CFOs to inform DTF/Portfolio Departments</w:t>
      </w:r>
    </w:p>
    <w:p w14:paraId="4C5A2B9E" w14:textId="43FF6140" w:rsidR="00A85F76" w:rsidRDefault="00A85F76" w:rsidP="00A85F76">
      <w:hyperlink r:id="rId78" w:anchor="standing-directions-2018" w:history="1">
        <w:r w:rsidRPr="00311CE9">
          <w:rPr>
            <w:rStyle w:val="Hyperlink"/>
          </w:rPr>
          <w:t xml:space="preserve">Direction </w:t>
        </w:r>
        <w:r w:rsidR="003A5BD1" w:rsidRPr="00311CE9">
          <w:rPr>
            <w:rStyle w:val="Hyperlink"/>
          </w:rPr>
          <w:t>2.4.6.</w:t>
        </w:r>
        <w:r w:rsidRPr="00311CE9">
          <w:rPr>
            <w:rStyle w:val="Hyperlink"/>
          </w:rPr>
          <w:t>2</w:t>
        </w:r>
      </w:hyperlink>
      <w:r w:rsidR="003F5127">
        <w:t xml:space="preserve"> requires CFOs of relevant d</w:t>
      </w:r>
      <w:r>
        <w:t>epartments to provide information to DTF in certain circu</w:t>
      </w:r>
      <w:r w:rsidR="003A5BD1">
        <w:t>mstances. Similarly</w:t>
      </w:r>
      <w:r w:rsidR="003A5BD1" w:rsidRPr="00311CE9">
        <w:t xml:space="preserve">, </w:t>
      </w:r>
      <w:hyperlink r:id="rId79" w:anchor="standing-directions-2018" w:history="1">
        <w:r w:rsidR="003A5BD1" w:rsidRPr="00311CE9">
          <w:rPr>
            <w:rStyle w:val="Hyperlink"/>
          </w:rPr>
          <w:t>Direction 2.4.6.3</w:t>
        </w:r>
      </w:hyperlink>
      <w:r>
        <w:t xml:space="preserve"> requires agency CFOs to provide information to their portfolio departments. </w:t>
      </w:r>
    </w:p>
    <w:p w14:paraId="3A482963" w14:textId="77777777" w:rsidR="00A85F76" w:rsidRPr="00137C72" w:rsidRDefault="00A85F76" w:rsidP="003A5BD1">
      <w:pPr>
        <w:pStyle w:val="Heading3"/>
      </w:pPr>
      <w:r>
        <w:t xml:space="preserve">Notification </w:t>
      </w:r>
      <w:r w:rsidRPr="00137C72">
        <w:t xml:space="preserve">of issues and risks </w:t>
      </w:r>
    </w:p>
    <w:p w14:paraId="7D687E66" w14:textId="0C522337" w:rsidR="00A85F76" w:rsidRDefault="00311CE9" w:rsidP="00A85F76">
      <w:hyperlink r:id="rId80" w:anchor="standing-directions-2018" w:history="1">
        <w:r w:rsidRPr="00137C72">
          <w:rPr>
            <w:rStyle w:val="Hyperlink"/>
          </w:rPr>
          <w:t>Directions 2.4.6.2(a)</w:t>
        </w:r>
      </w:hyperlink>
      <w:r w:rsidRPr="00137C72">
        <w:t xml:space="preserve"> </w:t>
      </w:r>
      <w:r w:rsidR="00A85F76" w:rsidRPr="00137C72">
        <w:t>and</w:t>
      </w:r>
      <w:hyperlink r:id="rId81" w:anchor="standing-directions-2018" w:history="1">
        <w:r w:rsidR="00A85F76" w:rsidRPr="00137C72">
          <w:rPr>
            <w:rStyle w:val="Hyperlink"/>
          </w:rPr>
          <w:t xml:space="preserve"> </w:t>
        </w:r>
        <w:r w:rsidR="003A5BD1" w:rsidRPr="00137C72">
          <w:rPr>
            <w:rStyle w:val="Hyperlink"/>
          </w:rPr>
          <w:t>2.4.6.</w:t>
        </w:r>
        <w:r w:rsidR="00A85F76" w:rsidRPr="00137C72">
          <w:rPr>
            <w:rStyle w:val="Hyperlink"/>
          </w:rPr>
          <w:t>3(a)</w:t>
        </w:r>
      </w:hyperlink>
      <w:r w:rsidR="00A85F76" w:rsidRPr="00137C72">
        <w:t xml:space="preserve"> impose a requirement for CFOs to inform DTF or their portfolio department of issues and risks that may have an im</w:t>
      </w:r>
      <w:r w:rsidR="00A85F76">
        <w:t xml:space="preserve">pact on the financial performance and position of the State. This requirement is ongoing, and arises at any time that the CFO identifies such an issue or risk. Preferably, the information is to be provided in written form (e.g. an email or letter). If in verbal form (e.g. a phone call or in person), a dated file note evidencing the conversation should be maintained. </w:t>
      </w:r>
    </w:p>
    <w:p w14:paraId="2CC5FB2D" w14:textId="6AF1F054" w:rsidR="00A85F76" w:rsidRPr="00137C72" w:rsidRDefault="00A85F76" w:rsidP="00A85F76">
      <w:r>
        <w:t>The requirement placed o</w:t>
      </w:r>
      <w:r w:rsidRPr="00137C72">
        <w:t xml:space="preserve">n departmental CFOs in </w:t>
      </w:r>
      <w:hyperlink r:id="rId82" w:anchor="standing-directions-2018" w:history="1">
        <w:r w:rsidRPr="00137C72">
          <w:rPr>
            <w:rStyle w:val="Hyperlink"/>
          </w:rPr>
          <w:t>Direction 2</w:t>
        </w:r>
        <w:r w:rsidR="003A5BD1" w:rsidRPr="00137C72">
          <w:rPr>
            <w:rStyle w:val="Hyperlink"/>
          </w:rPr>
          <w:t>.4.6.2</w:t>
        </w:r>
        <w:r w:rsidRPr="00137C72">
          <w:rPr>
            <w:rStyle w:val="Hyperlink"/>
          </w:rPr>
          <w:t>(a)</w:t>
        </w:r>
      </w:hyperlink>
      <w:r w:rsidRPr="00137C72">
        <w:t xml:space="preserve"> includes informing DTF of issues and risks identified in their portfolio agencies. This would include both issues identified by the departmental CFO, and issues notified to the departmental CFO by an agency. Accordingly, when a departmental CFO receives a notification from an agency under </w:t>
      </w:r>
      <w:hyperlink r:id="rId83" w:anchor="standing-directions-2018" w:history="1">
        <w:r w:rsidRPr="00137C72">
          <w:rPr>
            <w:rStyle w:val="Hyperlink"/>
          </w:rPr>
          <w:t xml:space="preserve">Direction </w:t>
        </w:r>
        <w:r w:rsidR="003A5BD1" w:rsidRPr="00137C72">
          <w:rPr>
            <w:rStyle w:val="Hyperlink"/>
          </w:rPr>
          <w:t>2.4.6.</w:t>
        </w:r>
        <w:r w:rsidRPr="00137C72">
          <w:rPr>
            <w:rStyle w:val="Hyperlink"/>
          </w:rPr>
          <w:t>3(a)</w:t>
        </w:r>
      </w:hyperlink>
      <w:r w:rsidRPr="00137C72">
        <w:t xml:space="preserve">, they should consider whether this needs to be passed on to DTF. </w:t>
      </w:r>
    </w:p>
    <w:p w14:paraId="4241CB62" w14:textId="2B30EE44" w:rsidR="00A85F76" w:rsidRDefault="00A85F76" w:rsidP="00A85F76">
      <w:r w:rsidRPr="00137C72">
        <w:t xml:space="preserve">The provision of information under </w:t>
      </w:r>
      <w:hyperlink r:id="rId84" w:anchor="standing-directions-2018" w:history="1">
        <w:r w:rsidRPr="00137C72">
          <w:rPr>
            <w:rStyle w:val="Hyperlink"/>
          </w:rPr>
          <w:t xml:space="preserve">Directions </w:t>
        </w:r>
        <w:r w:rsidR="003A5BD1" w:rsidRPr="00137C72">
          <w:rPr>
            <w:rStyle w:val="Hyperlink"/>
          </w:rPr>
          <w:t>2.4.6.</w:t>
        </w:r>
        <w:r w:rsidRPr="00137C72">
          <w:rPr>
            <w:rStyle w:val="Hyperlink"/>
          </w:rPr>
          <w:t>2(a)</w:t>
        </w:r>
      </w:hyperlink>
      <w:r w:rsidRPr="00137C72">
        <w:t xml:space="preserve"> and </w:t>
      </w:r>
      <w:hyperlink r:id="rId85" w:anchor="standing-directions-2018" w:history="1">
        <w:r w:rsidR="003A5BD1" w:rsidRPr="00137C72">
          <w:rPr>
            <w:rStyle w:val="Hyperlink"/>
          </w:rPr>
          <w:t>2.4.6.</w:t>
        </w:r>
        <w:r w:rsidRPr="00137C72">
          <w:rPr>
            <w:rStyle w:val="Hyperlink"/>
          </w:rPr>
          <w:t>3(a)</w:t>
        </w:r>
      </w:hyperlink>
      <w:r w:rsidRPr="00137C72">
        <w:t xml:space="preserve"> may be subject to the internal approval processes of the department or agency. For example, it may be that the department</w:t>
      </w:r>
      <w:r>
        <w:t xml:space="preserve"> requires secretarial approval for the content of the notification. </w:t>
      </w:r>
    </w:p>
    <w:p w14:paraId="712446DD" w14:textId="77777777" w:rsidR="00A85F76" w:rsidRDefault="00A85F76" w:rsidP="00A85F76">
      <w:r>
        <w:t>There is an expectation that a CFO would exercise sufficient judgement to determine a significant issue or risk impacting on the State's financial performance and position, including reputation. For example, if the CFO thought it a significant enough impact to raise it with their departmental Secretary, they should use the same judgement to determine whether to inform DTF.</w:t>
      </w:r>
    </w:p>
    <w:p w14:paraId="17BF8B71" w14:textId="77777777" w:rsidR="00A85F76" w:rsidRDefault="00A85F76" w:rsidP="00A85F76">
      <w:r>
        <w:t xml:space="preserve">A CFO can also apply the same ‘reasonableness test’ used in the Standing Directions definition of ‘significant’ more broadly. </w:t>
      </w:r>
    </w:p>
    <w:p w14:paraId="2A552AF8" w14:textId="77777777" w:rsidR="00A85F76" w:rsidRDefault="00A85F76" w:rsidP="00A85F76">
      <w:r>
        <w:t xml:space="preserve">The AASB definition of ‘materiality’ is also a useful guide in a broader financial management context, not just in relation to financial reporting. It is material if 'in relation to information, that information which </w:t>
      </w:r>
      <w:r w:rsidRPr="003A5BD1">
        <w:rPr>
          <w:b/>
        </w:rPr>
        <w:t xml:space="preserve">if omitted, misstated or not disclosed </w:t>
      </w:r>
      <w:r>
        <w:t>has the potential to adversely affect decisions about the allocation of scarce resources made by users of the financial report' (this definition can be applied to broader information on financial management issues and risks).</w:t>
      </w:r>
    </w:p>
    <w:p w14:paraId="205E396C" w14:textId="77777777" w:rsidR="00A85F76" w:rsidRDefault="00A85F76" w:rsidP="00A85F76">
      <w:r>
        <w:t>An issue or risk is likely to be of significant impact in relation to the financial position and performance of the State if it extends beyond the capacity of a department to manage within its annual appropriation and other resources. For example, if seeking additional resources from government and/or unused surpluses, there is a need to inform DTF. Risks can also relate to the reputation of the State as an exemplary manager of public monies.</w:t>
      </w:r>
    </w:p>
    <w:p w14:paraId="59CDA918" w14:textId="77777777" w:rsidR="00A85F76" w:rsidRDefault="00A85F76" w:rsidP="00A85F76">
      <w:r>
        <w:t>Examples, both at a departmental or portfolio agency level, that may have significant financial management implications include:</w:t>
      </w:r>
    </w:p>
    <w:p w14:paraId="41DCD4C9" w14:textId="77777777" w:rsidR="00A85F76" w:rsidRDefault="00A85F76" w:rsidP="000B15FD">
      <w:pPr>
        <w:pStyle w:val="GuidanceBullet1"/>
        <w:numPr>
          <w:ilvl w:val="0"/>
          <w:numId w:val="30"/>
        </w:numPr>
        <w:spacing w:before="60" w:after="60"/>
        <w:contextualSpacing/>
      </w:pPr>
      <w:r>
        <w:t>a human or natural event/disaster resulting in a need for additional services;</w:t>
      </w:r>
    </w:p>
    <w:p w14:paraId="4FDBFF68" w14:textId="77777777" w:rsidR="00A85F76" w:rsidRDefault="00A85F76" w:rsidP="000B15FD">
      <w:pPr>
        <w:pStyle w:val="GuidanceBullet1"/>
        <w:numPr>
          <w:ilvl w:val="0"/>
          <w:numId w:val="30"/>
        </w:numPr>
        <w:spacing w:before="60" w:after="60"/>
        <w:contextualSpacing/>
      </w:pPr>
      <w:r>
        <w:t>a change or reduction in Commonwealth funding arrangements;</w:t>
      </w:r>
    </w:p>
    <w:p w14:paraId="45E21132" w14:textId="77777777" w:rsidR="00A85F76" w:rsidRDefault="00A85F76" w:rsidP="000B15FD">
      <w:pPr>
        <w:pStyle w:val="GuidanceBullet1"/>
        <w:numPr>
          <w:ilvl w:val="0"/>
          <w:numId w:val="30"/>
        </w:numPr>
        <w:spacing w:before="60" w:after="60"/>
        <w:contextualSpacing/>
      </w:pPr>
      <w:r>
        <w:t>output or asset overspend/underspend;</w:t>
      </w:r>
    </w:p>
    <w:p w14:paraId="0CBA91E5" w14:textId="77777777" w:rsidR="00A85F76" w:rsidRDefault="00A85F76" w:rsidP="000B15FD">
      <w:pPr>
        <w:pStyle w:val="GuidanceBullet1"/>
        <w:numPr>
          <w:ilvl w:val="0"/>
          <w:numId w:val="30"/>
        </w:numPr>
        <w:spacing w:before="60" w:after="60"/>
        <w:contextualSpacing/>
      </w:pPr>
      <w:r>
        <w:t>changes in ministerial or government priorities which impact on funding;</w:t>
      </w:r>
    </w:p>
    <w:p w14:paraId="6C7BB2CA" w14:textId="77777777" w:rsidR="00A85F76" w:rsidRDefault="00A85F76" w:rsidP="000B15FD">
      <w:pPr>
        <w:pStyle w:val="GuidanceBullet1"/>
        <w:numPr>
          <w:ilvl w:val="0"/>
          <w:numId w:val="30"/>
        </w:numPr>
        <w:spacing w:before="60" w:after="60"/>
        <w:contextualSpacing/>
      </w:pPr>
      <w:r>
        <w:t>issues with outsourced service providers (e.g. financial difficulties or poor service delivery);</w:t>
      </w:r>
    </w:p>
    <w:p w14:paraId="6086DCDA" w14:textId="77777777" w:rsidR="00A85F76" w:rsidRDefault="00A85F76" w:rsidP="000B15FD">
      <w:pPr>
        <w:pStyle w:val="GuidanceBullet1"/>
        <w:numPr>
          <w:ilvl w:val="0"/>
          <w:numId w:val="30"/>
        </w:numPr>
        <w:spacing w:before="60" w:after="60"/>
        <w:contextualSpacing/>
      </w:pPr>
      <w:r>
        <w:t>workforce issues (e.g. Enterprise Bargaining Agreement increases or industrial action);</w:t>
      </w:r>
    </w:p>
    <w:p w14:paraId="30D37F92" w14:textId="77777777" w:rsidR="00A85F76" w:rsidRDefault="00A85F76" w:rsidP="000B15FD">
      <w:pPr>
        <w:pStyle w:val="GuidanceBullet1"/>
        <w:numPr>
          <w:ilvl w:val="0"/>
          <w:numId w:val="30"/>
        </w:numPr>
        <w:spacing w:before="60" w:after="60"/>
        <w:contextualSpacing/>
      </w:pPr>
      <w:r>
        <w:t>unexpected need for major asset replacement (e.g. fire or flood);</w:t>
      </w:r>
    </w:p>
    <w:p w14:paraId="3CD1DEDA" w14:textId="77777777" w:rsidR="00A85F76" w:rsidRDefault="00A85F76" w:rsidP="000B15FD">
      <w:pPr>
        <w:pStyle w:val="GuidanceBullet1"/>
        <w:numPr>
          <w:ilvl w:val="0"/>
          <w:numId w:val="30"/>
        </w:numPr>
        <w:spacing w:before="60" w:after="60"/>
        <w:contextualSpacing/>
      </w:pPr>
      <w:r>
        <w:t>losses or fraud which has severely compromised the financial governance and internal control framework or resulted in a significant financial cost;</w:t>
      </w:r>
    </w:p>
    <w:p w14:paraId="5A5F30BA" w14:textId="610203F2" w:rsidR="00A85F76" w:rsidRDefault="00A85F76" w:rsidP="000B15FD">
      <w:pPr>
        <w:pStyle w:val="GuidanceBullet1"/>
        <w:numPr>
          <w:ilvl w:val="0"/>
          <w:numId w:val="30"/>
        </w:numPr>
        <w:spacing w:before="60" w:after="60"/>
        <w:contextualSpacing/>
      </w:pPr>
      <w:r>
        <w:t>issues with or the loss of IT financial systems and/or information which may impact on data feeds and data quality to</w:t>
      </w:r>
      <w:r w:rsidR="00CA6CEE">
        <w:t> </w:t>
      </w:r>
      <w:r>
        <w:t xml:space="preserve">DTF; </w:t>
      </w:r>
    </w:p>
    <w:p w14:paraId="10DD401E" w14:textId="77777777" w:rsidR="00A85F76" w:rsidRDefault="00A85F76" w:rsidP="000B15FD">
      <w:pPr>
        <w:pStyle w:val="GuidanceBullet1"/>
        <w:numPr>
          <w:ilvl w:val="0"/>
          <w:numId w:val="30"/>
        </w:numPr>
        <w:spacing w:before="60" w:after="60"/>
        <w:contextualSpacing/>
      </w:pPr>
      <w:r>
        <w:t>outstanding legal issues or potential legal exposure or claims;</w:t>
      </w:r>
    </w:p>
    <w:p w14:paraId="12F16BA2" w14:textId="77777777" w:rsidR="00A85F76" w:rsidRDefault="00A85F76" w:rsidP="000B15FD">
      <w:pPr>
        <w:pStyle w:val="GuidanceBullet1"/>
        <w:numPr>
          <w:ilvl w:val="0"/>
          <w:numId w:val="30"/>
        </w:numPr>
        <w:spacing w:before="60" w:after="60"/>
        <w:contextualSpacing/>
      </w:pPr>
      <w:r>
        <w:t>insurance and indemnity claims;</w:t>
      </w:r>
    </w:p>
    <w:p w14:paraId="52BAEA2F" w14:textId="46D18EC4" w:rsidR="00A85F76" w:rsidRDefault="00A85F76" w:rsidP="000B15FD">
      <w:pPr>
        <w:pStyle w:val="GuidanceBullet1"/>
        <w:numPr>
          <w:ilvl w:val="0"/>
          <w:numId w:val="30"/>
        </w:numPr>
        <w:spacing w:before="60" w:after="60"/>
        <w:contextualSpacing/>
      </w:pPr>
      <w:r>
        <w:t>audit findings of serious financial mismanagement or adverse audit opinions on financial statements; and</w:t>
      </w:r>
    </w:p>
    <w:p w14:paraId="67B70016" w14:textId="77777777" w:rsidR="00A85F76" w:rsidRDefault="00A85F76" w:rsidP="000B15FD">
      <w:pPr>
        <w:pStyle w:val="GuidanceBullet1"/>
        <w:numPr>
          <w:ilvl w:val="0"/>
          <w:numId w:val="30"/>
        </w:numPr>
        <w:spacing w:before="60" w:after="60"/>
        <w:contextualSpacing/>
      </w:pPr>
      <w:r>
        <w:t>concerns relating to the current or future financial sustainability of a portfolio agency.</w:t>
      </w:r>
    </w:p>
    <w:p w14:paraId="728B4539" w14:textId="77777777" w:rsidR="00A85F76" w:rsidRPr="00137C72" w:rsidRDefault="00A85F76" w:rsidP="00A85F76">
      <w:r>
        <w:t>This is not an exhaustive list of all the financial management issues or risks facing a portfolio department and/or agen</w:t>
      </w:r>
      <w:r w:rsidRPr="00137C72">
        <w:t>cies, but it illustrates some of the key risks that may impact upon government decision-making.</w:t>
      </w:r>
    </w:p>
    <w:p w14:paraId="63EB97DD" w14:textId="77777777" w:rsidR="00A85F76" w:rsidRPr="00137C72" w:rsidRDefault="00A85F76" w:rsidP="003A5BD1">
      <w:pPr>
        <w:pStyle w:val="Heading3"/>
      </w:pPr>
      <w:r w:rsidRPr="00137C72">
        <w:lastRenderedPageBreak/>
        <w:t>Responding to information requests</w:t>
      </w:r>
    </w:p>
    <w:p w14:paraId="602DD260" w14:textId="2E56650E" w:rsidR="00A85F76" w:rsidRDefault="00A85F76" w:rsidP="00A85F76">
      <w:hyperlink r:id="rId86" w:anchor="standing-directions-2018" w:history="1">
        <w:r w:rsidRPr="00137C72">
          <w:rPr>
            <w:rStyle w:val="Hyperlink"/>
          </w:rPr>
          <w:t xml:space="preserve">Directions </w:t>
        </w:r>
        <w:r w:rsidR="003A5BD1" w:rsidRPr="00137C72">
          <w:rPr>
            <w:rStyle w:val="Hyperlink"/>
          </w:rPr>
          <w:t>2.4.6.</w:t>
        </w:r>
        <w:r w:rsidRPr="00137C72">
          <w:rPr>
            <w:rStyle w:val="Hyperlink"/>
          </w:rPr>
          <w:t>2(b)</w:t>
        </w:r>
      </w:hyperlink>
      <w:r w:rsidRPr="00137C72">
        <w:t xml:space="preserve"> and </w:t>
      </w:r>
      <w:hyperlink r:id="rId87" w:anchor="standing-directions-2018" w:history="1">
        <w:r w:rsidR="003A5BD1" w:rsidRPr="00137C72">
          <w:rPr>
            <w:rStyle w:val="Hyperlink"/>
          </w:rPr>
          <w:t>2.4.6.</w:t>
        </w:r>
        <w:r w:rsidRPr="00137C72">
          <w:rPr>
            <w:rStyle w:val="Hyperlink"/>
          </w:rPr>
          <w:t>3(b)</w:t>
        </w:r>
      </w:hyperlink>
      <w:r w:rsidRPr="00137C72">
        <w:t xml:space="preserve"> require CFOs to directly provide to DTF or their portfolio department factual financial information</w:t>
      </w:r>
      <w:r>
        <w:t xml:space="preserve"> requested to facilitate reporting and Government decision making, within the time provided in the request. </w:t>
      </w:r>
    </w:p>
    <w:p w14:paraId="58EC8597" w14:textId="77777777" w:rsidR="00A85F76" w:rsidRDefault="00A85F76" w:rsidP="00A85F76">
      <w:r>
        <w:t xml:space="preserve">Relevant financial information may include: </w:t>
      </w:r>
    </w:p>
    <w:p w14:paraId="04CDCE19" w14:textId="77777777" w:rsidR="00A85F76" w:rsidRDefault="00A85F76" w:rsidP="000B15FD">
      <w:pPr>
        <w:pStyle w:val="GuidanceBullet1"/>
        <w:numPr>
          <w:ilvl w:val="0"/>
          <w:numId w:val="31"/>
        </w:numPr>
        <w:spacing w:before="60" w:after="60"/>
        <w:contextualSpacing/>
      </w:pPr>
      <w:r>
        <w:t>strategic planning information (e.g. risks, challenges, options);</w:t>
      </w:r>
    </w:p>
    <w:p w14:paraId="66683932" w14:textId="77777777" w:rsidR="00A85F76" w:rsidRDefault="00A85F76" w:rsidP="000B15FD">
      <w:pPr>
        <w:pStyle w:val="GuidanceBullet1"/>
        <w:numPr>
          <w:ilvl w:val="0"/>
          <w:numId w:val="31"/>
        </w:numPr>
        <w:spacing w:before="60" w:after="60"/>
        <w:contextualSpacing/>
      </w:pPr>
      <w:r>
        <w:t xml:space="preserve">the past, present and future allocations of resources; </w:t>
      </w:r>
    </w:p>
    <w:p w14:paraId="47672222" w14:textId="77777777" w:rsidR="00A85F76" w:rsidRDefault="00A85F76" w:rsidP="000B15FD">
      <w:pPr>
        <w:pStyle w:val="GuidanceBullet1"/>
        <w:numPr>
          <w:ilvl w:val="0"/>
          <w:numId w:val="31"/>
        </w:numPr>
        <w:spacing w:before="60" w:after="60"/>
        <w:contextualSpacing/>
      </w:pPr>
      <w:r>
        <w:t xml:space="preserve">the outputs and outcomes resulting, or expected to result, from allocations; </w:t>
      </w:r>
    </w:p>
    <w:p w14:paraId="5A954C90" w14:textId="77777777" w:rsidR="00A85F76" w:rsidRDefault="00A85F76" w:rsidP="000B15FD">
      <w:pPr>
        <w:pStyle w:val="GuidanceBullet1"/>
        <w:numPr>
          <w:ilvl w:val="0"/>
          <w:numId w:val="31"/>
        </w:numPr>
        <w:spacing w:before="60" w:after="60"/>
        <w:contextualSpacing/>
      </w:pPr>
      <w:r>
        <w:t>economic and financial analysis of policy proposals;</w:t>
      </w:r>
    </w:p>
    <w:p w14:paraId="2CA724D4" w14:textId="77777777" w:rsidR="00A85F76" w:rsidRDefault="00A85F76" w:rsidP="000B15FD">
      <w:pPr>
        <w:pStyle w:val="GuidanceBullet1"/>
        <w:numPr>
          <w:ilvl w:val="0"/>
          <w:numId w:val="31"/>
        </w:numPr>
        <w:spacing w:before="60" w:after="60"/>
        <w:contextualSpacing/>
      </w:pPr>
      <w:r>
        <w:t xml:space="preserve">program/service delivery information; </w:t>
      </w:r>
    </w:p>
    <w:p w14:paraId="233C9DCD" w14:textId="77777777" w:rsidR="00A85F76" w:rsidRDefault="00A85F76" w:rsidP="000B15FD">
      <w:pPr>
        <w:pStyle w:val="GuidanceBullet1"/>
        <w:numPr>
          <w:ilvl w:val="0"/>
          <w:numId w:val="31"/>
        </w:numPr>
        <w:spacing w:before="60" w:after="60"/>
        <w:contextualSpacing/>
      </w:pPr>
      <w:r>
        <w:t>business cases for outputs and assets; and</w:t>
      </w:r>
    </w:p>
    <w:p w14:paraId="677E9192" w14:textId="77777777" w:rsidR="00A85F76" w:rsidRDefault="00A85F76" w:rsidP="000B15FD">
      <w:pPr>
        <w:pStyle w:val="GuidanceBullet1"/>
        <w:numPr>
          <w:ilvl w:val="0"/>
          <w:numId w:val="31"/>
        </w:numPr>
        <w:spacing w:before="60" w:after="60"/>
        <w:contextualSpacing/>
      </w:pPr>
      <w:r>
        <w:t xml:space="preserve">savings information. </w:t>
      </w:r>
    </w:p>
    <w:p w14:paraId="7DA36E8B" w14:textId="1668807D" w:rsidR="00A85F76" w:rsidRDefault="00A85F76" w:rsidP="00A85F76">
      <w:r>
        <w:t>Factual financial information could include things like the quantum of spend on a particular program or sub-program. It does not include policy advice or recommendations</w:t>
      </w:r>
      <w:r w:rsidR="00995ED6">
        <w:t xml:space="preserve">. </w:t>
      </w:r>
    </w:p>
    <w:p w14:paraId="01D4C8E7" w14:textId="32104D09" w:rsidR="00A85F76" w:rsidRDefault="00A85F76" w:rsidP="00A85F76">
      <w:r w:rsidRPr="00137C72">
        <w:t>By contrast to</w:t>
      </w:r>
      <w:r w:rsidR="00137C72" w:rsidRPr="00137C72">
        <w:t xml:space="preserve"> </w:t>
      </w:r>
      <w:hyperlink r:id="rId88" w:anchor="standing-directions-2018" w:history="1">
        <w:r w:rsidR="00137C72" w:rsidRPr="00137C72">
          <w:rPr>
            <w:rStyle w:val="Hyperlink"/>
          </w:rPr>
          <w:t>Directions 2.4.6.2(a)</w:t>
        </w:r>
      </w:hyperlink>
      <w:r w:rsidR="00137C72" w:rsidRPr="00137C72">
        <w:t xml:space="preserve"> and </w:t>
      </w:r>
      <w:hyperlink r:id="rId89" w:anchor="standing-directions-2018" w:history="1">
        <w:r w:rsidR="00137C72" w:rsidRPr="00137C72">
          <w:rPr>
            <w:rStyle w:val="Hyperlink"/>
          </w:rPr>
          <w:t>2.4.6.3(a)</w:t>
        </w:r>
      </w:hyperlink>
      <w:r w:rsidRPr="00137C72">
        <w:t>, the requirement in</w:t>
      </w:r>
      <w:r w:rsidR="00137C72" w:rsidRPr="00137C72">
        <w:t xml:space="preserve"> </w:t>
      </w:r>
      <w:hyperlink r:id="rId90" w:anchor="standing-directions-2018" w:history="1">
        <w:r w:rsidR="00137C72" w:rsidRPr="00137C72">
          <w:rPr>
            <w:rStyle w:val="Hyperlink"/>
          </w:rPr>
          <w:t>Directions 2.4.6.2(b)</w:t>
        </w:r>
      </w:hyperlink>
      <w:r w:rsidR="00137C72" w:rsidRPr="00137C72">
        <w:t xml:space="preserve"> and </w:t>
      </w:r>
      <w:hyperlink r:id="rId91" w:anchor="standing-directions-2018" w:history="1">
        <w:r w:rsidR="00137C72" w:rsidRPr="00137C72">
          <w:rPr>
            <w:rStyle w:val="Hyperlink"/>
          </w:rPr>
          <w:t>2.4.6.3(b)</w:t>
        </w:r>
      </w:hyperlink>
      <w:r w:rsidR="00137C72" w:rsidRPr="00137C72">
        <w:t xml:space="preserve"> </w:t>
      </w:r>
      <w:r w:rsidRPr="00137C72">
        <w:t>is for the direct provision of information from the CFO to DTF or t</w:t>
      </w:r>
      <w:r>
        <w:t>heir portfolio department in response to a request</w:t>
      </w:r>
      <w:r w:rsidR="00995ED6">
        <w:t xml:space="preserve">. </w:t>
      </w:r>
    </w:p>
    <w:p w14:paraId="5B2C09E0" w14:textId="77777777" w:rsidR="00A85F76" w:rsidRPr="00D933ED" w:rsidRDefault="00A85F76" w:rsidP="003A5BD1">
      <w:pPr>
        <w:pStyle w:val="Heading1NoNum"/>
      </w:pPr>
      <w:r w:rsidRPr="00D933ED">
        <w:t xml:space="preserve">Direction </w:t>
      </w:r>
      <w:r w:rsidR="003A5BD1" w:rsidRPr="00D933ED">
        <w:t>2.4.6.</w:t>
      </w:r>
      <w:r w:rsidRPr="00D933ED">
        <w:t>4: Employment arrangements of departmental CFOs</w:t>
      </w:r>
    </w:p>
    <w:p w14:paraId="4383CCEA" w14:textId="51582585" w:rsidR="00A85F76" w:rsidRPr="00D933ED" w:rsidRDefault="00137C72" w:rsidP="00A85F76">
      <w:hyperlink r:id="rId92" w:anchor="standing-directions-2018" w:history="1">
        <w:r w:rsidRPr="00D933ED">
          <w:rPr>
            <w:rStyle w:val="Hyperlink"/>
          </w:rPr>
          <w:t>Direction 2.4.6.4</w:t>
        </w:r>
      </w:hyperlink>
      <w:r w:rsidRPr="00D933ED">
        <w:t xml:space="preserve"> </w:t>
      </w:r>
      <w:r w:rsidR="00A85F76" w:rsidRPr="00D933ED">
        <w:t xml:space="preserve">requires aspects of departmental CFOs’ employment arrangements to reflect a whole of government focus. </w:t>
      </w:r>
    </w:p>
    <w:p w14:paraId="32590520" w14:textId="5989A7A9" w:rsidR="00A85F76" w:rsidRPr="00D933ED" w:rsidRDefault="00137C72" w:rsidP="00A85F76">
      <w:hyperlink r:id="rId93" w:anchor="standing-directions-2018" w:history="1">
        <w:r w:rsidRPr="00D933ED">
          <w:rPr>
            <w:rStyle w:val="Hyperlink"/>
          </w:rPr>
          <w:t>Direction 2.4.6.4</w:t>
        </w:r>
      </w:hyperlink>
      <w:r w:rsidRPr="00D933ED">
        <w:t xml:space="preserve"> </w:t>
      </w:r>
      <w:r w:rsidR="00A85F76" w:rsidRPr="00D933ED">
        <w:t xml:space="preserve">clarifies that </w:t>
      </w:r>
      <w:r w:rsidR="001D0AED" w:rsidRPr="00D933ED">
        <w:t>departmental CFOs are</w:t>
      </w:r>
      <w:r w:rsidR="00A85F76" w:rsidRPr="00D933ED">
        <w:t xml:space="preserve"> </w:t>
      </w:r>
      <w:r w:rsidR="001D0AED" w:rsidRPr="00D933ED">
        <w:t xml:space="preserve">employed by the Secretary of DTF under the </w:t>
      </w:r>
      <w:r w:rsidR="001D0AED" w:rsidRPr="00D933ED">
        <w:rPr>
          <w:i/>
        </w:rPr>
        <w:t xml:space="preserve">Public Administration Act 2004 </w:t>
      </w:r>
      <w:r w:rsidR="001D0AED" w:rsidRPr="00D933ED">
        <w:t>and have whole of government accountabilities.</w:t>
      </w:r>
      <w:r w:rsidR="00A85F76" w:rsidRPr="00D933ED">
        <w:t xml:space="preserve"> </w:t>
      </w:r>
      <w:r w:rsidR="001D0AED" w:rsidRPr="00D933ED">
        <w:t xml:space="preserve">Departmental </w:t>
      </w:r>
      <w:r w:rsidR="00A85F76" w:rsidRPr="00D933ED">
        <w:t xml:space="preserve">Secretaries retain decision-making power in relation the </w:t>
      </w:r>
      <w:r w:rsidR="001D0AED" w:rsidRPr="00D933ED">
        <w:t>internal departmental responsibilities</w:t>
      </w:r>
      <w:r w:rsidR="00A85F76" w:rsidRPr="00D933ED">
        <w:t xml:space="preserve"> of their CFOs, and are not subject to direction by DTF</w:t>
      </w:r>
      <w:r w:rsidR="001D0AED" w:rsidRPr="00D933ED">
        <w:t xml:space="preserve"> in respect of those internal matters</w:t>
      </w:r>
      <w:r w:rsidR="00A85F76" w:rsidRPr="00D933ED">
        <w:t xml:space="preserve">. </w:t>
      </w:r>
    </w:p>
    <w:p w14:paraId="1C26677B" w14:textId="77777777" w:rsidR="00A85F76" w:rsidRPr="00D933ED" w:rsidRDefault="00A85F76" w:rsidP="003A5BD1">
      <w:pPr>
        <w:pStyle w:val="Heading3"/>
      </w:pPr>
      <w:r w:rsidRPr="00D933ED">
        <w:t>Changes to position description, employment contract and performance plan</w:t>
      </w:r>
    </w:p>
    <w:p w14:paraId="085C9EC5" w14:textId="107D028E" w:rsidR="00A85F76" w:rsidRPr="00D933ED" w:rsidRDefault="00137C72" w:rsidP="00A85F76">
      <w:hyperlink r:id="rId94" w:anchor="standing-directions-2018" w:history="1">
        <w:r w:rsidRPr="00D933ED">
          <w:rPr>
            <w:rStyle w:val="Hyperlink"/>
          </w:rPr>
          <w:t>Direction 2.4.6.4(a)</w:t>
        </w:r>
      </w:hyperlink>
      <w:r w:rsidRPr="00D933ED">
        <w:t xml:space="preserve"> </w:t>
      </w:r>
      <w:r w:rsidR="00A85F76" w:rsidRPr="00D933ED">
        <w:t xml:space="preserve">requires </w:t>
      </w:r>
      <w:r w:rsidR="001D0AED" w:rsidRPr="00D933ED">
        <w:t>the S</w:t>
      </w:r>
      <w:r w:rsidR="00A85F76" w:rsidRPr="00D933ED">
        <w:t>ecretar</w:t>
      </w:r>
      <w:r w:rsidR="001D0AED" w:rsidRPr="00D933ED">
        <w:t>y of DTF</w:t>
      </w:r>
      <w:r w:rsidR="00A85F76" w:rsidRPr="00D933ED">
        <w:t xml:space="preserve"> to ensure that the position description, employment contract and performance plan of the department’s CFO includes accountability to achieve</w:t>
      </w:r>
      <w:r w:rsidR="00984337" w:rsidRPr="00D933ED">
        <w:t xml:space="preserve"> </w:t>
      </w:r>
      <w:hyperlink r:id="rId95" w:anchor="standing-directions-2018" w:history="1">
        <w:r w:rsidR="00984337" w:rsidRPr="00D933ED">
          <w:rPr>
            <w:rStyle w:val="Hyperlink"/>
          </w:rPr>
          <w:t>Directions 2.4.6.1</w:t>
        </w:r>
      </w:hyperlink>
      <w:r w:rsidR="00984337" w:rsidRPr="00D933ED">
        <w:t xml:space="preserve"> </w:t>
      </w:r>
      <w:r w:rsidR="00A85F76" w:rsidRPr="00D933ED">
        <w:t xml:space="preserve">and </w:t>
      </w:r>
      <w:hyperlink r:id="rId96" w:anchor="standing-directions-2018" w:history="1">
        <w:r w:rsidRPr="00D933ED">
          <w:rPr>
            <w:rStyle w:val="Hyperlink"/>
          </w:rPr>
          <w:t>2.4.6.2</w:t>
        </w:r>
      </w:hyperlink>
      <w:r w:rsidR="00A85F76" w:rsidRPr="00D933ED">
        <w:t>. The documents should repli</w:t>
      </w:r>
      <w:r w:rsidR="00093198" w:rsidRPr="00D933ED">
        <w:t xml:space="preserve">cate the wording in </w:t>
      </w:r>
      <w:hyperlink r:id="rId97" w:anchor="standing-directions-2018" w:history="1">
        <w:r w:rsidRPr="00D933ED">
          <w:rPr>
            <w:rStyle w:val="Hyperlink"/>
          </w:rPr>
          <w:t>Directions 2.4.6.1</w:t>
        </w:r>
      </w:hyperlink>
      <w:r w:rsidRPr="00D933ED">
        <w:t xml:space="preserve"> and </w:t>
      </w:r>
      <w:hyperlink r:id="rId98" w:anchor="standing-directions-2018" w:history="1">
        <w:r w:rsidRPr="00D933ED">
          <w:rPr>
            <w:rStyle w:val="Hyperlink"/>
          </w:rPr>
          <w:t>2.4.6.2</w:t>
        </w:r>
      </w:hyperlink>
      <w:r w:rsidRPr="00D933ED">
        <w:t xml:space="preserve">, </w:t>
      </w:r>
      <w:r w:rsidR="00A85F76" w:rsidRPr="00D933ED">
        <w:t>clarifying that whole of government financial accountability, and accountability to inform DTF, form a key part of the employment arrangement.</w:t>
      </w:r>
    </w:p>
    <w:p w14:paraId="13F0DB60" w14:textId="77777777" w:rsidR="00A85F76" w:rsidRPr="00D933ED" w:rsidRDefault="00A85F76" w:rsidP="00A85F76">
      <w:r w:rsidRPr="00D933ED">
        <w:t>For example, the position description, employment contract and performance plan could include wording as follows:</w:t>
      </w:r>
    </w:p>
    <w:tbl>
      <w:tblPr>
        <w:tblStyle w:val="Table15"/>
        <w:tblW w:w="0" w:type="auto"/>
        <w:tblLook w:val="04A0" w:firstRow="1" w:lastRow="0" w:firstColumn="1" w:lastColumn="0" w:noHBand="0" w:noVBand="1"/>
      </w:tblPr>
      <w:tblGrid>
        <w:gridCol w:w="9832"/>
      </w:tblGrid>
      <w:tr w:rsidR="00093198" w:rsidRPr="00266511" w14:paraId="2EE215B3" w14:textId="77777777" w:rsidTr="000931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6" w:type="dxa"/>
          </w:tcPr>
          <w:p w14:paraId="1A1CA50E" w14:textId="1B1CCDDD" w:rsidR="00093198" w:rsidRPr="000C35ED" w:rsidRDefault="00093198" w:rsidP="00093198">
            <w:pPr>
              <w:rPr>
                <w:rFonts w:cs="Times New Roman"/>
                <w:b w:val="0"/>
              </w:rPr>
            </w:pPr>
            <w:r w:rsidRPr="003960F3">
              <w:t xml:space="preserve">The CFO will comply with </w:t>
            </w:r>
            <w:r w:rsidR="00921074" w:rsidRPr="003960F3">
              <w:t>Direction 2.4.6</w:t>
            </w:r>
            <w:r w:rsidRPr="003960F3">
              <w:t xml:space="preserve"> issued by the </w:t>
            </w:r>
            <w:r w:rsidR="00780F7A" w:rsidRPr="003960F3">
              <w:t>Assistant Treasurer</w:t>
            </w:r>
            <w:r w:rsidRPr="003960F3">
              <w:t>, by:</w:t>
            </w:r>
          </w:p>
          <w:p w14:paraId="57F4BFE2" w14:textId="77777777" w:rsidR="00093198" w:rsidRPr="000C35ED" w:rsidRDefault="00921074" w:rsidP="000B15FD">
            <w:pPr>
              <w:pStyle w:val="GuidanceBullet1"/>
              <w:numPr>
                <w:ilvl w:val="0"/>
                <w:numId w:val="32"/>
              </w:numPr>
              <w:rPr>
                <w:b w:val="0"/>
              </w:rPr>
            </w:pPr>
            <w:r w:rsidRPr="003960F3">
              <w:t>supporting whole of g</w:t>
            </w:r>
            <w:r w:rsidR="00093198" w:rsidRPr="003960F3">
              <w:t xml:space="preserve">overnment financial objectives and the principles of sound financial management; </w:t>
            </w:r>
          </w:p>
          <w:p w14:paraId="63722AF9" w14:textId="77777777" w:rsidR="00093198" w:rsidRPr="000C35ED" w:rsidRDefault="00093198" w:rsidP="000B15FD">
            <w:pPr>
              <w:pStyle w:val="GuidanceBullet1"/>
              <w:numPr>
                <w:ilvl w:val="0"/>
                <w:numId w:val="32"/>
              </w:numPr>
              <w:rPr>
                <w:b w:val="0"/>
              </w:rPr>
            </w:pPr>
            <w:r w:rsidRPr="003960F3">
              <w:t>supporting their portfolio Ministers in relation to the financial management of the department, the relevant Min</w:t>
            </w:r>
            <w:r w:rsidR="00921074" w:rsidRPr="003960F3">
              <w:t>ister’s portfolio and whole of g</w:t>
            </w:r>
            <w:r w:rsidRPr="003960F3">
              <w:t xml:space="preserve">overnment; </w:t>
            </w:r>
          </w:p>
          <w:p w14:paraId="2DE7858C" w14:textId="77777777" w:rsidR="00093198" w:rsidRPr="000C35ED" w:rsidRDefault="00093198" w:rsidP="000B15FD">
            <w:pPr>
              <w:pStyle w:val="GuidanceBullet1"/>
              <w:numPr>
                <w:ilvl w:val="0"/>
                <w:numId w:val="32"/>
              </w:numPr>
              <w:rPr>
                <w:b w:val="0"/>
              </w:rPr>
            </w:pPr>
            <w:r w:rsidRPr="003960F3">
              <w:t>informing the Secretary of DTF of issues and risks of the department and the department’s portfolio agencies that may have an impact on the financial performance and position of the State; and</w:t>
            </w:r>
          </w:p>
          <w:p w14:paraId="25FB25B3" w14:textId="77777777" w:rsidR="00093198" w:rsidRPr="00137171" w:rsidRDefault="00093198" w:rsidP="000B15FD">
            <w:pPr>
              <w:pStyle w:val="GuidanceBullet1"/>
              <w:numPr>
                <w:ilvl w:val="0"/>
                <w:numId w:val="32"/>
              </w:numPr>
              <w:rPr>
                <w:b w:val="0"/>
              </w:rPr>
            </w:pPr>
            <w:r w:rsidRPr="003960F3">
              <w:t>directly providing to DTF factual financial information requested by DTF to facilitate reporting and Government decision making, within the time provided in the request.</w:t>
            </w:r>
          </w:p>
        </w:tc>
      </w:tr>
    </w:tbl>
    <w:p w14:paraId="2A683E4C" w14:textId="77777777" w:rsidR="00CA6CEE" w:rsidRPr="00137171" w:rsidRDefault="00CA6CEE" w:rsidP="00093198">
      <w:pPr>
        <w:pStyle w:val="Heading3"/>
        <w:rPr>
          <w:b w:val="0"/>
        </w:rPr>
      </w:pPr>
    </w:p>
    <w:p w14:paraId="0A5A80D9" w14:textId="77777777" w:rsidR="00CA6CEE" w:rsidRDefault="00CA6CEE">
      <w:pPr>
        <w:spacing w:before="0" w:after="200" w:line="276" w:lineRule="auto"/>
        <w:rPr>
          <w:rFonts w:cs="Times New Roman"/>
          <w:b/>
          <w:color w:val="595959" w:themeColor="text1" w:themeTint="A6"/>
          <w:sz w:val="22"/>
          <w:szCs w:val="20"/>
        </w:rPr>
      </w:pPr>
      <w:r>
        <w:br w:type="page"/>
      </w:r>
    </w:p>
    <w:p w14:paraId="32674D6B" w14:textId="7C2AA074" w:rsidR="00A85F76" w:rsidRPr="00D933ED" w:rsidRDefault="00A85F76" w:rsidP="00093198">
      <w:pPr>
        <w:pStyle w:val="Heading3"/>
      </w:pPr>
      <w:r w:rsidRPr="00D933ED">
        <w:lastRenderedPageBreak/>
        <w:t>Consultation on CFO employment</w:t>
      </w:r>
    </w:p>
    <w:p w14:paraId="4011D019" w14:textId="7D7ABE65" w:rsidR="00A85F76" w:rsidRPr="00D933ED" w:rsidRDefault="00137C72" w:rsidP="00A85F76">
      <w:hyperlink r:id="rId99" w:anchor="standing-directions-2018" w:history="1">
        <w:r w:rsidRPr="00D933ED">
          <w:rPr>
            <w:rStyle w:val="Hyperlink"/>
          </w:rPr>
          <w:t>Direction 2.4.6.4(b)</w:t>
        </w:r>
      </w:hyperlink>
      <w:r w:rsidRPr="00D933ED">
        <w:t xml:space="preserve"> </w:t>
      </w:r>
      <w:r w:rsidR="00A85F76" w:rsidRPr="00D933ED">
        <w:t xml:space="preserve">requires </w:t>
      </w:r>
      <w:r w:rsidR="001D0AED" w:rsidRPr="00D933ED">
        <w:t>the Secretary of DTF to consult the departmental S</w:t>
      </w:r>
      <w:r w:rsidR="00A85F76" w:rsidRPr="00D933ED">
        <w:t>ecretar</w:t>
      </w:r>
      <w:r w:rsidR="001D0AED" w:rsidRPr="00D933ED">
        <w:t>y</w:t>
      </w:r>
      <w:r w:rsidR="00A85F76" w:rsidRPr="00D933ED">
        <w:t xml:space="preserve"> on the appointment, removal, </w:t>
      </w:r>
      <w:r w:rsidR="006B148B" w:rsidRPr="00D933ED">
        <w:t>remuneration level</w:t>
      </w:r>
      <w:r w:rsidR="00A85F76" w:rsidRPr="00D933ED">
        <w:t xml:space="preserve"> and performance assessment of the</w:t>
      </w:r>
      <w:r w:rsidR="001D0AED" w:rsidRPr="00D933ED">
        <w:t xml:space="preserve"> department’s</w:t>
      </w:r>
      <w:r w:rsidR="00A85F76" w:rsidRPr="00D933ED">
        <w:t xml:space="preserve"> CFO, including by ensuring that a representative of </w:t>
      </w:r>
      <w:r w:rsidR="001D0AED" w:rsidRPr="00D933ED">
        <w:t>the department</w:t>
      </w:r>
      <w:r w:rsidR="00A85F76" w:rsidRPr="00D933ED">
        <w:t xml:space="preserve"> is included on any CFO recruitment panel. This consultation may be delegated by the </w:t>
      </w:r>
      <w:r w:rsidR="00C8227F" w:rsidRPr="00D933ED">
        <w:t>S</w:t>
      </w:r>
      <w:r w:rsidR="00A85F76" w:rsidRPr="00D933ED">
        <w:t>ecretar</w:t>
      </w:r>
      <w:r w:rsidR="00C8227F" w:rsidRPr="00D933ED">
        <w:t>y of DTF or of the department concerned</w:t>
      </w:r>
      <w:r w:rsidR="00A85F76" w:rsidRPr="00D933ED">
        <w:t xml:space="preserve"> to other executives or officers</w:t>
      </w:r>
      <w:r w:rsidR="00C8227F" w:rsidRPr="00D933ED">
        <w:t xml:space="preserve"> in their respective departments</w:t>
      </w:r>
      <w:r w:rsidR="00A85F76" w:rsidRPr="00D933ED">
        <w:t xml:space="preserve">. </w:t>
      </w:r>
    </w:p>
    <w:p w14:paraId="06691AD7" w14:textId="77777777" w:rsidR="00A85F76" w:rsidRPr="00D933ED" w:rsidRDefault="00A85F76" w:rsidP="00A85F76">
      <w:r w:rsidRPr="00D933ED">
        <w:t>A department may negotiate with DTF to determine the nature of the consultation in a given case, and DTF intends to take a practical approach. It is expected that such consultation would usually involve:</w:t>
      </w:r>
    </w:p>
    <w:p w14:paraId="09374FB9" w14:textId="60714E75" w:rsidR="00A85F76" w:rsidRPr="00D933ED" w:rsidRDefault="00A85F76" w:rsidP="000B15FD">
      <w:pPr>
        <w:pStyle w:val="GuidanceBullet1"/>
        <w:numPr>
          <w:ilvl w:val="0"/>
          <w:numId w:val="33"/>
        </w:numPr>
      </w:pPr>
      <w:r w:rsidRPr="00D933ED">
        <w:rPr>
          <w:b/>
        </w:rPr>
        <w:t>Appointment</w:t>
      </w:r>
      <w:r w:rsidRPr="00D933ED">
        <w:t xml:space="preserve">: </w:t>
      </w:r>
      <w:r w:rsidR="00C8227F" w:rsidRPr="00D933ED">
        <w:t xml:space="preserve">DTF </w:t>
      </w:r>
      <w:r w:rsidRPr="00D933ED">
        <w:t xml:space="preserve">seeks </w:t>
      </w:r>
      <w:r w:rsidR="00C8227F" w:rsidRPr="00D933ED">
        <w:t xml:space="preserve">the department’s </w:t>
      </w:r>
      <w:r w:rsidRPr="00D933ED">
        <w:t xml:space="preserve">input on the advertisement; a representative of </w:t>
      </w:r>
      <w:r w:rsidR="00C8227F" w:rsidRPr="00D933ED">
        <w:t>the department</w:t>
      </w:r>
      <w:r w:rsidRPr="00D933ED">
        <w:t xml:space="preserve"> is included on the recruitment panel; and a discussion is held between </w:t>
      </w:r>
      <w:r w:rsidR="00C8227F" w:rsidRPr="00D933ED">
        <w:t xml:space="preserve">DTF and </w:t>
      </w:r>
      <w:r w:rsidRPr="00D933ED">
        <w:t>the department on the preferred candidate/s.</w:t>
      </w:r>
    </w:p>
    <w:p w14:paraId="29FA26BA" w14:textId="597F843A" w:rsidR="00A85F76" w:rsidRPr="00D933ED" w:rsidRDefault="00A85F76" w:rsidP="000B15FD">
      <w:pPr>
        <w:pStyle w:val="GuidanceBullet1"/>
        <w:numPr>
          <w:ilvl w:val="0"/>
          <w:numId w:val="33"/>
        </w:numPr>
      </w:pPr>
      <w:r w:rsidRPr="00D933ED">
        <w:rPr>
          <w:b/>
        </w:rPr>
        <w:t>Removal</w:t>
      </w:r>
      <w:r w:rsidRPr="00D933ED">
        <w:t xml:space="preserve">: A discussion is held between </w:t>
      </w:r>
      <w:r w:rsidR="00C8227F" w:rsidRPr="00D933ED">
        <w:t xml:space="preserve">DTF and </w:t>
      </w:r>
      <w:r w:rsidRPr="00D933ED">
        <w:t xml:space="preserve">the department on the considerations and consequences of removal. </w:t>
      </w:r>
    </w:p>
    <w:p w14:paraId="7CAC8216" w14:textId="561BD35F" w:rsidR="00A85F76" w:rsidRPr="00D933ED" w:rsidRDefault="00A85F76" w:rsidP="000B15FD">
      <w:pPr>
        <w:pStyle w:val="GuidanceBullet1"/>
        <w:numPr>
          <w:ilvl w:val="0"/>
          <w:numId w:val="33"/>
        </w:numPr>
      </w:pPr>
      <w:r w:rsidRPr="00D933ED">
        <w:rPr>
          <w:b/>
        </w:rPr>
        <w:t>Remuneration</w:t>
      </w:r>
      <w:r w:rsidRPr="00D933ED">
        <w:t xml:space="preserve">: At the time of appointment and any renegotiation of remuneration, </w:t>
      </w:r>
      <w:r w:rsidR="00C8227F" w:rsidRPr="00D933ED">
        <w:t xml:space="preserve">DTF </w:t>
      </w:r>
      <w:r w:rsidRPr="00D933ED">
        <w:t>seeks</w:t>
      </w:r>
      <w:r w:rsidR="00C8227F" w:rsidRPr="00D933ED">
        <w:t xml:space="preserve"> the department</w:t>
      </w:r>
      <w:r w:rsidRPr="00D933ED">
        <w:t>’s input on the appropriate remuneration range commensurate with the responsibilities of the role (</w:t>
      </w:r>
      <w:r w:rsidR="00C8227F" w:rsidRPr="00D933ED">
        <w:t>the department</w:t>
      </w:r>
      <w:r w:rsidRPr="00D933ED">
        <w:t xml:space="preserve"> would not need to be involved in the specific pay negotiations between </w:t>
      </w:r>
      <w:r w:rsidR="00C8227F" w:rsidRPr="00D933ED">
        <w:t>the Secretary of DTF</w:t>
      </w:r>
      <w:r w:rsidRPr="00D933ED">
        <w:t xml:space="preserve"> and the CFO).</w:t>
      </w:r>
    </w:p>
    <w:p w14:paraId="01078201" w14:textId="2C8E557A" w:rsidR="00A85F76" w:rsidRPr="00D933ED" w:rsidRDefault="00A85F76" w:rsidP="000B15FD">
      <w:pPr>
        <w:pStyle w:val="GuidanceBullet1"/>
        <w:numPr>
          <w:ilvl w:val="0"/>
          <w:numId w:val="33"/>
        </w:numPr>
      </w:pPr>
      <w:r w:rsidRPr="00D933ED">
        <w:rPr>
          <w:b/>
        </w:rPr>
        <w:t>Performance assessment</w:t>
      </w:r>
      <w:r w:rsidRPr="00D933ED">
        <w:t xml:space="preserve">: </w:t>
      </w:r>
      <w:r w:rsidR="00C8227F" w:rsidRPr="00D933ED">
        <w:t xml:space="preserve">DTF </w:t>
      </w:r>
      <w:r w:rsidRPr="00D933ED">
        <w:t xml:space="preserve">involves </w:t>
      </w:r>
      <w:r w:rsidR="00C8227F" w:rsidRPr="00D933ED">
        <w:t xml:space="preserve">the department </w:t>
      </w:r>
      <w:r w:rsidRPr="00D933ED">
        <w:t xml:space="preserve">in the CFO’s performance assessment, providing an opportunity to provide feedback directly to the CFO, their manager and/or the </w:t>
      </w:r>
      <w:r w:rsidR="00C8227F" w:rsidRPr="00D933ED">
        <w:t>S</w:t>
      </w:r>
      <w:r w:rsidRPr="00D933ED">
        <w:t xml:space="preserve">ecretary. This feedback will </w:t>
      </w:r>
      <w:r w:rsidR="00D933ED" w:rsidRPr="00D933ED">
        <w:t xml:space="preserve">cover </w:t>
      </w:r>
      <w:r w:rsidRPr="00D933ED">
        <w:t xml:space="preserve">the achievement of whole of government accountabilities, as set down in </w:t>
      </w:r>
      <w:hyperlink r:id="rId100" w:anchor="standing-directions-2018" w:history="1">
        <w:r w:rsidR="00984337" w:rsidRPr="00D933ED">
          <w:rPr>
            <w:rStyle w:val="Hyperlink"/>
          </w:rPr>
          <w:t>Directions 2.4.6.1</w:t>
        </w:r>
      </w:hyperlink>
      <w:r w:rsidR="00984337" w:rsidRPr="00D933ED">
        <w:t xml:space="preserve"> </w:t>
      </w:r>
      <w:r w:rsidRPr="00D933ED">
        <w:t>and</w:t>
      </w:r>
      <w:r w:rsidR="001A0656" w:rsidRPr="00D933ED">
        <w:t xml:space="preserve"> </w:t>
      </w:r>
      <w:hyperlink r:id="rId101" w:anchor="standing-directions-2018" w:history="1">
        <w:r w:rsidR="001A0656" w:rsidRPr="00D933ED">
          <w:rPr>
            <w:rStyle w:val="Hyperlink"/>
          </w:rPr>
          <w:t>2.4.6.2</w:t>
        </w:r>
      </w:hyperlink>
      <w:r w:rsidR="00D933ED" w:rsidRPr="00D933ED">
        <w:t>, as well as the CFO’s internal departmental responsibilities.</w:t>
      </w:r>
      <w:r w:rsidRPr="00D933ED">
        <w:t xml:space="preserve"> </w:t>
      </w:r>
      <w:r w:rsidR="00C8227F" w:rsidRPr="00D933ED">
        <w:t xml:space="preserve">The department </w:t>
      </w:r>
      <w:r w:rsidRPr="00D933ED">
        <w:t xml:space="preserve">will also have the opportunity to make a recommendation to </w:t>
      </w:r>
      <w:r w:rsidR="00C8227F" w:rsidRPr="00D933ED">
        <w:t xml:space="preserve">DTF </w:t>
      </w:r>
      <w:r w:rsidRPr="00D933ED">
        <w:t xml:space="preserve">in relation to any </w:t>
      </w:r>
      <w:r w:rsidR="006B148B" w:rsidRPr="00D933ED">
        <w:t>salary</w:t>
      </w:r>
      <w:r w:rsidRPr="00D933ED">
        <w:t xml:space="preserve"> increase</w:t>
      </w:r>
      <w:r w:rsidR="00995ED6">
        <w:t xml:space="preserve">. </w:t>
      </w:r>
    </w:p>
    <w:p w14:paraId="18130528" w14:textId="24419FF2" w:rsidR="00A85F76" w:rsidRPr="00D933ED" w:rsidRDefault="00A85F76" w:rsidP="00A85F76">
      <w:r w:rsidRPr="00D933ED">
        <w:t xml:space="preserve">The consultation undertaken should be documented by </w:t>
      </w:r>
      <w:r w:rsidR="00D933ED" w:rsidRPr="00D933ED">
        <w:t xml:space="preserve">both DTF and </w:t>
      </w:r>
      <w:r w:rsidRPr="00D933ED">
        <w:t xml:space="preserve">the department. </w:t>
      </w:r>
    </w:p>
    <w:p w14:paraId="2DD8AB6C" w14:textId="6A7A811D" w:rsidR="00D933ED" w:rsidRPr="00D933ED" w:rsidRDefault="00A85F76" w:rsidP="00A85F76">
      <w:r w:rsidRPr="00D933ED">
        <w:t>In circumstances where the CFO is absent for a period of time and an acting CFO arrangement is proposed, the department should consult with DTF on whether anything is required under</w:t>
      </w:r>
      <w:r w:rsidR="001A0656" w:rsidRPr="00D933ED">
        <w:t xml:space="preserve"> </w:t>
      </w:r>
      <w:hyperlink r:id="rId102" w:anchor="standing-directions-2018" w:history="1">
        <w:r w:rsidR="001A0656" w:rsidRPr="00D933ED">
          <w:rPr>
            <w:rStyle w:val="Hyperlink"/>
          </w:rPr>
          <w:t>Direction 2.4.6.4(b)</w:t>
        </w:r>
      </w:hyperlink>
      <w:r w:rsidRPr="00D933ED">
        <w:t xml:space="preserve">. Acting departmental CFOs </w:t>
      </w:r>
      <w:r w:rsidR="00D933ED" w:rsidRPr="00D933ED">
        <w:t>are</w:t>
      </w:r>
      <w:r w:rsidRPr="00D933ED">
        <w:t xml:space="preserve"> otherwise still subject to</w:t>
      </w:r>
      <w:r w:rsidR="00984337" w:rsidRPr="00D933ED">
        <w:t xml:space="preserve"> </w:t>
      </w:r>
      <w:hyperlink r:id="rId103" w:anchor="standing-directions-2018" w:history="1">
        <w:r w:rsidR="001A0656" w:rsidRPr="00D933ED">
          <w:rPr>
            <w:rStyle w:val="Hyperlink"/>
          </w:rPr>
          <w:t>Directions 2.4.6.1</w:t>
        </w:r>
      </w:hyperlink>
      <w:r w:rsidR="00984337" w:rsidRPr="00D933ED">
        <w:t xml:space="preserve"> </w:t>
      </w:r>
      <w:r w:rsidRPr="00D933ED">
        <w:t xml:space="preserve">and </w:t>
      </w:r>
      <w:hyperlink r:id="rId104" w:anchor="standing-directions-2018" w:history="1">
        <w:r w:rsidR="00093198" w:rsidRPr="00D933ED">
          <w:rPr>
            <w:rStyle w:val="Hyperlink"/>
          </w:rPr>
          <w:t>2.4.6.</w:t>
        </w:r>
        <w:r w:rsidRPr="00D933ED">
          <w:rPr>
            <w:rStyle w:val="Hyperlink"/>
          </w:rPr>
          <w:t>2</w:t>
        </w:r>
      </w:hyperlink>
      <w:r w:rsidR="00D933ED" w:rsidRPr="00D933ED">
        <w:t>.</w:t>
      </w:r>
    </w:p>
    <w:p w14:paraId="2CB98A21" w14:textId="017A4BD5" w:rsidR="00A85F76" w:rsidRPr="00D933ED" w:rsidRDefault="00D933ED" w:rsidP="00A85F76">
      <w:r w:rsidRPr="00D933ED">
        <w:t>Similarly,</w:t>
      </w:r>
      <w:r w:rsidR="006B148B" w:rsidRPr="00D933ED">
        <w:t xml:space="preserve"> a</w:t>
      </w:r>
      <w:r w:rsidR="00A85F76" w:rsidRPr="00D933ED">
        <w:t xml:space="preserve">cting agency CFOs </w:t>
      </w:r>
      <w:r w:rsidRPr="00D933ED">
        <w:t>are</w:t>
      </w:r>
      <w:r w:rsidR="00A85F76" w:rsidRPr="00D933ED">
        <w:t xml:space="preserve"> still subject to </w:t>
      </w:r>
      <w:hyperlink r:id="rId105" w:anchor="standing-directions-2018" w:history="1">
        <w:r w:rsidR="001A0656" w:rsidRPr="00D933ED">
          <w:rPr>
            <w:rStyle w:val="Hyperlink"/>
          </w:rPr>
          <w:t>Directions 2.4.6.1</w:t>
        </w:r>
      </w:hyperlink>
      <w:r w:rsidR="00984337" w:rsidRPr="00D933ED">
        <w:t xml:space="preserve"> </w:t>
      </w:r>
      <w:r w:rsidR="001A0656" w:rsidRPr="00D933ED">
        <w:t xml:space="preserve">and </w:t>
      </w:r>
      <w:hyperlink r:id="rId106" w:anchor="standing-directions-2018" w:history="1">
        <w:r w:rsidR="001A0656" w:rsidRPr="00D933ED">
          <w:rPr>
            <w:rStyle w:val="Hyperlink"/>
          </w:rPr>
          <w:t>2.4.6.3</w:t>
        </w:r>
      </w:hyperlink>
      <w:r w:rsidR="00A85F76" w:rsidRPr="00D933ED">
        <w:t>.</w:t>
      </w:r>
    </w:p>
    <w:p w14:paraId="64F4D49D" w14:textId="16AD410E" w:rsidR="00A85F76" w:rsidRPr="00D933ED" w:rsidRDefault="00A85F76" w:rsidP="00093198">
      <w:pPr>
        <w:pStyle w:val="Heading1NoNum"/>
      </w:pPr>
      <w:r w:rsidRPr="00D933ED">
        <w:t>Compliance and reporting</w:t>
      </w:r>
    </w:p>
    <w:p w14:paraId="1F8D6B35" w14:textId="78BF22EA" w:rsidR="00A85F76" w:rsidRPr="00D933ED" w:rsidRDefault="00921074" w:rsidP="00A85F76">
      <w:r w:rsidRPr="00D933ED">
        <w:t>Direction 2.4.6 is</w:t>
      </w:r>
      <w:r w:rsidR="00A85F76" w:rsidRPr="00D933ED">
        <w:t xml:space="preserve"> subject to the compliance and reporting requirements set out in the Standing Directions and the Instructions supporting the Standing Directions, including public attestation to compliance. </w:t>
      </w:r>
    </w:p>
    <w:p w14:paraId="0F569C16" w14:textId="512E2051" w:rsidR="00A85F76" w:rsidRPr="00D933ED" w:rsidRDefault="00A85F76" w:rsidP="00A85F76">
      <w:r w:rsidRPr="00D933ED">
        <w:t xml:space="preserve">Amongst other requirements, this means that </w:t>
      </w:r>
      <w:r w:rsidR="00F843EC" w:rsidRPr="00D933ED">
        <w:t>Direction 2.4.6</w:t>
      </w:r>
      <w:r w:rsidRPr="00D933ED">
        <w:t xml:space="preserve"> </w:t>
      </w:r>
      <w:r w:rsidR="00F843EC" w:rsidRPr="00D933ED">
        <w:t>is</w:t>
      </w:r>
      <w:r w:rsidRPr="00D933ED">
        <w:t xml:space="preserve"> subject to:</w:t>
      </w:r>
    </w:p>
    <w:p w14:paraId="08AEA494" w14:textId="77777777" w:rsidR="00A85F76" w:rsidRPr="00D933ED" w:rsidRDefault="00A85F76" w:rsidP="000B15FD">
      <w:pPr>
        <w:pStyle w:val="GuidanceBullet1"/>
        <w:numPr>
          <w:ilvl w:val="0"/>
          <w:numId w:val="34"/>
        </w:numPr>
      </w:pPr>
      <w:r w:rsidRPr="00D933ED">
        <w:t>an annual assessment of compliance with the requirements;</w:t>
      </w:r>
    </w:p>
    <w:p w14:paraId="2EEC782A" w14:textId="77777777" w:rsidR="00A85F76" w:rsidRPr="00D933ED" w:rsidRDefault="00A85F76" w:rsidP="000B15FD">
      <w:pPr>
        <w:pStyle w:val="GuidanceBullet1"/>
        <w:numPr>
          <w:ilvl w:val="0"/>
          <w:numId w:val="34"/>
        </w:numPr>
      </w:pPr>
      <w:r w:rsidRPr="00D933ED">
        <w:t>a detailed periodic review by the internal audit function;</w:t>
      </w:r>
    </w:p>
    <w:p w14:paraId="40CAB827" w14:textId="77777777" w:rsidR="00A85F76" w:rsidRPr="00D933ED" w:rsidRDefault="00A85F76" w:rsidP="000B15FD">
      <w:pPr>
        <w:pStyle w:val="GuidanceBullet1"/>
        <w:numPr>
          <w:ilvl w:val="0"/>
          <w:numId w:val="34"/>
        </w:numPr>
      </w:pPr>
      <w:r w:rsidRPr="00D933ED">
        <w:t xml:space="preserve">remedying any compliance deficiencies; </w:t>
      </w:r>
    </w:p>
    <w:p w14:paraId="3C07824A" w14:textId="77777777" w:rsidR="00A85F76" w:rsidRPr="00D933ED" w:rsidRDefault="00A85F76" w:rsidP="000B15FD">
      <w:pPr>
        <w:pStyle w:val="GuidanceBullet1"/>
        <w:numPr>
          <w:ilvl w:val="0"/>
          <w:numId w:val="34"/>
        </w:numPr>
      </w:pPr>
      <w:r w:rsidRPr="00D933ED">
        <w:t>reporting any material compliance deficiencies to the responsible Minister and DTF/Portfolio Department; and</w:t>
      </w:r>
    </w:p>
    <w:p w14:paraId="071E2DB9" w14:textId="77777777" w:rsidR="00A85F76" w:rsidRPr="00D933ED" w:rsidRDefault="00A85F76" w:rsidP="000B15FD">
      <w:pPr>
        <w:pStyle w:val="GuidanceBullet1"/>
        <w:numPr>
          <w:ilvl w:val="0"/>
          <w:numId w:val="34"/>
        </w:numPr>
      </w:pPr>
      <w:r w:rsidRPr="00D933ED">
        <w:t xml:space="preserve">attestation in the Annual Report to compliance with the requirements. </w:t>
      </w:r>
    </w:p>
    <w:p w14:paraId="2BCCC7B5" w14:textId="77777777" w:rsidR="00A85F76" w:rsidRPr="00D933ED" w:rsidRDefault="00A85F76" w:rsidP="00A85F76">
      <w:r w:rsidRPr="00D933ED">
        <w:t xml:space="preserve">Further, the Auditor General may audit against the requirements. </w:t>
      </w:r>
    </w:p>
    <w:p w14:paraId="6A1638C1" w14:textId="3C1658DF" w:rsidR="002E08D5" w:rsidRDefault="00A85F76" w:rsidP="00A85F76">
      <w:r w:rsidRPr="00D933ED">
        <w:t xml:space="preserve">Further information on the compliance requirements in the Standing Directions is available in </w:t>
      </w:r>
      <w:hyperlink r:id="rId107" w:anchor="standing-directions-2018" w:history="1">
        <w:r w:rsidRPr="00D933ED">
          <w:rPr>
            <w:rStyle w:val="Hyperlink"/>
          </w:rPr>
          <w:t>Standing Direction 5.1</w:t>
        </w:r>
      </w:hyperlink>
      <w:r w:rsidRPr="00D933ED">
        <w:t xml:space="preserve">, </w:t>
      </w:r>
      <w:hyperlink r:id="rId108" w:anchor="instructions" w:history="1">
        <w:r w:rsidR="0074117D" w:rsidRPr="0085168A">
          <w:rPr>
            <w:rStyle w:val="Hyperlink"/>
          </w:rPr>
          <w:t>Instruction 5.1</w:t>
        </w:r>
      </w:hyperlink>
      <w:r w:rsidR="0074117D" w:rsidRPr="00D933ED">
        <w:rPr>
          <w:rStyle w:val="Hyperlink"/>
        </w:rPr>
        <w:t xml:space="preserve"> </w:t>
      </w:r>
      <w:r w:rsidRPr="00D933ED">
        <w:t>and</w:t>
      </w:r>
      <w:r w:rsidR="0074117D" w:rsidRPr="00D933ED">
        <w:t xml:space="preserve"> </w:t>
      </w:r>
      <w:r w:rsidR="0074117D" w:rsidRPr="00765DB7">
        <w:rPr>
          <w:rStyle w:val="Hyperlink"/>
        </w:rPr>
        <w:fldChar w:fldCharType="begin"/>
      </w:r>
      <w:r w:rsidR="0074117D" w:rsidRPr="00D933ED">
        <w:rPr>
          <w:rStyle w:val="Hyperlink"/>
        </w:rPr>
        <w:instrText xml:space="preserve"> REF Guidance_5_1 \h  \* MERGEFORMAT </w:instrText>
      </w:r>
      <w:r w:rsidR="0074117D" w:rsidRPr="00765DB7">
        <w:rPr>
          <w:rStyle w:val="Hyperlink"/>
        </w:rPr>
      </w:r>
      <w:r w:rsidR="0074117D" w:rsidRPr="00765DB7">
        <w:rPr>
          <w:rStyle w:val="Hyperlink"/>
        </w:rPr>
        <w:fldChar w:fldCharType="separate"/>
      </w:r>
      <w:r w:rsidR="00D44155" w:rsidRPr="00D44155">
        <w:rPr>
          <w:rStyle w:val="Hyperlink"/>
        </w:rPr>
        <w:t xml:space="preserve">Guidance 5.1 </w:t>
      </w:r>
      <w:r w:rsidR="0074117D" w:rsidRPr="00765DB7">
        <w:rPr>
          <w:b/>
        </w:rPr>
        <w:fldChar w:fldCharType="end"/>
      </w:r>
      <w:r w:rsidRPr="00D933ED">
        <w:t>.</w:t>
      </w:r>
    </w:p>
    <w:p w14:paraId="718C2152" w14:textId="77777777" w:rsidR="002E08D5" w:rsidRDefault="002E08D5" w:rsidP="00160910"/>
    <w:p w14:paraId="5EF3F89A" w14:textId="77777777" w:rsidR="00653FB1" w:rsidRDefault="00653FB1">
      <w:pPr>
        <w:spacing w:before="0" w:after="200" w:line="276" w:lineRule="auto"/>
        <w:sectPr w:rsidR="00653FB1" w:rsidSect="007F1A5E">
          <w:pgSz w:w="11906" w:h="16838"/>
          <w:pgMar w:top="1440" w:right="1008" w:bottom="1440" w:left="1008" w:header="706" w:footer="389" w:gutter="0"/>
          <w:cols w:space="708"/>
          <w:titlePg/>
          <w:docGrid w:linePitch="360"/>
        </w:sectPr>
      </w:pPr>
    </w:p>
    <w:p w14:paraId="1F61812E" w14:textId="46798504" w:rsidR="00653FB1" w:rsidRPr="00311574" w:rsidRDefault="00653FB1" w:rsidP="00653FB1">
      <w:pPr>
        <w:pStyle w:val="GuidanceTitle"/>
      </w:pPr>
      <w:bookmarkStart w:id="19" w:name="Guidance_2_5"/>
      <w:r w:rsidRPr="00311574">
        <w:lastRenderedPageBreak/>
        <w:t xml:space="preserve">Guidance </w:t>
      </w:r>
      <w:r>
        <w:t>2.5</w:t>
      </w:r>
      <w:bookmarkEnd w:id="19"/>
      <w:r w:rsidRPr="00311574">
        <w:t xml:space="preserve"> – </w:t>
      </w:r>
      <w:r w:rsidR="00197EE4">
        <w:t>Deleg</w:t>
      </w:r>
      <w:r w:rsidRPr="00311574">
        <w:t>ations</w:t>
      </w:r>
    </w:p>
    <w:p w14:paraId="7AA59494" w14:textId="77777777" w:rsidR="00653FB1" w:rsidRPr="00E862D1" w:rsidRDefault="00653FB1" w:rsidP="00653FB1">
      <w:pPr>
        <w:spacing w:before="0" w:after="0" w:line="120" w:lineRule="atLeast"/>
        <w:rPr>
          <w:sz w:val="12"/>
        </w:rPr>
      </w:pPr>
    </w:p>
    <w:tbl>
      <w:tblPr>
        <w:tblStyle w:val="Table123"/>
        <w:tblW w:w="9900" w:type="dxa"/>
        <w:tblLook w:val="0080" w:firstRow="0" w:lastRow="0" w:firstColumn="1" w:lastColumn="0" w:noHBand="0" w:noVBand="0"/>
      </w:tblPr>
      <w:tblGrid>
        <w:gridCol w:w="3119"/>
        <w:gridCol w:w="6781"/>
      </w:tblGrid>
      <w:tr w:rsidR="00653FB1" w:rsidRPr="00E862D1" w14:paraId="3B702A5E" w14:textId="77777777" w:rsidTr="00676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D41EDEC" w14:textId="77777777" w:rsidR="00653FB1" w:rsidRPr="00E862D1" w:rsidRDefault="00653FB1" w:rsidP="006764FA">
            <w:pPr>
              <w:spacing w:before="60" w:after="60" w:line="252" w:lineRule="auto"/>
              <w:rPr>
                <w:rFonts w:cs="Times New Roman"/>
                <w:b/>
                <w:bCs w:val="0"/>
                <w:sz w:val="18"/>
                <w:szCs w:val="20"/>
              </w:rPr>
            </w:pPr>
            <w:r w:rsidRPr="00E862D1">
              <w:rPr>
                <w:rFonts w:cs="Times New Roman"/>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25514FD3" w14:textId="42EABA9A" w:rsidR="00653FB1" w:rsidRPr="00E862D1" w:rsidRDefault="00653FB1" w:rsidP="006764FA">
            <w:pPr>
              <w:spacing w:before="60" w:after="60" w:line="252" w:lineRule="auto"/>
              <w:rPr>
                <w:rFonts w:cs="Times New Roman"/>
                <w:bCs/>
                <w:sz w:val="18"/>
                <w:szCs w:val="20"/>
              </w:rPr>
            </w:pPr>
            <w:r w:rsidRPr="00E862D1">
              <w:rPr>
                <w:rFonts w:cs="Times New Roman"/>
                <w:bCs/>
                <w:sz w:val="18"/>
                <w:szCs w:val="20"/>
              </w:rPr>
              <w:t xml:space="preserve">This guidance provides information to support Public Sector Agencies in following </w:t>
            </w:r>
            <w:hyperlink r:id="rId109" w:anchor="standing-directions-2018" w:history="1">
              <w:r w:rsidRPr="0051115B">
                <w:rPr>
                  <w:rStyle w:val="Hyperlink"/>
                  <w:rFonts w:cs="Times New Roman"/>
                  <w:bCs/>
                  <w:sz w:val="18"/>
                  <w:szCs w:val="20"/>
                </w:rPr>
                <w:t xml:space="preserve">Direction </w:t>
              </w:r>
              <w:r w:rsidR="00197EE4">
                <w:rPr>
                  <w:rStyle w:val="Hyperlink"/>
                  <w:rFonts w:cs="Times New Roman"/>
                  <w:bCs/>
                  <w:sz w:val="18"/>
                  <w:szCs w:val="20"/>
                </w:rPr>
                <w:t>2.5</w:t>
              </w:r>
            </w:hyperlink>
            <w:r w:rsidRPr="00E862D1">
              <w:rPr>
                <w:rFonts w:cs="Times New Roman"/>
                <w:bCs/>
                <w:sz w:val="18"/>
                <w:szCs w:val="20"/>
              </w:rPr>
              <w:t xml:space="preserve">, including how to ensure </w:t>
            </w:r>
            <w:r w:rsidR="00197EE4">
              <w:rPr>
                <w:rFonts w:cs="Times New Roman"/>
                <w:bCs/>
                <w:sz w:val="18"/>
                <w:szCs w:val="20"/>
              </w:rPr>
              <w:t>deleg</w:t>
            </w:r>
            <w:r w:rsidRPr="00E862D1">
              <w:rPr>
                <w:rFonts w:cs="Times New Roman"/>
                <w:bCs/>
                <w:sz w:val="18"/>
                <w:szCs w:val="20"/>
              </w:rPr>
              <w:t>ations are properly exercised, reviewed and recorded.</w:t>
            </w:r>
          </w:p>
        </w:tc>
      </w:tr>
      <w:tr w:rsidR="00653FB1" w:rsidRPr="00E862D1" w14:paraId="30B9D205" w14:textId="77777777" w:rsidTr="00676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9163462" w14:textId="77777777" w:rsidR="00653FB1" w:rsidRPr="00E862D1" w:rsidRDefault="00653FB1" w:rsidP="006764FA">
            <w:pPr>
              <w:spacing w:before="60" w:after="60" w:line="252" w:lineRule="auto"/>
              <w:rPr>
                <w:rFonts w:cs="Times New Roman"/>
                <w:b/>
                <w:bCs w:val="0"/>
                <w:sz w:val="18"/>
                <w:szCs w:val="20"/>
              </w:rPr>
            </w:pPr>
            <w:r w:rsidRPr="00E862D1">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43E48472" w14:textId="4B62C321" w:rsidR="00653FB1" w:rsidRPr="00E862D1" w:rsidRDefault="00515507" w:rsidP="006764FA">
            <w:pPr>
              <w:spacing w:before="60" w:after="60" w:line="252" w:lineRule="auto"/>
              <w:rPr>
                <w:rFonts w:cs="Times New Roman"/>
                <w:bCs/>
                <w:sz w:val="18"/>
                <w:szCs w:val="20"/>
              </w:rPr>
            </w:pPr>
            <w:r>
              <w:rPr>
                <w:rFonts w:cs="Times New Roman"/>
                <w:bCs/>
                <w:sz w:val="18"/>
                <w:szCs w:val="20"/>
              </w:rPr>
              <w:t xml:space="preserve">1 </w:t>
            </w:r>
            <w:r w:rsidR="00197EE4">
              <w:rPr>
                <w:rFonts w:cs="Times New Roman"/>
                <w:bCs/>
                <w:sz w:val="18"/>
                <w:szCs w:val="20"/>
              </w:rPr>
              <w:t>Ma</w:t>
            </w:r>
            <w:r>
              <w:rPr>
                <w:rFonts w:cs="Times New Roman"/>
                <w:bCs/>
                <w:sz w:val="18"/>
                <w:szCs w:val="20"/>
              </w:rPr>
              <w:t xml:space="preserve">y </w:t>
            </w:r>
            <w:r w:rsidR="00197EE4">
              <w:rPr>
                <w:rFonts w:cs="Times New Roman"/>
                <w:bCs/>
                <w:sz w:val="18"/>
                <w:szCs w:val="20"/>
              </w:rPr>
              <w:t>2019</w:t>
            </w:r>
          </w:p>
        </w:tc>
      </w:tr>
      <w:tr w:rsidR="00653FB1" w:rsidRPr="008A37A5" w14:paraId="67A4F7B2" w14:textId="77777777" w:rsidTr="00676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3BAE407" w14:textId="77777777" w:rsidR="00653FB1" w:rsidRPr="00E862D1" w:rsidRDefault="00653FB1" w:rsidP="006764FA">
            <w:pPr>
              <w:spacing w:before="60" w:after="60" w:line="252" w:lineRule="auto"/>
              <w:rPr>
                <w:rFonts w:cs="Times New Roman"/>
                <w:b/>
                <w:bCs w:val="0"/>
                <w:sz w:val="18"/>
                <w:szCs w:val="20"/>
              </w:rPr>
            </w:pPr>
            <w:r w:rsidRPr="00E862D1">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13CAD50F" w14:textId="14463DE3" w:rsidR="00653FB1" w:rsidRPr="00E862D1" w:rsidRDefault="00653FB1" w:rsidP="006764FA">
            <w:pPr>
              <w:spacing w:before="60" w:after="60" w:line="252" w:lineRule="auto"/>
              <w:rPr>
                <w:rFonts w:cs="Times New Roman"/>
                <w:bCs/>
                <w:sz w:val="18"/>
                <w:szCs w:val="20"/>
              </w:rPr>
            </w:pPr>
            <w:hyperlink r:id="rId110" w:anchor="standing-directions-2018" w:history="1">
              <w:r w:rsidRPr="00D12BBF">
                <w:rPr>
                  <w:rStyle w:val="Hyperlink"/>
                  <w:rFonts w:cs="Times New Roman"/>
                  <w:bCs/>
                  <w:sz w:val="18"/>
                  <w:szCs w:val="20"/>
                </w:rPr>
                <w:t>2.2 Responsible Body</w:t>
              </w:r>
            </w:hyperlink>
          </w:p>
          <w:p w14:paraId="675C653B" w14:textId="486CE58C" w:rsidR="00653FB1" w:rsidRDefault="00653FB1" w:rsidP="006764FA">
            <w:pPr>
              <w:spacing w:before="60" w:after="60" w:line="252" w:lineRule="auto"/>
              <w:rPr>
                <w:rStyle w:val="Hyperlink"/>
                <w:rFonts w:cs="Times New Roman"/>
                <w:bCs/>
                <w:sz w:val="18"/>
                <w:szCs w:val="20"/>
              </w:rPr>
            </w:pPr>
            <w:hyperlink r:id="rId111" w:anchor="standing-directions-2018" w:history="1">
              <w:r w:rsidRPr="00D12BBF">
                <w:rPr>
                  <w:rStyle w:val="Hyperlink"/>
                  <w:rFonts w:cs="Times New Roman"/>
                  <w:bCs/>
                  <w:sz w:val="18"/>
                  <w:szCs w:val="20"/>
                </w:rPr>
                <w:t>2.3 Accountable Officer</w:t>
              </w:r>
            </w:hyperlink>
          </w:p>
          <w:p w14:paraId="074DC994" w14:textId="206C9B49" w:rsidR="00197EE4" w:rsidRPr="00E862D1" w:rsidRDefault="00197EE4" w:rsidP="006764FA">
            <w:pPr>
              <w:spacing w:before="60" w:after="60" w:line="252" w:lineRule="auto"/>
              <w:rPr>
                <w:rFonts w:cs="Times New Roman"/>
                <w:bCs/>
                <w:sz w:val="18"/>
                <w:szCs w:val="20"/>
              </w:rPr>
            </w:pPr>
            <w:hyperlink r:id="rId112" w:anchor="standing-directions-2018" w:history="1">
              <w:r w:rsidRPr="00797F6C">
                <w:rPr>
                  <w:rStyle w:val="Hyperlink"/>
                  <w:rFonts w:cs="Times New Roman"/>
                  <w:bCs/>
                  <w:sz w:val="18"/>
                  <w:szCs w:val="20"/>
                </w:rPr>
                <w:t>2.4 Chief Financ</w:t>
              </w:r>
              <w:r w:rsidR="00797F6C">
                <w:rPr>
                  <w:rStyle w:val="Hyperlink"/>
                  <w:rFonts w:cs="Times New Roman"/>
                  <w:bCs/>
                  <w:sz w:val="18"/>
                  <w:szCs w:val="20"/>
                </w:rPr>
                <w:t>e</w:t>
              </w:r>
              <w:r w:rsidRPr="00797F6C">
                <w:rPr>
                  <w:rStyle w:val="Hyperlink"/>
                  <w:rFonts w:cs="Times New Roman"/>
                  <w:bCs/>
                  <w:sz w:val="18"/>
                  <w:szCs w:val="20"/>
                </w:rPr>
                <w:t xml:space="preserve"> Officer</w:t>
              </w:r>
            </w:hyperlink>
          </w:p>
          <w:p w14:paraId="5EA47EE5" w14:textId="3DB515F9" w:rsidR="00653FB1" w:rsidRPr="008A37A5" w:rsidRDefault="00197EE4" w:rsidP="006764FA">
            <w:pPr>
              <w:spacing w:before="60" w:after="60" w:line="252" w:lineRule="auto"/>
              <w:rPr>
                <w:rFonts w:cs="Times New Roman"/>
                <w:bCs/>
                <w:sz w:val="18"/>
                <w:szCs w:val="20"/>
              </w:rPr>
            </w:pPr>
            <w:hyperlink r:id="rId113" w:anchor="standing-directions-2018" w:history="1">
              <w:r>
                <w:rPr>
                  <w:rStyle w:val="Hyperlink"/>
                  <w:rFonts w:cs="Times New Roman"/>
                  <w:bCs/>
                  <w:sz w:val="18"/>
                  <w:szCs w:val="20"/>
                </w:rPr>
                <w:t>2.5</w:t>
              </w:r>
              <w:r w:rsidR="00653FB1" w:rsidRPr="00D12BBF">
                <w:rPr>
                  <w:rStyle w:val="Hyperlink"/>
                  <w:rFonts w:cs="Times New Roman"/>
                  <w:bCs/>
                  <w:sz w:val="18"/>
                  <w:szCs w:val="20"/>
                </w:rPr>
                <w:t xml:space="preserve"> </w:t>
              </w:r>
              <w:r>
                <w:rPr>
                  <w:rStyle w:val="Hyperlink"/>
                  <w:rFonts w:cs="Times New Roman"/>
                  <w:bCs/>
                  <w:sz w:val="18"/>
                  <w:szCs w:val="20"/>
                </w:rPr>
                <w:t>Deleg</w:t>
              </w:r>
              <w:r w:rsidR="00653FB1" w:rsidRPr="00D12BBF">
                <w:rPr>
                  <w:rStyle w:val="Hyperlink"/>
                  <w:rFonts w:cs="Times New Roman"/>
                  <w:bCs/>
                  <w:sz w:val="18"/>
                  <w:szCs w:val="20"/>
                </w:rPr>
                <w:t>ations</w:t>
              </w:r>
            </w:hyperlink>
          </w:p>
        </w:tc>
      </w:tr>
      <w:tr w:rsidR="00653FB1" w:rsidRPr="008A37A5" w14:paraId="67D412CD" w14:textId="77777777" w:rsidTr="00676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EBF6612" w14:textId="77777777" w:rsidR="00653FB1" w:rsidRPr="008A37A5" w:rsidRDefault="00653FB1" w:rsidP="006764FA">
            <w:pPr>
              <w:spacing w:before="60" w:after="60" w:line="252" w:lineRule="auto"/>
              <w:rPr>
                <w:rFonts w:cs="Times New Roman"/>
                <w:b/>
                <w:bCs w:val="0"/>
                <w:sz w:val="18"/>
                <w:szCs w:val="20"/>
              </w:rPr>
            </w:pPr>
            <w:r w:rsidRPr="008A37A5">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4FBB846C" w14:textId="3F020408" w:rsidR="00653FB1" w:rsidRPr="008A37A5" w:rsidRDefault="00567933" w:rsidP="006764FA">
            <w:pPr>
              <w:spacing w:before="60" w:after="60" w:line="252" w:lineRule="auto"/>
              <w:rPr>
                <w:rFonts w:cs="Times New Roman"/>
                <w:bCs/>
                <w:sz w:val="18"/>
                <w:szCs w:val="20"/>
              </w:rPr>
            </w:pPr>
            <w:r>
              <w:rPr>
                <w:rFonts w:cs="Times New Roman"/>
                <w:bCs/>
                <w:sz w:val="18"/>
                <w:szCs w:val="20"/>
              </w:rPr>
              <w:t>8 February</w:t>
            </w:r>
            <w:r w:rsidR="00D778F3">
              <w:rPr>
                <w:rFonts w:cs="Times New Roman"/>
                <w:bCs/>
                <w:sz w:val="18"/>
                <w:szCs w:val="20"/>
              </w:rPr>
              <w:t xml:space="preserve"> 2023</w:t>
            </w:r>
          </w:p>
        </w:tc>
      </w:tr>
    </w:tbl>
    <w:p w14:paraId="4DE22E12" w14:textId="77777777" w:rsidR="00653FB1" w:rsidRPr="008A37A5" w:rsidRDefault="00653FB1" w:rsidP="00653FB1">
      <w:pPr>
        <w:spacing w:before="0" w:after="0" w:line="120" w:lineRule="atLeast"/>
        <w:rPr>
          <w:sz w:val="12"/>
        </w:rPr>
      </w:pPr>
    </w:p>
    <w:p w14:paraId="34145C19" w14:textId="5499A7A5" w:rsidR="001A4ADC" w:rsidRPr="001A4ADC" w:rsidRDefault="001A4ADC" w:rsidP="00653FB1">
      <w:pPr>
        <w:pStyle w:val="Heading1NoNum"/>
        <w:rPr>
          <w:sz w:val="20"/>
          <w:szCs w:val="20"/>
        </w:rPr>
      </w:pPr>
      <w:r>
        <w:rPr>
          <w:i/>
          <w:sz w:val="20"/>
          <w:szCs w:val="20"/>
        </w:rPr>
        <w:t xml:space="preserve">Note: </w:t>
      </w:r>
      <w:r>
        <w:rPr>
          <w:sz w:val="20"/>
          <w:szCs w:val="20"/>
        </w:rPr>
        <w:t>For delegations which confer authority to commit an Agency’s financial resources, refer Guidance 3.3 – Financial Authorisations.</w:t>
      </w:r>
    </w:p>
    <w:p w14:paraId="790E3C15" w14:textId="0E35769F" w:rsidR="00653FB1" w:rsidRPr="008A37A5" w:rsidRDefault="006A320B" w:rsidP="00653FB1">
      <w:pPr>
        <w:pStyle w:val="Heading1NoNum"/>
      </w:pPr>
      <w:r>
        <w:t>Deleg</w:t>
      </w:r>
      <w:r w:rsidR="00653FB1">
        <w:t>ation</w:t>
      </w:r>
      <w:r w:rsidR="00653FB1" w:rsidRPr="008A37A5">
        <w:t xml:space="preserve"> is appropriate</w:t>
      </w:r>
    </w:p>
    <w:p w14:paraId="3223DFC6" w14:textId="0B8D1334" w:rsidR="00653FB1" w:rsidRPr="008A37A5" w:rsidRDefault="006A320B" w:rsidP="00653FB1">
      <w:r>
        <w:t>Deleg</w:t>
      </w:r>
      <w:r w:rsidR="00653FB1">
        <w:t>ations may</w:t>
      </w:r>
      <w:r w:rsidR="00653FB1" w:rsidRPr="008A37A5">
        <w:t xml:space="preserve"> be used when:</w:t>
      </w:r>
    </w:p>
    <w:p w14:paraId="254C895F" w14:textId="77777777" w:rsidR="00653FB1" w:rsidRPr="00BA73DB" w:rsidRDefault="00653FB1" w:rsidP="000B15FD">
      <w:pPr>
        <w:pStyle w:val="GuidanceBullet1"/>
        <w:numPr>
          <w:ilvl w:val="0"/>
          <w:numId w:val="35"/>
        </w:numPr>
        <w:spacing w:before="60" w:after="60"/>
        <w:contextualSpacing/>
      </w:pPr>
      <w:r>
        <w:t>it</w:t>
      </w:r>
      <w:r w:rsidRPr="00BA73DB">
        <w:t xml:space="preserve"> is required for the effective conduct of the business; and/or</w:t>
      </w:r>
    </w:p>
    <w:p w14:paraId="7613AFAC" w14:textId="7FDE7465" w:rsidR="00653FB1" w:rsidRPr="00BA73DB" w:rsidRDefault="00653FB1" w:rsidP="000B15FD">
      <w:pPr>
        <w:pStyle w:val="GuidanceBullet1"/>
        <w:numPr>
          <w:ilvl w:val="0"/>
          <w:numId w:val="35"/>
        </w:numPr>
        <w:spacing w:before="60" w:after="60"/>
        <w:contextualSpacing/>
      </w:pPr>
      <w:r w:rsidRPr="00BA73DB">
        <w:t>a formal separation of duties is required.</w:t>
      </w:r>
    </w:p>
    <w:p w14:paraId="6C475111" w14:textId="08A1219A" w:rsidR="00653FB1" w:rsidRPr="008A37A5" w:rsidRDefault="00653FB1" w:rsidP="00653FB1">
      <w:r w:rsidRPr="008A37A5">
        <w:t>Formal separation of duties is a key internal control element designed to</w:t>
      </w:r>
      <w:r>
        <w:t xml:space="preserve"> reduce errors</w:t>
      </w:r>
      <w:r w:rsidRPr="008A37A5">
        <w:t>.</w:t>
      </w:r>
    </w:p>
    <w:p w14:paraId="06FDF57C" w14:textId="262A170A" w:rsidR="00653FB1" w:rsidRPr="008A37A5" w:rsidRDefault="006A320B" w:rsidP="00653FB1">
      <w:r>
        <w:t>Delegates</w:t>
      </w:r>
      <w:r w:rsidR="00653FB1">
        <w:t xml:space="preserve"> should have</w:t>
      </w:r>
      <w:r w:rsidR="00653FB1" w:rsidRPr="008A37A5">
        <w:t>:</w:t>
      </w:r>
    </w:p>
    <w:p w14:paraId="57BF56B5" w14:textId="2C116347" w:rsidR="00653FB1" w:rsidRPr="00BA73DB" w:rsidRDefault="00653FB1" w:rsidP="000B15FD">
      <w:pPr>
        <w:pStyle w:val="GuidanceBullet1"/>
        <w:numPr>
          <w:ilvl w:val="0"/>
          <w:numId w:val="36"/>
        </w:numPr>
        <w:spacing w:before="60" w:after="60"/>
      </w:pPr>
      <w:r w:rsidRPr="00BA73DB">
        <w:t xml:space="preserve">an understanding of the scope of their </w:t>
      </w:r>
      <w:r w:rsidR="006A320B">
        <w:t>deleg</w:t>
      </w:r>
      <w:r>
        <w:t>ation</w:t>
      </w:r>
      <w:r w:rsidRPr="00BA73DB">
        <w:t xml:space="preserve"> (e.g. the type of activity);</w:t>
      </w:r>
    </w:p>
    <w:p w14:paraId="626E5497" w14:textId="0A13BCAD" w:rsidR="00653FB1" w:rsidRPr="00BA73DB" w:rsidRDefault="00653FB1" w:rsidP="000B15FD">
      <w:pPr>
        <w:pStyle w:val="GuidanceBullet1"/>
        <w:numPr>
          <w:ilvl w:val="0"/>
          <w:numId w:val="36"/>
        </w:numPr>
        <w:spacing w:before="60" w:after="60"/>
      </w:pPr>
      <w:r w:rsidRPr="00BA73DB">
        <w:t xml:space="preserve">an understanding of any limits applying to their </w:t>
      </w:r>
      <w:r w:rsidR="006A320B">
        <w:t>deleg</w:t>
      </w:r>
      <w:r>
        <w:t>ation</w:t>
      </w:r>
      <w:r w:rsidRPr="00BA73DB">
        <w:t xml:space="preserve"> (e.g. </w:t>
      </w:r>
      <w:r w:rsidR="006A320B">
        <w:t>time</w:t>
      </w:r>
      <w:r>
        <w:t xml:space="preserve"> limits</w:t>
      </w:r>
      <w:r w:rsidRPr="00BA73DB">
        <w:t>);</w:t>
      </w:r>
    </w:p>
    <w:p w14:paraId="3DB001D8" w14:textId="12238D3F" w:rsidR="00653FB1" w:rsidRPr="00BA73DB" w:rsidRDefault="00653FB1" w:rsidP="000B15FD">
      <w:pPr>
        <w:pStyle w:val="GuidanceBullet1"/>
        <w:numPr>
          <w:ilvl w:val="0"/>
          <w:numId w:val="36"/>
        </w:numPr>
        <w:spacing w:before="60" w:after="60"/>
      </w:pPr>
      <w:r w:rsidRPr="00BA73DB">
        <w:t xml:space="preserve">knowledge of processes for exercising a </w:t>
      </w:r>
      <w:r w:rsidR="006A320B">
        <w:t>deleg</w:t>
      </w:r>
      <w:r>
        <w:t>ation</w:t>
      </w:r>
      <w:r w:rsidRPr="00BA73DB">
        <w:t>;</w:t>
      </w:r>
    </w:p>
    <w:p w14:paraId="24437EE8" w14:textId="5CFD56F3" w:rsidR="00653FB1" w:rsidRPr="00BA73DB" w:rsidRDefault="00653FB1" w:rsidP="000B15FD">
      <w:pPr>
        <w:pStyle w:val="GuidanceBullet1"/>
        <w:numPr>
          <w:ilvl w:val="0"/>
          <w:numId w:val="36"/>
        </w:numPr>
        <w:spacing w:before="60" w:after="60"/>
      </w:pPr>
      <w:r w:rsidRPr="00BA73DB">
        <w:t xml:space="preserve">knowledge of mechanisms for managing any conflicts of interest (actual or perceived) related to a </w:t>
      </w:r>
      <w:r w:rsidR="006A320B">
        <w:t>deleg</w:t>
      </w:r>
      <w:r>
        <w:t>ation</w:t>
      </w:r>
      <w:r w:rsidRPr="00BA73DB">
        <w:t>; and</w:t>
      </w:r>
    </w:p>
    <w:p w14:paraId="4C68500A" w14:textId="77777777" w:rsidR="00653FB1" w:rsidRPr="00BA73DB" w:rsidRDefault="00653FB1" w:rsidP="000B15FD">
      <w:pPr>
        <w:pStyle w:val="GuidanceBullet1"/>
        <w:numPr>
          <w:ilvl w:val="0"/>
          <w:numId w:val="36"/>
        </w:numPr>
        <w:spacing w:before="60" w:after="60"/>
      </w:pPr>
      <w:r w:rsidRPr="00BA73DB">
        <w:t>awareness and understanding of all relevant policies, procedures and guidelines in the Agency’s internal control system as well as external legislative requirements.</w:t>
      </w:r>
    </w:p>
    <w:p w14:paraId="58D36D97" w14:textId="210D8EB5" w:rsidR="00653FB1" w:rsidRPr="008A37A5" w:rsidRDefault="00653FB1" w:rsidP="00653FB1">
      <w:pPr>
        <w:pStyle w:val="Heading1NoNum"/>
      </w:pPr>
      <w:r>
        <w:t>Central record</w:t>
      </w:r>
      <w:r w:rsidRPr="008A37A5">
        <w:t xml:space="preserve"> of </w:t>
      </w:r>
      <w:r w:rsidR="006A320B">
        <w:t>deleg</w:t>
      </w:r>
      <w:r>
        <w:t>ations</w:t>
      </w:r>
    </w:p>
    <w:p w14:paraId="42203184" w14:textId="6930BED1" w:rsidR="00653FB1" w:rsidRPr="008A37A5" w:rsidRDefault="00653FB1" w:rsidP="00653FB1">
      <w:r w:rsidRPr="008A37A5">
        <w:t xml:space="preserve">A </w:t>
      </w:r>
      <w:r>
        <w:t xml:space="preserve">central record </w:t>
      </w:r>
      <w:r w:rsidRPr="008A37A5">
        <w:t xml:space="preserve">of </w:t>
      </w:r>
      <w:r w:rsidR="006A320B">
        <w:t>deleg</w:t>
      </w:r>
      <w:r>
        <w:t>ations</w:t>
      </w:r>
      <w:r w:rsidRPr="008A37A5">
        <w:t xml:space="preserve"> should contain the following details:</w:t>
      </w:r>
    </w:p>
    <w:p w14:paraId="681871DD" w14:textId="2AEB9656" w:rsidR="00653FB1" w:rsidRPr="00BA73DB" w:rsidRDefault="00653FB1" w:rsidP="000B15FD">
      <w:pPr>
        <w:pStyle w:val="GuidanceBullet1"/>
        <w:numPr>
          <w:ilvl w:val="0"/>
          <w:numId w:val="37"/>
        </w:numPr>
        <w:spacing w:before="60" w:after="60"/>
        <w:contextualSpacing/>
      </w:pPr>
      <w:r w:rsidRPr="00BA73DB">
        <w:t xml:space="preserve">the transaction type, for example </w:t>
      </w:r>
      <w:r w:rsidR="006A320B">
        <w:t>administrative</w:t>
      </w:r>
      <w:r w:rsidRPr="00BA73DB">
        <w:t xml:space="preserve"> and operational types;</w:t>
      </w:r>
    </w:p>
    <w:p w14:paraId="0CD50E1E" w14:textId="27360375" w:rsidR="00653FB1" w:rsidRPr="00BA73DB" w:rsidRDefault="00653FB1" w:rsidP="000B15FD">
      <w:pPr>
        <w:pStyle w:val="GuidanceBullet1"/>
        <w:numPr>
          <w:ilvl w:val="0"/>
          <w:numId w:val="37"/>
        </w:numPr>
        <w:spacing w:before="60" w:after="60"/>
        <w:contextualSpacing/>
      </w:pPr>
      <w:r w:rsidRPr="00BA73DB">
        <w:t xml:space="preserve">a list of positions holding </w:t>
      </w:r>
      <w:r w:rsidR="006A320B">
        <w:t>deleg</w:t>
      </w:r>
      <w:r>
        <w:t>ations</w:t>
      </w:r>
      <w:r w:rsidRPr="00BA73DB">
        <w:t xml:space="preserve"> for each transaction type;</w:t>
      </w:r>
    </w:p>
    <w:p w14:paraId="648B5EC7" w14:textId="6E26BAA4" w:rsidR="00653FB1" w:rsidRPr="00BA73DB" w:rsidRDefault="00653FB1" w:rsidP="000B15FD">
      <w:pPr>
        <w:pStyle w:val="GuidanceBullet1"/>
        <w:numPr>
          <w:ilvl w:val="0"/>
          <w:numId w:val="37"/>
        </w:numPr>
        <w:spacing w:before="60" w:after="60"/>
        <w:contextualSpacing/>
      </w:pPr>
      <w:r w:rsidRPr="00BA73DB">
        <w:t xml:space="preserve">operational limitations for each transaction or </w:t>
      </w:r>
      <w:r w:rsidR="006A320B">
        <w:t>deleg</w:t>
      </w:r>
      <w:r>
        <w:t>ation</w:t>
      </w:r>
      <w:r w:rsidRPr="00BA73DB">
        <w:t xml:space="preserve"> type;</w:t>
      </w:r>
    </w:p>
    <w:p w14:paraId="51BFD5E1" w14:textId="77777777" w:rsidR="00653FB1" w:rsidRPr="00BA73DB" w:rsidRDefault="00653FB1" w:rsidP="000B15FD">
      <w:pPr>
        <w:pStyle w:val="GuidanceBullet1"/>
        <w:numPr>
          <w:ilvl w:val="0"/>
          <w:numId w:val="37"/>
        </w:numPr>
        <w:spacing w:before="60" w:after="60"/>
        <w:contextualSpacing/>
      </w:pPr>
      <w:r w:rsidRPr="00BA73DB">
        <w:t>a list of staff names holding positions; and</w:t>
      </w:r>
    </w:p>
    <w:p w14:paraId="477CED8F" w14:textId="15AC837F" w:rsidR="00653FB1" w:rsidRPr="00BA73DB" w:rsidRDefault="00653FB1" w:rsidP="000B15FD">
      <w:pPr>
        <w:pStyle w:val="GuidanceBullet1"/>
        <w:numPr>
          <w:ilvl w:val="0"/>
          <w:numId w:val="37"/>
        </w:numPr>
        <w:spacing w:before="60" w:after="60"/>
        <w:contextualSpacing/>
      </w:pPr>
      <w:r w:rsidRPr="00BA73DB">
        <w:t xml:space="preserve">specimen signatures and/or electronic approval processes for each holder of a </w:t>
      </w:r>
      <w:r w:rsidR="006A320B">
        <w:t>deleg</w:t>
      </w:r>
      <w:r>
        <w:t>ation</w:t>
      </w:r>
      <w:r w:rsidRPr="00BA73DB">
        <w:t xml:space="preserve">. </w:t>
      </w:r>
    </w:p>
    <w:p w14:paraId="1EB2521B" w14:textId="3A517F8D" w:rsidR="00653FB1" w:rsidRPr="008A37A5" w:rsidRDefault="006A320B" w:rsidP="00653FB1">
      <w:pPr>
        <w:pStyle w:val="Heading1NoNum"/>
      </w:pPr>
      <w:r>
        <w:t>Deleg</w:t>
      </w:r>
      <w:r w:rsidR="00653FB1" w:rsidRPr="00481228">
        <w:t>ation</w:t>
      </w:r>
      <w:r w:rsidR="00653FB1">
        <w:t>s</w:t>
      </w:r>
      <w:r w:rsidR="00653FB1" w:rsidRPr="00481228">
        <w:t xml:space="preserve"> </w:t>
      </w:r>
      <w:r w:rsidR="00653FB1" w:rsidRPr="008A37A5">
        <w:t>are current and reviewed</w:t>
      </w:r>
    </w:p>
    <w:p w14:paraId="3A049067" w14:textId="5CE8B5FE" w:rsidR="00653FB1" w:rsidRPr="008A37A5" w:rsidRDefault="00653FB1" w:rsidP="00653FB1">
      <w:r w:rsidRPr="008A37A5">
        <w:t xml:space="preserve">A review of </w:t>
      </w:r>
      <w:r w:rsidR="006A320B">
        <w:t>deleg</w:t>
      </w:r>
      <w:r>
        <w:t>ations</w:t>
      </w:r>
      <w:r w:rsidRPr="008A37A5">
        <w:t xml:space="preserve"> should occur </w:t>
      </w:r>
      <w:r>
        <w:t>regularly</w:t>
      </w:r>
      <w:r w:rsidRPr="008A37A5">
        <w:t xml:space="preserve"> to ensure they are appropriate for the efficient and effective conduct of the business of the Agency. </w:t>
      </w:r>
    </w:p>
    <w:p w14:paraId="5C249AE7" w14:textId="77777777" w:rsidR="00653FB1" w:rsidRPr="008A37A5" w:rsidRDefault="00653FB1" w:rsidP="00653FB1">
      <w:r w:rsidRPr="008A37A5">
        <w:t>The following could be considered as a part of the review:</w:t>
      </w:r>
    </w:p>
    <w:p w14:paraId="035787CF" w14:textId="71FE2036" w:rsidR="00653FB1" w:rsidRPr="00BA73DB" w:rsidRDefault="00653FB1" w:rsidP="000B15FD">
      <w:pPr>
        <w:pStyle w:val="GuidanceBullet1"/>
        <w:numPr>
          <w:ilvl w:val="0"/>
          <w:numId w:val="38"/>
        </w:numPr>
        <w:spacing w:before="60" w:after="60"/>
        <w:contextualSpacing/>
      </w:pPr>
      <w:r w:rsidRPr="00BA73DB">
        <w:t>Is there any evidence of non</w:t>
      </w:r>
      <w:r>
        <w:noBreakHyphen/>
      </w:r>
      <w:r w:rsidRPr="00BA73DB">
        <w:t xml:space="preserve">compliance with </w:t>
      </w:r>
      <w:r w:rsidR="006A320B">
        <w:t>deleg</w:t>
      </w:r>
      <w:r>
        <w:t>ations</w:t>
      </w:r>
      <w:r w:rsidRPr="00BA73DB">
        <w:t>?</w:t>
      </w:r>
    </w:p>
    <w:p w14:paraId="6C94AE59" w14:textId="3EDF3FFA" w:rsidR="00653FB1" w:rsidRPr="00BA73DB" w:rsidRDefault="00653FB1" w:rsidP="000B15FD">
      <w:pPr>
        <w:pStyle w:val="GuidanceBullet1"/>
        <w:numPr>
          <w:ilvl w:val="0"/>
          <w:numId w:val="38"/>
        </w:numPr>
        <w:spacing w:before="60" w:after="60"/>
        <w:contextualSpacing/>
      </w:pPr>
      <w:r w:rsidRPr="00BA73DB">
        <w:t xml:space="preserve">Are there instances of </w:t>
      </w:r>
      <w:r w:rsidR="006A320B">
        <w:t>deleg</w:t>
      </w:r>
      <w:r>
        <w:t>ations</w:t>
      </w:r>
      <w:r w:rsidRPr="00BA73DB">
        <w:t xml:space="preserve"> not operating effectively? </w:t>
      </w:r>
    </w:p>
    <w:p w14:paraId="31700F20" w14:textId="32B6C073" w:rsidR="00653FB1" w:rsidRPr="00BA73DB" w:rsidRDefault="00653FB1" w:rsidP="000B15FD">
      <w:pPr>
        <w:pStyle w:val="GuidanceBullet1"/>
        <w:numPr>
          <w:ilvl w:val="0"/>
          <w:numId w:val="38"/>
        </w:numPr>
        <w:spacing w:before="60" w:after="60"/>
        <w:contextualSpacing/>
      </w:pPr>
      <w:r w:rsidRPr="00BA73DB">
        <w:t xml:space="preserve">Are there any concerns about conflicting </w:t>
      </w:r>
      <w:r w:rsidR="006A320B">
        <w:t>deleg</w:t>
      </w:r>
      <w:r>
        <w:t>ations</w:t>
      </w:r>
      <w:r w:rsidRPr="00BA73DB">
        <w:t xml:space="preserve">? </w:t>
      </w:r>
    </w:p>
    <w:p w14:paraId="330102F6" w14:textId="77777777" w:rsidR="00653FB1" w:rsidRPr="00BA73DB" w:rsidRDefault="00653FB1" w:rsidP="000B15FD">
      <w:pPr>
        <w:pStyle w:val="GuidanceBullet1"/>
        <w:numPr>
          <w:ilvl w:val="0"/>
          <w:numId w:val="38"/>
        </w:numPr>
        <w:spacing w:before="60" w:after="60"/>
        <w:contextualSpacing/>
      </w:pPr>
      <w:r w:rsidRPr="00BA73DB">
        <w:t>Have there been any significant changes to the structure, objectives and roles of the Agency and positions?</w:t>
      </w:r>
    </w:p>
    <w:p w14:paraId="48DB6405" w14:textId="19368AE5" w:rsidR="00653FB1" w:rsidRPr="00BA73DB" w:rsidRDefault="00653FB1" w:rsidP="000B15FD">
      <w:pPr>
        <w:pStyle w:val="GuidanceBullet1"/>
        <w:numPr>
          <w:ilvl w:val="0"/>
          <w:numId w:val="38"/>
        </w:numPr>
        <w:spacing w:before="60" w:after="60"/>
        <w:contextualSpacing/>
      </w:pPr>
      <w:r w:rsidRPr="00BA73DB">
        <w:t xml:space="preserve">Has a </w:t>
      </w:r>
      <w:r w:rsidR="006A320B">
        <w:t>deleg</w:t>
      </w:r>
      <w:r>
        <w:t>ation</w:t>
      </w:r>
      <w:r w:rsidRPr="00BA73DB">
        <w:t xml:space="preserve"> never or very rarely been used?</w:t>
      </w:r>
    </w:p>
    <w:p w14:paraId="3BD6C3BB" w14:textId="0DACEA7F" w:rsidR="00653FB1" w:rsidRPr="008A37A5" w:rsidRDefault="005123FE" w:rsidP="00653FB1">
      <w:pPr>
        <w:pStyle w:val="Heading1NoNum"/>
      </w:pPr>
      <w:r>
        <w:lastRenderedPageBreak/>
        <w:t>Deleg</w:t>
      </w:r>
      <w:r w:rsidR="00653FB1" w:rsidRPr="00481228">
        <w:t xml:space="preserve">ation </w:t>
      </w:r>
      <w:r w:rsidR="00653FB1" w:rsidRPr="008A37A5">
        <w:t>following machinery of government changes</w:t>
      </w:r>
    </w:p>
    <w:p w14:paraId="391FB5F3" w14:textId="6FC5C3BC" w:rsidR="00653FB1" w:rsidRDefault="00653FB1" w:rsidP="00653FB1">
      <w:r w:rsidRPr="008A37A5">
        <w:t xml:space="preserve">Following the announcement of machinery of government changes, </w:t>
      </w:r>
      <w:r w:rsidR="006764FA">
        <w:t xml:space="preserve">Accountable Officers of </w:t>
      </w:r>
      <w:r w:rsidRPr="008A37A5">
        <w:t xml:space="preserve">Portfolio Departments should endeavour to facilitate the making of new </w:t>
      </w:r>
      <w:r w:rsidR="005123FE">
        <w:t>deleg</w:t>
      </w:r>
      <w:r>
        <w:t>ations</w:t>
      </w:r>
      <w:r w:rsidRPr="008A37A5">
        <w:t xml:space="preserve"> to ensure they are in place from the effective date of the proposed changes.</w:t>
      </w:r>
    </w:p>
    <w:p w14:paraId="10F2F2B8" w14:textId="3892C16D" w:rsidR="006764FA" w:rsidRDefault="006764FA" w:rsidP="00653FB1">
      <w:r>
        <w:t>This is essential where new responsibilities have been assigned to the Portfolio Department in consequence of the machinery of government changes. Delegations previously given to employees engaged in those responsibilities by the Secretary (Accountable Officer) of the Portfolio Department from which the responsibilities have been transferred will cease to be effective from the date of the transfer. This occurs because the Secretary of that Portfolio Department no longer has any powers or duties relating to those transferred responsibilities, and therefore has no authority to delegate with respect to them.</w:t>
      </w:r>
    </w:p>
    <w:p w14:paraId="3AE5AD3E" w14:textId="08B8BA30" w:rsidR="006764FA" w:rsidRPr="008A37A5" w:rsidRDefault="006764FA" w:rsidP="00653FB1">
      <w:r>
        <w:t xml:space="preserve">It is not </w:t>
      </w:r>
      <w:r w:rsidR="00B11A4F">
        <w:t xml:space="preserve">legally </w:t>
      </w:r>
      <w:r>
        <w:t>necessary</w:t>
      </w:r>
      <w:r w:rsidR="00B942D1">
        <w:t xml:space="preserve"> for the Secretary of a Portfolio Department to revoke formally delegations relating to responsibilities which have been transferred from that Portfolio Department to another. As stated above, those delegations will cease to have effect from the date of the transfer.</w:t>
      </w:r>
      <w:r w:rsidR="009A6B3B">
        <w:t xml:space="preserve"> However, it is good practice to update documentation of delegations by removing from them responsibilities which are no longer within the Portfolio Department, as this avoids confusion</w:t>
      </w:r>
      <w:r w:rsidR="00B11A4F">
        <w:t xml:space="preserve"> as to the scope of a delegate’s duties.</w:t>
      </w:r>
    </w:p>
    <w:p w14:paraId="6E20B256" w14:textId="0D6F57A2" w:rsidR="00653FB1" w:rsidRPr="008A37A5" w:rsidRDefault="00653FB1" w:rsidP="00653FB1">
      <w:pPr>
        <w:pStyle w:val="Heading1NoNum"/>
      </w:pPr>
      <w:r w:rsidRPr="00576F73">
        <w:t>Employees</w:t>
      </w:r>
      <w:r w:rsidRPr="008A37A5">
        <w:t xml:space="preserve"> of the </w:t>
      </w:r>
      <w:r w:rsidR="004F1308">
        <w:t xml:space="preserve">(Victorian </w:t>
      </w:r>
      <w:r w:rsidRPr="008A37A5">
        <w:t>Public Sector</w:t>
      </w:r>
      <w:r w:rsidR="004F1308">
        <w:t>)</w:t>
      </w:r>
      <w:r w:rsidRPr="008A37A5">
        <w:t xml:space="preserve"> Agency</w:t>
      </w:r>
    </w:p>
    <w:p w14:paraId="77667FE1" w14:textId="27434580" w:rsidR="00653FB1" w:rsidRDefault="00653FB1" w:rsidP="00653FB1">
      <w:r>
        <w:t xml:space="preserve">Direction </w:t>
      </w:r>
      <w:r w:rsidR="00B942D1">
        <w:t>2.5</w:t>
      </w:r>
      <w:r>
        <w:t>(</w:t>
      </w:r>
      <w:r w:rsidR="00B942D1">
        <w:t>c</w:t>
      </w:r>
      <w:r>
        <w:t>)(</w:t>
      </w:r>
      <w:r w:rsidR="00B942D1">
        <w:t>i</w:t>
      </w:r>
      <w:r>
        <w:t xml:space="preserve">) requires that </w:t>
      </w:r>
      <w:r w:rsidR="00B942D1">
        <w:t>delegates</w:t>
      </w:r>
      <w:r>
        <w:t xml:space="preserve"> </w:t>
      </w:r>
      <w:r w:rsidRPr="008A37A5">
        <w:t>are to be employees of the Agency</w:t>
      </w:r>
      <w:r w:rsidR="00BB499D">
        <w:t>, subject to Direction 2.5(d)</w:t>
      </w:r>
      <w:r w:rsidRPr="008A37A5">
        <w:t>. For differences between employee</w:t>
      </w:r>
      <w:r>
        <w:t>s</w:t>
      </w:r>
      <w:r w:rsidRPr="008A37A5">
        <w:t xml:space="preserve">, contractors and consultants, refer to Victorian Public Sector Commission’s </w:t>
      </w:r>
      <w:hyperlink r:id="rId114" w:history="1">
        <w:r w:rsidRPr="008A37A5">
          <w:rPr>
            <w:color w:val="595959" w:themeColor="text1" w:themeTint="A6"/>
          </w:rPr>
          <w:t>Guidance for Managers Engaging Contractors and Consultants to Perform a Public Sector Function</w:t>
        </w:r>
      </w:hyperlink>
      <w:r>
        <w:rPr>
          <w:rStyle w:val="FootnoteReference"/>
          <w:color w:val="595959" w:themeColor="text1" w:themeTint="A6"/>
        </w:rPr>
        <w:footnoteReference w:id="9"/>
      </w:r>
      <w:r w:rsidRPr="008A37A5">
        <w:t xml:space="preserve">. </w:t>
      </w:r>
    </w:p>
    <w:p w14:paraId="6503382A" w14:textId="4B616F23" w:rsidR="004A7391" w:rsidRDefault="00BB499D" w:rsidP="00653FB1">
      <w:r>
        <w:t xml:space="preserve">Direction 2.5(d) provides that </w:t>
      </w:r>
      <w:r w:rsidR="00F31A3A">
        <w:t>four</w:t>
      </w:r>
      <w:r>
        <w:t xml:space="preserve"> categories of persons who are not employees of an Agency may be provided with delegation authority by the Responsible Body, Accountable Officer or CFO</w:t>
      </w:r>
      <w:proofErr w:type="gramStart"/>
      <w:r>
        <w:t>, as the case may be, of</w:t>
      </w:r>
      <w:proofErr w:type="gramEnd"/>
      <w:r>
        <w:t xml:space="preserve"> that Agency. For example</w:t>
      </w:r>
      <w:r w:rsidR="00653FB1">
        <w:t xml:space="preserve">, Direction 2.4.6.4 requires that the CFO of a Portfolio Department be an employee of DTF. Accordingly, Direction </w:t>
      </w:r>
      <w:r w:rsidR="00B942D1">
        <w:t>2.5</w:t>
      </w:r>
      <w:r>
        <w:t>(d)(i)</w:t>
      </w:r>
      <w:r w:rsidR="00653FB1">
        <w:t xml:space="preserve"> specifically provides that for </w:t>
      </w:r>
      <w:r w:rsidR="00B942D1">
        <w:t>deleg</w:t>
      </w:r>
      <w:r w:rsidR="00653FB1">
        <w:t>ation purposes, the Portfolio Department CFO is considered to be an employee of the Portfolio Department.</w:t>
      </w:r>
      <w:r>
        <w:t xml:space="preserve"> Similarly, Direction 2.5(d)(ii) and (iii) provide </w:t>
      </w:r>
      <w:proofErr w:type="gramStart"/>
      <w:r>
        <w:t>that employees of one Agency</w:t>
      </w:r>
      <w:proofErr w:type="gramEnd"/>
      <w:r>
        <w:t xml:space="preserve"> seconded to another Agency, or undertaking responsibilities for another Agency under a formal agreement between the two Agencies, may be considered to be an employee of the second Agency for delegation purposes.</w:t>
      </w:r>
      <w:r w:rsidR="004A7391">
        <w:t xml:space="preserve"> </w:t>
      </w:r>
    </w:p>
    <w:p w14:paraId="4EA1660A" w14:textId="77777777" w:rsidR="00CF5F9B" w:rsidRDefault="004A7391" w:rsidP="00653FB1">
      <w:r>
        <w:t xml:space="preserve">Direction 2.5(d)(iv) provides that Administrative Office Heads, executives and employees may also be considered to be an employee of the relevant Agency for delegation purposes. The relevant agency in this instance is the Department to which the Administrative Office is established under the </w:t>
      </w:r>
      <w:r>
        <w:rPr>
          <w:i/>
          <w:iCs/>
        </w:rPr>
        <w:t>Public Administration Act 2004</w:t>
      </w:r>
      <w:r>
        <w:t xml:space="preserve">. The Governor in Council may change the Department in relation to which the Administrative Office is established. This is done by an Order made under section 11 of the </w:t>
      </w:r>
      <w:r>
        <w:rPr>
          <w:i/>
          <w:iCs/>
        </w:rPr>
        <w:t>Public Administration Act 2004</w:t>
      </w:r>
      <w:r>
        <w:t xml:space="preserve"> and is published in the Victorian Government Gazette. </w:t>
      </w:r>
      <w:r w:rsidR="00EF7635">
        <w:t xml:space="preserve"> </w:t>
      </w:r>
    </w:p>
    <w:p w14:paraId="4EDB3E78" w14:textId="4CBA3394" w:rsidR="00EF7635" w:rsidRDefault="00EF7635" w:rsidP="00653FB1">
      <w:r>
        <w:t>It should be noted that in each case set out in Direction 2.5(d)</w:t>
      </w:r>
      <w:r w:rsidR="00D778F3">
        <w:t>(i) to (iii)</w:t>
      </w:r>
      <w:r>
        <w:t xml:space="preserve">, the person </w:t>
      </w:r>
      <w:r w:rsidRPr="00EF7635">
        <w:rPr>
          <w:u w:val="single"/>
        </w:rPr>
        <w:t>must</w:t>
      </w:r>
      <w:r>
        <w:t xml:space="preserve"> be an employee of the first Agency (i.e. DTF in the case of a Portfolio Department CFO).</w:t>
      </w:r>
    </w:p>
    <w:p w14:paraId="56F8DCD6" w14:textId="72222766" w:rsidR="00EF7635" w:rsidRDefault="00EF7635" w:rsidP="00653FB1">
      <w:r>
        <w:t xml:space="preserve">The conditions set out in Direction 2.5(b) regarding accountability, oversight, appropriateness, recording, review and updating of delegations continue to apply to </w:t>
      </w:r>
      <w:r w:rsidRPr="00EF7635">
        <w:rPr>
          <w:u w:val="single"/>
        </w:rPr>
        <w:t>all</w:t>
      </w:r>
      <w:r>
        <w:t xml:space="preserve"> delegations </w:t>
      </w:r>
      <w:r w:rsidRPr="00EF7635">
        <w:rPr>
          <w:u w:val="single"/>
        </w:rPr>
        <w:t>including</w:t>
      </w:r>
      <w:r>
        <w:t xml:space="preserve"> those to which Direction 2.5(d) applies.</w:t>
      </w:r>
    </w:p>
    <w:p w14:paraId="1611A6FE" w14:textId="502A2F04" w:rsidR="00653FB1" w:rsidRDefault="00653FB1" w:rsidP="00653FB1">
      <w:r>
        <w:t>If the Responsible Body</w:t>
      </w:r>
      <w:r w:rsidR="00B942D1">
        <w:t>, Accountable Officer</w:t>
      </w:r>
      <w:r>
        <w:t xml:space="preserve"> </w:t>
      </w:r>
      <w:r w:rsidR="00B942D1">
        <w:t xml:space="preserve">or CFO </w:t>
      </w:r>
      <w:r>
        <w:t xml:space="preserve">for an Agency considers that in particular circumstances it is necessary to give a </w:t>
      </w:r>
      <w:r w:rsidR="00B942D1">
        <w:t>deleg</w:t>
      </w:r>
      <w:r>
        <w:t>ation to a contractor or other non-employee, the Responsible Body</w:t>
      </w:r>
      <w:r w:rsidR="00B942D1">
        <w:t>, Accountable Officer or CFO</w:t>
      </w:r>
      <w:r>
        <w:t xml:space="preserve"> must apply under Direction 1.5 for an exemption from Direction </w:t>
      </w:r>
      <w:r w:rsidR="00B942D1">
        <w:t>2.5</w:t>
      </w:r>
      <w:r>
        <w:t>(</w:t>
      </w:r>
      <w:r w:rsidR="00B942D1">
        <w:t>c</w:t>
      </w:r>
      <w:r>
        <w:t>)(</w:t>
      </w:r>
      <w:r w:rsidR="00B942D1">
        <w:t>i</w:t>
      </w:r>
      <w:r>
        <w:t>).</w:t>
      </w:r>
    </w:p>
    <w:p w14:paraId="3E400DC7" w14:textId="77777777" w:rsidR="00653FB1" w:rsidRPr="008A37A5" w:rsidRDefault="00653FB1" w:rsidP="00653FB1">
      <w:pPr>
        <w:pStyle w:val="Heading1NoNum"/>
      </w:pPr>
      <w:r w:rsidRPr="008A37A5">
        <w:t>Further information</w:t>
      </w:r>
    </w:p>
    <w:p w14:paraId="3A5D6B47" w14:textId="5F2A7469" w:rsidR="00653FB1" w:rsidRDefault="00653FB1" w:rsidP="00653FB1">
      <w:r w:rsidRPr="008A37A5">
        <w:t xml:space="preserve">For more information on </w:t>
      </w:r>
      <w:r w:rsidR="00B942D1">
        <w:t>deleg</w:t>
      </w:r>
      <w:r>
        <w:t>ations</w:t>
      </w:r>
      <w:r w:rsidRPr="008A37A5">
        <w:t xml:space="preserve">, please visit the </w:t>
      </w:r>
      <w:hyperlink r:id="rId115" w:history="1">
        <w:r w:rsidRPr="008A37A5">
          <w:rPr>
            <w:color w:val="595959" w:themeColor="text1" w:themeTint="A6"/>
          </w:rPr>
          <w:t>Victorian Public Sector Commission’s website</w:t>
        </w:r>
      </w:hyperlink>
      <w:r>
        <w:rPr>
          <w:rStyle w:val="FootnoteReference"/>
          <w:color w:val="595959" w:themeColor="text1" w:themeTint="A6"/>
        </w:rPr>
        <w:footnoteReference w:id="10"/>
      </w:r>
      <w:r w:rsidRPr="008A37A5">
        <w:t>.</w:t>
      </w:r>
    </w:p>
    <w:p w14:paraId="0DBF5399" w14:textId="77777777" w:rsidR="00160910" w:rsidRDefault="00160910" w:rsidP="00D445FC"/>
    <w:p w14:paraId="6E61D29B" w14:textId="77777777" w:rsidR="00E862D1" w:rsidRDefault="00E862D1">
      <w:pPr>
        <w:spacing w:before="0" w:after="200" w:line="276" w:lineRule="auto"/>
        <w:rPr>
          <w:color w:val="404040"/>
          <w:sz w:val="28"/>
          <w:szCs w:val="28"/>
        </w:rPr>
        <w:sectPr w:rsidR="00E862D1" w:rsidSect="007F1A5E">
          <w:pgSz w:w="11906" w:h="16838"/>
          <w:pgMar w:top="1440" w:right="1008" w:bottom="1440" w:left="1008" w:header="706" w:footer="389" w:gutter="0"/>
          <w:cols w:space="708"/>
          <w:titlePg/>
          <w:docGrid w:linePitch="360"/>
        </w:sectPr>
      </w:pPr>
    </w:p>
    <w:p w14:paraId="39D96A5D" w14:textId="77777777" w:rsidR="00C426D3" w:rsidRPr="00C426D3" w:rsidRDefault="00C426D3" w:rsidP="00107DA3">
      <w:pPr>
        <w:pStyle w:val="GuidanceTitle"/>
      </w:pPr>
      <w:bookmarkStart w:id="20" w:name="Guidance_3_2_1"/>
      <w:bookmarkStart w:id="21" w:name="_Toc441672087"/>
      <w:r w:rsidRPr="00C426D3">
        <w:lastRenderedPageBreak/>
        <w:t>Guidance 3.2.1</w:t>
      </w:r>
      <w:bookmarkEnd w:id="20"/>
      <w:r w:rsidRPr="00C426D3">
        <w:t>– Audit Committee</w:t>
      </w:r>
      <w:bookmarkEnd w:id="21"/>
    </w:p>
    <w:tbl>
      <w:tblPr>
        <w:tblStyle w:val="Table121"/>
        <w:tblW w:w="9900" w:type="dxa"/>
        <w:tblLook w:val="0080" w:firstRow="0" w:lastRow="0" w:firstColumn="1" w:lastColumn="0" w:noHBand="0" w:noVBand="0"/>
      </w:tblPr>
      <w:tblGrid>
        <w:gridCol w:w="3119"/>
        <w:gridCol w:w="6781"/>
      </w:tblGrid>
      <w:tr w:rsidR="00C426D3" w:rsidRPr="00C426D3" w14:paraId="206FA72D"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4D2348B" w14:textId="77777777" w:rsidR="00C426D3" w:rsidRPr="00C426D3" w:rsidRDefault="00C426D3" w:rsidP="00C426D3">
            <w:pPr>
              <w:spacing w:before="60" w:after="60" w:line="252" w:lineRule="auto"/>
              <w:rPr>
                <w:rFonts w:cs="Times New Roman"/>
                <w:b/>
                <w:sz w:val="18"/>
                <w:szCs w:val="20"/>
              </w:rPr>
            </w:pPr>
            <w:r w:rsidRPr="00C426D3">
              <w:rPr>
                <w:rFonts w:cs="Times New Roman"/>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6F36B2A0" w14:textId="77777777" w:rsidR="00C426D3" w:rsidRPr="00C426D3" w:rsidRDefault="00C426D3" w:rsidP="00F0586A">
            <w:pPr>
              <w:spacing w:before="60" w:after="60" w:line="252" w:lineRule="auto"/>
              <w:rPr>
                <w:rFonts w:cs="Times New Roman"/>
                <w:bCs/>
                <w:sz w:val="18"/>
                <w:szCs w:val="20"/>
              </w:rPr>
            </w:pPr>
            <w:r w:rsidRPr="00C426D3">
              <w:rPr>
                <w:rFonts w:cs="Times New Roman"/>
                <w:bCs/>
                <w:sz w:val="18"/>
                <w:szCs w:val="20"/>
              </w:rPr>
              <w:t>Provides further guidance on the role of the Audit Committee, including a description of</w:t>
            </w:r>
            <w:r w:rsidR="00F0586A">
              <w:rPr>
                <w:rFonts w:cs="Times New Roman"/>
                <w:bCs/>
                <w:sz w:val="18"/>
                <w:szCs w:val="20"/>
              </w:rPr>
              <w:t xml:space="preserve"> what should be included in an Audit C</w:t>
            </w:r>
            <w:r w:rsidRPr="00C426D3">
              <w:rPr>
                <w:rFonts w:cs="Times New Roman"/>
                <w:bCs/>
                <w:sz w:val="18"/>
                <w:szCs w:val="20"/>
              </w:rPr>
              <w:t xml:space="preserve">ommittee charter, a definition of appropriate skills and experience of an </w:t>
            </w:r>
            <w:r w:rsidR="00F0586A">
              <w:rPr>
                <w:rFonts w:cs="Times New Roman"/>
                <w:bCs/>
                <w:sz w:val="18"/>
                <w:szCs w:val="20"/>
              </w:rPr>
              <w:t>Audit C</w:t>
            </w:r>
            <w:r w:rsidRPr="00C426D3">
              <w:rPr>
                <w:rFonts w:cs="Times New Roman"/>
                <w:bCs/>
                <w:sz w:val="18"/>
                <w:szCs w:val="20"/>
              </w:rPr>
              <w:t>ommittee member, and what constitutes an independent member.</w:t>
            </w:r>
          </w:p>
        </w:tc>
      </w:tr>
      <w:tr w:rsidR="00C426D3" w:rsidRPr="00C426D3" w14:paraId="7D9362D5"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66D3758" w14:textId="77777777" w:rsidR="00C426D3" w:rsidRPr="00C426D3" w:rsidRDefault="00C426D3" w:rsidP="00C426D3">
            <w:pPr>
              <w:spacing w:before="60" w:after="60" w:line="252" w:lineRule="auto"/>
              <w:rPr>
                <w:rFonts w:cs="Times New Roman"/>
                <w:b/>
                <w:sz w:val="18"/>
                <w:szCs w:val="20"/>
              </w:rPr>
            </w:pPr>
            <w:r w:rsidRPr="00C426D3">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56F12E8B" w14:textId="77777777" w:rsidR="00C426D3" w:rsidRPr="00C426D3" w:rsidRDefault="00C426D3" w:rsidP="00C426D3">
            <w:pPr>
              <w:spacing w:before="60" w:after="60" w:line="252" w:lineRule="auto"/>
              <w:rPr>
                <w:rFonts w:cs="Times New Roman"/>
                <w:bCs/>
                <w:sz w:val="18"/>
                <w:szCs w:val="20"/>
              </w:rPr>
            </w:pPr>
            <w:r w:rsidRPr="00C426D3">
              <w:rPr>
                <w:rFonts w:cs="Times New Roman"/>
                <w:bCs/>
                <w:sz w:val="18"/>
                <w:szCs w:val="20"/>
              </w:rPr>
              <w:t>1 July 2016</w:t>
            </w:r>
          </w:p>
        </w:tc>
      </w:tr>
      <w:tr w:rsidR="00C426D3" w:rsidRPr="00C426D3" w14:paraId="4790F5D0"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A438B81" w14:textId="77777777" w:rsidR="00C426D3" w:rsidRPr="00C426D3" w:rsidRDefault="00C426D3" w:rsidP="002A7DE1">
            <w:pPr>
              <w:spacing w:before="60" w:after="60" w:line="252" w:lineRule="auto"/>
              <w:rPr>
                <w:rFonts w:cs="Times New Roman"/>
                <w:b/>
                <w:sz w:val="18"/>
                <w:szCs w:val="20"/>
              </w:rPr>
            </w:pPr>
            <w:r w:rsidRPr="00C426D3">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2C4B8CBC" w14:textId="53094D81" w:rsidR="00C426D3" w:rsidRPr="00C426D3" w:rsidRDefault="00C426D3" w:rsidP="00C426D3">
            <w:pPr>
              <w:spacing w:before="60" w:after="60" w:line="252" w:lineRule="auto"/>
              <w:rPr>
                <w:rFonts w:cs="Times New Roman"/>
                <w:bCs/>
                <w:sz w:val="18"/>
                <w:szCs w:val="20"/>
              </w:rPr>
            </w:pPr>
            <w:hyperlink r:id="rId116" w:anchor="standing-directions-2018" w:history="1">
              <w:r w:rsidRPr="00AC7759">
                <w:rPr>
                  <w:rStyle w:val="Hyperlink"/>
                  <w:rFonts w:cs="Times New Roman"/>
                  <w:bCs/>
                  <w:sz w:val="18"/>
                  <w:szCs w:val="20"/>
                </w:rPr>
                <w:t>3.2.1 Audit Committee</w:t>
              </w:r>
            </w:hyperlink>
          </w:p>
          <w:p w14:paraId="6962DCF7" w14:textId="4A5FD98E" w:rsidR="00C426D3" w:rsidRPr="00C426D3" w:rsidRDefault="00C426D3" w:rsidP="00C426D3">
            <w:pPr>
              <w:spacing w:before="60" w:after="60" w:line="252" w:lineRule="auto"/>
              <w:rPr>
                <w:rFonts w:cs="Times New Roman"/>
                <w:bCs/>
                <w:sz w:val="18"/>
                <w:szCs w:val="20"/>
              </w:rPr>
            </w:pPr>
            <w:hyperlink r:id="rId117" w:anchor="standing-directions-2018" w:history="1">
              <w:r w:rsidRPr="00AC7759">
                <w:rPr>
                  <w:rStyle w:val="Hyperlink"/>
                  <w:rFonts w:cs="Times New Roman"/>
                  <w:bCs/>
                  <w:sz w:val="18"/>
                  <w:szCs w:val="20"/>
                </w:rPr>
                <w:t>3.2.2 Internal audit</w:t>
              </w:r>
            </w:hyperlink>
            <w:r w:rsidRPr="00C426D3">
              <w:rPr>
                <w:rFonts w:cs="Times New Roman"/>
                <w:bCs/>
                <w:sz w:val="18"/>
                <w:szCs w:val="20"/>
              </w:rPr>
              <w:t xml:space="preserve"> </w:t>
            </w:r>
          </w:p>
          <w:p w14:paraId="10C3D350" w14:textId="4C1E09DB" w:rsidR="00C426D3" w:rsidRPr="00C426D3" w:rsidRDefault="00C426D3" w:rsidP="00C426D3">
            <w:pPr>
              <w:spacing w:before="60" w:after="60" w:line="252" w:lineRule="auto"/>
              <w:rPr>
                <w:rFonts w:cs="Times New Roman"/>
                <w:bCs/>
                <w:sz w:val="18"/>
                <w:szCs w:val="20"/>
              </w:rPr>
            </w:pPr>
            <w:hyperlink r:id="rId118" w:anchor="standing-directions-2018" w:history="1">
              <w:r w:rsidRPr="00AC7759">
                <w:rPr>
                  <w:rStyle w:val="Hyperlink"/>
                  <w:rFonts w:cs="Times New Roman"/>
                  <w:bCs/>
                  <w:sz w:val="18"/>
                  <w:szCs w:val="20"/>
                </w:rPr>
                <w:t>3.4 Internal control system</w:t>
              </w:r>
            </w:hyperlink>
          </w:p>
          <w:p w14:paraId="438E66E6" w14:textId="372976C7" w:rsidR="00C426D3" w:rsidRPr="00C426D3" w:rsidRDefault="00C426D3" w:rsidP="00C426D3">
            <w:pPr>
              <w:spacing w:before="60" w:after="60" w:line="252" w:lineRule="auto"/>
              <w:rPr>
                <w:rFonts w:cs="Times New Roman"/>
                <w:bCs/>
                <w:sz w:val="18"/>
                <w:szCs w:val="20"/>
              </w:rPr>
            </w:pPr>
            <w:hyperlink r:id="rId119" w:anchor="standing-directions-2018" w:history="1">
              <w:r w:rsidRPr="00AC7759">
                <w:rPr>
                  <w:rStyle w:val="Hyperlink"/>
                  <w:rFonts w:cs="Times New Roman"/>
                  <w:bCs/>
                  <w:sz w:val="18"/>
                  <w:szCs w:val="20"/>
                </w:rPr>
                <w:t>3.7 Managing risk</w:t>
              </w:r>
            </w:hyperlink>
          </w:p>
          <w:p w14:paraId="490E604B" w14:textId="26771962" w:rsidR="00C426D3" w:rsidRPr="00C426D3" w:rsidRDefault="00C426D3" w:rsidP="00C426D3">
            <w:pPr>
              <w:spacing w:before="60" w:after="60" w:line="252" w:lineRule="auto"/>
              <w:rPr>
                <w:rFonts w:cs="Times New Roman"/>
                <w:bCs/>
                <w:sz w:val="18"/>
                <w:szCs w:val="20"/>
              </w:rPr>
            </w:pPr>
            <w:hyperlink r:id="rId120" w:anchor="standing-directions-2018" w:history="1">
              <w:r w:rsidRPr="00AC7759">
                <w:rPr>
                  <w:rStyle w:val="Hyperlink"/>
                  <w:rFonts w:cs="Times New Roman"/>
                  <w:bCs/>
                  <w:sz w:val="18"/>
                  <w:szCs w:val="20"/>
                </w:rPr>
                <w:t>5.1 Financial management compliance</w:t>
              </w:r>
            </w:hyperlink>
          </w:p>
        </w:tc>
      </w:tr>
      <w:tr w:rsidR="00C426D3" w:rsidRPr="00C426D3" w14:paraId="741BEB94"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F32FADD" w14:textId="77777777" w:rsidR="00C426D3" w:rsidRPr="00C426D3" w:rsidRDefault="00C426D3" w:rsidP="00C426D3">
            <w:pPr>
              <w:spacing w:before="60" w:after="60" w:line="252" w:lineRule="auto"/>
              <w:rPr>
                <w:rFonts w:cs="Times New Roman"/>
                <w:b/>
                <w:sz w:val="18"/>
                <w:szCs w:val="20"/>
              </w:rPr>
            </w:pPr>
            <w:r w:rsidRPr="00C426D3">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01CEC303" w14:textId="7364A634" w:rsidR="00C426D3" w:rsidRPr="00C426D3" w:rsidRDefault="00023D2C" w:rsidP="00C426D3">
            <w:pPr>
              <w:spacing w:before="60" w:after="60" w:line="252" w:lineRule="auto"/>
              <w:rPr>
                <w:rFonts w:cs="Times New Roman"/>
                <w:bCs/>
                <w:sz w:val="18"/>
                <w:szCs w:val="20"/>
              </w:rPr>
            </w:pPr>
            <w:r>
              <w:rPr>
                <w:rFonts w:cs="Times New Roman"/>
                <w:bCs/>
                <w:sz w:val="18"/>
                <w:szCs w:val="20"/>
              </w:rPr>
              <w:t>12 August</w:t>
            </w:r>
            <w:r w:rsidR="00A004C4">
              <w:rPr>
                <w:rFonts w:cs="Times New Roman"/>
                <w:bCs/>
                <w:sz w:val="18"/>
                <w:szCs w:val="20"/>
              </w:rPr>
              <w:t xml:space="preserve"> 2022</w:t>
            </w:r>
          </w:p>
        </w:tc>
      </w:tr>
    </w:tbl>
    <w:p w14:paraId="65952148" w14:textId="77777777" w:rsidR="00CA6CEE" w:rsidRDefault="00CA6CEE" w:rsidP="00CA6CEE">
      <w:pPr>
        <w:pStyle w:val="Spacer"/>
      </w:pPr>
    </w:p>
    <w:p w14:paraId="6E299463" w14:textId="38AD25EF" w:rsidR="00C426D3" w:rsidRPr="00C426D3" w:rsidRDefault="00C426D3" w:rsidP="00D94C7A">
      <w:pPr>
        <w:pStyle w:val="Heading1NoNum"/>
      </w:pPr>
      <w:r w:rsidRPr="00C426D3">
        <w:t xml:space="preserve">Assess the effectiveness of the financial reporting control framework </w:t>
      </w:r>
    </w:p>
    <w:p w14:paraId="4C2E820A" w14:textId="77777777" w:rsidR="00C426D3" w:rsidRPr="00C426D3" w:rsidRDefault="00C426D3" w:rsidP="008E306C">
      <w:r w:rsidRPr="00C426D3">
        <w:t xml:space="preserve">Safeguarding the integrity of Agency financial reporting includes two important and interrelated roles for the Audit Committee. These are to independently assess the financial statements for completeness, consistency and conformity with Accounting Standards, and to regularly review the related financial policies, systems and processes. </w:t>
      </w:r>
    </w:p>
    <w:p w14:paraId="2F3F9F03" w14:textId="77777777" w:rsidR="00C426D3" w:rsidRPr="00C426D3" w:rsidRDefault="00C426D3" w:rsidP="008E306C">
      <w:r w:rsidRPr="00C426D3">
        <w:t xml:space="preserve">The internal audit strategic plan and annual work program should include reviews of the effectiveness and efficiency of Agency financial systems and processes. </w:t>
      </w:r>
    </w:p>
    <w:p w14:paraId="36C406B7" w14:textId="77777777" w:rsidR="00C426D3" w:rsidRPr="00C426D3" w:rsidRDefault="00C426D3" w:rsidP="008E306C">
      <w:r w:rsidRPr="00C426D3">
        <w:t xml:space="preserve">Such reviews, together with ongoing management and internal or external audit advice of significant issues that may affect the financial statements should enable the Audit Committee to assess whether the internal control systems are working, issues are adequately resolved, and the financial statements can be produced to present a true and fair view of the Agency’s financial position and performance. </w:t>
      </w:r>
    </w:p>
    <w:p w14:paraId="19425F0B" w14:textId="77777777" w:rsidR="00C426D3" w:rsidRPr="00C426D3" w:rsidRDefault="00C426D3" w:rsidP="008E306C">
      <w:r w:rsidRPr="00C426D3">
        <w:t>Management is responsible for the production of Agen</w:t>
      </w:r>
      <w:r w:rsidR="00FB6728">
        <w:t>cy financial statements</w:t>
      </w:r>
      <w:r w:rsidR="00BD1721">
        <w:t>/reports</w:t>
      </w:r>
      <w:r w:rsidR="00FB6728">
        <w:t>. The CF</w:t>
      </w:r>
      <w:r w:rsidRPr="00C426D3">
        <w:t>O is to provide a declaration to the Audit Committee that</w:t>
      </w:r>
      <w:r w:rsidR="00BD1721">
        <w:t xml:space="preserve"> the Agency’s</w:t>
      </w:r>
      <w:r w:rsidRPr="00C426D3">
        <w:t>:</w:t>
      </w:r>
    </w:p>
    <w:p w14:paraId="2244E431" w14:textId="77777777" w:rsidR="0039220A" w:rsidRPr="00354AB3" w:rsidRDefault="0039220A" w:rsidP="000B15FD">
      <w:pPr>
        <w:pStyle w:val="GuidanceBullet1"/>
        <w:numPr>
          <w:ilvl w:val="0"/>
          <w:numId w:val="39"/>
        </w:numPr>
      </w:pPr>
      <w:r w:rsidRPr="00354AB3">
        <w:t>financial reports (estimates and actuals) present fairly</w:t>
      </w:r>
      <w:r>
        <w:t xml:space="preserve">, and </w:t>
      </w:r>
      <w:r w:rsidRPr="00C202ED">
        <w:t>in acco</w:t>
      </w:r>
      <w:r w:rsidRPr="00FA580F">
        <w:t xml:space="preserve">rdance with </w:t>
      </w:r>
      <w:r>
        <w:t xml:space="preserve">applicable </w:t>
      </w:r>
      <w:r w:rsidRPr="00FA580F">
        <w:t xml:space="preserve">Australian </w:t>
      </w:r>
      <w:r>
        <w:t>A</w:t>
      </w:r>
      <w:r w:rsidRPr="00FA580F">
        <w:t xml:space="preserve">ccounting </w:t>
      </w:r>
      <w:r>
        <w:t>S</w:t>
      </w:r>
      <w:r w:rsidRPr="00C202ED">
        <w:t>tandards and the FMA</w:t>
      </w:r>
      <w:r w:rsidRPr="00354AB3">
        <w:t>, the Agency’s financial position and operating results;</w:t>
      </w:r>
    </w:p>
    <w:p w14:paraId="47F2F24F" w14:textId="77777777" w:rsidR="0039220A" w:rsidRPr="00354AB3" w:rsidRDefault="0039220A" w:rsidP="000B15FD">
      <w:pPr>
        <w:pStyle w:val="GuidanceBullet1"/>
        <w:numPr>
          <w:ilvl w:val="0"/>
          <w:numId w:val="39"/>
        </w:numPr>
      </w:pPr>
      <w:r w:rsidRPr="00354AB3">
        <w:t xml:space="preserve">financial reports (estimates and actuals) are founded on a sound system of risk management and internal compliance and control that implements the policies adopted by the </w:t>
      </w:r>
      <w:r>
        <w:t>Agency</w:t>
      </w:r>
      <w:r w:rsidRPr="00354AB3">
        <w:t>; and</w:t>
      </w:r>
    </w:p>
    <w:p w14:paraId="4E46979E" w14:textId="77777777" w:rsidR="00C426D3" w:rsidRPr="007E29D8" w:rsidRDefault="0039220A" w:rsidP="000B15FD">
      <w:pPr>
        <w:pStyle w:val="GuidanceBullet1"/>
        <w:numPr>
          <w:ilvl w:val="0"/>
          <w:numId w:val="39"/>
        </w:numPr>
      </w:pPr>
      <w:r>
        <w:t>systems and controls for</w:t>
      </w:r>
      <w:r w:rsidRPr="00E854F4">
        <w:t xml:space="preserve"> financial management, pe</w:t>
      </w:r>
      <w:r>
        <w:t xml:space="preserve">rformance and sustainability </w:t>
      </w:r>
      <w:r w:rsidRPr="00354AB3">
        <w:t>are operating efficiently and effectively in all material respects</w:t>
      </w:r>
      <w:r w:rsidR="00C426D3" w:rsidRPr="007E29D8">
        <w:t>.</w:t>
      </w:r>
    </w:p>
    <w:p w14:paraId="053356DA" w14:textId="77777777" w:rsidR="00C426D3" w:rsidRDefault="00C426D3" w:rsidP="008E306C">
      <w:r w:rsidRPr="00C426D3">
        <w:t xml:space="preserve">The Audit Committee reviews the financial statements using its knowledge of the entity, skills in financial accounting, outcomes of internal and external audits of financial </w:t>
      </w:r>
      <w:r w:rsidR="0053201D">
        <w:t xml:space="preserve">management </w:t>
      </w:r>
      <w:r w:rsidRPr="00C426D3">
        <w:t>policies, systems and processes a</w:t>
      </w:r>
      <w:r w:rsidR="00FB6728">
        <w:t>nd the explanations from the CF</w:t>
      </w:r>
      <w:r w:rsidRPr="00C426D3">
        <w:t>O. This enables the Audit Committee to advise the Responsible Body whether the financial statements presents fairly, in all material aspects, the Agency’s financial position and performance.</w:t>
      </w:r>
    </w:p>
    <w:p w14:paraId="71CACD26" w14:textId="77777777" w:rsidR="00CA6CEE" w:rsidRDefault="00CA6CEE">
      <w:pPr>
        <w:spacing w:before="0" w:after="200" w:line="276" w:lineRule="auto"/>
        <w:rPr>
          <w:color w:val="404040"/>
          <w:sz w:val="28"/>
          <w:szCs w:val="28"/>
        </w:rPr>
      </w:pPr>
      <w:r>
        <w:br w:type="page"/>
      </w:r>
    </w:p>
    <w:p w14:paraId="1D97A37E" w14:textId="252AB0BB" w:rsidR="00C426D3" w:rsidRPr="00C426D3" w:rsidRDefault="00C426D3" w:rsidP="00D94C7A">
      <w:pPr>
        <w:pStyle w:val="Heading1NoNum"/>
      </w:pPr>
      <w:r w:rsidRPr="00C426D3">
        <w:lastRenderedPageBreak/>
        <w:t xml:space="preserve">Review and assess the effectiveness of systems </w:t>
      </w:r>
      <w:r w:rsidR="00CB1687">
        <w:t>and controls</w:t>
      </w:r>
      <w:r w:rsidRPr="00C426D3">
        <w:t xml:space="preserve"> </w:t>
      </w:r>
    </w:p>
    <w:p w14:paraId="5D67D863" w14:textId="6078D4E1" w:rsidR="00C426D3" w:rsidRPr="00C426D3" w:rsidRDefault="00C426D3" w:rsidP="008E306C">
      <w:r w:rsidRPr="00C426D3">
        <w:t xml:space="preserve">A key role for the Audit Committee is to review and assess the effectiveness of a range of systems, processes and controls </w:t>
      </w:r>
      <w:r w:rsidR="00554FC8">
        <w:t xml:space="preserve">under </w:t>
      </w:r>
      <w:hyperlink r:id="rId121" w:anchor="standing-directions-2018" w:history="1">
        <w:r w:rsidR="00554FC8" w:rsidRPr="0051115B">
          <w:rPr>
            <w:rStyle w:val="Hyperlink"/>
          </w:rPr>
          <w:t>Direction 3.2.1.1</w:t>
        </w:r>
      </w:hyperlink>
      <w:r w:rsidRPr="00C426D3">
        <w:t xml:space="preserve">. </w:t>
      </w:r>
    </w:p>
    <w:p w14:paraId="73E52FF8" w14:textId="152A3AA6" w:rsidR="00C426D3" w:rsidRDefault="00C426D3" w:rsidP="008E306C">
      <w:pPr>
        <w:rPr>
          <w:color w:val="595959" w:themeColor="text1" w:themeTint="A6"/>
        </w:rPr>
      </w:pPr>
      <w:r w:rsidRPr="00C426D3">
        <w:t xml:space="preserve">Further information and checklists on Audit Committee considerations in its review and assessment can be found </w:t>
      </w:r>
      <w:r w:rsidRPr="00521AAC">
        <w:t xml:space="preserve">in </w:t>
      </w:r>
      <w:hyperlink r:id="rId122" w:history="1">
        <w:r w:rsidR="00521AAC" w:rsidRPr="00521AAC">
          <w:rPr>
            <w:color w:val="595959" w:themeColor="text1" w:themeTint="A6"/>
          </w:rPr>
          <w:t>The Australian National Audit Office</w:t>
        </w:r>
        <w:r w:rsidR="00C77CA1">
          <w:rPr>
            <w:color w:val="595959" w:themeColor="text1" w:themeTint="A6"/>
          </w:rPr>
          <w:t xml:space="preserve"> (ANAO)</w:t>
        </w:r>
        <w:r w:rsidR="00521AAC" w:rsidRPr="00521AAC">
          <w:rPr>
            <w:color w:val="595959" w:themeColor="text1" w:themeTint="A6"/>
          </w:rPr>
          <w:t>, Public Sector Audit Committees: Independent assurance and advice for Accountable Authorities</w:t>
        </w:r>
      </w:hyperlink>
      <w:r w:rsidR="007A23FF" w:rsidRPr="00521AAC">
        <w:rPr>
          <w:rStyle w:val="FootnoteReference"/>
          <w:color w:val="595959" w:themeColor="text1" w:themeTint="A6"/>
        </w:rPr>
        <w:footnoteReference w:id="11"/>
      </w:r>
      <w:r w:rsidRPr="00521AAC">
        <w:rPr>
          <w:color w:val="595959" w:themeColor="text1" w:themeTint="A6"/>
        </w:rPr>
        <w:t>.</w:t>
      </w:r>
    </w:p>
    <w:p w14:paraId="1C3DE572" w14:textId="4FF3A3E5" w:rsidR="001C458C" w:rsidRPr="001C458C" w:rsidRDefault="001C458C" w:rsidP="001C458C">
      <w:pPr>
        <w:spacing w:before="0" w:after="200" w:line="276" w:lineRule="auto"/>
        <w:rPr>
          <w:szCs w:val="20"/>
        </w:rPr>
      </w:pPr>
      <w:r w:rsidRPr="001C458C">
        <w:rPr>
          <w:b/>
        </w:rPr>
        <w:t>NOTE:</w:t>
      </w:r>
      <w:r>
        <w:t xml:space="preserve"> </w:t>
      </w:r>
      <w:r w:rsidRPr="001C458C">
        <w:rPr>
          <w:i/>
        </w:rPr>
        <w:t>In 2017 the ANAO</w:t>
      </w:r>
      <w:r w:rsidRPr="001C458C">
        <w:rPr>
          <w:rFonts w:ascii="Arial" w:hAnsi="Arial" w:cs="Arial"/>
          <w:i/>
          <w:color w:val="333333"/>
          <w:sz w:val="25"/>
          <w:szCs w:val="25"/>
          <w:shd w:val="clear" w:color="auto" w:fill="FBFBFB"/>
        </w:rPr>
        <w:t xml:space="preserve"> </w:t>
      </w:r>
      <w:r w:rsidRPr="001C458C">
        <w:rPr>
          <w:i/>
          <w:color w:val="333333"/>
          <w:szCs w:val="20"/>
          <w:shd w:val="clear" w:color="auto" w:fill="FBFBFB"/>
        </w:rPr>
        <w:t>decided to discontinue and cease distribution of a range of better practice guides therefore they are no longer updated but are available via archive links on the ANAO website. Various previous ANAO guidance are referenced throughout this document.</w:t>
      </w:r>
    </w:p>
    <w:p w14:paraId="2FD0F9C6" w14:textId="391589DA" w:rsidR="00C426D3" w:rsidRPr="00C426D3" w:rsidRDefault="00C426D3" w:rsidP="001C458C">
      <w:pPr>
        <w:pStyle w:val="Heading1NoNum"/>
      </w:pPr>
      <w:r w:rsidRPr="00C426D3">
        <w:t>Oversee internal audit activities</w:t>
      </w:r>
    </w:p>
    <w:p w14:paraId="7F0AF898" w14:textId="77777777" w:rsidR="00C426D3" w:rsidRPr="00C426D3" w:rsidRDefault="00554FC8" w:rsidP="008E306C">
      <w:r>
        <w:t>The Audit Committee’s o</w:t>
      </w:r>
      <w:r w:rsidR="00C426D3" w:rsidRPr="00C426D3">
        <w:t xml:space="preserve">versight of internal audit activities should include the following: </w:t>
      </w:r>
    </w:p>
    <w:p w14:paraId="62EFCCFD" w14:textId="77777777" w:rsidR="00C426D3" w:rsidRPr="007E29D8" w:rsidRDefault="00C426D3" w:rsidP="000B15FD">
      <w:pPr>
        <w:pStyle w:val="GuidanceBullet1"/>
        <w:numPr>
          <w:ilvl w:val="0"/>
          <w:numId w:val="40"/>
        </w:numPr>
      </w:pPr>
      <w:r w:rsidRPr="007E29D8">
        <w:t>review of the internal audit charter, resources and budget to determine whether these maintain internal audit’s independence from management, and the function is adequately resourced;</w:t>
      </w:r>
    </w:p>
    <w:p w14:paraId="2497E3CC" w14:textId="77777777" w:rsidR="00C426D3" w:rsidRDefault="00C426D3" w:rsidP="000B15FD">
      <w:pPr>
        <w:pStyle w:val="GuidanceBullet1"/>
        <w:numPr>
          <w:ilvl w:val="0"/>
          <w:numId w:val="40"/>
        </w:numPr>
      </w:pPr>
      <w:r w:rsidRPr="007E29D8">
        <w:t>address all issues of independence and objectivity with the Internal Audit</w:t>
      </w:r>
      <w:r w:rsidR="005547C1">
        <w:t xml:space="preserve"> function</w:t>
      </w:r>
      <w:r w:rsidRPr="007E29D8">
        <w:t>;</w:t>
      </w:r>
    </w:p>
    <w:p w14:paraId="720AD36F" w14:textId="77777777" w:rsidR="00791A16" w:rsidRPr="007E29D8" w:rsidRDefault="00791A16" w:rsidP="000B15FD">
      <w:pPr>
        <w:pStyle w:val="GuidanceBullet1"/>
        <w:numPr>
          <w:ilvl w:val="0"/>
          <w:numId w:val="40"/>
        </w:numPr>
      </w:pPr>
      <w:r>
        <w:t>provide counsel to the agency as part of the agency’s appointment process of the internal auditors;</w:t>
      </w:r>
    </w:p>
    <w:p w14:paraId="245E50B9" w14:textId="77777777" w:rsidR="00C426D3" w:rsidRPr="007E29D8" w:rsidRDefault="00C426D3" w:rsidP="000B15FD">
      <w:pPr>
        <w:pStyle w:val="GuidanceBullet1"/>
        <w:numPr>
          <w:ilvl w:val="0"/>
          <w:numId w:val="40"/>
        </w:numPr>
      </w:pPr>
      <w:r w:rsidRPr="007E29D8">
        <w:t>regular reviews of the adequacy and appropriateness of the rolling strategic internal audit plan and annual internal audit program based on Agency size, complexity and risks;</w:t>
      </w:r>
    </w:p>
    <w:p w14:paraId="514B8560" w14:textId="77777777" w:rsidR="00C426D3" w:rsidRPr="007E29D8" w:rsidRDefault="00C426D3" w:rsidP="000B15FD">
      <w:pPr>
        <w:pStyle w:val="GuidanceBullet1"/>
        <w:numPr>
          <w:ilvl w:val="0"/>
          <w:numId w:val="40"/>
        </w:numPr>
      </w:pPr>
      <w:r w:rsidRPr="007E29D8">
        <w:t>review of the performance (effectiveness and efficiency) of internal audit, including:</w:t>
      </w:r>
    </w:p>
    <w:p w14:paraId="5948883E" w14:textId="77777777" w:rsidR="00C426D3" w:rsidRPr="00CA6CEE" w:rsidRDefault="00C426D3" w:rsidP="00CA6CEE">
      <w:pPr>
        <w:pStyle w:val="GuidanceBullet2"/>
        <w:ind w:left="576" w:hanging="288"/>
        <w:contextualSpacing/>
      </w:pPr>
      <w:r w:rsidRPr="00CA6CEE">
        <w:t>internal audit’s self</w:t>
      </w:r>
      <w:r w:rsidR="00D62B6D" w:rsidRPr="00CA6CEE">
        <w:noBreakHyphen/>
      </w:r>
      <w:r w:rsidRPr="00CA6CEE">
        <w:t xml:space="preserve">assessment of its performance; </w:t>
      </w:r>
    </w:p>
    <w:p w14:paraId="4E9FA098" w14:textId="77777777" w:rsidR="00C426D3" w:rsidRPr="00CA6CEE" w:rsidRDefault="00C426D3" w:rsidP="00CA6CEE">
      <w:pPr>
        <w:pStyle w:val="GuidanceBullet2"/>
        <w:ind w:left="576" w:hanging="288"/>
        <w:contextualSpacing/>
      </w:pPr>
      <w:r w:rsidRPr="00CA6CEE">
        <w:t xml:space="preserve">the quality of internal audit services and reports delivered; </w:t>
      </w:r>
    </w:p>
    <w:p w14:paraId="5CE0BA8A" w14:textId="77777777" w:rsidR="00C426D3" w:rsidRPr="00CA6CEE" w:rsidRDefault="00C426D3" w:rsidP="00CA6CEE">
      <w:pPr>
        <w:pStyle w:val="GuidanceBullet2"/>
        <w:ind w:left="576" w:hanging="288"/>
        <w:contextualSpacing/>
      </w:pPr>
      <w:r w:rsidRPr="00CA6CEE">
        <w:t>progress of the internal audit program; and</w:t>
      </w:r>
    </w:p>
    <w:p w14:paraId="34611960" w14:textId="77777777" w:rsidR="00C426D3" w:rsidRPr="007E29D8" w:rsidRDefault="00C426D3" w:rsidP="00CA6CEE">
      <w:pPr>
        <w:pStyle w:val="GuidanceBullet2"/>
        <w:ind w:left="576" w:hanging="288"/>
        <w:contextualSpacing/>
      </w:pPr>
      <w:r w:rsidRPr="00CA6CEE">
        <w:t>how</w:t>
      </w:r>
      <w:r w:rsidRPr="007E29D8">
        <w:t xml:space="preserve"> internal audit has acquitted against its charter;</w:t>
      </w:r>
    </w:p>
    <w:p w14:paraId="0C17382B" w14:textId="77777777" w:rsidR="00C426D3" w:rsidRPr="007E29D8" w:rsidRDefault="00554FC8" w:rsidP="000B15FD">
      <w:pPr>
        <w:pStyle w:val="GuidanceBullet1"/>
        <w:numPr>
          <w:ilvl w:val="0"/>
          <w:numId w:val="40"/>
        </w:numPr>
      </w:pPr>
      <w:r>
        <w:t>reviewing</w:t>
      </w:r>
      <w:r w:rsidR="00C426D3" w:rsidRPr="007E29D8">
        <w:t xml:space="preserve"> internal audit’s participation in non</w:t>
      </w:r>
      <w:r w:rsidR="00D62B6D">
        <w:noBreakHyphen/>
      </w:r>
      <w:r w:rsidR="00C426D3" w:rsidRPr="007E29D8">
        <w:t>assurance roles to assess potential impairment of independence and alignment with the internal audit program;</w:t>
      </w:r>
    </w:p>
    <w:p w14:paraId="71D27740" w14:textId="77777777" w:rsidR="00C426D3" w:rsidRPr="007E29D8" w:rsidRDefault="00C426D3" w:rsidP="000B15FD">
      <w:pPr>
        <w:pStyle w:val="GuidanceBullet1"/>
        <w:numPr>
          <w:ilvl w:val="0"/>
          <w:numId w:val="40"/>
        </w:numPr>
      </w:pPr>
      <w:r w:rsidRPr="007E29D8">
        <w:t>review all audit reports and provide advice to the Accountable Officer/Responsible Body on significant issues identified and action to be taken on issues raised that are relevant to the Agency;</w:t>
      </w:r>
    </w:p>
    <w:p w14:paraId="3235C3D8" w14:textId="77777777" w:rsidR="00C426D3" w:rsidRPr="007E29D8" w:rsidRDefault="00554FC8" w:rsidP="000B15FD">
      <w:pPr>
        <w:pStyle w:val="GuidanceBullet1"/>
        <w:numPr>
          <w:ilvl w:val="0"/>
          <w:numId w:val="40"/>
        </w:numPr>
      </w:pPr>
      <w:r>
        <w:t>reviewing</w:t>
      </w:r>
      <w:r w:rsidR="00C426D3" w:rsidRPr="007E29D8">
        <w:t xml:space="preserve"> management</w:t>
      </w:r>
      <w:r>
        <w:t>’s</w:t>
      </w:r>
      <w:r w:rsidR="00C426D3" w:rsidRPr="007E29D8">
        <w:t xml:space="preserve"> implementation of internal audit’s findings and recommendations; and</w:t>
      </w:r>
    </w:p>
    <w:p w14:paraId="53A6F708" w14:textId="77777777" w:rsidR="00C426D3" w:rsidRPr="007E29D8" w:rsidRDefault="00C426D3" w:rsidP="000B15FD">
      <w:pPr>
        <w:pStyle w:val="GuidanceBullet1"/>
        <w:numPr>
          <w:ilvl w:val="0"/>
          <w:numId w:val="40"/>
        </w:numPr>
      </w:pPr>
      <w:r w:rsidRPr="007E29D8">
        <w:t xml:space="preserve">having an open and transparent relationship with </w:t>
      </w:r>
      <w:r w:rsidR="00554FC8">
        <w:t>the i</w:t>
      </w:r>
      <w:r w:rsidRPr="007E29D8">
        <w:t xml:space="preserve">nternal </w:t>
      </w:r>
      <w:r w:rsidR="00554FC8">
        <w:t>a</w:t>
      </w:r>
      <w:r w:rsidRPr="007E29D8">
        <w:t xml:space="preserve">udit </w:t>
      </w:r>
      <w:r w:rsidR="00554FC8">
        <w:t xml:space="preserve">function </w:t>
      </w:r>
      <w:r w:rsidRPr="007E29D8">
        <w:t xml:space="preserve">and to meet periodically without management. </w:t>
      </w:r>
    </w:p>
    <w:p w14:paraId="475FC546" w14:textId="1018B033" w:rsidR="00C426D3" w:rsidRPr="00C426D3" w:rsidRDefault="00C426D3" w:rsidP="008E306C">
      <w:r w:rsidRPr="00C426D3">
        <w:t xml:space="preserve">The Institute of Internal </w:t>
      </w:r>
      <w:r w:rsidRPr="00C426D3">
        <w:rPr>
          <w:color w:val="595959" w:themeColor="text1" w:themeTint="A6"/>
        </w:rPr>
        <w:t xml:space="preserve">Auditors’ </w:t>
      </w:r>
      <w:hyperlink r:id="rId123" w:history="1">
        <w:r w:rsidRPr="00C426D3">
          <w:rPr>
            <w:color w:val="595959" w:themeColor="text1" w:themeTint="A6"/>
          </w:rPr>
          <w:t>Audit Committee Oversight Brochure</w:t>
        </w:r>
      </w:hyperlink>
      <w:r w:rsidR="006A0869">
        <w:rPr>
          <w:color w:val="595959" w:themeColor="text1" w:themeTint="A6"/>
        </w:rPr>
        <w:t xml:space="preserve"> </w:t>
      </w:r>
      <w:r w:rsidR="006A0869">
        <w:rPr>
          <w:rStyle w:val="FootnoteReference"/>
          <w:color w:val="595959" w:themeColor="text1" w:themeTint="A6"/>
        </w:rPr>
        <w:footnoteReference w:id="12"/>
      </w:r>
      <w:r w:rsidRPr="00C426D3">
        <w:t xml:space="preserve">, provides guidance on internal audit oversight considerations, including quality of performance. </w:t>
      </w:r>
    </w:p>
    <w:p w14:paraId="401FE054" w14:textId="77777777" w:rsidR="00C426D3" w:rsidRPr="00C426D3" w:rsidRDefault="00C426D3" w:rsidP="008E306C">
      <w:r w:rsidRPr="00C426D3">
        <w:t>When the internal audit function is co</w:t>
      </w:r>
      <w:r w:rsidR="00D62B6D">
        <w:noBreakHyphen/>
      </w:r>
      <w:r w:rsidRPr="00C426D3">
        <w:t xml:space="preserve">sourced or outsourced, it is expected that the Committee would provide input to the statement of requirements developed as part of an appointment or tender process. In particular, the Audit Committee needs to ensure the independence of the function is not compromised and consider potential relationships with the external provider that may impair the independence of the assurance process internal audit provides. </w:t>
      </w:r>
    </w:p>
    <w:p w14:paraId="12870033" w14:textId="77777777" w:rsidR="00104FFB" w:rsidRDefault="00104FFB">
      <w:pPr>
        <w:spacing w:before="0" w:after="200" w:line="276" w:lineRule="auto"/>
        <w:rPr>
          <w:color w:val="404040"/>
          <w:sz w:val="28"/>
          <w:szCs w:val="28"/>
        </w:rPr>
      </w:pPr>
      <w:r>
        <w:br w:type="page"/>
      </w:r>
    </w:p>
    <w:p w14:paraId="21EDBE73" w14:textId="1B4DCB8F" w:rsidR="005D63A6" w:rsidRDefault="005D63A6" w:rsidP="00D94C7A">
      <w:pPr>
        <w:pStyle w:val="Heading1NoNum"/>
      </w:pPr>
      <w:r>
        <w:lastRenderedPageBreak/>
        <w:t>Considering audit recommendations and agency management actions</w:t>
      </w:r>
    </w:p>
    <w:p w14:paraId="38B003A4" w14:textId="77777777" w:rsidR="005D63A6" w:rsidRDefault="005D63A6" w:rsidP="005D63A6">
      <w:r>
        <w:t xml:space="preserve">While the FMA and Directions require Audit Committees to consider audit recommendations relating to or impacting on financial management, performance and sustainability, it is recommended that Agency Audit Committees consider all audit recommendations made by either internal or external audit, even if they may fall outside this scope. </w:t>
      </w:r>
    </w:p>
    <w:p w14:paraId="53887774" w14:textId="53D1F99A" w:rsidR="005D63A6" w:rsidRDefault="005D63A6" w:rsidP="00CA6CEE">
      <w:pPr>
        <w:keepNext/>
      </w:pPr>
      <w:r>
        <w:t>Audit Committees should establish effective processes for monitoring the implementation of all Agency management actions relating to audit recommendations, and a risk</w:t>
      </w:r>
      <w:r w:rsidR="00DB2C10">
        <w:t>-</w:t>
      </w:r>
      <w:r>
        <w:t>based approach</w:t>
      </w:r>
      <w:r w:rsidR="00F21AF5">
        <w:rPr>
          <w:rStyle w:val="FootnoteReference"/>
        </w:rPr>
        <w:footnoteReference w:id="13"/>
      </w:r>
      <w:r>
        <w:t xml:space="preserve"> for assessing whether completed management actions have effectively addressed the underlying risks or issues raised by audit. </w:t>
      </w:r>
    </w:p>
    <w:p w14:paraId="355B84EB" w14:textId="7A26373D" w:rsidR="005D63A6" w:rsidRDefault="005D63A6" w:rsidP="005D63A6">
      <w:r>
        <w:t xml:space="preserve">The Victorian Auditor-General recommended this approach in his report on </w:t>
      </w:r>
      <w:hyperlink r:id="rId124" w:history="1">
        <w:r w:rsidRPr="005D63A6">
          <w:rPr>
            <w:rStyle w:val="Hyperlink"/>
          </w:rPr>
          <w:t>Audit Committee Governance</w:t>
        </w:r>
      </w:hyperlink>
      <w:r w:rsidR="00735694">
        <w:t xml:space="preserve"> (August </w:t>
      </w:r>
      <w:r>
        <w:t>2016).</w:t>
      </w:r>
      <w:r>
        <w:rPr>
          <w:rStyle w:val="FootnoteReference"/>
        </w:rPr>
        <w:footnoteReference w:id="14"/>
      </w:r>
      <w:r>
        <w:t xml:space="preserve"> The report made a number of recommendations regarding best practice governance arrangements for Agency Audit Committees to ensure they operate in a fully effective manner. </w:t>
      </w:r>
    </w:p>
    <w:p w14:paraId="1306F4CE" w14:textId="77777777" w:rsidR="00C426D3" w:rsidRPr="00C426D3" w:rsidRDefault="00C426D3" w:rsidP="00D94C7A">
      <w:pPr>
        <w:pStyle w:val="Heading1NoNum"/>
      </w:pPr>
      <w:r w:rsidRPr="00C426D3">
        <w:t>Review annual financial statements</w:t>
      </w:r>
    </w:p>
    <w:p w14:paraId="0CEA369D" w14:textId="77777777" w:rsidR="00C426D3" w:rsidRPr="00C426D3" w:rsidRDefault="00C426D3" w:rsidP="008E306C">
      <w:r w:rsidRPr="00C426D3">
        <w:t>As the Audit Committee independently reviews the Agency’s annual financial statements and makes a recommendation to the Accountable Officer/Responsible Body, it is important for Audit Committee members to have a sound understanding of the Agency’s financial reporting requirements and the significant policies and principles that underpin these reports.</w:t>
      </w:r>
    </w:p>
    <w:p w14:paraId="103DEC38" w14:textId="16700FEE" w:rsidR="00C426D3" w:rsidRPr="00C426D3" w:rsidRDefault="00C426D3" w:rsidP="008E306C">
      <w:r w:rsidRPr="00C426D3">
        <w:t>In general, the Audit Committee should consider the following more specific responsibilities in relation to the annual financial statements of the Agency:</w:t>
      </w:r>
    </w:p>
    <w:p w14:paraId="329BE940" w14:textId="77777777" w:rsidR="00C426D3" w:rsidRPr="007E29D8" w:rsidRDefault="00C426D3" w:rsidP="000B15FD">
      <w:pPr>
        <w:pStyle w:val="GuidanceBullet1"/>
        <w:numPr>
          <w:ilvl w:val="0"/>
          <w:numId w:val="41"/>
        </w:numPr>
      </w:pPr>
      <w:r w:rsidRPr="007E29D8">
        <w:t>obtain</w:t>
      </w:r>
      <w:r w:rsidR="00FB6728">
        <w:t xml:space="preserve"> assurance from the CF</w:t>
      </w:r>
      <w:r w:rsidRPr="007E29D8">
        <w:t xml:space="preserve">O that the financial statements comply with all prescribed accounting requirements and are materially correct before recommending the financial statements for certification by the </w:t>
      </w:r>
      <w:r w:rsidR="00962FB8" w:rsidRPr="007E29D8">
        <w:t>A</w:t>
      </w:r>
      <w:r w:rsidRPr="007E29D8">
        <w:t xml:space="preserve">ccountable </w:t>
      </w:r>
      <w:r w:rsidR="00962FB8" w:rsidRPr="007E29D8">
        <w:t>O</w:t>
      </w:r>
      <w:r w:rsidRPr="007E29D8">
        <w:t xml:space="preserve">fficer or </w:t>
      </w:r>
      <w:r w:rsidR="00D8719C" w:rsidRPr="007E29D8">
        <w:t>Responsible B</w:t>
      </w:r>
      <w:r w:rsidRPr="007E29D8">
        <w:t>ody;</w:t>
      </w:r>
    </w:p>
    <w:p w14:paraId="22500BFA" w14:textId="77777777" w:rsidR="00C426D3" w:rsidRPr="007E29D8" w:rsidRDefault="00C426D3" w:rsidP="000B15FD">
      <w:pPr>
        <w:pStyle w:val="GuidanceBullet1"/>
        <w:numPr>
          <w:ilvl w:val="0"/>
          <w:numId w:val="41"/>
        </w:numPr>
      </w:pPr>
      <w:r w:rsidRPr="007E29D8">
        <w:t>assess the appropriateness of Agency accounting policies;</w:t>
      </w:r>
    </w:p>
    <w:p w14:paraId="73E8337C" w14:textId="77777777" w:rsidR="00C426D3" w:rsidRPr="007E29D8" w:rsidRDefault="00C426D3" w:rsidP="000B15FD">
      <w:pPr>
        <w:pStyle w:val="GuidanceBullet1"/>
        <w:numPr>
          <w:ilvl w:val="0"/>
          <w:numId w:val="41"/>
        </w:numPr>
      </w:pPr>
      <w:r w:rsidRPr="007E29D8">
        <w:t>assess the process used by management to make material estimates and judgements in financial statements;</w:t>
      </w:r>
    </w:p>
    <w:p w14:paraId="2E0C08B2" w14:textId="77777777" w:rsidR="00C426D3" w:rsidRPr="007E29D8" w:rsidRDefault="00C426D3" w:rsidP="000B15FD">
      <w:pPr>
        <w:pStyle w:val="GuidanceBullet1"/>
        <w:numPr>
          <w:ilvl w:val="0"/>
          <w:numId w:val="41"/>
        </w:numPr>
      </w:pPr>
      <w:r w:rsidRPr="007E29D8">
        <w:t>identify and actively assess any unusual financial or operational trends or variations from forecasts;</w:t>
      </w:r>
    </w:p>
    <w:p w14:paraId="1EB656D4" w14:textId="77777777" w:rsidR="00C426D3" w:rsidRPr="007E29D8" w:rsidRDefault="00C426D3" w:rsidP="000B15FD">
      <w:pPr>
        <w:pStyle w:val="GuidanceBullet1"/>
        <w:numPr>
          <w:ilvl w:val="0"/>
          <w:numId w:val="41"/>
        </w:numPr>
      </w:pPr>
      <w:r w:rsidRPr="007E29D8">
        <w:t>review the impact of any materially adverse audit findings on the integrity of the Agency’s financial statements;</w:t>
      </w:r>
    </w:p>
    <w:p w14:paraId="542DC567" w14:textId="77777777" w:rsidR="00C426D3" w:rsidRPr="007E29D8" w:rsidRDefault="00C426D3" w:rsidP="000B15FD">
      <w:pPr>
        <w:pStyle w:val="GuidanceBullet1"/>
        <w:numPr>
          <w:ilvl w:val="0"/>
          <w:numId w:val="41"/>
        </w:numPr>
      </w:pPr>
      <w:r w:rsidRPr="007E29D8">
        <w:t>assess whether the information contained in the financial statements is consistent with the Audit Committee’s knowledge of the Agency’s ‘business’ and the significant issues raised throughout the year that may affect the financial statements;</w:t>
      </w:r>
    </w:p>
    <w:p w14:paraId="7AFAD7B5" w14:textId="77777777" w:rsidR="00C426D3" w:rsidRPr="007E29D8" w:rsidRDefault="00C426D3" w:rsidP="000B15FD">
      <w:pPr>
        <w:pStyle w:val="GuidanceBullet1"/>
        <w:numPr>
          <w:ilvl w:val="0"/>
          <w:numId w:val="41"/>
        </w:numPr>
      </w:pPr>
      <w:r w:rsidRPr="007E29D8">
        <w:t>perform other due care and diligence processes, including whether the statements are complete and operationally accurate and ’present fairly’ the Agency’s activities for the period under review and the state of its affairs at balance date. Of particular relevance are the various notes and other disclosures that complement the statements, including any performance indicators; and</w:t>
      </w:r>
    </w:p>
    <w:p w14:paraId="04322C0D" w14:textId="77777777" w:rsidR="00C426D3" w:rsidRPr="007E29D8" w:rsidRDefault="00C426D3" w:rsidP="000B15FD">
      <w:pPr>
        <w:pStyle w:val="GuidanceBullet1"/>
        <w:numPr>
          <w:ilvl w:val="0"/>
          <w:numId w:val="41"/>
        </w:numPr>
      </w:pPr>
      <w:r w:rsidRPr="007E29D8">
        <w:t xml:space="preserve">enquire of management and external audit that the financial statements have been prepared in accordance with the timeframes agreed with the external auditors and whether there are any unresolved issues with external audit. </w:t>
      </w:r>
    </w:p>
    <w:p w14:paraId="13D0946A" w14:textId="77777777" w:rsidR="00C426D3" w:rsidRDefault="00C426D3" w:rsidP="008E306C">
      <w:r w:rsidRPr="00C426D3">
        <w:t xml:space="preserve">The judgement in the 2011 Federal Court case of </w:t>
      </w:r>
      <w:r w:rsidRPr="0094625E">
        <w:rPr>
          <w:i/>
        </w:rPr>
        <w:t>ASIC v Healy</w:t>
      </w:r>
      <w:r w:rsidRPr="00C426D3">
        <w:t xml:space="preserve"> (the Centro Case) highlighted the directors’ responsibilities in relation to a company’s financial statements. The judgement outlined that directors cannot simply rely on specialist advice (e.g. from external auditors) or advice from others (e.g. management) in discharging their duties. The general principles covered by the judgement </w:t>
      </w:r>
      <w:r w:rsidR="0094625E">
        <w:t>could be applied</w:t>
      </w:r>
      <w:r w:rsidRPr="00C426D3">
        <w:t xml:space="preserve"> to Agencies when the Accountable Officer and, in addition for Public Bodies</w:t>
      </w:r>
      <w:r w:rsidR="0094625E">
        <w:t>,</w:t>
      </w:r>
      <w:r w:rsidRPr="00C426D3">
        <w:t xml:space="preserve"> a member of the Responsible Body, are responsible for certifying the Agency’s financial statements.</w:t>
      </w:r>
    </w:p>
    <w:p w14:paraId="2C5D9D19" w14:textId="77777777" w:rsidR="00104FFB" w:rsidRDefault="00104FFB">
      <w:pPr>
        <w:spacing w:before="0" w:after="200" w:line="276" w:lineRule="auto"/>
        <w:rPr>
          <w:color w:val="404040"/>
          <w:sz w:val="28"/>
          <w:szCs w:val="28"/>
        </w:rPr>
      </w:pPr>
      <w:r>
        <w:br w:type="page"/>
      </w:r>
    </w:p>
    <w:p w14:paraId="43DA67FF" w14:textId="601F506F" w:rsidR="006441AC" w:rsidRPr="00922BC3" w:rsidRDefault="006441AC" w:rsidP="006441AC">
      <w:pPr>
        <w:pStyle w:val="Heading1NoNum"/>
      </w:pPr>
      <w:r w:rsidRPr="00922BC3">
        <w:lastRenderedPageBreak/>
        <w:t xml:space="preserve">Review of annual report of operations </w:t>
      </w:r>
    </w:p>
    <w:p w14:paraId="2CD47209" w14:textId="7370DC15" w:rsidR="006441AC" w:rsidRPr="00922BC3" w:rsidRDefault="006441AC" w:rsidP="006441AC">
      <w:r w:rsidRPr="00922BC3">
        <w:t>The Directions require the Audit Committee to review the report of operations before it is finalised. The Audit Committee review should be limited to checking the consistency of financial information in the report with the audited financial statements</w:t>
      </w:r>
      <w:r w:rsidR="00995ED6">
        <w:t xml:space="preserve">. </w:t>
      </w:r>
    </w:p>
    <w:p w14:paraId="6D279949" w14:textId="6B639A3C" w:rsidR="006441AC" w:rsidRPr="00922BC3" w:rsidRDefault="006441AC" w:rsidP="006441AC">
      <w:r w:rsidRPr="00922BC3">
        <w:t>The Audit Committee review should only focus on relevant financial related information in the report of operations that impacts the Agency's financial management, financial performance and financial sustainability, not all the information in the report of operations</w:t>
      </w:r>
      <w:r w:rsidR="00995ED6">
        <w:t xml:space="preserve">. </w:t>
      </w:r>
    </w:p>
    <w:p w14:paraId="23307371" w14:textId="77777777" w:rsidR="006441AC" w:rsidRPr="00922BC3" w:rsidRDefault="006441AC" w:rsidP="006441AC">
      <w:r w:rsidRPr="00922BC3">
        <w:t xml:space="preserve">For example, this may include financial related performance indicators, historical financial position summaries and any other information containing financial outcomes or data in the report of operations. </w:t>
      </w:r>
    </w:p>
    <w:p w14:paraId="14C97B83" w14:textId="77777777" w:rsidR="006441AC" w:rsidRPr="00C426D3" w:rsidRDefault="006441AC" w:rsidP="006441AC">
      <w:r w:rsidRPr="00922BC3">
        <w:t>In considering the financial related information the committee should be satisfied that the messages conveyed from such information are not inconsistent with the view presented by the audited financial statements.</w:t>
      </w:r>
    </w:p>
    <w:p w14:paraId="109412AE" w14:textId="77777777" w:rsidR="00C426D3" w:rsidRPr="00C426D3" w:rsidRDefault="00C426D3" w:rsidP="00554FC8">
      <w:pPr>
        <w:pStyle w:val="Heading1NoNum"/>
      </w:pPr>
      <w:r w:rsidRPr="00C426D3">
        <w:t>Review and monitor compliance</w:t>
      </w:r>
    </w:p>
    <w:p w14:paraId="1B9D58A2" w14:textId="77777777" w:rsidR="00C426D3" w:rsidRPr="00C426D3" w:rsidRDefault="00C426D3" w:rsidP="008E306C">
      <w:r w:rsidRPr="00C426D3">
        <w:t>A key responsibility of an Agency’s Audit committee is to review and monitor compliance with relevant risk and financial management laws and standards and the Directions. This will enable the Committee to provide assurance and make recommendations to the Responsible Body on the level of compliance attained, issues to be resolved and proposed mitigation plans.</w:t>
      </w:r>
    </w:p>
    <w:p w14:paraId="7E5DF3E6" w14:textId="77777777" w:rsidR="00C426D3" w:rsidRDefault="00C426D3" w:rsidP="008E306C">
      <w:r w:rsidRPr="00C426D3">
        <w:t xml:space="preserve">Reviewing the effectiveness of how an Agency is monitoring its </w:t>
      </w:r>
      <w:r w:rsidR="002E18F5">
        <w:t>financial mana</w:t>
      </w:r>
      <w:r w:rsidR="00823E88">
        <w:t xml:space="preserve">gement </w:t>
      </w:r>
      <w:r w:rsidRPr="00C426D3">
        <w:t xml:space="preserve">compliance with relevant legislation, regulations and associated government policies is generally an established function of Audit committees. </w:t>
      </w:r>
    </w:p>
    <w:p w14:paraId="7562AF78" w14:textId="77777777" w:rsidR="00554FC8" w:rsidRDefault="00453706" w:rsidP="008E306C">
      <w:r>
        <w:t>However, in larger A</w:t>
      </w:r>
      <w:r w:rsidR="00823E88">
        <w:t xml:space="preserve">gencies, with significant operational risks, the Responsible Body may establish a separate Risk </w:t>
      </w:r>
      <w:r w:rsidR="006F0D5C">
        <w:t>Committee to undertake overall A</w:t>
      </w:r>
      <w:r w:rsidR="00823E88">
        <w:t>gency risk oversight.</w:t>
      </w:r>
    </w:p>
    <w:p w14:paraId="65F2849B" w14:textId="77777777" w:rsidR="00C426D3" w:rsidRDefault="00C426D3" w:rsidP="008E306C">
      <w:r w:rsidRPr="00C426D3">
        <w:t>Agencies must comply with a considerable volume and complexity of legislation and policy</w:t>
      </w:r>
      <w:r w:rsidR="00FF20F6">
        <w:t>, including the Directions</w:t>
      </w:r>
      <w:r w:rsidRPr="00C426D3">
        <w:t>. Therefore, it would be expected the Audit Committee will focus on those aspects that pose the highest risk to the Agency, and on how the Agency manages its compliance responsibilities.</w:t>
      </w:r>
    </w:p>
    <w:p w14:paraId="23D60B72" w14:textId="4AFDE426" w:rsidR="00FF20F6" w:rsidRPr="00C426D3" w:rsidRDefault="00477BD5" w:rsidP="008E306C">
      <w:r>
        <w:t>Similarly</w:t>
      </w:r>
      <w:r w:rsidR="00A20D32">
        <w:t xml:space="preserve">, </w:t>
      </w:r>
      <w:r w:rsidR="00FE11C7">
        <w:t xml:space="preserve">in reviewing an Agency’s compliance with the </w:t>
      </w:r>
      <w:r w:rsidR="00554FC8">
        <w:t xml:space="preserve">FMA, </w:t>
      </w:r>
      <w:r w:rsidR="00FE11C7">
        <w:t>Directions</w:t>
      </w:r>
      <w:r w:rsidR="00554FC8">
        <w:t xml:space="preserve"> and Instructions</w:t>
      </w:r>
      <w:r w:rsidR="00FE11C7">
        <w:t xml:space="preserve">, </w:t>
      </w:r>
      <w:r w:rsidR="00A20D32">
        <w:t>i</w:t>
      </w:r>
      <w:r w:rsidR="00FF20F6">
        <w:t>t is expected that Audit Committees will take a practical, risk</w:t>
      </w:r>
      <w:r w:rsidR="00D62B6D">
        <w:noBreakHyphen/>
      </w:r>
      <w:r w:rsidR="00FF20F6">
        <w:t>based approach</w:t>
      </w:r>
      <w:r w:rsidR="000855D7">
        <w:rPr>
          <w:rStyle w:val="FootnoteReference"/>
        </w:rPr>
        <w:footnoteReference w:id="15"/>
      </w:r>
      <w:r w:rsidR="00FF20F6">
        <w:t xml:space="preserve"> to the evidence required to demonstrate compliance</w:t>
      </w:r>
      <w:r w:rsidR="00FE11C7">
        <w:t>. This is</w:t>
      </w:r>
      <w:r>
        <w:t xml:space="preserve"> particularly </w:t>
      </w:r>
      <w:r w:rsidR="00FE11C7">
        <w:t xml:space="preserve">relevant to </w:t>
      </w:r>
      <w:r>
        <w:t xml:space="preserve">those </w:t>
      </w:r>
      <w:r w:rsidR="002C5BAC">
        <w:t>D</w:t>
      </w:r>
      <w:r w:rsidR="00A20D32">
        <w:t xml:space="preserve">irections </w:t>
      </w:r>
      <w:r>
        <w:t xml:space="preserve">that </w:t>
      </w:r>
      <w:r w:rsidR="00A20D32">
        <w:t xml:space="preserve">require Agencies to achieve </w:t>
      </w:r>
      <w:r>
        <w:t xml:space="preserve">broad </w:t>
      </w:r>
      <w:r w:rsidR="00A20D32">
        <w:t>principles of good financial management</w:t>
      </w:r>
      <w:r>
        <w:t>. An example is</w:t>
      </w:r>
      <w:r w:rsidR="00A20D32">
        <w:t xml:space="preserve"> </w:t>
      </w:r>
      <w:hyperlink r:id="rId125" w:anchor="standing-directions-2018" w:history="1">
        <w:r w:rsidR="00FF20F6" w:rsidRPr="0051115B">
          <w:rPr>
            <w:rStyle w:val="Hyperlink"/>
          </w:rPr>
          <w:t xml:space="preserve">Direction </w:t>
        </w:r>
        <w:r w:rsidR="00554FC8" w:rsidRPr="0051115B">
          <w:rPr>
            <w:rStyle w:val="Hyperlink"/>
          </w:rPr>
          <w:t>2.2</w:t>
        </w:r>
        <w:r w:rsidR="00554FC8" w:rsidRPr="00BA36F3">
          <w:rPr>
            <w:rStyle w:val="Hyperlink"/>
          </w:rPr>
          <w:t>(a)</w:t>
        </w:r>
      </w:hyperlink>
      <w:r>
        <w:t xml:space="preserve">, which </w:t>
      </w:r>
      <w:r w:rsidR="00FF20F6">
        <w:t>requires the Responsible Body to ensure that the Agency furthers government objectives and priorities.</w:t>
      </w:r>
      <w:r>
        <w:t xml:space="preserve"> Reasonable evidence for compliance with such a requirement could include a brief summary of significant Government priorities that the Agency has pursued in the relevant year. It would usually be unreasonable to require that the Agency undertake a detailed analysis of all actions taken under such requirements.</w:t>
      </w:r>
    </w:p>
    <w:p w14:paraId="6581E5C9" w14:textId="77777777" w:rsidR="00C426D3" w:rsidRPr="00C426D3" w:rsidRDefault="00C426D3" w:rsidP="008E306C">
      <w:r w:rsidRPr="00C426D3">
        <w:t xml:space="preserve">An Audit </w:t>
      </w:r>
      <w:r w:rsidR="00D8719C">
        <w:t>C</w:t>
      </w:r>
      <w:r w:rsidRPr="00C426D3">
        <w:t xml:space="preserve">ommittee should, at least annually, </w:t>
      </w:r>
      <w:r w:rsidR="004815FD">
        <w:t xml:space="preserve">in relation to financial management, performance and sustainability, </w:t>
      </w:r>
      <w:r w:rsidRPr="00C426D3">
        <w:t>undertake the following:</w:t>
      </w:r>
    </w:p>
    <w:p w14:paraId="435933E6" w14:textId="77777777" w:rsidR="00C426D3" w:rsidRPr="00123800" w:rsidRDefault="00C426D3" w:rsidP="000B15FD">
      <w:pPr>
        <w:pStyle w:val="GuidanceBullet1"/>
        <w:numPr>
          <w:ilvl w:val="0"/>
          <w:numId w:val="42"/>
        </w:numPr>
        <w:spacing w:before="40" w:after="40"/>
        <w:ind w:left="357" w:hanging="357"/>
      </w:pPr>
      <w:r w:rsidRPr="00123800">
        <w:t>review management processes to ensure the Agency is kept up to date with new legislation and/or changes to existing legislation relevant to the Agency;</w:t>
      </w:r>
    </w:p>
    <w:p w14:paraId="5028DD43" w14:textId="77777777" w:rsidR="00C426D3" w:rsidRPr="00123800" w:rsidRDefault="00C426D3" w:rsidP="000B15FD">
      <w:pPr>
        <w:pStyle w:val="GuidanceBullet1"/>
        <w:numPr>
          <w:ilvl w:val="0"/>
          <w:numId w:val="42"/>
        </w:numPr>
        <w:spacing w:before="40" w:after="40"/>
        <w:ind w:left="357" w:hanging="357"/>
      </w:pPr>
      <w:r w:rsidRPr="00123800">
        <w:t xml:space="preserve">review the effectiveness of internal control and other systems for monitoring the Agency’s compliance with the relevant legislation and associated government policies; </w:t>
      </w:r>
    </w:p>
    <w:p w14:paraId="4ABD43F5" w14:textId="77777777" w:rsidR="00C426D3" w:rsidRPr="00123800" w:rsidRDefault="00C426D3" w:rsidP="000B15FD">
      <w:pPr>
        <w:pStyle w:val="GuidanceBullet1"/>
        <w:numPr>
          <w:ilvl w:val="0"/>
          <w:numId w:val="42"/>
        </w:numPr>
        <w:spacing w:before="40" w:after="40"/>
        <w:ind w:left="357" w:hanging="357"/>
      </w:pPr>
      <w:r w:rsidRPr="00123800">
        <w:t>monitor remedial actions for significant and systemic breaches of compliance;</w:t>
      </w:r>
    </w:p>
    <w:p w14:paraId="59E4E811" w14:textId="77777777" w:rsidR="00C426D3" w:rsidRPr="00123800" w:rsidRDefault="00C426D3" w:rsidP="000B15FD">
      <w:pPr>
        <w:pStyle w:val="GuidanceBullet1"/>
        <w:numPr>
          <w:ilvl w:val="0"/>
          <w:numId w:val="42"/>
        </w:numPr>
        <w:spacing w:before="40" w:after="40"/>
        <w:ind w:left="357" w:hanging="357"/>
      </w:pPr>
      <w:r w:rsidRPr="00123800">
        <w:t xml:space="preserve">determine whether management has appropriately considered legal and compliance risks as part of the Agency wide risk management plan; </w:t>
      </w:r>
    </w:p>
    <w:p w14:paraId="3DA7BAC1" w14:textId="77777777" w:rsidR="00C426D3" w:rsidRPr="00123800" w:rsidRDefault="00C426D3" w:rsidP="000B15FD">
      <w:pPr>
        <w:pStyle w:val="GuidanceBullet1"/>
        <w:numPr>
          <w:ilvl w:val="0"/>
          <w:numId w:val="42"/>
        </w:numPr>
        <w:spacing w:before="40" w:after="40"/>
        <w:ind w:left="357" w:hanging="357"/>
      </w:pPr>
      <w:r w:rsidRPr="00123800">
        <w:t>regularly review the adequacy of the strategic internal audit plan and annual internal audit program based on the size, complexity and risks of the Agency;</w:t>
      </w:r>
    </w:p>
    <w:p w14:paraId="66B44B23" w14:textId="77777777" w:rsidR="00C426D3" w:rsidRPr="00123800" w:rsidRDefault="00C426D3" w:rsidP="000B15FD">
      <w:pPr>
        <w:pStyle w:val="GuidanceBullet1"/>
        <w:numPr>
          <w:ilvl w:val="0"/>
          <w:numId w:val="42"/>
        </w:numPr>
        <w:spacing w:before="40" w:after="40"/>
        <w:ind w:left="357" w:hanging="357"/>
      </w:pPr>
      <w:r w:rsidRPr="00123800">
        <w:t>provide advice and assurance to the Responsible Body/Accountable Officer regarding the Agency’s annual compliance assessment report; and</w:t>
      </w:r>
    </w:p>
    <w:p w14:paraId="2DB3736E" w14:textId="5149BAB2" w:rsidR="00C426D3" w:rsidRDefault="00C426D3" w:rsidP="000B15FD">
      <w:pPr>
        <w:pStyle w:val="GuidanceBullet1"/>
        <w:numPr>
          <w:ilvl w:val="0"/>
          <w:numId w:val="42"/>
        </w:numPr>
        <w:spacing w:before="40" w:after="40"/>
        <w:ind w:left="357" w:hanging="357"/>
      </w:pPr>
      <w:r w:rsidRPr="00123800">
        <w:t xml:space="preserve">provide advice (including mitigation strategies) to the Responsible Body/Accountable Officer regarding the Agency’s responsibilities in relation to any </w:t>
      </w:r>
      <w:r w:rsidR="00554FC8">
        <w:t>F</w:t>
      </w:r>
      <w:r w:rsidRPr="00123800">
        <w:t xml:space="preserve">raud, </w:t>
      </w:r>
      <w:r w:rsidR="00554FC8">
        <w:t>C</w:t>
      </w:r>
      <w:r w:rsidRPr="00123800">
        <w:t xml:space="preserve">orruption and </w:t>
      </w:r>
      <w:r w:rsidR="00554FC8">
        <w:t xml:space="preserve">Other Losses, and Material Compliance Deficiencies </w:t>
      </w:r>
      <w:r w:rsidRPr="00123800">
        <w:t xml:space="preserve">(see </w:t>
      </w:r>
      <w:hyperlink r:id="rId126" w:anchor="standing-directions-2018">
        <w:r w:rsidRPr="6A3182E5">
          <w:rPr>
            <w:rStyle w:val="Hyperlink"/>
          </w:rPr>
          <w:t>Direction</w:t>
        </w:r>
        <w:r w:rsidR="00554FC8" w:rsidRPr="6A3182E5">
          <w:rPr>
            <w:rStyle w:val="Hyperlink"/>
          </w:rPr>
          <w:t>s</w:t>
        </w:r>
        <w:r w:rsidRPr="6A3182E5">
          <w:rPr>
            <w:rStyle w:val="Hyperlink"/>
          </w:rPr>
          <w:t xml:space="preserve"> 3.5</w:t>
        </w:r>
      </w:hyperlink>
      <w:r w:rsidRPr="00123800">
        <w:t xml:space="preserve"> and </w:t>
      </w:r>
      <w:hyperlink r:id="rId127" w:anchor="standing-directions-2018">
        <w:r w:rsidRPr="6A3182E5">
          <w:rPr>
            <w:rStyle w:val="Hyperlink"/>
          </w:rPr>
          <w:t>5.1.</w:t>
        </w:r>
        <w:r w:rsidR="00554FC8" w:rsidRPr="6A3182E5">
          <w:rPr>
            <w:rStyle w:val="Hyperlink"/>
          </w:rPr>
          <w:t>6</w:t>
        </w:r>
      </w:hyperlink>
      <w:r w:rsidRPr="00123800">
        <w:t>).</w:t>
      </w:r>
    </w:p>
    <w:p w14:paraId="02366B31" w14:textId="085845BC" w:rsidR="000850BF" w:rsidRDefault="00FA2342" w:rsidP="00554FC8">
      <w:pPr>
        <w:pStyle w:val="Heading1NoNum"/>
      </w:pPr>
      <w:bookmarkStart w:id="22" w:name="_Hlk102568800"/>
      <w:r w:rsidDel="00082EF7">
        <w:lastRenderedPageBreak/>
        <w:t>Audit Committee</w:t>
      </w:r>
      <w:r w:rsidR="00237148">
        <w:t xml:space="preserve"> responsibility to</w:t>
      </w:r>
      <w:r w:rsidDel="00082EF7">
        <w:t xml:space="preserve"> r</w:t>
      </w:r>
      <w:r>
        <w:t>eview and monitor</w:t>
      </w:r>
      <w:r w:rsidR="000850BF">
        <w:t xml:space="preserve"> </w:t>
      </w:r>
      <w:r w:rsidR="001C2FFB">
        <w:t xml:space="preserve">long term </w:t>
      </w:r>
      <w:r w:rsidR="000850BF">
        <w:t>investments</w:t>
      </w:r>
    </w:p>
    <w:bookmarkEnd w:id="22"/>
    <w:p w14:paraId="4D88E4B7" w14:textId="412F8F0F" w:rsidR="006543B6" w:rsidRDefault="00492B9A" w:rsidP="00554FC8">
      <w:pPr>
        <w:pStyle w:val="Heading1NoNum"/>
        <w:rPr>
          <w:color w:val="auto"/>
          <w:sz w:val="20"/>
          <w:szCs w:val="22"/>
        </w:rPr>
      </w:pPr>
      <w:r w:rsidRPr="00492B9A">
        <w:rPr>
          <w:color w:val="auto"/>
          <w:sz w:val="20"/>
          <w:szCs w:val="22"/>
        </w:rPr>
        <w:t>Consistent with the Responsible Body's overarching governance responsibilities on financial management, sustainability and performance</w:t>
      </w:r>
      <w:r w:rsidR="006875F3">
        <w:rPr>
          <w:color w:val="auto"/>
          <w:sz w:val="20"/>
          <w:szCs w:val="22"/>
        </w:rPr>
        <w:t>,</w:t>
      </w:r>
      <w:r w:rsidRPr="00492B9A">
        <w:rPr>
          <w:color w:val="auto"/>
          <w:sz w:val="20"/>
          <w:szCs w:val="22"/>
        </w:rPr>
        <w:t xml:space="preserve"> a </w:t>
      </w:r>
      <w:r w:rsidR="003F6C2B" w:rsidRPr="00932774">
        <w:rPr>
          <w:color w:val="auto"/>
          <w:sz w:val="20"/>
          <w:szCs w:val="22"/>
        </w:rPr>
        <w:t>key responsibility</w:t>
      </w:r>
      <w:r w:rsidR="00F47D8C">
        <w:rPr>
          <w:color w:val="auto"/>
          <w:sz w:val="20"/>
          <w:szCs w:val="22"/>
        </w:rPr>
        <w:t xml:space="preserve"> of the Audit Committee is to </w:t>
      </w:r>
      <w:r w:rsidR="00630429">
        <w:rPr>
          <w:color w:val="auto"/>
          <w:sz w:val="20"/>
          <w:szCs w:val="22"/>
        </w:rPr>
        <w:t>recommend</w:t>
      </w:r>
      <w:r w:rsidR="001C2FFB">
        <w:rPr>
          <w:color w:val="auto"/>
          <w:sz w:val="20"/>
          <w:szCs w:val="22"/>
        </w:rPr>
        <w:t>, where relevant,</w:t>
      </w:r>
      <w:r w:rsidR="00EF12F2">
        <w:rPr>
          <w:color w:val="auto"/>
          <w:sz w:val="20"/>
          <w:szCs w:val="22"/>
        </w:rPr>
        <w:t xml:space="preserve"> </w:t>
      </w:r>
      <w:r w:rsidR="00790C6D">
        <w:rPr>
          <w:color w:val="auto"/>
          <w:sz w:val="20"/>
          <w:szCs w:val="22"/>
        </w:rPr>
        <w:t>the investment policy, incorporating</w:t>
      </w:r>
      <w:r w:rsidR="0000774C">
        <w:rPr>
          <w:color w:val="auto"/>
          <w:sz w:val="20"/>
          <w:szCs w:val="22"/>
        </w:rPr>
        <w:t xml:space="preserve"> risk and return</w:t>
      </w:r>
      <w:r w:rsidR="00EF12F2">
        <w:rPr>
          <w:color w:val="auto"/>
          <w:sz w:val="20"/>
          <w:szCs w:val="22"/>
        </w:rPr>
        <w:t xml:space="preserve"> objectives within </w:t>
      </w:r>
      <w:r w:rsidR="00CA6D34">
        <w:rPr>
          <w:color w:val="auto"/>
          <w:sz w:val="20"/>
          <w:szCs w:val="22"/>
        </w:rPr>
        <w:t xml:space="preserve">appropriate risk parameters </w:t>
      </w:r>
      <w:r w:rsidR="006543B6">
        <w:rPr>
          <w:color w:val="auto"/>
          <w:sz w:val="20"/>
          <w:szCs w:val="22"/>
        </w:rPr>
        <w:t>to the Agency’s board</w:t>
      </w:r>
      <w:r w:rsidR="00630429">
        <w:rPr>
          <w:color w:val="auto"/>
          <w:sz w:val="20"/>
          <w:szCs w:val="22"/>
        </w:rPr>
        <w:t xml:space="preserve"> for approval</w:t>
      </w:r>
      <w:r w:rsidR="006543B6">
        <w:rPr>
          <w:color w:val="auto"/>
          <w:sz w:val="20"/>
          <w:szCs w:val="22"/>
        </w:rPr>
        <w:t xml:space="preserve">. The Audit Committee should review these </w:t>
      </w:r>
      <w:r w:rsidR="00CA6D34">
        <w:rPr>
          <w:color w:val="auto"/>
          <w:sz w:val="20"/>
          <w:szCs w:val="22"/>
        </w:rPr>
        <w:t>on an annual basis</w:t>
      </w:r>
      <w:r w:rsidR="00DF4201">
        <w:rPr>
          <w:color w:val="auto"/>
          <w:sz w:val="20"/>
          <w:szCs w:val="22"/>
        </w:rPr>
        <w:t xml:space="preserve"> or when </w:t>
      </w:r>
      <w:r w:rsidR="00B54B1D">
        <w:rPr>
          <w:color w:val="auto"/>
          <w:sz w:val="20"/>
          <w:szCs w:val="22"/>
        </w:rPr>
        <w:t>a material change has occurred</w:t>
      </w:r>
      <w:r w:rsidR="006543B6">
        <w:rPr>
          <w:color w:val="auto"/>
          <w:sz w:val="20"/>
          <w:szCs w:val="22"/>
        </w:rPr>
        <w:t>.</w:t>
      </w:r>
    </w:p>
    <w:p w14:paraId="4BE5A664" w14:textId="7BFF65CD" w:rsidR="00F23C97" w:rsidRDefault="001C2FFB" w:rsidP="00554FC8">
      <w:pPr>
        <w:pStyle w:val="Heading1NoNum"/>
      </w:pPr>
      <w:r>
        <w:rPr>
          <w:color w:val="auto"/>
          <w:sz w:val="20"/>
          <w:szCs w:val="20"/>
        </w:rPr>
        <w:t>Where the agency has long term investments, t</w:t>
      </w:r>
      <w:r w:rsidR="0073245A" w:rsidRPr="1B70A579">
        <w:rPr>
          <w:color w:val="auto"/>
          <w:sz w:val="20"/>
          <w:szCs w:val="20"/>
        </w:rPr>
        <w:t xml:space="preserve">he Audit Committee should </w:t>
      </w:r>
      <w:r w:rsidR="00D33FDC" w:rsidRPr="1B70A579">
        <w:rPr>
          <w:color w:val="auto"/>
          <w:sz w:val="20"/>
          <w:szCs w:val="20"/>
        </w:rPr>
        <w:t>recommend</w:t>
      </w:r>
      <w:r w:rsidR="0073245A" w:rsidRPr="1B70A579">
        <w:rPr>
          <w:color w:val="auto"/>
          <w:sz w:val="20"/>
          <w:szCs w:val="20"/>
        </w:rPr>
        <w:t xml:space="preserve"> </w:t>
      </w:r>
      <w:r w:rsidR="000F4942" w:rsidRPr="1B70A579">
        <w:rPr>
          <w:color w:val="auto"/>
          <w:sz w:val="20"/>
          <w:szCs w:val="20"/>
        </w:rPr>
        <w:t xml:space="preserve">the </w:t>
      </w:r>
      <w:r w:rsidR="00C6265C" w:rsidRPr="1B70A579">
        <w:rPr>
          <w:color w:val="auto"/>
          <w:sz w:val="20"/>
          <w:szCs w:val="20"/>
        </w:rPr>
        <w:t>Strategic Asset Allocation</w:t>
      </w:r>
      <w:r w:rsidR="000A3C5C">
        <w:rPr>
          <w:color w:val="auto"/>
          <w:sz w:val="20"/>
          <w:szCs w:val="20"/>
        </w:rPr>
        <w:t>,</w:t>
      </w:r>
      <w:r w:rsidR="00017037" w:rsidRPr="1B70A579">
        <w:rPr>
          <w:color w:val="auto"/>
          <w:sz w:val="20"/>
          <w:szCs w:val="20"/>
        </w:rPr>
        <w:t xml:space="preserve"> </w:t>
      </w:r>
      <w:r w:rsidR="70A8AA07" w:rsidRPr="67EE793F">
        <w:rPr>
          <w:color w:val="auto"/>
          <w:sz w:val="20"/>
          <w:szCs w:val="20"/>
        </w:rPr>
        <w:t>developed with</w:t>
      </w:r>
      <w:r w:rsidR="007E26A6" w:rsidRPr="1B70A579">
        <w:rPr>
          <w:color w:val="auto"/>
          <w:sz w:val="20"/>
          <w:szCs w:val="20"/>
        </w:rPr>
        <w:t xml:space="preserve"> </w:t>
      </w:r>
      <w:r w:rsidR="70A8AA07" w:rsidRPr="30CF2E0A">
        <w:rPr>
          <w:color w:val="auto"/>
          <w:sz w:val="20"/>
          <w:szCs w:val="20"/>
        </w:rPr>
        <w:t xml:space="preserve">guidance from </w:t>
      </w:r>
      <w:r w:rsidR="007E26A6" w:rsidRPr="1B70A579">
        <w:rPr>
          <w:color w:val="auto"/>
          <w:sz w:val="20"/>
          <w:szCs w:val="20"/>
        </w:rPr>
        <w:t>VFMC</w:t>
      </w:r>
      <w:r w:rsidR="000A3C5C">
        <w:rPr>
          <w:color w:val="auto"/>
          <w:sz w:val="20"/>
          <w:szCs w:val="20"/>
        </w:rPr>
        <w:t>,</w:t>
      </w:r>
      <w:r w:rsidR="007E26A6" w:rsidRPr="1B70A579">
        <w:rPr>
          <w:color w:val="auto"/>
          <w:sz w:val="20"/>
          <w:szCs w:val="20"/>
        </w:rPr>
        <w:t xml:space="preserve"> to meet </w:t>
      </w:r>
      <w:r w:rsidR="00CA7824" w:rsidRPr="1B70A579">
        <w:rPr>
          <w:color w:val="auto"/>
          <w:sz w:val="20"/>
          <w:szCs w:val="20"/>
        </w:rPr>
        <w:t xml:space="preserve">the investment objectives </w:t>
      </w:r>
      <w:r w:rsidR="003E2F46" w:rsidRPr="1B70A579">
        <w:rPr>
          <w:color w:val="auto"/>
          <w:sz w:val="20"/>
          <w:szCs w:val="20"/>
        </w:rPr>
        <w:t>to the Agency’s board for approval.</w:t>
      </w:r>
    </w:p>
    <w:p w14:paraId="55DE29DB" w14:textId="1D730069" w:rsidR="00BF7494" w:rsidRPr="00BF7494" w:rsidRDefault="00BF7494" w:rsidP="00932774">
      <w:r>
        <w:t xml:space="preserve">The Audit Committee should meet with VFMC once per year to oversee performance in line with </w:t>
      </w:r>
      <w:r w:rsidR="00B76375">
        <w:t>expectations</w:t>
      </w:r>
      <w:r w:rsidR="000F7376">
        <w:t>. Additionally, they should endeavour to</w:t>
      </w:r>
      <w:r w:rsidR="00B76375">
        <w:t xml:space="preserve"> attend </w:t>
      </w:r>
      <w:r w:rsidR="00AA1747">
        <w:t xml:space="preserve">investment updates provided by VFMC in order to </w:t>
      </w:r>
      <w:r w:rsidR="00062312">
        <w:t xml:space="preserve">obtain relevant context </w:t>
      </w:r>
      <w:r w:rsidR="006245BB">
        <w:t xml:space="preserve">surrounding the management of the investments </w:t>
      </w:r>
      <w:r w:rsidR="00307549">
        <w:t xml:space="preserve">in the execution of </w:t>
      </w:r>
      <w:r w:rsidR="007F67D8">
        <w:t xml:space="preserve">the </w:t>
      </w:r>
      <w:r w:rsidR="3DB5F952">
        <w:t>Committee’s</w:t>
      </w:r>
      <w:r w:rsidR="007F67D8">
        <w:t xml:space="preserve"> </w:t>
      </w:r>
      <w:r w:rsidR="00307549">
        <w:t>governance activities.</w:t>
      </w:r>
    </w:p>
    <w:p w14:paraId="58600426" w14:textId="4EC3E2EE" w:rsidR="00823E88" w:rsidRPr="00554FC8" w:rsidRDefault="00823E88" w:rsidP="00554FC8">
      <w:pPr>
        <w:pStyle w:val="Heading1NoNum"/>
      </w:pPr>
      <w:r w:rsidRPr="00554FC8">
        <w:t xml:space="preserve">Audit Committee </w:t>
      </w:r>
      <w:r w:rsidR="006D18D6">
        <w:t xml:space="preserve">performance and </w:t>
      </w:r>
      <w:r w:rsidRPr="00554FC8">
        <w:t>membership review</w:t>
      </w:r>
    </w:p>
    <w:p w14:paraId="768C00B1" w14:textId="00232286" w:rsidR="00823E88" w:rsidRPr="00123800" w:rsidRDefault="00554FC8" w:rsidP="00554FC8">
      <w:r>
        <w:t xml:space="preserve">Under </w:t>
      </w:r>
      <w:hyperlink r:id="rId128" w:anchor="standing-directions-2018" w:history="1">
        <w:r w:rsidRPr="0051115B">
          <w:rPr>
            <w:rStyle w:val="Hyperlink"/>
          </w:rPr>
          <w:t>Direction 3.2.1.4</w:t>
        </w:r>
      </w:hyperlink>
      <w:r>
        <w:t>, t</w:t>
      </w:r>
      <w:r w:rsidRPr="00554FC8">
        <w:t xml:space="preserve">he Responsible Body must formally review the Audit Committee’s performance and membership at least once every </w:t>
      </w:r>
      <w:r w:rsidR="005F37D8">
        <w:t>three</w:t>
      </w:r>
      <w:r w:rsidRPr="00554FC8">
        <w:t xml:space="preserve"> years.</w:t>
      </w:r>
      <w:r w:rsidR="00823E88" w:rsidRPr="00422ACB">
        <w:t xml:space="preserve"> </w:t>
      </w:r>
      <w:r>
        <w:t xml:space="preserve">The membership aspect of the review will help to </w:t>
      </w:r>
      <w:r w:rsidR="00823E88" w:rsidRPr="00422ACB">
        <w:t>ensure the</w:t>
      </w:r>
      <w:r w:rsidR="006848D2">
        <w:t xml:space="preserve"> individual members and the </w:t>
      </w:r>
      <w:r w:rsidR="00823E88" w:rsidRPr="00554FC8">
        <w:t>overall</w:t>
      </w:r>
      <w:r w:rsidR="00823E88" w:rsidRPr="00422ACB">
        <w:rPr>
          <w:b/>
        </w:rPr>
        <w:t xml:space="preserve"> </w:t>
      </w:r>
      <w:r w:rsidR="00823E88" w:rsidRPr="00422ACB">
        <w:t xml:space="preserve">composition of the </w:t>
      </w:r>
      <w:r>
        <w:t>A</w:t>
      </w:r>
      <w:r w:rsidR="00823E88" w:rsidRPr="00422ACB">
        <w:t xml:space="preserve">udit </w:t>
      </w:r>
      <w:r>
        <w:t>C</w:t>
      </w:r>
      <w:r w:rsidR="00823E88" w:rsidRPr="00422ACB">
        <w:t>ommitt</w:t>
      </w:r>
      <w:r w:rsidR="006848D2">
        <w:t>ee continue</w:t>
      </w:r>
      <w:r w:rsidR="00823E88" w:rsidRPr="00422ACB">
        <w:t xml:space="preserve"> to meet</w:t>
      </w:r>
      <w:r w:rsidR="006D18D6">
        <w:t xml:space="preserve"> performance expectations and </w:t>
      </w:r>
      <w:r w:rsidR="00823E88" w:rsidRPr="00422ACB">
        <w:t xml:space="preserve">the </w:t>
      </w:r>
      <w:r>
        <w:t xml:space="preserve">membership </w:t>
      </w:r>
      <w:r w:rsidR="00823E88" w:rsidRPr="00422ACB">
        <w:t xml:space="preserve">requirements of </w:t>
      </w:r>
      <w:hyperlink r:id="rId129" w:anchor="standing-directions-2018" w:history="1">
        <w:r w:rsidRPr="0051115B">
          <w:rPr>
            <w:rStyle w:val="Hyperlink"/>
          </w:rPr>
          <w:t>Direction 3.2.1.3</w:t>
        </w:r>
      </w:hyperlink>
      <w:r w:rsidR="00823E88" w:rsidRPr="00422ACB">
        <w:t xml:space="preserve">. </w:t>
      </w:r>
    </w:p>
    <w:p w14:paraId="74036CCD" w14:textId="658DD061" w:rsidR="00C426D3" w:rsidRPr="00C426D3" w:rsidRDefault="00C426D3" w:rsidP="00D94C7A">
      <w:pPr>
        <w:pStyle w:val="Heading1NoNum"/>
      </w:pPr>
      <w:r w:rsidRPr="00C426D3">
        <w:t>Annual self</w:t>
      </w:r>
      <w:r w:rsidR="00D62B6D">
        <w:noBreakHyphen/>
      </w:r>
      <w:r w:rsidRPr="00C426D3">
        <w:t>assessment</w:t>
      </w:r>
    </w:p>
    <w:p w14:paraId="4271E0E5" w14:textId="0171F501" w:rsidR="00C426D3" w:rsidRPr="00C426D3" w:rsidRDefault="00C426D3" w:rsidP="008E306C">
      <w:r w:rsidRPr="00E862D1">
        <w:t>In assessing its own performance</w:t>
      </w:r>
      <w:r w:rsidR="00554FC8" w:rsidRPr="00E862D1">
        <w:t xml:space="preserve"> </w:t>
      </w:r>
      <w:hyperlink r:id="rId130" w:anchor="standing-directions-2018" w:history="1">
        <w:r w:rsidR="00554FC8" w:rsidRPr="009E7377">
          <w:rPr>
            <w:rStyle w:val="Hyperlink"/>
          </w:rPr>
          <w:t xml:space="preserve">under </w:t>
        </w:r>
        <w:r w:rsidR="00554FC8" w:rsidRPr="0051115B">
          <w:rPr>
            <w:rStyle w:val="Hyperlink"/>
          </w:rPr>
          <w:t>Direction 3.2.1.3</w:t>
        </w:r>
        <w:r w:rsidR="00554FC8" w:rsidRPr="009E7377">
          <w:rPr>
            <w:rStyle w:val="Hyperlink"/>
          </w:rPr>
          <w:t>(</w:t>
        </w:r>
        <w:r w:rsidR="00767BBB" w:rsidRPr="009E7377">
          <w:rPr>
            <w:rStyle w:val="Hyperlink"/>
          </w:rPr>
          <w:t>g</w:t>
        </w:r>
        <w:r w:rsidR="00554FC8" w:rsidRPr="009E7377">
          <w:rPr>
            <w:rStyle w:val="Hyperlink"/>
          </w:rPr>
          <w:t>)</w:t>
        </w:r>
      </w:hyperlink>
      <w:r w:rsidRPr="00E862D1">
        <w:t>, the Audit Committee should consider at least the following:</w:t>
      </w:r>
      <w:r w:rsidRPr="00C426D3">
        <w:t xml:space="preserve"> </w:t>
      </w:r>
    </w:p>
    <w:p w14:paraId="25CD84BD" w14:textId="77777777" w:rsidR="00C426D3" w:rsidRPr="00123800" w:rsidRDefault="00C426D3" w:rsidP="000B15FD">
      <w:pPr>
        <w:pStyle w:val="GuidanceBullet1"/>
        <w:numPr>
          <w:ilvl w:val="0"/>
          <w:numId w:val="43"/>
        </w:numPr>
        <w:spacing w:before="40" w:after="40"/>
        <w:ind w:left="357" w:hanging="357"/>
      </w:pPr>
      <w:r w:rsidRPr="00123800">
        <w:t>the effectiveness of the Audit Committee as a whole;</w:t>
      </w:r>
    </w:p>
    <w:p w14:paraId="586A0E71" w14:textId="77777777" w:rsidR="00C426D3" w:rsidRPr="00123800" w:rsidRDefault="00F0586A" w:rsidP="000B15FD">
      <w:pPr>
        <w:pStyle w:val="GuidanceBullet1"/>
        <w:numPr>
          <w:ilvl w:val="0"/>
          <w:numId w:val="43"/>
        </w:numPr>
        <w:spacing w:before="40" w:after="40"/>
        <w:ind w:left="357" w:hanging="357"/>
      </w:pPr>
      <w:r>
        <w:t>the performance of individual Audit C</w:t>
      </w:r>
      <w:r w:rsidR="00C426D3" w:rsidRPr="00123800">
        <w:t>ommittee members (for external members, performance criteria may be included in their letter/contract of engagement, and for Agency staff, performance criteria may be included in their performance plans);</w:t>
      </w:r>
    </w:p>
    <w:p w14:paraId="77B8DF56" w14:textId="77777777" w:rsidR="00C426D3" w:rsidRPr="00123800" w:rsidRDefault="00C426D3" w:rsidP="000B15FD">
      <w:pPr>
        <w:pStyle w:val="GuidanceBullet1"/>
        <w:numPr>
          <w:ilvl w:val="0"/>
          <w:numId w:val="43"/>
        </w:numPr>
        <w:spacing w:before="40" w:after="40"/>
        <w:ind w:left="357" w:hanging="357"/>
      </w:pPr>
      <w:r w:rsidRPr="00123800">
        <w:t>identifying the process for implementing action plans that respond to areas identified for improvement; and</w:t>
      </w:r>
    </w:p>
    <w:p w14:paraId="0A5CE1BA" w14:textId="77777777" w:rsidR="00C426D3" w:rsidRPr="00123800" w:rsidRDefault="00C426D3" w:rsidP="000B15FD">
      <w:pPr>
        <w:pStyle w:val="GuidanceBullet1"/>
        <w:numPr>
          <w:ilvl w:val="0"/>
          <w:numId w:val="43"/>
        </w:numPr>
        <w:spacing w:before="40" w:after="40"/>
        <w:ind w:left="357" w:hanging="357"/>
      </w:pPr>
      <w:r w:rsidRPr="00123800">
        <w:t>compliance with the Audit Committee's charter.</w:t>
      </w:r>
    </w:p>
    <w:p w14:paraId="284C5D3C" w14:textId="77777777" w:rsidR="00C426D3" w:rsidRPr="00C426D3" w:rsidRDefault="00C426D3" w:rsidP="008E306C">
      <w:r w:rsidRPr="00C426D3">
        <w:t>The Audit Committee might assess its performance collectively and individually against criteria such as:</w:t>
      </w:r>
    </w:p>
    <w:p w14:paraId="14A19746" w14:textId="77777777" w:rsidR="00C426D3" w:rsidRPr="00123800" w:rsidRDefault="00C426D3" w:rsidP="000B15FD">
      <w:pPr>
        <w:pStyle w:val="GuidanceBullet1"/>
        <w:numPr>
          <w:ilvl w:val="0"/>
          <w:numId w:val="44"/>
        </w:numPr>
        <w:spacing w:before="40" w:after="40"/>
        <w:ind w:left="357" w:hanging="357"/>
      </w:pPr>
      <w:r w:rsidRPr="00123800">
        <w:t>a good understanding of, and commitment to, the Audit Committee’s role and responsibilities;</w:t>
      </w:r>
    </w:p>
    <w:p w14:paraId="16350F0E" w14:textId="77777777" w:rsidR="00C426D3" w:rsidRPr="00123800" w:rsidRDefault="00C426D3" w:rsidP="000B15FD">
      <w:pPr>
        <w:pStyle w:val="GuidanceBullet1"/>
        <w:numPr>
          <w:ilvl w:val="0"/>
          <w:numId w:val="44"/>
        </w:numPr>
        <w:spacing w:before="40" w:after="40"/>
        <w:ind w:left="357" w:hanging="357"/>
      </w:pPr>
      <w:r w:rsidRPr="00123800">
        <w:t xml:space="preserve">objectivity and independence; </w:t>
      </w:r>
    </w:p>
    <w:p w14:paraId="0C8F4F86" w14:textId="77777777" w:rsidR="00C426D3" w:rsidRPr="00123800" w:rsidRDefault="00C426D3" w:rsidP="000B15FD">
      <w:pPr>
        <w:pStyle w:val="GuidanceBullet1"/>
        <w:numPr>
          <w:ilvl w:val="0"/>
          <w:numId w:val="44"/>
        </w:numPr>
        <w:spacing w:before="40" w:after="40"/>
        <w:ind w:left="357" w:hanging="357"/>
      </w:pPr>
      <w:r w:rsidRPr="00123800">
        <w:t xml:space="preserve">an ability and willingness to take difficult but constructive positions at meetings when necessary; </w:t>
      </w:r>
    </w:p>
    <w:p w14:paraId="70EA8D6F" w14:textId="77777777" w:rsidR="00C426D3" w:rsidRPr="00123800" w:rsidRDefault="00C426D3" w:rsidP="000B15FD">
      <w:pPr>
        <w:pStyle w:val="GuidanceBullet1"/>
        <w:numPr>
          <w:ilvl w:val="0"/>
          <w:numId w:val="44"/>
        </w:numPr>
        <w:spacing w:before="40" w:after="40"/>
        <w:ind w:left="357" w:hanging="357"/>
      </w:pPr>
      <w:r w:rsidRPr="00123800">
        <w:t>a good understanding of the Agency’s business;</w:t>
      </w:r>
    </w:p>
    <w:p w14:paraId="7140DFA5" w14:textId="77777777" w:rsidR="00C426D3" w:rsidRPr="00123800" w:rsidRDefault="00C426D3" w:rsidP="000B15FD">
      <w:pPr>
        <w:pStyle w:val="GuidanceBullet1"/>
        <w:numPr>
          <w:ilvl w:val="0"/>
          <w:numId w:val="44"/>
        </w:numPr>
        <w:spacing w:before="40" w:after="40"/>
        <w:ind w:left="357" w:hanging="357"/>
      </w:pPr>
      <w:r w:rsidRPr="00123800">
        <w:t>a good understanding of the Agency’s risk management and internal control processes;</w:t>
      </w:r>
    </w:p>
    <w:p w14:paraId="60D0B4C0" w14:textId="77777777" w:rsidR="00C426D3" w:rsidRPr="00123800" w:rsidRDefault="00C426D3" w:rsidP="000B15FD">
      <w:pPr>
        <w:pStyle w:val="GuidanceBullet1"/>
        <w:numPr>
          <w:ilvl w:val="0"/>
          <w:numId w:val="44"/>
        </w:numPr>
        <w:spacing w:before="40" w:after="40"/>
        <w:ind w:left="357" w:hanging="357"/>
      </w:pPr>
      <w:r w:rsidRPr="00123800">
        <w:t xml:space="preserve">participation in activities to maintain current knowledge of their business, industry, financial and regulatory environment; and </w:t>
      </w:r>
    </w:p>
    <w:p w14:paraId="41B314AC" w14:textId="77777777" w:rsidR="00C426D3" w:rsidRPr="00123800" w:rsidRDefault="00C426D3" w:rsidP="000B15FD">
      <w:pPr>
        <w:pStyle w:val="GuidanceBullet1"/>
        <w:numPr>
          <w:ilvl w:val="0"/>
          <w:numId w:val="44"/>
        </w:numPr>
        <w:spacing w:before="40" w:after="40"/>
        <w:ind w:left="357" w:hanging="357"/>
      </w:pPr>
      <w:r w:rsidRPr="00123800">
        <w:t xml:space="preserve">preparation for, and participation in, Audit Committee meetings. </w:t>
      </w:r>
    </w:p>
    <w:p w14:paraId="0E2CEC0B" w14:textId="77777777" w:rsidR="00C426D3" w:rsidRPr="00C426D3" w:rsidRDefault="00C426D3" w:rsidP="008E306C">
      <w:pPr>
        <w:spacing w:before="120" w:after="120" w:line="240" w:lineRule="atLeast"/>
      </w:pPr>
      <w:r w:rsidRPr="00C426D3">
        <w:t>Audit committees can use tools such as self</w:t>
      </w:r>
      <w:r w:rsidR="00D62B6D">
        <w:noBreakHyphen/>
      </w:r>
      <w:r w:rsidRPr="00C426D3">
        <w:t>assessment questionnaires to assist with the evaluation of a member’s performance and contribution to the Audit Committee. The Audit Committee may also seek input from non</w:t>
      </w:r>
      <w:r w:rsidR="00D62B6D">
        <w:noBreakHyphen/>
      </w:r>
      <w:r w:rsidRPr="00C426D3">
        <w:t>member attendees and separately assess the information received.</w:t>
      </w:r>
    </w:p>
    <w:p w14:paraId="6C682880" w14:textId="77777777" w:rsidR="00C426D3" w:rsidRPr="00C426D3" w:rsidRDefault="00C426D3" w:rsidP="008E306C">
      <w:pPr>
        <w:spacing w:before="120" w:after="120" w:line="240" w:lineRule="atLeast"/>
      </w:pPr>
      <w:r w:rsidRPr="00C426D3">
        <w:t>The self</w:t>
      </w:r>
      <w:r w:rsidR="00D62B6D">
        <w:noBreakHyphen/>
      </w:r>
      <w:r w:rsidRPr="00C426D3">
        <w:t>assessment approach adopted by the Audit Committee should cover areas in the Committee’s charter such as authority, membership, meetings, organisation and responsibilities.</w:t>
      </w:r>
    </w:p>
    <w:p w14:paraId="72E6B3C7" w14:textId="77777777" w:rsidR="00C426D3" w:rsidRPr="00C426D3" w:rsidRDefault="00C426D3" w:rsidP="008E306C">
      <w:pPr>
        <w:spacing w:before="120" w:after="120" w:line="240" w:lineRule="atLeast"/>
      </w:pPr>
      <w:r w:rsidRPr="00C426D3">
        <w:t>The results of the self</w:t>
      </w:r>
      <w:r w:rsidR="00D62B6D">
        <w:noBreakHyphen/>
      </w:r>
      <w:r w:rsidRPr="00C426D3">
        <w:t xml:space="preserve">assessment should be used by the Audit Committee for discussion to identify areas for improvement and be provided to the chair of the Responsible Body. </w:t>
      </w:r>
    </w:p>
    <w:p w14:paraId="178BCE1C" w14:textId="77777777" w:rsidR="00C426D3" w:rsidRPr="00C426D3" w:rsidRDefault="00C426D3" w:rsidP="00D94C7A">
      <w:pPr>
        <w:pStyle w:val="Heading1NoNum"/>
      </w:pPr>
      <w:r w:rsidRPr="00C426D3">
        <w:t>Audit Committee Charter</w:t>
      </w:r>
    </w:p>
    <w:p w14:paraId="696EC28A" w14:textId="77777777" w:rsidR="00C426D3" w:rsidRPr="00C426D3" w:rsidRDefault="00C426D3" w:rsidP="008E306C">
      <w:pPr>
        <w:spacing w:before="120" w:after="120" w:line="240" w:lineRule="atLeast"/>
      </w:pPr>
      <w:r w:rsidRPr="00C426D3">
        <w:t xml:space="preserve">The Audit Committee charter </w:t>
      </w:r>
      <w:r w:rsidR="00D8719C">
        <w:t>should</w:t>
      </w:r>
      <w:r w:rsidR="00D8719C" w:rsidRPr="00C426D3">
        <w:t xml:space="preserve"> </w:t>
      </w:r>
      <w:r w:rsidRPr="00C426D3">
        <w:t>be consistent with the requirements of the Audit Committee as specified in the Directions and specify at a minimum, the following:</w:t>
      </w:r>
    </w:p>
    <w:p w14:paraId="592A1514" w14:textId="77777777" w:rsidR="00C426D3" w:rsidRPr="00C426D3" w:rsidRDefault="00C426D3" w:rsidP="000B15FD">
      <w:pPr>
        <w:pStyle w:val="GuidanceBullet1"/>
        <w:numPr>
          <w:ilvl w:val="0"/>
          <w:numId w:val="45"/>
        </w:numPr>
        <w:spacing w:before="40" w:after="40"/>
        <w:ind w:left="357" w:hanging="357"/>
      </w:pPr>
      <w:r w:rsidRPr="00C426D3">
        <w:t>authority, role, operations and membership requirements (including declarations of interests) of the Committee;</w:t>
      </w:r>
    </w:p>
    <w:p w14:paraId="3E777E27" w14:textId="77777777" w:rsidR="007A23FF" w:rsidRDefault="00C426D3" w:rsidP="000B15FD">
      <w:pPr>
        <w:pStyle w:val="GuidanceBullet1"/>
        <w:numPr>
          <w:ilvl w:val="0"/>
          <w:numId w:val="45"/>
        </w:numPr>
        <w:spacing w:before="40" w:after="40"/>
        <w:ind w:left="357" w:hanging="357"/>
      </w:pPr>
      <w:r w:rsidRPr="00C426D3">
        <w:t>frequency of meetings, quorum, how and when the minutes and recommendations of the Audit Committee are forwarded to the Responsible Body;</w:t>
      </w:r>
    </w:p>
    <w:p w14:paraId="092F6880" w14:textId="77777777" w:rsidR="00C426D3" w:rsidRPr="00C426D3" w:rsidRDefault="00C426D3" w:rsidP="000B15FD">
      <w:pPr>
        <w:pStyle w:val="GuidanceBullet1"/>
        <w:numPr>
          <w:ilvl w:val="0"/>
          <w:numId w:val="45"/>
        </w:numPr>
        <w:spacing w:before="40" w:after="40"/>
        <w:ind w:left="357" w:hanging="357"/>
      </w:pPr>
      <w:r w:rsidRPr="00C426D3">
        <w:lastRenderedPageBreak/>
        <w:t xml:space="preserve">the process and authority for the Committee to access staff and information held by the Agency relevant to the Committee’s responsibilities; </w:t>
      </w:r>
    </w:p>
    <w:p w14:paraId="7AC8B12A" w14:textId="4E4FE334" w:rsidR="00C426D3" w:rsidRPr="00C426D3" w:rsidRDefault="00C426D3" w:rsidP="000B15FD">
      <w:pPr>
        <w:pStyle w:val="GuidanceBullet1"/>
        <w:numPr>
          <w:ilvl w:val="0"/>
          <w:numId w:val="45"/>
        </w:numPr>
        <w:spacing w:before="40" w:after="40"/>
        <w:ind w:left="357" w:hanging="357"/>
      </w:pPr>
      <w:r w:rsidRPr="00C426D3">
        <w:t>authorisation for the Chair to have direct access to the Responsible Body to discuss any matters deemed necessary;</w:t>
      </w:r>
      <w:r w:rsidR="00CA6CEE">
        <w:t> </w:t>
      </w:r>
      <w:r w:rsidRPr="00C426D3">
        <w:t>and</w:t>
      </w:r>
    </w:p>
    <w:p w14:paraId="0041A115" w14:textId="77777777" w:rsidR="00C426D3" w:rsidRPr="00C426D3" w:rsidRDefault="00C426D3" w:rsidP="000B15FD">
      <w:pPr>
        <w:pStyle w:val="GuidanceBullet1"/>
        <w:numPr>
          <w:ilvl w:val="0"/>
          <w:numId w:val="45"/>
        </w:numPr>
        <w:spacing w:before="40" w:after="40"/>
        <w:ind w:left="357" w:hanging="357"/>
      </w:pPr>
      <w:r w:rsidRPr="00C426D3">
        <w:t>authorisation for the Committee to seek independent professional advice, as and when required to enhance its independence and capacity to obtain a full appreciation of relevant issues.</w:t>
      </w:r>
    </w:p>
    <w:p w14:paraId="70CD49D0" w14:textId="22860D91" w:rsidR="00C426D3" w:rsidRPr="00C426D3" w:rsidRDefault="006F4638" w:rsidP="008E306C">
      <w:pPr>
        <w:spacing w:before="120" w:after="120" w:line="240" w:lineRule="atLeast"/>
      </w:pPr>
      <w:r>
        <w:t>S</w:t>
      </w:r>
      <w:r w:rsidR="00C426D3" w:rsidRPr="00C426D3">
        <w:t>ample Audit Committee charter</w:t>
      </w:r>
      <w:r>
        <w:t>s</w:t>
      </w:r>
      <w:r w:rsidR="00C426D3" w:rsidRPr="00C426D3">
        <w:t xml:space="preserve"> </w:t>
      </w:r>
      <w:r>
        <w:t xml:space="preserve">are </w:t>
      </w:r>
      <w:r w:rsidR="00C426D3" w:rsidRPr="00C426D3">
        <w:t xml:space="preserve">available on the </w:t>
      </w:r>
      <w:hyperlink r:id="rId131" w:history="1">
        <w:r w:rsidR="00322470" w:rsidRPr="00322470">
          <w:rPr>
            <w:rStyle w:val="Hyperlink"/>
          </w:rPr>
          <w:t>Victorian Public Sector Commission</w:t>
        </w:r>
      </w:hyperlink>
      <w:r w:rsidR="007A23FF">
        <w:rPr>
          <w:rStyle w:val="FootnoteReference"/>
          <w:color w:val="595959" w:themeColor="text1" w:themeTint="A6"/>
        </w:rPr>
        <w:footnoteReference w:id="16"/>
      </w:r>
      <w:r w:rsidR="00322470">
        <w:t xml:space="preserve"> or the </w:t>
      </w:r>
      <w:hyperlink r:id="rId132" w:history="1">
        <w:r w:rsidR="00322470" w:rsidRPr="00322470">
          <w:rPr>
            <w:rStyle w:val="Hyperlink"/>
          </w:rPr>
          <w:t>Australian National Audit Office</w:t>
        </w:r>
      </w:hyperlink>
      <w:r w:rsidR="007A23FF">
        <w:rPr>
          <w:rStyle w:val="FootnoteReference"/>
          <w:color w:val="595959" w:themeColor="text1" w:themeTint="A6"/>
        </w:rPr>
        <w:footnoteReference w:id="17"/>
      </w:r>
      <w:r w:rsidR="004815FD">
        <w:t xml:space="preserve"> website</w:t>
      </w:r>
      <w:r w:rsidR="00BD1721">
        <w:t>s</w:t>
      </w:r>
      <w:r w:rsidR="004815FD">
        <w:t xml:space="preserve">. </w:t>
      </w:r>
    </w:p>
    <w:p w14:paraId="0E95B0B2" w14:textId="26157B7D" w:rsidR="00C426D3" w:rsidRPr="00C426D3" w:rsidRDefault="00C426D3" w:rsidP="00D94C7A">
      <w:pPr>
        <w:pStyle w:val="Heading1NoNum"/>
      </w:pPr>
      <w:r w:rsidRPr="00C426D3">
        <w:t xml:space="preserve">Appropriate skills and experience </w:t>
      </w:r>
    </w:p>
    <w:p w14:paraId="1FA84F65" w14:textId="77777777" w:rsidR="00C426D3" w:rsidRPr="00C426D3" w:rsidRDefault="00C426D3" w:rsidP="008E306C">
      <w:pPr>
        <w:spacing w:before="120" w:after="120" w:line="240" w:lineRule="atLeast"/>
      </w:pPr>
      <w:r w:rsidRPr="00C426D3">
        <w:t>The appropriate skills and experience for the Audit Committee include:</w:t>
      </w:r>
    </w:p>
    <w:p w14:paraId="16FA880C" w14:textId="77777777" w:rsidR="00C426D3" w:rsidRPr="00123800" w:rsidRDefault="00C426D3" w:rsidP="000B15FD">
      <w:pPr>
        <w:pStyle w:val="GuidanceBullet1"/>
        <w:numPr>
          <w:ilvl w:val="0"/>
          <w:numId w:val="46"/>
        </w:numPr>
      </w:pPr>
      <w:r w:rsidRPr="00123800">
        <w:t>integrity, objectivity, accountability, honesty and openness;</w:t>
      </w:r>
    </w:p>
    <w:p w14:paraId="2441EA3C" w14:textId="77777777" w:rsidR="00C426D3" w:rsidRPr="00123800" w:rsidRDefault="00C426D3" w:rsidP="000B15FD">
      <w:pPr>
        <w:pStyle w:val="GuidanceBullet1"/>
        <w:numPr>
          <w:ilvl w:val="0"/>
          <w:numId w:val="46"/>
        </w:numPr>
      </w:pPr>
      <w:r w:rsidRPr="00123800">
        <w:t>an understanding of the Agency, its products, its services, risks and controls (it is noted that new audit committee members may not have a full understanding of the Agency when joining and should be given sufficient time to understand the business);</w:t>
      </w:r>
    </w:p>
    <w:p w14:paraId="0FC3CA47" w14:textId="77777777" w:rsidR="00C426D3" w:rsidRPr="00123800" w:rsidRDefault="00C426D3" w:rsidP="000B15FD">
      <w:pPr>
        <w:pStyle w:val="GuidanceBullet1"/>
        <w:numPr>
          <w:ilvl w:val="0"/>
          <w:numId w:val="46"/>
        </w:numPr>
      </w:pPr>
      <w:r w:rsidRPr="00123800">
        <w:t>the ability to read or understand basic financial statements, ask relevant questions about them and interpret and evaluate the answers;</w:t>
      </w:r>
    </w:p>
    <w:p w14:paraId="6533CE66" w14:textId="77777777" w:rsidR="00C426D3" w:rsidRPr="00123800" w:rsidRDefault="00C426D3" w:rsidP="000B15FD">
      <w:pPr>
        <w:pStyle w:val="GuidanceBullet1"/>
        <w:numPr>
          <w:ilvl w:val="0"/>
          <w:numId w:val="46"/>
        </w:numPr>
      </w:pPr>
      <w:r w:rsidRPr="00123800">
        <w:t xml:space="preserve">the ability to enquire, evaluate and make independent judgement; </w:t>
      </w:r>
    </w:p>
    <w:p w14:paraId="0F81F946" w14:textId="77777777" w:rsidR="00C426D3" w:rsidRPr="00123800" w:rsidRDefault="00C426D3" w:rsidP="000B15FD">
      <w:pPr>
        <w:pStyle w:val="GuidanceBullet1"/>
        <w:numPr>
          <w:ilvl w:val="0"/>
          <w:numId w:val="46"/>
        </w:numPr>
      </w:pPr>
      <w:r w:rsidRPr="00123800">
        <w:t>the ability to offer different perspectives to management and constructive suggestions; and</w:t>
      </w:r>
    </w:p>
    <w:p w14:paraId="08449A38" w14:textId="77777777" w:rsidR="0088430E" w:rsidRDefault="00C426D3" w:rsidP="000B15FD">
      <w:pPr>
        <w:pStyle w:val="GuidanceBullet1"/>
        <w:numPr>
          <w:ilvl w:val="0"/>
          <w:numId w:val="46"/>
        </w:numPr>
      </w:pPr>
      <w:r w:rsidRPr="00123800">
        <w:t>an understandin</w:t>
      </w:r>
      <w:r w:rsidR="0088430E">
        <w:t>g of Audit Committee functions.</w:t>
      </w:r>
    </w:p>
    <w:p w14:paraId="4ADD1B21" w14:textId="77777777" w:rsidR="00E97C2E" w:rsidRDefault="00C426D3" w:rsidP="0088430E">
      <w:r w:rsidRPr="00C426D3">
        <w:t>In addition, Audit Committee members should have the capacity to dedicate sufficient time and energy to the role.</w:t>
      </w:r>
    </w:p>
    <w:p w14:paraId="1F669117" w14:textId="77777777" w:rsidR="00C426D3" w:rsidRPr="00C426D3" w:rsidRDefault="00C426D3" w:rsidP="00D94C7A">
      <w:pPr>
        <w:pStyle w:val="Heading1NoNum"/>
      </w:pPr>
      <w:r w:rsidRPr="00C426D3">
        <w:t>Appropriate expertise in financial accounting or auditing</w:t>
      </w:r>
    </w:p>
    <w:p w14:paraId="3CD8D980" w14:textId="77777777" w:rsidR="00C426D3" w:rsidRPr="00C426D3" w:rsidRDefault="00C426D3" w:rsidP="008E306C">
      <w:pPr>
        <w:spacing w:before="120" w:after="120" w:line="240" w:lineRule="atLeast"/>
      </w:pPr>
      <w:r w:rsidRPr="00C426D3">
        <w:t>Appropriate expertise includes any of the following:</w:t>
      </w:r>
    </w:p>
    <w:p w14:paraId="661CDB8A" w14:textId="77777777" w:rsidR="00C426D3" w:rsidRPr="00123800" w:rsidRDefault="00C426D3" w:rsidP="000B15FD">
      <w:pPr>
        <w:pStyle w:val="GuidanceBullet1"/>
        <w:numPr>
          <w:ilvl w:val="0"/>
          <w:numId w:val="47"/>
        </w:numPr>
      </w:pPr>
      <w:r w:rsidRPr="00123800">
        <w:t>a thorough knowledge of Australian accounting standa</w:t>
      </w:r>
      <w:r w:rsidR="00322470">
        <w:t xml:space="preserve">rds and financial statements; </w:t>
      </w:r>
    </w:p>
    <w:p w14:paraId="7C1F2761" w14:textId="77777777" w:rsidR="00C426D3" w:rsidRPr="00123800" w:rsidRDefault="00C426D3" w:rsidP="000B15FD">
      <w:pPr>
        <w:pStyle w:val="GuidanceBullet1"/>
        <w:numPr>
          <w:ilvl w:val="0"/>
          <w:numId w:val="47"/>
        </w:numPr>
      </w:pPr>
      <w:r w:rsidRPr="00123800">
        <w:t>experience in applying the Australian accounting standards in connection with financial reporting and</w:t>
      </w:r>
      <w:r w:rsidR="00322470">
        <w:t xml:space="preserve"> public financial statements; </w:t>
      </w:r>
    </w:p>
    <w:p w14:paraId="5236A3CE" w14:textId="77777777" w:rsidR="00C426D3" w:rsidRPr="00123800" w:rsidRDefault="00C426D3" w:rsidP="000B15FD">
      <w:pPr>
        <w:pStyle w:val="GuidanceBullet1"/>
        <w:numPr>
          <w:ilvl w:val="0"/>
          <w:numId w:val="47"/>
        </w:numPr>
      </w:pPr>
      <w:r w:rsidRPr="00123800">
        <w:t>experience in preparing or auditing general purpose financial st</w:t>
      </w:r>
      <w:r w:rsidR="00322470">
        <w:t xml:space="preserve">atements; </w:t>
      </w:r>
    </w:p>
    <w:p w14:paraId="15370183" w14:textId="77777777" w:rsidR="00C426D3" w:rsidRPr="00123800" w:rsidRDefault="00C426D3" w:rsidP="000B15FD">
      <w:pPr>
        <w:pStyle w:val="GuidanceBullet1"/>
        <w:numPr>
          <w:ilvl w:val="0"/>
          <w:numId w:val="47"/>
        </w:numPr>
      </w:pPr>
      <w:r w:rsidRPr="00123800">
        <w:t>an understanding of the accounting issues w</w:t>
      </w:r>
      <w:r w:rsidR="00322470">
        <w:t xml:space="preserve">ithin the specific industry; </w:t>
      </w:r>
    </w:p>
    <w:p w14:paraId="7A41B2BD" w14:textId="77777777" w:rsidR="00C426D3" w:rsidRPr="00123800" w:rsidRDefault="00C426D3" w:rsidP="000B15FD">
      <w:pPr>
        <w:pStyle w:val="GuidanceBullet1"/>
        <w:numPr>
          <w:ilvl w:val="0"/>
          <w:numId w:val="47"/>
        </w:numPr>
      </w:pPr>
      <w:r w:rsidRPr="00123800">
        <w:t>a thorough knowledge of Australian auditing standards; or</w:t>
      </w:r>
    </w:p>
    <w:p w14:paraId="4572E6AF" w14:textId="77777777" w:rsidR="00E97C2E" w:rsidRDefault="00C426D3" w:rsidP="000B15FD">
      <w:pPr>
        <w:pStyle w:val="GuidanceBullet1"/>
        <w:numPr>
          <w:ilvl w:val="0"/>
          <w:numId w:val="47"/>
        </w:numPr>
      </w:pPr>
      <w:r w:rsidRPr="00123800">
        <w:t>experience with internal controls and procedures for financial reporting.</w:t>
      </w:r>
    </w:p>
    <w:p w14:paraId="6408A24F" w14:textId="77777777" w:rsidR="0088430E" w:rsidRDefault="00E97C2E" w:rsidP="008E306C">
      <w:pPr>
        <w:keepNext/>
        <w:spacing w:before="120" w:after="120" w:line="216" w:lineRule="auto"/>
        <w:outlineLvl w:val="0"/>
      </w:pPr>
      <w:r w:rsidRPr="0037452B">
        <w:t xml:space="preserve">A Responsible Body may look beyond their own Board to appoint an external </w:t>
      </w:r>
      <w:r w:rsidR="00F0586A">
        <w:t>Audit C</w:t>
      </w:r>
      <w:r w:rsidRPr="0037452B">
        <w:t>ommittee member should no member of their Board be able to provide the appropriate expertise in financial accounting or auditing, or to meet the requirement for a majority of independent members.</w:t>
      </w:r>
    </w:p>
    <w:p w14:paraId="3A47AFA1" w14:textId="77777777" w:rsidR="00C426D3" w:rsidRPr="00C426D3" w:rsidRDefault="00C426D3" w:rsidP="00D94C7A">
      <w:pPr>
        <w:pStyle w:val="Heading1NoNum"/>
      </w:pPr>
      <w:r w:rsidRPr="00C426D3">
        <w:t>Independent members</w:t>
      </w:r>
    </w:p>
    <w:p w14:paraId="6B2981C9" w14:textId="77777777" w:rsidR="00C426D3" w:rsidRPr="00C426D3" w:rsidRDefault="00C426D3" w:rsidP="008E306C">
      <w:pPr>
        <w:spacing w:before="120" w:after="120" w:line="240" w:lineRule="atLeast"/>
      </w:pPr>
      <w:r w:rsidRPr="00C426D3">
        <w:t>An independent member of an Audit Committee is not involved in the day</w:t>
      </w:r>
      <w:r w:rsidR="00D62B6D">
        <w:noBreakHyphen/>
      </w:r>
      <w:r w:rsidRPr="00C426D3">
        <w:t>to</w:t>
      </w:r>
      <w:r w:rsidR="00D62B6D">
        <w:noBreakHyphen/>
      </w:r>
      <w:r w:rsidRPr="00C426D3">
        <w:t xml:space="preserve">day management of the Agency. This seeks to ensure that the independent Audit Committee member acts in an objective, impartial manner, is free from conflict of interest, inherent bias or undue external influence. </w:t>
      </w:r>
    </w:p>
    <w:p w14:paraId="3264F51B" w14:textId="77777777" w:rsidR="00C426D3" w:rsidRPr="00C426D3" w:rsidRDefault="00C426D3" w:rsidP="008E306C">
      <w:pPr>
        <w:spacing w:before="120" w:after="120" w:line="240" w:lineRule="atLeast"/>
      </w:pPr>
      <w:r w:rsidRPr="00C426D3">
        <w:t xml:space="preserve">For Departments, independent members must be external to the Department. </w:t>
      </w:r>
      <w:r w:rsidR="00E97C2E">
        <w:t>Where Departments have an even number of independent (external) and non</w:t>
      </w:r>
      <w:r w:rsidR="00D62B6D">
        <w:noBreakHyphen/>
      </w:r>
      <w:r w:rsidR="00E97C2E">
        <w:t>independent members (management) on the Committee</w:t>
      </w:r>
      <w:r w:rsidR="0088430E">
        <w:t>,</w:t>
      </w:r>
      <w:r w:rsidR="00E97C2E">
        <w:t xml:space="preserve"> the independent chair will have the casting vote in any decisions requiring a vote. In this situation a Department will be compliant with the Direction.</w:t>
      </w:r>
    </w:p>
    <w:p w14:paraId="54BA5F04" w14:textId="77777777" w:rsidR="00C426D3" w:rsidRPr="00C426D3" w:rsidRDefault="00C426D3" w:rsidP="008E306C">
      <w:pPr>
        <w:spacing w:before="120" w:after="120" w:line="240" w:lineRule="atLeast"/>
      </w:pPr>
      <w:r w:rsidRPr="00C426D3">
        <w:t>For Agencies in which the Responsible Body is the board, at least three members must be non</w:t>
      </w:r>
      <w:r w:rsidR="00D62B6D">
        <w:noBreakHyphen/>
      </w:r>
      <w:r w:rsidRPr="00C426D3">
        <w:t>executive directors of the board. At least two of those three members must be independent.</w:t>
      </w:r>
      <w:r w:rsidRPr="00C426D3" w:rsidDel="009E2BEC">
        <w:t xml:space="preserve"> </w:t>
      </w:r>
    </w:p>
    <w:p w14:paraId="0CDBED74" w14:textId="77777777" w:rsidR="00C426D3" w:rsidRPr="00C426D3" w:rsidRDefault="00C426D3" w:rsidP="008E306C">
      <w:pPr>
        <w:spacing w:before="120" w:after="120" w:line="240" w:lineRule="atLeast"/>
      </w:pPr>
      <w:r w:rsidRPr="00C426D3">
        <w:lastRenderedPageBreak/>
        <w:t>Relationships that may be seen to impair an Audit Committee member’s independence include:</w:t>
      </w:r>
    </w:p>
    <w:p w14:paraId="6C313C2D" w14:textId="77777777" w:rsidR="00C426D3" w:rsidRPr="00123800" w:rsidRDefault="00C426D3" w:rsidP="000B15FD">
      <w:pPr>
        <w:pStyle w:val="GuidanceBullet1"/>
        <w:numPr>
          <w:ilvl w:val="0"/>
          <w:numId w:val="48"/>
        </w:numPr>
      </w:pPr>
      <w:r w:rsidRPr="00123800">
        <w:t xml:space="preserve">current or previous employment by the Agency or having been a </w:t>
      </w:r>
      <w:r w:rsidR="002D64CE" w:rsidRPr="00123800">
        <w:t>non</w:t>
      </w:r>
      <w:r w:rsidR="00D62B6D">
        <w:noBreakHyphen/>
      </w:r>
      <w:r w:rsidR="002D64CE" w:rsidRPr="00123800">
        <w:t xml:space="preserve">executive Board </w:t>
      </w:r>
      <w:r w:rsidRPr="00123800">
        <w:t>director after ceasing t</w:t>
      </w:r>
      <w:r w:rsidR="00E325C0">
        <w:t xml:space="preserve">o hold such employment; </w:t>
      </w:r>
    </w:p>
    <w:p w14:paraId="37DE7DAA" w14:textId="77777777" w:rsidR="00C426D3" w:rsidRPr="00123800" w:rsidRDefault="00C426D3" w:rsidP="000B15FD">
      <w:pPr>
        <w:pStyle w:val="GuidanceBullet1"/>
        <w:numPr>
          <w:ilvl w:val="0"/>
          <w:numId w:val="48"/>
        </w:numPr>
      </w:pPr>
      <w:r w:rsidRPr="00123800">
        <w:t xml:space="preserve">receipt of material consulting, advisory or contractual relationship with the Agency other than as </w:t>
      </w:r>
      <w:r w:rsidR="002D64CE" w:rsidRPr="00123800">
        <w:t xml:space="preserve">a Board or </w:t>
      </w:r>
      <w:r w:rsidRPr="00123800">
        <w:t>committee member of the Agency; or</w:t>
      </w:r>
    </w:p>
    <w:p w14:paraId="6D87AB36" w14:textId="77777777" w:rsidR="00C426D3" w:rsidRPr="00123800" w:rsidRDefault="00C426D3" w:rsidP="000B15FD">
      <w:pPr>
        <w:pStyle w:val="GuidanceBullet1"/>
        <w:numPr>
          <w:ilvl w:val="0"/>
          <w:numId w:val="48"/>
        </w:numPr>
      </w:pPr>
      <w:r w:rsidRPr="00123800">
        <w:t>any interest and any business or other relationship which could, or could reasonably be perceived to, materially interfere with the person’s ability to act in the best interests of the Agency.</w:t>
      </w:r>
    </w:p>
    <w:p w14:paraId="08C02943" w14:textId="70A4DB5E" w:rsidR="00F316E1" w:rsidRPr="00F32F81" w:rsidRDefault="00F316E1" w:rsidP="007E6056">
      <w:pPr>
        <w:tabs>
          <w:tab w:val="left" w:pos="0"/>
        </w:tabs>
        <w:spacing w:before="80" w:after="80" w:line="240" w:lineRule="atLeast"/>
      </w:pPr>
      <w:r>
        <w:t xml:space="preserve">A </w:t>
      </w:r>
      <w:r w:rsidRPr="0037452B">
        <w:t>non</w:t>
      </w:r>
      <w:r w:rsidR="00D62B6D">
        <w:noBreakHyphen/>
      </w:r>
      <w:r w:rsidRPr="0037452B">
        <w:t>executive director</w:t>
      </w:r>
      <w:r>
        <w:t xml:space="preserve"> is a member o</w:t>
      </w:r>
      <w:r w:rsidR="006F0D5C">
        <w:t>f the Board of directors of an A</w:t>
      </w:r>
      <w:r>
        <w:t xml:space="preserve">gency who </w:t>
      </w:r>
      <w:r w:rsidRPr="0037452B">
        <w:t>does not</w:t>
      </w:r>
      <w:r>
        <w:t xml:space="preserve"> form part of the executive management team</w:t>
      </w:r>
      <w:r w:rsidR="00995ED6">
        <w:t xml:space="preserve">. </w:t>
      </w:r>
      <w:r>
        <w:t>For example, they are not the Chief Executive Officer or Chief Finance and Accounting Officer.</w:t>
      </w:r>
      <w:r w:rsidRPr="00F32F81">
        <w:t xml:space="preserve"> </w:t>
      </w:r>
    </w:p>
    <w:p w14:paraId="4EFB9F85" w14:textId="50C46B7A" w:rsidR="00F316E1" w:rsidRDefault="00F316E1" w:rsidP="007E6056">
      <w:pPr>
        <w:tabs>
          <w:tab w:val="left" w:pos="0"/>
        </w:tabs>
        <w:spacing w:before="80" w:after="80" w:line="240" w:lineRule="atLeast"/>
      </w:pPr>
      <w:r>
        <w:t xml:space="preserve">Generally, </w:t>
      </w:r>
      <w:r w:rsidR="00F0586A">
        <w:t>Audit C</w:t>
      </w:r>
      <w:r>
        <w:t>ommittee members are sourced from non</w:t>
      </w:r>
      <w:r w:rsidR="00D62B6D">
        <w:noBreakHyphen/>
      </w:r>
      <w:r>
        <w:t>executive directors on the Board. As such, a non</w:t>
      </w:r>
      <w:r w:rsidR="00D62B6D">
        <w:noBreakHyphen/>
      </w:r>
      <w:r>
        <w:t>executive board member (director) can also b</w:t>
      </w:r>
      <w:r w:rsidR="00F0586A">
        <w:t>e an independent member of the Audit C</w:t>
      </w:r>
      <w:r>
        <w:t>ommittee</w:t>
      </w:r>
      <w:r w:rsidR="00995ED6">
        <w:t xml:space="preserve">. </w:t>
      </w:r>
      <w:r>
        <w:t>The concepts of ‘non</w:t>
      </w:r>
      <w:r w:rsidR="00D62B6D">
        <w:noBreakHyphen/>
      </w:r>
      <w:r>
        <w:t xml:space="preserve">executive director’ (i.e. member </w:t>
      </w:r>
      <w:r w:rsidR="00F0586A">
        <w:t>of the Board) and ‘independent Audit C</w:t>
      </w:r>
      <w:r>
        <w:t>ommittee member’ are therefore not mutually exclusive.</w:t>
      </w:r>
    </w:p>
    <w:p w14:paraId="2623834A" w14:textId="77777777" w:rsidR="00F316E1" w:rsidRDefault="00F316E1" w:rsidP="007E6056">
      <w:pPr>
        <w:spacing w:before="80" w:after="80" w:line="240" w:lineRule="atLeast"/>
      </w:pPr>
      <w:r w:rsidRPr="00C426D3">
        <w:t>An employee of the Agency can be a member of the Audit Committee, however they are not considered an ‘independent’ member.</w:t>
      </w:r>
    </w:p>
    <w:p w14:paraId="3B707CC8" w14:textId="724BC34D" w:rsidR="00C426D3" w:rsidRPr="00C426D3" w:rsidRDefault="00C426D3" w:rsidP="007E6056">
      <w:pPr>
        <w:spacing w:before="80" w:after="80" w:line="240" w:lineRule="atLeast"/>
      </w:pPr>
      <w:r w:rsidRPr="00C426D3">
        <w:t>While under the Directions an Audit Committee may have internal management representatives, these should not include execu</w:t>
      </w:r>
      <w:r w:rsidR="00465158">
        <w:t>tive members of the board. For D</w:t>
      </w:r>
      <w:r w:rsidRPr="00C426D3">
        <w:t>epartments members of the executive team may be members of the Audit Committee (except those excluded in the Direction)</w:t>
      </w:r>
      <w:r w:rsidR="00F316E1">
        <w:t>.</w:t>
      </w:r>
      <w:r w:rsidR="00EF42AE">
        <w:t xml:space="preserve"> </w:t>
      </w:r>
      <w:r w:rsidR="00F316E1">
        <w:t>H</w:t>
      </w:r>
      <w:r w:rsidRPr="00C426D3">
        <w:t>owever</w:t>
      </w:r>
      <w:r w:rsidR="004561D4">
        <w:t>,</w:t>
      </w:r>
      <w:r w:rsidR="00F316E1">
        <w:t xml:space="preserve"> while</w:t>
      </w:r>
      <w:r w:rsidRPr="00C426D3">
        <w:t xml:space="preserve"> these members</w:t>
      </w:r>
      <w:r w:rsidR="00F316E1">
        <w:t xml:space="preserve"> can participate in </w:t>
      </w:r>
      <w:r w:rsidR="00E43990">
        <w:t>discussions,</w:t>
      </w:r>
      <w:r w:rsidR="00F316E1">
        <w:t xml:space="preserve"> they</w:t>
      </w:r>
      <w:r w:rsidRPr="00C426D3">
        <w:t xml:space="preserve"> should not vote on issues related to their functional area due to conflict of interest. </w:t>
      </w:r>
    </w:p>
    <w:p w14:paraId="656FE8C2" w14:textId="77777777" w:rsidR="004561D4" w:rsidRDefault="00F316E1" w:rsidP="007E6056">
      <w:pPr>
        <w:spacing w:before="80" w:after="80" w:line="240" w:lineRule="atLeast"/>
      </w:pPr>
      <w:r>
        <w:t>W</w:t>
      </w:r>
      <w:r w:rsidRPr="003D1A6C">
        <w:t>hether a non</w:t>
      </w:r>
      <w:r w:rsidR="00D62B6D">
        <w:noBreakHyphen/>
      </w:r>
      <w:r w:rsidRPr="003D1A6C">
        <w:t xml:space="preserve">executive director's independence is affected for the purposes of them serving </w:t>
      </w:r>
      <w:r w:rsidR="00F0586A">
        <w:t>as an independent member of an Audit C</w:t>
      </w:r>
      <w:r w:rsidRPr="003D1A6C">
        <w:t>ommittee should be judged on whether the member’s service on the board or committee has been for a period which could, or could reasonably be perceived to</w:t>
      </w:r>
      <w:r w:rsidR="004561D4">
        <w:t>,</w:t>
      </w:r>
      <w:r w:rsidRPr="003D1A6C">
        <w:t xml:space="preserve"> materially interfere with the person's ability to act in the best </w:t>
      </w:r>
      <w:r w:rsidR="006D18D6">
        <w:t>interests of the public sector Agency</w:t>
      </w:r>
      <w:r w:rsidR="004561D4">
        <w:t>.</w:t>
      </w:r>
    </w:p>
    <w:p w14:paraId="11414E18" w14:textId="77777777" w:rsidR="000F5847" w:rsidRDefault="00F316E1" w:rsidP="007E6056">
      <w:pPr>
        <w:spacing w:before="80" w:after="80"/>
      </w:pPr>
      <w:r w:rsidRPr="00C426D3">
        <w:t>Members of an Audit Committee should be appointed for an initial term of up to three years and, subject to a formal review of performance</w:t>
      </w:r>
      <w:r>
        <w:t xml:space="preserve"> and independence</w:t>
      </w:r>
      <w:r w:rsidRPr="00C426D3">
        <w:t>, may be appointed for further term</w:t>
      </w:r>
      <w:r>
        <w:t>s</w:t>
      </w:r>
      <w:r w:rsidRPr="00C426D3">
        <w:t xml:space="preserve"> of up to </w:t>
      </w:r>
      <w:r>
        <w:t>three</w:t>
      </w:r>
      <w:r w:rsidRPr="00C426D3">
        <w:t xml:space="preserve"> years</w:t>
      </w:r>
      <w:r>
        <w:t xml:space="preserve"> but no more than nine years in total</w:t>
      </w:r>
      <w:r w:rsidRPr="00C426D3">
        <w:t>.</w:t>
      </w:r>
    </w:p>
    <w:p w14:paraId="115DAC9D" w14:textId="77777777" w:rsidR="000F5847" w:rsidRDefault="00453706" w:rsidP="00FC17D9">
      <w:pPr>
        <w:pStyle w:val="Heading2NoNum"/>
      </w:pPr>
      <w:r>
        <w:t>Smaller A</w:t>
      </w:r>
      <w:r w:rsidR="000F5847">
        <w:t>gencies</w:t>
      </w:r>
    </w:p>
    <w:p w14:paraId="51B3B7DC" w14:textId="6299F6B7" w:rsidR="000F5847" w:rsidRDefault="000F5847" w:rsidP="007E6056">
      <w:pPr>
        <w:spacing w:before="80" w:after="80"/>
      </w:pPr>
      <w:r>
        <w:t>T</w:t>
      </w:r>
      <w:r w:rsidR="00453706">
        <w:t>o reduce the burden on smaller A</w:t>
      </w:r>
      <w:r>
        <w:t>gencies, for example</w:t>
      </w:r>
      <w:r w:rsidR="004561D4">
        <w:t xml:space="preserve"> a one</w:t>
      </w:r>
      <w:r w:rsidR="00E11FD9">
        <w:t>-</w:t>
      </w:r>
      <w:r w:rsidR="004561D4">
        <w:t xml:space="preserve">member Responsible Body such as </w:t>
      </w:r>
      <w:r>
        <w:t>a Commissioner, they may consider sharin</w:t>
      </w:r>
      <w:r w:rsidR="00F0586A">
        <w:t>g an appropriately constituted Audit C</w:t>
      </w:r>
      <w:r w:rsidR="00453706">
        <w:t>ommittee with other similar A</w:t>
      </w:r>
      <w:r>
        <w:t>gencies.</w:t>
      </w:r>
    </w:p>
    <w:p w14:paraId="76A14EEE" w14:textId="77777777" w:rsidR="004561D4" w:rsidRDefault="000F5847" w:rsidP="007E6056">
      <w:pPr>
        <w:spacing w:before="80" w:after="80"/>
      </w:pPr>
      <w:r>
        <w:t>Alter</w:t>
      </w:r>
      <w:r w:rsidR="006F0D5C">
        <w:t>natively, any smaller low risk A</w:t>
      </w:r>
      <w:r>
        <w:t xml:space="preserve">gency may seek an exemption from this requirement. In this case, the Responsible Body takes on the role. </w:t>
      </w:r>
    </w:p>
    <w:p w14:paraId="255E02C3" w14:textId="77777777" w:rsidR="00C426D3" w:rsidRPr="00C426D3" w:rsidRDefault="00C426D3" w:rsidP="00D94C7A">
      <w:pPr>
        <w:pStyle w:val="Heading1NoNum"/>
      </w:pPr>
      <w:r w:rsidRPr="00C426D3">
        <w:t>Further information</w:t>
      </w:r>
    </w:p>
    <w:p w14:paraId="229CC7E3" w14:textId="0BC3358B" w:rsidR="00EF42AE" w:rsidRDefault="00F316E1" w:rsidP="007E6056">
      <w:pPr>
        <w:spacing w:before="80" w:after="80" w:line="240" w:lineRule="atLeast"/>
        <w:rPr>
          <w:rFonts w:cs="HelveticaNeueLT Std Lt"/>
          <w:color w:val="000000"/>
          <w:szCs w:val="20"/>
        </w:rPr>
      </w:pPr>
      <w:r w:rsidRPr="0035257D">
        <w:t>The Australian National Audit Office (ANAO) Better Practice Guide March 2015</w:t>
      </w:r>
      <w:r w:rsidRPr="00E325C0">
        <w:rPr>
          <w:color w:val="595959" w:themeColor="text1" w:themeTint="A6"/>
        </w:rPr>
        <w:t xml:space="preserve">, </w:t>
      </w:r>
      <w:hyperlink r:id="rId133" w:history="1">
        <w:r w:rsidRPr="00E325C0">
          <w:rPr>
            <w:rStyle w:val="Hyperlink"/>
          </w:rPr>
          <w:t>P</w:t>
        </w:r>
        <w:r w:rsidR="0035257D">
          <w:rPr>
            <w:rStyle w:val="Hyperlink"/>
          </w:rPr>
          <w:t xml:space="preserve">ublic Sector Audit Committees: </w:t>
        </w:r>
        <w:r w:rsidRPr="00E325C0">
          <w:rPr>
            <w:rStyle w:val="Hyperlink"/>
          </w:rPr>
          <w:t xml:space="preserve">Independent Assurance and Advice for </w:t>
        </w:r>
        <w:r w:rsidR="00676551" w:rsidRPr="00E325C0">
          <w:rPr>
            <w:rStyle w:val="Hyperlink"/>
          </w:rPr>
          <w:t xml:space="preserve">Accountable </w:t>
        </w:r>
        <w:r w:rsidRPr="00E325C0">
          <w:rPr>
            <w:rStyle w:val="Hyperlink"/>
          </w:rPr>
          <w:t>Authoritie</w:t>
        </w:r>
        <w:r w:rsidR="00E325C0" w:rsidRPr="00E325C0">
          <w:rPr>
            <w:rStyle w:val="Hyperlink"/>
          </w:rPr>
          <w:t>s</w:t>
        </w:r>
        <w:r w:rsidR="007A23FF">
          <w:rPr>
            <w:rStyle w:val="FootnoteReference"/>
            <w:color w:val="595959" w:themeColor="text1" w:themeTint="A6"/>
          </w:rPr>
          <w:footnoteReference w:id="18"/>
        </w:r>
        <w:r w:rsidRPr="00E325C0">
          <w:rPr>
            <w:rStyle w:val="Hyperlink"/>
          </w:rPr>
          <w:t xml:space="preserve"> </w:t>
        </w:r>
      </w:hyperlink>
      <w:r w:rsidR="00E325C0" w:rsidRPr="00E325C0">
        <w:t xml:space="preserve"> </w:t>
      </w:r>
      <w:r w:rsidR="00E325C0">
        <w:t>–</w:t>
      </w:r>
      <w:r>
        <w:t xml:space="preserve"> </w:t>
      </w:r>
      <w:r w:rsidR="00E325C0">
        <w:t>sets</w:t>
      </w:r>
      <w:r>
        <w:t xml:space="preserve"> out comprehensive guidance </w:t>
      </w:r>
      <w:r>
        <w:rPr>
          <w:rFonts w:cs="HelveticaNeueLT Std Lt"/>
          <w:color w:val="000000"/>
          <w:szCs w:val="20"/>
        </w:rPr>
        <w:t>including a discussion on: a range of functions and responsibilities that may be undertaken by the Audit Committee of a Commonwealth entity; shared committee arrangements; and sharing resources between entities. The Guide also includes a number of checklists and other material for use by committees and entity management.</w:t>
      </w:r>
    </w:p>
    <w:p w14:paraId="73AD0928" w14:textId="5AE9BC02" w:rsidR="007C1450" w:rsidRPr="00C426D3" w:rsidRDefault="007A23FF" w:rsidP="007E6056">
      <w:pPr>
        <w:spacing w:before="80" w:after="80" w:line="240" w:lineRule="atLeast"/>
      </w:pPr>
      <w:hyperlink r:id="rId134" w:history="1">
        <w:r>
          <w:rPr>
            <w:rStyle w:val="Hyperlink"/>
          </w:rPr>
          <w:t>ASX Corporate Governance Principles and Recommendations 3</w:t>
        </w:r>
        <w:r w:rsidRPr="007A23FF">
          <w:rPr>
            <w:rStyle w:val="Hyperlink"/>
            <w:vertAlign w:val="superscript"/>
          </w:rPr>
          <w:t>rd</w:t>
        </w:r>
        <w:r>
          <w:rPr>
            <w:rStyle w:val="Hyperlink"/>
          </w:rPr>
          <w:t xml:space="preserve"> Edition</w:t>
        </w:r>
      </w:hyperlink>
      <w:r>
        <w:rPr>
          <w:rStyle w:val="FootnoteReference"/>
          <w:color w:val="595959" w:themeColor="text1" w:themeTint="A6"/>
        </w:rPr>
        <w:footnoteReference w:id="19"/>
      </w:r>
      <w:r w:rsidR="007C1450">
        <w:t xml:space="preserve"> </w:t>
      </w:r>
      <w:r>
        <w:t xml:space="preserve">– </w:t>
      </w:r>
      <w:r w:rsidR="007C1450">
        <w:t>set</w:t>
      </w:r>
      <w:r>
        <w:t>s</w:t>
      </w:r>
      <w:r w:rsidR="007C1450">
        <w:t xml:space="preserve"> out recommended corporate governance practices for entities listed on ASX. As they reflect a contemporary view of appropriate corporate gove</w:t>
      </w:r>
      <w:r w:rsidR="00453706">
        <w:t>rnance standards public sector A</w:t>
      </w:r>
      <w:r w:rsidR="007C1450">
        <w:t>gencies may find them helpful in formulating their governance rules and practices.</w:t>
      </w:r>
    </w:p>
    <w:p w14:paraId="0B7B1E1A" w14:textId="19F49E4C" w:rsidR="00C426D3" w:rsidRDefault="00C426D3" w:rsidP="007E6056">
      <w:pPr>
        <w:spacing w:before="80" w:after="80" w:line="240" w:lineRule="atLeast"/>
        <w:rPr>
          <w:color w:val="595959" w:themeColor="text1" w:themeTint="A6"/>
        </w:rPr>
      </w:pPr>
      <w:hyperlink r:id="rId135" w:history="1">
        <w:r w:rsidRPr="00E325C0">
          <w:t>T</w:t>
        </w:r>
        <w:r w:rsidRPr="00E325C0">
          <w:rPr>
            <w:color w:val="595959" w:themeColor="text1" w:themeTint="A6"/>
          </w:rPr>
          <w:t>he Institute of Internal Auditors Audit Committees: A guide to good practice</w:t>
        </w:r>
      </w:hyperlink>
      <w:r w:rsidR="007A23FF">
        <w:rPr>
          <w:rStyle w:val="FootnoteReference"/>
          <w:color w:val="595959" w:themeColor="text1" w:themeTint="A6"/>
        </w:rPr>
        <w:footnoteReference w:id="20"/>
      </w:r>
      <w:r w:rsidRPr="006F14F3">
        <w:t xml:space="preserve"> </w:t>
      </w:r>
      <w:r w:rsidR="00E325C0" w:rsidRPr="006F14F3">
        <w:t>–</w:t>
      </w:r>
      <w:r w:rsidR="00E325C0">
        <w:rPr>
          <w:b/>
        </w:rPr>
        <w:t xml:space="preserve"> </w:t>
      </w:r>
      <w:r w:rsidRPr="00C426D3">
        <w:t>is a joint publication from the Auditing and Assurance Standards Board, Australian Institute of Company Directors and The Institute of Internal Auditors – Australia. It provides a practical introduction to the r</w:t>
      </w:r>
      <w:r w:rsidR="00F0586A">
        <w:t>ole and responsibilities of an Audit C</w:t>
      </w:r>
      <w:r w:rsidRPr="00C426D3">
        <w:t>ommittee. Although the guide is wri</w:t>
      </w:r>
      <w:r w:rsidR="00F0586A">
        <w:t>tten largely for directors and Audit C</w:t>
      </w:r>
      <w:r w:rsidRPr="00C426D3">
        <w:t>ommittees of Australian listed companies, Direc</w:t>
      </w:r>
      <w:r w:rsidR="00F0586A">
        <w:t>tors, boards of management and Audit C</w:t>
      </w:r>
      <w:r w:rsidRPr="00C426D3">
        <w:t xml:space="preserve">ommittees of public sector entities may also find this guide a useful reference. The guide can be purchased from the </w:t>
      </w:r>
      <w:hyperlink r:id="rId136" w:history="1">
        <w:r w:rsidRPr="00C426D3">
          <w:rPr>
            <w:color w:val="595959" w:themeColor="text1" w:themeTint="A6"/>
          </w:rPr>
          <w:t>IIA website</w:t>
        </w:r>
      </w:hyperlink>
      <w:r w:rsidRPr="00C426D3">
        <w:rPr>
          <w:color w:val="595959" w:themeColor="text1" w:themeTint="A6"/>
        </w:rPr>
        <w:t>.</w:t>
      </w:r>
    </w:p>
    <w:p w14:paraId="0D3E7303" w14:textId="58697D62" w:rsidR="007C1450" w:rsidRDefault="007C1450" w:rsidP="007E6056">
      <w:pPr>
        <w:spacing w:before="80" w:after="80" w:line="240" w:lineRule="atLeast"/>
      </w:pPr>
      <w:hyperlink r:id="rId137" w:history="1">
        <w:r w:rsidRPr="00E325C0">
          <w:rPr>
            <w:rStyle w:val="Hyperlink"/>
          </w:rPr>
          <w:t>Victorian Auditor</w:t>
        </w:r>
        <w:r w:rsidR="00D62B6D">
          <w:rPr>
            <w:rStyle w:val="Hyperlink"/>
          </w:rPr>
          <w:noBreakHyphen/>
        </w:r>
        <w:r w:rsidRPr="00E325C0">
          <w:rPr>
            <w:rStyle w:val="Hyperlink"/>
          </w:rPr>
          <w:t>General’s Report – Water Entities Results of 2013</w:t>
        </w:r>
        <w:r w:rsidR="00D62B6D">
          <w:rPr>
            <w:rStyle w:val="Hyperlink"/>
          </w:rPr>
          <w:noBreakHyphen/>
        </w:r>
        <w:r w:rsidRPr="00E325C0">
          <w:rPr>
            <w:rStyle w:val="Hyperlink"/>
          </w:rPr>
          <w:t>14</w:t>
        </w:r>
      </w:hyperlink>
      <w:r w:rsidR="005D63A6">
        <w:rPr>
          <w:rStyle w:val="Hyperlink"/>
        </w:rPr>
        <w:t xml:space="preserve"> (February 2015)</w:t>
      </w:r>
      <w:r w:rsidR="007A23FF">
        <w:rPr>
          <w:rStyle w:val="FootnoteReference"/>
          <w:color w:val="595959" w:themeColor="text1" w:themeTint="A6"/>
        </w:rPr>
        <w:footnoteReference w:id="21"/>
      </w:r>
      <w:r>
        <w:rPr>
          <w:b/>
        </w:rPr>
        <w:t xml:space="preserve"> </w:t>
      </w:r>
      <w:r>
        <w:t xml:space="preserve">– provides a </w:t>
      </w:r>
      <w:r w:rsidR="006D18D6">
        <w:t xml:space="preserve">useful </w:t>
      </w:r>
      <w:r>
        <w:t>list of key elements (go</w:t>
      </w:r>
      <w:r w:rsidR="00F0586A">
        <w:t>od practices) for an effective Audit C</w:t>
      </w:r>
      <w:r>
        <w:t>ommittee framework.</w:t>
      </w:r>
    </w:p>
    <w:p w14:paraId="0BAC45F9" w14:textId="61FC0625" w:rsidR="007A23FF" w:rsidRPr="00CA6CEE" w:rsidRDefault="005D63A6" w:rsidP="007E6056">
      <w:pPr>
        <w:spacing w:before="80" w:after="80" w:line="240" w:lineRule="atLeast"/>
      </w:pPr>
      <w:hyperlink r:id="rId138" w:history="1">
        <w:r w:rsidRPr="005D63A6">
          <w:rPr>
            <w:rStyle w:val="Hyperlink"/>
          </w:rPr>
          <w:t>Victorian Auditor-General’s Report – Audit Committee Governance (August 2016)</w:t>
        </w:r>
      </w:hyperlink>
      <w:r>
        <w:rPr>
          <w:rStyle w:val="FootnoteReference"/>
          <w:color w:val="595959" w:themeColor="text1" w:themeTint="A6"/>
        </w:rPr>
        <w:footnoteReference w:id="22"/>
      </w:r>
      <w:r>
        <w:rPr>
          <w:color w:val="595959" w:themeColor="text1" w:themeTint="A6"/>
        </w:rPr>
        <w:t xml:space="preserve"> – </w:t>
      </w:r>
      <w:r w:rsidRPr="005D63A6">
        <w:t xml:space="preserve">makes a number of recommendations regarding best practice governance arrangement for Audit Committees to ensure they are fully effective. </w:t>
      </w:r>
    </w:p>
    <w:p w14:paraId="6B051DB2" w14:textId="77777777" w:rsidR="00C426D3" w:rsidRDefault="00C426D3" w:rsidP="007E6056">
      <w:pPr>
        <w:spacing w:before="80" w:after="80" w:line="276" w:lineRule="auto"/>
        <w:sectPr w:rsidR="00C426D3" w:rsidSect="007F1A5E">
          <w:pgSz w:w="11906" w:h="16838"/>
          <w:pgMar w:top="1440" w:right="1008" w:bottom="1440" w:left="1008" w:header="706" w:footer="389" w:gutter="0"/>
          <w:cols w:space="708"/>
          <w:titlePg/>
          <w:docGrid w:linePitch="360"/>
        </w:sectPr>
      </w:pPr>
    </w:p>
    <w:p w14:paraId="3E51375E" w14:textId="77777777" w:rsidR="008A37A5" w:rsidRPr="008A37A5" w:rsidRDefault="008A37A5" w:rsidP="00107DA3">
      <w:pPr>
        <w:pStyle w:val="GuidanceTitle"/>
      </w:pPr>
      <w:bookmarkStart w:id="23" w:name="Guidance_3_2_2"/>
      <w:bookmarkStart w:id="24" w:name="_Toc441672088"/>
      <w:r w:rsidRPr="008A37A5">
        <w:lastRenderedPageBreak/>
        <w:t>Guidance 3.2.2</w:t>
      </w:r>
      <w:bookmarkEnd w:id="23"/>
      <w:r w:rsidR="00853576">
        <w:t xml:space="preserve"> – </w:t>
      </w:r>
      <w:r w:rsidRPr="008A37A5">
        <w:t>Internal audit</w:t>
      </w:r>
      <w:bookmarkEnd w:id="24"/>
    </w:p>
    <w:p w14:paraId="4CC5D4CF" w14:textId="77777777" w:rsidR="008A37A5" w:rsidRPr="008A37A5" w:rsidRDefault="008A37A5" w:rsidP="008E306C">
      <w:pPr>
        <w:spacing w:before="0" w:after="0" w:line="120" w:lineRule="atLeast"/>
        <w:rPr>
          <w:sz w:val="12"/>
        </w:rPr>
      </w:pPr>
    </w:p>
    <w:tbl>
      <w:tblPr>
        <w:tblStyle w:val="Table122"/>
        <w:tblW w:w="9900" w:type="dxa"/>
        <w:tblLook w:val="0080" w:firstRow="0" w:lastRow="0" w:firstColumn="1" w:lastColumn="0" w:noHBand="0" w:noVBand="0"/>
      </w:tblPr>
      <w:tblGrid>
        <w:gridCol w:w="3119"/>
        <w:gridCol w:w="6781"/>
      </w:tblGrid>
      <w:tr w:rsidR="008A37A5" w:rsidRPr="008A37A5" w14:paraId="2FEABE86"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C81E3DC" w14:textId="77777777" w:rsidR="008A37A5" w:rsidRPr="008A37A5" w:rsidRDefault="008A37A5" w:rsidP="008A37A5">
            <w:pPr>
              <w:spacing w:before="60" w:after="60" w:line="252" w:lineRule="auto"/>
              <w:rPr>
                <w:b/>
                <w:bCs w:val="0"/>
                <w:sz w:val="18"/>
                <w:szCs w:val="20"/>
              </w:rPr>
            </w:pPr>
            <w:r w:rsidRPr="008A37A5">
              <w:rPr>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7E0F66E1" w14:textId="77777777" w:rsidR="008A37A5" w:rsidRPr="008A37A5" w:rsidRDefault="008A37A5" w:rsidP="00D2282A">
            <w:pPr>
              <w:spacing w:before="60" w:after="60" w:line="252" w:lineRule="auto"/>
              <w:rPr>
                <w:bCs/>
                <w:sz w:val="18"/>
                <w:szCs w:val="20"/>
              </w:rPr>
            </w:pPr>
            <w:r w:rsidRPr="008A37A5">
              <w:rPr>
                <w:rFonts w:cs="Times New Roman"/>
                <w:bCs/>
                <w:sz w:val="18"/>
                <w:szCs w:val="20"/>
              </w:rPr>
              <w:t xml:space="preserve">To guide consideration </w:t>
            </w:r>
            <w:r w:rsidR="00D2282A">
              <w:rPr>
                <w:rFonts w:cs="Times New Roman"/>
                <w:bCs/>
                <w:sz w:val="18"/>
                <w:szCs w:val="20"/>
              </w:rPr>
              <w:t>of an internal audit charter,</w:t>
            </w:r>
            <w:r w:rsidRPr="008A37A5">
              <w:rPr>
                <w:rFonts w:cs="Times New Roman"/>
                <w:bCs/>
                <w:sz w:val="18"/>
                <w:szCs w:val="20"/>
              </w:rPr>
              <w:t xml:space="preserve"> a rolling strategic internal audit plan and an annual audit work program.</w:t>
            </w:r>
          </w:p>
        </w:tc>
      </w:tr>
      <w:tr w:rsidR="008A37A5" w:rsidRPr="008A37A5" w14:paraId="63C2DD90"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B9BED06" w14:textId="77777777" w:rsidR="008A37A5" w:rsidRPr="008A37A5" w:rsidRDefault="008A37A5" w:rsidP="002A7DE1">
            <w:pPr>
              <w:spacing w:before="60" w:after="60" w:line="252" w:lineRule="auto"/>
              <w:rPr>
                <w:rFonts w:cs="Times New Roman"/>
                <w:b/>
                <w:bCs w:val="0"/>
                <w:sz w:val="18"/>
                <w:szCs w:val="20"/>
              </w:rPr>
            </w:pPr>
            <w:r w:rsidRPr="008A37A5">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07E0F0ED" w14:textId="05D5F3AE" w:rsidR="008A37A5" w:rsidRPr="008A37A5" w:rsidRDefault="008A37A5" w:rsidP="008A37A5">
            <w:pPr>
              <w:spacing w:before="60" w:after="60" w:line="252" w:lineRule="auto"/>
              <w:rPr>
                <w:rFonts w:cs="Times New Roman"/>
                <w:bCs/>
                <w:sz w:val="18"/>
                <w:szCs w:val="20"/>
              </w:rPr>
            </w:pPr>
            <w:hyperlink r:id="rId139" w:anchor="standing-directions-2018" w:history="1">
              <w:r w:rsidRPr="005B0161">
                <w:rPr>
                  <w:rStyle w:val="Hyperlink"/>
                  <w:rFonts w:cs="Times New Roman"/>
                  <w:bCs/>
                  <w:sz w:val="18"/>
                  <w:szCs w:val="20"/>
                </w:rPr>
                <w:t>3.2.</w:t>
              </w:r>
              <w:r w:rsidR="002534C0" w:rsidRPr="005B0161">
                <w:rPr>
                  <w:rStyle w:val="Hyperlink"/>
                  <w:rFonts w:cs="Times New Roman"/>
                  <w:bCs/>
                  <w:sz w:val="18"/>
                  <w:szCs w:val="20"/>
                </w:rPr>
                <w:t>1 Audit Committee</w:t>
              </w:r>
            </w:hyperlink>
          </w:p>
          <w:p w14:paraId="5B875D3B" w14:textId="764952E3" w:rsidR="008A37A5" w:rsidRPr="008A37A5" w:rsidRDefault="00D337BE" w:rsidP="008A37A5">
            <w:pPr>
              <w:spacing w:before="60" w:after="60" w:line="252" w:lineRule="auto"/>
              <w:rPr>
                <w:rFonts w:cs="Times New Roman"/>
                <w:bCs/>
                <w:sz w:val="18"/>
                <w:szCs w:val="20"/>
              </w:rPr>
            </w:pPr>
            <w:hyperlink r:id="rId140" w:anchor="standing-directions-2018" w:history="1">
              <w:r w:rsidRPr="005B0161">
                <w:rPr>
                  <w:rStyle w:val="Hyperlink"/>
                  <w:rFonts w:cs="Times New Roman"/>
                  <w:bCs/>
                  <w:sz w:val="18"/>
                  <w:szCs w:val="20"/>
                </w:rPr>
                <w:t>3.2.2</w:t>
              </w:r>
              <w:r w:rsidR="002534C0" w:rsidRPr="005B0161">
                <w:rPr>
                  <w:rStyle w:val="Hyperlink"/>
                  <w:rFonts w:cs="Times New Roman"/>
                  <w:bCs/>
                  <w:sz w:val="18"/>
                  <w:szCs w:val="20"/>
                </w:rPr>
                <w:t xml:space="preserve"> Internal Audit</w:t>
              </w:r>
            </w:hyperlink>
          </w:p>
          <w:p w14:paraId="731095EB" w14:textId="56D0E2C0" w:rsidR="008A37A5" w:rsidRPr="008A37A5" w:rsidRDefault="008A37A5" w:rsidP="008A37A5">
            <w:pPr>
              <w:spacing w:before="60" w:after="60" w:line="252" w:lineRule="auto"/>
              <w:rPr>
                <w:rFonts w:cs="Times New Roman"/>
                <w:bCs/>
                <w:sz w:val="18"/>
                <w:szCs w:val="20"/>
              </w:rPr>
            </w:pPr>
            <w:hyperlink r:id="rId141" w:anchor="standing-directions-2018" w:history="1">
              <w:r w:rsidRPr="005B0161">
                <w:rPr>
                  <w:rStyle w:val="Hyperlink"/>
                  <w:rFonts w:cs="Times New Roman"/>
                  <w:bCs/>
                  <w:sz w:val="18"/>
                  <w:szCs w:val="20"/>
                </w:rPr>
                <w:t>3.4 Internal control system</w:t>
              </w:r>
            </w:hyperlink>
          </w:p>
          <w:p w14:paraId="5E545161" w14:textId="3280B108" w:rsidR="008A37A5" w:rsidRPr="008A37A5" w:rsidRDefault="008A37A5" w:rsidP="008A37A5">
            <w:pPr>
              <w:spacing w:before="60" w:after="60" w:line="252" w:lineRule="auto"/>
              <w:rPr>
                <w:rFonts w:cs="Times New Roman"/>
                <w:bCs/>
                <w:sz w:val="18"/>
                <w:szCs w:val="20"/>
              </w:rPr>
            </w:pPr>
            <w:hyperlink r:id="rId142" w:anchor="standing-directions-2018" w:history="1">
              <w:r w:rsidRPr="005B0161">
                <w:rPr>
                  <w:rStyle w:val="Hyperlink"/>
                  <w:rFonts w:cs="Times New Roman"/>
                  <w:bCs/>
                  <w:sz w:val="18"/>
                  <w:szCs w:val="20"/>
                </w:rPr>
                <w:t>5.1 Financial management compliance</w:t>
              </w:r>
            </w:hyperlink>
          </w:p>
        </w:tc>
      </w:tr>
      <w:tr w:rsidR="008A37A5" w:rsidRPr="008A37A5" w14:paraId="3DAF507D"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5BAC9A9" w14:textId="77777777" w:rsidR="008A37A5" w:rsidRPr="008A37A5" w:rsidRDefault="008A37A5" w:rsidP="008A37A5">
            <w:pPr>
              <w:spacing w:before="60" w:after="60" w:line="252" w:lineRule="auto"/>
              <w:rPr>
                <w:b/>
                <w:bCs w:val="0"/>
                <w:sz w:val="18"/>
                <w:szCs w:val="20"/>
              </w:rPr>
            </w:pPr>
            <w:r w:rsidRPr="008A37A5">
              <w:rPr>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29D724E6" w14:textId="77777777" w:rsidR="008A37A5" w:rsidRPr="008A37A5" w:rsidRDefault="008A37A5" w:rsidP="008A37A5">
            <w:pPr>
              <w:spacing w:before="60" w:after="60" w:line="252" w:lineRule="auto"/>
              <w:rPr>
                <w:bCs/>
                <w:sz w:val="18"/>
                <w:szCs w:val="20"/>
              </w:rPr>
            </w:pPr>
            <w:r w:rsidRPr="008A37A5">
              <w:rPr>
                <w:bCs/>
                <w:sz w:val="18"/>
                <w:szCs w:val="20"/>
              </w:rPr>
              <w:t>1 July 2016</w:t>
            </w:r>
          </w:p>
        </w:tc>
      </w:tr>
      <w:tr w:rsidR="008A37A5" w:rsidRPr="008A37A5" w14:paraId="47E4B600"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9AFA973" w14:textId="77777777" w:rsidR="008A37A5" w:rsidRPr="008A37A5" w:rsidRDefault="008A37A5" w:rsidP="008A37A5">
            <w:pPr>
              <w:spacing w:before="60" w:after="60" w:line="252" w:lineRule="auto"/>
              <w:rPr>
                <w:b/>
                <w:bCs w:val="0"/>
                <w:sz w:val="18"/>
                <w:szCs w:val="20"/>
              </w:rPr>
            </w:pPr>
            <w:r w:rsidRPr="008A37A5">
              <w:rPr>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330452AE" w14:textId="479AAF42" w:rsidR="008A37A5" w:rsidRPr="008A37A5" w:rsidRDefault="00515507" w:rsidP="008A37A5">
            <w:pPr>
              <w:spacing w:before="60" w:after="60" w:line="252" w:lineRule="auto"/>
              <w:rPr>
                <w:bCs/>
                <w:sz w:val="18"/>
                <w:szCs w:val="20"/>
              </w:rPr>
            </w:pPr>
            <w:r>
              <w:rPr>
                <w:rFonts w:cs="Times New Roman"/>
                <w:bCs/>
                <w:sz w:val="18"/>
                <w:szCs w:val="20"/>
              </w:rPr>
              <w:t>1 May 2019</w:t>
            </w:r>
          </w:p>
        </w:tc>
      </w:tr>
    </w:tbl>
    <w:p w14:paraId="2C270135" w14:textId="77777777" w:rsidR="008A37A5" w:rsidRPr="008A37A5" w:rsidRDefault="008A37A5" w:rsidP="008E306C">
      <w:pPr>
        <w:spacing w:before="0" w:after="0" w:line="120" w:lineRule="atLeast"/>
        <w:rPr>
          <w:sz w:val="12"/>
        </w:rPr>
      </w:pPr>
    </w:p>
    <w:p w14:paraId="3A319404" w14:textId="77777777" w:rsidR="008A37A5" w:rsidRPr="008A37A5" w:rsidRDefault="008A37A5" w:rsidP="00D94C7A">
      <w:pPr>
        <w:pStyle w:val="Heading1NoNum"/>
      </w:pPr>
      <w:r w:rsidRPr="008A37A5">
        <w:t>Internal audit</w:t>
      </w:r>
    </w:p>
    <w:p w14:paraId="1B08344C" w14:textId="77777777" w:rsidR="008A37A5" w:rsidRPr="008A37A5" w:rsidRDefault="008A37A5" w:rsidP="008E306C">
      <w:r w:rsidRPr="008A37A5">
        <w:t xml:space="preserve">Internal audit is an important part of an Agency’s governance framework, providing an independent and objective assessment of the efficiency and effectiveness of an Agency’s controls, and practical recommendations for improvement. </w:t>
      </w:r>
    </w:p>
    <w:p w14:paraId="24CB0F18" w14:textId="77777777" w:rsidR="008A37A5" w:rsidRPr="008A37A5" w:rsidRDefault="008A37A5" w:rsidP="008E306C">
      <w:r w:rsidRPr="008A37A5">
        <w:t xml:space="preserve">To ensure independence of the internal audit function, </w:t>
      </w:r>
      <w:r w:rsidR="006F4638">
        <w:t>it</w:t>
      </w:r>
      <w:r w:rsidR="00AE77B1">
        <w:t xml:space="preserve"> </w:t>
      </w:r>
      <w:r w:rsidRPr="008A37A5">
        <w:t>should functionally report to the Audit Committee, and administratively to management.</w:t>
      </w:r>
    </w:p>
    <w:p w14:paraId="1D0ECA23" w14:textId="77777777" w:rsidR="008A37A5" w:rsidRPr="008A37A5" w:rsidRDefault="008A37A5" w:rsidP="008E306C">
      <w:r w:rsidRPr="008A37A5">
        <w:t xml:space="preserve">The internal audit charter provides the framework for the conduct of the Agency internal audit function. </w:t>
      </w:r>
    </w:p>
    <w:p w14:paraId="5B6D5FF4" w14:textId="77777777" w:rsidR="008A37A5" w:rsidRPr="008A37A5" w:rsidRDefault="008A37A5" w:rsidP="008E306C">
      <w:r w:rsidRPr="008A37A5">
        <w:t xml:space="preserve">The </w:t>
      </w:r>
      <w:r w:rsidR="002D64CE">
        <w:t>I</w:t>
      </w:r>
      <w:r w:rsidRPr="008A37A5">
        <w:t xml:space="preserve">nternal </w:t>
      </w:r>
      <w:r w:rsidR="002D64CE">
        <w:t>A</w:t>
      </w:r>
      <w:r w:rsidRPr="008A37A5">
        <w:t>udit function is intended to provide the Audit Committee and Responsible Body with a level of assurance that key risks to the achievement of an Agency’s objectives are appropriately addressed.</w:t>
      </w:r>
    </w:p>
    <w:p w14:paraId="0E06F92C" w14:textId="77777777" w:rsidR="008A37A5" w:rsidRPr="008A37A5" w:rsidRDefault="008A37A5" w:rsidP="00D94C7A">
      <w:pPr>
        <w:pStyle w:val="Heading1NoNum"/>
      </w:pPr>
      <w:r w:rsidRPr="008A37A5">
        <w:t>Independent of management</w:t>
      </w:r>
    </w:p>
    <w:p w14:paraId="3C91C52E" w14:textId="77777777" w:rsidR="00AE28EE" w:rsidRDefault="008A37A5" w:rsidP="008E306C">
      <w:r w:rsidRPr="008A37A5">
        <w:t>Internal audit</w:t>
      </w:r>
      <w:r w:rsidR="00DC498D">
        <w:t>ors</w:t>
      </w:r>
      <w:r w:rsidR="00BE268A">
        <w:t xml:space="preserve"> must be</w:t>
      </w:r>
      <w:r w:rsidRPr="008A37A5">
        <w:t xml:space="preserve"> independent of management</w:t>
      </w:r>
      <w:r w:rsidR="00BE268A">
        <w:t xml:space="preserve"> in carrying out their functions. </w:t>
      </w:r>
      <w:r w:rsidR="00AE28EE">
        <w:t>Independence includes that</w:t>
      </w:r>
      <w:r w:rsidR="00DC498D">
        <w:t xml:space="preserve"> they must not</w:t>
      </w:r>
      <w:r w:rsidR="00AE28EE">
        <w:t xml:space="preserve">: </w:t>
      </w:r>
    </w:p>
    <w:p w14:paraId="3F465864" w14:textId="77777777" w:rsidR="00AE28EE" w:rsidRDefault="00BE268A" w:rsidP="000B15FD">
      <w:pPr>
        <w:pStyle w:val="GuidanceBullet1"/>
        <w:numPr>
          <w:ilvl w:val="0"/>
          <w:numId w:val="49"/>
        </w:numPr>
      </w:pPr>
      <w:r>
        <w:t xml:space="preserve">have </w:t>
      </w:r>
      <w:r w:rsidR="008A37A5" w:rsidRPr="008A37A5">
        <w:t>operational duties</w:t>
      </w:r>
      <w:r w:rsidR="000C2D78">
        <w:t>;</w:t>
      </w:r>
      <w:r w:rsidR="003A4AF1">
        <w:t xml:space="preserve"> and</w:t>
      </w:r>
      <w:r w:rsidR="008A37A5" w:rsidRPr="008A37A5">
        <w:t xml:space="preserve"> </w:t>
      </w:r>
    </w:p>
    <w:p w14:paraId="08B9D6A3" w14:textId="77777777" w:rsidR="000C2D78" w:rsidRPr="00BA73DB" w:rsidRDefault="000C2D78" w:rsidP="000B15FD">
      <w:pPr>
        <w:pStyle w:val="GuidanceBullet1"/>
        <w:numPr>
          <w:ilvl w:val="0"/>
          <w:numId w:val="49"/>
        </w:numPr>
      </w:pPr>
      <w:r>
        <w:t>be subject to direction from management in how they undertake their functions</w:t>
      </w:r>
      <w:r w:rsidR="003A4AF1">
        <w:t>.</w:t>
      </w:r>
    </w:p>
    <w:p w14:paraId="5C6BEAAD" w14:textId="77777777" w:rsidR="008A37A5" w:rsidRPr="00BA73DB" w:rsidRDefault="00BE268A" w:rsidP="00AE77B1">
      <w:r>
        <w:t xml:space="preserve">In relation to functional matters, the internal audit function is </w:t>
      </w:r>
      <w:r w:rsidR="008A37A5" w:rsidRPr="00BA73DB">
        <w:t>accountable to the Responsible Body</w:t>
      </w:r>
      <w:r w:rsidR="00C11799">
        <w:t xml:space="preserve"> generally through its Audit Committee</w:t>
      </w:r>
      <w:r>
        <w:t>.</w:t>
      </w:r>
      <w:r w:rsidR="00AE77B1">
        <w:t xml:space="preserve"> </w:t>
      </w:r>
      <w:r>
        <w:t xml:space="preserve">In relation to </w:t>
      </w:r>
      <w:r w:rsidR="008A37A5" w:rsidRPr="00BA73DB">
        <w:t>administrative</w:t>
      </w:r>
      <w:r>
        <w:t xml:space="preserve"> matters such as </w:t>
      </w:r>
      <w:r w:rsidR="008A37A5" w:rsidRPr="00BA73DB">
        <w:t>human resource administration and budgets</w:t>
      </w:r>
      <w:r>
        <w:t xml:space="preserve">, the internal audit function </w:t>
      </w:r>
      <w:r w:rsidRPr="00BA73DB">
        <w:t>reports to management (e.g. Accountable Officer or its delegate)</w:t>
      </w:r>
      <w:r w:rsidR="008A37A5" w:rsidRPr="00BA73DB">
        <w:t>.</w:t>
      </w:r>
    </w:p>
    <w:p w14:paraId="3316E948" w14:textId="77777777" w:rsidR="00BE268A" w:rsidRDefault="00BE268A" w:rsidP="00D94C7A">
      <w:pPr>
        <w:pStyle w:val="Heading1NoNum"/>
      </w:pPr>
      <w:r>
        <w:t>Suitably experienced and qualified</w:t>
      </w:r>
    </w:p>
    <w:p w14:paraId="1100415B" w14:textId="77777777" w:rsidR="00BE268A" w:rsidRPr="008A37A5" w:rsidRDefault="00BE268A" w:rsidP="00BE268A">
      <w:r>
        <w:t>Internal audit</w:t>
      </w:r>
      <w:r w:rsidR="00DC498D">
        <w:t xml:space="preserve">ors </w:t>
      </w:r>
      <w:r>
        <w:t xml:space="preserve">must be suitably experienced and qualified. </w:t>
      </w:r>
      <w:r w:rsidR="00096C23">
        <w:t>What constitutes this will depend on the judgement of the Responsible Body having rega</w:t>
      </w:r>
      <w:r w:rsidR="006F0D5C">
        <w:t>rd to the circumstances of the A</w:t>
      </w:r>
      <w:r w:rsidR="00096C23">
        <w:t>gency. A relevant tertiary qualification would usually be required. A</w:t>
      </w:r>
      <w:r w:rsidR="00781FE7">
        <w:t xml:space="preserve"> p</w:t>
      </w:r>
      <w:r w:rsidR="00781FE7" w:rsidRPr="00781FE7">
        <w:t xml:space="preserve">rofessional designation (such as membership of </w:t>
      </w:r>
      <w:r w:rsidR="00781FE7">
        <w:t>the Institute of Internal Auditors</w:t>
      </w:r>
      <w:r w:rsidR="00781FE7" w:rsidRPr="00781FE7">
        <w:t>) is not a mandatory requirement. However, it is a relevant qualification</w:t>
      </w:r>
      <w:r w:rsidR="00096C23">
        <w:t xml:space="preserve"> and will help to ensure that internal audi</w:t>
      </w:r>
      <w:r w:rsidR="00DC498D">
        <w:t>tor</w:t>
      </w:r>
      <w:r w:rsidR="00096C23">
        <w:t xml:space="preserve">s are suitably qualified and </w:t>
      </w:r>
      <w:r w:rsidR="00781FE7" w:rsidRPr="00781FE7">
        <w:t xml:space="preserve">keep their knowledge and expertise up to date with developments in </w:t>
      </w:r>
      <w:r w:rsidR="00096C23">
        <w:t>internal auditing</w:t>
      </w:r>
      <w:r w:rsidR="00781FE7" w:rsidRPr="00781FE7">
        <w:t>.</w:t>
      </w:r>
    </w:p>
    <w:p w14:paraId="51D7FD80" w14:textId="77777777" w:rsidR="008A37A5" w:rsidRPr="008A37A5" w:rsidRDefault="008A37A5" w:rsidP="00D94C7A">
      <w:pPr>
        <w:pStyle w:val="Heading1NoNum"/>
      </w:pPr>
      <w:r w:rsidRPr="008A37A5">
        <w:t>Conflicts of interest</w:t>
      </w:r>
    </w:p>
    <w:p w14:paraId="6624EF3D" w14:textId="77777777" w:rsidR="008A37A5" w:rsidRPr="008A37A5" w:rsidRDefault="008A37A5" w:rsidP="008E306C">
      <w:r w:rsidRPr="008A37A5">
        <w:t xml:space="preserve">The </w:t>
      </w:r>
      <w:r w:rsidR="002D64CE">
        <w:t>i</w:t>
      </w:r>
      <w:r w:rsidRPr="008A37A5">
        <w:t xml:space="preserve">nternal </w:t>
      </w:r>
      <w:r w:rsidR="002D64CE">
        <w:t>a</w:t>
      </w:r>
      <w:r w:rsidRPr="008A37A5">
        <w:t>udit function can be in</w:t>
      </w:r>
      <w:r w:rsidR="00D62B6D">
        <w:noBreakHyphen/>
      </w:r>
      <w:r w:rsidRPr="008A37A5">
        <w:t>sourced, co</w:t>
      </w:r>
      <w:r w:rsidR="00D62B6D">
        <w:noBreakHyphen/>
      </w:r>
      <w:r w:rsidRPr="008A37A5">
        <w:t>sourced or outsourced. Whichever resourcing model the Agency adopts, the split between functional and administrative reporting still applies. For example, the contract administration of an outsourced function can remain with management, but contract performance remains with the Audit Committee.</w:t>
      </w:r>
    </w:p>
    <w:p w14:paraId="0238B03F" w14:textId="77777777" w:rsidR="008A37A5" w:rsidRPr="008A37A5" w:rsidRDefault="008A37A5" w:rsidP="009E364A">
      <w:pPr>
        <w:keepNext/>
      </w:pPr>
      <w:r w:rsidRPr="008A37A5">
        <w:lastRenderedPageBreak/>
        <w:t>When the Internal Audit</w:t>
      </w:r>
      <w:r w:rsidR="00C11799">
        <w:t xml:space="preserve"> role</w:t>
      </w:r>
      <w:r w:rsidRPr="008A37A5">
        <w:t xml:space="preserve"> is to be filled by an external service provider, relationships that may be seen to impair Internal Audit </w:t>
      </w:r>
      <w:r w:rsidR="00C11799">
        <w:t>member</w:t>
      </w:r>
      <w:r w:rsidR="00C96702">
        <w:t>’</w:t>
      </w:r>
      <w:r w:rsidR="00C11799">
        <w:t xml:space="preserve">s </w:t>
      </w:r>
      <w:r w:rsidRPr="008A37A5">
        <w:t>independence could include:</w:t>
      </w:r>
    </w:p>
    <w:p w14:paraId="53CE249F" w14:textId="77777777" w:rsidR="008A37A5" w:rsidRPr="00BA73DB" w:rsidRDefault="008A37A5" w:rsidP="000B15FD">
      <w:pPr>
        <w:pStyle w:val="GuidanceBullet1"/>
        <w:keepNext/>
        <w:numPr>
          <w:ilvl w:val="0"/>
          <w:numId w:val="50"/>
        </w:numPr>
      </w:pPr>
      <w:r w:rsidRPr="00BA73DB">
        <w:t xml:space="preserve">current or previous employment by the Agency, or having been a </w:t>
      </w:r>
      <w:r w:rsidR="002D64CE" w:rsidRPr="00BA73DB">
        <w:t>non</w:t>
      </w:r>
      <w:r w:rsidR="00D62B6D">
        <w:noBreakHyphen/>
      </w:r>
      <w:r w:rsidR="002D64CE" w:rsidRPr="00BA73DB">
        <w:t xml:space="preserve">executive </w:t>
      </w:r>
      <w:r w:rsidRPr="00BA73DB">
        <w:t>director after cea</w:t>
      </w:r>
      <w:r w:rsidR="0054418E">
        <w:t xml:space="preserve">sing to hold such employment; </w:t>
      </w:r>
    </w:p>
    <w:p w14:paraId="265FC966" w14:textId="77777777" w:rsidR="008A37A5" w:rsidRPr="00BA73DB" w:rsidRDefault="008A37A5" w:rsidP="000B15FD">
      <w:pPr>
        <w:pStyle w:val="GuidanceBullet1"/>
        <w:keepNext/>
        <w:numPr>
          <w:ilvl w:val="0"/>
          <w:numId w:val="50"/>
        </w:numPr>
      </w:pPr>
      <w:r w:rsidRPr="00BA73DB">
        <w:t>receipt of a material consulting, advisory or contractual relationship with the Agency</w:t>
      </w:r>
      <w:r w:rsidR="00D2282A">
        <w:t>,</w:t>
      </w:r>
      <w:r w:rsidRPr="00BA73DB">
        <w:t xml:space="preserve"> other than as </w:t>
      </w:r>
      <w:r w:rsidR="00C11799">
        <w:t>an</w:t>
      </w:r>
      <w:r w:rsidR="00D2282A">
        <w:t xml:space="preserve"> internal a</w:t>
      </w:r>
      <w:r w:rsidRPr="00BA73DB">
        <w:t>udit</w:t>
      </w:r>
      <w:r w:rsidR="00D2282A">
        <w:t>or</w:t>
      </w:r>
      <w:r w:rsidR="006B716C">
        <w:t xml:space="preserve"> </w:t>
      </w:r>
      <w:r w:rsidRPr="00BA73DB">
        <w:t>of the Agency; or</w:t>
      </w:r>
    </w:p>
    <w:p w14:paraId="43BE0C2C" w14:textId="14425C95" w:rsidR="008A37A5" w:rsidRPr="00BA73DB" w:rsidRDefault="008A37A5" w:rsidP="000B15FD">
      <w:pPr>
        <w:pStyle w:val="GuidanceBullet1"/>
        <w:numPr>
          <w:ilvl w:val="0"/>
          <w:numId w:val="50"/>
        </w:numPr>
      </w:pPr>
      <w:r w:rsidRPr="00BA73DB">
        <w:t xml:space="preserve">any interest or business or other relationship that could, or could reasonably be perceived to, materially interfere with the </w:t>
      </w:r>
      <w:r w:rsidR="00DC498D">
        <w:t>internal auditor</w:t>
      </w:r>
      <w:r w:rsidR="00DB2C10">
        <w:t>’</w:t>
      </w:r>
      <w:r w:rsidR="00DC498D">
        <w:t>s</w:t>
      </w:r>
      <w:r w:rsidR="00C11799" w:rsidRPr="00BA73DB">
        <w:t xml:space="preserve"> </w:t>
      </w:r>
      <w:r w:rsidRPr="00BA73DB">
        <w:t xml:space="preserve">ability to act in a capacity independent of management and in the best interests of the Agency. </w:t>
      </w:r>
    </w:p>
    <w:p w14:paraId="6CE5BDB6" w14:textId="77777777" w:rsidR="008A37A5" w:rsidRPr="008A37A5" w:rsidRDefault="008A37A5" w:rsidP="00D94C7A">
      <w:pPr>
        <w:pStyle w:val="Heading1NoNum"/>
      </w:pPr>
      <w:r w:rsidRPr="008A37A5">
        <w:t xml:space="preserve">Charter </w:t>
      </w:r>
    </w:p>
    <w:p w14:paraId="44ABE521" w14:textId="77777777" w:rsidR="008A37A5" w:rsidRPr="008A37A5" w:rsidRDefault="008A37A5" w:rsidP="008E306C">
      <w:r w:rsidRPr="008A37A5">
        <w:t xml:space="preserve">The internal audit charter defines the purpose, responsibilities and accountability of the internal audit function. It </w:t>
      </w:r>
      <w:r w:rsidR="008F7D27">
        <w:t>should</w:t>
      </w:r>
      <w:r w:rsidRPr="008A37A5">
        <w:t xml:space="preserve"> be consistent with the internal audit requirements in the Directions and specify at a minimum, the following:</w:t>
      </w:r>
    </w:p>
    <w:p w14:paraId="11820021" w14:textId="77777777" w:rsidR="008A37A5" w:rsidRPr="008A37A5" w:rsidRDefault="008A37A5" w:rsidP="00CA6CEE">
      <w:pPr>
        <w:pStyle w:val="Listnum"/>
        <w:spacing w:before="60" w:after="60"/>
      </w:pPr>
      <w:r w:rsidRPr="008A37A5">
        <w:t xml:space="preserve">purpose; </w:t>
      </w:r>
    </w:p>
    <w:p w14:paraId="434B9CFF" w14:textId="77777777" w:rsidR="008A37A5" w:rsidRPr="008A37A5" w:rsidRDefault="008A37A5" w:rsidP="00CA6CEE">
      <w:pPr>
        <w:pStyle w:val="Listnum"/>
        <w:spacing w:before="60" w:after="60"/>
      </w:pPr>
      <w:r w:rsidRPr="008A37A5">
        <w:t xml:space="preserve">role; </w:t>
      </w:r>
    </w:p>
    <w:p w14:paraId="46D2C684" w14:textId="77777777" w:rsidR="008A37A5" w:rsidRPr="008A37A5" w:rsidRDefault="008A37A5" w:rsidP="00CA6CEE">
      <w:pPr>
        <w:pStyle w:val="Listnum"/>
        <w:spacing w:before="60" w:after="60"/>
      </w:pPr>
      <w:r w:rsidRPr="008A37A5">
        <w:t>authority and accountability, including access to records and personnel;</w:t>
      </w:r>
    </w:p>
    <w:p w14:paraId="1F1694AA" w14:textId="77777777" w:rsidR="008A37A5" w:rsidRPr="008A37A5" w:rsidRDefault="008A37A5" w:rsidP="00CA6CEE">
      <w:pPr>
        <w:pStyle w:val="Listnum"/>
        <w:spacing w:before="60" w:after="60"/>
      </w:pPr>
      <w:r w:rsidRPr="008A37A5">
        <w:t>independence and objectivity;</w:t>
      </w:r>
    </w:p>
    <w:p w14:paraId="40520803" w14:textId="77777777" w:rsidR="008A37A5" w:rsidRPr="008A37A5" w:rsidRDefault="008A37A5" w:rsidP="00CA6CEE">
      <w:pPr>
        <w:pStyle w:val="Listnum"/>
        <w:spacing w:before="60" w:after="60"/>
      </w:pPr>
      <w:r w:rsidRPr="008A37A5">
        <w:t>responsibilities (some of the key responsibilities can be further expanded as separate topics e.g. planning, review of internal audit activity);</w:t>
      </w:r>
    </w:p>
    <w:p w14:paraId="260A3528" w14:textId="77777777" w:rsidR="008A37A5" w:rsidRPr="008A37A5" w:rsidRDefault="008A37A5" w:rsidP="00CA6CEE">
      <w:pPr>
        <w:pStyle w:val="Listnum"/>
        <w:spacing w:before="60" w:after="60"/>
      </w:pPr>
      <w:r w:rsidRPr="008A37A5">
        <w:t>outsourcing/co</w:t>
      </w:r>
      <w:r w:rsidR="00D62B6D">
        <w:noBreakHyphen/>
      </w:r>
      <w:r w:rsidRPr="008A37A5">
        <w:t>sourcing arrangements (if applicable);</w:t>
      </w:r>
    </w:p>
    <w:p w14:paraId="70A5FFBE" w14:textId="77777777" w:rsidR="008A37A5" w:rsidRPr="008A37A5" w:rsidRDefault="008A37A5" w:rsidP="00CA6CEE">
      <w:pPr>
        <w:pStyle w:val="Listnum"/>
        <w:spacing w:before="60" w:after="60"/>
      </w:pPr>
      <w:r w:rsidRPr="008A37A5">
        <w:t xml:space="preserve">reporting and monitoring; </w:t>
      </w:r>
    </w:p>
    <w:p w14:paraId="2B510F6A" w14:textId="77777777" w:rsidR="008A37A5" w:rsidRPr="008A37A5" w:rsidRDefault="008A37A5" w:rsidP="00CA6CEE">
      <w:pPr>
        <w:pStyle w:val="Listnum"/>
        <w:spacing w:before="60" w:after="60"/>
      </w:pPr>
      <w:r w:rsidRPr="008A37A5">
        <w:t>annual review of the charter by the Audit Committee; and</w:t>
      </w:r>
    </w:p>
    <w:p w14:paraId="5FC924DB" w14:textId="77777777" w:rsidR="008A37A5" w:rsidRPr="008A37A5" w:rsidRDefault="008A37A5" w:rsidP="00CA6CEE">
      <w:pPr>
        <w:pStyle w:val="Listnum"/>
        <w:spacing w:before="60" w:after="60"/>
      </w:pPr>
      <w:r w:rsidRPr="008A37A5">
        <w:t xml:space="preserve">standards of audit practice, reflecting Australian </w:t>
      </w:r>
      <w:r w:rsidR="000F5847">
        <w:t xml:space="preserve">and international </w:t>
      </w:r>
      <w:r w:rsidRPr="008A37A5">
        <w:t xml:space="preserve">auditing </w:t>
      </w:r>
      <w:r w:rsidR="000F5847">
        <w:t xml:space="preserve">and </w:t>
      </w:r>
      <w:r w:rsidRPr="008A37A5">
        <w:t>professional standards</w:t>
      </w:r>
      <w:r w:rsidR="000F5847">
        <w:t xml:space="preserve"> relating to internal audit</w:t>
      </w:r>
      <w:r w:rsidRPr="008A37A5">
        <w:t>.</w:t>
      </w:r>
    </w:p>
    <w:p w14:paraId="4297CD1C" w14:textId="77777777" w:rsidR="008A37A5" w:rsidRDefault="008A37A5" w:rsidP="008E306C">
      <w:r w:rsidRPr="008A37A5">
        <w:t>Helpful guidance on the contents of an internal audit charter can be found at:</w:t>
      </w:r>
    </w:p>
    <w:p w14:paraId="54A4860F" w14:textId="74832002" w:rsidR="008A37A5" w:rsidRPr="00600C02" w:rsidRDefault="008A37A5" w:rsidP="000B15FD">
      <w:pPr>
        <w:pStyle w:val="GuidanceBullet1"/>
        <w:numPr>
          <w:ilvl w:val="0"/>
          <w:numId w:val="51"/>
        </w:numPr>
        <w:contextualSpacing/>
      </w:pPr>
      <w:hyperlink r:id="rId143" w:history="1">
        <w:r w:rsidRPr="00600C02">
          <w:t>Institute of Internal Auditors (Australia) – Internal Audit Charter</w:t>
        </w:r>
      </w:hyperlink>
      <w:r w:rsidR="00600C02" w:rsidRPr="00600C02">
        <w:t xml:space="preserve"> </w:t>
      </w:r>
      <w:r w:rsidR="00600C02" w:rsidRPr="008A70DA">
        <w:t>checklist</w:t>
      </w:r>
      <w:r w:rsidR="007A23FF" w:rsidRPr="00600C02">
        <w:rPr>
          <w:rStyle w:val="FootnoteReference"/>
          <w:color w:val="595959" w:themeColor="text1" w:themeTint="A6"/>
        </w:rPr>
        <w:footnoteReference w:id="23"/>
      </w:r>
      <w:r w:rsidRPr="00600C02">
        <w:t xml:space="preserve">; </w:t>
      </w:r>
    </w:p>
    <w:p w14:paraId="46B7D3F3" w14:textId="656FEDFA" w:rsidR="008A37A5" w:rsidRPr="0056748D" w:rsidRDefault="008A37A5" w:rsidP="000B15FD">
      <w:pPr>
        <w:pStyle w:val="GuidanceBullet1"/>
        <w:numPr>
          <w:ilvl w:val="0"/>
          <w:numId w:val="51"/>
        </w:numPr>
        <w:contextualSpacing/>
      </w:pPr>
      <w:hyperlink r:id="rId144" w:history="1">
        <w:r w:rsidRPr="0056748D">
          <w:t>Australian National Audit Office – Model Internal Audit Charter</w:t>
        </w:r>
      </w:hyperlink>
      <w:r w:rsidR="007A23FF" w:rsidRPr="0056748D">
        <w:rPr>
          <w:rStyle w:val="FootnoteReference"/>
          <w:color w:val="595959" w:themeColor="text1" w:themeTint="A6"/>
        </w:rPr>
        <w:footnoteReference w:id="24"/>
      </w:r>
      <w:r w:rsidRPr="0056748D">
        <w:t>.</w:t>
      </w:r>
    </w:p>
    <w:p w14:paraId="154AFDB4" w14:textId="77777777" w:rsidR="008A37A5" w:rsidRPr="008A37A5" w:rsidRDefault="00F10C23" w:rsidP="00D94C7A">
      <w:pPr>
        <w:pStyle w:val="Heading1NoNum"/>
      </w:pPr>
      <w:r>
        <w:t>S</w:t>
      </w:r>
      <w:r w:rsidR="008A37A5" w:rsidRPr="008A37A5">
        <w:t xml:space="preserve">trategic internal audit plan and an annual audit work program </w:t>
      </w:r>
    </w:p>
    <w:p w14:paraId="78F38F7F" w14:textId="77777777" w:rsidR="008A37A5" w:rsidRPr="008A37A5" w:rsidRDefault="008A37A5" w:rsidP="008E306C">
      <w:r w:rsidRPr="008A37A5">
        <w:t>Internal audit planning needs to be appropriate for the Agency’s size, complexity of functions and risk profile.</w:t>
      </w:r>
      <w:r w:rsidR="00074656">
        <w:t xml:space="preserve"> It should consider the key risks and areas outlined in the Agency’s </w:t>
      </w:r>
      <w:r w:rsidR="006B716C">
        <w:t>Corporate</w:t>
      </w:r>
      <w:r w:rsidRPr="008A37A5">
        <w:t xml:space="preserve"> </w:t>
      </w:r>
      <w:r w:rsidR="00074656">
        <w:t xml:space="preserve">plan. </w:t>
      </w:r>
      <w:r w:rsidRPr="008A37A5">
        <w:t>Potential areas for internal audit coverage include:</w:t>
      </w:r>
    </w:p>
    <w:p w14:paraId="32D4E250" w14:textId="77777777" w:rsidR="008A37A5" w:rsidRPr="00123800" w:rsidRDefault="008A37A5" w:rsidP="000B15FD">
      <w:pPr>
        <w:pStyle w:val="GuidanceBullet1"/>
        <w:numPr>
          <w:ilvl w:val="0"/>
          <w:numId w:val="52"/>
        </w:numPr>
        <w:contextualSpacing/>
      </w:pPr>
      <w:r w:rsidRPr="00123800">
        <w:t>compliance with legislation, standards, policies and procedures;</w:t>
      </w:r>
    </w:p>
    <w:p w14:paraId="2BFAF58C" w14:textId="77777777" w:rsidR="008A37A5" w:rsidRPr="00123800" w:rsidRDefault="008A37A5" w:rsidP="000B15FD">
      <w:pPr>
        <w:pStyle w:val="GuidanceBullet1"/>
        <w:numPr>
          <w:ilvl w:val="0"/>
          <w:numId w:val="52"/>
        </w:numPr>
        <w:contextualSpacing/>
      </w:pPr>
      <w:r w:rsidRPr="00123800">
        <w:t xml:space="preserve">operational/financial processes and controls and review of transactions; </w:t>
      </w:r>
    </w:p>
    <w:p w14:paraId="55AAD792" w14:textId="77777777" w:rsidR="008A37A5" w:rsidRPr="00123800" w:rsidRDefault="008A37A5" w:rsidP="000B15FD">
      <w:pPr>
        <w:pStyle w:val="GuidanceBullet1"/>
        <w:numPr>
          <w:ilvl w:val="0"/>
          <w:numId w:val="52"/>
        </w:numPr>
        <w:contextualSpacing/>
      </w:pPr>
      <w:r w:rsidRPr="00123800">
        <w:t xml:space="preserve">information and communication technology including IT </w:t>
      </w:r>
      <w:r w:rsidR="006862FE">
        <w:t xml:space="preserve">systems and </w:t>
      </w:r>
      <w:r w:rsidRPr="00123800">
        <w:t>controls on information quality, integrity</w:t>
      </w:r>
      <w:r w:rsidR="002D64CE" w:rsidRPr="00123800">
        <w:t xml:space="preserve"> and</w:t>
      </w:r>
      <w:r w:rsidRPr="00123800">
        <w:t xml:space="preserve"> reliability;</w:t>
      </w:r>
    </w:p>
    <w:p w14:paraId="161CE278" w14:textId="77777777" w:rsidR="008A37A5" w:rsidRPr="00123800" w:rsidRDefault="008A37A5" w:rsidP="000B15FD">
      <w:pPr>
        <w:pStyle w:val="GuidanceBullet1"/>
        <w:numPr>
          <w:ilvl w:val="0"/>
          <w:numId w:val="52"/>
        </w:numPr>
        <w:contextualSpacing/>
      </w:pPr>
      <w:r w:rsidRPr="00123800">
        <w:t>evaluation of the efficiency and effectiveness of the Agency’s performance, including specific areas of Agency functions;</w:t>
      </w:r>
    </w:p>
    <w:p w14:paraId="6D28D4AE" w14:textId="77777777" w:rsidR="008A37A5" w:rsidRPr="00123800" w:rsidRDefault="008A37A5" w:rsidP="000B15FD">
      <w:pPr>
        <w:pStyle w:val="GuidanceBullet1"/>
        <w:numPr>
          <w:ilvl w:val="0"/>
          <w:numId w:val="52"/>
        </w:numPr>
        <w:contextualSpacing/>
      </w:pPr>
      <w:r w:rsidRPr="00123800">
        <w:t>governance arrangements and planning;</w:t>
      </w:r>
    </w:p>
    <w:p w14:paraId="5274152A" w14:textId="77777777" w:rsidR="008A37A5" w:rsidRPr="00123800" w:rsidRDefault="008A37A5" w:rsidP="000B15FD">
      <w:pPr>
        <w:pStyle w:val="GuidanceBullet1"/>
        <w:numPr>
          <w:ilvl w:val="0"/>
          <w:numId w:val="52"/>
        </w:numPr>
        <w:contextualSpacing/>
      </w:pPr>
      <w:r w:rsidRPr="00123800">
        <w:t>the risk management framework;</w:t>
      </w:r>
    </w:p>
    <w:p w14:paraId="4A5CD322" w14:textId="77777777" w:rsidR="008A37A5" w:rsidRPr="00123800" w:rsidRDefault="008A37A5" w:rsidP="000B15FD">
      <w:pPr>
        <w:pStyle w:val="GuidanceBullet1"/>
        <w:numPr>
          <w:ilvl w:val="0"/>
          <w:numId w:val="52"/>
        </w:numPr>
        <w:contextualSpacing/>
      </w:pPr>
      <w:r w:rsidRPr="00123800">
        <w:t>project/program management; and</w:t>
      </w:r>
    </w:p>
    <w:p w14:paraId="661CA840" w14:textId="77777777" w:rsidR="008A37A5" w:rsidRPr="00123800" w:rsidRDefault="008A37A5" w:rsidP="000B15FD">
      <w:pPr>
        <w:pStyle w:val="GuidanceBullet1"/>
        <w:numPr>
          <w:ilvl w:val="0"/>
          <w:numId w:val="52"/>
        </w:numPr>
        <w:contextualSpacing/>
      </w:pPr>
      <w:r w:rsidRPr="00123800">
        <w:t>special investigations and ad hoc reviews.</w:t>
      </w:r>
    </w:p>
    <w:p w14:paraId="746F847A" w14:textId="77777777" w:rsidR="008A37A5" w:rsidRPr="008A37A5" w:rsidRDefault="008A37A5" w:rsidP="008E306C">
      <w:r w:rsidRPr="008A37A5">
        <w:t>The strategic internal audit plan and annual audit work program need to be of sufficient detail to assure the Audit Committee and Responsible Body that the proposed audit coverage will address the business needs and key risks.</w:t>
      </w:r>
    </w:p>
    <w:p w14:paraId="753A255E" w14:textId="77777777" w:rsidR="008A37A5" w:rsidRPr="008A37A5" w:rsidRDefault="00F10C23" w:rsidP="00FC17D9">
      <w:pPr>
        <w:pStyle w:val="Heading2NoNum"/>
      </w:pPr>
      <w:r>
        <w:lastRenderedPageBreak/>
        <w:t>S</w:t>
      </w:r>
      <w:r w:rsidR="008A37A5" w:rsidRPr="008A37A5">
        <w:t>trategic internal audit plan</w:t>
      </w:r>
    </w:p>
    <w:p w14:paraId="52B87A76" w14:textId="74832A58" w:rsidR="00F10C23" w:rsidRDefault="008A37A5" w:rsidP="008E306C">
      <w:r w:rsidRPr="008A37A5">
        <w:t xml:space="preserve">The strategic internal audit plan </w:t>
      </w:r>
      <w:r w:rsidR="00C34FCC">
        <w:t xml:space="preserve">must cover a </w:t>
      </w:r>
      <w:r w:rsidR="00F10C23">
        <w:t xml:space="preserve">period of three </w:t>
      </w:r>
      <w:r w:rsidR="00C34FCC">
        <w:t xml:space="preserve">to four </w:t>
      </w:r>
      <w:r w:rsidR="00F10C23">
        <w:t>years</w:t>
      </w:r>
      <w:r w:rsidR="00C34FCC">
        <w:t>. It</w:t>
      </w:r>
      <w:r w:rsidR="00F10C23">
        <w:t xml:space="preserve"> </w:t>
      </w:r>
      <w:r w:rsidRPr="008A37A5">
        <w:t>support</w:t>
      </w:r>
      <w:r w:rsidR="00C34FCC">
        <w:t>s</w:t>
      </w:r>
      <w:r w:rsidRPr="008A37A5">
        <w:t xml:space="preserve"> the </w:t>
      </w:r>
      <w:r w:rsidR="002D64CE">
        <w:t>Direction</w:t>
      </w:r>
      <w:r w:rsidRPr="008A37A5">
        <w:t xml:space="preserve"> requirement of reviewing all financial management obligations over a </w:t>
      </w:r>
      <w:r w:rsidR="00F10C23">
        <w:t>medium</w:t>
      </w:r>
      <w:r w:rsidR="00DB2C10">
        <w:t>-</w:t>
      </w:r>
      <w:r w:rsidR="00F10C23">
        <w:t>term</w:t>
      </w:r>
      <w:r w:rsidRPr="008A37A5">
        <w:t xml:space="preserve"> cycle. </w:t>
      </w:r>
    </w:p>
    <w:p w14:paraId="0A3EEFB1" w14:textId="77777777" w:rsidR="008A37A5" w:rsidRPr="008A37A5" w:rsidRDefault="008A37A5" w:rsidP="008E306C">
      <w:r w:rsidRPr="008A37A5">
        <w:t>For Portfolio Departments, this timeframe also aligns with the rolling fou</w:t>
      </w:r>
      <w:r w:rsidR="00DB2C10">
        <w:t>r-</w:t>
      </w:r>
      <w:r w:rsidRPr="008A37A5">
        <w:t xml:space="preserve"> year corporate planning</w:t>
      </w:r>
      <w:r w:rsidR="00465158">
        <w:t xml:space="preserve"> process which considers how a D</w:t>
      </w:r>
      <w:r w:rsidRPr="008A37A5">
        <w:t xml:space="preserve">epartment will respond to challenges and expectations in the medium term. </w:t>
      </w:r>
    </w:p>
    <w:p w14:paraId="2B7DFF37" w14:textId="77777777" w:rsidR="008A37A5" w:rsidRPr="008A37A5" w:rsidRDefault="008A37A5" w:rsidP="008E306C">
      <w:r w:rsidRPr="008A37A5">
        <w:t xml:space="preserve">The strategic internal audit plan should be reviewed and updated annually and describe the role of internal audit in the Agency’s overall assurance processes, and provide an important link between the internal audit charter and the internal audit </w:t>
      </w:r>
      <w:r w:rsidR="008E1161">
        <w:t xml:space="preserve">annual </w:t>
      </w:r>
      <w:r w:rsidRPr="008A37A5">
        <w:t>work program.</w:t>
      </w:r>
    </w:p>
    <w:p w14:paraId="1BB4B760" w14:textId="3F26C776" w:rsidR="008A37A5" w:rsidRPr="002C13A6" w:rsidRDefault="008A37A5" w:rsidP="008E306C">
      <w:r w:rsidRPr="008A37A5">
        <w:t xml:space="preserve">Good practice internal audit planning involves a risk assessment of the areas of strategic and operational significance to the achievement of an Agency’s objectives to determine appropriate timing and frequency of coverage for these areas over the planning period. </w:t>
      </w:r>
      <w:r w:rsidR="00F10C23">
        <w:t>Key risk areas may be reviewed more frequently, even yearly</w:t>
      </w:r>
      <w:r w:rsidR="00057D21">
        <w:t>,</w:t>
      </w:r>
      <w:r w:rsidR="00F10C23">
        <w:t xml:space="preserve"> whereas lower risk areas may </w:t>
      </w:r>
      <w:r w:rsidR="00057D21">
        <w:t>only be reviewed in detail every three to four years</w:t>
      </w:r>
      <w:r w:rsidR="006862FE" w:rsidRPr="002C13A6">
        <w:t>.</w:t>
      </w:r>
    </w:p>
    <w:p w14:paraId="3B4A2A62" w14:textId="38EB536F" w:rsidR="00E27193" w:rsidRPr="008A37A5" w:rsidRDefault="006C3EE4" w:rsidP="008E306C">
      <w:r w:rsidRPr="009D123B">
        <w:t>One key risk area is</w:t>
      </w:r>
      <w:r w:rsidR="009B4724" w:rsidRPr="009D123B">
        <w:t xml:space="preserve"> the investment of financial assets</w:t>
      </w:r>
      <w:r w:rsidR="00317C27" w:rsidRPr="009D123B">
        <w:t xml:space="preserve">. </w:t>
      </w:r>
      <w:r w:rsidRPr="009D123B">
        <w:t>Since each</w:t>
      </w:r>
      <w:r w:rsidR="002C7EF4" w:rsidRPr="009D123B">
        <w:t xml:space="preserve"> </w:t>
      </w:r>
      <w:r w:rsidR="00AF0FE1" w:rsidRPr="009D123B">
        <w:t>Agency’s</w:t>
      </w:r>
      <w:r w:rsidR="00317C27" w:rsidRPr="009D123B">
        <w:t xml:space="preserve"> </w:t>
      </w:r>
      <w:r w:rsidRPr="009D123B">
        <w:t xml:space="preserve">Responsible Body </w:t>
      </w:r>
      <w:r w:rsidR="009B4724" w:rsidRPr="009D123B">
        <w:t xml:space="preserve">must attest </w:t>
      </w:r>
      <w:r w:rsidRPr="009D123B">
        <w:t>annually</w:t>
      </w:r>
      <w:r w:rsidR="009B4724" w:rsidRPr="009D123B">
        <w:t xml:space="preserve"> that </w:t>
      </w:r>
      <w:r w:rsidRPr="009D123B">
        <w:t xml:space="preserve">it complies with the requirements of SDs 3.7.2.1 and 3.7.2.2 with respect to its </w:t>
      </w:r>
      <w:r w:rsidR="009B4724" w:rsidRPr="009D123B">
        <w:t>financial assets</w:t>
      </w:r>
      <w:r w:rsidRPr="009D123B">
        <w:t xml:space="preserve"> and the separation of third party funds from the Agency’s funds, it would be prudent for internal audit to ensure that its annual plan specifically covers this.</w:t>
      </w:r>
    </w:p>
    <w:p w14:paraId="7EEBA1E8" w14:textId="35AE3ECE" w:rsidR="008A37A5" w:rsidRPr="008A37A5" w:rsidRDefault="008A37A5" w:rsidP="008E306C">
      <w:r w:rsidRPr="008A37A5">
        <w:t>The strategic internal audit plan provides a comprehensive view of an Agency’s governance, risk and control activities and helps to focus the internal audit effort. The plan communicates the medium</w:t>
      </w:r>
      <w:r w:rsidR="00DB2C10">
        <w:t>-</w:t>
      </w:r>
      <w:r w:rsidRPr="008A37A5">
        <w:t xml:space="preserve">term internal audit direction in supporting the achievement of the Agency’s objectives and the mitigation of risks. Senior management provides an important input into </w:t>
      </w:r>
      <w:r w:rsidR="00257E27">
        <w:t xml:space="preserve">this </w:t>
      </w:r>
      <w:r w:rsidRPr="008A37A5">
        <w:t xml:space="preserve">planning process. </w:t>
      </w:r>
    </w:p>
    <w:p w14:paraId="30AF3ECA" w14:textId="77777777" w:rsidR="008A37A5" w:rsidRPr="008A37A5" w:rsidRDefault="008A37A5" w:rsidP="00FC17D9">
      <w:pPr>
        <w:pStyle w:val="Heading2NoNum"/>
      </w:pPr>
      <w:r w:rsidRPr="008A37A5">
        <w:t>Annual audit work program</w:t>
      </w:r>
    </w:p>
    <w:p w14:paraId="4E088873" w14:textId="77777777" w:rsidR="008A37A5" w:rsidRDefault="008A37A5" w:rsidP="008E306C">
      <w:r w:rsidRPr="008A37A5">
        <w:t xml:space="preserve">The annual internal audit work program sets out in detail the key areas for internal audit review for the upcoming year. </w:t>
      </w:r>
    </w:p>
    <w:p w14:paraId="38677F0A" w14:textId="77777777" w:rsidR="00287373" w:rsidRPr="008A37A5" w:rsidRDefault="00287373" w:rsidP="00FC17D9">
      <w:pPr>
        <w:pStyle w:val="Heading2NoNum"/>
      </w:pPr>
      <w:r>
        <w:t>Evidence required for compliance</w:t>
      </w:r>
    </w:p>
    <w:p w14:paraId="7581859C" w14:textId="5E813460" w:rsidR="00287373" w:rsidRPr="00C426D3" w:rsidRDefault="00287373" w:rsidP="00287373">
      <w:r>
        <w:t xml:space="preserve">In conducting </w:t>
      </w:r>
      <w:r w:rsidR="00F10C23">
        <w:t xml:space="preserve">audits under the </w:t>
      </w:r>
      <w:r w:rsidRPr="00287373">
        <w:t>strategic internal audit</w:t>
      </w:r>
      <w:r w:rsidR="00F10C23">
        <w:t xml:space="preserve"> plan</w:t>
      </w:r>
      <w:r>
        <w:t>, it is expected that Internal Audit will take a practical, risk</w:t>
      </w:r>
      <w:r w:rsidR="00D62B6D">
        <w:noBreakHyphen/>
      </w:r>
      <w:r>
        <w:t>based approach</w:t>
      </w:r>
      <w:r w:rsidR="000855D7">
        <w:rPr>
          <w:rStyle w:val="FootnoteReference"/>
        </w:rPr>
        <w:footnoteReference w:id="25"/>
      </w:r>
      <w:r>
        <w:t xml:space="preserve"> to the evidence required to demonstrate compliance. This is particularly relevant to those directions that require Agencies to achieve broad principles of good financial management. An example is </w:t>
      </w:r>
      <w:hyperlink r:id="rId145" w:anchor="standing-directions-2018" w:history="1">
        <w:r w:rsidRPr="0051115B">
          <w:rPr>
            <w:rStyle w:val="Hyperlink"/>
          </w:rPr>
          <w:t>Direction</w:t>
        </w:r>
        <w:r w:rsidR="00481228" w:rsidRPr="0051115B">
          <w:rPr>
            <w:rStyle w:val="Hyperlink"/>
          </w:rPr>
          <w:t xml:space="preserve"> 2.2</w:t>
        </w:r>
        <w:r w:rsidR="00481228" w:rsidRPr="009E7377">
          <w:rPr>
            <w:rStyle w:val="Hyperlink"/>
          </w:rPr>
          <w:t>(a)</w:t>
        </w:r>
      </w:hyperlink>
      <w:r>
        <w:t>, which requires the Responsible Body to ensure that the Agency furthers government objectives and priorities. Reasonable evidence for compliance with such a requirement could include a brief summary of significant Government priorities that the Agency has pursued in the relevant year. It would usually be unreasonable to require that the Agency undertake a detailed analysis of all actions taken under such requirements.</w:t>
      </w:r>
    </w:p>
    <w:p w14:paraId="04EFAFDB" w14:textId="77777777" w:rsidR="008A37A5" w:rsidRPr="008A37A5" w:rsidRDefault="008A37A5" w:rsidP="00D94C7A">
      <w:pPr>
        <w:pStyle w:val="Heading1NoNum"/>
      </w:pPr>
      <w:r w:rsidRPr="008A37A5">
        <w:t>Further information</w:t>
      </w:r>
    </w:p>
    <w:p w14:paraId="7A3A1389" w14:textId="77777777" w:rsidR="008A37A5" w:rsidRPr="008A37A5" w:rsidRDefault="008A37A5" w:rsidP="00FC17D9">
      <w:pPr>
        <w:pStyle w:val="Heading2NoNum"/>
      </w:pPr>
      <w:r w:rsidRPr="008A37A5">
        <w:t>Planning reference material</w:t>
      </w:r>
    </w:p>
    <w:p w14:paraId="210C6AB4" w14:textId="77777777" w:rsidR="008A37A5" w:rsidRDefault="008A37A5" w:rsidP="008E306C">
      <w:r w:rsidRPr="008A37A5">
        <w:t>Further guidance on the contents of the strategic internal audit plan and annual internal audit program can be obtained from the following:</w:t>
      </w:r>
    </w:p>
    <w:p w14:paraId="74663FA6" w14:textId="100FF416" w:rsidR="008A37A5" w:rsidRPr="00B810CC" w:rsidRDefault="008A37A5" w:rsidP="000B15FD">
      <w:pPr>
        <w:pStyle w:val="GuidanceBullet1"/>
        <w:numPr>
          <w:ilvl w:val="0"/>
          <w:numId w:val="53"/>
        </w:numPr>
        <w:contextualSpacing/>
      </w:pPr>
      <w:hyperlink r:id="rId146" w:history="1">
        <w:r w:rsidRPr="00B810CC">
          <w:t>Institute of Internal Auditors (Australia), Practice Guide – Developing the Internal Audit Strategic Plan</w:t>
        </w:r>
      </w:hyperlink>
      <w:r w:rsidR="007A23FF" w:rsidRPr="00B810CC">
        <w:rPr>
          <w:rStyle w:val="FootnoteReference"/>
          <w:color w:val="595959" w:themeColor="text1" w:themeTint="A6"/>
        </w:rPr>
        <w:footnoteReference w:id="26"/>
      </w:r>
      <w:r w:rsidRPr="00B810CC">
        <w:t>;</w:t>
      </w:r>
    </w:p>
    <w:p w14:paraId="11A4AF5B" w14:textId="4F1398FA" w:rsidR="008A37A5" w:rsidRPr="00B810CC" w:rsidRDefault="008A37A5" w:rsidP="000B15FD">
      <w:pPr>
        <w:pStyle w:val="GuidanceBullet1"/>
        <w:numPr>
          <w:ilvl w:val="0"/>
          <w:numId w:val="53"/>
        </w:numPr>
        <w:contextualSpacing/>
      </w:pPr>
      <w:hyperlink r:id="rId147" w:history="1">
        <w:r w:rsidRPr="00B810CC">
          <w:t>Australian National Audit Office, Better Practice Guide, Public Sector Internal Audit (September 2012)</w:t>
        </w:r>
      </w:hyperlink>
      <w:r w:rsidR="007A23FF" w:rsidRPr="00B810CC">
        <w:rPr>
          <w:rStyle w:val="FootnoteReference"/>
          <w:color w:val="595959" w:themeColor="text1" w:themeTint="A6"/>
        </w:rPr>
        <w:footnoteReference w:id="27"/>
      </w:r>
      <w:r w:rsidRPr="00B810CC">
        <w:t>;</w:t>
      </w:r>
    </w:p>
    <w:p w14:paraId="75E7E6D5" w14:textId="3DE0965F" w:rsidR="008A37A5" w:rsidRPr="00B810CC" w:rsidRDefault="008A37A5" w:rsidP="000B15FD">
      <w:pPr>
        <w:pStyle w:val="GuidanceBullet1"/>
        <w:numPr>
          <w:ilvl w:val="0"/>
          <w:numId w:val="53"/>
        </w:numPr>
        <w:contextualSpacing/>
      </w:pPr>
      <w:hyperlink r:id="rId148" w:history="1">
        <w:r w:rsidRPr="00B810CC">
          <w:t>Australian National Audit Office – Planning Internal Audit Activities</w:t>
        </w:r>
      </w:hyperlink>
      <w:r w:rsidR="007A23FF" w:rsidRPr="00B810CC">
        <w:rPr>
          <w:rStyle w:val="FootnoteReference"/>
          <w:color w:val="595959" w:themeColor="text1" w:themeTint="A6"/>
        </w:rPr>
        <w:footnoteReference w:id="28"/>
      </w:r>
      <w:r w:rsidRPr="00B810CC">
        <w:t>; and</w:t>
      </w:r>
    </w:p>
    <w:p w14:paraId="5C8F8318" w14:textId="6BF59566" w:rsidR="008A37A5" w:rsidRPr="0056748D" w:rsidRDefault="008A37A5" w:rsidP="000B15FD">
      <w:pPr>
        <w:pStyle w:val="GuidanceBullet1"/>
        <w:numPr>
          <w:ilvl w:val="0"/>
          <w:numId w:val="53"/>
        </w:numPr>
        <w:contextualSpacing/>
      </w:pPr>
      <w:hyperlink r:id="rId149" w:history="1">
        <w:r w:rsidRPr="00B810CC">
          <w:t>Australian National Audit Office – Templates and guidance on internal audit strategy and work plan</w:t>
        </w:r>
      </w:hyperlink>
      <w:r w:rsidR="007A23FF" w:rsidRPr="0056748D">
        <w:rPr>
          <w:rStyle w:val="FootnoteReference"/>
          <w:color w:val="595959" w:themeColor="text1" w:themeTint="A6"/>
        </w:rPr>
        <w:footnoteReference w:id="29"/>
      </w:r>
      <w:r w:rsidRPr="0056748D">
        <w:t>.</w:t>
      </w:r>
    </w:p>
    <w:p w14:paraId="435D4BB8" w14:textId="77777777" w:rsidR="008A37A5" w:rsidRPr="00807DBC" w:rsidRDefault="008A37A5" w:rsidP="00FC17D9">
      <w:pPr>
        <w:pStyle w:val="Heading2NoNum"/>
      </w:pPr>
      <w:r w:rsidRPr="00807DBC">
        <w:lastRenderedPageBreak/>
        <w:t>Professional standards</w:t>
      </w:r>
    </w:p>
    <w:p w14:paraId="430107D9" w14:textId="77777777" w:rsidR="006218F1" w:rsidRDefault="008A37A5" w:rsidP="006218F1">
      <w:r w:rsidRPr="00807DBC">
        <w:t>The Institute of Internal Auditors (</w:t>
      </w:r>
      <w:r w:rsidR="006B716C" w:rsidRPr="00807DBC">
        <w:t xml:space="preserve">IIA </w:t>
      </w:r>
      <w:r w:rsidRPr="00807DBC">
        <w:t>Australia) website provides a number of best practice guides</w:t>
      </w:r>
      <w:r w:rsidR="00057D21" w:rsidRPr="00807DBC">
        <w:t xml:space="preserve"> and training</w:t>
      </w:r>
      <w:r w:rsidRPr="00807DBC">
        <w:t>, including:</w:t>
      </w:r>
      <w:r w:rsidR="006218F1">
        <w:t xml:space="preserve"> </w:t>
      </w:r>
    </w:p>
    <w:p w14:paraId="113D7571" w14:textId="4771508E" w:rsidR="006218F1" w:rsidRDefault="008A37A5" w:rsidP="006218F1">
      <w:pPr>
        <w:pStyle w:val="Bullet1"/>
        <w:ind w:left="284" w:hanging="284"/>
      </w:pPr>
      <w:hyperlink r:id="rId150" w:history="1">
        <w:r w:rsidRPr="00807DBC">
          <w:t>International Standards for the Professional Practice of Internal Auditing</w:t>
        </w:r>
      </w:hyperlink>
      <w:r w:rsidR="007A23FF" w:rsidRPr="00807DBC">
        <w:rPr>
          <w:rStyle w:val="FootnoteReference"/>
          <w:color w:val="595959" w:themeColor="text1" w:themeTint="A6"/>
        </w:rPr>
        <w:footnoteReference w:id="30"/>
      </w:r>
      <w:r w:rsidRPr="00807DBC">
        <w:t>;</w:t>
      </w:r>
    </w:p>
    <w:p w14:paraId="0D9BEA47" w14:textId="612C4401" w:rsidR="006218F1" w:rsidRDefault="008A37A5" w:rsidP="006218F1">
      <w:pPr>
        <w:pStyle w:val="Bullet1"/>
        <w:ind w:left="284" w:hanging="284"/>
      </w:pPr>
      <w:hyperlink r:id="rId151" w:history="1">
        <w:r w:rsidRPr="00807DBC">
          <w:t>International Professional Practices Framework</w:t>
        </w:r>
      </w:hyperlink>
      <w:r w:rsidR="007A23FF" w:rsidRPr="00807DBC">
        <w:rPr>
          <w:rStyle w:val="FootnoteReference"/>
          <w:color w:val="595959" w:themeColor="text1" w:themeTint="A6"/>
        </w:rPr>
        <w:footnoteReference w:id="31"/>
      </w:r>
      <w:r w:rsidRPr="00807DBC">
        <w:t xml:space="preserve">; </w:t>
      </w:r>
    </w:p>
    <w:p w14:paraId="06D72D1C" w14:textId="7A39D432" w:rsidR="006218F1" w:rsidRDefault="008A37A5" w:rsidP="006218F1">
      <w:pPr>
        <w:pStyle w:val="Bullet1"/>
        <w:ind w:left="284" w:hanging="284"/>
      </w:pPr>
      <w:hyperlink r:id="rId152" w:history="1">
        <w:r w:rsidRPr="00807DBC">
          <w:t>Assisting Small Internal Audit Activities in Implementing the 'International Standards for the Professional Practice of Internal Auditing</w:t>
        </w:r>
      </w:hyperlink>
      <w:bookmarkStart w:id="25" w:name="_Ref443466533"/>
      <w:r w:rsidR="007A23FF" w:rsidRPr="00807DBC">
        <w:rPr>
          <w:rStyle w:val="FootnoteReference"/>
          <w:color w:val="595959" w:themeColor="text1" w:themeTint="A6"/>
        </w:rPr>
        <w:footnoteReference w:id="32"/>
      </w:r>
      <w:bookmarkEnd w:id="25"/>
      <w:r w:rsidR="00057D21" w:rsidRPr="00807DBC">
        <w:t>; and</w:t>
      </w:r>
    </w:p>
    <w:p w14:paraId="12AA6B2D" w14:textId="750CCB10" w:rsidR="00057D21" w:rsidRPr="00807DBC" w:rsidRDefault="00057D21" w:rsidP="006218F1">
      <w:pPr>
        <w:pStyle w:val="Bullet1"/>
        <w:ind w:left="284" w:hanging="284"/>
      </w:pPr>
      <w:r w:rsidRPr="00807DBC">
        <w:t>Best practice and updated skills training for Audit Committee members.</w:t>
      </w:r>
    </w:p>
    <w:p w14:paraId="2EDE4D4E" w14:textId="77777777" w:rsidR="008A37A5" w:rsidRPr="00807DBC" w:rsidRDefault="008A37A5" w:rsidP="00FC17D9">
      <w:pPr>
        <w:pStyle w:val="Heading2NoNum"/>
      </w:pPr>
      <w:r w:rsidRPr="00807DBC">
        <w:t>Measuring and assessing effectiveness</w:t>
      </w:r>
    </w:p>
    <w:p w14:paraId="21486668" w14:textId="178E6958" w:rsidR="008A37A5" w:rsidRPr="00807DBC" w:rsidRDefault="008A37A5" w:rsidP="006218F1">
      <w:pPr>
        <w:pStyle w:val="Bullet1"/>
        <w:ind w:left="284" w:hanging="284"/>
      </w:pPr>
      <w:r w:rsidRPr="00807DBC">
        <w:t>The</w:t>
      </w:r>
      <w:r w:rsidR="006B716C" w:rsidRPr="00807DBC">
        <w:t xml:space="preserve"> IIA</w:t>
      </w:r>
      <w:r w:rsidRPr="00807DBC">
        <w:t xml:space="preserve"> </w:t>
      </w:r>
      <w:hyperlink r:id="rId153" w:history="1">
        <w:r w:rsidRPr="00807DBC">
          <w:t>Practice Guide – Measuring Internal Audit Effectiveness and Efficiency</w:t>
        </w:r>
      </w:hyperlink>
      <w:r w:rsidRPr="00807DBC">
        <w:t xml:space="preserve"> </w:t>
      </w:r>
      <w:r w:rsidR="008E30A1">
        <w:rPr>
          <w:rStyle w:val="FootnoteReference"/>
        </w:rPr>
        <w:footnoteReference w:id="33"/>
      </w:r>
      <w:r w:rsidRPr="00807DBC">
        <w:t xml:space="preserve">will help Internal Audit measure, monitor and report the results of its effectiveness and efficiency to the Audit Committee. </w:t>
      </w:r>
    </w:p>
    <w:p w14:paraId="718D58AE" w14:textId="2D216E2C" w:rsidR="008A37A5" w:rsidRPr="00807DBC" w:rsidRDefault="008A37A5" w:rsidP="006218F1">
      <w:pPr>
        <w:pStyle w:val="Bullet1"/>
        <w:ind w:left="284" w:hanging="284"/>
      </w:pPr>
      <w:r w:rsidRPr="00807DBC">
        <w:t>The</w:t>
      </w:r>
      <w:r w:rsidR="006B716C" w:rsidRPr="00807DBC">
        <w:t xml:space="preserve"> IIA</w:t>
      </w:r>
      <w:r w:rsidRPr="00807DBC">
        <w:t xml:space="preserve"> </w:t>
      </w:r>
      <w:hyperlink r:id="rId154" w:history="1">
        <w:r w:rsidRPr="00807DBC">
          <w:t>Practice Guide – Assessing the Adequacy of Risk Management</w:t>
        </w:r>
      </w:hyperlink>
      <w:r w:rsidR="007A23FF" w:rsidRPr="003D3B15">
        <w:rPr>
          <w:vertAlign w:val="superscript"/>
        </w:rPr>
        <w:fldChar w:fldCharType="begin"/>
      </w:r>
      <w:r w:rsidR="007A23FF" w:rsidRPr="00807DBC">
        <w:rPr>
          <w:vertAlign w:val="superscript"/>
        </w:rPr>
        <w:instrText xml:space="preserve"> NOTEREF _Ref443466533 \h  \* MERGEFORMAT </w:instrText>
      </w:r>
      <w:r w:rsidR="007A23FF" w:rsidRPr="003D3B15">
        <w:rPr>
          <w:vertAlign w:val="superscript"/>
        </w:rPr>
      </w:r>
      <w:r w:rsidR="007A23FF" w:rsidRPr="003D3B15">
        <w:rPr>
          <w:vertAlign w:val="superscript"/>
        </w:rPr>
        <w:fldChar w:fldCharType="separate"/>
      </w:r>
      <w:r w:rsidR="00D44155">
        <w:rPr>
          <w:vertAlign w:val="superscript"/>
        </w:rPr>
        <w:t>31</w:t>
      </w:r>
      <w:r w:rsidR="007A23FF" w:rsidRPr="003D3B15">
        <w:rPr>
          <w:vertAlign w:val="superscript"/>
        </w:rPr>
        <w:fldChar w:fldCharType="end"/>
      </w:r>
      <w:r w:rsidR="008E30A1">
        <w:rPr>
          <w:rStyle w:val="FootnoteReference"/>
        </w:rPr>
        <w:footnoteReference w:id="34"/>
      </w:r>
      <w:r w:rsidR="007A23FF" w:rsidRPr="00807DBC">
        <w:t xml:space="preserve"> </w:t>
      </w:r>
      <w:r w:rsidRPr="00807DBC">
        <w:t>using ISO 31000 will help Internal Audit assess any risk management process established by the Agency.</w:t>
      </w:r>
    </w:p>
    <w:p w14:paraId="568FEE31" w14:textId="77777777" w:rsidR="008A37A5" w:rsidRPr="00807DBC" w:rsidRDefault="008A37A5" w:rsidP="00FC17D9">
      <w:pPr>
        <w:pStyle w:val="Heading2NoNum"/>
      </w:pPr>
      <w:r w:rsidRPr="00807DBC">
        <w:t>Victorian Auditor</w:t>
      </w:r>
      <w:r w:rsidR="00D62B6D" w:rsidRPr="00807DBC">
        <w:noBreakHyphen/>
      </w:r>
      <w:r w:rsidRPr="00807DBC">
        <w:t>General’s Office</w:t>
      </w:r>
    </w:p>
    <w:p w14:paraId="2FF25D37" w14:textId="0C4594E9" w:rsidR="008A37A5" w:rsidRDefault="008A37A5" w:rsidP="006218F1">
      <w:pPr>
        <w:pStyle w:val="Bullet1"/>
        <w:numPr>
          <w:ilvl w:val="0"/>
          <w:numId w:val="0"/>
        </w:numPr>
      </w:pPr>
      <w:r w:rsidRPr="00807DBC">
        <w:t>Audit reports with internal audit recommendations for Agencies to consider:</w:t>
      </w:r>
      <w:r w:rsidR="006218F1">
        <w:t xml:space="preserve"> </w:t>
      </w:r>
    </w:p>
    <w:p w14:paraId="0F448E4F" w14:textId="77777777" w:rsidR="006218F1" w:rsidRDefault="00BE00CF" w:rsidP="006218F1">
      <w:pPr>
        <w:pStyle w:val="Bullet1"/>
        <w:ind w:left="284" w:hanging="284"/>
      </w:pPr>
      <w:r w:rsidRPr="00807DBC">
        <w:t>Internal Audit Performance</w:t>
      </w:r>
      <w:r w:rsidRPr="00807DBC">
        <w:rPr>
          <w:color w:val="595959" w:themeColor="text1" w:themeTint="A6"/>
          <w:vertAlign w:val="superscript"/>
        </w:rPr>
        <w:footnoteReference w:id="35"/>
      </w:r>
      <w:r w:rsidRPr="00807DBC">
        <w:t xml:space="preserve"> – examination of the internal audit functions of seven portfolio departments and assessed how well they use their internal audit resources</w:t>
      </w:r>
      <w:r w:rsidR="00807DBC" w:rsidRPr="00807DBC">
        <w:t>.</w:t>
      </w:r>
      <w:r w:rsidRPr="00807DBC" w:rsidDel="00BE00CF">
        <w:t xml:space="preserve"> </w:t>
      </w:r>
    </w:p>
    <w:p w14:paraId="28F5E376" w14:textId="77777777" w:rsidR="006218F1" w:rsidRDefault="003A6E06" w:rsidP="006218F1">
      <w:pPr>
        <w:pStyle w:val="Bullet1"/>
        <w:ind w:left="284" w:hanging="284"/>
      </w:pPr>
      <w:r w:rsidRPr="00807DBC">
        <w:t>Public Hospitals: Results of the 2013–14 Audits</w:t>
      </w:r>
      <w:r w:rsidR="00807DBC" w:rsidRPr="00807DBC">
        <w:t>.</w:t>
      </w:r>
      <w:r w:rsidRPr="00807DBC">
        <w:rPr>
          <w:color w:val="595959" w:themeColor="text1" w:themeTint="A6"/>
          <w:vertAlign w:val="superscript"/>
        </w:rPr>
        <w:footnoteReference w:id="36"/>
      </w:r>
    </w:p>
    <w:p w14:paraId="17838E81" w14:textId="5EFCF2A7" w:rsidR="003A6E06" w:rsidRPr="00807DBC" w:rsidRDefault="003A6E06" w:rsidP="006218F1">
      <w:pPr>
        <w:pStyle w:val="Bullet1"/>
        <w:ind w:left="284" w:hanging="284"/>
      </w:pPr>
      <w:r w:rsidRPr="00807DBC">
        <w:t>Portfolio Departments and Associated Entities: Results of the 2013–14 Audits</w:t>
      </w:r>
      <w:r w:rsidR="00807DBC" w:rsidRPr="00807DBC">
        <w:t>.</w:t>
      </w:r>
      <w:r w:rsidRPr="00807DBC">
        <w:rPr>
          <w:color w:val="595959" w:themeColor="text1" w:themeTint="A6"/>
          <w:vertAlign w:val="superscript"/>
        </w:rPr>
        <w:footnoteReference w:id="37"/>
      </w:r>
    </w:p>
    <w:p w14:paraId="5605CC44" w14:textId="77777777" w:rsidR="007A23FF" w:rsidRPr="008A37A5" w:rsidRDefault="007A23FF" w:rsidP="007A23FF"/>
    <w:p w14:paraId="377A233F" w14:textId="77777777" w:rsidR="008A37A5" w:rsidRDefault="008A37A5" w:rsidP="008E306C">
      <w:pPr>
        <w:spacing w:before="0" w:after="200" w:line="276" w:lineRule="auto"/>
        <w:sectPr w:rsidR="008A37A5" w:rsidSect="007F1A5E">
          <w:pgSz w:w="11906" w:h="16838"/>
          <w:pgMar w:top="1440" w:right="1008" w:bottom="1440" w:left="1008" w:header="706" w:footer="389" w:gutter="0"/>
          <w:cols w:space="708"/>
          <w:titlePg/>
          <w:docGrid w:linePitch="360"/>
        </w:sectPr>
      </w:pPr>
    </w:p>
    <w:p w14:paraId="63A6F9DB" w14:textId="77777777" w:rsidR="008A37A5" w:rsidRPr="00311574" w:rsidRDefault="008A37A5" w:rsidP="00311574">
      <w:pPr>
        <w:pStyle w:val="GuidanceTitle"/>
      </w:pPr>
      <w:bookmarkStart w:id="26" w:name="Guidance_3_3"/>
      <w:r w:rsidRPr="00311574">
        <w:lastRenderedPageBreak/>
        <w:t xml:space="preserve">Guidance 3.3 </w:t>
      </w:r>
      <w:bookmarkEnd w:id="26"/>
      <w:r w:rsidRPr="00311574">
        <w:t xml:space="preserve">– </w:t>
      </w:r>
      <w:r w:rsidR="00961833" w:rsidRPr="00311574">
        <w:t>Financial authorisations</w:t>
      </w:r>
      <w:r w:rsidR="00657907" w:rsidRPr="00311574">
        <w:t xml:space="preserve"> </w:t>
      </w:r>
    </w:p>
    <w:p w14:paraId="17CC3BD3" w14:textId="77777777" w:rsidR="008A37A5" w:rsidRPr="00E862D1" w:rsidRDefault="008A37A5" w:rsidP="008E306C">
      <w:pPr>
        <w:spacing w:before="0" w:after="0" w:line="120" w:lineRule="atLeast"/>
        <w:rPr>
          <w:sz w:val="12"/>
        </w:rPr>
      </w:pPr>
    </w:p>
    <w:tbl>
      <w:tblPr>
        <w:tblStyle w:val="Table123"/>
        <w:tblW w:w="9900" w:type="dxa"/>
        <w:tblLook w:val="0080" w:firstRow="0" w:lastRow="0" w:firstColumn="1" w:lastColumn="0" w:noHBand="0" w:noVBand="0"/>
      </w:tblPr>
      <w:tblGrid>
        <w:gridCol w:w="3119"/>
        <w:gridCol w:w="6781"/>
      </w:tblGrid>
      <w:tr w:rsidR="008A37A5" w:rsidRPr="00E862D1" w14:paraId="79A637CD"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11FCB65" w14:textId="77777777" w:rsidR="008A37A5" w:rsidRPr="00E862D1" w:rsidRDefault="008A37A5" w:rsidP="008A37A5">
            <w:pPr>
              <w:spacing w:before="60" w:after="60" w:line="252" w:lineRule="auto"/>
              <w:rPr>
                <w:rFonts w:cs="Times New Roman"/>
                <w:b/>
                <w:bCs w:val="0"/>
                <w:sz w:val="18"/>
                <w:szCs w:val="20"/>
              </w:rPr>
            </w:pPr>
            <w:r w:rsidRPr="00E862D1">
              <w:rPr>
                <w:rFonts w:cs="Times New Roman"/>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0BCAAEF2" w14:textId="4515B86D" w:rsidR="008A37A5" w:rsidRPr="00E862D1" w:rsidRDefault="008A37A5" w:rsidP="00CC7A61">
            <w:pPr>
              <w:spacing w:before="60" w:after="60" w:line="252" w:lineRule="auto"/>
              <w:rPr>
                <w:rFonts w:cs="Times New Roman"/>
                <w:bCs/>
                <w:sz w:val="18"/>
                <w:szCs w:val="20"/>
              </w:rPr>
            </w:pPr>
            <w:r w:rsidRPr="00E862D1">
              <w:rPr>
                <w:rFonts w:cs="Times New Roman"/>
                <w:bCs/>
                <w:sz w:val="18"/>
                <w:szCs w:val="20"/>
              </w:rPr>
              <w:t xml:space="preserve">This guidance provides information to support Public Sector Agencies in following </w:t>
            </w:r>
            <w:hyperlink r:id="rId155" w:anchor="standing-directions-2018" w:history="1">
              <w:r w:rsidRPr="0051115B">
                <w:rPr>
                  <w:rStyle w:val="Hyperlink"/>
                  <w:rFonts w:cs="Times New Roman"/>
                  <w:bCs/>
                  <w:sz w:val="18"/>
                  <w:szCs w:val="20"/>
                </w:rPr>
                <w:t>Direction 3.3</w:t>
              </w:r>
            </w:hyperlink>
            <w:r w:rsidRPr="00E862D1">
              <w:rPr>
                <w:rFonts w:cs="Times New Roman"/>
                <w:bCs/>
                <w:sz w:val="18"/>
                <w:szCs w:val="20"/>
              </w:rPr>
              <w:t xml:space="preserve">, including how to ensure </w:t>
            </w:r>
            <w:r w:rsidR="00481228" w:rsidRPr="00E862D1">
              <w:rPr>
                <w:rFonts w:cs="Times New Roman"/>
                <w:bCs/>
                <w:sz w:val="18"/>
                <w:szCs w:val="20"/>
              </w:rPr>
              <w:t>authorisations</w:t>
            </w:r>
            <w:r w:rsidRPr="00E862D1">
              <w:rPr>
                <w:rFonts w:cs="Times New Roman"/>
                <w:bCs/>
                <w:sz w:val="18"/>
                <w:szCs w:val="20"/>
              </w:rPr>
              <w:t xml:space="preserve"> are properly exercised, reviewed and recorded.</w:t>
            </w:r>
          </w:p>
        </w:tc>
      </w:tr>
      <w:tr w:rsidR="008A37A5" w:rsidRPr="00E862D1" w14:paraId="6DC0AAAE"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8B7B505" w14:textId="77777777" w:rsidR="008A37A5" w:rsidRPr="00E862D1" w:rsidRDefault="008A37A5" w:rsidP="008A37A5">
            <w:pPr>
              <w:spacing w:before="60" w:after="60" w:line="252" w:lineRule="auto"/>
              <w:rPr>
                <w:rFonts w:cs="Times New Roman"/>
                <w:b/>
                <w:bCs w:val="0"/>
                <w:sz w:val="18"/>
                <w:szCs w:val="20"/>
              </w:rPr>
            </w:pPr>
            <w:r w:rsidRPr="00E862D1">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3AA88344" w14:textId="77777777" w:rsidR="008A37A5" w:rsidRPr="00E862D1" w:rsidRDefault="008A37A5" w:rsidP="008A37A5">
            <w:pPr>
              <w:spacing w:before="60" w:after="60" w:line="252" w:lineRule="auto"/>
              <w:rPr>
                <w:rFonts w:cs="Times New Roman"/>
                <w:bCs/>
                <w:sz w:val="18"/>
                <w:szCs w:val="20"/>
              </w:rPr>
            </w:pPr>
            <w:r w:rsidRPr="00E862D1">
              <w:rPr>
                <w:rFonts w:cs="Times New Roman"/>
                <w:bCs/>
                <w:sz w:val="18"/>
                <w:szCs w:val="20"/>
              </w:rPr>
              <w:t>1 July 2016</w:t>
            </w:r>
          </w:p>
        </w:tc>
      </w:tr>
      <w:tr w:rsidR="008A37A5" w:rsidRPr="008A37A5" w14:paraId="07897947"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360D365" w14:textId="77777777" w:rsidR="008A37A5" w:rsidRPr="00E862D1" w:rsidRDefault="008A37A5" w:rsidP="002A7DE1">
            <w:pPr>
              <w:spacing w:before="60" w:after="60" w:line="252" w:lineRule="auto"/>
              <w:rPr>
                <w:rFonts w:cs="Times New Roman"/>
                <w:b/>
                <w:bCs w:val="0"/>
                <w:sz w:val="18"/>
                <w:szCs w:val="20"/>
              </w:rPr>
            </w:pPr>
            <w:r w:rsidRPr="00E862D1">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049A78AD" w14:textId="1A571E47" w:rsidR="008A37A5" w:rsidRPr="00E862D1" w:rsidRDefault="008A37A5" w:rsidP="008A37A5">
            <w:pPr>
              <w:spacing w:before="60" w:after="60" w:line="252" w:lineRule="auto"/>
              <w:rPr>
                <w:rFonts w:cs="Times New Roman"/>
                <w:bCs/>
                <w:sz w:val="18"/>
                <w:szCs w:val="20"/>
              </w:rPr>
            </w:pPr>
            <w:hyperlink r:id="rId156" w:anchor="standing-directions-2018" w:history="1">
              <w:r w:rsidRPr="00D12BBF">
                <w:rPr>
                  <w:rStyle w:val="Hyperlink"/>
                  <w:rFonts w:cs="Times New Roman"/>
                  <w:bCs/>
                  <w:sz w:val="18"/>
                  <w:szCs w:val="20"/>
                </w:rPr>
                <w:t>2.</w:t>
              </w:r>
              <w:r w:rsidR="00D337BE" w:rsidRPr="00D12BBF">
                <w:rPr>
                  <w:rStyle w:val="Hyperlink"/>
                  <w:rFonts w:cs="Times New Roman"/>
                  <w:bCs/>
                  <w:sz w:val="18"/>
                  <w:szCs w:val="20"/>
                </w:rPr>
                <w:t>2</w:t>
              </w:r>
              <w:r w:rsidRPr="00D12BBF">
                <w:rPr>
                  <w:rStyle w:val="Hyperlink"/>
                  <w:rFonts w:cs="Times New Roman"/>
                  <w:bCs/>
                  <w:sz w:val="18"/>
                  <w:szCs w:val="20"/>
                </w:rPr>
                <w:t xml:space="preserve"> Responsible Body</w:t>
              </w:r>
            </w:hyperlink>
          </w:p>
          <w:p w14:paraId="3514340E" w14:textId="67B68E53" w:rsidR="008A37A5" w:rsidRPr="00E862D1" w:rsidRDefault="008A37A5" w:rsidP="008A37A5">
            <w:pPr>
              <w:spacing w:before="60" w:after="60" w:line="252" w:lineRule="auto"/>
              <w:rPr>
                <w:rFonts w:cs="Times New Roman"/>
                <w:bCs/>
                <w:sz w:val="18"/>
                <w:szCs w:val="20"/>
              </w:rPr>
            </w:pPr>
            <w:hyperlink r:id="rId157" w:anchor="standing-directions-2018" w:history="1">
              <w:r w:rsidRPr="00D12BBF">
                <w:rPr>
                  <w:rStyle w:val="Hyperlink"/>
                  <w:rFonts w:cs="Times New Roman"/>
                  <w:bCs/>
                  <w:sz w:val="18"/>
                  <w:szCs w:val="20"/>
                </w:rPr>
                <w:t>2.</w:t>
              </w:r>
              <w:r w:rsidR="00D337BE" w:rsidRPr="00D12BBF">
                <w:rPr>
                  <w:rStyle w:val="Hyperlink"/>
                  <w:rFonts w:cs="Times New Roman"/>
                  <w:bCs/>
                  <w:sz w:val="18"/>
                  <w:szCs w:val="20"/>
                </w:rPr>
                <w:t>3</w:t>
              </w:r>
              <w:r w:rsidRPr="00D12BBF">
                <w:rPr>
                  <w:rStyle w:val="Hyperlink"/>
                  <w:rFonts w:cs="Times New Roman"/>
                  <w:bCs/>
                  <w:sz w:val="18"/>
                  <w:szCs w:val="20"/>
                </w:rPr>
                <w:t xml:space="preserve"> Accountable Officer</w:t>
              </w:r>
            </w:hyperlink>
          </w:p>
          <w:p w14:paraId="631DC132" w14:textId="2CD86C8B" w:rsidR="008A37A5" w:rsidRPr="008A37A5" w:rsidRDefault="008A37A5" w:rsidP="00CC7A61">
            <w:pPr>
              <w:spacing w:before="60" w:after="60" w:line="252" w:lineRule="auto"/>
              <w:rPr>
                <w:rFonts w:cs="Times New Roman"/>
                <w:bCs/>
                <w:sz w:val="18"/>
                <w:szCs w:val="20"/>
              </w:rPr>
            </w:pPr>
            <w:hyperlink r:id="rId158" w:anchor="standing-directions-2018" w:history="1">
              <w:r w:rsidRPr="00D12BBF">
                <w:rPr>
                  <w:rStyle w:val="Hyperlink"/>
                  <w:rFonts w:cs="Times New Roman"/>
                  <w:bCs/>
                  <w:sz w:val="18"/>
                  <w:szCs w:val="20"/>
                </w:rPr>
                <w:t xml:space="preserve">3.3 </w:t>
              </w:r>
              <w:r w:rsidR="00D337BE" w:rsidRPr="00D12BBF">
                <w:rPr>
                  <w:rStyle w:val="Hyperlink"/>
                  <w:rFonts w:cs="Times New Roman"/>
                  <w:bCs/>
                  <w:sz w:val="18"/>
                  <w:szCs w:val="20"/>
                </w:rPr>
                <w:t>Financial Authorisations</w:t>
              </w:r>
            </w:hyperlink>
            <w:r w:rsidR="00D337BE" w:rsidRPr="00E862D1">
              <w:rPr>
                <w:rFonts w:cs="Times New Roman"/>
                <w:bCs/>
                <w:sz w:val="18"/>
                <w:szCs w:val="20"/>
              </w:rPr>
              <w:t xml:space="preserve"> </w:t>
            </w:r>
          </w:p>
        </w:tc>
      </w:tr>
      <w:tr w:rsidR="008A37A5" w:rsidRPr="008A37A5" w14:paraId="1716282E"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FFE51AA" w14:textId="77777777" w:rsidR="008A37A5" w:rsidRPr="008A37A5" w:rsidRDefault="008A37A5" w:rsidP="008A37A5">
            <w:pPr>
              <w:spacing w:before="60" w:after="60" w:line="252" w:lineRule="auto"/>
              <w:rPr>
                <w:rFonts w:cs="Times New Roman"/>
                <w:b/>
                <w:bCs w:val="0"/>
                <w:sz w:val="18"/>
                <w:szCs w:val="20"/>
              </w:rPr>
            </w:pPr>
            <w:r w:rsidRPr="008A37A5">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1A8FBB6E" w14:textId="104D7189" w:rsidR="008A37A5" w:rsidRPr="008A37A5" w:rsidRDefault="00567933" w:rsidP="00027E22">
            <w:pPr>
              <w:spacing w:before="60" w:after="60" w:line="252" w:lineRule="auto"/>
              <w:rPr>
                <w:rFonts w:cs="Times New Roman"/>
                <w:bCs/>
                <w:sz w:val="18"/>
                <w:szCs w:val="20"/>
              </w:rPr>
            </w:pPr>
            <w:r>
              <w:rPr>
                <w:rFonts w:cs="Times New Roman"/>
                <w:bCs/>
                <w:sz w:val="18"/>
                <w:szCs w:val="20"/>
              </w:rPr>
              <w:t>8 February</w:t>
            </w:r>
            <w:r w:rsidR="00D778F3">
              <w:rPr>
                <w:rFonts w:cs="Times New Roman"/>
                <w:bCs/>
                <w:sz w:val="18"/>
                <w:szCs w:val="20"/>
              </w:rPr>
              <w:t xml:space="preserve"> 2023</w:t>
            </w:r>
          </w:p>
        </w:tc>
      </w:tr>
    </w:tbl>
    <w:p w14:paraId="48102F8C" w14:textId="77777777" w:rsidR="008A37A5" w:rsidRPr="008A37A5" w:rsidRDefault="008A37A5" w:rsidP="008E306C">
      <w:pPr>
        <w:spacing w:before="0" w:after="0" w:line="120" w:lineRule="atLeast"/>
        <w:rPr>
          <w:sz w:val="12"/>
        </w:rPr>
      </w:pPr>
    </w:p>
    <w:p w14:paraId="2FFCE899" w14:textId="77777777" w:rsidR="008A37A5" w:rsidRPr="008A37A5" w:rsidRDefault="00481228" w:rsidP="00D94C7A">
      <w:pPr>
        <w:pStyle w:val="Heading1NoNum"/>
      </w:pPr>
      <w:r>
        <w:t>Authorisation</w:t>
      </w:r>
      <w:r w:rsidR="008A37A5" w:rsidRPr="008A37A5">
        <w:t xml:space="preserve"> is appropriate</w:t>
      </w:r>
    </w:p>
    <w:p w14:paraId="14740E26" w14:textId="19DB6C2D" w:rsidR="008A37A5" w:rsidRPr="008A37A5" w:rsidRDefault="002F6C25" w:rsidP="008E306C">
      <w:r>
        <w:t xml:space="preserve">A financial authorisation is a particular type of delegation (refer Direction 2.5). </w:t>
      </w:r>
      <w:r w:rsidR="00481228">
        <w:t>A</w:t>
      </w:r>
      <w:r w:rsidR="00EC3B5B">
        <w:t>n a</w:t>
      </w:r>
      <w:r w:rsidR="00481228">
        <w:t>uthorisation may</w:t>
      </w:r>
      <w:r w:rsidR="008A37A5" w:rsidRPr="008A37A5">
        <w:t xml:space="preserve"> be used when:</w:t>
      </w:r>
    </w:p>
    <w:p w14:paraId="434F961B" w14:textId="77777777" w:rsidR="008A37A5" w:rsidRPr="00BA73DB" w:rsidRDefault="00481228" w:rsidP="00CA6CEE">
      <w:pPr>
        <w:pStyle w:val="Bullet1"/>
        <w:spacing w:before="40" w:after="40"/>
        <w:ind w:left="288" w:hanging="288"/>
        <w:contextualSpacing/>
      </w:pPr>
      <w:r>
        <w:t>it</w:t>
      </w:r>
      <w:r w:rsidR="008A37A5" w:rsidRPr="00BA73DB">
        <w:t xml:space="preserve"> is required for the effective conduct of the business; and/or</w:t>
      </w:r>
    </w:p>
    <w:p w14:paraId="5F3E5C87" w14:textId="77777777" w:rsidR="008A37A5" w:rsidRPr="00BA73DB" w:rsidRDefault="008A37A5" w:rsidP="00CA6CEE">
      <w:pPr>
        <w:pStyle w:val="Bullet1"/>
        <w:spacing w:before="40" w:after="40"/>
        <w:ind w:left="288" w:hanging="288"/>
        <w:contextualSpacing/>
      </w:pPr>
      <w:r w:rsidRPr="00BA73DB">
        <w:t>a formal separation of duties is required; and/or</w:t>
      </w:r>
    </w:p>
    <w:p w14:paraId="76709542" w14:textId="189173BB" w:rsidR="008A37A5" w:rsidRPr="00BA73DB" w:rsidRDefault="008A37A5" w:rsidP="00CA6CEE">
      <w:pPr>
        <w:pStyle w:val="Bullet1"/>
        <w:spacing w:before="40" w:after="40"/>
        <w:ind w:left="288" w:hanging="288"/>
        <w:contextualSpacing/>
      </w:pPr>
      <w:r w:rsidRPr="00BA73DB">
        <w:t>there is a need to miti</w:t>
      </w:r>
      <w:r w:rsidR="00CA6002">
        <w:t>gate financial risk, including F</w:t>
      </w:r>
      <w:r w:rsidRPr="00BA73DB">
        <w:t>raud.</w:t>
      </w:r>
    </w:p>
    <w:p w14:paraId="581B0C98" w14:textId="6BFC0BFE" w:rsidR="008A37A5" w:rsidRPr="008A37A5" w:rsidRDefault="008A37A5" w:rsidP="008E306C">
      <w:r w:rsidRPr="008A37A5">
        <w:t>Formal separation of duties is a key internal control element designed to</w:t>
      </w:r>
      <w:r w:rsidR="00CA6002">
        <w:t xml:space="preserve"> reduce errors and the risk of F</w:t>
      </w:r>
      <w:r w:rsidRPr="008A37A5">
        <w:t xml:space="preserve">raud. </w:t>
      </w:r>
      <w:r w:rsidR="00481228">
        <w:t>Authorisations</w:t>
      </w:r>
      <w:r w:rsidRPr="008A37A5">
        <w:t xml:space="preserve"> for the spending and receipt of public monies should be allocated in such a way that no one </w:t>
      </w:r>
      <w:r w:rsidR="00481228">
        <w:t>authorised position</w:t>
      </w:r>
      <w:r w:rsidRPr="008A37A5">
        <w:t xml:space="preserve"> has control or authority over the end to end process.</w:t>
      </w:r>
    </w:p>
    <w:p w14:paraId="20BF1ABB" w14:textId="77777777" w:rsidR="008A37A5" w:rsidRPr="008A37A5" w:rsidRDefault="00481228" w:rsidP="008E306C">
      <w:r>
        <w:t>Authorised persons should have</w:t>
      </w:r>
      <w:r w:rsidR="008A37A5" w:rsidRPr="008A37A5">
        <w:t>:</w:t>
      </w:r>
    </w:p>
    <w:p w14:paraId="5E7146E8" w14:textId="77777777" w:rsidR="008A37A5" w:rsidRPr="00BA73DB" w:rsidRDefault="008A37A5" w:rsidP="00CA6CEE">
      <w:pPr>
        <w:pStyle w:val="Bullet1"/>
        <w:spacing w:before="40" w:after="40"/>
        <w:ind w:left="288" w:hanging="288"/>
        <w:contextualSpacing/>
      </w:pPr>
      <w:r w:rsidRPr="00BA73DB">
        <w:t xml:space="preserve">an understanding of the scope of their </w:t>
      </w:r>
      <w:r w:rsidR="00481228">
        <w:t>authorisation</w:t>
      </w:r>
      <w:r w:rsidRPr="00BA73DB">
        <w:t xml:space="preserve"> (e.g. the type of activity);</w:t>
      </w:r>
    </w:p>
    <w:p w14:paraId="3ABA1D5B" w14:textId="77777777" w:rsidR="008A37A5" w:rsidRPr="00BA73DB" w:rsidRDefault="008A37A5" w:rsidP="00CA6CEE">
      <w:pPr>
        <w:pStyle w:val="Bullet1"/>
        <w:spacing w:before="40" w:after="40"/>
        <w:ind w:left="288" w:hanging="288"/>
        <w:contextualSpacing/>
      </w:pPr>
      <w:r w:rsidRPr="00BA73DB">
        <w:t xml:space="preserve">an understanding of any limits applying to their </w:t>
      </w:r>
      <w:r w:rsidR="00481228">
        <w:t>authorisation</w:t>
      </w:r>
      <w:r w:rsidR="00481228" w:rsidRPr="00BA73DB">
        <w:t xml:space="preserve"> </w:t>
      </w:r>
      <w:r w:rsidRPr="00BA73DB">
        <w:t>(e.g. financial</w:t>
      </w:r>
      <w:r w:rsidR="006862FE">
        <w:t xml:space="preserve"> limits</w:t>
      </w:r>
      <w:r w:rsidRPr="00BA73DB">
        <w:t>);</w:t>
      </w:r>
    </w:p>
    <w:p w14:paraId="1104F531" w14:textId="77777777" w:rsidR="008A37A5" w:rsidRPr="00BA73DB" w:rsidRDefault="008A37A5" w:rsidP="00CA6CEE">
      <w:pPr>
        <w:pStyle w:val="Bullet1"/>
        <w:spacing w:before="40" w:after="40"/>
        <w:ind w:left="288" w:hanging="288"/>
        <w:contextualSpacing/>
      </w:pPr>
      <w:r w:rsidRPr="00BA73DB">
        <w:t>knowledge of processes for exercising a</w:t>
      </w:r>
      <w:r w:rsidR="00481228">
        <w:t>n</w:t>
      </w:r>
      <w:r w:rsidRPr="00BA73DB">
        <w:t xml:space="preserve"> </w:t>
      </w:r>
      <w:r w:rsidR="00481228">
        <w:t>authorisation</w:t>
      </w:r>
      <w:r w:rsidRPr="00BA73DB">
        <w:t>;</w:t>
      </w:r>
    </w:p>
    <w:p w14:paraId="063F1712" w14:textId="77777777" w:rsidR="008A37A5" w:rsidRPr="00BA73DB" w:rsidRDefault="008A37A5" w:rsidP="00CA6CEE">
      <w:pPr>
        <w:pStyle w:val="Bullet1"/>
        <w:spacing w:before="40" w:after="40"/>
        <w:ind w:left="288" w:hanging="288"/>
        <w:contextualSpacing/>
      </w:pPr>
      <w:r w:rsidRPr="00BA73DB">
        <w:t>knowledge of mechanisms for managing any conflicts of interest (actual or perceived) related to a</w:t>
      </w:r>
      <w:r w:rsidR="00481228">
        <w:t>n</w:t>
      </w:r>
      <w:r w:rsidRPr="00BA73DB">
        <w:t xml:space="preserve"> </w:t>
      </w:r>
      <w:r w:rsidR="00481228">
        <w:t>authorisation</w:t>
      </w:r>
      <w:r w:rsidRPr="00BA73DB">
        <w:t>; and</w:t>
      </w:r>
    </w:p>
    <w:p w14:paraId="3D64BED8" w14:textId="77777777" w:rsidR="008A37A5" w:rsidRPr="00BA73DB" w:rsidRDefault="008A37A5" w:rsidP="00CA6CEE">
      <w:pPr>
        <w:pStyle w:val="Bullet1"/>
        <w:spacing w:before="40" w:after="40"/>
        <w:ind w:left="288" w:hanging="288"/>
        <w:contextualSpacing/>
      </w:pPr>
      <w:r w:rsidRPr="00BA73DB">
        <w:t>awareness and understanding of all relevant policies, procedures and guidelines in the Agency’s internal control system as well as external legislative requirements.</w:t>
      </w:r>
    </w:p>
    <w:p w14:paraId="5CFA2BE0" w14:textId="77777777" w:rsidR="008A37A5" w:rsidRPr="008A37A5" w:rsidRDefault="00E620ED" w:rsidP="00D94C7A">
      <w:pPr>
        <w:pStyle w:val="Heading1NoNum"/>
      </w:pPr>
      <w:r>
        <w:t>Central record</w:t>
      </w:r>
      <w:r w:rsidRPr="008A37A5">
        <w:t xml:space="preserve"> </w:t>
      </w:r>
      <w:r w:rsidR="008A37A5" w:rsidRPr="008A37A5">
        <w:t xml:space="preserve">of </w:t>
      </w:r>
      <w:r w:rsidR="00257E27">
        <w:t xml:space="preserve">financial </w:t>
      </w:r>
      <w:r>
        <w:t>authorisations</w:t>
      </w:r>
    </w:p>
    <w:p w14:paraId="04720E30" w14:textId="77777777" w:rsidR="008A37A5" w:rsidRPr="008A37A5" w:rsidRDefault="008A37A5" w:rsidP="008E306C">
      <w:r w:rsidRPr="008A37A5">
        <w:t xml:space="preserve">A </w:t>
      </w:r>
      <w:r w:rsidR="008D0A54">
        <w:t xml:space="preserve">central </w:t>
      </w:r>
      <w:r w:rsidR="00E620ED">
        <w:t>record</w:t>
      </w:r>
      <w:r w:rsidR="00481228">
        <w:t xml:space="preserve"> </w:t>
      </w:r>
      <w:r w:rsidRPr="008A37A5">
        <w:t xml:space="preserve">of financial </w:t>
      </w:r>
      <w:r w:rsidR="00E620ED">
        <w:t>authorisations</w:t>
      </w:r>
      <w:r w:rsidR="00E620ED" w:rsidRPr="008A37A5">
        <w:t xml:space="preserve"> </w:t>
      </w:r>
      <w:r w:rsidRPr="008A37A5">
        <w:t>should contain the following details:</w:t>
      </w:r>
    </w:p>
    <w:p w14:paraId="26970ACD" w14:textId="77777777" w:rsidR="008A37A5" w:rsidRPr="00BA73DB" w:rsidRDefault="008A37A5" w:rsidP="009E364A">
      <w:pPr>
        <w:pStyle w:val="Bullet1"/>
        <w:ind w:left="360" w:hanging="360"/>
        <w:contextualSpacing/>
      </w:pPr>
      <w:r w:rsidRPr="00BA73DB">
        <w:t>the transaction type, for example financing, investing and operational types;</w:t>
      </w:r>
    </w:p>
    <w:p w14:paraId="0B861944" w14:textId="77777777" w:rsidR="008A37A5" w:rsidRPr="00BA73DB" w:rsidRDefault="008A37A5" w:rsidP="009E364A">
      <w:pPr>
        <w:pStyle w:val="Bullet1"/>
        <w:ind w:left="360" w:hanging="360"/>
        <w:contextualSpacing/>
      </w:pPr>
      <w:r w:rsidRPr="00BA73DB">
        <w:t xml:space="preserve">a list of positions holding financial </w:t>
      </w:r>
      <w:r w:rsidR="00E620ED">
        <w:t>authorisations</w:t>
      </w:r>
      <w:r w:rsidR="00E620ED" w:rsidRPr="00BA73DB">
        <w:t xml:space="preserve"> </w:t>
      </w:r>
      <w:r w:rsidRPr="00BA73DB">
        <w:t>for each transaction type;</w:t>
      </w:r>
    </w:p>
    <w:p w14:paraId="3284016C" w14:textId="77777777" w:rsidR="008A37A5" w:rsidRPr="00BA73DB" w:rsidRDefault="008A37A5" w:rsidP="009E364A">
      <w:pPr>
        <w:pStyle w:val="Bullet1"/>
        <w:ind w:left="360" w:hanging="360"/>
        <w:contextualSpacing/>
      </w:pPr>
      <w:r w:rsidRPr="00BA73DB">
        <w:t xml:space="preserve">financial and operational limitations for each transaction or </w:t>
      </w:r>
      <w:r w:rsidR="00481228">
        <w:t>authorisation</w:t>
      </w:r>
      <w:r w:rsidRPr="00BA73DB">
        <w:t xml:space="preserve"> type;</w:t>
      </w:r>
    </w:p>
    <w:p w14:paraId="0D375D29" w14:textId="77777777" w:rsidR="008A37A5" w:rsidRPr="00BA73DB" w:rsidRDefault="008A37A5" w:rsidP="009E364A">
      <w:pPr>
        <w:pStyle w:val="Bullet1"/>
        <w:ind w:left="360" w:hanging="360"/>
        <w:contextualSpacing/>
      </w:pPr>
      <w:r w:rsidRPr="00BA73DB">
        <w:t>a list of staff names holding positions; and</w:t>
      </w:r>
    </w:p>
    <w:p w14:paraId="1FFDA7F7" w14:textId="77777777" w:rsidR="008A37A5" w:rsidRPr="00BA73DB" w:rsidRDefault="008A37A5" w:rsidP="009E364A">
      <w:pPr>
        <w:pStyle w:val="Bullet1"/>
        <w:ind w:left="360" w:hanging="360"/>
        <w:contextualSpacing/>
      </w:pPr>
      <w:r w:rsidRPr="00BA73DB">
        <w:t>specimen signatures and/or electronic approval processes for each holder of a</w:t>
      </w:r>
      <w:r w:rsidR="00481228">
        <w:t>n</w:t>
      </w:r>
      <w:r w:rsidRPr="00BA73DB">
        <w:t xml:space="preserve"> </w:t>
      </w:r>
      <w:r w:rsidR="00481228">
        <w:t>authorisation</w:t>
      </w:r>
      <w:r w:rsidRPr="00BA73DB">
        <w:t xml:space="preserve">. </w:t>
      </w:r>
    </w:p>
    <w:p w14:paraId="61217FCD" w14:textId="77777777" w:rsidR="008A37A5" w:rsidRPr="008A37A5" w:rsidRDefault="00481228" w:rsidP="00D94C7A">
      <w:pPr>
        <w:pStyle w:val="Heading1NoNum"/>
      </w:pPr>
      <w:r>
        <w:t>A</w:t>
      </w:r>
      <w:r w:rsidRPr="00481228">
        <w:t>uthorisation</w:t>
      </w:r>
      <w:r>
        <w:t>s</w:t>
      </w:r>
      <w:r w:rsidRPr="00481228">
        <w:t xml:space="preserve"> </w:t>
      </w:r>
      <w:r w:rsidR="008A37A5" w:rsidRPr="008A37A5">
        <w:t>are current and reviewed</w:t>
      </w:r>
    </w:p>
    <w:p w14:paraId="5D30C9D7" w14:textId="77777777" w:rsidR="008A37A5" w:rsidRPr="008A37A5" w:rsidRDefault="008A37A5" w:rsidP="008E306C">
      <w:r w:rsidRPr="008A37A5">
        <w:t xml:space="preserve">A review of </w:t>
      </w:r>
      <w:r w:rsidR="00481228">
        <w:t>authorisations</w:t>
      </w:r>
      <w:r w:rsidR="00481228" w:rsidRPr="008A37A5">
        <w:t xml:space="preserve"> </w:t>
      </w:r>
      <w:r w:rsidRPr="008A37A5">
        <w:t xml:space="preserve">should occur </w:t>
      </w:r>
      <w:r w:rsidR="006E71ED">
        <w:t>regularly</w:t>
      </w:r>
      <w:r w:rsidRPr="008A37A5">
        <w:t xml:space="preserve"> to ensure they are appropriate for the efficient and effective conduct of the business of the Agency. </w:t>
      </w:r>
    </w:p>
    <w:p w14:paraId="33BC2C4D" w14:textId="77777777" w:rsidR="008A37A5" w:rsidRPr="008A37A5" w:rsidRDefault="008A37A5" w:rsidP="008E306C">
      <w:r w:rsidRPr="008A37A5">
        <w:t>The following could be considered as a part of the review:</w:t>
      </w:r>
    </w:p>
    <w:p w14:paraId="54FC4EBA" w14:textId="77777777" w:rsidR="008A37A5" w:rsidRPr="00BA73DB" w:rsidRDefault="008A37A5" w:rsidP="009E364A">
      <w:pPr>
        <w:pStyle w:val="Bullet1"/>
        <w:ind w:left="360" w:hanging="360"/>
        <w:contextualSpacing/>
      </w:pPr>
      <w:r w:rsidRPr="00BA73DB">
        <w:t>Is there any evidence of non</w:t>
      </w:r>
      <w:r w:rsidR="00D62B6D">
        <w:noBreakHyphen/>
      </w:r>
      <w:r w:rsidRPr="00BA73DB">
        <w:t xml:space="preserve">compliance with </w:t>
      </w:r>
      <w:r w:rsidR="00481228">
        <w:t>authorisations</w:t>
      </w:r>
      <w:r w:rsidRPr="00BA73DB">
        <w:t>?</w:t>
      </w:r>
    </w:p>
    <w:p w14:paraId="6E651DB8" w14:textId="77777777" w:rsidR="008A37A5" w:rsidRPr="00BA73DB" w:rsidRDefault="008A37A5" w:rsidP="009E364A">
      <w:pPr>
        <w:pStyle w:val="Bullet1"/>
        <w:ind w:left="360" w:hanging="360"/>
        <w:contextualSpacing/>
      </w:pPr>
      <w:r w:rsidRPr="00BA73DB">
        <w:t xml:space="preserve">Are there instances of </w:t>
      </w:r>
      <w:r w:rsidR="00481228">
        <w:t>authorisations</w:t>
      </w:r>
      <w:r w:rsidR="00481228" w:rsidRPr="00BA73DB">
        <w:t xml:space="preserve"> </w:t>
      </w:r>
      <w:r w:rsidRPr="00BA73DB">
        <w:t xml:space="preserve">not operating effectively? </w:t>
      </w:r>
    </w:p>
    <w:p w14:paraId="3832081E" w14:textId="0AF36B18" w:rsidR="008A37A5" w:rsidRPr="00BA73DB" w:rsidRDefault="008A37A5" w:rsidP="009E364A">
      <w:pPr>
        <w:pStyle w:val="Bullet1"/>
        <w:ind w:left="360" w:hanging="360"/>
        <w:contextualSpacing/>
      </w:pPr>
      <w:r w:rsidRPr="00BA73DB">
        <w:t xml:space="preserve">Is there </w:t>
      </w:r>
      <w:r w:rsidR="00CA6002">
        <w:t>any evidence of F</w:t>
      </w:r>
      <w:r w:rsidRPr="00BA73DB">
        <w:t xml:space="preserve">raud? </w:t>
      </w:r>
    </w:p>
    <w:p w14:paraId="07AE4741" w14:textId="77777777" w:rsidR="008A37A5" w:rsidRPr="00BA73DB" w:rsidRDefault="008A37A5" w:rsidP="009E364A">
      <w:pPr>
        <w:pStyle w:val="Bullet1"/>
        <w:ind w:left="360" w:hanging="360"/>
        <w:contextualSpacing/>
      </w:pPr>
      <w:r w:rsidRPr="00BA73DB">
        <w:t xml:space="preserve">Are there any concerns about conflicting </w:t>
      </w:r>
      <w:r w:rsidR="00481228">
        <w:t>authorisations</w:t>
      </w:r>
      <w:r w:rsidRPr="00BA73DB">
        <w:t xml:space="preserve">? </w:t>
      </w:r>
    </w:p>
    <w:p w14:paraId="43F03BCA" w14:textId="77777777" w:rsidR="008A37A5" w:rsidRPr="00BA73DB" w:rsidRDefault="008A37A5" w:rsidP="009E364A">
      <w:pPr>
        <w:pStyle w:val="Bullet1"/>
        <w:ind w:left="360" w:hanging="360"/>
        <w:contextualSpacing/>
      </w:pPr>
      <w:r w:rsidRPr="00BA73DB">
        <w:t>Have there been any significant changes to the structure, objectives and roles of the Agency and positions?</w:t>
      </w:r>
    </w:p>
    <w:p w14:paraId="7232908B" w14:textId="77777777" w:rsidR="008A37A5" w:rsidRPr="00BA73DB" w:rsidRDefault="008A37A5" w:rsidP="009E364A">
      <w:pPr>
        <w:pStyle w:val="Bullet1"/>
        <w:ind w:left="360" w:hanging="360"/>
        <w:contextualSpacing/>
      </w:pPr>
      <w:r w:rsidRPr="00BA73DB">
        <w:t>Has a</w:t>
      </w:r>
      <w:r w:rsidR="00481228">
        <w:t>n</w:t>
      </w:r>
      <w:r w:rsidRPr="00BA73DB">
        <w:t xml:space="preserve"> </w:t>
      </w:r>
      <w:r w:rsidR="00481228">
        <w:t>authorisation</w:t>
      </w:r>
      <w:r w:rsidR="00481228" w:rsidRPr="00BA73DB">
        <w:t xml:space="preserve"> </w:t>
      </w:r>
      <w:r w:rsidRPr="00BA73DB">
        <w:t>never or very rarely been used?</w:t>
      </w:r>
    </w:p>
    <w:p w14:paraId="18E00E5F" w14:textId="77777777" w:rsidR="008A37A5" w:rsidRPr="008A37A5" w:rsidRDefault="008A37A5" w:rsidP="008E306C">
      <w:r w:rsidRPr="008A37A5">
        <w:lastRenderedPageBreak/>
        <w:t xml:space="preserve">Mechanisms should be in place to enable continuous and efficient running of the </w:t>
      </w:r>
      <w:r w:rsidR="006F0D5C">
        <w:t>A</w:t>
      </w:r>
      <w:r w:rsidRPr="008A37A5">
        <w:t>gency in the absence of the holders of a</w:t>
      </w:r>
      <w:r w:rsidR="00481228">
        <w:t>n</w:t>
      </w:r>
      <w:r w:rsidRPr="008A37A5">
        <w:t xml:space="preserve"> </w:t>
      </w:r>
      <w:r w:rsidR="00481228">
        <w:t>authorised</w:t>
      </w:r>
      <w:r w:rsidR="00481228" w:rsidRPr="008A37A5">
        <w:t xml:space="preserve"> </w:t>
      </w:r>
      <w:r w:rsidRPr="008A37A5">
        <w:t>position. In the event of a maj</w:t>
      </w:r>
      <w:r w:rsidR="00481228">
        <w:t>or restructure of an Agency (e.g</w:t>
      </w:r>
      <w:r w:rsidRPr="008A37A5">
        <w:t xml:space="preserve">. a restructure affecting 50 per cent or more of the positions in the Agency), financial </w:t>
      </w:r>
      <w:r w:rsidR="00481228">
        <w:t>authorisation</w:t>
      </w:r>
      <w:r w:rsidR="006862FE">
        <w:t>s</w:t>
      </w:r>
      <w:r w:rsidR="00481228" w:rsidRPr="008A37A5">
        <w:t xml:space="preserve"> </w:t>
      </w:r>
      <w:r w:rsidRPr="008A37A5">
        <w:t>should be reassessed and reapproved within one calendar month.</w:t>
      </w:r>
    </w:p>
    <w:p w14:paraId="66941F50" w14:textId="77777777" w:rsidR="008A37A5" w:rsidRPr="008A37A5" w:rsidRDefault="00257E27" w:rsidP="00D94C7A">
      <w:pPr>
        <w:pStyle w:val="Heading1NoNum"/>
      </w:pPr>
      <w:r>
        <w:t xml:space="preserve">Financial </w:t>
      </w:r>
      <w:r w:rsidR="00481228" w:rsidRPr="00481228">
        <w:t xml:space="preserve">authorisation </w:t>
      </w:r>
      <w:r w:rsidR="008A37A5" w:rsidRPr="008A37A5">
        <w:t>following machinery of government changes</w:t>
      </w:r>
    </w:p>
    <w:p w14:paraId="5B8220DE" w14:textId="59DC4472" w:rsidR="008A37A5" w:rsidRDefault="008A37A5" w:rsidP="008E306C">
      <w:r w:rsidRPr="008A37A5">
        <w:t xml:space="preserve">Following the announcement of machinery of government changes, Portfolio Departments should endeavour to facilitate the making of new </w:t>
      </w:r>
      <w:r w:rsidR="00257E27">
        <w:t xml:space="preserve">financial </w:t>
      </w:r>
      <w:r w:rsidR="00481228">
        <w:t>authorisations</w:t>
      </w:r>
      <w:r w:rsidR="00481228" w:rsidRPr="008A37A5">
        <w:t xml:space="preserve"> </w:t>
      </w:r>
      <w:r w:rsidRPr="008A37A5">
        <w:t>to ensure they are in place from the effective date of the proposed changes.</w:t>
      </w:r>
    </w:p>
    <w:p w14:paraId="723A9EAE" w14:textId="295CED7A" w:rsidR="005034F9" w:rsidRPr="008A37A5" w:rsidRDefault="005034F9" w:rsidP="008E306C">
      <w:r>
        <w:t>This should also be done following a change of Minister, even if the Minister is part of the same Government.</w:t>
      </w:r>
      <w:r w:rsidR="0073530C">
        <w:t xml:space="preserve"> If following a re-assignment of Ministerial responsibilities</w:t>
      </w:r>
      <w:r w:rsidR="00807DBC">
        <w:t>,</w:t>
      </w:r>
      <w:r w:rsidR="0073530C">
        <w:t xml:space="preserve"> a Portfolio Department has one or more continuing Ministers as well as a new one, only the new Minister needs to sign a</w:t>
      </w:r>
      <w:r w:rsidR="00EA5E02">
        <w:t xml:space="preserve"> </w:t>
      </w:r>
      <w:r w:rsidR="0073530C">
        <w:t>n</w:t>
      </w:r>
      <w:r w:rsidR="00EA5E02">
        <w:t>ew</w:t>
      </w:r>
      <w:r w:rsidR="0073530C">
        <w:t xml:space="preserve"> instrument of </w:t>
      </w:r>
      <w:r w:rsidR="001A4ADC">
        <w:t>financial authoris</w:t>
      </w:r>
      <w:r w:rsidR="0073530C">
        <w:t>ation</w:t>
      </w:r>
      <w:r w:rsidR="00034005">
        <w:t xml:space="preserve"> (unless changes are being made to one or more authorisations)</w:t>
      </w:r>
      <w:r w:rsidR="0073530C">
        <w:t>.</w:t>
      </w:r>
    </w:p>
    <w:p w14:paraId="2A33D890" w14:textId="7A385E44" w:rsidR="008A37A5" w:rsidRPr="008A37A5" w:rsidRDefault="008A37A5" w:rsidP="008E306C">
      <w:r w:rsidRPr="008A37A5">
        <w:t xml:space="preserve">For Portfolio Departments, the Responsible </w:t>
      </w:r>
      <w:r w:rsidR="005034F9">
        <w:t>Minister</w:t>
      </w:r>
      <w:r w:rsidR="005034F9" w:rsidRPr="008A37A5">
        <w:t xml:space="preserve"> </w:t>
      </w:r>
      <w:r w:rsidRPr="008A37A5">
        <w:t xml:space="preserve">is the Minister or the Ministers jointly if there is more than one Minister for that Portfolio Department. Accordingly, in a Portfolio Department with multiple portfolio Ministers, a financial </w:t>
      </w:r>
      <w:r w:rsidR="008A5151">
        <w:t>authorisation</w:t>
      </w:r>
      <w:r w:rsidR="008A5151" w:rsidRPr="008A37A5">
        <w:t xml:space="preserve"> </w:t>
      </w:r>
      <w:r w:rsidR="002A083F">
        <w:t>should</w:t>
      </w:r>
      <w:r w:rsidR="002A083F" w:rsidRPr="008A37A5">
        <w:t xml:space="preserve"> </w:t>
      </w:r>
      <w:r w:rsidRPr="008A37A5">
        <w:t>be conferred ‘jointly’ by all of its respective Ministers.</w:t>
      </w:r>
    </w:p>
    <w:p w14:paraId="2207E614" w14:textId="77777777" w:rsidR="008A37A5" w:rsidRPr="008A37A5" w:rsidRDefault="008A37A5" w:rsidP="008E306C">
      <w:r w:rsidRPr="008A37A5">
        <w:t xml:space="preserve">A financial </w:t>
      </w:r>
      <w:r w:rsidR="008A5151">
        <w:t>authorisation</w:t>
      </w:r>
      <w:r w:rsidR="008A5151" w:rsidRPr="008A37A5">
        <w:t xml:space="preserve"> </w:t>
      </w:r>
      <w:r w:rsidRPr="008A37A5">
        <w:t xml:space="preserve">may be conferred ‘jointly’ by having each Minister sign the one instrument of </w:t>
      </w:r>
      <w:r w:rsidR="008A5151">
        <w:t>authorisation</w:t>
      </w:r>
      <w:r w:rsidR="008A5151" w:rsidRPr="008A37A5">
        <w:t xml:space="preserve"> </w:t>
      </w:r>
      <w:r w:rsidRPr="008A37A5">
        <w:t xml:space="preserve">(i.e. the same document). Alternatively, each Minister could provide separate written </w:t>
      </w:r>
      <w:r w:rsidR="008A5151">
        <w:t>authorisation</w:t>
      </w:r>
      <w:r w:rsidR="008A5151" w:rsidRPr="008A37A5">
        <w:t xml:space="preserve"> </w:t>
      </w:r>
      <w:r w:rsidRPr="008A37A5">
        <w:t xml:space="preserve">by signing a counterpart copy of the instrument of </w:t>
      </w:r>
      <w:r w:rsidR="00257E27">
        <w:t>delegation</w:t>
      </w:r>
      <w:r w:rsidRPr="008A37A5">
        <w:t>.</w:t>
      </w:r>
      <w:r w:rsidR="006862FE">
        <w:t xml:space="preserve"> </w:t>
      </w:r>
    </w:p>
    <w:p w14:paraId="241257F9" w14:textId="77777777" w:rsidR="008A37A5" w:rsidRPr="008A37A5" w:rsidRDefault="008A37A5" w:rsidP="008E306C">
      <w:r w:rsidRPr="008A37A5">
        <w:t xml:space="preserve">Equally, when remaking financial </w:t>
      </w:r>
      <w:r w:rsidR="008A5151">
        <w:t>authorisations</w:t>
      </w:r>
      <w:r w:rsidRPr="008A37A5">
        <w:t xml:space="preserve">, each relevant Minister could sign the one instrument of </w:t>
      </w:r>
      <w:r w:rsidR="00257E27">
        <w:t>delegation</w:t>
      </w:r>
      <w:r w:rsidR="00257E27" w:rsidRPr="008A37A5">
        <w:t xml:space="preserve"> </w:t>
      </w:r>
      <w:r w:rsidRPr="008A37A5">
        <w:t xml:space="preserve">or provide separate written </w:t>
      </w:r>
      <w:r w:rsidR="008A5151">
        <w:t>authorisations</w:t>
      </w:r>
      <w:r w:rsidR="008A5151" w:rsidRPr="008A37A5">
        <w:t xml:space="preserve"> </w:t>
      </w:r>
      <w:r w:rsidRPr="008A37A5">
        <w:t xml:space="preserve">by signing a counterpart copy of the instrument of </w:t>
      </w:r>
      <w:r w:rsidR="00257E27">
        <w:t>delegation</w:t>
      </w:r>
      <w:r w:rsidRPr="008A37A5">
        <w:t>.</w:t>
      </w:r>
    </w:p>
    <w:p w14:paraId="6EC5A29A" w14:textId="77777777" w:rsidR="008A37A5" w:rsidRPr="008A37A5" w:rsidRDefault="008A37A5" w:rsidP="008E306C">
      <w:r w:rsidRPr="008A37A5">
        <w:t xml:space="preserve">If an instrument of </w:t>
      </w:r>
      <w:r w:rsidR="008A5151">
        <w:t>authorisation</w:t>
      </w:r>
      <w:r w:rsidR="008A5151" w:rsidRPr="008A37A5">
        <w:t xml:space="preserve"> </w:t>
      </w:r>
      <w:r w:rsidRPr="008A37A5">
        <w:t>is being signed in counterpart, it should expressly state that it is to be (or can be) signed in counterpart by the relevant Ministers. Departments should also advise their Ministers that each portfolio Minister has been provided with a counterpart copy for signature.</w:t>
      </w:r>
      <w:r w:rsidR="008A5151">
        <w:t xml:space="preserve"> </w:t>
      </w:r>
      <w:bookmarkStart w:id="27" w:name="_Hlk4418312"/>
    </w:p>
    <w:p w14:paraId="68852A84" w14:textId="76156B53" w:rsidR="00882855" w:rsidRPr="008A37A5" w:rsidRDefault="00882855" w:rsidP="00882855">
      <w:pPr>
        <w:pStyle w:val="Heading1NoNum"/>
      </w:pPr>
      <w:bookmarkStart w:id="28" w:name="_Hlk4418275"/>
      <w:r>
        <w:t xml:space="preserve">Financial </w:t>
      </w:r>
      <w:r w:rsidRPr="00481228">
        <w:t xml:space="preserve">authorisation </w:t>
      </w:r>
      <w:r w:rsidR="00D50E56">
        <w:t>limits – extensions to contracts</w:t>
      </w:r>
    </w:p>
    <w:p w14:paraId="015B4381" w14:textId="6CCA7DD2" w:rsidR="00D50E56" w:rsidRPr="008027F3" w:rsidRDefault="00D50E56" w:rsidP="00D50E56">
      <w:pPr>
        <w:rPr>
          <w:szCs w:val="20"/>
        </w:rPr>
      </w:pPr>
      <w:r w:rsidRPr="008027F3">
        <w:rPr>
          <w:szCs w:val="20"/>
        </w:rPr>
        <w:t>Whatever financial authorisation limit an employee has (noting that under SD 3.3</w:t>
      </w:r>
      <w:r w:rsidR="00C3721F" w:rsidRPr="008027F3">
        <w:rPr>
          <w:szCs w:val="20"/>
        </w:rPr>
        <w:t>,</w:t>
      </w:r>
      <w:r w:rsidRPr="008027F3">
        <w:rPr>
          <w:szCs w:val="20"/>
        </w:rPr>
        <w:t xml:space="preserve"> </w:t>
      </w:r>
      <w:r w:rsidR="00C3721F" w:rsidRPr="008027F3">
        <w:rPr>
          <w:szCs w:val="20"/>
        </w:rPr>
        <w:t xml:space="preserve">for Departments, </w:t>
      </w:r>
      <w:r w:rsidRPr="008027F3">
        <w:rPr>
          <w:szCs w:val="20"/>
        </w:rPr>
        <w:t xml:space="preserve">a limit </w:t>
      </w:r>
      <w:r w:rsidRPr="008027F3">
        <w:rPr>
          <w:b/>
          <w:bCs/>
          <w:szCs w:val="20"/>
        </w:rPr>
        <w:t>over</w:t>
      </w:r>
      <w:r w:rsidRPr="008027F3">
        <w:rPr>
          <w:szCs w:val="20"/>
        </w:rPr>
        <w:t xml:space="preserve"> $10 million can only be delegated directly by a Minister, not subdelegated by the Secretary), from a financial authorisations perspective an extension to a contract should be considered to be part of the original contract. </w:t>
      </w:r>
    </w:p>
    <w:p w14:paraId="2755C3E6" w14:textId="77777777" w:rsidR="00D50E56" w:rsidRPr="008027F3" w:rsidRDefault="00D50E56" w:rsidP="00D50E56">
      <w:pPr>
        <w:rPr>
          <w:szCs w:val="20"/>
        </w:rPr>
      </w:pPr>
      <w:r w:rsidRPr="008027F3">
        <w:rPr>
          <w:szCs w:val="20"/>
        </w:rPr>
        <w:t>This means that if the combined cost of the original contract and the extension goes over the employee’s authorisation limit, the decision whether or not to extend needs to be referred to some-one with a high enough limit to cover the whole contract, including the extension.</w:t>
      </w:r>
    </w:p>
    <w:p w14:paraId="2E0635D0" w14:textId="77777777" w:rsidR="00D50E56" w:rsidRPr="008027F3" w:rsidRDefault="00D50E56" w:rsidP="00D50E56">
      <w:pPr>
        <w:rPr>
          <w:szCs w:val="20"/>
        </w:rPr>
      </w:pPr>
      <w:r w:rsidRPr="008027F3">
        <w:rPr>
          <w:szCs w:val="20"/>
        </w:rPr>
        <w:t>This is consistent with DTF’s position that an original contract must not be split into several sub-contracts to get around a financial authorisation limit. Multiple contracts should only be entered into where the obligations are clearly separate and not interlinked. Great caution should be exercised where:</w:t>
      </w:r>
    </w:p>
    <w:p w14:paraId="3F4B4338" w14:textId="77777777" w:rsidR="00D50E56" w:rsidRPr="008027F3" w:rsidRDefault="00D50E56" w:rsidP="000B15FD">
      <w:pPr>
        <w:pStyle w:val="ListParagraph"/>
        <w:keepLines w:val="0"/>
        <w:numPr>
          <w:ilvl w:val="0"/>
          <w:numId w:val="74"/>
        </w:numPr>
        <w:spacing w:before="0" w:after="0"/>
        <w:ind w:left="360"/>
        <w:contextualSpacing w:val="0"/>
        <w:rPr>
          <w:szCs w:val="20"/>
        </w:rPr>
      </w:pPr>
      <w:r w:rsidRPr="008027F3">
        <w:rPr>
          <w:szCs w:val="20"/>
        </w:rPr>
        <w:t>the multiple contracts are with the same counterparty in respect of the same project; or</w:t>
      </w:r>
    </w:p>
    <w:p w14:paraId="455E8496" w14:textId="77777777" w:rsidR="00D50E56" w:rsidRPr="008027F3" w:rsidRDefault="00D50E56" w:rsidP="000B15FD">
      <w:pPr>
        <w:pStyle w:val="ListParagraph"/>
        <w:keepLines w:val="0"/>
        <w:numPr>
          <w:ilvl w:val="0"/>
          <w:numId w:val="74"/>
        </w:numPr>
        <w:spacing w:before="0" w:after="0"/>
        <w:ind w:left="360"/>
        <w:contextualSpacing w:val="0"/>
        <w:rPr>
          <w:szCs w:val="20"/>
        </w:rPr>
      </w:pPr>
      <w:r w:rsidRPr="008027F3">
        <w:rPr>
          <w:szCs w:val="20"/>
        </w:rPr>
        <w:t>where the contracts are with different counterparties, but the satisfactory completion of one contract is entirely or very largely dependent on the satisfactory completion of the other.</w:t>
      </w:r>
    </w:p>
    <w:p w14:paraId="705E530E" w14:textId="77777777" w:rsidR="00D50E56" w:rsidRPr="008027F3" w:rsidRDefault="00D50E56" w:rsidP="00D50E56">
      <w:pPr>
        <w:rPr>
          <w:szCs w:val="20"/>
        </w:rPr>
      </w:pPr>
      <w:r w:rsidRPr="008027F3">
        <w:rPr>
          <w:szCs w:val="20"/>
        </w:rPr>
        <w:t>This also means it is not acceptable for a different person to approve the extension as though it was a stand-alone contract, if the authorisation limit of the person who approved the original contract would be breached by approving the contract extension.</w:t>
      </w:r>
    </w:p>
    <w:p w14:paraId="782182BB" w14:textId="77777777" w:rsidR="00D50E56" w:rsidRPr="008027F3" w:rsidRDefault="00D50E56" w:rsidP="00D50E56">
      <w:pPr>
        <w:rPr>
          <w:szCs w:val="20"/>
        </w:rPr>
      </w:pPr>
      <w:r w:rsidRPr="008027F3">
        <w:rPr>
          <w:szCs w:val="20"/>
        </w:rPr>
        <w:t>For example, suppose a person with a limit of $1 million has signed a contract for $800,000 and is considering an extension to that contract of another $400,000. The combined cost of the contract now will be $1.2 million, so he or she can’t approve the extension. However, they also cannot ask another employee with a limit of, say, $500,000 to approve just the extension, because while the extension is within the second employee’s limit, the contract as a whole, after the extension is approved, would be outside the limit of either employee.</w:t>
      </w:r>
    </w:p>
    <w:p w14:paraId="1E0C461E" w14:textId="77777777" w:rsidR="00D50E56" w:rsidRPr="008027F3" w:rsidRDefault="00D50E56" w:rsidP="00D50E56">
      <w:pPr>
        <w:rPr>
          <w:szCs w:val="20"/>
        </w:rPr>
      </w:pPr>
      <w:r w:rsidRPr="008027F3">
        <w:rPr>
          <w:szCs w:val="20"/>
        </w:rPr>
        <w:t xml:space="preserve">An extension to an existing contract can be a genuinely separate decision subsequent to the original contract. On the other hand, it can sometimes indicate under-specification of the original contract to disguise the true total cost. </w:t>
      </w:r>
    </w:p>
    <w:p w14:paraId="4C195389" w14:textId="3ED36AA1" w:rsidR="00882855" w:rsidRPr="008027F3" w:rsidRDefault="00D50E56" w:rsidP="00882855">
      <w:pPr>
        <w:rPr>
          <w:szCs w:val="20"/>
        </w:rPr>
      </w:pPr>
      <w:r w:rsidRPr="008027F3">
        <w:rPr>
          <w:szCs w:val="20"/>
        </w:rPr>
        <w:t>For these reasons, DTF considers that financial authorisations do not allow any person to authorise an extension to a contract if the total contract cost would then exceed the person’s financial authorisation limit</w:t>
      </w:r>
      <w:r w:rsidR="00882855" w:rsidRPr="008027F3">
        <w:rPr>
          <w:szCs w:val="20"/>
        </w:rPr>
        <w:t xml:space="preserve">. </w:t>
      </w:r>
    </w:p>
    <w:p w14:paraId="2EFBE229" w14:textId="578504DA" w:rsidR="008A37A5" w:rsidRPr="008A37A5" w:rsidRDefault="008A37A5" w:rsidP="00D94C7A">
      <w:pPr>
        <w:pStyle w:val="Heading1NoNum"/>
      </w:pPr>
      <w:r w:rsidRPr="00576F73">
        <w:lastRenderedPageBreak/>
        <w:t>Employees</w:t>
      </w:r>
      <w:r w:rsidRPr="008A37A5">
        <w:t xml:space="preserve"> of the </w:t>
      </w:r>
      <w:r w:rsidR="004F1308">
        <w:t xml:space="preserve">(Victorian </w:t>
      </w:r>
      <w:r w:rsidRPr="008A37A5">
        <w:t>Public Sector</w:t>
      </w:r>
      <w:r w:rsidR="004F1308">
        <w:t>)</w:t>
      </w:r>
      <w:r w:rsidRPr="008A37A5">
        <w:t xml:space="preserve"> Agency</w:t>
      </w:r>
    </w:p>
    <w:bookmarkEnd w:id="27"/>
    <w:p w14:paraId="10200E3F" w14:textId="0F8793E4" w:rsidR="008A37A5" w:rsidRDefault="005A556B" w:rsidP="008E306C">
      <w:r>
        <w:t>Direction</w:t>
      </w:r>
      <w:r w:rsidR="00ED5388">
        <w:t>s</w:t>
      </w:r>
      <w:r>
        <w:t xml:space="preserve"> 3.3(b)(v) </w:t>
      </w:r>
      <w:r w:rsidR="00ED5388">
        <w:t xml:space="preserve">and (c)(i) </w:t>
      </w:r>
      <w:r>
        <w:t xml:space="preserve">requires that </w:t>
      </w:r>
      <w:r w:rsidR="00B828D9">
        <w:t xml:space="preserve">an </w:t>
      </w:r>
      <w:r>
        <w:t>a</w:t>
      </w:r>
      <w:r w:rsidR="00AB7771">
        <w:t>uthorised</w:t>
      </w:r>
      <w:r w:rsidR="008A5151" w:rsidRPr="008A37A5">
        <w:t xml:space="preserve"> </w:t>
      </w:r>
      <w:r w:rsidR="008A5151">
        <w:t>person</w:t>
      </w:r>
      <w:r w:rsidR="00B828D9">
        <w:t xml:space="preserve"> i</w:t>
      </w:r>
      <w:r w:rsidR="008A5151">
        <w:t xml:space="preserve">s </w:t>
      </w:r>
      <w:r w:rsidR="00B828D9">
        <w:t>an</w:t>
      </w:r>
      <w:r w:rsidR="008A37A5" w:rsidRPr="008A37A5">
        <w:t xml:space="preserve"> employee of the Agency</w:t>
      </w:r>
      <w:r w:rsidR="00B828D9">
        <w:t>, subject to Direction</w:t>
      </w:r>
      <w:r w:rsidR="009E364A">
        <w:t> </w:t>
      </w:r>
      <w:r w:rsidR="00B828D9">
        <w:t>3.3(d)</w:t>
      </w:r>
      <w:r w:rsidR="008A37A5" w:rsidRPr="008A37A5">
        <w:t>. For differences between employee</w:t>
      </w:r>
      <w:r>
        <w:t>s</w:t>
      </w:r>
      <w:r w:rsidR="008A37A5" w:rsidRPr="008A37A5">
        <w:t>, contractors and consul</w:t>
      </w:r>
      <w:bookmarkEnd w:id="28"/>
      <w:r w:rsidR="008A37A5" w:rsidRPr="008A37A5">
        <w:t xml:space="preserve">tants, refer to Victorian Public Sector Commission’s </w:t>
      </w:r>
      <w:hyperlink r:id="rId159" w:history="1">
        <w:r w:rsidR="008A37A5" w:rsidRPr="008A37A5">
          <w:rPr>
            <w:color w:val="595959" w:themeColor="text1" w:themeTint="A6"/>
          </w:rPr>
          <w:t>Guidance for Managers Engaging Contractors and Consultants to Perform a Public Sector Function</w:t>
        </w:r>
      </w:hyperlink>
      <w:r w:rsidR="00FC17D9">
        <w:rPr>
          <w:rStyle w:val="FootnoteReference"/>
          <w:color w:val="595959" w:themeColor="text1" w:themeTint="A6"/>
        </w:rPr>
        <w:footnoteReference w:id="38"/>
      </w:r>
      <w:r w:rsidR="008A37A5" w:rsidRPr="008A37A5">
        <w:t xml:space="preserve">. </w:t>
      </w:r>
    </w:p>
    <w:p w14:paraId="57428ED7" w14:textId="4A34802F" w:rsidR="00CF5F9B" w:rsidRDefault="00B828D9" w:rsidP="00D273B6">
      <w:r>
        <w:t xml:space="preserve">Direction 3.3(d) provides that </w:t>
      </w:r>
      <w:r w:rsidR="00F31A3A">
        <w:t>four</w:t>
      </w:r>
      <w:r>
        <w:t xml:space="preserve"> categories of persons who are not employees of an Agency may be provided with financial authorisations by the Responsible Body of the Agency. For example</w:t>
      </w:r>
      <w:r w:rsidR="003B660B">
        <w:t xml:space="preserve">, </w:t>
      </w:r>
      <w:r w:rsidR="005A556B">
        <w:t xml:space="preserve">Direction 2.4.6.4 requires that </w:t>
      </w:r>
      <w:r w:rsidR="003B660B">
        <w:t xml:space="preserve">the CFO of a Portfolio Department </w:t>
      </w:r>
      <w:r w:rsidR="005A556B">
        <w:t>be</w:t>
      </w:r>
      <w:r w:rsidR="003B660B">
        <w:t xml:space="preserve"> an employee of DTF. Accordingly, Direction 3.3</w:t>
      </w:r>
      <w:r>
        <w:t>(d)(i)</w:t>
      </w:r>
      <w:r w:rsidR="003B660B">
        <w:t xml:space="preserve"> specifically provides that for financial authorisation purposes, the Portfolio Department CFO is considered to be an employee of the Portfolio Department.</w:t>
      </w:r>
      <w:r>
        <w:t xml:space="preserve"> </w:t>
      </w:r>
      <w:r w:rsidR="00D273B6">
        <w:t xml:space="preserve">Similarly, Direction 3.3(d)(ii) and (iii) provide </w:t>
      </w:r>
      <w:proofErr w:type="gramStart"/>
      <w:r w:rsidR="00D273B6">
        <w:t>that employees of one Agency</w:t>
      </w:r>
      <w:proofErr w:type="gramEnd"/>
      <w:r w:rsidR="00D273B6">
        <w:t xml:space="preserve"> seconded to another Agency, or undertaking responsibilities for another Agency under a formal agreement between the two Agencies, may be considered to be an employee of the second Agency for financial authorisation purposes.</w:t>
      </w:r>
    </w:p>
    <w:p w14:paraId="43617E42" w14:textId="0E3585EB" w:rsidR="00CF5F9B" w:rsidRDefault="00CF5F9B" w:rsidP="00D273B6">
      <w:r>
        <w:t xml:space="preserve">Direction 2.5(d)(iv) provides that Administrative Office Heads, executives and employees may also be considered to be an employee of the relevant Agency for delegation purposes. The relevant agency in this instance is the Department to which the Administrative Office is established under the </w:t>
      </w:r>
      <w:r>
        <w:rPr>
          <w:i/>
          <w:iCs/>
        </w:rPr>
        <w:t>Public Administration Act 2004</w:t>
      </w:r>
      <w:r>
        <w:t xml:space="preserve">. The Governor in Council may change the Department in relation to which the Administrative Office is established. This is done by an Order made under section 11 of the </w:t>
      </w:r>
      <w:r>
        <w:rPr>
          <w:i/>
          <w:iCs/>
        </w:rPr>
        <w:t>Public Administration Act 2004</w:t>
      </w:r>
      <w:r>
        <w:t xml:space="preserve"> and is published in the Victorian Government Gazette.  </w:t>
      </w:r>
    </w:p>
    <w:p w14:paraId="52B9AC0E" w14:textId="176B0357" w:rsidR="00D273B6" w:rsidRDefault="00D273B6" w:rsidP="00D273B6">
      <w:r>
        <w:t xml:space="preserve"> It should be noted that in each case set out in Direction 3.3(d)</w:t>
      </w:r>
      <w:r w:rsidR="00D778F3">
        <w:t>(i) to (iii)</w:t>
      </w:r>
      <w:r>
        <w:t xml:space="preserve">, the person </w:t>
      </w:r>
      <w:r w:rsidRPr="00EF7635">
        <w:rPr>
          <w:u w:val="single"/>
        </w:rPr>
        <w:t>must</w:t>
      </w:r>
      <w:r>
        <w:t xml:space="preserve"> be an employee of the first Agency (i.e. DTF in the case of a Portfolio Department CFO).</w:t>
      </w:r>
    </w:p>
    <w:p w14:paraId="3D667BBF" w14:textId="31E0740E" w:rsidR="003B660B" w:rsidRDefault="00D273B6" w:rsidP="00D273B6">
      <w:r>
        <w:t xml:space="preserve">The conditions set out in Direction 3.3(b) regarding appropriateness, duties, review, updating and recording of delegations continue to apply to </w:t>
      </w:r>
      <w:r w:rsidRPr="00EF7635">
        <w:rPr>
          <w:u w:val="single"/>
        </w:rPr>
        <w:t>all</w:t>
      </w:r>
      <w:r>
        <w:t xml:space="preserve"> delegations </w:t>
      </w:r>
      <w:r w:rsidRPr="00EF7635">
        <w:rPr>
          <w:u w:val="single"/>
        </w:rPr>
        <w:t>including</w:t>
      </w:r>
      <w:r>
        <w:t xml:space="preserve"> those to which Direction 3.3(d) applies.</w:t>
      </w:r>
    </w:p>
    <w:p w14:paraId="5627DFA3" w14:textId="3879AF2B" w:rsidR="00471543" w:rsidRDefault="005A556B" w:rsidP="008E306C">
      <w:r>
        <w:t>If the Responsible Body for an Agency considers that in</w:t>
      </w:r>
      <w:r w:rsidR="00C76FF4">
        <w:t xml:space="preserve"> </w:t>
      </w:r>
      <w:r w:rsidR="006C3A55">
        <w:t>exceptional</w:t>
      </w:r>
      <w:r>
        <w:t xml:space="preserve"> circumstances it is necessary to give a financial authorisation to a contractor or other non-employee, the Responsible Body must apply under Direction 1.5 for an exemption from Direction 3.3(b)(v).</w:t>
      </w:r>
    </w:p>
    <w:p w14:paraId="49CF0D7E" w14:textId="4351C1A2" w:rsidR="0045745C" w:rsidRPr="0045745C" w:rsidRDefault="0045745C" w:rsidP="0045745C">
      <w:pPr>
        <w:rPr>
          <w:sz w:val="28"/>
          <w:szCs w:val="28"/>
        </w:rPr>
      </w:pPr>
      <w:r>
        <w:rPr>
          <w:sz w:val="28"/>
          <w:szCs w:val="28"/>
        </w:rPr>
        <w:t>Financial Authorisations relating to e</w:t>
      </w:r>
      <w:r w:rsidRPr="0045745C">
        <w:rPr>
          <w:sz w:val="28"/>
          <w:szCs w:val="28"/>
        </w:rPr>
        <w:t>mploy</w:t>
      </w:r>
      <w:r>
        <w:rPr>
          <w:sz w:val="28"/>
          <w:szCs w:val="28"/>
        </w:rPr>
        <w:t>ment within a department</w:t>
      </w:r>
    </w:p>
    <w:p w14:paraId="348DCDA1" w14:textId="041A98FF" w:rsidR="0045745C" w:rsidRDefault="0045745C" w:rsidP="0045745C">
      <w:r>
        <w:t xml:space="preserve">Under the </w:t>
      </w:r>
      <w:r w:rsidRPr="0045745C">
        <w:rPr>
          <w:i/>
        </w:rPr>
        <w:t>Public Administration Act 2004</w:t>
      </w:r>
      <w:r>
        <w:t>, the Secretary of a Portfolio Department or an office holder included under section 16(1) of that Act has the rights, powers, authorities or duties of an employer with respect to the Portfolio Department or other body of which he or she is the public service body Head.</w:t>
      </w:r>
    </w:p>
    <w:p w14:paraId="0B6C1527" w14:textId="751E84F5" w:rsidR="0045745C" w:rsidRPr="008A37A5" w:rsidRDefault="00C73342" w:rsidP="00B46A7C">
      <w:pPr>
        <w:keepNext/>
      </w:pPr>
      <w:r>
        <w:t xml:space="preserve">This means that the Secretary or s. 16(1) office holder has the legal authority to incur expenditure directly related to employment, including salaries, superannuation, WorkCover premiums and the like. The Responsible Minister does not have employment powers with respect to the </w:t>
      </w:r>
      <w:r w:rsidR="004B61FB">
        <w:t xml:space="preserve">Department or s. 16(1) </w:t>
      </w:r>
      <w:r>
        <w:t>Agency and so cannot provide a financial authorisation for employment-related costs.</w:t>
      </w:r>
    </w:p>
    <w:p w14:paraId="38CF4813" w14:textId="77777777" w:rsidR="008A37A5" w:rsidRPr="008A37A5" w:rsidRDefault="008A37A5" w:rsidP="00D94C7A">
      <w:pPr>
        <w:pStyle w:val="Heading1NoNum"/>
      </w:pPr>
      <w:r w:rsidRPr="008A37A5">
        <w:t>Further information</w:t>
      </w:r>
    </w:p>
    <w:p w14:paraId="030CDBCB" w14:textId="6A3DEB95" w:rsidR="008A37A5" w:rsidRDefault="008A37A5" w:rsidP="008E306C">
      <w:r w:rsidRPr="008A37A5">
        <w:t xml:space="preserve">For more information on </w:t>
      </w:r>
      <w:r w:rsidR="00CC7A61">
        <w:t>financial authorisations</w:t>
      </w:r>
      <w:r w:rsidRPr="008A37A5">
        <w:t xml:space="preserve">, please visit the </w:t>
      </w:r>
      <w:hyperlink r:id="rId160" w:history="1">
        <w:r w:rsidRPr="008A37A5">
          <w:rPr>
            <w:color w:val="595959" w:themeColor="text1" w:themeTint="A6"/>
          </w:rPr>
          <w:t>Victorian Public Sector Commission’s website</w:t>
        </w:r>
      </w:hyperlink>
      <w:r w:rsidR="00FC17D9">
        <w:rPr>
          <w:rStyle w:val="FootnoteReference"/>
          <w:color w:val="595959" w:themeColor="text1" w:themeTint="A6"/>
        </w:rPr>
        <w:footnoteReference w:id="39"/>
      </w:r>
      <w:r w:rsidRPr="008A37A5">
        <w:t>.</w:t>
      </w:r>
    </w:p>
    <w:p w14:paraId="1F58BAE3" w14:textId="77777777" w:rsidR="00FC17D9" w:rsidRPr="008A37A5" w:rsidRDefault="00FC17D9" w:rsidP="008E306C"/>
    <w:p w14:paraId="2A065C87" w14:textId="77777777" w:rsidR="008A37A5" w:rsidRDefault="008A37A5" w:rsidP="008E306C">
      <w:pPr>
        <w:spacing w:before="0" w:after="200" w:line="276" w:lineRule="auto"/>
        <w:sectPr w:rsidR="008A37A5" w:rsidSect="007F1A5E">
          <w:pgSz w:w="11906" w:h="16838"/>
          <w:pgMar w:top="1440" w:right="1008" w:bottom="1440" w:left="1008" w:header="706" w:footer="389" w:gutter="0"/>
          <w:cols w:space="708"/>
          <w:titlePg/>
          <w:docGrid w:linePitch="360"/>
        </w:sectPr>
      </w:pPr>
    </w:p>
    <w:p w14:paraId="51186B27" w14:textId="77777777" w:rsidR="008A37A5" w:rsidRPr="008A37A5" w:rsidRDefault="008A37A5" w:rsidP="007F577D">
      <w:pPr>
        <w:pStyle w:val="GuidanceTitle"/>
      </w:pPr>
      <w:bookmarkStart w:id="29" w:name="Guidance_3_4"/>
      <w:r w:rsidRPr="008A37A5">
        <w:lastRenderedPageBreak/>
        <w:t xml:space="preserve">Guidance 3.4 </w:t>
      </w:r>
      <w:bookmarkEnd w:id="29"/>
      <w:r w:rsidRPr="008A37A5">
        <w:t>– Internal control system</w:t>
      </w:r>
    </w:p>
    <w:p w14:paraId="30D39547" w14:textId="77777777" w:rsidR="008A37A5" w:rsidRPr="008A37A5" w:rsidRDefault="008A37A5" w:rsidP="008E306C">
      <w:pPr>
        <w:spacing w:before="0" w:after="0" w:line="120" w:lineRule="atLeast"/>
        <w:rPr>
          <w:sz w:val="12"/>
        </w:rPr>
      </w:pPr>
    </w:p>
    <w:tbl>
      <w:tblPr>
        <w:tblStyle w:val="Table124"/>
        <w:tblW w:w="9900" w:type="dxa"/>
        <w:tblLook w:val="0080" w:firstRow="0" w:lastRow="0" w:firstColumn="1" w:lastColumn="0" w:noHBand="0" w:noVBand="0"/>
      </w:tblPr>
      <w:tblGrid>
        <w:gridCol w:w="3119"/>
        <w:gridCol w:w="6781"/>
      </w:tblGrid>
      <w:tr w:rsidR="008A37A5" w:rsidRPr="008A37A5" w14:paraId="6C3C7C32"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012A407" w14:textId="77777777" w:rsidR="008A37A5" w:rsidRPr="008A37A5" w:rsidRDefault="008A37A5" w:rsidP="008A37A5">
            <w:pPr>
              <w:spacing w:before="60" w:after="60" w:line="252" w:lineRule="auto"/>
              <w:rPr>
                <w:rFonts w:cs="Times New Roman"/>
                <w:b/>
                <w:sz w:val="18"/>
                <w:szCs w:val="20"/>
              </w:rPr>
            </w:pPr>
            <w:r w:rsidRPr="008A37A5">
              <w:rPr>
                <w:rFonts w:cs="Times New Roman"/>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262B7537" w14:textId="77777777" w:rsidR="008A37A5" w:rsidRPr="008A37A5" w:rsidRDefault="008A37A5" w:rsidP="008A37A5">
            <w:pPr>
              <w:spacing w:before="60" w:after="60" w:line="252" w:lineRule="auto"/>
              <w:rPr>
                <w:bCs/>
                <w:sz w:val="18"/>
                <w:szCs w:val="20"/>
              </w:rPr>
            </w:pPr>
            <w:r w:rsidRPr="008A37A5">
              <w:rPr>
                <w:rFonts w:cs="Times New Roman"/>
                <w:bCs/>
                <w:sz w:val="18"/>
                <w:szCs w:val="20"/>
              </w:rPr>
              <w:t xml:space="preserve">Describes the five key components of the </w:t>
            </w:r>
            <w:r w:rsidR="00BC6180">
              <w:rPr>
                <w:rFonts w:cs="Times New Roman"/>
                <w:bCs/>
                <w:sz w:val="18"/>
                <w:szCs w:val="20"/>
              </w:rPr>
              <w:t>Committee of Sponsoring Organisations of the Treadway Commission (</w:t>
            </w:r>
            <w:r w:rsidRPr="008A37A5">
              <w:rPr>
                <w:rFonts w:cs="Times New Roman"/>
                <w:bCs/>
                <w:sz w:val="18"/>
                <w:szCs w:val="20"/>
              </w:rPr>
              <w:t>COSO</w:t>
            </w:r>
            <w:r w:rsidR="00BC6180">
              <w:rPr>
                <w:rFonts w:cs="Times New Roman"/>
                <w:bCs/>
                <w:sz w:val="18"/>
                <w:szCs w:val="20"/>
              </w:rPr>
              <w:t>)</w:t>
            </w:r>
            <w:r w:rsidRPr="008A37A5">
              <w:rPr>
                <w:rFonts w:cs="Times New Roman"/>
                <w:bCs/>
                <w:sz w:val="18"/>
                <w:szCs w:val="20"/>
              </w:rPr>
              <w:t xml:space="preserve"> Framework, and provide further information on maintaining and implementing policies and procedures.</w:t>
            </w:r>
          </w:p>
        </w:tc>
      </w:tr>
      <w:tr w:rsidR="008A37A5" w:rsidRPr="008A37A5" w14:paraId="2BF69A3F"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775735C" w14:textId="77777777" w:rsidR="008A37A5" w:rsidRPr="008A37A5" w:rsidRDefault="008A37A5" w:rsidP="008A37A5">
            <w:pPr>
              <w:spacing w:before="60" w:after="60" w:line="252" w:lineRule="auto"/>
              <w:rPr>
                <w:rFonts w:cs="Times New Roman"/>
                <w:b/>
                <w:bCs w:val="0"/>
                <w:sz w:val="18"/>
                <w:szCs w:val="20"/>
              </w:rPr>
            </w:pPr>
            <w:r w:rsidRPr="008A37A5">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1FD79187" w14:textId="77777777" w:rsidR="008A37A5" w:rsidRPr="008A37A5" w:rsidRDefault="008A37A5" w:rsidP="008A37A5">
            <w:pPr>
              <w:spacing w:before="60" w:after="60" w:line="252" w:lineRule="auto"/>
              <w:rPr>
                <w:rFonts w:cs="Times New Roman"/>
                <w:bCs/>
                <w:sz w:val="18"/>
                <w:szCs w:val="20"/>
              </w:rPr>
            </w:pPr>
            <w:r w:rsidRPr="008A37A5">
              <w:rPr>
                <w:rFonts w:cs="Times New Roman"/>
                <w:bCs/>
                <w:sz w:val="18"/>
                <w:szCs w:val="20"/>
              </w:rPr>
              <w:t>1 July 2016</w:t>
            </w:r>
          </w:p>
        </w:tc>
      </w:tr>
      <w:tr w:rsidR="008A37A5" w:rsidRPr="008A37A5" w14:paraId="509841A7"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E883130" w14:textId="77777777" w:rsidR="008A37A5" w:rsidRPr="008A37A5" w:rsidRDefault="008A37A5" w:rsidP="002A7DE1">
            <w:pPr>
              <w:spacing w:before="60" w:after="60" w:line="252" w:lineRule="auto"/>
              <w:rPr>
                <w:rFonts w:cs="Times New Roman"/>
                <w:b/>
                <w:bCs w:val="0"/>
                <w:sz w:val="18"/>
                <w:szCs w:val="20"/>
              </w:rPr>
            </w:pPr>
            <w:r w:rsidRPr="008A37A5">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39D3D129" w14:textId="5707E645" w:rsidR="00E862D1" w:rsidRPr="0051115B" w:rsidRDefault="00E862D1" w:rsidP="008A37A5">
            <w:pPr>
              <w:spacing w:before="60" w:after="60" w:line="252" w:lineRule="auto"/>
              <w:rPr>
                <w:rFonts w:cs="Times New Roman"/>
                <w:bCs/>
                <w:sz w:val="18"/>
                <w:szCs w:val="20"/>
              </w:rPr>
            </w:pPr>
            <w:hyperlink r:id="rId161" w:anchor="standing-directions-2018" w:history="1">
              <w:r w:rsidRPr="0051115B">
                <w:rPr>
                  <w:rStyle w:val="Hyperlink"/>
                  <w:rFonts w:cs="Times New Roman"/>
                  <w:bCs/>
                  <w:sz w:val="18"/>
                  <w:szCs w:val="20"/>
                </w:rPr>
                <w:t>3.3 Financial Authorisations</w:t>
              </w:r>
            </w:hyperlink>
            <w:r w:rsidRPr="0051115B">
              <w:rPr>
                <w:rFonts w:cs="Times New Roman"/>
                <w:bCs/>
                <w:sz w:val="18"/>
                <w:szCs w:val="20"/>
              </w:rPr>
              <w:t xml:space="preserve"> </w:t>
            </w:r>
          </w:p>
          <w:p w14:paraId="0E0BD9C1" w14:textId="0C9CCC90" w:rsidR="008A37A5" w:rsidRPr="0051115B" w:rsidRDefault="008A37A5" w:rsidP="008A37A5">
            <w:pPr>
              <w:spacing w:before="60" w:after="60" w:line="252" w:lineRule="auto"/>
              <w:rPr>
                <w:rFonts w:cs="Times New Roman"/>
                <w:bCs/>
                <w:sz w:val="18"/>
                <w:szCs w:val="20"/>
              </w:rPr>
            </w:pPr>
            <w:hyperlink r:id="rId162" w:anchor="standing-directions-2018" w:history="1">
              <w:r w:rsidRPr="0051115B">
                <w:rPr>
                  <w:rStyle w:val="Hyperlink"/>
                  <w:rFonts w:cs="Times New Roman"/>
                  <w:bCs/>
                  <w:sz w:val="18"/>
                  <w:szCs w:val="20"/>
                </w:rPr>
                <w:t>3.4 Internal control system</w:t>
              </w:r>
            </w:hyperlink>
          </w:p>
          <w:p w14:paraId="77AD7C01" w14:textId="61890CDA" w:rsidR="008A37A5" w:rsidRPr="0051115B" w:rsidRDefault="008A37A5" w:rsidP="008A37A5">
            <w:pPr>
              <w:spacing w:before="60" w:after="60" w:line="252" w:lineRule="auto"/>
              <w:rPr>
                <w:rFonts w:cs="Times New Roman"/>
                <w:bCs/>
                <w:sz w:val="18"/>
                <w:szCs w:val="20"/>
              </w:rPr>
            </w:pPr>
            <w:hyperlink r:id="rId163" w:anchor="standing-directions-2018" w:history="1">
              <w:r w:rsidRPr="0051115B">
                <w:rPr>
                  <w:rStyle w:val="Hyperlink"/>
                  <w:rFonts w:cs="Times New Roman"/>
                  <w:bCs/>
                  <w:sz w:val="18"/>
                  <w:szCs w:val="20"/>
                </w:rPr>
                <w:t xml:space="preserve">3.5 </w:t>
              </w:r>
              <w:r w:rsidR="00FB728C" w:rsidRPr="0051115B">
                <w:rPr>
                  <w:rStyle w:val="Hyperlink"/>
                  <w:rFonts w:cs="Times New Roman"/>
                  <w:bCs/>
                  <w:sz w:val="18"/>
                  <w:szCs w:val="20"/>
                </w:rPr>
                <w:t>F</w:t>
              </w:r>
              <w:r w:rsidR="00082B9F" w:rsidRPr="0051115B">
                <w:rPr>
                  <w:rStyle w:val="Hyperlink"/>
                  <w:rFonts w:cs="Times New Roman"/>
                  <w:bCs/>
                  <w:sz w:val="18"/>
                  <w:szCs w:val="20"/>
                </w:rPr>
                <w:t>raud, Corruption and Other L</w:t>
              </w:r>
              <w:r w:rsidRPr="0051115B">
                <w:rPr>
                  <w:rStyle w:val="Hyperlink"/>
                  <w:rFonts w:cs="Times New Roman"/>
                  <w:bCs/>
                  <w:sz w:val="18"/>
                  <w:szCs w:val="20"/>
                </w:rPr>
                <w:t>osses</w:t>
              </w:r>
            </w:hyperlink>
          </w:p>
          <w:p w14:paraId="557B29B9" w14:textId="7D7FBCB4" w:rsidR="008A37A5" w:rsidRPr="0051115B" w:rsidRDefault="008A37A5" w:rsidP="008A37A5">
            <w:pPr>
              <w:spacing w:before="60" w:after="60" w:line="252" w:lineRule="auto"/>
              <w:rPr>
                <w:rFonts w:cs="Times New Roman"/>
                <w:bCs/>
                <w:sz w:val="18"/>
                <w:szCs w:val="20"/>
              </w:rPr>
            </w:pPr>
            <w:hyperlink r:id="rId164" w:anchor="standing-directions-2018" w:history="1">
              <w:r w:rsidRPr="0051115B">
                <w:rPr>
                  <w:rStyle w:val="Hyperlink"/>
                  <w:rFonts w:cs="Times New Roman"/>
                  <w:bCs/>
                  <w:sz w:val="18"/>
                  <w:szCs w:val="20"/>
                </w:rPr>
                <w:t>3.6 Pu</w:t>
              </w:r>
              <w:r w:rsidR="00E862D1" w:rsidRPr="0051115B">
                <w:rPr>
                  <w:rStyle w:val="Hyperlink"/>
                  <w:rFonts w:cs="Times New Roman"/>
                  <w:bCs/>
                  <w:sz w:val="18"/>
                  <w:szCs w:val="20"/>
                </w:rPr>
                <w:t>rchasing cards</w:t>
              </w:r>
            </w:hyperlink>
          </w:p>
          <w:p w14:paraId="70FC85AE" w14:textId="15FFB96F" w:rsidR="008A37A5" w:rsidRPr="0051115B" w:rsidRDefault="008A37A5" w:rsidP="008A37A5">
            <w:pPr>
              <w:spacing w:before="60" w:after="60" w:line="252" w:lineRule="auto"/>
              <w:rPr>
                <w:rFonts w:cs="Times New Roman"/>
                <w:bCs/>
                <w:sz w:val="18"/>
                <w:szCs w:val="20"/>
              </w:rPr>
            </w:pPr>
            <w:hyperlink r:id="rId165" w:anchor="standing-directions-2018" w:history="1">
              <w:r w:rsidRPr="0051115B">
                <w:rPr>
                  <w:rStyle w:val="Hyperlink"/>
                  <w:rFonts w:cs="Times New Roman"/>
                  <w:bCs/>
                  <w:sz w:val="18"/>
                  <w:szCs w:val="20"/>
                </w:rPr>
                <w:t>3.7 Managing risk</w:t>
              </w:r>
            </w:hyperlink>
          </w:p>
          <w:p w14:paraId="22A15E7F" w14:textId="0FF2DBCD" w:rsidR="008A37A5" w:rsidRPr="0051115B" w:rsidRDefault="008A37A5" w:rsidP="008A37A5">
            <w:pPr>
              <w:spacing w:before="60" w:after="60" w:line="252" w:lineRule="auto"/>
              <w:rPr>
                <w:rFonts w:cs="Times New Roman"/>
                <w:bCs/>
                <w:sz w:val="18"/>
                <w:szCs w:val="20"/>
              </w:rPr>
            </w:pPr>
            <w:hyperlink r:id="rId166" w:anchor="standing-directions-2018" w:history="1">
              <w:r w:rsidRPr="0051115B">
                <w:rPr>
                  <w:rStyle w:val="Hyperlink"/>
                  <w:rFonts w:cs="Times New Roman"/>
                  <w:bCs/>
                  <w:sz w:val="18"/>
                  <w:szCs w:val="20"/>
                </w:rPr>
                <w:t>3.</w:t>
              </w:r>
              <w:r w:rsidR="00D337BE" w:rsidRPr="0051115B">
                <w:rPr>
                  <w:rStyle w:val="Hyperlink"/>
                  <w:rFonts w:cs="Times New Roman"/>
                  <w:bCs/>
                  <w:sz w:val="18"/>
                  <w:szCs w:val="20"/>
                </w:rPr>
                <w:t>9</w:t>
              </w:r>
              <w:r w:rsidRPr="0051115B">
                <w:rPr>
                  <w:rStyle w:val="Hyperlink"/>
                  <w:rFonts w:cs="Times New Roman"/>
                  <w:bCs/>
                  <w:sz w:val="18"/>
                  <w:szCs w:val="20"/>
                </w:rPr>
                <w:t xml:space="preserve"> Managing </w:t>
              </w:r>
              <w:r w:rsidR="00D337BE" w:rsidRPr="0051115B">
                <w:rPr>
                  <w:rStyle w:val="Hyperlink"/>
                  <w:rFonts w:cs="Times New Roman"/>
                  <w:bCs/>
                  <w:sz w:val="18"/>
                  <w:szCs w:val="20"/>
                </w:rPr>
                <w:t xml:space="preserve">financial </w:t>
              </w:r>
              <w:r w:rsidRPr="0051115B">
                <w:rPr>
                  <w:rStyle w:val="Hyperlink"/>
                  <w:rFonts w:cs="Times New Roman"/>
                  <w:bCs/>
                  <w:sz w:val="18"/>
                  <w:szCs w:val="20"/>
                </w:rPr>
                <w:t>information</w:t>
              </w:r>
            </w:hyperlink>
          </w:p>
          <w:p w14:paraId="23B2F266" w14:textId="2FCA61B3" w:rsidR="008A37A5" w:rsidRPr="0051115B" w:rsidRDefault="008A37A5" w:rsidP="008A37A5">
            <w:pPr>
              <w:spacing w:before="60" w:after="60" w:line="252" w:lineRule="auto"/>
              <w:rPr>
                <w:rFonts w:cs="Times New Roman"/>
                <w:bCs/>
                <w:sz w:val="18"/>
                <w:szCs w:val="20"/>
              </w:rPr>
            </w:pPr>
            <w:hyperlink r:id="rId167" w:anchor="standing-directions-2018" w:history="1">
              <w:r w:rsidRPr="0051115B">
                <w:rPr>
                  <w:rStyle w:val="Hyperlink"/>
                  <w:rFonts w:cs="Times New Roman"/>
                  <w:bCs/>
                  <w:sz w:val="18"/>
                  <w:szCs w:val="20"/>
                </w:rPr>
                <w:t>4.2 Using and managing public resources</w:t>
              </w:r>
            </w:hyperlink>
          </w:p>
          <w:p w14:paraId="2309F8BD" w14:textId="0BF673FE" w:rsidR="008A37A5" w:rsidRPr="008A37A5" w:rsidRDefault="008A37A5" w:rsidP="00D337BE">
            <w:pPr>
              <w:spacing w:before="60" w:after="60" w:line="252" w:lineRule="auto"/>
              <w:rPr>
                <w:rFonts w:cs="Times New Roman"/>
                <w:bCs/>
                <w:sz w:val="18"/>
                <w:szCs w:val="20"/>
              </w:rPr>
            </w:pPr>
            <w:hyperlink r:id="rId168" w:anchor="standing-directions-2018" w:history="1">
              <w:r w:rsidRPr="0051115B">
                <w:rPr>
                  <w:rStyle w:val="Hyperlink"/>
                  <w:rFonts w:cs="Times New Roman"/>
                  <w:bCs/>
                  <w:sz w:val="18"/>
                  <w:szCs w:val="20"/>
                </w:rPr>
                <w:t>5.</w:t>
              </w:r>
              <w:r w:rsidR="00D15292" w:rsidRPr="0051115B">
                <w:rPr>
                  <w:rStyle w:val="Hyperlink"/>
                  <w:rFonts w:cs="Times New Roman"/>
                  <w:bCs/>
                  <w:sz w:val="18"/>
                  <w:szCs w:val="20"/>
                </w:rPr>
                <w:t>3</w:t>
              </w:r>
              <w:r w:rsidRPr="0051115B">
                <w:rPr>
                  <w:rStyle w:val="Hyperlink"/>
                  <w:rFonts w:cs="Times New Roman"/>
                  <w:bCs/>
                  <w:sz w:val="18"/>
                  <w:szCs w:val="20"/>
                </w:rPr>
                <w:t xml:space="preserve"> External reporting and information provision</w:t>
              </w:r>
            </w:hyperlink>
            <w:r w:rsidRPr="008A37A5" w:rsidDel="00A13591">
              <w:rPr>
                <w:rFonts w:cs="Times New Roman"/>
                <w:bCs/>
                <w:sz w:val="18"/>
                <w:szCs w:val="20"/>
              </w:rPr>
              <w:t xml:space="preserve"> </w:t>
            </w:r>
          </w:p>
        </w:tc>
      </w:tr>
      <w:tr w:rsidR="008A37A5" w:rsidRPr="008A37A5" w14:paraId="56D6AA78"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C1B7915" w14:textId="77777777" w:rsidR="008A37A5" w:rsidRPr="008A37A5" w:rsidRDefault="008A37A5" w:rsidP="008A37A5">
            <w:pPr>
              <w:spacing w:before="60" w:after="60" w:line="252" w:lineRule="auto"/>
              <w:rPr>
                <w:rFonts w:cs="Times New Roman"/>
                <w:b/>
                <w:bCs w:val="0"/>
                <w:sz w:val="18"/>
                <w:szCs w:val="20"/>
              </w:rPr>
            </w:pPr>
            <w:r w:rsidRPr="008A37A5">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45011D87" w14:textId="581A792C" w:rsidR="008A37A5" w:rsidRPr="008A37A5" w:rsidRDefault="00515507" w:rsidP="008A37A5">
            <w:pPr>
              <w:spacing w:before="60" w:after="60" w:line="252" w:lineRule="auto"/>
              <w:rPr>
                <w:rFonts w:cs="Times New Roman"/>
                <w:bCs/>
                <w:sz w:val="18"/>
                <w:szCs w:val="20"/>
              </w:rPr>
            </w:pPr>
            <w:r>
              <w:rPr>
                <w:rFonts w:cs="Times New Roman"/>
                <w:bCs/>
                <w:sz w:val="18"/>
                <w:szCs w:val="20"/>
              </w:rPr>
              <w:t>1 May 2019</w:t>
            </w:r>
          </w:p>
        </w:tc>
      </w:tr>
    </w:tbl>
    <w:p w14:paraId="0456A30D" w14:textId="77777777" w:rsidR="008A37A5" w:rsidRPr="008A37A5" w:rsidRDefault="008A37A5" w:rsidP="008E306C">
      <w:pPr>
        <w:spacing w:before="0" w:after="0" w:line="120" w:lineRule="atLeast"/>
        <w:ind w:left="231"/>
        <w:rPr>
          <w:sz w:val="12"/>
        </w:rPr>
      </w:pPr>
    </w:p>
    <w:p w14:paraId="0AB9DAF4" w14:textId="77777777" w:rsidR="008A37A5" w:rsidRPr="008A37A5" w:rsidRDefault="008A37A5" w:rsidP="00D94C7A">
      <w:pPr>
        <w:pStyle w:val="Heading1NoNum"/>
      </w:pPr>
      <w:r w:rsidRPr="008A37A5">
        <w:t>Internal control system</w:t>
      </w:r>
    </w:p>
    <w:p w14:paraId="17118315" w14:textId="77777777" w:rsidR="008A37A5" w:rsidRPr="008A37A5" w:rsidRDefault="008A37A5" w:rsidP="008E306C">
      <w:r w:rsidRPr="008A37A5">
        <w:t>An internal control system is a range of processes established by an Agency’s Responsible Body, management, and other personnel, to provide reasonable assurance regarding:</w:t>
      </w:r>
    </w:p>
    <w:p w14:paraId="15DE7833" w14:textId="77777777" w:rsidR="008A37A5" w:rsidRPr="00BA73DB" w:rsidRDefault="008A37A5" w:rsidP="00847B21">
      <w:pPr>
        <w:pStyle w:val="Bullet1"/>
        <w:ind w:left="284" w:hanging="284"/>
      </w:pPr>
      <w:r w:rsidRPr="008A37A5">
        <w:t xml:space="preserve">effectiveness and efficiency of operations, including financial and operational performance goals and safeguarding assets </w:t>
      </w:r>
      <w:r w:rsidRPr="00BA73DB">
        <w:t>against loss;</w:t>
      </w:r>
    </w:p>
    <w:p w14:paraId="12B5FF84" w14:textId="77777777" w:rsidR="008A37A5" w:rsidRPr="00BA73DB" w:rsidRDefault="008A37A5" w:rsidP="00847B21">
      <w:pPr>
        <w:pStyle w:val="Bullet1"/>
        <w:ind w:left="284" w:hanging="284"/>
      </w:pPr>
      <w:r w:rsidRPr="00BA73DB">
        <w:t>reliability of reporting, including internal and external financial and non</w:t>
      </w:r>
      <w:r w:rsidR="00D62B6D">
        <w:noBreakHyphen/>
      </w:r>
      <w:r w:rsidRPr="00BA73DB">
        <w:t>financial reporting; and</w:t>
      </w:r>
    </w:p>
    <w:p w14:paraId="6B182D43" w14:textId="77777777" w:rsidR="008A37A5" w:rsidRPr="00BA73DB" w:rsidRDefault="008A37A5" w:rsidP="00847B21">
      <w:pPr>
        <w:pStyle w:val="Bullet1"/>
        <w:ind w:left="284" w:hanging="284"/>
      </w:pPr>
      <w:r w:rsidRPr="00BA73DB">
        <w:t>compliance with applicable law</w:t>
      </w:r>
      <w:r w:rsidR="006F0D5C">
        <w:t>s and regulations to which the A</w:t>
      </w:r>
      <w:r w:rsidRPr="00BA73DB">
        <w:t xml:space="preserve">gency is subject. </w:t>
      </w:r>
    </w:p>
    <w:p w14:paraId="198D5A07" w14:textId="77777777" w:rsidR="008A37A5" w:rsidRPr="008A37A5" w:rsidRDefault="008A37A5" w:rsidP="008E306C">
      <w:r w:rsidRPr="008A37A5">
        <w:t>An Agency’s internal control system should clearly articulate expectations and internal accountabilities for the management of the Agency’s activities and key risks.</w:t>
      </w:r>
    </w:p>
    <w:p w14:paraId="5EC38D97" w14:textId="77777777" w:rsidR="008A37A5" w:rsidRPr="008A37A5" w:rsidRDefault="008A37A5" w:rsidP="00D94C7A">
      <w:pPr>
        <w:pStyle w:val="Heading1NoNum"/>
      </w:pPr>
      <w:r w:rsidRPr="008A37A5">
        <w:t>COSO Framework</w:t>
      </w:r>
    </w:p>
    <w:p w14:paraId="0F1BCBE6" w14:textId="73C44378" w:rsidR="008A37A5" w:rsidRPr="008A37A5" w:rsidRDefault="00AB7771" w:rsidP="008E306C">
      <w:r>
        <w:t xml:space="preserve">The </w:t>
      </w:r>
      <w:r w:rsidRPr="00AB7771">
        <w:t xml:space="preserve">Committee of Sponsoring Organisations of the Treadway Commission </w:t>
      </w:r>
      <w:r>
        <w:t>(</w:t>
      </w:r>
      <w:r w:rsidR="008A37A5" w:rsidRPr="008A37A5">
        <w:t>COSO</w:t>
      </w:r>
      <w:r>
        <w:t>)</w:t>
      </w:r>
      <w:r w:rsidR="008A37A5" w:rsidRPr="008A37A5">
        <w:t xml:space="preserve"> </w:t>
      </w:r>
      <w:hyperlink r:id="rId169" w:history="1">
        <w:r w:rsidR="008A37A5" w:rsidRPr="00E73847">
          <w:rPr>
            <w:rStyle w:val="Hyperlink"/>
            <w:i/>
          </w:rPr>
          <w:t>Internal Control – Integrated Framework</w:t>
        </w:r>
      </w:hyperlink>
      <w:r w:rsidR="008A37A5" w:rsidRPr="008A37A5">
        <w:t xml:space="preserve"> </w:t>
      </w:r>
      <w:r w:rsidR="006A0869">
        <w:rPr>
          <w:rStyle w:val="FootnoteReference"/>
        </w:rPr>
        <w:footnoteReference w:id="40"/>
      </w:r>
      <w:r w:rsidR="006A0869">
        <w:t xml:space="preserve"> </w:t>
      </w:r>
      <w:r w:rsidR="008A37A5" w:rsidRPr="008A37A5">
        <w:t xml:space="preserve">provides approaches and examples of how Agencies can apply key principles in designing, implementing, or conducting control over the Agency’s operations. </w:t>
      </w:r>
    </w:p>
    <w:p w14:paraId="3869FB90" w14:textId="77777777" w:rsidR="008A37A5" w:rsidRPr="008A37A5" w:rsidRDefault="008A37A5" w:rsidP="008E306C">
      <w:r w:rsidRPr="008A37A5">
        <w:t>The framework sets out five components of internal control. It also sets out seventeen principles representing the fundamental concepts associated with each component. The principles ca</w:t>
      </w:r>
      <w:r w:rsidR="006F0D5C">
        <w:t>n apply to any size or type of A</w:t>
      </w:r>
      <w:r w:rsidRPr="008A37A5">
        <w:t>gency. However, the extent to which these principles are implemented by Agencies may vary depending on risk profile and complexity of operations. For example, government Departments and Agencies with more complex risk profiles and operations may include additional principles (such as Prudential Requirements and Insurance Requirements for Public Finance Corporations). Application of the principles will also evolve as circumstances change over time.</w:t>
      </w:r>
    </w:p>
    <w:p w14:paraId="54E4A851" w14:textId="77777777" w:rsidR="008A37A5" w:rsidRPr="008A37A5" w:rsidRDefault="008A37A5" w:rsidP="008E306C">
      <w:r w:rsidRPr="008A37A5">
        <w:t>The five components of the COSO Framework and associated principles are described below.</w:t>
      </w:r>
    </w:p>
    <w:p w14:paraId="776E5D33" w14:textId="77777777" w:rsidR="008A37A5" w:rsidRPr="008A37A5" w:rsidRDefault="008A37A5" w:rsidP="00FC17D9">
      <w:pPr>
        <w:pStyle w:val="Heading2NoNum"/>
      </w:pPr>
      <w:r w:rsidRPr="008A37A5">
        <w:t>Control environment</w:t>
      </w:r>
    </w:p>
    <w:p w14:paraId="5FFA7393" w14:textId="77777777" w:rsidR="008A37A5" w:rsidRPr="008A37A5" w:rsidRDefault="008A37A5" w:rsidP="008E306C">
      <w:r w:rsidRPr="008A37A5">
        <w:t>The control environment is the foundation for all other components of internal control. The Accountable Officer and senior management should set the tone for the organisation in relation to the importance of internal control and expected standards of conduct. The control environment provides discipline, process and structure.</w:t>
      </w:r>
    </w:p>
    <w:p w14:paraId="2630A698" w14:textId="71740248" w:rsidR="008A37A5" w:rsidRPr="008A37A5" w:rsidRDefault="008A37A5" w:rsidP="009E364A">
      <w:pPr>
        <w:keepNext/>
      </w:pPr>
      <w:r w:rsidRPr="008A37A5">
        <w:lastRenderedPageBreak/>
        <w:t>The five principles relating to the control environment are:</w:t>
      </w:r>
    </w:p>
    <w:p w14:paraId="3373E70B" w14:textId="77777777" w:rsidR="008A37A5" w:rsidRPr="00BA73DB" w:rsidRDefault="008A37A5" w:rsidP="009E364A">
      <w:pPr>
        <w:pStyle w:val="Bullet1"/>
        <w:keepNext/>
        <w:ind w:left="284" w:hanging="284"/>
      </w:pPr>
      <w:r w:rsidRPr="00BA73DB">
        <w:t>the Agency demonstrates a commitment to integrity and ethical values;</w:t>
      </w:r>
    </w:p>
    <w:p w14:paraId="007351F7" w14:textId="77777777" w:rsidR="008A37A5" w:rsidRPr="00BA73DB" w:rsidRDefault="008A37A5" w:rsidP="00847B21">
      <w:pPr>
        <w:pStyle w:val="Bullet1"/>
        <w:ind w:left="284" w:hanging="284"/>
      </w:pPr>
      <w:r w:rsidRPr="00BA73DB">
        <w:t>the Responsible Body demonstrates independence of management and exercises oversight for the development and performance of internal control;</w:t>
      </w:r>
    </w:p>
    <w:p w14:paraId="631C1059" w14:textId="77777777" w:rsidR="008A37A5" w:rsidRPr="00BA73DB" w:rsidRDefault="008A37A5" w:rsidP="00847B21">
      <w:pPr>
        <w:pStyle w:val="Bullet1"/>
        <w:ind w:left="284" w:hanging="284"/>
      </w:pPr>
      <w:r w:rsidRPr="00BA73DB">
        <w:t>the Responsible Body establishes structures, reporting lines and appropriate authorities and responsibilities in the pursuit of objectives;</w:t>
      </w:r>
    </w:p>
    <w:p w14:paraId="46AC1933" w14:textId="77777777" w:rsidR="008A37A5" w:rsidRPr="00BA73DB" w:rsidRDefault="008A37A5" w:rsidP="00847B21">
      <w:pPr>
        <w:pStyle w:val="Bullet1"/>
        <w:ind w:left="284" w:hanging="284"/>
      </w:pPr>
      <w:r w:rsidRPr="00BA73DB">
        <w:t>the Agency demonstrates a commitment to attract, develop and retain competent individuals in alignment with objectives; and</w:t>
      </w:r>
    </w:p>
    <w:p w14:paraId="534F89ED" w14:textId="77777777" w:rsidR="008A37A5" w:rsidRPr="00BA73DB" w:rsidRDefault="008A37A5" w:rsidP="00847B21">
      <w:pPr>
        <w:pStyle w:val="Bullet1"/>
        <w:ind w:left="284" w:hanging="284"/>
      </w:pPr>
      <w:r w:rsidRPr="00BA73DB">
        <w:t>the Agency holds individuals accountable for their internal control responsibilities in the pursuit of objectives.</w:t>
      </w:r>
    </w:p>
    <w:p w14:paraId="2D6B1F1E" w14:textId="77777777" w:rsidR="008A37A5" w:rsidRPr="008A37A5" w:rsidRDefault="008A37A5" w:rsidP="00FC17D9">
      <w:pPr>
        <w:pStyle w:val="Heading2NoNum"/>
      </w:pPr>
      <w:r w:rsidRPr="008A37A5">
        <w:t xml:space="preserve">Risk assessment </w:t>
      </w:r>
    </w:p>
    <w:p w14:paraId="01958976" w14:textId="3731B745" w:rsidR="008A37A5" w:rsidRPr="008A37A5" w:rsidRDefault="008A37A5" w:rsidP="008E306C">
      <w:r w:rsidRPr="008A37A5">
        <w:t xml:space="preserve">Risk assessment involves a dynamic and iterative process for identifying and analysing risks to achieving the Agency’s objectives and forming a basis for determining how risks should be managed. Management should consider possible changes in the external environment and within its own business model that may impede its ability to achieve its </w:t>
      </w:r>
      <w:r w:rsidRPr="00E862D1">
        <w:t xml:space="preserve">objectives. See </w:t>
      </w:r>
      <w:hyperlink r:id="rId170" w:anchor="standing-directions-2018" w:history="1">
        <w:r w:rsidRPr="0051115B">
          <w:rPr>
            <w:rStyle w:val="Hyperlink"/>
          </w:rPr>
          <w:t>Direction 3.7.1</w:t>
        </w:r>
      </w:hyperlink>
      <w:r w:rsidRPr="00E862D1">
        <w:t xml:space="preserve"> for specific requirements in </w:t>
      </w:r>
      <w:r w:rsidR="00257E27" w:rsidRPr="00E862D1">
        <w:t>the VPS</w:t>
      </w:r>
      <w:r w:rsidRPr="00E862D1">
        <w:t>.</w:t>
      </w:r>
    </w:p>
    <w:p w14:paraId="60C712E3" w14:textId="77777777" w:rsidR="008A37A5" w:rsidRPr="008A37A5" w:rsidRDefault="008A37A5" w:rsidP="008E306C">
      <w:r w:rsidRPr="008A37A5">
        <w:t>The four principles relating to risk assessment are:</w:t>
      </w:r>
    </w:p>
    <w:p w14:paraId="502C6FF2" w14:textId="77777777" w:rsidR="008A37A5" w:rsidRPr="008A37A5" w:rsidRDefault="008A37A5" w:rsidP="00847B21">
      <w:pPr>
        <w:pStyle w:val="Bullet1"/>
        <w:ind w:left="284" w:hanging="284"/>
      </w:pPr>
      <w:r w:rsidRPr="008A37A5">
        <w:t>the Agency specifies objectives with sufficient clarity to enable the identification and assessment of risks relating to objectives;</w:t>
      </w:r>
    </w:p>
    <w:p w14:paraId="53CF8848" w14:textId="77777777" w:rsidR="008A37A5" w:rsidRPr="008A37A5" w:rsidRDefault="008A37A5" w:rsidP="00847B21">
      <w:pPr>
        <w:pStyle w:val="Bullet1"/>
        <w:ind w:left="284" w:hanging="284"/>
      </w:pPr>
      <w:r w:rsidRPr="008A37A5">
        <w:t>the Agency identifies risks to the achievemen</w:t>
      </w:r>
      <w:r w:rsidR="006F0D5C">
        <w:t>t of its objectives across the A</w:t>
      </w:r>
      <w:r w:rsidRPr="008A37A5">
        <w:t>gency and analyses risks as a basis for determining how the risks should be managed;</w:t>
      </w:r>
    </w:p>
    <w:p w14:paraId="5BAC052D" w14:textId="77777777" w:rsidR="008A37A5" w:rsidRPr="008A37A5" w:rsidRDefault="008A37A5" w:rsidP="00847B21">
      <w:pPr>
        <w:pStyle w:val="Bullet1"/>
        <w:ind w:left="284" w:hanging="284"/>
      </w:pPr>
      <w:r w:rsidRPr="008A37A5">
        <w:t>the Agency considers the potential for fraud in assessing risks to the achievement of objectives; and</w:t>
      </w:r>
    </w:p>
    <w:p w14:paraId="714F7313" w14:textId="77777777" w:rsidR="008A37A5" w:rsidRPr="008A37A5" w:rsidRDefault="008A37A5" w:rsidP="00847B21">
      <w:pPr>
        <w:pStyle w:val="Bullet1"/>
        <w:ind w:left="284" w:hanging="284"/>
      </w:pPr>
      <w:r w:rsidRPr="008A37A5">
        <w:t xml:space="preserve">the Agency identifies and assesses changes that could significantly impact the system of internal control. </w:t>
      </w:r>
    </w:p>
    <w:p w14:paraId="0FFE970B" w14:textId="77777777" w:rsidR="008A37A5" w:rsidRPr="008A37A5" w:rsidRDefault="008A37A5" w:rsidP="00FC17D9">
      <w:pPr>
        <w:pStyle w:val="Heading2NoNum"/>
      </w:pPr>
      <w:r w:rsidRPr="008A37A5">
        <w:t>Control activities</w:t>
      </w:r>
    </w:p>
    <w:p w14:paraId="34F52D48" w14:textId="77777777" w:rsidR="008A37A5" w:rsidRPr="008A37A5" w:rsidRDefault="008A37A5" w:rsidP="008E306C">
      <w:r w:rsidRPr="008A37A5">
        <w:t>Control activities are the actions established by policies and procedures to help ensure management’s directives to mitigate risks are carried out. Control activities are performed at all levels of the Agency and at various stages in business processes, and over the technology environment.</w:t>
      </w:r>
    </w:p>
    <w:p w14:paraId="3CD6E40B" w14:textId="77777777" w:rsidR="008A37A5" w:rsidRPr="008A37A5" w:rsidRDefault="008A37A5" w:rsidP="008E306C">
      <w:r w:rsidRPr="008A37A5">
        <w:t>The three principles relating to the control activities are:</w:t>
      </w:r>
    </w:p>
    <w:p w14:paraId="1AF75F60" w14:textId="77777777" w:rsidR="008A37A5" w:rsidRPr="00BA73DB" w:rsidRDefault="008A37A5" w:rsidP="00847B21">
      <w:pPr>
        <w:pStyle w:val="Bullet1"/>
        <w:ind w:left="284" w:hanging="284"/>
      </w:pPr>
      <w:r w:rsidRPr="00BA73DB">
        <w:t>the Agency selects and develops control activities that contribute to the mitigation of risks to the achievement of objectives to acceptable levels;</w:t>
      </w:r>
    </w:p>
    <w:p w14:paraId="1F12B680" w14:textId="77777777" w:rsidR="008A37A5" w:rsidRPr="00BA73DB" w:rsidRDefault="008A37A5" w:rsidP="00847B21">
      <w:pPr>
        <w:pStyle w:val="Bullet1"/>
        <w:ind w:left="284" w:hanging="284"/>
      </w:pPr>
      <w:r w:rsidRPr="00BA73DB">
        <w:t>the Agency selects and develops general control activities over technology to support the achievement of objectives;</w:t>
      </w:r>
      <w:r w:rsidR="00E73847">
        <w:t xml:space="preserve"> and</w:t>
      </w:r>
    </w:p>
    <w:p w14:paraId="2BF01110" w14:textId="77777777" w:rsidR="008A37A5" w:rsidRPr="00BA73DB" w:rsidRDefault="008A37A5" w:rsidP="00847B21">
      <w:pPr>
        <w:pStyle w:val="Bullet1"/>
        <w:ind w:left="284" w:hanging="284"/>
      </w:pPr>
      <w:r w:rsidRPr="00BA73DB">
        <w:t>the Agency deploys control activities as manifested in policies that establish what is expected and in relevant procedures to affect the policies.</w:t>
      </w:r>
    </w:p>
    <w:p w14:paraId="33CB4E02" w14:textId="77777777" w:rsidR="008A37A5" w:rsidRPr="008A37A5" w:rsidRDefault="008A37A5" w:rsidP="00FC17D9">
      <w:pPr>
        <w:pStyle w:val="Heading2NoNum"/>
      </w:pPr>
      <w:r w:rsidRPr="008A37A5">
        <w:t>Information and communication</w:t>
      </w:r>
    </w:p>
    <w:p w14:paraId="197C693D" w14:textId="57A353D7" w:rsidR="008A37A5" w:rsidRPr="008A37A5" w:rsidRDefault="008A37A5" w:rsidP="008E306C">
      <w:r w:rsidRPr="008A37A5">
        <w:t>Sharing information is necessary to achieve organisational objectives. Communication occurs both internally and externally and provides the Agency with the information needed to carry out day</w:t>
      </w:r>
      <w:r w:rsidR="00D62B6D">
        <w:noBreakHyphen/>
      </w:r>
      <w:r w:rsidRPr="008A37A5">
        <w:t>to</w:t>
      </w:r>
      <w:r w:rsidR="00D62B6D">
        <w:noBreakHyphen/>
      </w:r>
      <w:r w:rsidRPr="008A37A5">
        <w:t xml:space="preserve">day internal control activities. Communication enables all personnel to understand responsibilities in relation to internal controls and their importance in achieving objectives. See </w:t>
      </w:r>
      <w:hyperlink r:id="rId171" w:anchor="standing-directions-2018" w:history="1">
        <w:r w:rsidRPr="0051115B">
          <w:rPr>
            <w:rStyle w:val="Hyperlink"/>
          </w:rPr>
          <w:t>Direction 3.</w:t>
        </w:r>
        <w:r w:rsidR="00C01D67" w:rsidRPr="0051115B">
          <w:rPr>
            <w:rStyle w:val="Hyperlink"/>
          </w:rPr>
          <w:t>9</w:t>
        </w:r>
      </w:hyperlink>
      <w:r w:rsidR="00C01D67">
        <w:t xml:space="preserve"> </w:t>
      </w:r>
      <w:r w:rsidRPr="008A37A5">
        <w:t xml:space="preserve">for specific requirements in </w:t>
      </w:r>
      <w:r w:rsidR="00257E27">
        <w:t>the VPS</w:t>
      </w:r>
      <w:r w:rsidRPr="008A37A5">
        <w:t>.</w:t>
      </w:r>
    </w:p>
    <w:p w14:paraId="62C1AFEE" w14:textId="77777777" w:rsidR="008A37A5" w:rsidRPr="008A37A5" w:rsidRDefault="008A37A5" w:rsidP="008E306C">
      <w:r w:rsidRPr="008A37A5">
        <w:t xml:space="preserve">The three principles relating to </w:t>
      </w:r>
      <w:r w:rsidR="00257E27">
        <w:t>i</w:t>
      </w:r>
      <w:r w:rsidRPr="008A37A5">
        <w:t xml:space="preserve">nformation and </w:t>
      </w:r>
      <w:r w:rsidR="00257E27">
        <w:t>c</w:t>
      </w:r>
      <w:r w:rsidRPr="008A37A5">
        <w:t>ommunication are:</w:t>
      </w:r>
    </w:p>
    <w:p w14:paraId="3B871E1E" w14:textId="77777777" w:rsidR="008A37A5" w:rsidRPr="008A37A5" w:rsidRDefault="008A37A5" w:rsidP="00C20E84">
      <w:pPr>
        <w:pStyle w:val="Bullet1"/>
        <w:ind w:left="284" w:hanging="284"/>
      </w:pPr>
      <w:r w:rsidRPr="008A37A5">
        <w:t>the Agency obtains or generates and uses relevant, quality information to support the functioning of other components of internal control;</w:t>
      </w:r>
    </w:p>
    <w:p w14:paraId="499B4AE0" w14:textId="77777777" w:rsidR="008A37A5" w:rsidRPr="008A37A5" w:rsidRDefault="008A37A5" w:rsidP="00C20E84">
      <w:pPr>
        <w:pStyle w:val="Bullet1"/>
        <w:ind w:left="284" w:hanging="284"/>
      </w:pPr>
      <w:r w:rsidRPr="008A37A5">
        <w:t xml:space="preserve">the Agency internally communicates information, including objectives and responsibilities for internal control necessary to support the functioning of other components of internal control; and </w:t>
      </w:r>
    </w:p>
    <w:p w14:paraId="65945561" w14:textId="77777777" w:rsidR="008A37A5" w:rsidRPr="008A37A5" w:rsidRDefault="008A37A5" w:rsidP="00C20E84">
      <w:pPr>
        <w:pStyle w:val="Bullet1"/>
        <w:ind w:left="284" w:hanging="284"/>
      </w:pPr>
      <w:r w:rsidRPr="008A37A5">
        <w:t xml:space="preserve">the Agency communicates with external parties regarding matters affecting the functioning of the components of internal control. </w:t>
      </w:r>
    </w:p>
    <w:p w14:paraId="069C5A8F" w14:textId="77777777" w:rsidR="008A37A5" w:rsidRPr="008A37A5" w:rsidRDefault="008A37A5" w:rsidP="00FC17D9">
      <w:pPr>
        <w:pStyle w:val="Heading2NoNum"/>
      </w:pPr>
      <w:r w:rsidRPr="008A37A5">
        <w:lastRenderedPageBreak/>
        <w:t>Monitoring activities</w:t>
      </w:r>
    </w:p>
    <w:p w14:paraId="374ADE24" w14:textId="77777777" w:rsidR="008A37A5" w:rsidRPr="008A37A5" w:rsidRDefault="008A37A5" w:rsidP="008E306C">
      <w:r w:rsidRPr="008A37A5">
        <w:t>Ongoing evaluations, one</w:t>
      </w:r>
      <w:r w:rsidR="00D62B6D">
        <w:noBreakHyphen/>
      </w:r>
      <w:r w:rsidRPr="008A37A5">
        <w:t xml:space="preserve">off evaluations, or some combination of the two are used to ascertain whether each of the five components of internal control, including controls to </w:t>
      </w:r>
      <w:r w:rsidR="00C96702" w:rsidRPr="008A37A5">
        <w:t>affect</w:t>
      </w:r>
      <w:r w:rsidRPr="008A37A5">
        <w:t xml:space="preserve"> the principles within each component, are functioning effectively. Findings are evaluated and deficiencies are communicated in a timely manner, with serious matters reported to senior management and to the Responsible Body. </w:t>
      </w:r>
    </w:p>
    <w:p w14:paraId="4E38DBC6" w14:textId="77777777" w:rsidR="008A37A5" w:rsidRPr="008A37A5" w:rsidRDefault="008A37A5" w:rsidP="008E306C">
      <w:r w:rsidRPr="008A37A5">
        <w:t>The two principles relating to monitoring activities are:</w:t>
      </w:r>
    </w:p>
    <w:p w14:paraId="76542CD1" w14:textId="77777777" w:rsidR="008A37A5" w:rsidRPr="00BA73DB" w:rsidRDefault="008A37A5" w:rsidP="00C20E84">
      <w:pPr>
        <w:pStyle w:val="Bullet1"/>
        <w:ind w:left="284" w:hanging="284"/>
      </w:pPr>
      <w:r w:rsidRPr="00BA73DB">
        <w:t>the Agency selects, develops, and performs ongoing and/or separate evaluations to ascertain whether the components of internal control are present and functioning; and</w:t>
      </w:r>
    </w:p>
    <w:p w14:paraId="164851BA" w14:textId="77777777" w:rsidR="008A37A5" w:rsidRPr="008A37A5" w:rsidRDefault="008A37A5" w:rsidP="00C20E84">
      <w:pPr>
        <w:pStyle w:val="Bullet1"/>
        <w:ind w:left="284" w:hanging="284"/>
      </w:pPr>
      <w:r w:rsidRPr="00BA73DB">
        <w:t>the Agency evaluates and communicates internal control deficiencies in a timely manner to those parties responsible for</w:t>
      </w:r>
      <w:r w:rsidRPr="008A37A5">
        <w:t xml:space="preserve"> taking corrective action, including senior management and the Responsible Body, as appropriate. </w:t>
      </w:r>
    </w:p>
    <w:p w14:paraId="6F741386" w14:textId="77777777" w:rsidR="008A37A5" w:rsidRPr="008A37A5" w:rsidRDefault="008A37A5" w:rsidP="00D94C7A">
      <w:pPr>
        <w:pStyle w:val="Heading1NoNum"/>
      </w:pPr>
      <w:r w:rsidRPr="008A37A5">
        <w:t>Policies and procedures</w:t>
      </w:r>
    </w:p>
    <w:p w14:paraId="531DFC68" w14:textId="77777777" w:rsidR="008A37A5" w:rsidRPr="008A37A5" w:rsidRDefault="008A37A5" w:rsidP="008E306C">
      <w:r w:rsidRPr="008A37A5">
        <w:t>In maintaining and implementing policies and procedures, the Accountable Officer may wish to consider:</w:t>
      </w:r>
    </w:p>
    <w:p w14:paraId="4068FE05" w14:textId="77777777" w:rsidR="008A37A5" w:rsidRPr="00BA73DB" w:rsidRDefault="008A37A5" w:rsidP="00C20E84">
      <w:pPr>
        <w:pStyle w:val="Bullet1"/>
        <w:ind w:left="284" w:hanging="284"/>
      </w:pPr>
      <w:r w:rsidRPr="00BA73DB">
        <w:t>defining and documenting roles and responsibilities for positions in the financial management team structure to ensure the most effective and efficient allocation of tasks and resources (prerequisite skills, qualifications and experience for each position should also be defined and documented);</w:t>
      </w:r>
    </w:p>
    <w:p w14:paraId="16E5D04C" w14:textId="77777777" w:rsidR="008A37A5" w:rsidRPr="00BA73DB" w:rsidRDefault="008A37A5" w:rsidP="00C20E84">
      <w:pPr>
        <w:pStyle w:val="Bullet1"/>
        <w:ind w:left="284" w:hanging="284"/>
      </w:pPr>
      <w:r w:rsidRPr="00BA73DB">
        <w:t>implementing procedures relating to the completion, review and monitoring of reconciliations;</w:t>
      </w:r>
    </w:p>
    <w:p w14:paraId="0974BC38" w14:textId="77777777" w:rsidR="008A37A5" w:rsidRPr="00BA73DB" w:rsidRDefault="008A37A5" w:rsidP="00C20E84">
      <w:pPr>
        <w:pStyle w:val="Bullet1"/>
        <w:ind w:left="284" w:hanging="284"/>
      </w:pPr>
      <w:r w:rsidRPr="00BA73DB">
        <w:t>ensuring internal control procedures are not compromised when more than one financial delegation is assigned to a particular position;</w:t>
      </w:r>
    </w:p>
    <w:p w14:paraId="5E656431" w14:textId="77777777" w:rsidR="008A37A5" w:rsidRPr="00BA73DB" w:rsidRDefault="008A37A5" w:rsidP="00C20E84">
      <w:pPr>
        <w:pStyle w:val="Bullet1"/>
        <w:ind w:left="284" w:hanging="284"/>
      </w:pPr>
      <w:r w:rsidRPr="00BA73DB">
        <w:t xml:space="preserve">accessing </w:t>
      </w:r>
      <w:r w:rsidR="0038716D">
        <w:t xml:space="preserve">whether </w:t>
      </w:r>
      <w:r w:rsidRPr="00BA73DB">
        <w:t>financial management systems and data is not commensurate with roles and responsibilities; and</w:t>
      </w:r>
    </w:p>
    <w:p w14:paraId="72C1A050" w14:textId="0AA77237" w:rsidR="008A37A5" w:rsidRPr="00BA73DB" w:rsidRDefault="008A37A5" w:rsidP="00C20E84">
      <w:pPr>
        <w:pStyle w:val="Bullet1"/>
        <w:ind w:left="284" w:hanging="284"/>
      </w:pPr>
      <w:r w:rsidRPr="00BA73DB">
        <w:t xml:space="preserve">reviewing all policies and procedures over a </w:t>
      </w:r>
      <w:r w:rsidR="0038716D">
        <w:t xml:space="preserve">three to </w:t>
      </w:r>
      <w:r w:rsidRPr="00BA73DB">
        <w:t>four</w:t>
      </w:r>
      <w:r w:rsidR="00DB2C10">
        <w:t>-</w:t>
      </w:r>
      <w:r w:rsidRPr="00BA73DB">
        <w:t>year period.</w:t>
      </w:r>
    </w:p>
    <w:p w14:paraId="09300837" w14:textId="77777777" w:rsidR="008A37A5" w:rsidRPr="00BA73DB" w:rsidRDefault="008A37A5" w:rsidP="00CA6CEE">
      <w:pPr>
        <w:pStyle w:val="GuidanceBullet1"/>
      </w:pPr>
      <w:r w:rsidRPr="00BA73DB">
        <w:t>The following circumstances could trigger a review of policies and procedures to ensure they are in line with requirements and the Agency’s direction:</w:t>
      </w:r>
    </w:p>
    <w:p w14:paraId="12B7CFDE" w14:textId="77777777" w:rsidR="008A37A5" w:rsidRPr="00BA73DB" w:rsidRDefault="008A37A5" w:rsidP="00C20E84">
      <w:pPr>
        <w:pStyle w:val="Bullet1"/>
        <w:ind w:left="284" w:hanging="284"/>
      </w:pPr>
      <w:r w:rsidRPr="00BA73DB">
        <w:t xml:space="preserve">significant change in </w:t>
      </w:r>
      <w:r w:rsidR="006F0D5C">
        <w:t>the underlying business of the A</w:t>
      </w:r>
      <w:r w:rsidRPr="00BA73DB">
        <w:t>gency, e.g. organisational restructure, merging or alteration of finance structure, changes to staff numbers or the finance team;</w:t>
      </w:r>
    </w:p>
    <w:p w14:paraId="30AE3FBB" w14:textId="77777777" w:rsidR="008A37A5" w:rsidRPr="00BA73DB" w:rsidRDefault="008A37A5" w:rsidP="00C20E84">
      <w:pPr>
        <w:pStyle w:val="Bullet1"/>
        <w:ind w:left="284" w:hanging="284"/>
      </w:pPr>
      <w:r w:rsidRPr="00BA73DB">
        <w:t xml:space="preserve">legislation or regulation introduction/amendment with financial </w:t>
      </w:r>
      <w:r w:rsidR="0038716D">
        <w:t xml:space="preserve">management </w:t>
      </w:r>
      <w:r w:rsidRPr="00BA73DB">
        <w:t>impact (these changes often impact procedures rather than policies);</w:t>
      </w:r>
    </w:p>
    <w:p w14:paraId="27CFB8BC" w14:textId="77777777" w:rsidR="008A37A5" w:rsidRPr="00BA73DB" w:rsidRDefault="008A37A5" w:rsidP="00C20E84">
      <w:pPr>
        <w:pStyle w:val="Bullet1"/>
        <w:ind w:left="284" w:hanging="284"/>
      </w:pPr>
      <w:r w:rsidRPr="00BA73DB">
        <w:t>new accounting standards or policies;</w:t>
      </w:r>
    </w:p>
    <w:p w14:paraId="66EEC8EE" w14:textId="77777777" w:rsidR="008A37A5" w:rsidRPr="00BA73DB" w:rsidRDefault="008A37A5" w:rsidP="00C20E84">
      <w:pPr>
        <w:pStyle w:val="Bullet1"/>
        <w:ind w:left="284" w:hanging="284"/>
      </w:pPr>
      <w:r w:rsidRPr="00BA73DB">
        <w:t>the benefits of periodic review;</w:t>
      </w:r>
    </w:p>
    <w:p w14:paraId="719F3AFC" w14:textId="77777777" w:rsidR="008A37A5" w:rsidRPr="00BA73DB" w:rsidRDefault="008A37A5" w:rsidP="00C20E84">
      <w:pPr>
        <w:pStyle w:val="Bullet1"/>
        <w:ind w:left="284" w:hanging="284"/>
      </w:pPr>
      <w:r w:rsidRPr="00BA73DB">
        <w:t>whole of government or departmental change to financial management, e.g. implementation of shared services; and</w:t>
      </w:r>
    </w:p>
    <w:p w14:paraId="04A6BE4D" w14:textId="77777777" w:rsidR="008A37A5" w:rsidRPr="00BA73DB" w:rsidRDefault="008A37A5" w:rsidP="00C20E84">
      <w:pPr>
        <w:pStyle w:val="Bullet1"/>
        <w:ind w:left="284" w:hanging="284"/>
      </w:pPr>
      <w:r w:rsidRPr="00BA73DB">
        <w:t>machinery of government changes.</w:t>
      </w:r>
    </w:p>
    <w:p w14:paraId="0ECF6897" w14:textId="77777777" w:rsidR="008A37A5" w:rsidRPr="008A37A5" w:rsidRDefault="008A37A5" w:rsidP="00D94C7A">
      <w:pPr>
        <w:pStyle w:val="Heading1NoNum"/>
      </w:pPr>
      <w:r w:rsidRPr="008A37A5">
        <w:t>Separation of roles (segregation of duties)</w:t>
      </w:r>
    </w:p>
    <w:p w14:paraId="45EC2CAA" w14:textId="77777777" w:rsidR="008A37A5" w:rsidRPr="008A37A5" w:rsidRDefault="008A37A5" w:rsidP="008E306C">
      <w:r w:rsidRPr="008A37A5">
        <w:t>Separation of roles aims to prevent fraud and errors. This objective is achieved by disseminating the tasks and associated privileges for a specific business process among multiple individuals. In the event that this cannot be achieved due to limited resources</w:t>
      </w:r>
      <w:r w:rsidR="0038716D">
        <w:t xml:space="preserve"> or staff</w:t>
      </w:r>
      <w:r w:rsidRPr="008A37A5">
        <w:t>, compensating safeguards are to be established to manage the risks.</w:t>
      </w:r>
    </w:p>
    <w:p w14:paraId="107A5E5C" w14:textId="77777777" w:rsidR="008A37A5" w:rsidRPr="008A37A5" w:rsidRDefault="008A37A5" w:rsidP="008E306C">
      <w:r w:rsidRPr="008A37A5">
        <w:t>Conflicting roles and responsibilities relating to authorisation, record keeping, asset custody and relevant management functions should be identified and appropriately segregated. The Accountable Officer may wish to consider:</w:t>
      </w:r>
    </w:p>
    <w:p w14:paraId="4182B8C7" w14:textId="77777777" w:rsidR="008A37A5" w:rsidRPr="00BA73DB" w:rsidRDefault="008A37A5" w:rsidP="004661D4">
      <w:pPr>
        <w:pStyle w:val="Bullet1"/>
      </w:pPr>
      <w:r w:rsidRPr="00BA73DB">
        <w:t>enhancing the separation of roles by implementing proper controls over access to systems, programs, data, important documents or physical assets (access should be restricted to authorised staff commensurate with the duties assigned to them);</w:t>
      </w:r>
    </w:p>
    <w:p w14:paraId="4EF77D76" w14:textId="77777777" w:rsidR="008A37A5" w:rsidRPr="00BA73DB" w:rsidRDefault="008A37A5" w:rsidP="004661D4">
      <w:pPr>
        <w:pStyle w:val="Bullet1"/>
      </w:pPr>
      <w:r w:rsidRPr="00BA73DB">
        <w:t>ensuring physical controls restrict physical access to negotiable assets such as cash or for items that might easily be converted to cash or personal use;</w:t>
      </w:r>
    </w:p>
    <w:p w14:paraId="0795098A" w14:textId="77777777" w:rsidR="008A37A5" w:rsidRPr="00BA73DB" w:rsidRDefault="008A37A5" w:rsidP="004661D4">
      <w:pPr>
        <w:pStyle w:val="Bullet1"/>
      </w:pPr>
      <w:r w:rsidRPr="00BA73DB">
        <w:t>ensuring controls are documented and subject to periodic review by an independent function (that is, a business unit or person not associated with the internal control); and</w:t>
      </w:r>
    </w:p>
    <w:p w14:paraId="7B9B954C" w14:textId="2AE6887C" w:rsidR="008A37A5" w:rsidRPr="00BA73DB" w:rsidRDefault="008A37A5" w:rsidP="009E364A">
      <w:pPr>
        <w:pStyle w:val="Bullet1"/>
        <w:keepNext/>
      </w:pPr>
      <w:r w:rsidRPr="00BA73DB">
        <w:lastRenderedPageBreak/>
        <w:t>ensuring segregation of duties and restricted access controls are established in light of factors such as:</w:t>
      </w:r>
    </w:p>
    <w:p w14:paraId="1ABB7E38" w14:textId="77777777" w:rsidR="008A37A5" w:rsidRPr="00BA73DB" w:rsidRDefault="008A37A5" w:rsidP="009E364A">
      <w:pPr>
        <w:pStyle w:val="GuidanceBullet2"/>
        <w:keepNext/>
        <w:ind w:left="576" w:hanging="288"/>
        <w:contextualSpacing/>
      </w:pPr>
      <w:r w:rsidRPr="00BA73DB">
        <w:t>volume, complexity and financial significance of different types of transactions;</w:t>
      </w:r>
    </w:p>
    <w:p w14:paraId="25E5FCB1" w14:textId="77777777" w:rsidR="008A37A5" w:rsidRPr="00BA73DB" w:rsidRDefault="008A37A5" w:rsidP="00CA6CEE">
      <w:pPr>
        <w:pStyle w:val="GuidanceBullet2"/>
        <w:ind w:left="576" w:hanging="288"/>
        <w:contextualSpacing/>
      </w:pPr>
      <w:r w:rsidRPr="00BA73DB">
        <w:t>sequence of steps necessary to process transactions;</w:t>
      </w:r>
    </w:p>
    <w:p w14:paraId="031BDDAF" w14:textId="77777777" w:rsidR="008A37A5" w:rsidRPr="00BA73DB" w:rsidRDefault="008A37A5" w:rsidP="00CA6CEE">
      <w:pPr>
        <w:pStyle w:val="GuidanceBullet2"/>
        <w:ind w:left="576" w:hanging="288"/>
        <w:contextualSpacing/>
      </w:pPr>
      <w:r w:rsidRPr="00BA73DB">
        <w:t xml:space="preserve">technology and application system(s) used to process transactions; </w:t>
      </w:r>
    </w:p>
    <w:p w14:paraId="5F142BB5" w14:textId="77777777" w:rsidR="008A37A5" w:rsidRPr="00BA73DB" w:rsidRDefault="008A37A5" w:rsidP="00CA6CEE">
      <w:pPr>
        <w:pStyle w:val="GuidanceBullet2"/>
        <w:ind w:left="576" w:hanging="288"/>
        <w:contextualSpacing/>
      </w:pPr>
      <w:r w:rsidRPr="00BA73DB">
        <w:t xml:space="preserve">opportunities or motives for individuals to commit fraud or perpetuate errors; </w:t>
      </w:r>
    </w:p>
    <w:p w14:paraId="23DDB43F" w14:textId="77777777" w:rsidR="008A37A5" w:rsidRPr="00BA73DB" w:rsidRDefault="008A37A5" w:rsidP="00CA6CEE">
      <w:pPr>
        <w:pStyle w:val="GuidanceBullet2"/>
        <w:ind w:left="576" w:hanging="288"/>
        <w:contextualSpacing/>
      </w:pPr>
      <w:r w:rsidRPr="00BA73DB">
        <w:t>risk of loss or financial misstatement due to errors or fraud; and</w:t>
      </w:r>
    </w:p>
    <w:p w14:paraId="0B58982D" w14:textId="77777777" w:rsidR="008A37A5" w:rsidRPr="00BA73DB" w:rsidRDefault="008A37A5" w:rsidP="00CA6CEE">
      <w:pPr>
        <w:pStyle w:val="GuidanceBullet2"/>
        <w:ind w:left="576" w:hanging="288"/>
        <w:contextualSpacing/>
      </w:pPr>
      <w:r w:rsidRPr="00BA73DB">
        <w:t>existence of alternative or compensating controls.</w:t>
      </w:r>
    </w:p>
    <w:p w14:paraId="60D2AE2B" w14:textId="77777777" w:rsidR="008A37A5" w:rsidRPr="008A37A5" w:rsidRDefault="008A37A5" w:rsidP="00D94C7A">
      <w:pPr>
        <w:pStyle w:val="Heading1NoNum"/>
      </w:pPr>
      <w:r w:rsidRPr="008A37A5">
        <w:t xml:space="preserve">Financial </w:t>
      </w:r>
      <w:r w:rsidR="00431FED">
        <w:t>authorisations</w:t>
      </w:r>
    </w:p>
    <w:p w14:paraId="0D708DD4" w14:textId="77777777" w:rsidR="008A37A5" w:rsidRPr="008A37A5" w:rsidRDefault="008A37A5" w:rsidP="008E306C">
      <w:r w:rsidRPr="008A37A5">
        <w:t xml:space="preserve">The Accountable Officer should establish and maintain financial </w:t>
      </w:r>
      <w:r w:rsidR="00431FED">
        <w:t>authorisations</w:t>
      </w:r>
      <w:r w:rsidR="00D337BE">
        <w:t xml:space="preserve"> </w:t>
      </w:r>
      <w:r w:rsidRPr="008A37A5">
        <w:t>to ensure that the financial obligations are undertaken by delegates with appropriate levels of authority.</w:t>
      </w:r>
    </w:p>
    <w:p w14:paraId="31FDA834" w14:textId="45703887" w:rsidR="008A37A5" w:rsidRPr="008A37A5" w:rsidRDefault="008A37A5" w:rsidP="008E306C">
      <w:hyperlink r:id="rId172" w:anchor="standing-directions-2018" w:history="1">
        <w:r w:rsidRPr="00D4158F">
          <w:rPr>
            <w:rStyle w:val="Hyperlink"/>
          </w:rPr>
          <w:t>Direction </w:t>
        </w:r>
        <w:r w:rsidR="00E862D1" w:rsidRPr="00D4158F">
          <w:rPr>
            <w:rStyle w:val="Hyperlink"/>
          </w:rPr>
          <w:t>3.3</w:t>
        </w:r>
      </w:hyperlink>
      <w:r w:rsidR="00E862D1" w:rsidRPr="00E862D1">
        <w:t xml:space="preserve"> </w:t>
      </w:r>
      <w:r w:rsidRPr="00E862D1">
        <w:t>outlines further requirements, including for financial</w:t>
      </w:r>
      <w:r w:rsidRPr="008A37A5">
        <w:t xml:space="preserve"> </w:t>
      </w:r>
      <w:r w:rsidR="00834A24">
        <w:t>authorisations</w:t>
      </w:r>
      <w:r w:rsidRPr="008A37A5">
        <w:t xml:space="preserve">. The associated guidance material provides details on how to ensure </w:t>
      </w:r>
      <w:r w:rsidR="00CC7A61">
        <w:t>financial authorisations</w:t>
      </w:r>
      <w:r w:rsidRPr="008A37A5">
        <w:t xml:space="preserve"> are properly exercised.</w:t>
      </w:r>
    </w:p>
    <w:p w14:paraId="6B2A907B" w14:textId="77777777" w:rsidR="008A37A5" w:rsidRPr="008A37A5" w:rsidRDefault="008A37A5" w:rsidP="00D94C7A">
      <w:pPr>
        <w:pStyle w:val="Heading1NoNum"/>
      </w:pPr>
      <w:r w:rsidRPr="008A37A5">
        <w:t>Monitoring and assessment activities and control representations</w:t>
      </w:r>
    </w:p>
    <w:p w14:paraId="5AF5A45C" w14:textId="77777777" w:rsidR="008A37A5" w:rsidRPr="008A37A5" w:rsidRDefault="008A37A5" w:rsidP="008E306C">
      <w:r w:rsidRPr="008A37A5">
        <w:t xml:space="preserve">Internal control systems need to be monitored to assess the quality of the system’s performance over time. </w:t>
      </w:r>
    </w:p>
    <w:p w14:paraId="1CAF49FF" w14:textId="77777777" w:rsidR="008A37A5" w:rsidRPr="008A37A5" w:rsidRDefault="008A37A5" w:rsidP="008E306C">
      <w:r w:rsidRPr="008A37A5">
        <w:t>When the Agency determines a deficiency, management should assess the impact of that deficiency on the effectiveness of the Agency’s internal control system. The responsibility of identifying and assessing deficiencies rests with the Agency in the normal course of performing its functions.</w:t>
      </w:r>
    </w:p>
    <w:p w14:paraId="0BB676AF" w14:textId="77777777" w:rsidR="008A37A5" w:rsidRPr="008A37A5" w:rsidRDefault="008A37A5" w:rsidP="008E306C">
      <w:r w:rsidRPr="008A37A5">
        <w:t xml:space="preserve">The controls representation should include: </w:t>
      </w:r>
    </w:p>
    <w:p w14:paraId="71F3D024" w14:textId="77777777" w:rsidR="008A37A5" w:rsidRPr="00CA6CEE" w:rsidRDefault="008A37A5" w:rsidP="00CA6CEE">
      <w:pPr>
        <w:pStyle w:val="GuidanceBullet1"/>
      </w:pPr>
      <w:r w:rsidRPr="00CA6CEE">
        <w:t>the system of internal control across the Agency mitigates risk to an appropriate, acceptable level;</w:t>
      </w:r>
    </w:p>
    <w:p w14:paraId="3184FA9A" w14:textId="77777777" w:rsidR="008A37A5" w:rsidRPr="00CA6CEE" w:rsidRDefault="008A37A5" w:rsidP="00CA6CEE">
      <w:pPr>
        <w:pStyle w:val="GuidanceBullet1"/>
      </w:pPr>
      <w:r w:rsidRPr="00CA6CEE">
        <w:t>the control objectives and performance expectations are communicated to all relevant staff and used to design efficient controls to mitigate identified risks;</w:t>
      </w:r>
    </w:p>
    <w:p w14:paraId="558EB3CB" w14:textId="77777777" w:rsidR="008A37A5" w:rsidRPr="00CA6CEE" w:rsidRDefault="008A37A5" w:rsidP="00CA6CEE">
      <w:pPr>
        <w:pStyle w:val="GuidanceBullet1"/>
      </w:pPr>
      <w:r w:rsidRPr="00CA6CEE">
        <w:t>decisions are made by those authorised to make them;</w:t>
      </w:r>
    </w:p>
    <w:p w14:paraId="5E946862" w14:textId="77777777" w:rsidR="008A37A5" w:rsidRPr="00CA6CEE" w:rsidRDefault="008A37A5" w:rsidP="00CA6CEE">
      <w:pPr>
        <w:pStyle w:val="GuidanceBullet1"/>
      </w:pPr>
      <w:r w:rsidRPr="00CA6CEE">
        <w:t>resources are safeguarded against material loss due to waste, abuse, mismanagement, errors, fraud, omissions and other irregularities;</w:t>
      </w:r>
    </w:p>
    <w:p w14:paraId="7E75582E" w14:textId="77777777" w:rsidR="008A37A5" w:rsidRPr="00CA6CEE" w:rsidRDefault="008A37A5" w:rsidP="00CA6CEE">
      <w:pPr>
        <w:pStyle w:val="GuidanceBullet1"/>
      </w:pPr>
      <w:r w:rsidRPr="00CA6CEE">
        <w:t>relevant laws, regulations, policies, directives and standards regarding financial management and internal controls are adhered to;</w:t>
      </w:r>
    </w:p>
    <w:p w14:paraId="76C4E215" w14:textId="77777777" w:rsidR="008A37A5" w:rsidRPr="00CA6CEE" w:rsidRDefault="008A37A5" w:rsidP="00CA6CEE">
      <w:pPr>
        <w:pStyle w:val="GuidanceBullet1"/>
      </w:pPr>
      <w:r w:rsidRPr="00CA6CEE">
        <w:t>decision</w:t>
      </w:r>
      <w:r w:rsidR="00D62B6D" w:rsidRPr="00CA6CEE">
        <w:noBreakHyphen/>
      </w:r>
      <w:r w:rsidRPr="00CA6CEE">
        <w:t>makers receive relevant, reliable and timely financial and related non</w:t>
      </w:r>
      <w:r w:rsidR="00D62B6D" w:rsidRPr="00CA6CEE">
        <w:noBreakHyphen/>
      </w:r>
      <w:r w:rsidRPr="00CA6CEE">
        <w:t>financial information to monitor performance and effectiveness of the internal control system;</w:t>
      </w:r>
    </w:p>
    <w:p w14:paraId="7A2225C1" w14:textId="77777777" w:rsidR="008A37A5" w:rsidRPr="00CA6CEE" w:rsidRDefault="008A37A5" w:rsidP="00CA6CEE">
      <w:pPr>
        <w:pStyle w:val="GuidanceBullet1"/>
      </w:pPr>
      <w:r w:rsidRPr="00CA6CEE">
        <w:t>appropriate actions are taken to correct suboptimal performance of internal controls; and</w:t>
      </w:r>
    </w:p>
    <w:p w14:paraId="0B0F4D22" w14:textId="77777777" w:rsidR="008A37A5" w:rsidRPr="00BA73DB" w:rsidRDefault="008A37A5" w:rsidP="00CA6CEE">
      <w:pPr>
        <w:pStyle w:val="GuidanceBullet1"/>
      </w:pPr>
      <w:r w:rsidRPr="00CA6CEE">
        <w:t>adequate</w:t>
      </w:r>
      <w:r w:rsidRPr="00BA73DB">
        <w:t xml:space="preserve">, objective and independent assurance has been sought over the design and operational effectiveness of the internal control system, which </w:t>
      </w:r>
      <w:r w:rsidR="00ED45F2">
        <w:t>is generally undertaken by Internal A</w:t>
      </w:r>
      <w:r w:rsidRPr="00BA73DB">
        <w:t xml:space="preserve">udit </w:t>
      </w:r>
      <w:r w:rsidR="00257E27" w:rsidRPr="00BA73DB">
        <w:t xml:space="preserve">and </w:t>
      </w:r>
      <w:r w:rsidR="00ED45F2">
        <w:t>the A</w:t>
      </w:r>
      <w:r w:rsidR="00257E27" w:rsidRPr="00BA73DB">
        <w:t xml:space="preserve">udit </w:t>
      </w:r>
      <w:r w:rsidR="00ED45F2">
        <w:t>C</w:t>
      </w:r>
      <w:r w:rsidRPr="00BA73DB">
        <w:t xml:space="preserve">ommittee. </w:t>
      </w:r>
    </w:p>
    <w:p w14:paraId="650EDA1B" w14:textId="77777777" w:rsidR="008A37A5" w:rsidRPr="008A37A5" w:rsidRDefault="008A37A5" w:rsidP="00D94C7A">
      <w:pPr>
        <w:pStyle w:val="Heading1NoNum"/>
      </w:pPr>
      <w:r w:rsidRPr="008A37A5">
        <w:t xml:space="preserve">Managing revenue </w:t>
      </w:r>
    </w:p>
    <w:p w14:paraId="05D225F6" w14:textId="5ADB7430" w:rsidR="004B03E7" w:rsidRDefault="003A4A3F" w:rsidP="00FC17D9">
      <w:pPr>
        <w:pStyle w:val="Heading2NoNum"/>
      </w:pPr>
      <w:r>
        <w:t>Pricing for Value Guide</w:t>
      </w:r>
    </w:p>
    <w:p w14:paraId="691ADEC4" w14:textId="007F8623" w:rsidR="007A11C1" w:rsidRPr="007A11C1" w:rsidRDefault="007A11C1" w:rsidP="007A11C1">
      <w:pPr>
        <w:rPr>
          <w:lang w:eastAsia="en-US"/>
        </w:rPr>
      </w:pPr>
      <w:r w:rsidRPr="007A11C1">
        <w:rPr>
          <w:lang w:eastAsia="en-US"/>
        </w:rPr>
        <w:t xml:space="preserve">The Directions require Agencies to apply the </w:t>
      </w:r>
      <w:r w:rsidRPr="001051AF">
        <w:rPr>
          <w:i/>
          <w:iCs/>
          <w:lang w:eastAsia="en-US"/>
        </w:rPr>
        <w:t>Pricing for Value Guide</w:t>
      </w:r>
      <w:r w:rsidRPr="007A11C1">
        <w:rPr>
          <w:lang w:eastAsia="en-US"/>
        </w:rPr>
        <w:t xml:space="preserve"> (the Guide) in the setting of fees and charges for government services (including regulatory services).</w:t>
      </w:r>
    </w:p>
    <w:p w14:paraId="3C7D534C" w14:textId="07E3D008" w:rsidR="007A11C1" w:rsidRPr="007A11C1" w:rsidRDefault="007A11C1" w:rsidP="007A11C1">
      <w:pPr>
        <w:rPr>
          <w:lang w:eastAsia="en-US"/>
        </w:rPr>
      </w:pPr>
      <w:r w:rsidRPr="007A11C1">
        <w:rPr>
          <w:lang w:eastAsia="en-US"/>
        </w:rPr>
        <w:t>The guide is intended to improve consistency and capability in price-setting across government. The guide is based on a set of 12 principles and a practical methodology for undertaking pricing reviews, that are aligned with current best practice and provide practical step-by-step guidance for undertaking pricing reviews. Cost recovery remains one principle among a broad range of principles, and cost analysis continues to play a critical role in effective financial management more broadly.</w:t>
      </w:r>
    </w:p>
    <w:p w14:paraId="7CE10A5F" w14:textId="0EC9E80D" w:rsidR="007A11C1" w:rsidRPr="007A11C1" w:rsidRDefault="007A11C1" w:rsidP="007A11C1">
      <w:pPr>
        <w:rPr>
          <w:lang w:eastAsia="en-US"/>
        </w:rPr>
      </w:pPr>
      <w:r w:rsidRPr="007A11C1">
        <w:rPr>
          <w:lang w:eastAsia="en-US"/>
        </w:rPr>
        <w:t>The guide also requires that pricing arrangements be monitored annually and reviewed periodically, and for any proposed new prices or price changes that will have a revenue impact exceeding $500 000 a year (indexed), agencies will require the Treasurer’s approval.</w:t>
      </w:r>
    </w:p>
    <w:p w14:paraId="6057C7B6" w14:textId="69D7660F" w:rsidR="007A11C1" w:rsidRPr="007A11C1" w:rsidRDefault="007A11C1" w:rsidP="007A11C1">
      <w:pPr>
        <w:rPr>
          <w:lang w:eastAsia="en-US"/>
        </w:rPr>
      </w:pPr>
      <w:r w:rsidRPr="007A11C1">
        <w:rPr>
          <w:lang w:eastAsia="en-US"/>
        </w:rPr>
        <w:t xml:space="preserve">Further information about the Guide can be found on the DTF’s website: </w:t>
      </w:r>
      <w:hyperlink r:id="rId173" w:history="1">
        <w:r w:rsidR="00176BC3" w:rsidRPr="005C3C4C">
          <w:rPr>
            <w:rStyle w:val="Hyperlink"/>
          </w:rPr>
          <w:t xml:space="preserve"> </w:t>
        </w:r>
        <w:r w:rsidR="00176BC3" w:rsidRPr="005C3C4C">
          <w:rPr>
            <w:rStyle w:val="Hyperlink"/>
            <w:lang w:eastAsia="en-US"/>
          </w:rPr>
          <w:t>https</w:t>
        </w:r>
        <w:r w:rsidR="00176BC3" w:rsidRPr="005C3C4C">
          <w:rPr>
            <w:rStyle w:val="Hyperlink"/>
            <w:lang w:eastAsia="en-US"/>
          </w:rPr>
          <w:t>://</w:t>
        </w:r>
        <w:r w:rsidR="00176BC3" w:rsidRPr="005C3C4C">
          <w:rPr>
            <w:rStyle w:val="Hyperlink"/>
            <w:lang w:eastAsia="en-US"/>
          </w:rPr>
          <w:t>www.</w:t>
        </w:r>
        <w:r w:rsidR="00176BC3" w:rsidRPr="005C3C4C">
          <w:rPr>
            <w:rStyle w:val="Hyperlink"/>
            <w:lang w:eastAsia="en-US"/>
          </w:rPr>
          <w:t>d</w:t>
        </w:r>
        <w:r w:rsidR="00176BC3" w:rsidRPr="005C3C4C">
          <w:rPr>
            <w:rStyle w:val="Hyperlink"/>
            <w:lang w:eastAsia="en-US"/>
          </w:rPr>
          <w:t>tf</w:t>
        </w:r>
        <w:r w:rsidR="00176BC3" w:rsidRPr="005C3C4C">
          <w:rPr>
            <w:rStyle w:val="Hyperlink"/>
            <w:lang w:eastAsia="en-US"/>
          </w:rPr>
          <w:t>.</w:t>
        </w:r>
        <w:r w:rsidR="00176BC3" w:rsidRPr="005C3C4C">
          <w:rPr>
            <w:rStyle w:val="Hyperlink"/>
            <w:lang w:eastAsia="en-US"/>
          </w:rPr>
          <w:t>vic</w:t>
        </w:r>
        <w:r w:rsidR="00176BC3" w:rsidRPr="005C3C4C">
          <w:rPr>
            <w:rStyle w:val="Hyperlink"/>
            <w:lang w:eastAsia="en-US"/>
          </w:rPr>
          <w:t>.</w:t>
        </w:r>
        <w:r w:rsidR="00176BC3" w:rsidRPr="005C3C4C">
          <w:rPr>
            <w:rStyle w:val="Hyperlink"/>
            <w:lang w:eastAsia="en-US"/>
          </w:rPr>
          <w:t>gov</w:t>
        </w:r>
        <w:r w:rsidR="00176BC3" w:rsidRPr="005C3C4C">
          <w:rPr>
            <w:rStyle w:val="Hyperlink"/>
            <w:lang w:eastAsia="en-US"/>
          </w:rPr>
          <w:t>.</w:t>
        </w:r>
        <w:r w:rsidR="00176BC3" w:rsidRPr="005C3C4C">
          <w:rPr>
            <w:rStyle w:val="Hyperlink"/>
            <w:lang w:eastAsia="en-US"/>
          </w:rPr>
          <w:t>au/pricing-value</w:t>
        </w:r>
      </w:hyperlink>
      <w:r w:rsidRPr="007A11C1">
        <w:rPr>
          <w:lang w:eastAsia="en-US"/>
        </w:rPr>
        <w:t xml:space="preserve"> or by email: </w:t>
      </w:r>
      <w:hyperlink r:id="rId174" w:history="1">
        <w:r w:rsidRPr="007A11C1">
          <w:rPr>
            <w:rStyle w:val="Hyperlink"/>
            <w:lang w:eastAsia="en-US"/>
          </w:rPr>
          <w:t>pricing@dtf.vic.gov.au</w:t>
        </w:r>
      </w:hyperlink>
      <w:r w:rsidRPr="007A11C1">
        <w:rPr>
          <w:lang w:eastAsia="en-US"/>
        </w:rPr>
        <w:t xml:space="preserve">. </w:t>
      </w:r>
    </w:p>
    <w:p w14:paraId="74B4A32A" w14:textId="2227834E" w:rsidR="00566250" w:rsidRPr="008A37A5" w:rsidRDefault="00566250" w:rsidP="00566250">
      <w:pPr>
        <w:pStyle w:val="Heading1NoNum"/>
      </w:pPr>
      <w:r w:rsidRPr="008A37A5">
        <w:lastRenderedPageBreak/>
        <w:t xml:space="preserve">Managing </w:t>
      </w:r>
      <w:r>
        <w:t>payroll</w:t>
      </w:r>
      <w:r w:rsidRPr="008A37A5">
        <w:t xml:space="preserve"> </w:t>
      </w:r>
    </w:p>
    <w:p w14:paraId="57886587" w14:textId="6A1C488F" w:rsidR="00566250" w:rsidRDefault="00566250" w:rsidP="00566250">
      <w:pPr>
        <w:rPr>
          <w:lang w:eastAsia="en-US"/>
        </w:rPr>
      </w:pPr>
      <w:r>
        <w:rPr>
          <w:lang w:eastAsia="en-US"/>
        </w:rPr>
        <w:t xml:space="preserve">Agencies are encouraged to consider carefully whether to recover the costs of administering voluntary deductions from gross pay (e.g. health insurance contributions). If an Agency decides it is cost effective and feasible to proceed with cost recovery, the </w:t>
      </w:r>
      <w:r w:rsidRPr="00566250">
        <w:rPr>
          <w:i/>
          <w:iCs/>
          <w:lang w:eastAsia="en-US"/>
        </w:rPr>
        <w:t>Cost Recovery Guidelines</w:t>
      </w:r>
      <w:r>
        <w:rPr>
          <w:lang w:eastAsia="en-US"/>
        </w:rPr>
        <w:t xml:space="preserve"> outline the steps for implementing cost recovery arrangements. Where such arrangements are already in place, the </w:t>
      </w:r>
      <w:r w:rsidRPr="00566250">
        <w:rPr>
          <w:i/>
          <w:iCs/>
          <w:lang w:eastAsia="en-US"/>
        </w:rPr>
        <w:t>Cost Recovery Guidelines</w:t>
      </w:r>
      <w:r>
        <w:rPr>
          <w:lang w:eastAsia="en-US"/>
        </w:rPr>
        <w:t xml:space="preserve"> outline costing approaches as a basis for determining an appropriate commission or charge.</w:t>
      </w:r>
    </w:p>
    <w:p w14:paraId="4F88C515" w14:textId="77777777" w:rsidR="00F25476" w:rsidRDefault="00566250" w:rsidP="00566250">
      <w:pPr>
        <w:rPr>
          <w:lang w:eastAsia="en-US"/>
        </w:rPr>
      </w:pPr>
      <w:r>
        <w:rPr>
          <w:lang w:eastAsia="en-US"/>
        </w:rPr>
        <w:t xml:space="preserve">There may be various factors that influence the feasibility and/or cost effectiveness of cost recovery. For example, in some cases the revenue involved might be very small and decreasing over time, possibly as employees make greater use of financial institutions’ direct debit options. The </w:t>
      </w:r>
      <w:r w:rsidRPr="00566250">
        <w:rPr>
          <w:i/>
          <w:iCs/>
          <w:lang w:eastAsia="en-US"/>
        </w:rPr>
        <w:t>Cost Recovery Guidelines</w:t>
      </w:r>
      <w:r>
        <w:rPr>
          <w:lang w:eastAsia="en-US"/>
        </w:rPr>
        <w:t xml:space="preserve"> state that ‘the cost of administering cost recovery arrangements should be less than the value of the costs recovered’. It follows that, where this is not the case, it would not be cost effective or worthwhile to pursue cost recovery.</w:t>
      </w:r>
    </w:p>
    <w:p w14:paraId="09E859D4" w14:textId="7A05E6DB" w:rsidR="00566250" w:rsidRDefault="00F25476" w:rsidP="00566250">
      <w:pPr>
        <w:rPr>
          <w:lang w:eastAsia="en-US"/>
        </w:rPr>
      </w:pPr>
      <w:r>
        <w:rPr>
          <w:lang w:eastAsia="en-US"/>
        </w:rPr>
        <w:t xml:space="preserve">This approach is </w:t>
      </w:r>
      <w:r w:rsidRPr="00F25476">
        <w:rPr>
          <w:lang w:eastAsia="en-US"/>
        </w:rPr>
        <w:t xml:space="preserve">consistent with the principles </w:t>
      </w:r>
      <w:r>
        <w:rPr>
          <w:lang w:eastAsia="en-US"/>
        </w:rPr>
        <w:t xml:space="preserve">set out </w:t>
      </w:r>
      <w:r w:rsidRPr="00F25476">
        <w:rPr>
          <w:lang w:eastAsia="en-US"/>
        </w:rPr>
        <w:t xml:space="preserve">in the </w:t>
      </w:r>
      <w:r w:rsidRPr="00F25476">
        <w:rPr>
          <w:i/>
          <w:iCs/>
          <w:lang w:eastAsia="en-US"/>
        </w:rPr>
        <w:t>Pricing for Value Guide</w:t>
      </w:r>
      <w:r>
        <w:rPr>
          <w:lang w:eastAsia="en-US"/>
        </w:rPr>
        <w:t>.</w:t>
      </w:r>
    </w:p>
    <w:p w14:paraId="436AE81A" w14:textId="77777777" w:rsidR="00566250" w:rsidRDefault="00566250" w:rsidP="008E306C">
      <w:pPr>
        <w:rPr>
          <w:lang w:eastAsia="en-US"/>
        </w:rPr>
      </w:pPr>
    </w:p>
    <w:p w14:paraId="4759ACD0" w14:textId="77777777" w:rsidR="008A37A5" w:rsidRPr="008A37A5" w:rsidRDefault="008A37A5" w:rsidP="00D94C7A">
      <w:pPr>
        <w:pStyle w:val="Heading1NoNum"/>
      </w:pPr>
      <w:r w:rsidRPr="008A37A5">
        <w:t>Receipt of money by payment card (credit/debit card)</w:t>
      </w:r>
    </w:p>
    <w:p w14:paraId="564794F5" w14:textId="29D04F7B" w:rsidR="008A37A5" w:rsidRPr="008A37A5" w:rsidRDefault="008A37A5" w:rsidP="008E306C">
      <w:r w:rsidRPr="008A37A5">
        <w:t xml:space="preserve">Agencies should refer to the </w:t>
      </w:r>
      <w:hyperlink r:id="rId175" w:history="1">
        <w:r w:rsidRPr="00F76B58">
          <w:rPr>
            <w:rStyle w:val="Hyperlink"/>
          </w:rPr>
          <w:t>Payment Card Industry – Data Security Standards</w:t>
        </w:r>
      </w:hyperlink>
      <w:r w:rsidRPr="008A37A5">
        <w:t xml:space="preserve"> </w:t>
      </w:r>
      <w:r w:rsidR="006A0869">
        <w:rPr>
          <w:rStyle w:val="FootnoteReference"/>
        </w:rPr>
        <w:footnoteReference w:id="41"/>
      </w:r>
      <w:r w:rsidRPr="008A37A5">
        <w:t>(PCI</w:t>
      </w:r>
      <w:r w:rsidR="00D62B6D">
        <w:noBreakHyphen/>
      </w:r>
      <w:r w:rsidRPr="008A37A5">
        <w:t xml:space="preserve">DSS) when money is received via </w:t>
      </w:r>
      <w:r w:rsidRPr="001326A1">
        <w:t>p</w:t>
      </w:r>
      <w:r w:rsidR="00C01D67" w:rsidRPr="001326A1">
        <w:t xml:space="preserve">ayment card. </w:t>
      </w:r>
    </w:p>
    <w:p w14:paraId="132A5C57" w14:textId="04C6E3A0" w:rsidR="008A37A5" w:rsidRPr="008A37A5" w:rsidRDefault="008A37A5" w:rsidP="00D94C7A">
      <w:pPr>
        <w:pStyle w:val="Heading1NoNum"/>
      </w:pPr>
      <w:r w:rsidRPr="008A37A5">
        <w:t xml:space="preserve">Managing </w:t>
      </w:r>
      <w:r w:rsidR="00864D99">
        <w:t>financial assets</w:t>
      </w:r>
    </w:p>
    <w:p w14:paraId="5B252735" w14:textId="5D17207A" w:rsidR="008A37A5" w:rsidRPr="008A37A5" w:rsidRDefault="008A37A5" w:rsidP="00FC17D9">
      <w:pPr>
        <w:pStyle w:val="Heading2NoNum"/>
      </w:pPr>
      <w:r w:rsidRPr="008A37A5">
        <w:t xml:space="preserve">Borrowing and investing </w:t>
      </w:r>
      <w:r w:rsidR="00864D99">
        <w:t>financial assets</w:t>
      </w:r>
    </w:p>
    <w:p w14:paraId="3B5DFF89" w14:textId="775D8FB8" w:rsidR="008A37A5" w:rsidRPr="008A37A5" w:rsidRDefault="00864D99" w:rsidP="008E306C">
      <w:r>
        <w:t>T</w:t>
      </w:r>
      <w:r w:rsidR="008A37A5" w:rsidRPr="008A37A5">
        <w:t xml:space="preserve">he borrowing and investing of </w:t>
      </w:r>
      <w:r>
        <w:t>financial assets</w:t>
      </w:r>
      <w:r w:rsidR="008A37A5" w:rsidRPr="008A37A5">
        <w:t xml:space="preserve"> is managed through established </w:t>
      </w:r>
      <w:r>
        <w:t xml:space="preserve">financial </w:t>
      </w:r>
      <w:r w:rsidR="008A37A5" w:rsidRPr="008A37A5">
        <w:t xml:space="preserve">management policies and processes between </w:t>
      </w:r>
      <w:r>
        <w:t>Agencies</w:t>
      </w:r>
      <w:r w:rsidR="008A37A5" w:rsidRPr="008A37A5">
        <w:t>, DTF</w:t>
      </w:r>
      <w:r>
        <w:t xml:space="preserve">, </w:t>
      </w:r>
      <w:r w:rsidR="008A37A5" w:rsidRPr="008A37A5">
        <w:t>the Treasury Corporation of Victoria</w:t>
      </w:r>
      <w:r>
        <w:t xml:space="preserve"> and the Victorian Funds Management Corporation</w:t>
      </w:r>
      <w:r w:rsidR="008A37A5" w:rsidRPr="008A37A5">
        <w:t>.</w:t>
      </w:r>
    </w:p>
    <w:p w14:paraId="2020F819" w14:textId="39408BAA" w:rsidR="008A37A5" w:rsidRPr="008A37A5" w:rsidRDefault="008A37A5" w:rsidP="008E306C">
      <w:r w:rsidRPr="008A37A5">
        <w:t xml:space="preserve">For those Agencies who are able to borrow or invest </w:t>
      </w:r>
      <w:r w:rsidR="00864D99">
        <w:t>financial assets</w:t>
      </w:r>
      <w:r w:rsidR="00C01D67">
        <w:t xml:space="preserve">, refer to </w:t>
      </w:r>
      <w:hyperlink r:id="rId176" w:anchor="Direction_3_7_2" w:history="1">
        <w:r w:rsidR="00C01D67" w:rsidRPr="00D4158F">
          <w:rPr>
            <w:rStyle w:val="Hyperlink"/>
          </w:rPr>
          <w:t>Direction 3.7.2</w:t>
        </w:r>
      </w:hyperlink>
      <w:r w:rsidRPr="008A37A5">
        <w:t xml:space="preserve"> for obligations and guidance. </w:t>
      </w:r>
    </w:p>
    <w:p w14:paraId="2BDA9BF1" w14:textId="77777777" w:rsidR="008A37A5" w:rsidRPr="008C6206" w:rsidRDefault="008A37A5" w:rsidP="00D94C7A">
      <w:pPr>
        <w:pStyle w:val="Heading1NoNum"/>
      </w:pPr>
      <w:r w:rsidRPr="008C6206">
        <w:t xml:space="preserve">Managing expenditure </w:t>
      </w:r>
    </w:p>
    <w:p w14:paraId="7C9D439D" w14:textId="4F88F023" w:rsidR="008A37A5" w:rsidRPr="008A37A5" w:rsidRDefault="008A37A5" w:rsidP="00FC17D9">
      <w:pPr>
        <w:pStyle w:val="Heading2NoNum"/>
      </w:pPr>
      <w:r w:rsidRPr="008A37A5">
        <w:t xml:space="preserve">Whole of government policies </w:t>
      </w:r>
      <w:hyperlink r:id="rId177" w:anchor="standing-directions-2018" w:history="1">
        <w:r w:rsidR="00176BC3" w:rsidRPr="00176BC3">
          <w:rPr>
            <w:rStyle w:val="Hyperlink"/>
          </w:rPr>
          <w:t>https://www.dtf.vic.gov.au/standing-directions-2018-under-financial-management-act-1994 - standing-directions-2018</w:t>
        </w:r>
      </w:hyperlink>
    </w:p>
    <w:p w14:paraId="3837E0C9" w14:textId="253B0CF7" w:rsidR="008A37A5" w:rsidRPr="008A37A5" w:rsidRDefault="008A37A5" w:rsidP="008E306C">
      <w:r w:rsidRPr="00CA6CEE">
        <w:rPr>
          <w:b/>
        </w:rPr>
        <w:t>Gifts, Benefits and Hospitality</w:t>
      </w:r>
      <w:r w:rsidRPr="008A37A5">
        <w:t xml:space="preserve">: </w:t>
      </w:r>
      <w:hyperlink r:id="rId178" w:history="1">
        <w:r w:rsidRPr="008A37A5">
          <w:rPr>
            <w:color w:val="595959" w:themeColor="text1" w:themeTint="A6"/>
          </w:rPr>
          <w:t>Gifts, Benefits and Hospitality Policy Framework</w:t>
        </w:r>
      </w:hyperlink>
      <w:r w:rsidR="000501DE">
        <w:rPr>
          <w:rStyle w:val="FootnoteReference"/>
          <w:color w:val="595959" w:themeColor="text1" w:themeTint="A6"/>
        </w:rPr>
        <w:footnoteReference w:id="42"/>
      </w:r>
      <w:r w:rsidRPr="008A37A5">
        <w:t xml:space="preserve">, issued by the </w:t>
      </w:r>
      <w:r w:rsidR="008D0A54">
        <w:t>Victorian Public Sector Commission</w:t>
      </w:r>
      <w:r w:rsidRPr="008A37A5">
        <w:t>.</w:t>
      </w:r>
    </w:p>
    <w:p w14:paraId="52B75782" w14:textId="656D1A19" w:rsidR="008A37A5" w:rsidRPr="008A37A5" w:rsidRDefault="008A37A5" w:rsidP="008E306C">
      <w:r w:rsidRPr="00CA6CEE">
        <w:rPr>
          <w:b/>
        </w:rPr>
        <w:t>Travel</w:t>
      </w:r>
      <w:r w:rsidRPr="008A37A5">
        <w:t xml:space="preserve">: </w:t>
      </w:r>
      <w:hyperlink r:id="rId179" w:history="1">
        <w:r w:rsidR="002A6637" w:rsidRPr="008A37A5">
          <w:rPr>
            <w:color w:val="595959" w:themeColor="text1" w:themeTint="A6"/>
          </w:rPr>
          <w:t>Victorian Public Sector Travel P</w:t>
        </w:r>
        <w:r w:rsidR="002A6637">
          <w:rPr>
            <w:color w:val="595959" w:themeColor="text1" w:themeTint="A6"/>
          </w:rPr>
          <w:t>olicy</w:t>
        </w:r>
      </w:hyperlink>
      <w:r w:rsidR="000501DE">
        <w:rPr>
          <w:rStyle w:val="FootnoteReference"/>
          <w:color w:val="595959" w:themeColor="text1" w:themeTint="A6"/>
        </w:rPr>
        <w:footnoteReference w:id="43"/>
      </w:r>
      <w:r w:rsidRPr="008A37A5">
        <w:t xml:space="preserve"> </w:t>
      </w:r>
      <w:r w:rsidR="00F17DE9">
        <w:t>which is available from</w:t>
      </w:r>
      <w:r w:rsidRPr="008A37A5">
        <w:t xml:space="preserve"> </w:t>
      </w:r>
      <w:r w:rsidR="00A16FEC">
        <w:t>VGPB</w:t>
      </w:r>
      <w:r w:rsidRPr="008A37A5">
        <w:t xml:space="preserve">. </w:t>
      </w:r>
    </w:p>
    <w:p w14:paraId="5EA503EC" w14:textId="258F1E08" w:rsidR="008A37A5" w:rsidRPr="008A37A5" w:rsidRDefault="008A37A5" w:rsidP="008E306C">
      <w:r w:rsidRPr="00CA6CEE">
        <w:rPr>
          <w:b/>
        </w:rPr>
        <w:t>Advertising and Communications</w:t>
      </w:r>
      <w:r w:rsidRPr="008A37A5">
        <w:t xml:space="preserve">: </w:t>
      </w:r>
      <w:hyperlink r:id="rId180" w:history="1">
        <w:r w:rsidRPr="008A37A5">
          <w:rPr>
            <w:color w:val="595959" w:themeColor="text1" w:themeTint="A6"/>
          </w:rPr>
          <w:t xml:space="preserve">Victorian Government Communication Guidelines </w:t>
        </w:r>
      </w:hyperlink>
      <w:r w:rsidR="000501DE">
        <w:rPr>
          <w:rStyle w:val="FootnoteReference"/>
          <w:color w:val="595959" w:themeColor="text1" w:themeTint="A6"/>
        </w:rPr>
        <w:footnoteReference w:id="44"/>
      </w:r>
      <w:r w:rsidRPr="008A37A5">
        <w:t xml:space="preserve"> issued by DPC.</w:t>
      </w:r>
    </w:p>
    <w:p w14:paraId="7B944B93" w14:textId="7E7FD06D" w:rsidR="008A37A5" w:rsidRPr="008A37A5" w:rsidRDefault="008A37A5" w:rsidP="008E306C">
      <w:r w:rsidRPr="00CA6CEE">
        <w:rPr>
          <w:b/>
        </w:rPr>
        <w:t>Remuneration of Boards, Statutory Bodies and Advisory Committees</w:t>
      </w:r>
      <w:r w:rsidRPr="008A37A5">
        <w:t xml:space="preserve">: </w:t>
      </w:r>
      <w:hyperlink r:id="rId181" w:history="1">
        <w:r w:rsidRPr="008A37A5">
          <w:rPr>
            <w:color w:val="595959" w:themeColor="text1" w:themeTint="A6"/>
          </w:rPr>
          <w:t>Appointment and Remuneration Guidelines for Victorian Government Boards, Statutory Bodies and Advisory Committees</w:t>
        </w:r>
      </w:hyperlink>
      <w:r w:rsidR="000501DE">
        <w:rPr>
          <w:rStyle w:val="FootnoteReference"/>
          <w:color w:val="595959" w:themeColor="text1" w:themeTint="A6"/>
        </w:rPr>
        <w:footnoteReference w:id="45"/>
      </w:r>
      <w:r w:rsidRPr="008A37A5">
        <w:t xml:space="preserve"> issued by DPC.</w:t>
      </w:r>
    </w:p>
    <w:p w14:paraId="03243440" w14:textId="77777777" w:rsidR="008A37A5" w:rsidRPr="008A37A5" w:rsidRDefault="008A37A5" w:rsidP="00D94C7A">
      <w:pPr>
        <w:pStyle w:val="Heading1NoNum"/>
      </w:pPr>
      <w:r w:rsidRPr="008A37A5">
        <w:t>Managing taxes</w:t>
      </w:r>
    </w:p>
    <w:p w14:paraId="1EF539D1" w14:textId="77777777" w:rsidR="008A37A5" w:rsidRPr="008A37A5" w:rsidRDefault="008A37A5" w:rsidP="00FC17D9">
      <w:pPr>
        <w:pStyle w:val="Heading2NoNum"/>
      </w:pPr>
      <w:r w:rsidRPr="008A37A5">
        <w:t>Taxation obligations and concession requirements applicable to an Agency</w:t>
      </w:r>
    </w:p>
    <w:p w14:paraId="40B7D41B" w14:textId="086BD64B" w:rsidR="000501DE" w:rsidRDefault="008A37A5" w:rsidP="00B97D58">
      <w:r w:rsidRPr="008A37A5">
        <w:t xml:space="preserve">Depending on an Agency’s individual circumstances, various Commonwealth taxation obligations and concessions may apply. These obligations are administered by the </w:t>
      </w:r>
      <w:hyperlink r:id="rId182" w:history="1">
        <w:r w:rsidRPr="008A37A5">
          <w:rPr>
            <w:color w:val="595959" w:themeColor="text1" w:themeTint="A6"/>
          </w:rPr>
          <w:t>Australian Taxation Office</w:t>
        </w:r>
      </w:hyperlink>
      <w:r w:rsidR="000501DE">
        <w:rPr>
          <w:rStyle w:val="FootnoteReference"/>
          <w:color w:val="595959" w:themeColor="text1" w:themeTint="A6"/>
        </w:rPr>
        <w:footnoteReference w:id="46"/>
      </w:r>
      <w:r w:rsidRPr="008A37A5">
        <w:t xml:space="preserve"> (ATO). </w:t>
      </w:r>
    </w:p>
    <w:p w14:paraId="6750DDBB" w14:textId="77777777" w:rsidR="008A37A5" w:rsidRPr="008A37A5" w:rsidRDefault="008A37A5" w:rsidP="008E306C">
      <w:r w:rsidRPr="008A37A5">
        <w:t>Commonwealth taxation ob</w:t>
      </w:r>
      <w:r w:rsidR="006F0D5C">
        <w:t>ligations that may apply to an A</w:t>
      </w:r>
      <w:r w:rsidRPr="008A37A5">
        <w:t xml:space="preserve">gency include: </w:t>
      </w:r>
    </w:p>
    <w:p w14:paraId="24574B8B" w14:textId="77777777" w:rsidR="008A37A5" w:rsidRPr="00BA73DB" w:rsidRDefault="008A37A5" w:rsidP="00CA6CEE">
      <w:pPr>
        <w:pStyle w:val="GuidanceBullet1"/>
        <w:spacing w:before="40" w:after="40"/>
        <w:ind w:left="288" w:hanging="288"/>
      </w:pPr>
      <w:r w:rsidRPr="00CA6CEE">
        <w:t>Goods</w:t>
      </w:r>
      <w:r w:rsidRPr="00BA73DB">
        <w:t xml:space="preserve"> and Services Tax (GST);</w:t>
      </w:r>
    </w:p>
    <w:p w14:paraId="43F9C998" w14:textId="167BCFEB" w:rsidR="008A37A5" w:rsidRPr="00BA73DB" w:rsidRDefault="008A37A5" w:rsidP="00CA6CEE">
      <w:pPr>
        <w:pStyle w:val="GuidanceBullet1"/>
        <w:spacing w:before="40" w:after="40"/>
        <w:ind w:left="288" w:hanging="288"/>
      </w:pPr>
      <w:r w:rsidRPr="00BA73DB">
        <w:lastRenderedPageBreak/>
        <w:t>Pay</w:t>
      </w:r>
      <w:r w:rsidR="00DB2C10">
        <w:t>-</w:t>
      </w:r>
      <w:r w:rsidRPr="00BA73DB">
        <w:t>As</w:t>
      </w:r>
      <w:r w:rsidR="00DB2C10">
        <w:t>-</w:t>
      </w:r>
      <w:r w:rsidRPr="00BA73DB">
        <w:t>You</w:t>
      </w:r>
      <w:r w:rsidR="00DB2C10">
        <w:t>-</w:t>
      </w:r>
      <w:r w:rsidRPr="00BA73DB">
        <w:t>Go (PAYG);</w:t>
      </w:r>
    </w:p>
    <w:p w14:paraId="60B7AB9A" w14:textId="77777777" w:rsidR="008A37A5" w:rsidRPr="00BA73DB" w:rsidRDefault="008A37A5" w:rsidP="00CA6CEE">
      <w:pPr>
        <w:pStyle w:val="GuidanceBullet1"/>
        <w:spacing w:before="40" w:after="40"/>
        <w:ind w:left="288" w:hanging="288"/>
      </w:pPr>
      <w:r w:rsidRPr="00BA73DB">
        <w:t xml:space="preserve">Fringe Benefits Tax (FBT); </w:t>
      </w:r>
    </w:p>
    <w:p w14:paraId="013F158E" w14:textId="77777777" w:rsidR="008A37A5" w:rsidRPr="00BA73DB" w:rsidRDefault="008A37A5" w:rsidP="00CA6CEE">
      <w:pPr>
        <w:pStyle w:val="GuidanceBullet1"/>
        <w:spacing w:before="40" w:after="40"/>
        <w:ind w:left="288" w:hanging="288"/>
      </w:pPr>
      <w:r w:rsidRPr="00BA73DB">
        <w:t>Superannuation Guarantee Charge (SGC);</w:t>
      </w:r>
    </w:p>
    <w:p w14:paraId="6C2A9D8F" w14:textId="77777777" w:rsidR="008A37A5" w:rsidRDefault="00E10F4D" w:rsidP="00CA6CEE">
      <w:pPr>
        <w:pStyle w:val="GuidanceBullet1"/>
        <w:spacing w:before="40" w:after="40"/>
        <w:ind w:left="288" w:hanging="288"/>
      </w:pPr>
      <w:r>
        <w:t>E</w:t>
      </w:r>
      <w:r w:rsidR="008A37A5" w:rsidRPr="00BA73DB">
        <w:t>xcise and customs duty;</w:t>
      </w:r>
    </w:p>
    <w:p w14:paraId="39EB60E6" w14:textId="77777777" w:rsidR="008A37A5" w:rsidRPr="008A37A5" w:rsidRDefault="008A37A5" w:rsidP="00CA6CEE">
      <w:pPr>
        <w:pStyle w:val="GuidanceBullet1"/>
        <w:spacing w:before="40" w:after="40"/>
        <w:ind w:left="288" w:hanging="288"/>
      </w:pPr>
      <w:r w:rsidRPr="00CA6CEE">
        <w:rPr>
          <w:i/>
        </w:rPr>
        <w:t>Taxation Administration Act 1953</w:t>
      </w:r>
      <w:r w:rsidRPr="008A37A5">
        <w:t>;</w:t>
      </w:r>
    </w:p>
    <w:p w14:paraId="15F136CB" w14:textId="77777777" w:rsidR="008A37A5" w:rsidRPr="008A37A5" w:rsidRDefault="008A37A5" w:rsidP="00CA6CEE">
      <w:pPr>
        <w:pStyle w:val="GuidanceBullet1"/>
        <w:spacing w:before="40" w:after="40"/>
        <w:ind w:left="288" w:hanging="288"/>
      </w:pPr>
      <w:r w:rsidRPr="008A37A5">
        <w:t>National Tax Equivalent Regime (NTER); and</w:t>
      </w:r>
    </w:p>
    <w:p w14:paraId="61CFB80D" w14:textId="77777777" w:rsidR="008A37A5" w:rsidRPr="008A37A5" w:rsidRDefault="008A37A5" w:rsidP="00CA6CEE">
      <w:pPr>
        <w:pStyle w:val="GuidanceBullet1"/>
        <w:spacing w:before="40" w:after="40"/>
        <w:ind w:left="288" w:hanging="288"/>
      </w:pPr>
      <w:r w:rsidRPr="008A37A5">
        <w:t>ATO publications including, but not limited to, GST Rulings, FBT Rulings, Interpretative Decisions, and Determinations.</w:t>
      </w:r>
    </w:p>
    <w:p w14:paraId="78D4AE4D" w14:textId="77777777" w:rsidR="008A37A5" w:rsidRPr="008A37A5" w:rsidRDefault="008A37A5" w:rsidP="00CA6CEE">
      <w:r w:rsidRPr="008A37A5">
        <w:t>Commonwealth taxation concessions may be available to an Agency, including:</w:t>
      </w:r>
    </w:p>
    <w:p w14:paraId="122FA92D" w14:textId="77777777" w:rsidR="008A37A5" w:rsidRPr="008A37A5" w:rsidRDefault="00E10F4D" w:rsidP="00CA6CEE">
      <w:pPr>
        <w:pStyle w:val="GuidanceBullet1"/>
        <w:spacing w:before="40" w:after="40"/>
        <w:ind w:left="288" w:hanging="288"/>
      </w:pPr>
      <w:r>
        <w:t>D</w:t>
      </w:r>
      <w:r w:rsidR="008A37A5" w:rsidRPr="008A37A5">
        <w:t xml:space="preserve">eductible gift recipient status; </w:t>
      </w:r>
    </w:p>
    <w:p w14:paraId="4979D7B9" w14:textId="77777777" w:rsidR="008A37A5" w:rsidRPr="008A37A5" w:rsidRDefault="00E10F4D" w:rsidP="00CA6CEE">
      <w:pPr>
        <w:pStyle w:val="GuidanceBullet1"/>
        <w:spacing w:before="40" w:after="40"/>
        <w:ind w:left="288" w:hanging="288"/>
      </w:pPr>
      <w:r>
        <w:t>P</w:t>
      </w:r>
      <w:r w:rsidR="008A37A5" w:rsidRPr="008A37A5">
        <w:t>ublic benevolent institution status; and</w:t>
      </w:r>
    </w:p>
    <w:p w14:paraId="6255ACC5" w14:textId="77777777" w:rsidR="008A37A5" w:rsidRPr="008A37A5" w:rsidRDefault="00E10F4D" w:rsidP="00CA6CEE">
      <w:pPr>
        <w:pStyle w:val="GuidanceBullet1"/>
        <w:spacing w:before="40" w:after="40"/>
        <w:ind w:left="288" w:hanging="288"/>
      </w:pPr>
      <w:r>
        <w:t>F</w:t>
      </w:r>
      <w:r w:rsidR="008A37A5" w:rsidRPr="008A37A5">
        <w:t>uel tax credits.</w:t>
      </w:r>
    </w:p>
    <w:p w14:paraId="0BD1F63C" w14:textId="77777777" w:rsidR="008A37A5" w:rsidRPr="008A37A5" w:rsidRDefault="008A37A5" w:rsidP="00FC17D9">
      <w:pPr>
        <w:pStyle w:val="Heading2NoNum"/>
      </w:pPr>
      <w:r w:rsidRPr="008A37A5">
        <w:t xml:space="preserve">Conduct of Commonwealth taxation obligations and concessions reviews </w:t>
      </w:r>
    </w:p>
    <w:p w14:paraId="10E00828" w14:textId="400B0FAE" w:rsidR="008A37A5" w:rsidRPr="008A37A5" w:rsidRDefault="008A37A5" w:rsidP="008E306C">
      <w:r w:rsidRPr="001326A1">
        <w:t xml:space="preserve">Consistent with </w:t>
      </w:r>
      <w:hyperlink r:id="rId183" w:anchor="standing-directions-2018" w:history="1">
        <w:r w:rsidRPr="00D4158F">
          <w:rPr>
            <w:rStyle w:val="Hyperlink"/>
          </w:rPr>
          <w:t>Direction 5.1.</w:t>
        </w:r>
        <w:r w:rsidR="001326A1" w:rsidRPr="00D4158F">
          <w:rPr>
            <w:rStyle w:val="Hyperlink"/>
          </w:rPr>
          <w:t>2</w:t>
        </w:r>
      </w:hyperlink>
      <w:r w:rsidRPr="001326A1">
        <w:t>, an Agency is to conduct an</w:t>
      </w:r>
      <w:r w:rsidRPr="008A37A5">
        <w:t xml:space="preserve"> annual review on a range of obligations. Whether the annual review of compliance includes Commonwealth taxation obligations and concessions is to be determined based on an assessment of tax risks.</w:t>
      </w:r>
    </w:p>
    <w:p w14:paraId="7DA5AE62" w14:textId="264011D4" w:rsidR="008A37A5" w:rsidRPr="008A37A5" w:rsidRDefault="008A37A5" w:rsidP="008E306C">
      <w:r w:rsidRPr="008A37A5">
        <w:t xml:space="preserve">Consistent with </w:t>
      </w:r>
      <w:hyperlink r:id="rId184" w:anchor="standing-directions-2018" w:history="1">
        <w:r w:rsidRPr="00D4158F">
          <w:rPr>
            <w:rStyle w:val="Hyperlink"/>
          </w:rPr>
          <w:t>Direction 5.</w:t>
        </w:r>
        <w:r w:rsidR="00F7500F" w:rsidRPr="00D4158F">
          <w:rPr>
            <w:rStyle w:val="Hyperlink"/>
          </w:rPr>
          <w:t>1.3</w:t>
        </w:r>
      </w:hyperlink>
      <w:r w:rsidRPr="008A37A5">
        <w:t>, internal au</w:t>
      </w:r>
      <w:r w:rsidR="006F0D5C">
        <w:t>dit is to review in detail the A</w:t>
      </w:r>
      <w:r w:rsidRPr="008A37A5">
        <w:t xml:space="preserve">gency’s compliance with all Commonwealth taxation obligations and concessions over a </w:t>
      </w:r>
      <w:r w:rsidR="00E10F4D">
        <w:t xml:space="preserve">three or </w:t>
      </w:r>
      <w:r w:rsidRPr="008A37A5">
        <w:t>four year cycle.</w:t>
      </w:r>
    </w:p>
    <w:p w14:paraId="581FED38" w14:textId="251306A2" w:rsidR="0035257D" w:rsidRDefault="008A37A5" w:rsidP="008E306C">
      <w:r w:rsidRPr="008A37A5">
        <w:t xml:space="preserve">When conducting a tax compliance review, the Agency should refer to the </w:t>
      </w:r>
      <w:hyperlink r:id="rId185" w:history="1">
        <w:r w:rsidRPr="0035257D">
          <w:rPr>
            <w:rStyle w:val="Hyperlink"/>
          </w:rPr>
          <w:t>A</w:t>
        </w:r>
        <w:r w:rsidR="0035257D" w:rsidRPr="0035257D">
          <w:rPr>
            <w:rStyle w:val="Hyperlink"/>
          </w:rPr>
          <w:t xml:space="preserve">ustralian </w:t>
        </w:r>
        <w:r w:rsidRPr="0035257D">
          <w:rPr>
            <w:rStyle w:val="Hyperlink"/>
          </w:rPr>
          <w:t>T</w:t>
        </w:r>
        <w:r w:rsidR="0035257D" w:rsidRPr="0035257D">
          <w:rPr>
            <w:rStyle w:val="Hyperlink"/>
          </w:rPr>
          <w:t xml:space="preserve">axation </w:t>
        </w:r>
        <w:r w:rsidRPr="0035257D">
          <w:rPr>
            <w:rStyle w:val="Hyperlink"/>
          </w:rPr>
          <w:t>O</w:t>
        </w:r>
        <w:r w:rsidR="0035257D" w:rsidRPr="0035257D">
          <w:rPr>
            <w:rStyle w:val="Hyperlink"/>
          </w:rPr>
          <w:t>ffice</w:t>
        </w:r>
        <w:r w:rsidRPr="0035257D">
          <w:rPr>
            <w:rStyle w:val="Hyperlink"/>
          </w:rPr>
          <w:t>’s</w:t>
        </w:r>
      </w:hyperlink>
      <w:bookmarkStart w:id="30" w:name="_Ref443466907"/>
      <w:r w:rsidR="000501DE">
        <w:rPr>
          <w:rStyle w:val="FootnoteReference"/>
          <w:color w:val="595959" w:themeColor="text1" w:themeTint="A6"/>
        </w:rPr>
        <w:footnoteReference w:id="47"/>
      </w:r>
      <w:bookmarkEnd w:id="30"/>
      <w:r w:rsidRPr="008A37A5">
        <w:t xml:space="preserve"> </w:t>
      </w:r>
      <w:r w:rsidR="0035257D">
        <w:t>website</w:t>
      </w:r>
      <w:r w:rsidR="00A07E7A">
        <w:t xml:space="preserve"> and its available supporting material</w:t>
      </w:r>
      <w:r w:rsidR="0035257D">
        <w:t xml:space="preserve">. </w:t>
      </w:r>
    </w:p>
    <w:p w14:paraId="5BDC74DA" w14:textId="77777777" w:rsidR="008A37A5" w:rsidRPr="00D94C7A" w:rsidRDefault="008A37A5" w:rsidP="00FC17D9">
      <w:pPr>
        <w:pStyle w:val="Heading2NoNum"/>
      </w:pPr>
      <w:r w:rsidRPr="00D94C7A">
        <w:t>Other relevant taxation compliance information</w:t>
      </w:r>
    </w:p>
    <w:p w14:paraId="337BC489" w14:textId="65F240AD" w:rsidR="008A37A5" w:rsidRPr="008A37A5" w:rsidRDefault="008A37A5" w:rsidP="00315AF0">
      <w:hyperlink r:id="rId186" w:history="1">
        <w:r w:rsidRPr="00315AF0">
          <w:rPr>
            <w:color w:val="595959" w:themeColor="text1" w:themeTint="A6"/>
          </w:rPr>
          <w:t>A better practice guide for the management of GST</w:t>
        </w:r>
      </w:hyperlink>
      <w:r w:rsidR="000501DE">
        <w:rPr>
          <w:rStyle w:val="FootnoteReference"/>
          <w:color w:val="595959" w:themeColor="text1" w:themeTint="A6"/>
        </w:rPr>
        <w:footnoteReference w:id="48"/>
      </w:r>
      <w:r w:rsidRPr="008A37A5">
        <w:t xml:space="preserve"> – this guide has been published by the ATO to assist Agencies establish appropriate internal control frameworks for the effective management of goods and servic</w:t>
      </w:r>
      <w:r w:rsidR="00315AF0">
        <w:t>es tax (GST) administration.</w:t>
      </w:r>
    </w:p>
    <w:p w14:paraId="2E2F807B" w14:textId="19A82629" w:rsidR="008A37A5" w:rsidRDefault="008A37A5" w:rsidP="00315AF0">
      <w:hyperlink r:id="rId187" w:history="1">
        <w:r w:rsidRPr="00315AF0">
          <w:rPr>
            <w:color w:val="595959" w:themeColor="text1" w:themeTint="A6"/>
          </w:rPr>
          <w:t>Better practice for the administration of FBT</w:t>
        </w:r>
      </w:hyperlink>
      <w:r w:rsidR="000501DE">
        <w:rPr>
          <w:rStyle w:val="FootnoteReference"/>
          <w:color w:val="595959" w:themeColor="text1" w:themeTint="A6"/>
        </w:rPr>
        <w:footnoteReference w:id="49"/>
      </w:r>
      <w:r w:rsidRPr="008A37A5">
        <w:t xml:space="preserve"> is also published by the ATO to help Agencies better administer their fringe benefits tax (FBT) obligations.</w:t>
      </w:r>
    </w:p>
    <w:p w14:paraId="6F60B7D0" w14:textId="62CCA94A" w:rsidR="00933036" w:rsidRDefault="00356951" w:rsidP="00C01D67">
      <w:r>
        <w:t>Agencies may also refer to</w:t>
      </w:r>
      <w:r w:rsidR="00C205A0">
        <w:t xml:space="preserve"> </w:t>
      </w:r>
      <w:r>
        <w:t xml:space="preserve">the </w:t>
      </w:r>
      <w:hyperlink r:id="rId188" w:history="1">
        <w:r w:rsidRPr="00356951">
          <w:rPr>
            <w:rStyle w:val="Hyperlink"/>
          </w:rPr>
          <w:t>Australian Taxation Office’s</w:t>
        </w:r>
      </w:hyperlink>
      <w:r>
        <w:t xml:space="preserve"> </w:t>
      </w:r>
      <w:r w:rsidR="00C01D67">
        <w:t>website for further information</w:t>
      </w:r>
      <w:r w:rsidR="00A16FEC">
        <w:t xml:space="preserve"> on Commonwealth taxes</w:t>
      </w:r>
      <w:r w:rsidR="00C01D67">
        <w:t>.</w:t>
      </w:r>
    </w:p>
    <w:p w14:paraId="6C788B30" w14:textId="77777777" w:rsidR="00933036" w:rsidRDefault="00933036" w:rsidP="00D94C7A">
      <w:pPr>
        <w:pStyle w:val="Heading1NoNum"/>
      </w:pPr>
      <w:r>
        <w:t>Managing shared services and outsourcing</w:t>
      </w:r>
    </w:p>
    <w:p w14:paraId="6780AE8A" w14:textId="37293A08" w:rsidR="00933036" w:rsidRPr="002A4D76" w:rsidRDefault="00933036" w:rsidP="00933036">
      <w:r w:rsidRPr="002A4D76">
        <w:t xml:space="preserve">Outsourcing is a process by which an </w:t>
      </w:r>
      <w:r w:rsidR="006F0D5C">
        <w:t>A</w:t>
      </w:r>
      <w:r w:rsidRPr="002A4D76">
        <w:t>gency contracts with a third party to provide a specific service or group of services</w:t>
      </w:r>
      <w:r w:rsidR="00995ED6">
        <w:t xml:space="preserve">. </w:t>
      </w:r>
      <w:r w:rsidRPr="002A4D76">
        <w:t>Services are typically outsourced to achieve cost savings, improve quality, and access specialised skills or other efficiencies. Some examples of commonly outsourced services include payroll, investment consulting, debt collection and the maintenance of financial systems.</w:t>
      </w:r>
    </w:p>
    <w:p w14:paraId="4EB4D8F2" w14:textId="2C8EA2A9" w:rsidR="000501DE" w:rsidRDefault="005648BA">
      <w:pPr>
        <w:spacing w:before="0" w:after="200" w:line="276" w:lineRule="auto"/>
        <w:rPr>
          <w:color w:val="4D4D4D"/>
          <w:sz w:val="24"/>
          <w:szCs w:val="28"/>
        </w:rPr>
      </w:pPr>
      <w:r w:rsidRPr="004661D4">
        <w:t>While the Instruction</w:t>
      </w:r>
      <w:r w:rsidR="00866667" w:rsidRPr="004661D4">
        <w:t xml:space="preserve"> </w:t>
      </w:r>
      <w:r w:rsidRPr="004661D4">
        <w:t>relates to the</w:t>
      </w:r>
      <w:r w:rsidR="00866667" w:rsidRPr="004661D4">
        <w:t xml:space="preserve"> VPS agency receiving a service, where a VPS agency is providing a service to another agency it should have appropriate </w:t>
      </w:r>
      <w:r w:rsidR="00D24E32" w:rsidRPr="004661D4">
        <w:t xml:space="preserve">documented </w:t>
      </w:r>
      <w:r w:rsidR="00866667" w:rsidRPr="004661D4">
        <w:t>arrangements in place to ensure</w:t>
      </w:r>
      <w:r w:rsidR="00C205A0" w:rsidRPr="004661D4">
        <w:t xml:space="preserve"> the service is effectively </w:t>
      </w:r>
      <w:r w:rsidR="00807DBC" w:rsidRPr="004661D4">
        <w:t>delivered</w:t>
      </w:r>
      <w:r w:rsidR="00C205A0" w:rsidRPr="004661D4">
        <w:t>.</w:t>
      </w:r>
    </w:p>
    <w:p w14:paraId="0AF39C93" w14:textId="77777777" w:rsidR="00933036" w:rsidRPr="00D94C7A" w:rsidRDefault="00933036" w:rsidP="00FC17D9">
      <w:pPr>
        <w:pStyle w:val="Heading2NoNum"/>
      </w:pPr>
      <w:r w:rsidRPr="00D94C7A">
        <w:t xml:space="preserve">Outsourcing – models of service delivery </w:t>
      </w:r>
    </w:p>
    <w:p w14:paraId="3ECA7304" w14:textId="062BC5E1" w:rsidR="00933036" w:rsidRPr="002A4D76" w:rsidRDefault="00933036" w:rsidP="00933036">
      <w:pPr>
        <w:rPr>
          <w:rFonts w:eastAsia="+mn-ea" w:cstheme="minorHAnsi"/>
          <w:szCs w:val="20"/>
        </w:rPr>
      </w:pPr>
      <w:r w:rsidRPr="002A4D76">
        <w:rPr>
          <w:rFonts w:eastAsia="+mn-ea" w:cstheme="minorHAnsi"/>
          <w:szCs w:val="20"/>
        </w:rPr>
        <w:t>There is a broad spectrum of models to deliver services</w:t>
      </w:r>
      <w:r w:rsidR="00995ED6">
        <w:rPr>
          <w:rFonts w:eastAsia="+mn-ea" w:cstheme="minorHAnsi"/>
          <w:szCs w:val="20"/>
        </w:rPr>
        <w:t xml:space="preserve">. </w:t>
      </w:r>
      <w:r w:rsidRPr="002A4D76">
        <w:rPr>
          <w:rFonts w:eastAsia="+mn-ea" w:cstheme="minorHAnsi"/>
          <w:szCs w:val="20"/>
        </w:rPr>
        <w:t>The following table provides an overview of the spectrum of service delivery models.</w:t>
      </w:r>
    </w:p>
    <w:tbl>
      <w:tblPr>
        <w:tblStyle w:val="LightShading"/>
        <w:tblW w:w="9923" w:type="dxa"/>
        <w:shd w:val="clear" w:color="auto" w:fill="FFFFFF" w:themeFill="background1"/>
        <w:tblLook w:val="04A0" w:firstRow="1" w:lastRow="0" w:firstColumn="1" w:lastColumn="0" w:noHBand="0" w:noVBand="1"/>
      </w:tblPr>
      <w:tblGrid>
        <w:gridCol w:w="1843"/>
        <w:gridCol w:w="8080"/>
      </w:tblGrid>
      <w:tr w:rsidR="00933036" w:rsidRPr="00CA6CEE" w14:paraId="1E3EC6EC" w14:textId="77777777" w:rsidTr="00421E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2F2F2" w:themeFill="background1" w:themeFillShade="F2"/>
          </w:tcPr>
          <w:p w14:paraId="77AB4275" w14:textId="77777777" w:rsidR="00933036" w:rsidRPr="00CA6CEE" w:rsidRDefault="00933036" w:rsidP="00CA6CEE">
            <w:pPr>
              <w:spacing w:before="60" w:after="60"/>
              <w:rPr>
                <w:rFonts w:eastAsia="+mn-ea" w:cstheme="minorHAnsi"/>
                <w:sz w:val="18"/>
                <w:szCs w:val="18"/>
              </w:rPr>
            </w:pPr>
            <w:r w:rsidRPr="00CA6CEE">
              <w:rPr>
                <w:rFonts w:eastAsia="+mn-ea" w:cstheme="minorHAnsi"/>
                <w:sz w:val="18"/>
                <w:szCs w:val="18"/>
              </w:rPr>
              <w:t>Internal delivery</w:t>
            </w:r>
          </w:p>
        </w:tc>
        <w:tc>
          <w:tcPr>
            <w:tcW w:w="8080" w:type="dxa"/>
            <w:shd w:val="clear" w:color="auto" w:fill="FFFFFF" w:themeFill="background1"/>
          </w:tcPr>
          <w:p w14:paraId="002172D3" w14:textId="77777777" w:rsidR="00933036" w:rsidRPr="00CA6CEE" w:rsidRDefault="00933036" w:rsidP="00CA6CEE">
            <w:pPr>
              <w:spacing w:before="60" w:after="60"/>
              <w:cnfStyle w:val="100000000000" w:firstRow="1" w:lastRow="0" w:firstColumn="0" w:lastColumn="0" w:oddVBand="0" w:evenVBand="0" w:oddHBand="0" w:evenHBand="0" w:firstRowFirstColumn="0" w:firstRowLastColumn="0" w:lastRowFirstColumn="0" w:lastRowLastColumn="0"/>
              <w:rPr>
                <w:rFonts w:eastAsia="+mn-ea" w:cstheme="minorHAnsi"/>
                <w:b w:val="0"/>
                <w:sz w:val="18"/>
                <w:szCs w:val="18"/>
              </w:rPr>
            </w:pPr>
            <w:r w:rsidRPr="003960F3">
              <w:rPr>
                <w:rFonts w:eastAsia="+mn-ea"/>
                <w:sz w:val="18"/>
              </w:rPr>
              <w:t>Delivery of the service is managed and resourced internally. Third parties may provide discrete products or services.</w:t>
            </w:r>
          </w:p>
        </w:tc>
      </w:tr>
      <w:tr w:rsidR="00933036" w:rsidRPr="00CA6CEE" w14:paraId="68A8B49C" w14:textId="77777777" w:rsidTr="00421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2F2F2" w:themeFill="background1" w:themeFillShade="F2"/>
          </w:tcPr>
          <w:p w14:paraId="6961FD09" w14:textId="77777777" w:rsidR="00933036" w:rsidRPr="00CA6CEE" w:rsidRDefault="00933036" w:rsidP="00CA6CEE">
            <w:pPr>
              <w:spacing w:before="60" w:after="60"/>
              <w:rPr>
                <w:rFonts w:eastAsia="+mn-ea" w:cstheme="minorHAnsi"/>
                <w:b/>
                <w:sz w:val="18"/>
                <w:szCs w:val="18"/>
              </w:rPr>
            </w:pPr>
            <w:r w:rsidRPr="00CA6CEE">
              <w:rPr>
                <w:rFonts w:eastAsia="+mn-ea" w:cstheme="minorHAnsi"/>
                <w:b/>
                <w:sz w:val="18"/>
                <w:szCs w:val="18"/>
              </w:rPr>
              <w:t>Full outsourcing</w:t>
            </w:r>
          </w:p>
        </w:tc>
        <w:tc>
          <w:tcPr>
            <w:tcW w:w="8080" w:type="dxa"/>
          </w:tcPr>
          <w:p w14:paraId="6F353E6C" w14:textId="77777777" w:rsidR="00933036" w:rsidRPr="00CA6CEE" w:rsidRDefault="00933036" w:rsidP="00CA6CEE">
            <w:pPr>
              <w:spacing w:before="60" w:after="60"/>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CA6CEE">
              <w:rPr>
                <w:rFonts w:eastAsia="+mn-ea" w:cstheme="minorHAnsi"/>
                <w:sz w:val="18"/>
                <w:szCs w:val="18"/>
              </w:rPr>
              <w:t>Where a single contract with a single supplier covers a broad scope of services and needs. This model is typically implemented as a strategic partnership between management and the service provider and is usually put in place for the long term.</w:t>
            </w:r>
          </w:p>
        </w:tc>
      </w:tr>
      <w:tr w:rsidR="00933036" w:rsidRPr="00CA6CEE" w14:paraId="5640D48E" w14:textId="77777777" w:rsidTr="00421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2F2F2" w:themeFill="background1" w:themeFillShade="F2"/>
          </w:tcPr>
          <w:p w14:paraId="2B25BCC9" w14:textId="77777777" w:rsidR="00933036" w:rsidRPr="00CA6CEE" w:rsidRDefault="00933036" w:rsidP="00CA6CEE">
            <w:pPr>
              <w:spacing w:before="60" w:after="60"/>
              <w:rPr>
                <w:rFonts w:eastAsia="+mn-ea" w:cstheme="minorHAnsi"/>
                <w:b/>
                <w:sz w:val="18"/>
                <w:szCs w:val="18"/>
              </w:rPr>
            </w:pPr>
            <w:r w:rsidRPr="00CA6CEE">
              <w:rPr>
                <w:rFonts w:eastAsia="+mn-ea" w:cstheme="minorHAnsi"/>
                <w:b/>
                <w:sz w:val="18"/>
                <w:szCs w:val="18"/>
              </w:rPr>
              <w:lastRenderedPageBreak/>
              <w:t>Co</w:t>
            </w:r>
            <w:r w:rsidR="00D62B6D" w:rsidRPr="00CA6CEE">
              <w:rPr>
                <w:rFonts w:eastAsia="+mn-ea" w:cstheme="minorHAnsi"/>
                <w:b/>
                <w:sz w:val="18"/>
                <w:szCs w:val="18"/>
              </w:rPr>
              <w:noBreakHyphen/>
            </w:r>
            <w:r w:rsidRPr="00CA6CEE">
              <w:rPr>
                <w:rFonts w:eastAsia="+mn-ea" w:cstheme="minorHAnsi"/>
                <w:b/>
                <w:sz w:val="18"/>
                <w:szCs w:val="18"/>
              </w:rPr>
              <w:t>sourcing</w:t>
            </w:r>
          </w:p>
        </w:tc>
        <w:tc>
          <w:tcPr>
            <w:tcW w:w="8080" w:type="dxa"/>
          </w:tcPr>
          <w:p w14:paraId="61C82503" w14:textId="77777777" w:rsidR="00933036" w:rsidRPr="00CA6CEE" w:rsidRDefault="00933036" w:rsidP="00CA6CEE">
            <w:pPr>
              <w:spacing w:before="60" w:after="60"/>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CA6CEE">
              <w:rPr>
                <w:rFonts w:eastAsia="+mn-ea" w:cstheme="minorHAnsi"/>
                <w:sz w:val="18"/>
                <w:szCs w:val="18"/>
              </w:rPr>
              <w:t>Responsibility for delivery of service is split between an outsourcer and internal delivery. This model often involves an internal delivery team working with the outsourcer as a single group.</w:t>
            </w:r>
          </w:p>
        </w:tc>
      </w:tr>
      <w:tr w:rsidR="00933036" w:rsidRPr="00CA6CEE" w14:paraId="312D8016" w14:textId="77777777" w:rsidTr="00421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2F2F2" w:themeFill="background1" w:themeFillShade="F2"/>
          </w:tcPr>
          <w:p w14:paraId="10273E14" w14:textId="77777777" w:rsidR="00933036" w:rsidRPr="00CA6CEE" w:rsidRDefault="00933036" w:rsidP="00CA6CEE">
            <w:pPr>
              <w:spacing w:before="60" w:after="60"/>
              <w:rPr>
                <w:rFonts w:eastAsia="+mn-ea" w:cstheme="minorHAnsi"/>
                <w:b/>
                <w:sz w:val="18"/>
                <w:szCs w:val="18"/>
              </w:rPr>
            </w:pPr>
            <w:r w:rsidRPr="00CA6CEE">
              <w:rPr>
                <w:rFonts w:eastAsia="+mn-ea" w:cstheme="minorHAnsi"/>
                <w:b/>
                <w:sz w:val="18"/>
                <w:szCs w:val="18"/>
              </w:rPr>
              <w:t xml:space="preserve">Insourcing/shared services </w:t>
            </w:r>
          </w:p>
        </w:tc>
        <w:tc>
          <w:tcPr>
            <w:tcW w:w="8080" w:type="dxa"/>
          </w:tcPr>
          <w:p w14:paraId="4C854DB9" w14:textId="77777777" w:rsidR="00933036" w:rsidRPr="00CA6CEE" w:rsidRDefault="00933036" w:rsidP="00CA6CEE">
            <w:pPr>
              <w:spacing w:before="60" w:after="60"/>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CA6CEE">
              <w:rPr>
                <w:rFonts w:eastAsia="+mn-ea" w:cstheme="minorHAnsi"/>
                <w:sz w:val="18"/>
                <w:szCs w:val="18"/>
              </w:rPr>
              <w:t>Insourcing or shared services disconnect a service from the organisation via a separate business unit. The business unit is usually set up with its own profit/loss statement.</w:t>
            </w:r>
          </w:p>
          <w:p w14:paraId="6E183170" w14:textId="1AB3C779" w:rsidR="00933036" w:rsidRPr="00CA6CEE" w:rsidRDefault="00933036" w:rsidP="00CA6CEE">
            <w:pPr>
              <w:spacing w:before="60" w:after="60"/>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CA6CEE">
              <w:rPr>
                <w:rFonts w:eastAsia="+mn-ea" w:cstheme="minorHAnsi"/>
                <w:sz w:val="18"/>
                <w:szCs w:val="18"/>
              </w:rPr>
              <w:t>An agreement such as a Service Level Agreement (SLA) is commonly in place to govern the provision of the service and payment levels. The underlying concept is to run the separate unit like a business and emulate outsourcing services and pricing. The benefits of this type of arrangement are that organisations can achieve consolidation, integration, and standardisation while maintaining direct control of the service provider and openness to changing market options.</w:t>
            </w:r>
          </w:p>
        </w:tc>
      </w:tr>
      <w:tr w:rsidR="00933036" w:rsidRPr="00CA6CEE" w14:paraId="575D1B4F" w14:textId="77777777" w:rsidTr="00CA6CE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F2F2F2" w:themeFill="background1" w:themeFillShade="F2"/>
          </w:tcPr>
          <w:p w14:paraId="3997A322" w14:textId="77777777" w:rsidR="00933036" w:rsidRPr="00CA6CEE" w:rsidRDefault="00933036" w:rsidP="00CA6CEE">
            <w:pPr>
              <w:spacing w:before="60" w:after="60"/>
              <w:rPr>
                <w:rFonts w:eastAsia="+mn-ea" w:cstheme="minorHAnsi"/>
                <w:b/>
                <w:sz w:val="18"/>
                <w:szCs w:val="18"/>
              </w:rPr>
            </w:pPr>
            <w:r w:rsidRPr="00CA6CEE">
              <w:rPr>
                <w:rFonts w:eastAsia="+mn-ea" w:cstheme="minorHAnsi"/>
                <w:b/>
                <w:sz w:val="18"/>
                <w:szCs w:val="18"/>
              </w:rPr>
              <w:t>Selective sourcing</w:t>
            </w:r>
          </w:p>
        </w:tc>
        <w:tc>
          <w:tcPr>
            <w:tcW w:w="8080" w:type="dxa"/>
          </w:tcPr>
          <w:p w14:paraId="095A32B6" w14:textId="77777777" w:rsidR="00933036" w:rsidRPr="00CA6CEE" w:rsidRDefault="00933036" w:rsidP="00CA6CEE">
            <w:pPr>
              <w:spacing w:before="60" w:after="60"/>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CA6CEE">
              <w:rPr>
                <w:rFonts w:eastAsia="+mn-ea" w:cstheme="minorHAnsi"/>
                <w:sz w:val="18"/>
                <w:szCs w:val="18"/>
              </w:rPr>
              <w:t xml:space="preserve">Where multiple contracts are set up with multiple suppliers. This type of arrangement is common in the public sector. </w:t>
            </w:r>
          </w:p>
          <w:p w14:paraId="64581E0C" w14:textId="77777777" w:rsidR="00933036" w:rsidRPr="00CA6CEE" w:rsidRDefault="00933036" w:rsidP="00CA6CEE">
            <w:pPr>
              <w:spacing w:before="60" w:after="60"/>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CA6CEE">
              <w:rPr>
                <w:rFonts w:eastAsia="+mn-ea" w:cstheme="minorHAnsi"/>
                <w:sz w:val="18"/>
                <w:szCs w:val="18"/>
              </w:rPr>
              <w:t>This model is often implemented when the sourcing strategy is undefined and there is a variety of service delivery options.</w:t>
            </w:r>
          </w:p>
          <w:p w14:paraId="23859976" w14:textId="77777777" w:rsidR="00933036" w:rsidRPr="00CA6CEE" w:rsidRDefault="00933036" w:rsidP="00CA6CEE">
            <w:pPr>
              <w:spacing w:before="60" w:after="60"/>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CA6CEE">
              <w:rPr>
                <w:rFonts w:eastAsia="+mn-ea" w:cstheme="minorHAnsi"/>
                <w:sz w:val="18"/>
                <w:szCs w:val="18"/>
              </w:rPr>
              <w:t>Benefits of this type of outsourcing model include the ability to leverage the markets’ best capabilities in a very competitive environment. Innovation is available and the cost associated with the change is typically minimal. When managed effectively, agility, flexibility, and scalability are readily available.</w:t>
            </w:r>
          </w:p>
        </w:tc>
      </w:tr>
    </w:tbl>
    <w:p w14:paraId="29ED7E91" w14:textId="77777777" w:rsidR="00DC26F6" w:rsidRDefault="00DC26F6" w:rsidP="00CA6CEE">
      <w:pPr>
        <w:pStyle w:val="Spacer"/>
        <w:rPr>
          <w:rFonts w:eastAsia="+mn-ea"/>
        </w:rPr>
      </w:pPr>
    </w:p>
    <w:p w14:paraId="171D447D" w14:textId="4C0A7630" w:rsidR="00933036" w:rsidRPr="004E3EE0" w:rsidRDefault="00933036" w:rsidP="00933036">
      <w:pPr>
        <w:rPr>
          <w:rFonts w:eastAsia="+mn-ea" w:cstheme="minorHAnsi"/>
          <w:szCs w:val="20"/>
        </w:rPr>
      </w:pPr>
      <w:r>
        <w:rPr>
          <w:rFonts w:eastAsia="+mn-ea" w:cstheme="minorHAnsi"/>
          <w:szCs w:val="20"/>
        </w:rPr>
        <w:t>The following should be considered in comp</w:t>
      </w:r>
      <w:r w:rsidR="00DC26F6">
        <w:rPr>
          <w:rFonts w:eastAsia="+mn-ea" w:cstheme="minorHAnsi"/>
          <w:szCs w:val="20"/>
        </w:rPr>
        <w:t xml:space="preserve">lying with </w:t>
      </w:r>
      <w:hyperlink r:id="rId189" w:anchor="instructions" w:history="1">
        <w:r w:rsidR="00DC26F6" w:rsidRPr="00D4158F">
          <w:rPr>
            <w:rStyle w:val="Hyperlink"/>
            <w:rFonts w:eastAsia="+mn-ea" w:cstheme="minorHAnsi"/>
            <w:szCs w:val="20"/>
          </w:rPr>
          <w:t>Instruction 3.4.10</w:t>
        </w:r>
      </w:hyperlink>
      <w:r w:rsidR="00DC26F6">
        <w:rPr>
          <w:rFonts w:eastAsia="+mn-ea" w:cstheme="minorHAnsi"/>
          <w:szCs w:val="20"/>
        </w:rPr>
        <w:t xml:space="preserve"> </w:t>
      </w:r>
      <w:r w:rsidRPr="00DC26F6">
        <w:rPr>
          <w:rFonts w:eastAsia="+mn-ea" w:cstheme="minorHAnsi"/>
          <w:i/>
          <w:szCs w:val="20"/>
        </w:rPr>
        <w:t>Managing shared or outsourced services</w:t>
      </w:r>
      <w:r>
        <w:rPr>
          <w:rFonts w:eastAsia="+mn-ea" w:cstheme="minorHAnsi"/>
          <w:szCs w:val="20"/>
        </w:rPr>
        <w:t>:</w:t>
      </w:r>
    </w:p>
    <w:p w14:paraId="58D931A5" w14:textId="5D0DC765" w:rsidR="00933036" w:rsidRPr="002A4D76" w:rsidRDefault="00933036" w:rsidP="00FC17D9">
      <w:pPr>
        <w:pStyle w:val="Heading2NoNum"/>
      </w:pPr>
      <w:r w:rsidRPr="002A4D76">
        <w:t>Before engaging a service</w:t>
      </w:r>
      <w:r w:rsidR="002D61D4">
        <w:t xml:space="preserve"> – </w:t>
      </w:r>
      <w:r w:rsidRPr="002A4D76">
        <w:t>cost</w:t>
      </w:r>
      <w:r w:rsidR="00D62B6D">
        <w:noBreakHyphen/>
      </w:r>
      <w:r w:rsidRPr="002A4D76">
        <w:t>benefit analysis</w:t>
      </w:r>
    </w:p>
    <w:p w14:paraId="1F5276A9" w14:textId="77777777" w:rsidR="00933036" w:rsidRPr="002A4D76" w:rsidRDefault="00933036" w:rsidP="00933036">
      <w:pPr>
        <w:rPr>
          <w:rFonts w:eastAsia="+mn-ea" w:cstheme="minorHAnsi"/>
          <w:szCs w:val="20"/>
        </w:rPr>
      </w:pPr>
      <w:r w:rsidRPr="002A4D76">
        <w:rPr>
          <w:rFonts w:eastAsia="+mn-ea" w:cstheme="minorHAnsi"/>
          <w:szCs w:val="20"/>
        </w:rPr>
        <w:t>Prior to engaging a</w:t>
      </w:r>
      <w:r w:rsidR="00453706">
        <w:rPr>
          <w:rFonts w:eastAsia="+mn-ea" w:cstheme="minorHAnsi"/>
          <w:szCs w:val="20"/>
        </w:rPr>
        <w:t>n outsourced service provider, A</w:t>
      </w:r>
      <w:r w:rsidRPr="002A4D76">
        <w:rPr>
          <w:rFonts w:eastAsia="+mn-ea" w:cstheme="minorHAnsi"/>
          <w:szCs w:val="20"/>
        </w:rPr>
        <w:t>gencies should undertake a cost</w:t>
      </w:r>
      <w:r w:rsidR="00D62B6D">
        <w:rPr>
          <w:rFonts w:eastAsia="+mn-ea" w:cstheme="minorHAnsi"/>
          <w:szCs w:val="20"/>
        </w:rPr>
        <w:noBreakHyphen/>
      </w:r>
      <w:r w:rsidRPr="002A4D76">
        <w:rPr>
          <w:rFonts w:eastAsia="+mn-ea" w:cstheme="minorHAnsi"/>
          <w:szCs w:val="20"/>
        </w:rPr>
        <w:t>benefit analysis. The cost benefit analysis should include:</w:t>
      </w:r>
    </w:p>
    <w:p w14:paraId="399F0491" w14:textId="77777777" w:rsidR="00933036" w:rsidRPr="00CA6CEE" w:rsidRDefault="00933036" w:rsidP="00CA6CEE">
      <w:pPr>
        <w:pStyle w:val="GuidanceBullet1"/>
        <w:rPr>
          <w:rFonts w:eastAsia="+mn-ea"/>
        </w:rPr>
      </w:pPr>
      <w:r w:rsidRPr="00CA6CEE">
        <w:rPr>
          <w:rFonts w:eastAsia="+mn-ea"/>
        </w:rPr>
        <w:t>the costs and basis for estimating the cost;</w:t>
      </w:r>
    </w:p>
    <w:p w14:paraId="247EF9FB" w14:textId="77777777" w:rsidR="00933036" w:rsidRPr="00CA6CEE" w:rsidRDefault="00933036" w:rsidP="00CA6CEE">
      <w:pPr>
        <w:pStyle w:val="GuidanceBullet1"/>
        <w:rPr>
          <w:rFonts w:eastAsia="+mn-ea"/>
        </w:rPr>
      </w:pPr>
      <w:r w:rsidRPr="00CA6CEE">
        <w:rPr>
          <w:rFonts w:eastAsia="+mn-ea"/>
        </w:rPr>
        <w:t>the benefits and basis for estimating the benefits;</w:t>
      </w:r>
    </w:p>
    <w:p w14:paraId="3648DAB7" w14:textId="77777777" w:rsidR="00933036" w:rsidRPr="00CA6CEE" w:rsidRDefault="00933036" w:rsidP="00CA6CEE">
      <w:pPr>
        <w:pStyle w:val="GuidanceBullet1"/>
        <w:rPr>
          <w:rFonts w:eastAsia="+mn-ea"/>
        </w:rPr>
      </w:pPr>
      <w:r w:rsidRPr="00CA6CEE">
        <w:rPr>
          <w:rFonts w:eastAsia="+mn-ea"/>
        </w:rPr>
        <w:t>an assessment of planned non</w:t>
      </w:r>
      <w:r w:rsidR="00D62B6D" w:rsidRPr="00CA6CEE">
        <w:rPr>
          <w:rFonts w:eastAsia="+mn-ea"/>
        </w:rPr>
        <w:noBreakHyphen/>
      </w:r>
      <w:r w:rsidRPr="00CA6CEE">
        <w:rPr>
          <w:rFonts w:eastAsia="+mn-ea"/>
        </w:rPr>
        <w:t>financial benefits;</w:t>
      </w:r>
    </w:p>
    <w:p w14:paraId="23FB71BA" w14:textId="77777777" w:rsidR="00933036" w:rsidRPr="00CA6CEE" w:rsidRDefault="00933036" w:rsidP="00CA6CEE">
      <w:pPr>
        <w:pStyle w:val="GuidanceBullet1"/>
        <w:rPr>
          <w:rFonts w:eastAsia="+mn-ea"/>
        </w:rPr>
      </w:pPr>
      <w:r w:rsidRPr="00CA6CEE">
        <w:rPr>
          <w:rFonts w:eastAsia="+mn-ea"/>
        </w:rPr>
        <w:t>potential risks associated with outsourcing the function and how they will be mitigated; and</w:t>
      </w:r>
    </w:p>
    <w:p w14:paraId="0046BED9" w14:textId="77777777" w:rsidR="00933036" w:rsidRPr="002A4D76" w:rsidRDefault="00933036" w:rsidP="00CA6CEE">
      <w:pPr>
        <w:pStyle w:val="GuidanceBullet1"/>
        <w:rPr>
          <w:rFonts w:eastAsia="+mn-ea"/>
        </w:rPr>
      </w:pPr>
      <w:r w:rsidRPr="00CA6CEE">
        <w:rPr>
          <w:rFonts w:eastAsia="+mn-ea"/>
        </w:rPr>
        <w:t>a recommendation</w:t>
      </w:r>
      <w:r w:rsidRPr="002A4D76">
        <w:rPr>
          <w:rFonts w:eastAsia="+mn-ea"/>
        </w:rPr>
        <w:t xml:space="preserve"> for future proposed action.</w:t>
      </w:r>
    </w:p>
    <w:p w14:paraId="351428E1" w14:textId="77777777" w:rsidR="00933036" w:rsidRPr="002A4D76" w:rsidRDefault="00933036" w:rsidP="00FC17D9">
      <w:pPr>
        <w:pStyle w:val="Heading2NoNum"/>
      </w:pPr>
      <w:r w:rsidRPr="008F5C04">
        <w:t>Management of outsourced services</w:t>
      </w:r>
    </w:p>
    <w:p w14:paraId="6171135C" w14:textId="76803F2A" w:rsidR="00933036" w:rsidRPr="002A4D76" w:rsidRDefault="00933036" w:rsidP="00933036">
      <w:pPr>
        <w:rPr>
          <w:rFonts w:eastAsia="+mn-ea" w:cstheme="minorHAnsi"/>
          <w:szCs w:val="20"/>
        </w:rPr>
      </w:pPr>
      <w:hyperlink r:id="rId190" w:anchor="standing-directions-2018" w:history="1">
        <w:r w:rsidRPr="00D4158F">
          <w:rPr>
            <w:rStyle w:val="Hyperlink"/>
            <w:rFonts w:eastAsia="+mn-ea" w:cstheme="minorHAnsi"/>
            <w:szCs w:val="20"/>
          </w:rPr>
          <w:t>Direction 3.1</w:t>
        </w:r>
      </w:hyperlink>
      <w:r w:rsidRPr="002A4D76">
        <w:rPr>
          <w:rFonts w:eastAsia="+mn-ea" w:cstheme="minorHAnsi"/>
          <w:szCs w:val="20"/>
        </w:rPr>
        <w:t xml:space="preserve"> requires that the Responsible Body ensure effective management and oversight of shared services arrangements and private sector providers of financial management activities and obligations (outsourcing). </w:t>
      </w:r>
    </w:p>
    <w:p w14:paraId="4A008D8F" w14:textId="77777777" w:rsidR="00933036" w:rsidRPr="002A4D76" w:rsidRDefault="00933036" w:rsidP="00933036">
      <w:pPr>
        <w:rPr>
          <w:rFonts w:eastAsia="+mn-ea" w:cstheme="minorHAnsi"/>
          <w:szCs w:val="20"/>
        </w:rPr>
      </w:pPr>
      <w:r w:rsidRPr="002A4D76">
        <w:rPr>
          <w:rFonts w:eastAsia="+mn-ea" w:cstheme="minorHAnsi"/>
          <w:szCs w:val="20"/>
        </w:rPr>
        <w:t xml:space="preserve">The Responsible Body should be aware that entering into shared services arrangements does not diminish the responsibilities of the Chief Finance </w:t>
      </w:r>
      <w:r w:rsidR="00FB6728">
        <w:rPr>
          <w:rFonts w:eastAsia="+mn-ea" w:cstheme="minorHAnsi"/>
          <w:szCs w:val="20"/>
        </w:rPr>
        <w:t>Officer (CF</w:t>
      </w:r>
      <w:r w:rsidRPr="002A4D76">
        <w:rPr>
          <w:rFonts w:eastAsia="+mn-ea" w:cstheme="minorHAnsi"/>
          <w:szCs w:val="20"/>
        </w:rPr>
        <w:t>O) and the Accountable Officer for the outsourced function – a service can be outsourced, but the risk and responsibilities cannot.</w:t>
      </w:r>
    </w:p>
    <w:p w14:paraId="12437853" w14:textId="77777777" w:rsidR="00933036" w:rsidRPr="002A4D76" w:rsidRDefault="00933036" w:rsidP="00933036">
      <w:pPr>
        <w:rPr>
          <w:rFonts w:eastAsia="+mn-ea" w:cstheme="minorHAnsi"/>
          <w:szCs w:val="20"/>
        </w:rPr>
      </w:pPr>
      <w:r w:rsidRPr="002A4D76">
        <w:rPr>
          <w:rFonts w:eastAsia="+mn-ea" w:cstheme="minorHAnsi"/>
          <w:szCs w:val="20"/>
        </w:rPr>
        <w:t>An outsourced financial service will impact on the financial management, financial processing</w:t>
      </w:r>
      <w:r w:rsidR="006F0D5C">
        <w:rPr>
          <w:rFonts w:eastAsia="+mn-ea" w:cstheme="minorHAnsi"/>
          <w:szCs w:val="20"/>
        </w:rPr>
        <w:t xml:space="preserve"> or financial statements of an A</w:t>
      </w:r>
      <w:r w:rsidRPr="002A4D76">
        <w:rPr>
          <w:rFonts w:eastAsia="+mn-ea" w:cstheme="minorHAnsi"/>
          <w:szCs w:val="20"/>
        </w:rPr>
        <w:t>gency. Accordingly, specific assurance on the control procedures of the outsourced service provider is needed to ensure the:</w:t>
      </w:r>
    </w:p>
    <w:p w14:paraId="416BC5AB" w14:textId="77777777" w:rsidR="00933036" w:rsidRPr="002A4D76" w:rsidRDefault="006F0D5C" w:rsidP="0009722D">
      <w:pPr>
        <w:pStyle w:val="Bullet1"/>
        <w:ind w:left="284" w:hanging="284"/>
        <w:rPr>
          <w:rFonts w:eastAsia="+mn-ea"/>
        </w:rPr>
      </w:pPr>
      <w:r>
        <w:rPr>
          <w:rFonts w:eastAsia="+mn-ea"/>
        </w:rPr>
        <w:t>A</w:t>
      </w:r>
      <w:r w:rsidR="00933036" w:rsidRPr="002A4D76">
        <w:rPr>
          <w:rFonts w:eastAsia="+mn-ea"/>
        </w:rPr>
        <w:t>gency’s responsibilities and accountabilities for good governance and sound financial management are not negatively impacted by the outsourced activities;</w:t>
      </w:r>
    </w:p>
    <w:p w14:paraId="5E8B0FD4" w14:textId="77777777" w:rsidR="00933036" w:rsidRPr="002A4D76" w:rsidRDefault="00933036" w:rsidP="0009722D">
      <w:pPr>
        <w:pStyle w:val="Bullet1"/>
        <w:ind w:left="284" w:hanging="284"/>
        <w:rPr>
          <w:rFonts w:eastAsia="+mn-ea"/>
        </w:rPr>
      </w:pPr>
      <w:r w:rsidRPr="002A4D76">
        <w:rPr>
          <w:rFonts w:eastAsia="+mn-ea"/>
        </w:rPr>
        <w:t>provider is complying with the agreed terms and conditions (e.g. performance measures as outlined in the contract or Service Level Agreement);</w:t>
      </w:r>
    </w:p>
    <w:p w14:paraId="17EB28A3" w14:textId="77777777" w:rsidR="00933036" w:rsidRPr="002A4D76" w:rsidRDefault="00933036" w:rsidP="0009722D">
      <w:pPr>
        <w:pStyle w:val="Bullet1"/>
        <w:ind w:left="284" w:hanging="284"/>
        <w:rPr>
          <w:rFonts w:eastAsia="+mn-ea"/>
        </w:rPr>
      </w:pPr>
      <w:r w:rsidRPr="002A4D76">
        <w:rPr>
          <w:rFonts w:eastAsia="+mn-ea"/>
        </w:rPr>
        <w:t>controls for activities and processes are effective and result in accurate reporting of financial and other relevant information;</w:t>
      </w:r>
    </w:p>
    <w:p w14:paraId="3382A8EB" w14:textId="77777777" w:rsidR="00933036" w:rsidRPr="002A4D76" w:rsidRDefault="00933036" w:rsidP="0009722D">
      <w:pPr>
        <w:pStyle w:val="Bullet1"/>
        <w:ind w:left="284" w:hanging="284"/>
        <w:rPr>
          <w:rFonts w:eastAsia="+mn-ea"/>
        </w:rPr>
      </w:pPr>
      <w:r w:rsidRPr="002A4D76">
        <w:rPr>
          <w:rFonts w:eastAsia="+mn-ea"/>
        </w:rPr>
        <w:t>control environment surrounding the outsourced services facilitates complete and accurate processing of underlying transactions and/or data; and</w:t>
      </w:r>
    </w:p>
    <w:p w14:paraId="3696FF96" w14:textId="77777777" w:rsidR="00933036" w:rsidRPr="002A4D76" w:rsidRDefault="00933036" w:rsidP="0009722D">
      <w:pPr>
        <w:pStyle w:val="Bullet1"/>
        <w:ind w:left="284" w:hanging="284"/>
        <w:rPr>
          <w:rFonts w:eastAsia="+mn-ea"/>
        </w:rPr>
      </w:pPr>
      <w:r w:rsidRPr="002A4D76">
        <w:rPr>
          <w:rFonts w:eastAsia="+mn-ea"/>
        </w:rPr>
        <w:t>Accountabl</w:t>
      </w:r>
      <w:r w:rsidR="00FB6728">
        <w:rPr>
          <w:rFonts w:eastAsia="+mn-ea"/>
        </w:rPr>
        <w:t>e Officer and CF</w:t>
      </w:r>
      <w:r w:rsidRPr="002A4D76">
        <w:rPr>
          <w:rFonts w:eastAsia="+mn-ea"/>
        </w:rPr>
        <w:t>O can sign off on their formal annual statements that the:</w:t>
      </w:r>
    </w:p>
    <w:p w14:paraId="59D7EA84" w14:textId="77777777" w:rsidR="00933036" w:rsidRPr="002A4D76" w:rsidRDefault="00933036" w:rsidP="00933036">
      <w:pPr>
        <w:pStyle w:val="GuidanceBullet2"/>
        <w:rPr>
          <w:rFonts w:eastAsia="+mn-ea"/>
        </w:rPr>
      </w:pPr>
      <w:r w:rsidRPr="002A4D76">
        <w:rPr>
          <w:rFonts w:eastAsia="+mn-ea"/>
        </w:rPr>
        <w:t>financial reports are presented fairly;</w:t>
      </w:r>
    </w:p>
    <w:p w14:paraId="4B4CBFAA" w14:textId="77777777" w:rsidR="00933036" w:rsidRPr="002A4D76" w:rsidRDefault="00933036" w:rsidP="00933036">
      <w:pPr>
        <w:pStyle w:val="GuidanceBullet2"/>
        <w:rPr>
          <w:rFonts w:eastAsia="+mn-ea"/>
        </w:rPr>
      </w:pPr>
      <w:r w:rsidRPr="002A4D76">
        <w:rPr>
          <w:rFonts w:eastAsia="+mn-ea"/>
        </w:rPr>
        <w:t>risk management, internal compliance and control framework is sound; and</w:t>
      </w:r>
    </w:p>
    <w:p w14:paraId="5A61C44F" w14:textId="77777777" w:rsidR="00933036" w:rsidRPr="002A4D76" w:rsidRDefault="00933036" w:rsidP="00933036">
      <w:pPr>
        <w:pStyle w:val="GuidanceBullet2"/>
        <w:rPr>
          <w:rFonts w:eastAsia="+mn-ea"/>
        </w:rPr>
      </w:pPr>
      <w:r w:rsidRPr="002A4D76">
        <w:rPr>
          <w:rFonts w:eastAsia="+mn-ea"/>
        </w:rPr>
        <w:t>internal control framework is operating effectively and efficiently.</w:t>
      </w:r>
    </w:p>
    <w:p w14:paraId="73B4E596" w14:textId="77777777" w:rsidR="00933036" w:rsidRPr="002A4D76" w:rsidRDefault="00933036" w:rsidP="00933036">
      <w:pPr>
        <w:rPr>
          <w:rFonts w:eastAsia="+mn-ea" w:cstheme="minorHAnsi"/>
          <w:szCs w:val="20"/>
        </w:rPr>
      </w:pPr>
      <w:r w:rsidRPr="002A4D76">
        <w:rPr>
          <w:rFonts w:eastAsia="+mn-ea" w:cstheme="minorHAnsi"/>
          <w:szCs w:val="20"/>
        </w:rPr>
        <w:lastRenderedPageBreak/>
        <w:t xml:space="preserve">In addition, to ensure all legislative requirements are being met, the </w:t>
      </w:r>
      <w:r w:rsidR="00BD1721">
        <w:rPr>
          <w:rFonts w:eastAsia="+mn-ea" w:cstheme="minorHAnsi"/>
          <w:szCs w:val="20"/>
        </w:rPr>
        <w:t xml:space="preserve">outsourced or </w:t>
      </w:r>
      <w:r w:rsidRPr="002A4D76">
        <w:rPr>
          <w:rFonts w:eastAsia="+mn-ea" w:cstheme="minorHAnsi"/>
          <w:szCs w:val="20"/>
        </w:rPr>
        <w:t xml:space="preserve">shared services should operate within the requirements of the </w:t>
      </w:r>
      <w:r w:rsidR="00C726FA" w:rsidRPr="00C726FA">
        <w:rPr>
          <w:rFonts w:eastAsia="+mn-ea" w:cstheme="minorHAnsi"/>
          <w:szCs w:val="20"/>
        </w:rPr>
        <w:t>FMA</w:t>
      </w:r>
      <w:r w:rsidRPr="00C726FA">
        <w:rPr>
          <w:rFonts w:eastAsia="+mn-ea" w:cstheme="minorHAnsi"/>
          <w:szCs w:val="20"/>
        </w:rPr>
        <w:t>,</w:t>
      </w:r>
      <w:r w:rsidRPr="002A4D76">
        <w:rPr>
          <w:rFonts w:eastAsia="+mn-ea" w:cstheme="minorHAnsi"/>
          <w:szCs w:val="20"/>
        </w:rPr>
        <w:t xml:space="preserve"> the Directions</w:t>
      </w:r>
      <w:r>
        <w:rPr>
          <w:rFonts w:eastAsia="+mn-ea" w:cstheme="minorHAnsi"/>
          <w:szCs w:val="20"/>
        </w:rPr>
        <w:t>,</w:t>
      </w:r>
      <w:r w:rsidRPr="002A4D76">
        <w:rPr>
          <w:rFonts w:eastAsia="+mn-ea" w:cstheme="minorHAnsi"/>
          <w:szCs w:val="20"/>
        </w:rPr>
        <w:t xml:space="preserve"> </w:t>
      </w:r>
      <w:r>
        <w:rPr>
          <w:rFonts w:eastAsia="+mn-ea" w:cstheme="minorHAnsi"/>
          <w:szCs w:val="20"/>
        </w:rPr>
        <w:t xml:space="preserve">Instructions </w:t>
      </w:r>
      <w:r w:rsidRPr="002A4D76">
        <w:rPr>
          <w:rFonts w:eastAsia="+mn-ea" w:cstheme="minorHAnsi"/>
          <w:szCs w:val="20"/>
        </w:rPr>
        <w:t>and other relevant</w:t>
      </w:r>
      <w:r w:rsidR="006F0D5C">
        <w:rPr>
          <w:rFonts w:eastAsia="+mn-ea" w:cstheme="minorHAnsi"/>
          <w:szCs w:val="20"/>
        </w:rPr>
        <w:t xml:space="preserve"> legislation applicable to the A</w:t>
      </w:r>
      <w:r w:rsidRPr="002A4D76">
        <w:rPr>
          <w:rFonts w:eastAsia="+mn-ea" w:cstheme="minorHAnsi"/>
          <w:szCs w:val="20"/>
        </w:rPr>
        <w:t xml:space="preserve">gency. For example, if the </w:t>
      </w:r>
      <w:r>
        <w:rPr>
          <w:rFonts w:eastAsia="+mn-ea" w:cstheme="minorHAnsi"/>
          <w:szCs w:val="20"/>
        </w:rPr>
        <w:t>payroll</w:t>
      </w:r>
      <w:r w:rsidRPr="002A4D76">
        <w:rPr>
          <w:rFonts w:eastAsia="+mn-ea" w:cstheme="minorHAnsi"/>
          <w:szCs w:val="20"/>
        </w:rPr>
        <w:t xml:space="preserve"> function is being outsourced, the</w:t>
      </w:r>
      <w:r w:rsidR="00FB6728">
        <w:rPr>
          <w:rFonts w:eastAsia="+mn-ea" w:cstheme="minorHAnsi"/>
          <w:szCs w:val="20"/>
        </w:rPr>
        <w:t xml:space="preserve"> Accountable Officer and the CF</w:t>
      </w:r>
      <w:r w:rsidRPr="002A4D76">
        <w:rPr>
          <w:rFonts w:eastAsia="+mn-ea" w:cstheme="minorHAnsi"/>
          <w:szCs w:val="20"/>
        </w:rPr>
        <w:t>O need to ascertain that the service is being delivered in compliance with the relevant requirements in the Directions.</w:t>
      </w:r>
    </w:p>
    <w:p w14:paraId="7DD891FE" w14:textId="77777777" w:rsidR="00933036" w:rsidRPr="002A4D76" w:rsidRDefault="00933036" w:rsidP="004661D4">
      <w:pPr>
        <w:pStyle w:val="Heading2NoNum"/>
      </w:pPr>
      <w:r w:rsidRPr="002A4D76">
        <w:t>Obtaining assurance from an outsourced service provider</w:t>
      </w:r>
    </w:p>
    <w:p w14:paraId="7865A9B1" w14:textId="77777777" w:rsidR="00933036" w:rsidRPr="002A4D76" w:rsidRDefault="00933036" w:rsidP="00933036">
      <w:pPr>
        <w:spacing w:before="0" w:after="120" w:line="240" w:lineRule="atLeast"/>
        <w:rPr>
          <w:rFonts w:asciiTheme="minorHAnsi" w:eastAsia="+mn-ea" w:hAnsiTheme="minorHAnsi" w:cstheme="minorHAnsi"/>
          <w:szCs w:val="20"/>
        </w:rPr>
      </w:pPr>
      <w:r w:rsidRPr="002A4D76">
        <w:rPr>
          <w:rFonts w:asciiTheme="minorHAnsi" w:eastAsia="+mn-ea" w:hAnsiTheme="minorHAnsi" w:cstheme="minorHAnsi"/>
          <w:szCs w:val="20"/>
        </w:rPr>
        <w:t>Before engaging an o</w:t>
      </w:r>
      <w:r w:rsidR="006F0D5C">
        <w:rPr>
          <w:rFonts w:asciiTheme="minorHAnsi" w:eastAsia="+mn-ea" w:hAnsiTheme="minorHAnsi" w:cstheme="minorHAnsi"/>
          <w:szCs w:val="20"/>
        </w:rPr>
        <w:t>utsourced service provider, an A</w:t>
      </w:r>
      <w:r w:rsidRPr="002A4D76">
        <w:rPr>
          <w:rFonts w:asciiTheme="minorHAnsi" w:eastAsia="+mn-ea" w:hAnsiTheme="minorHAnsi" w:cstheme="minorHAnsi"/>
          <w:szCs w:val="20"/>
        </w:rPr>
        <w:t>gency should consider the Assurance or Auditing Standard requirements</w:t>
      </w:r>
      <w:r w:rsidRPr="002A4D76">
        <w:rPr>
          <w:rFonts w:asciiTheme="minorHAnsi" w:eastAsia="+mn-ea" w:hAnsiTheme="minorHAnsi" w:cstheme="minorHAnsi"/>
          <w:szCs w:val="20"/>
          <w:vertAlign w:val="superscript"/>
        </w:rPr>
        <w:footnoteReference w:id="50"/>
      </w:r>
      <w:r w:rsidRPr="002A4D76">
        <w:rPr>
          <w:rFonts w:asciiTheme="minorHAnsi" w:eastAsia="+mn-ea" w:hAnsiTheme="minorHAnsi" w:cstheme="minorHAnsi"/>
          <w:szCs w:val="20"/>
        </w:rPr>
        <w:t>, and liaise with its internal and/or external auditors to discuss the best approach to obtain a</w:t>
      </w:r>
      <w:r w:rsidR="006F0D5C">
        <w:rPr>
          <w:rFonts w:asciiTheme="minorHAnsi" w:eastAsia="+mn-ea" w:hAnsiTheme="minorHAnsi" w:cstheme="minorHAnsi"/>
          <w:szCs w:val="20"/>
        </w:rPr>
        <w:t>ssurance. This will ensure the A</w:t>
      </w:r>
      <w:r w:rsidRPr="002A4D76">
        <w:rPr>
          <w:rFonts w:asciiTheme="minorHAnsi" w:eastAsia="+mn-ea" w:hAnsiTheme="minorHAnsi" w:cstheme="minorHAnsi"/>
          <w:szCs w:val="20"/>
        </w:rPr>
        <w:t>gency receives assurance reports that are fit for purpose and provide an accurate reflection of the control environment in the outsourced provider.</w:t>
      </w:r>
    </w:p>
    <w:p w14:paraId="6F2BE535" w14:textId="77777777" w:rsidR="00933036" w:rsidRPr="002A4D76" w:rsidRDefault="00933036" w:rsidP="00933036">
      <w:pPr>
        <w:spacing w:before="0" w:after="120" w:line="240" w:lineRule="atLeast"/>
        <w:rPr>
          <w:rFonts w:asciiTheme="minorHAnsi" w:eastAsia="+mn-ea" w:hAnsiTheme="minorHAnsi" w:cstheme="minorHAnsi"/>
          <w:szCs w:val="20"/>
        </w:rPr>
      </w:pPr>
      <w:r w:rsidRPr="002A4D76">
        <w:rPr>
          <w:rFonts w:asciiTheme="minorHAnsi" w:eastAsia="+mn-ea" w:hAnsiTheme="minorHAnsi" w:cstheme="minorHAnsi"/>
          <w:szCs w:val="20"/>
        </w:rPr>
        <w:t>The type and level of assurance required should be d</w:t>
      </w:r>
      <w:r w:rsidR="006F0D5C">
        <w:rPr>
          <w:rFonts w:asciiTheme="minorHAnsi" w:eastAsia="+mn-ea" w:hAnsiTheme="minorHAnsi" w:cstheme="minorHAnsi"/>
          <w:szCs w:val="20"/>
        </w:rPr>
        <w:t>etermined in the context of an A</w:t>
      </w:r>
      <w:r w:rsidRPr="002A4D76">
        <w:rPr>
          <w:rFonts w:asciiTheme="minorHAnsi" w:eastAsia="+mn-ea" w:hAnsiTheme="minorHAnsi" w:cstheme="minorHAnsi"/>
          <w:szCs w:val="20"/>
        </w:rPr>
        <w:t>gency’</w:t>
      </w:r>
      <w:r w:rsidR="000501DE">
        <w:rPr>
          <w:rFonts w:asciiTheme="minorHAnsi" w:eastAsia="+mn-ea" w:hAnsiTheme="minorHAnsi" w:cstheme="minorHAnsi"/>
          <w:szCs w:val="20"/>
        </w:rPr>
        <w:t>s individual risk profile (e.g. </w:t>
      </w:r>
      <w:r w:rsidRPr="002A4D76">
        <w:rPr>
          <w:rFonts w:asciiTheme="minorHAnsi" w:eastAsia="+mn-ea" w:hAnsiTheme="minorHAnsi" w:cstheme="minorHAnsi"/>
          <w:szCs w:val="20"/>
        </w:rPr>
        <w:t>complexity of operations and size) and be factored in as part of the initial contract negotiation. The service contract should also provide access to the servic</w:t>
      </w:r>
      <w:r w:rsidR="006F0D5C">
        <w:rPr>
          <w:rFonts w:asciiTheme="minorHAnsi" w:eastAsia="+mn-ea" w:hAnsiTheme="minorHAnsi" w:cstheme="minorHAnsi"/>
          <w:szCs w:val="20"/>
        </w:rPr>
        <w:t>e provider’s information by an A</w:t>
      </w:r>
      <w:r w:rsidRPr="002A4D76">
        <w:rPr>
          <w:rFonts w:asciiTheme="minorHAnsi" w:eastAsia="+mn-ea" w:hAnsiTheme="minorHAnsi" w:cstheme="minorHAnsi"/>
          <w:szCs w:val="20"/>
        </w:rPr>
        <w:t>gency’s internal and external auditors.</w:t>
      </w:r>
    </w:p>
    <w:p w14:paraId="0205107A" w14:textId="77777777" w:rsidR="001326A1" w:rsidRDefault="00933036" w:rsidP="00933036">
      <w:pPr>
        <w:spacing w:before="0" w:after="120" w:line="240" w:lineRule="atLeast"/>
        <w:rPr>
          <w:rFonts w:asciiTheme="minorHAnsi" w:eastAsia="+mn-ea" w:hAnsiTheme="minorHAnsi" w:cstheme="minorHAnsi"/>
          <w:szCs w:val="20"/>
        </w:rPr>
      </w:pPr>
      <w:r w:rsidRPr="000501DE">
        <w:rPr>
          <w:rFonts w:asciiTheme="minorHAnsi" w:eastAsia="+mn-ea" w:hAnsiTheme="minorHAnsi" w:cstheme="minorHAnsi"/>
          <w:b/>
          <w:szCs w:val="20"/>
        </w:rPr>
        <w:t>Note</w:t>
      </w:r>
      <w:r w:rsidR="006F0D5C">
        <w:rPr>
          <w:rFonts w:asciiTheme="minorHAnsi" w:eastAsia="+mn-ea" w:hAnsiTheme="minorHAnsi" w:cstheme="minorHAnsi"/>
          <w:szCs w:val="20"/>
        </w:rPr>
        <w:t>: If an A</w:t>
      </w:r>
      <w:r w:rsidRPr="002A4D76">
        <w:rPr>
          <w:rFonts w:asciiTheme="minorHAnsi" w:eastAsia="+mn-ea" w:hAnsiTheme="minorHAnsi" w:cstheme="minorHAnsi"/>
          <w:szCs w:val="20"/>
        </w:rPr>
        <w:t>gency is aware that severa</w:t>
      </w:r>
      <w:r w:rsidR="00453706">
        <w:rPr>
          <w:rFonts w:asciiTheme="minorHAnsi" w:eastAsia="+mn-ea" w:hAnsiTheme="minorHAnsi" w:cstheme="minorHAnsi"/>
          <w:szCs w:val="20"/>
        </w:rPr>
        <w:t>l A</w:t>
      </w:r>
      <w:r w:rsidRPr="002A4D76">
        <w:rPr>
          <w:rFonts w:asciiTheme="minorHAnsi" w:eastAsia="+mn-ea" w:hAnsiTheme="minorHAnsi" w:cstheme="minorHAnsi"/>
          <w:szCs w:val="20"/>
        </w:rPr>
        <w:t>gencies are using the same outsourced service provider, it may i</w:t>
      </w:r>
      <w:r w:rsidR="00453706">
        <w:rPr>
          <w:rFonts w:asciiTheme="minorHAnsi" w:eastAsia="+mn-ea" w:hAnsiTheme="minorHAnsi" w:cstheme="minorHAnsi"/>
          <w:szCs w:val="20"/>
        </w:rPr>
        <w:t>nitiate discussions with those A</w:t>
      </w:r>
      <w:r w:rsidRPr="002A4D76">
        <w:rPr>
          <w:rFonts w:asciiTheme="minorHAnsi" w:eastAsia="+mn-ea" w:hAnsiTheme="minorHAnsi" w:cstheme="minorHAnsi"/>
          <w:szCs w:val="20"/>
        </w:rPr>
        <w:t>gencies and the provider to obtain a combined assurance report. However, such a report should meet the indi</w:t>
      </w:r>
      <w:r w:rsidR="006F0D5C">
        <w:rPr>
          <w:rFonts w:asciiTheme="minorHAnsi" w:eastAsia="+mn-ea" w:hAnsiTheme="minorHAnsi" w:cstheme="minorHAnsi"/>
          <w:szCs w:val="20"/>
        </w:rPr>
        <w:t>vidual assurance needs of each A</w:t>
      </w:r>
      <w:r w:rsidRPr="002A4D76">
        <w:rPr>
          <w:rFonts w:asciiTheme="minorHAnsi" w:eastAsia="+mn-ea" w:hAnsiTheme="minorHAnsi" w:cstheme="minorHAnsi"/>
          <w:szCs w:val="20"/>
        </w:rPr>
        <w:t>gency.</w:t>
      </w:r>
    </w:p>
    <w:p w14:paraId="529795DA" w14:textId="77777777" w:rsidR="00933036" w:rsidRPr="00DC26F6" w:rsidRDefault="00933036" w:rsidP="00933036">
      <w:pPr>
        <w:spacing w:before="0" w:after="200" w:line="276" w:lineRule="auto"/>
        <w:rPr>
          <w:rFonts w:asciiTheme="minorHAnsi" w:eastAsia="+mn-ea" w:hAnsiTheme="minorHAnsi" w:cstheme="minorHAnsi"/>
          <w:szCs w:val="20"/>
        </w:rPr>
      </w:pPr>
      <w:r w:rsidRPr="002A4D76">
        <w:t>The following options for obtaining assurance may be considered:</w:t>
      </w:r>
    </w:p>
    <w:tbl>
      <w:tblPr>
        <w:tblStyle w:val="LightShading"/>
        <w:tblW w:w="9923" w:type="dxa"/>
        <w:shd w:val="clear" w:color="auto" w:fill="FFFFFF" w:themeFill="background1"/>
        <w:tblLook w:val="04A0" w:firstRow="1" w:lastRow="0" w:firstColumn="1" w:lastColumn="0" w:noHBand="0" w:noVBand="1"/>
      </w:tblPr>
      <w:tblGrid>
        <w:gridCol w:w="1843"/>
        <w:gridCol w:w="8080"/>
      </w:tblGrid>
      <w:tr w:rsidR="00933036" w:rsidRPr="00CA6CEE" w14:paraId="749FA1BA" w14:textId="77777777" w:rsidTr="002D61D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F2F2F2" w:themeFill="background1" w:themeFillShade="F2"/>
          </w:tcPr>
          <w:p w14:paraId="1C5CA01E" w14:textId="77777777" w:rsidR="00933036" w:rsidRPr="00CA6CEE" w:rsidRDefault="00933036" w:rsidP="00421E99">
            <w:pPr>
              <w:spacing w:before="0" w:after="120" w:line="240" w:lineRule="atLeast"/>
              <w:rPr>
                <w:rFonts w:asciiTheme="minorHAnsi" w:eastAsia="+mn-ea" w:hAnsiTheme="minorHAnsi" w:cstheme="minorHAnsi"/>
                <w:sz w:val="18"/>
                <w:szCs w:val="18"/>
              </w:rPr>
            </w:pPr>
            <w:r w:rsidRPr="00CA6CEE">
              <w:rPr>
                <w:rFonts w:asciiTheme="minorHAnsi" w:eastAsia="+mn-ea" w:hAnsiTheme="minorHAnsi" w:cstheme="minorHAnsi"/>
                <w:sz w:val="18"/>
                <w:szCs w:val="18"/>
              </w:rPr>
              <w:t>Option 1:</w:t>
            </w:r>
          </w:p>
          <w:p w14:paraId="28776329" w14:textId="77777777" w:rsidR="00933036" w:rsidRPr="00CA6CEE" w:rsidRDefault="00933036" w:rsidP="00421E99">
            <w:pPr>
              <w:spacing w:before="0" w:after="120" w:line="240" w:lineRule="atLeast"/>
              <w:rPr>
                <w:rFonts w:asciiTheme="minorHAnsi" w:eastAsia="+mn-ea" w:hAnsiTheme="minorHAnsi" w:cstheme="minorHAnsi"/>
                <w:sz w:val="18"/>
                <w:szCs w:val="18"/>
              </w:rPr>
            </w:pPr>
            <w:r w:rsidRPr="00CA6CEE">
              <w:rPr>
                <w:rFonts w:asciiTheme="minorHAnsi" w:eastAsia="+mn-ea" w:hAnsiTheme="minorHAnsi" w:cstheme="minorHAnsi"/>
                <w:sz w:val="18"/>
                <w:szCs w:val="18"/>
              </w:rPr>
              <w:t>Assurance from the outsourced service provider</w:t>
            </w:r>
          </w:p>
        </w:tc>
        <w:tc>
          <w:tcPr>
            <w:tcW w:w="8080" w:type="dxa"/>
            <w:shd w:val="clear" w:color="auto" w:fill="FFFFFF" w:themeFill="background1"/>
          </w:tcPr>
          <w:p w14:paraId="0723E195" w14:textId="77777777" w:rsidR="00933036" w:rsidRPr="00CA6CEE" w:rsidRDefault="00933036" w:rsidP="00421E99">
            <w:pPr>
              <w:spacing w:before="0" w:after="120" w:line="240" w:lineRule="atLeast"/>
              <w:cnfStyle w:val="100000000000" w:firstRow="1" w:lastRow="0" w:firstColumn="0" w:lastColumn="0" w:oddVBand="0" w:evenVBand="0" w:oddHBand="0" w:evenHBand="0" w:firstRowFirstColumn="0" w:firstRowLastColumn="0" w:lastRowFirstColumn="0" w:lastRowLastColumn="0"/>
              <w:rPr>
                <w:rFonts w:asciiTheme="minorHAnsi" w:eastAsia="+mn-ea" w:hAnsiTheme="minorHAnsi" w:cstheme="minorHAnsi"/>
                <w:b w:val="0"/>
                <w:bCs w:val="0"/>
                <w:sz w:val="18"/>
                <w:szCs w:val="18"/>
              </w:rPr>
            </w:pPr>
            <w:r w:rsidRPr="003960F3">
              <w:rPr>
                <w:rFonts w:asciiTheme="minorHAnsi" w:eastAsia="+mn-ea" w:hAnsiTheme="minorHAnsi"/>
                <w:sz w:val="18"/>
              </w:rPr>
              <w:t>This may be either:</w:t>
            </w:r>
          </w:p>
          <w:p w14:paraId="0691C1C3" w14:textId="77777777" w:rsidR="00933036" w:rsidRPr="00CA6CEE" w:rsidRDefault="00933036" w:rsidP="000B15FD">
            <w:pPr>
              <w:numPr>
                <w:ilvl w:val="0"/>
                <w:numId w:val="14"/>
              </w:numPr>
              <w:spacing w:before="0" w:after="120" w:line="240" w:lineRule="atLeast"/>
              <w:contextualSpacing/>
              <w:cnfStyle w:val="100000000000" w:firstRow="1" w:lastRow="0" w:firstColumn="0" w:lastColumn="0" w:oddVBand="0" w:evenVBand="0" w:oddHBand="0" w:evenHBand="0" w:firstRowFirstColumn="0" w:firstRowLastColumn="0" w:lastRowFirstColumn="0" w:lastRowLastColumn="0"/>
              <w:rPr>
                <w:rFonts w:asciiTheme="minorHAnsi" w:eastAsia="+mn-ea" w:hAnsiTheme="minorHAnsi" w:cstheme="minorHAnsi"/>
                <w:b w:val="0"/>
                <w:sz w:val="18"/>
                <w:szCs w:val="18"/>
              </w:rPr>
            </w:pPr>
            <w:r w:rsidRPr="003960F3">
              <w:rPr>
                <w:rFonts w:asciiTheme="minorHAnsi" w:eastAsia="+mn-ea" w:hAnsiTheme="minorHAnsi"/>
                <w:sz w:val="18"/>
              </w:rPr>
              <w:t xml:space="preserve">A </w:t>
            </w:r>
            <w:r w:rsidRPr="00CA6CEE">
              <w:rPr>
                <w:rFonts w:asciiTheme="minorHAnsi" w:eastAsia="+mn-ea" w:hAnsiTheme="minorHAnsi" w:cstheme="minorHAnsi"/>
                <w:sz w:val="18"/>
                <w:szCs w:val="18"/>
              </w:rPr>
              <w:t>publicly available opinion</w:t>
            </w:r>
            <w:r w:rsidRPr="003960F3">
              <w:rPr>
                <w:rFonts w:asciiTheme="minorHAnsi" w:eastAsia="+mn-ea" w:hAnsiTheme="minorHAnsi"/>
                <w:sz w:val="18"/>
              </w:rPr>
              <w:t xml:space="preserve"> on internal control (usually this is an opinion in accordance with Australian Auditing Standards that is made available to all customers of the outsourced service provider); or</w:t>
            </w:r>
          </w:p>
          <w:p w14:paraId="20C304E6" w14:textId="77777777" w:rsidR="00933036" w:rsidRPr="00CA6CEE" w:rsidRDefault="00933036" w:rsidP="000B15FD">
            <w:pPr>
              <w:numPr>
                <w:ilvl w:val="0"/>
                <w:numId w:val="14"/>
              </w:numPr>
              <w:spacing w:before="0" w:after="120" w:line="240" w:lineRule="atLeast"/>
              <w:cnfStyle w:val="100000000000" w:firstRow="1" w:lastRow="0" w:firstColumn="0" w:lastColumn="0" w:oddVBand="0" w:evenVBand="0" w:oddHBand="0" w:evenHBand="0" w:firstRowFirstColumn="0" w:firstRowLastColumn="0" w:lastRowFirstColumn="0" w:lastRowLastColumn="0"/>
              <w:rPr>
                <w:rFonts w:eastAsia="+mn-ea" w:cstheme="minorHAnsi"/>
                <w:sz w:val="18"/>
                <w:szCs w:val="18"/>
              </w:rPr>
            </w:pPr>
            <w:r w:rsidRPr="003960F3">
              <w:rPr>
                <w:rFonts w:asciiTheme="minorHAnsi" w:eastAsia="+mn-ea" w:hAnsiTheme="minorHAnsi"/>
                <w:sz w:val="18"/>
              </w:rPr>
              <w:t xml:space="preserve">An </w:t>
            </w:r>
            <w:r w:rsidRPr="00CA6CEE">
              <w:rPr>
                <w:rFonts w:asciiTheme="minorHAnsi" w:eastAsia="+mn-ea" w:hAnsiTheme="minorHAnsi" w:cstheme="minorHAnsi"/>
                <w:sz w:val="18"/>
                <w:szCs w:val="18"/>
              </w:rPr>
              <w:t>opinion or report specifically designed</w:t>
            </w:r>
            <w:r w:rsidRPr="003960F3">
              <w:rPr>
                <w:rFonts w:asciiTheme="minorHAnsi" w:eastAsia="+mn-ea" w:hAnsiTheme="minorHAnsi"/>
                <w:sz w:val="18"/>
              </w:rPr>
              <w:t xml:space="preserve"> (e.g. letter </w:t>
            </w:r>
            <w:r w:rsidR="006F0D5C" w:rsidRPr="003960F3">
              <w:rPr>
                <w:rFonts w:asciiTheme="minorHAnsi" w:eastAsia="+mn-ea" w:hAnsiTheme="minorHAnsi"/>
                <w:sz w:val="18"/>
              </w:rPr>
              <w:t>of comfort) for the use of the A</w:t>
            </w:r>
            <w:r w:rsidRPr="003960F3">
              <w:rPr>
                <w:rFonts w:asciiTheme="minorHAnsi" w:eastAsia="+mn-ea" w:hAnsiTheme="minorHAnsi"/>
                <w:sz w:val="18"/>
              </w:rPr>
              <w:t xml:space="preserve">gency. In these instances, a tailored scope of work will typically be </w:t>
            </w:r>
            <w:r w:rsidR="006F0D5C" w:rsidRPr="00CA6CEE">
              <w:rPr>
                <w:rFonts w:asciiTheme="minorHAnsi" w:eastAsia="+mn-ea" w:hAnsiTheme="minorHAnsi" w:cstheme="minorHAnsi"/>
                <w:sz w:val="18"/>
                <w:szCs w:val="18"/>
              </w:rPr>
              <w:t>requested by the A</w:t>
            </w:r>
            <w:r w:rsidRPr="00CA6CEE">
              <w:rPr>
                <w:rFonts w:asciiTheme="minorHAnsi" w:eastAsia="+mn-ea" w:hAnsiTheme="minorHAnsi" w:cstheme="minorHAnsi"/>
                <w:sz w:val="18"/>
                <w:szCs w:val="18"/>
              </w:rPr>
              <w:t>gency</w:t>
            </w:r>
            <w:r w:rsidRPr="003960F3">
              <w:rPr>
                <w:rFonts w:asciiTheme="minorHAnsi" w:eastAsia="+mn-ea" w:hAnsiTheme="minorHAnsi"/>
                <w:sz w:val="18"/>
              </w:rPr>
              <w:t>, but the work is performed and report provided by the outsourced service provider’s internal or external auditors.</w:t>
            </w:r>
          </w:p>
        </w:tc>
      </w:tr>
      <w:tr w:rsidR="00933036" w:rsidRPr="00CA6CEE" w14:paraId="64B86623" w14:textId="77777777" w:rsidTr="002D61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shd w:val="clear" w:color="auto" w:fill="F2F2F2" w:themeFill="background1" w:themeFillShade="F2"/>
          </w:tcPr>
          <w:p w14:paraId="2B0C42ED" w14:textId="77777777" w:rsidR="00933036" w:rsidRPr="00CA6CEE" w:rsidRDefault="00933036" w:rsidP="00421E99">
            <w:pPr>
              <w:spacing w:before="0" w:after="120" w:line="240" w:lineRule="atLeast"/>
              <w:rPr>
                <w:rFonts w:asciiTheme="minorHAnsi" w:eastAsia="+mn-ea" w:hAnsiTheme="minorHAnsi" w:cstheme="minorHAnsi"/>
                <w:b/>
                <w:sz w:val="18"/>
                <w:szCs w:val="18"/>
              </w:rPr>
            </w:pPr>
            <w:r w:rsidRPr="00CA6CEE">
              <w:rPr>
                <w:rFonts w:asciiTheme="minorHAnsi" w:eastAsia="+mn-ea" w:hAnsiTheme="minorHAnsi" w:cstheme="minorHAnsi"/>
                <w:b/>
                <w:sz w:val="18"/>
                <w:szCs w:val="18"/>
              </w:rPr>
              <w:t>Option 2:</w:t>
            </w:r>
          </w:p>
          <w:p w14:paraId="1070365F" w14:textId="77777777" w:rsidR="00933036" w:rsidRPr="00CA6CEE" w:rsidRDefault="00933036" w:rsidP="00421E99">
            <w:pPr>
              <w:spacing w:before="0" w:after="120" w:line="240" w:lineRule="atLeast"/>
              <w:rPr>
                <w:rFonts w:asciiTheme="minorHAnsi" w:eastAsia="+mn-ea" w:hAnsiTheme="minorHAnsi" w:cstheme="minorHAnsi"/>
                <w:b/>
                <w:sz w:val="18"/>
                <w:szCs w:val="18"/>
              </w:rPr>
            </w:pPr>
            <w:r w:rsidRPr="00CA6CEE">
              <w:rPr>
                <w:rFonts w:asciiTheme="minorHAnsi" w:eastAsia="+mn-ea" w:hAnsiTheme="minorHAnsi" w:cstheme="minorHAnsi"/>
                <w:b/>
                <w:sz w:val="18"/>
                <w:szCs w:val="18"/>
              </w:rPr>
              <w:t>Assurance provided by an independent auditor</w:t>
            </w:r>
          </w:p>
        </w:tc>
        <w:tc>
          <w:tcPr>
            <w:tcW w:w="8080" w:type="dxa"/>
          </w:tcPr>
          <w:p w14:paraId="3BE29DCC" w14:textId="77777777" w:rsidR="00933036" w:rsidRPr="00CA6CEE" w:rsidRDefault="006F0D5C" w:rsidP="00CA6CE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An A</w:t>
            </w:r>
            <w:r w:rsidR="00933036" w:rsidRPr="00CA6CEE">
              <w:rPr>
                <w:rFonts w:asciiTheme="minorHAnsi" w:eastAsia="+mn-ea" w:hAnsiTheme="minorHAnsi" w:cstheme="minorHAnsi"/>
                <w:sz w:val="18"/>
                <w:szCs w:val="18"/>
              </w:rPr>
              <w:t xml:space="preserve">gency may arrange for an </w:t>
            </w:r>
            <w:r w:rsidR="00933036" w:rsidRPr="00CA6CEE">
              <w:rPr>
                <w:rFonts w:asciiTheme="minorHAnsi" w:eastAsia="+mn-ea" w:hAnsiTheme="minorHAnsi" w:cstheme="minorHAnsi"/>
                <w:b/>
                <w:sz w:val="18"/>
                <w:szCs w:val="18"/>
              </w:rPr>
              <w:t>independent auditor</w:t>
            </w:r>
            <w:r w:rsidRPr="00CA6CEE">
              <w:rPr>
                <w:rFonts w:asciiTheme="minorHAnsi" w:eastAsia="+mn-ea" w:hAnsiTheme="minorHAnsi" w:cstheme="minorHAnsi"/>
                <w:sz w:val="18"/>
                <w:szCs w:val="18"/>
              </w:rPr>
              <w:t xml:space="preserve"> (e.g. the A</w:t>
            </w:r>
            <w:r w:rsidR="00933036" w:rsidRPr="00CA6CEE">
              <w:rPr>
                <w:rFonts w:asciiTheme="minorHAnsi" w:eastAsia="+mn-ea" w:hAnsiTheme="minorHAnsi" w:cstheme="minorHAnsi"/>
                <w:sz w:val="18"/>
                <w:szCs w:val="18"/>
              </w:rPr>
              <w:t>gency’s internal auditor or a third party) to visit the outsourced service provider to obtain assurance.</w:t>
            </w:r>
          </w:p>
          <w:p w14:paraId="7FCC794A" w14:textId="77777777" w:rsidR="00933036" w:rsidRPr="00CA6CEE" w:rsidRDefault="00933036" w:rsidP="00CA6CE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 xml:space="preserve">In these instances, the </w:t>
            </w:r>
            <w:r w:rsidR="006F0D5C" w:rsidRPr="00CA6CEE">
              <w:rPr>
                <w:rFonts w:asciiTheme="minorHAnsi" w:eastAsia="+mn-ea" w:hAnsiTheme="minorHAnsi" w:cstheme="minorHAnsi"/>
                <w:sz w:val="18"/>
                <w:szCs w:val="18"/>
              </w:rPr>
              <w:t>A</w:t>
            </w:r>
            <w:r w:rsidRPr="00CA6CEE">
              <w:rPr>
                <w:rFonts w:asciiTheme="minorHAnsi" w:eastAsia="+mn-ea" w:hAnsiTheme="minorHAnsi" w:cstheme="minorHAnsi"/>
                <w:sz w:val="18"/>
                <w:szCs w:val="18"/>
              </w:rPr>
              <w:t xml:space="preserve">gency will determine the scope of work and results will be reported in a format the </w:t>
            </w:r>
            <w:r w:rsidR="006F0D5C" w:rsidRPr="00CA6CEE">
              <w:rPr>
                <w:rFonts w:asciiTheme="minorHAnsi" w:eastAsia="+mn-ea" w:hAnsiTheme="minorHAnsi" w:cstheme="minorHAnsi"/>
                <w:sz w:val="18"/>
                <w:szCs w:val="18"/>
              </w:rPr>
              <w:t>A</w:t>
            </w:r>
            <w:r w:rsidRPr="00CA6CEE">
              <w:rPr>
                <w:rFonts w:asciiTheme="minorHAnsi" w:eastAsia="+mn-ea" w:hAnsiTheme="minorHAnsi" w:cstheme="minorHAnsi"/>
                <w:sz w:val="18"/>
                <w:szCs w:val="18"/>
              </w:rPr>
              <w:t>gency is familiar with.</w:t>
            </w:r>
          </w:p>
          <w:p w14:paraId="62561872" w14:textId="77777777" w:rsidR="00933036" w:rsidRPr="00CA6CEE" w:rsidRDefault="00933036" w:rsidP="00CA6CEE">
            <w:pPr>
              <w:spacing w:before="60" w:after="60" w:line="240" w:lineRule="atLeast"/>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Factors that need to be considered in interpreting the results include, but are not necessarily limited to:</w:t>
            </w:r>
          </w:p>
          <w:p w14:paraId="1BF4C454" w14:textId="77777777" w:rsidR="00933036" w:rsidRPr="00CA6CEE" w:rsidRDefault="00933036" w:rsidP="000B15FD">
            <w:pPr>
              <w:numPr>
                <w:ilvl w:val="0"/>
                <w:numId w:val="15"/>
              </w:numPr>
              <w:spacing w:before="0" w:after="120" w:line="240" w:lineRule="atLeast"/>
              <w:contextualSpacing/>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 xml:space="preserve">What type of opinion or report has been issued?  </w:t>
            </w:r>
          </w:p>
          <w:p w14:paraId="181C881C" w14:textId="77777777" w:rsidR="00933036" w:rsidRPr="00CA6CEE" w:rsidRDefault="00933036" w:rsidP="000B15FD">
            <w:pPr>
              <w:numPr>
                <w:ilvl w:val="0"/>
                <w:numId w:val="16"/>
              </w:numPr>
              <w:spacing w:before="0" w:after="120" w:line="240" w:lineRule="atLeast"/>
              <w:contextualSpacing/>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 xml:space="preserve">Is there a reference to an auditing standard? If so, is there an expression of the level of assurance provided and are there any limitations on scope referred to? </w:t>
            </w:r>
          </w:p>
          <w:p w14:paraId="199E597D" w14:textId="77777777" w:rsidR="00933036" w:rsidRPr="00CA6CEE" w:rsidRDefault="00933036" w:rsidP="000B15FD">
            <w:pPr>
              <w:numPr>
                <w:ilvl w:val="0"/>
                <w:numId w:val="15"/>
              </w:numPr>
              <w:spacing w:before="0" w:after="120" w:line="240" w:lineRule="atLeast"/>
              <w:contextualSpacing/>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 xml:space="preserve">What period of time is covered by the opinion or report? </w:t>
            </w:r>
          </w:p>
          <w:p w14:paraId="6ADBD68A" w14:textId="77777777" w:rsidR="00933036" w:rsidRPr="00CA6CEE" w:rsidRDefault="00933036" w:rsidP="000B15FD">
            <w:pPr>
              <w:numPr>
                <w:ilvl w:val="0"/>
                <w:numId w:val="16"/>
              </w:numPr>
              <w:spacing w:before="0" w:after="120" w:line="240" w:lineRule="atLeast"/>
              <w:contextualSpacing/>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Is this consistent with</w:t>
            </w:r>
            <w:r w:rsidR="006F0D5C" w:rsidRPr="00CA6CEE">
              <w:rPr>
                <w:rFonts w:asciiTheme="minorHAnsi" w:eastAsia="+mn-ea" w:hAnsiTheme="minorHAnsi" w:cstheme="minorHAnsi"/>
                <w:sz w:val="18"/>
                <w:szCs w:val="18"/>
              </w:rPr>
              <w:t xml:space="preserve"> the period of interest to the A</w:t>
            </w:r>
            <w:r w:rsidRPr="00CA6CEE">
              <w:rPr>
                <w:rFonts w:asciiTheme="minorHAnsi" w:eastAsia="+mn-ea" w:hAnsiTheme="minorHAnsi" w:cstheme="minorHAnsi"/>
                <w:sz w:val="18"/>
                <w:szCs w:val="18"/>
              </w:rPr>
              <w:t>gency?</w:t>
            </w:r>
          </w:p>
          <w:p w14:paraId="0EC26CF0" w14:textId="77777777" w:rsidR="00933036" w:rsidRPr="00CA6CEE" w:rsidRDefault="00933036" w:rsidP="000B15FD">
            <w:pPr>
              <w:numPr>
                <w:ilvl w:val="0"/>
                <w:numId w:val="15"/>
              </w:numPr>
              <w:spacing w:before="0" w:after="120" w:line="240" w:lineRule="atLeast"/>
              <w:contextualSpacing/>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 xml:space="preserve">What locations, specific business processes and/or transactions have been reviewed and reported on? </w:t>
            </w:r>
          </w:p>
          <w:p w14:paraId="53D9EFF4" w14:textId="77777777" w:rsidR="00933036" w:rsidRPr="00CA6CEE" w:rsidRDefault="00933036" w:rsidP="000B15FD">
            <w:pPr>
              <w:numPr>
                <w:ilvl w:val="0"/>
                <w:numId w:val="17"/>
              </w:numPr>
              <w:spacing w:before="0" w:after="120" w:line="240" w:lineRule="atLeast"/>
              <w:contextualSpacing/>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 xml:space="preserve">Do these cover the full scope of the </w:t>
            </w:r>
            <w:r w:rsidR="006F0D5C" w:rsidRPr="00CA6CEE">
              <w:rPr>
                <w:rFonts w:asciiTheme="minorHAnsi" w:eastAsia="+mn-ea" w:hAnsiTheme="minorHAnsi" w:cstheme="minorHAnsi"/>
                <w:sz w:val="18"/>
                <w:szCs w:val="18"/>
              </w:rPr>
              <w:t>A</w:t>
            </w:r>
            <w:r w:rsidRPr="00CA6CEE">
              <w:rPr>
                <w:rFonts w:asciiTheme="minorHAnsi" w:eastAsia="+mn-ea" w:hAnsiTheme="minorHAnsi" w:cstheme="minorHAnsi"/>
                <w:sz w:val="18"/>
                <w:szCs w:val="18"/>
              </w:rPr>
              <w:t xml:space="preserve">gency’s activities or transactions provided by the outsourced service provider? If not, are the activities or transactions not covered </w:t>
            </w:r>
            <w:r w:rsidR="006F0D5C" w:rsidRPr="00CA6CEE">
              <w:rPr>
                <w:rFonts w:asciiTheme="minorHAnsi" w:eastAsia="+mn-ea" w:hAnsiTheme="minorHAnsi" w:cstheme="minorHAnsi"/>
                <w:sz w:val="18"/>
                <w:szCs w:val="18"/>
              </w:rPr>
              <w:t>material or significant to the A</w:t>
            </w:r>
            <w:r w:rsidRPr="00CA6CEE">
              <w:rPr>
                <w:rFonts w:asciiTheme="minorHAnsi" w:eastAsia="+mn-ea" w:hAnsiTheme="minorHAnsi" w:cstheme="minorHAnsi"/>
                <w:sz w:val="18"/>
                <w:szCs w:val="18"/>
              </w:rPr>
              <w:t>gency?</w:t>
            </w:r>
          </w:p>
          <w:p w14:paraId="6AD74964" w14:textId="77777777" w:rsidR="00933036" w:rsidRPr="00CA6CEE" w:rsidRDefault="00933036" w:rsidP="000B15FD">
            <w:pPr>
              <w:numPr>
                <w:ilvl w:val="0"/>
                <w:numId w:val="15"/>
              </w:numPr>
              <w:spacing w:before="0" w:after="120" w:line="240" w:lineRule="atLeast"/>
              <w:contextualSpacing/>
              <w:cnfStyle w:val="000000100000" w:firstRow="0" w:lastRow="0" w:firstColumn="0" w:lastColumn="0" w:oddVBand="0" w:evenVBand="0" w:oddHBand="1" w:evenHBand="0" w:firstRowFirstColumn="0" w:firstRowLastColumn="0" w:lastRowFirstColumn="0" w:lastRowLastColumn="0"/>
              <w:rPr>
                <w:rFonts w:asciiTheme="minorHAnsi" w:eastAsia="+mn-ea" w:hAnsiTheme="minorHAnsi" w:cstheme="minorHAnsi"/>
                <w:sz w:val="18"/>
                <w:szCs w:val="18"/>
              </w:rPr>
            </w:pPr>
            <w:r w:rsidRPr="00CA6CEE">
              <w:rPr>
                <w:rFonts w:asciiTheme="minorHAnsi" w:eastAsia="+mn-ea" w:hAnsiTheme="minorHAnsi" w:cstheme="minorHAnsi"/>
                <w:sz w:val="18"/>
                <w:szCs w:val="18"/>
              </w:rPr>
              <w:t>What issues or concerns have been identified?  What is their impact?</w:t>
            </w:r>
          </w:p>
          <w:p w14:paraId="602774CA" w14:textId="77777777" w:rsidR="00933036" w:rsidRPr="00CA6CEE" w:rsidRDefault="00933036" w:rsidP="000B15FD">
            <w:pPr>
              <w:numPr>
                <w:ilvl w:val="0"/>
                <w:numId w:val="15"/>
              </w:numPr>
              <w:spacing w:before="0" w:after="120" w:line="240" w:lineRule="atLeast"/>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CA6CEE">
              <w:rPr>
                <w:rFonts w:asciiTheme="minorHAnsi" w:eastAsia="+mn-ea" w:hAnsiTheme="minorHAnsi" w:cstheme="minorHAnsi"/>
                <w:sz w:val="18"/>
                <w:szCs w:val="18"/>
              </w:rPr>
              <w:t>What resolution plans has the provider put in place?</w:t>
            </w:r>
            <w:r w:rsidRPr="00CA6CEE">
              <w:rPr>
                <w:rFonts w:eastAsia="+mn-ea" w:cstheme="minorHAnsi"/>
                <w:sz w:val="18"/>
                <w:szCs w:val="18"/>
              </w:rPr>
              <w:t xml:space="preserve">  </w:t>
            </w:r>
          </w:p>
        </w:tc>
      </w:tr>
    </w:tbl>
    <w:p w14:paraId="3A73C323" w14:textId="77777777" w:rsidR="00CA6CEE" w:rsidRDefault="00CA6CEE" w:rsidP="00CA6CEE">
      <w:pPr>
        <w:pStyle w:val="Spacer"/>
      </w:pPr>
    </w:p>
    <w:p w14:paraId="0BECACCC" w14:textId="77777777" w:rsidR="00413773" w:rsidRDefault="00EB2E2A" w:rsidP="00413773">
      <w:r>
        <w:t xml:space="preserve">Agencies are encouraged to closely consider, and act on, the findings in assurance reports. </w:t>
      </w:r>
    </w:p>
    <w:p w14:paraId="6EE6F5EF" w14:textId="7A18BA63" w:rsidR="00764EE3" w:rsidRPr="00B00577" w:rsidRDefault="00764EE3" w:rsidP="00764EE3">
      <w:r w:rsidRPr="00413773">
        <w:rPr>
          <w:b/>
          <w:bCs/>
        </w:rPr>
        <w:t>Financial information</w:t>
      </w:r>
      <w:r w:rsidR="00413773">
        <w:rPr>
          <w:b/>
          <w:bCs/>
        </w:rPr>
        <w:t>:</w:t>
      </w:r>
      <w:r>
        <w:t xml:space="preserve"> </w:t>
      </w:r>
      <w:hyperlink r:id="rId191" w:anchor="standing-directions-2018" w:history="1">
        <w:r w:rsidRPr="00D4158F">
          <w:rPr>
            <w:rStyle w:val="Hyperlink"/>
          </w:rPr>
          <w:t>Direction 3.9</w:t>
        </w:r>
      </w:hyperlink>
      <w:r>
        <w:t xml:space="preserve"> requires t</w:t>
      </w:r>
      <w:r w:rsidRPr="00B00577">
        <w:t xml:space="preserve">he Accountable Officer </w:t>
      </w:r>
      <w:r>
        <w:t xml:space="preserve">to </w:t>
      </w:r>
      <w:r w:rsidRPr="00B00577">
        <w:t>ensure that the Agency applies relevant legislation, standards and policies in relation to the management of financial information, including financial information systems</w:t>
      </w:r>
      <w:r>
        <w:t>.</w:t>
      </w:r>
      <w:r w:rsidR="008027F3">
        <w:t xml:space="preserve"> </w:t>
      </w:r>
      <w:r>
        <w:t xml:space="preserve">Appropriately managing financial information (including IT systems) is a key internal control of Agencies. For example, it may not be possible to have confidence in financial statements that have not been kept on adequate IT systems. Guidance 3.9 provides more guidance on managing financial information. </w:t>
      </w:r>
    </w:p>
    <w:p w14:paraId="1A1ABADD" w14:textId="40EFD8A4" w:rsidR="008A37A5" w:rsidRPr="008A37A5" w:rsidRDefault="00764EE3" w:rsidP="007F577D">
      <w:pPr>
        <w:pStyle w:val="GuidanceTitle"/>
      </w:pPr>
      <w:bookmarkStart w:id="31" w:name="Guidance_3_5"/>
      <w:r>
        <w:lastRenderedPageBreak/>
        <w:t>G</w:t>
      </w:r>
      <w:r w:rsidR="008A37A5" w:rsidRPr="008A37A5">
        <w:t>uidance 3.5</w:t>
      </w:r>
      <w:r w:rsidR="00961833">
        <w:t xml:space="preserve"> </w:t>
      </w:r>
      <w:bookmarkEnd w:id="31"/>
      <w:r w:rsidR="008A37A5" w:rsidRPr="008A37A5">
        <w:t xml:space="preserve">– </w:t>
      </w:r>
      <w:r w:rsidR="00961833">
        <w:t>F</w:t>
      </w:r>
      <w:r w:rsidR="008A37A5" w:rsidRPr="008A37A5">
        <w:t xml:space="preserve">raud, </w:t>
      </w:r>
      <w:r w:rsidR="00961833">
        <w:t>Corruption</w:t>
      </w:r>
      <w:r w:rsidR="008A37A5" w:rsidRPr="008A37A5">
        <w:t xml:space="preserve"> and </w:t>
      </w:r>
      <w:r w:rsidR="00961833">
        <w:t>O</w:t>
      </w:r>
      <w:r w:rsidR="008A37A5" w:rsidRPr="008A37A5">
        <w:t xml:space="preserve">ther </w:t>
      </w:r>
      <w:r w:rsidR="00961833">
        <w:t>L</w:t>
      </w:r>
      <w:r w:rsidR="008A37A5" w:rsidRPr="008A37A5">
        <w:t>osses</w:t>
      </w:r>
    </w:p>
    <w:p w14:paraId="0E7F7D8A" w14:textId="77777777" w:rsidR="008A37A5" w:rsidRPr="008A37A5" w:rsidRDefault="008A37A5" w:rsidP="008E306C">
      <w:pPr>
        <w:spacing w:before="0" w:after="0" w:line="120" w:lineRule="atLeast"/>
        <w:ind w:left="231"/>
        <w:rPr>
          <w:sz w:val="12"/>
        </w:rPr>
      </w:pPr>
    </w:p>
    <w:tbl>
      <w:tblPr>
        <w:tblStyle w:val="Table125"/>
        <w:tblW w:w="9900" w:type="dxa"/>
        <w:tblLook w:val="0080" w:firstRow="0" w:lastRow="0" w:firstColumn="1" w:lastColumn="0" w:noHBand="0" w:noVBand="0"/>
      </w:tblPr>
      <w:tblGrid>
        <w:gridCol w:w="3119"/>
        <w:gridCol w:w="6781"/>
      </w:tblGrid>
      <w:tr w:rsidR="008A37A5" w:rsidRPr="008A37A5" w14:paraId="70DF4C28"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BFFD506" w14:textId="77777777" w:rsidR="008A37A5" w:rsidRPr="008A37A5" w:rsidRDefault="008A37A5" w:rsidP="008A37A5">
            <w:pPr>
              <w:suppressAutoHyphens/>
              <w:autoSpaceDN w:val="0"/>
              <w:spacing w:before="40" w:after="40" w:line="260" w:lineRule="atLeast"/>
              <w:textAlignment w:val="baseline"/>
              <w:rPr>
                <w:b/>
                <w:sz w:val="18"/>
                <w:szCs w:val="20"/>
              </w:rPr>
            </w:pPr>
            <w:r w:rsidRPr="008A37A5">
              <w:rPr>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309C225E" w14:textId="77777777" w:rsidR="008A37A5" w:rsidRPr="008A37A5" w:rsidRDefault="008A37A5" w:rsidP="008A37A5">
            <w:pPr>
              <w:suppressAutoHyphens/>
              <w:autoSpaceDN w:val="0"/>
              <w:spacing w:before="40" w:after="40" w:line="260" w:lineRule="atLeast"/>
              <w:textAlignment w:val="baseline"/>
              <w:rPr>
                <w:sz w:val="18"/>
                <w:szCs w:val="20"/>
              </w:rPr>
            </w:pPr>
            <w:r w:rsidRPr="008A37A5">
              <w:rPr>
                <w:sz w:val="18"/>
                <w:szCs w:val="20"/>
              </w:rPr>
              <w:t>Provides further information to ass</w:t>
            </w:r>
            <w:r w:rsidR="00082B9F">
              <w:rPr>
                <w:sz w:val="18"/>
                <w:szCs w:val="20"/>
              </w:rPr>
              <w:t>ist Agencies in establishing a Fraud</w:t>
            </w:r>
            <w:r w:rsidR="00FD6DCA">
              <w:rPr>
                <w:sz w:val="18"/>
                <w:szCs w:val="20"/>
              </w:rPr>
              <w:t>,</w:t>
            </w:r>
            <w:r w:rsidR="00082B9F">
              <w:rPr>
                <w:sz w:val="18"/>
                <w:szCs w:val="20"/>
              </w:rPr>
              <w:t xml:space="preserve"> C</w:t>
            </w:r>
            <w:r w:rsidRPr="008A37A5">
              <w:rPr>
                <w:sz w:val="18"/>
                <w:szCs w:val="20"/>
              </w:rPr>
              <w:t>orruption</w:t>
            </w:r>
            <w:r w:rsidR="00FD6DCA">
              <w:rPr>
                <w:sz w:val="18"/>
                <w:szCs w:val="20"/>
              </w:rPr>
              <w:t xml:space="preserve"> and Other Losses prevention and management</w:t>
            </w:r>
            <w:r w:rsidRPr="008A37A5">
              <w:rPr>
                <w:sz w:val="18"/>
                <w:szCs w:val="20"/>
              </w:rPr>
              <w:t xml:space="preserve"> policy </w:t>
            </w:r>
            <w:r w:rsidR="00FD6DCA">
              <w:rPr>
                <w:sz w:val="18"/>
                <w:szCs w:val="20"/>
              </w:rPr>
              <w:t xml:space="preserve">and </w:t>
            </w:r>
            <w:r w:rsidRPr="008A37A5">
              <w:rPr>
                <w:sz w:val="18"/>
                <w:szCs w:val="20"/>
              </w:rPr>
              <w:t>establishing a sound control en</w:t>
            </w:r>
            <w:r w:rsidR="00082B9F">
              <w:rPr>
                <w:sz w:val="18"/>
                <w:szCs w:val="20"/>
              </w:rPr>
              <w:t>vironment and assess</w:t>
            </w:r>
            <w:r w:rsidR="00FD6DCA">
              <w:rPr>
                <w:sz w:val="18"/>
                <w:szCs w:val="20"/>
              </w:rPr>
              <w:t>ing</w:t>
            </w:r>
            <w:r w:rsidR="00082B9F">
              <w:rPr>
                <w:sz w:val="18"/>
                <w:szCs w:val="20"/>
              </w:rPr>
              <w:t xml:space="preserve"> risks of Fraud, Corruption and Other L</w:t>
            </w:r>
            <w:r w:rsidRPr="008A37A5">
              <w:rPr>
                <w:sz w:val="18"/>
                <w:szCs w:val="20"/>
              </w:rPr>
              <w:t>osses.</w:t>
            </w:r>
          </w:p>
        </w:tc>
      </w:tr>
      <w:tr w:rsidR="008A37A5" w:rsidRPr="008A37A5" w14:paraId="33864B4B"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1799CD5" w14:textId="77777777" w:rsidR="008A37A5" w:rsidRPr="008A37A5" w:rsidRDefault="008A37A5" w:rsidP="008A37A5">
            <w:pPr>
              <w:suppressAutoHyphens/>
              <w:autoSpaceDN w:val="0"/>
              <w:spacing w:before="40" w:after="40" w:line="260" w:lineRule="atLeast"/>
              <w:textAlignment w:val="baseline"/>
              <w:rPr>
                <w:b/>
                <w:sz w:val="18"/>
                <w:szCs w:val="20"/>
              </w:rPr>
            </w:pPr>
            <w:r w:rsidRPr="008A37A5">
              <w:rPr>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71826C6B" w14:textId="77777777" w:rsidR="008A37A5" w:rsidRPr="008A37A5" w:rsidRDefault="008A37A5" w:rsidP="008A37A5">
            <w:pPr>
              <w:spacing w:before="60" w:after="60" w:line="252" w:lineRule="auto"/>
              <w:rPr>
                <w:rFonts w:cs="Times New Roman"/>
                <w:bCs/>
                <w:sz w:val="18"/>
                <w:szCs w:val="20"/>
              </w:rPr>
            </w:pPr>
            <w:r w:rsidRPr="008A37A5">
              <w:rPr>
                <w:rFonts w:cs="Times New Roman"/>
                <w:bCs/>
                <w:sz w:val="18"/>
                <w:szCs w:val="20"/>
              </w:rPr>
              <w:t>1 July 2016</w:t>
            </w:r>
          </w:p>
        </w:tc>
      </w:tr>
      <w:tr w:rsidR="008A37A5" w:rsidRPr="008A37A5" w14:paraId="4B7509BC" w14:textId="77777777" w:rsidTr="008E3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20350FD" w14:textId="77777777" w:rsidR="008A37A5" w:rsidRPr="001326A1" w:rsidRDefault="008A37A5" w:rsidP="002A7DE1">
            <w:pPr>
              <w:suppressAutoHyphens/>
              <w:autoSpaceDN w:val="0"/>
              <w:spacing w:before="40" w:after="40" w:line="260" w:lineRule="atLeast"/>
              <w:textAlignment w:val="baseline"/>
              <w:rPr>
                <w:b/>
                <w:sz w:val="18"/>
                <w:szCs w:val="20"/>
              </w:rPr>
            </w:pPr>
            <w:r w:rsidRPr="001326A1">
              <w:rPr>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1446E476" w14:textId="04B86658" w:rsidR="008A37A5" w:rsidRPr="001326A1" w:rsidRDefault="008A37A5" w:rsidP="008A37A5">
            <w:pPr>
              <w:spacing w:before="60" w:after="60" w:line="252" w:lineRule="auto"/>
              <w:rPr>
                <w:rFonts w:cs="Times New Roman"/>
                <w:bCs/>
                <w:sz w:val="18"/>
                <w:szCs w:val="20"/>
              </w:rPr>
            </w:pPr>
            <w:hyperlink r:id="rId192" w:anchor="standing-directions-2018" w:history="1">
              <w:r w:rsidRPr="000D6C6C">
                <w:rPr>
                  <w:rStyle w:val="Hyperlink"/>
                  <w:rFonts w:cs="Times New Roman"/>
                  <w:bCs/>
                  <w:sz w:val="18"/>
                  <w:szCs w:val="20"/>
                </w:rPr>
                <w:t>3.2.1 Audit Committee</w:t>
              </w:r>
            </w:hyperlink>
          </w:p>
          <w:p w14:paraId="7EB74194" w14:textId="4AFB2A63" w:rsidR="008A37A5" w:rsidRPr="001326A1" w:rsidRDefault="008A37A5" w:rsidP="008A37A5">
            <w:pPr>
              <w:spacing w:before="60" w:after="60" w:line="252" w:lineRule="auto"/>
              <w:rPr>
                <w:rFonts w:cs="Times New Roman"/>
                <w:bCs/>
                <w:sz w:val="18"/>
                <w:szCs w:val="20"/>
              </w:rPr>
            </w:pPr>
            <w:hyperlink r:id="rId193" w:anchor="standing-directions-2018" w:history="1">
              <w:r w:rsidRPr="000D6C6C">
                <w:rPr>
                  <w:rStyle w:val="Hyperlink"/>
                  <w:rFonts w:cs="Times New Roman"/>
                  <w:bCs/>
                  <w:sz w:val="18"/>
                  <w:szCs w:val="20"/>
                </w:rPr>
                <w:t>3.4 Internal control system</w:t>
              </w:r>
            </w:hyperlink>
            <w:r w:rsidRPr="001326A1">
              <w:rPr>
                <w:rFonts w:cs="Times New Roman"/>
                <w:bCs/>
                <w:sz w:val="18"/>
                <w:szCs w:val="20"/>
              </w:rPr>
              <w:t xml:space="preserve"> </w:t>
            </w:r>
          </w:p>
          <w:p w14:paraId="575BCC3E" w14:textId="50929349" w:rsidR="008A37A5" w:rsidRPr="001326A1" w:rsidRDefault="008A37A5" w:rsidP="008A37A5">
            <w:pPr>
              <w:spacing w:before="60" w:after="60" w:line="252" w:lineRule="auto"/>
              <w:rPr>
                <w:rFonts w:cs="Times New Roman"/>
                <w:bCs/>
                <w:sz w:val="18"/>
                <w:szCs w:val="20"/>
              </w:rPr>
            </w:pPr>
            <w:hyperlink r:id="rId194" w:anchor="standing-directions-2018" w:history="1">
              <w:r w:rsidRPr="000D6C6C">
                <w:rPr>
                  <w:rStyle w:val="Hyperlink"/>
                  <w:rFonts w:cs="Times New Roman"/>
                  <w:bCs/>
                  <w:sz w:val="18"/>
                  <w:szCs w:val="20"/>
                </w:rPr>
                <w:t>3.</w:t>
              </w:r>
              <w:r w:rsidR="00961833" w:rsidRPr="000D6C6C">
                <w:rPr>
                  <w:rStyle w:val="Hyperlink"/>
                  <w:rFonts w:cs="Times New Roman"/>
                  <w:bCs/>
                  <w:sz w:val="18"/>
                  <w:szCs w:val="20"/>
                </w:rPr>
                <w:t xml:space="preserve">5 </w:t>
              </w:r>
              <w:r w:rsidR="00FB728C" w:rsidRPr="000D6C6C">
                <w:rPr>
                  <w:rStyle w:val="Hyperlink"/>
                  <w:rFonts w:cs="Times New Roman"/>
                  <w:bCs/>
                  <w:sz w:val="18"/>
                  <w:szCs w:val="20"/>
                </w:rPr>
                <w:t>F</w:t>
              </w:r>
              <w:r w:rsidR="00082B9F" w:rsidRPr="000D6C6C">
                <w:rPr>
                  <w:rStyle w:val="Hyperlink"/>
                  <w:rFonts w:cs="Times New Roman"/>
                  <w:bCs/>
                  <w:sz w:val="18"/>
                  <w:szCs w:val="20"/>
                </w:rPr>
                <w:t>raud, C</w:t>
              </w:r>
              <w:r w:rsidRPr="000D6C6C">
                <w:rPr>
                  <w:rStyle w:val="Hyperlink"/>
                  <w:rFonts w:cs="Times New Roman"/>
                  <w:bCs/>
                  <w:sz w:val="18"/>
                  <w:szCs w:val="20"/>
                </w:rPr>
                <w:t xml:space="preserve">orruption and </w:t>
              </w:r>
              <w:r w:rsidR="00082B9F" w:rsidRPr="000D6C6C">
                <w:rPr>
                  <w:rStyle w:val="Hyperlink"/>
                  <w:rFonts w:cs="Times New Roman"/>
                  <w:bCs/>
                  <w:sz w:val="18"/>
                  <w:szCs w:val="20"/>
                </w:rPr>
                <w:t>O</w:t>
              </w:r>
              <w:r w:rsidRPr="000D6C6C">
                <w:rPr>
                  <w:rStyle w:val="Hyperlink"/>
                  <w:rFonts w:cs="Times New Roman"/>
                  <w:bCs/>
                  <w:sz w:val="18"/>
                  <w:szCs w:val="20"/>
                </w:rPr>
                <w:t xml:space="preserve">ther </w:t>
              </w:r>
              <w:r w:rsidR="00082B9F" w:rsidRPr="000D6C6C">
                <w:rPr>
                  <w:rStyle w:val="Hyperlink"/>
                  <w:rFonts w:cs="Times New Roman"/>
                  <w:bCs/>
                  <w:sz w:val="18"/>
                  <w:szCs w:val="20"/>
                </w:rPr>
                <w:t>L</w:t>
              </w:r>
              <w:r w:rsidRPr="000D6C6C">
                <w:rPr>
                  <w:rStyle w:val="Hyperlink"/>
                  <w:rFonts w:cs="Times New Roman"/>
                  <w:bCs/>
                  <w:sz w:val="18"/>
                  <w:szCs w:val="20"/>
                </w:rPr>
                <w:t>osses</w:t>
              </w:r>
            </w:hyperlink>
          </w:p>
          <w:p w14:paraId="77B73B90" w14:textId="644D1052" w:rsidR="008A37A5" w:rsidRPr="008A37A5" w:rsidRDefault="008A37A5" w:rsidP="00B5742F">
            <w:pPr>
              <w:spacing w:before="60" w:after="60" w:line="252" w:lineRule="auto"/>
              <w:rPr>
                <w:rFonts w:cs="Times New Roman"/>
                <w:bCs/>
                <w:sz w:val="18"/>
                <w:szCs w:val="20"/>
              </w:rPr>
            </w:pPr>
            <w:hyperlink r:id="rId195" w:anchor="standing-directions-2018" w:history="1">
              <w:r w:rsidRPr="00770CBB">
                <w:rPr>
                  <w:rStyle w:val="Hyperlink"/>
                  <w:rFonts w:cs="Times New Roman"/>
                  <w:bCs/>
                  <w:sz w:val="18"/>
                  <w:szCs w:val="20"/>
                </w:rPr>
                <w:t>5.1.</w:t>
              </w:r>
              <w:r w:rsidR="00B5742F" w:rsidRPr="00770CBB">
                <w:rPr>
                  <w:rStyle w:val="Hyperlink"/>
                  <w:rFonts w:cs="Times New Roman"/>
                  <w:bCs/>
                  <w:sz w:val="18"/>
                  <w:szCs w:val="20"/>
                </w:rPr>
                <w:t>5</w:t>
              </w:r>
              <w:r w:rsidRPr="00770CBB">
                <w:rPr>
                  <w:rStyle w:val="Hyperlink"/>
                  <w:rFonts w:cs="Times New Roman"/>
                  <w:bCs/>
                  <w:sz w:val="18"/>
                  <w:szCs w:val="20"/>
                </w:rPr>
                <w:t xml:space="preserve"> Dealing with </w:t>
              </w:r>
              <w:r w:rsidR="001326A1" w:rsidRPr="00770CBB">
                <w:rPr>
                  <w:rStyle w:val="Hyperlink"/>
                  <w:rFonts w:cs="Times New Roman"/>
                  <w:bCs/>
                  <w:sz w:val="18"/>
                  <w:szCs w:val="20"/>
                </w:rPr>
                <w:t>Compliance D</w:t>
              </w:r>
              <w:r w:rsidR="00B5742F" w:rsidRPr="00770CBB">
                <w:rPr>
                  <w:rStyle w:val="Hyperlink"/>
                  <w:rFonts w:cs="Times New Roman"/>
                  <w:bCs/>
                  <w:sz w:val="18"/>
                  <w:szCs w:val="20"/>
                </w:rPr>
                <w:t>eficiencies</w:t>
              </w:r>
            </w:hyperlink>
            <w:r w:rsidR="00B5742F">
              <w:rPr>
                <w:rFonts w:cs="Times New Roman"/>
                <w:bCs/>
                <w:sz w:val="18"/>
                <w:szCs w:val="20"/>
              </w:rPr>
              <w:t xml:space="preserve"> </w:t>
            </w:r>
          </w:p>
        </w:tc>
      </w:tr>
      <w:tr w:rsidR="008A37A5" w:rsidRPr="008A37A5" w14:paraId="3E4C41CA" w14:textId="77777777" w:rsidTr="008E30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403460A" w14:textId="77777777" w:rsidR="008A37A5" w:rsidRPr="008A37A5" w:rsidRDefault="008A37A5" w:rsidP="008A37A5">
            <w:pPr>
              <w:suppressAutoHyphens/>
              <w:autoSpaceDN w:val="0"/>
              <w:spacing w:before="40" w:after="40" w:line="260" w:lineRule="atLeast"/>
              <w:textAlignment w:val="baseline"/>
              <w:rPr>
                <w:b/>
                <w:sz w:val="18"/>
                <w:szCs w:val="20"/>
              </w:rPr>
            </w:pPr>
            <w:r w:rsidRPr="008A37A5">
              <w:rPr>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6CA2D82E" w14:textId="667F5296" w:rsidR="008A37A5" w:rsidRPr="008A37A5" w:rsidRDefault="00027E22" w:rsidP="008A37A5">
            <w:pPr>
              <w:spacing w:before="60" w:after="60" w:line="252" w:lineRule="auto"/>
              <w:rPr>
                <w:rFonts w:cs="Times New Roman"/>
                <w:bCs/>
                <w:sz w:val="18"/>
                <w:szCs w:val="20"/>
              </w:rPr>
            </w:pPr>
            <w:r>
              <w:rPr>
                <w:rFonts w:cs="Times New Roman"/>
                <w:bCs/>
                <w:sz w:val="18"/>
                <w:szCs w:val="20"/>
              </w:rPr>
              <w:t>1</w:t>
            </w:r>
            <w:r w:rsidR="00515507">
              <w:rPr>
                <w:rFonts w:cs="Times New Roman"/>
                <w:bCs/>
                <w:sz w:val="18"/>
                <w:szCs w:val="20"/>
              </w:rPr>
              <w:t xml:space="preserve"> May 2019</w:t>
            </w:r>
          </w:p>
        </w:tc>
      </w:tr>
    </w:tbl>
    <w:p w14:paraId="0E84BD93" w14:textId="77777777" w:rsidR="008A37A5" w:rsidRPr="008A37A5" w:rsidRDefault="008A37A5" w:rsidP="008E306C">
      <w:pPr>
        <w:spacing w:before="0" w:after="0" w:line="120" w:lineRule="atLeast"/>
        <w:ind w:left="231"/>
        <w:rPr>
          <w:sz w:val="12"/>
        </w:rPr>
      </w:pPr>
    </w:p>
    <w:p w14:paraId="1569660E" w14:textId="77777777" w:rsidR="008A37A5" w:rsidRPr="008A37A5" w:rsidRDefault="00082B9F" w:rsidP="00D94C7A">
      <w:pPr>
        <w:pStyle w:val="Heading1NoNum"/>
      </w:pPr>
      <w:r>
        <w:t>Fraud and C</w:t>
      </w:r>
      <w:r w:rsidR="008A37A5" w:rsidRPr="008A37A5">
        <w:t>orruption</w:t>
      </w:r>
    </w:p>
    <w:p w14:paraId="077CDCAA" w14:textId="77777777" w:rsidR="008A37A5" w:rsidRPr="008A37A5" w:rsidRDefault="008A37A5" w:rsidP="008E306C">
      <w:r w:rsidRPr="008A37A5">
        <w:t xml:space="preserve">The AS 8001 </w:t>
      </w:r>
      <w:r w:rsidR="00D62B6D">
        <w:noBreakHyphen/>
      </w:r>
      <w:r w:rsidRPr="008A37A5">
        <w:t xml:space="preserve">2008 </w:t>
      </w:r>
      <w:r w:rsidRPr="008A37A5">
        <w:rPr>
          <w:i/>
        </w:rPr>
        <w:t>Fraud and Corruption Control Standard</w:t>
      </w:r>
      <w:r w:rsidRPr="008A37A5">
        <w:t xml:space="preserve"> defines </w:t>
      </w:r>
      <w:r w:rsidR="00082B9F">
        <w:t>Fraud and C</w:t>
      </w:r>
      <w:r w:rsidRPr="008A37A5">
        <w:t>orruption as follows:</w:t>
      </w:r>
    </w:p>
    <w:p w14:paraId="5C2A145D" w14:textId="77777777" w:rsidR="008A37A5" w:rsidRPr="008A37A5" w:rsidRDefault="008A37A5" w:rsidP="008E306C">
      <w:r w:rsidRPr="008A37A5">
        <w:t>Fraud is dishonest activity causing actual or potential financial loss including theft of monies or other property by employees or persons external to the entity and where deception is used at the time, immediately before or immediately flowing from the activity. This includes:</w:t>
      </w:r>
    </w:p>
    <w:p w14:paraId="555C0CE0" w14:textId="77777777" w:rsidR="008A37A5" w:rsidRPr="008A37A5" w:rsidRDefault="008A37A5" w:rsidP="000B4E8F">
      <w:pPr>
        <w:pStyle w:val="Bullet1"/>
        <w:ind w:left="284" w:hanging="284"/>
      </w:pPr>
      <w:r w:rsidRPr="008A37A5">
        <w:t>the deliberate falsification, concealment, destruction or use of falsified documentation used or intended for use for a normal business purpose; or</w:t>
      </w:r>
    </w:p>
    <w:p w14:paraId="4766C617" w14:textId="77777777" w:rsidR="008A37A5" w:rsidRPr="008A37A5" w:rsidRDefault="008A37A5" w:rsidP="000B4E8F">
      <w:pPr>
        <w:pStyle w:val="Bullet1"/>
        <w:ind w:left="284" w:hanging="284"/>
      </w:pPr>
      <w:r w:rsidRPr="008A37A5">
        <w:t>the improper use of information or position for personal financial benefit.</w:t>
      </w:r>
    </w:p>
    <w:p w14:paraId="4CCA3C97" w14:textId="4BB3BF56" w:rsidR="008A37A5" w:rsidRPr="008A37A5" w:rsidRDefault="008A37A5" w:rsidP="008E306C">
      <w:r w:rsidRPr="008A37A5">
        <w:t>Corruption is a dishonest activity in which an employee of an entity acts contrary to the interests of the entity and abuses</w:t>
      </w:r>
      <w:r w:rsidR="009E364A">
        <w:t> </w:t>
      </w:r>
      <w:r w:rsidRPr="008A37A5">
        <w:t>his/her position of trust in order to achieve some personal gain or advantage for him/herself or for another person or entity.</w:t>
      </w:r>
    </w:p>
    <w:p w14:paraId="05835DB4" w14:textId="77777777" w:rsidR="008A37A5" w:rsidRPr="008A37A5" w:rsidRDefault="00082B9F" w:rsidP="00D94C7A">
      <w:pPr>
        <w:pStyle w:val="Heading1NoNum"/>
      </w:pPr>
      <w:r>
        <w:t>Fraud</w:t>
      </w:r>
      <w:r w:rsidR="00AB7771">
        <w:t>,</w:t>
      </w:r>
      <w:r>
        <w:t xml:space="preserve"> C</w:t>
      </w:r>
      <w:r w:rsidR="008A37A5" w:rsidRPr="008A37A5">
        <w:t xml:space="preserve">orruption </w:t>
      </w:r>
      <w:r w:rsidR="00AB7771">
        <w:t xml:space="preserve">and Other Losses prevention and management </w:t>
      </w:r>
      <w:r w:rsidR="008A37A5" w:rsidRPr="008A37A5">
        <w:t>policy</w:t>
      </w:r>
    </w:p>
    <w:p w14:paraId="1BAE64A3" w14:textId="77777777" w:rsidR="008A37A5" w:rsidRPr="008A37A5" w:rsidRDefault="00082B9F" w:rsidP="008E306C">
      <w:r>
        <w:t>The Agency’s Fraud</w:t>
      </w:r>
      <w:r w:rsidR="00FD6DCA">
        <w:t>,</w:t>
      </w:r>
      <w:r>
        <w:t xml:space="preserve"> </w:t>
      </w:r>
      <w:r w:rsidR="00AB7771" w:rsidRPr="00AB7771">
        <w:t>Corruption and Other Losses prevention and management policy</w:t>
      </w:r>
      <w:r w:rsidR="008A37A5" w:rsidRPr="008A37A5">
        <w:t xml:space="preserve"> should document the Agency’s app</w:t>
      </w:r>
      <w:r>
        <w:t>roach to controlling Fraud and C</w:t>
      </w:r>
      <w:r w:rsidR="008A37A5" w:rsidRPr="008A37A5">
        <w:t>orruption exposure at strategic, tactical and operational levels. It should also detail the Agency’s intended action in implementi</w:t>
      </w:r>
      <w:r>
        <w:t xml:space="preserve">ng and monitoring the </w:t>
      </w:r>
      <w:r w:rsidR="008A37A5" w:rsidRPr="008A37A5">
        <w:t xml:space="preserve">policy. </w:t>
      </w:r>
    </w:p>
    <w:p w14:paraId="0C577512" w14:textId="01EAA3EF" w:rsidR="008A37A5" w:rsidRPr="008A37A5" w:rsidRDefault="00082B9F" w:rsidP="008E306C">
      <w:r>
        <w:t xml:space="preserve">The </w:t>
      </w:r>
      <w:r w:rsidR="008A37A5" w:rsidRPr="008A37A5">
        <w:t xml:space="preserve">policy drives the development and operation of the control framework. Both the policy and control framework should be consistent with the latest AS 8001 </w:t>
      </w:r>
      <w:r w:rsidR="00D62B6D">
        <w:noBreakHyphen/>
      </w:r>
      <w:r w:rsidR="008A37A5" w:rsidRPr="008A37A5">
        <w:t>2008 Fraud and Corruption Control Standard (the Standard)</w:t>
      </w:r>
      <w:r w:rsidR="00995ED6">
        <w:t xml:space="preserve">. </w:t>
      </w:r>
      <w:r w:rsidR="008A37A5" w:rsidRPr="008A37A5">
        <w:t>The extent to which the Standard should be applied will differ depending on t</w:t>
      </w:r>
      <w:r w:rsidR="006F0D5C">
        <w:t>he size of the A</w:t>
      </w:r>
      <w:r w:rsidR="008A37A5" w:rsidRPr="008A37A5">
        <w:t>gency an</w:t>
      </w:r>
      <w:r>
        <w:t>d the outcome of the Fraud and C</w:t>
      </w:r>
      <w:r w:rsidR="008A37A5" w:rsidRPr="008A37A5">
        <w:t>orruption risk assessment.</w:t>
      </w:r>
    </w:p>
    <w:p w14:paraId="1232DB54" w14:textId="77777777" w:rsidR="008A37A5" w:rsidRPr="008A37A5" w:rsidRDefault="00615CEF" w:rsidP="008E306C">
      <w:r>
        <w:t>There are a n</w:t>
      </w:r>
      <w:r w:rsidR="00082B9F">
        <w:t>umber of internal and external C</w:t>
      </w:r>
      <w:r>
        <w:t>orruption risks associated with financial management including procurement, contract management and collecting and/or distributing funds and other property</w:t>
      </w:r>
      <w:r w:rsidR="008A37A5" w:rsidRPr="008A37A5">
        <w:t xml:space="preserve">. As such, the policy and internal control framework should place high importance on prevention and detection, as well as recovery of any funds defrauded from the Agency. In these Agencies, the AS8001 standard should be applied in its entirety. </w:t>
      </w:r>
    </w:p>
    <w:p w14:paraId="4414EA4D" w14:textId="77777777" w:rsidR="008A37A5" w:rsidRPr="008A37A5" w:rsidRDefault="008A37A5" w:rsidP="008E306C">
      <w:r w:rsidRPr="008A37A5">
        <w:t>Fo</w:t>
      </w:r>
      <w:r w:rsidR="00082B9F">
        <w:t>r Agencies with lower Fraud or C</w:t>
      </w:r>
      <w:r w:rsidRPr="008A37A5">
        <w:t>orruption risk, the Responsible Body shou</w:t>
      </w:r>
      <w:r w:rsidR="00947D6E">
        <w:t>ld apply those elements of the S</w:t>
      </w:r>
      <w:r w:rsidRPr="008A37A5">
        <w:t xml:space="preserve">tandard applicable to the Agency’s circumstances. </w:t>
      </w:r>
    </w:p>
    <w:p w14:paraId="716D5C11" w14:textId="77777777" w:rsidR="008A37A5" w:rsidRPr="008A37A5" w:rsidRDefault="008A37A5" w:rsidP="008E306C">
      <w:r w:rsidRPr="008A37A5">
        <w:t>The policy should include:</w:t>
      </w:r>
    </w:p>
    <w:p w14:paraId="0B71FF0D" w14:textId="77777777" w:rsidR="008A37A5" w:rsidRPr="008A37A5" w:rsidRDefault="00082B9F" w:rsidP="000B15FD">
      <w:pPr>
        <w:pStyle w:val="Listnum"/>
        <w:numPr>
          <w:ilvl w:val="0"/>
          <w:numId w:val="65"/>
        </w:numPr>
        <w:spacing w:before="60" w:after="60"/>
      </w:pPr>
      <w:r>
        <w:t>responsibilities for Fraud and C</w:t>
      </w:r>
      <w:r w:rsidR="008A37A5" w:rsidRPr="008A37A5">
        <w:t>orruption management in the Agency;</w:t>
      </w:r>
    </w:p>
    <w:p w14:paraId="2F524767" w14:textId="77777777" w:rsidR="008A37A5" w:rsidRPr="008A37A5" w:rsidRDefault="008A37A5" w:rsidP="002D61D4">
      <w:pPr>
        <w:pStyle w:val="Listnum"/>
        <w:spacing w:before="60" w:after="60"/>
      </w:pPr>
      <w:r w:rsidRPr="008A37A5">
        <w:t>processes for managing employee awareness;</w:t>
      </w:r>
    </w:p>
    <w:p w14:paraId="0289FE4F" w14:textId="77777777" w:rsidR="008A37A5" w:rsidRPr="008A37A5" w:rsidRDefault="008A37A5" w:rsidP="002D61D4">
      <w:pPr>
        <w:pStyle w:val="Listnum"/>
        <w:spacing w:before="60" w:after="60"/>
      </w:pPr>
      <w:r w:rsidRPr="008A37A5">
        <w:t>thre</w:t>
      </w:r>
      <w:r w:rsidR="00A053FA">
        <w:t>sholds that define significant F</w:t>
      </w:r>
      <w:r w:rsidRPr="008A37A5">
        <w:t>raud;</w:t>
      </w:r>
    </w:p>
    <w:p w14:paraId="02EDBF8C" w14:textId="489D4099" w:rsidR="008A37A5" w:rsidRPr="008A37A5" w:rsidRDefault="008A37A5" w:rsidP="002D61D4">
      <w:pPr>
        <w:pStyle w:val="Listnum"/>
        <w:spacing w:before="60" w:after="60"/>
      </w:pPr>
      <w:r w:rsidRPr="008A37A5">
        <w:t xml:space="preserve">processes for managing the safety and security of assets (refer to </w:t>
      </w:r>
      <w:hyperlink r:id="rId196" w:anchor="standing-directions-2018" w:history="1">
        <w:r w:rsidRPr="00D4158F">
          <w:rPr>
            <w:rStyle w:val="Hyperlink"/>
          </w:rPr>
          <w:t xml:space="preserve">Direction </w:t>
        </w:r>
        <w:r w:rsidR="00947D6E" w:rsidRPr="00D4158F">
          <w:rPr>
            <w:rStyle w:val="Hyperlink"/>
          </w:rPr>
          <w:t>4.2.3</w:t>
        </w:r>
      </w:hyperlink>
      <w:r w:rsidRPr="008A37A5">
        <w:t xml:space="preserve"> for more details);</w:t>
      </w:r>
    </w:p>
    <w:p w14:paraId="46C17C7A" w14:textId="56897A99" w:rsidR="000501DE" w:rsidRDefault="00082B9F">
      <w:pPr>
        <w:pStyle w:val="Listnum"/>
        <w:spacing w:before="60" w:after="60"/>
      </w:pPr>
      <w:r>
        <w:t>Fraud and C</w:t>
      </w:r>
      <w:r w:rsidR="008A37A5" w:rsidRPr="008A37A5">
        <w:t>orruption detection and reporting processes;</w:t>
      </w:r>
    </w:p>
    <w:p w14:paraId="07D131E9" w14:textId="77777777" w:rsidR="008A37A5" w:rsidRPr="008A37A5" w:rsidRDefault="008A37A5" w:rsidP="002D61D4">
      <w:pPr>
        <w:pStyle w:val="Listnum"/>
        <w:spacing w:before="60" w:after="60"/>
      </w:pPr>
      <w:r w:rsidRPr="008A37A5">
        <w:t>fraud risk profile development and assessment processes;</w:t>
      </w:r>
    </w:p>
    <w:p w14:paraId="7F746619" w14:textId="77777777" w:rsidR="008A37A5" w:rsidRPr="008A37A5" w:rsidRDefault="008A37A5" w:rsidP="002D61D4">
      <w:pPr>
        <w:pStyle w:val="Listnum"/>
        <w:spacing w:before="60" w:after="60"/>
      </w:pPr>
      <w:r w:rsidRPr="008A37A5">
        <w:lastRenderedPageBreak/>
        <w:t>protected disclosure systems and contacts;</w:t>
      </w:r>
    </w:p>
    <w:p w14:paraId="2F7DBE9A" w14:textId="77777777" w:rsidR="008A37A5" w:rsidRPr="008A37A5" w:rsidRDefault="008A37A5" w:rsidP="002D61D4">
      <w:pPr>
        <w:pStyle w:val="Listnum"/>
        <w:spacing w:before="60" w:after="60"/>
      </w:pPr>
      <w:r w:rsidRPr="008A37A5">
        <w:t>investigation procedures;</w:t>
      </w:r>
    </w:p>
    <w:p w14:paraId="0605D49E" w14:textId="77777777" w:rsidR="008A37A5" w:rsidRPr="008A37A5" w:rsidRDefault="008A37A5" w:rsidP="002D61D4">
      <w:pPr>
        <w:pStyle w:val="Listnum"/>
        <w:spacing w:before="60" w:after="60"/>
      </w:pPr>
      <w:r w:rsidRPr="008A37A5">
        <w:t>recovery systems and processes; and</w:t>
      </w:r>
    </w:p>
    <w:p w14:paraId="28BA6D7E" w14:textId="77777777" w:rsidR="008A37A5" w:rsidRPr="008A37A5" w:rsidRDefault="008A37A5" w:rsidP="002D61D4">
      <w:pPr>
        <w:pStyle w:val="Listnum"/>
        <w:spacing w:before="60" w:after="60"/>
      </w:pPr>
      <w:r w:rsidRPr="008A37A5">
        <w:t>disciplinary procedures.</w:t>
      </w:r>
    </w:p>
    <w:p w14:paraId="1307482D" w14:textId="77777777" w:rsidR="008A37A5" w:rsidRPr="008A37A5" w:rsidRDefault="008A37A5" w:rsidP="00D94C7A">
      <w:pPr>
        <w:pStyle w:val="Heading1NoNum"/>
      </w:pPr>
      <w:r w:rsidRPr="008A37A5">
        <w:t>Establishing a sound control environment</w:t>
      </w:r>
    </w:p>
    <w:p w14:paraId="1968B22E" w14:textId="77777777" w:rsidR="008A37A5" w:rsidRPr="008A37A5" w:rsidRDefault="008A37A5" w:rsidP="008E306C">
      <w:r w:rsidRPr="008A37A5">
        <w:t>The Agency’s control environment should include the safeguard and security of property and money. It also includes the systems, rules, delegations and accountabiliti</w:t>
      </w:r>
      <w:r w:rsidR="00082B9F">
        <w:t>es to minimise the prospect of Fraud or C</w:t>
      </w:r>
      <w:r w:rsidRPr="008A37A5">
        <w:t>orruption occurring. In the event that the Agency’s preventative control systems fail, Agencies should implement systems aimed at detecti</w:t>
      </w:r>
      <w:r w:rsidR="00082B9F">
        <w:t>ng Fraud and C</w:t>
      </w:r>
      <w:r w:rsidRPr="008A37A5">
        <w:t>orruption as soon as possible after it has occ</w:t>
      </w:r>
      <w:r w:rsidR="00082B9F">
        <w:t>urred. Recommended elements of Fraud and C</w:t>
      </w:r>
      <w:r w:rsidRPr="008A37A5">
        <w:t>orruption policy and sound control environment are outlined below.</w:t>
      </w:r>
    </w:p>
    <w:p w14:paraId="60883B4B" w14:textId="77777777" w:rsidR="008A37A5" w:rsidRPr="008A37A5" w:rsidRDefault="008A37A5" w:rsidP="00FC17D9">
      <w:pPr>
        <w:pStyle w:val="Heading2NoNum"/>
      </w:pPr>
      <w:r w:rsidRPr="008A37A5">
        <w:t>Culture</w:t>
      </w:r>
    </w:p>
    <w:p w14:paraId="65578901" w14:textId="79A7FF8C" w:rsidR="008A37A5" w:rsidRPr="008A37A5" w:rsidRDefault="008A37A5" w:rsidP="008E306C">
      <w:r w:rsidRPr="008A37A5">
        <w:t>Implementing and maintaining a sound ethical culture is a key strategy in manag</w:t>
      </w:r>
      <w:r w:rsidR="00082B9F">
        <w:t>ing the risk of Fraud and C</w:t>
      </w:r>
      <w:r w:rsidRPr="008A37A5">
        <w:t xml:space="preserve">orruption in an Agency. An Agency should aim to ensure that it has a healthy and sustainable ethical culture underpinned by example setting by senior management. Refer to the </w:t>
      </w:r>
      <w:hyperlink r:id="rId197" w:history="1">
        <w:r w:rsidRPr="008A37A5">
          <w:rPr>
            <w:color w:val="595959" w:themeColor="text1" w:themeTint="A6"/>
          </w:rPr>
          <w:t>Victorian Public Sector Code of Conduct</w:t>
        </w:r>
      </w:hyperlink>
      <w:r w:rsidR="00C05769">
        <w:rPr>
          <w:rStyle w:val="FootnoteReference"/>
          <w:color w:val="595959" w:themeColor="text1" w:themeTint="A6"/>
        </w:rPr>
        <w:footnoteReference w:id="51"/>
      </w:r>
      <w:r w:rsidRPr="008A37A5">
        <w:t xml:space="preserve"> for more details.</w:t>
      </w:r>
    </w:p>
    <w:p w14:paraId="6A2FE69E" w14:textId="77777777" w:rsidR="008A37A5" w:rsidRPr="008A37A5" w:rsidRDefault="008A37A5" w:rsidP="00FC17D9">
      <w:pPr>
        <w:pStyle w:val="Heading2NoNum"/>
      </w:pPr>
      <w:r w:rsidRPr="008A37A5">
        <w:t>Line management accountability</w:t>
      </w:r>
    </w:p>
    <w:p w14:paraId="4AAF33E2" w14:textId="77777777" w:rsidR="008A37A5" w:rsidRPr="008A37A5" w:rsidRDefault="008A37A5" w:rsidP="008E306C">
      <w:r w:rsidRPr="008A37A5">
        <w:t>Agencies should ensure that line managers are aware of their accountabilities for t</w:t>
      </w:r>
      <w:r w:rsidR="00082B9F">
        <w:t>he prevention and detection of Fraud and C</w:t>
      </w:r>
      <w:r w:rsidRPr="008A37A5">
        <w:t>orruption</w:t>
      </w:r>
      <w:r w:rsidR="00082B9F">
        <w:t>. The management of Fraud and C</w:t>
      </w:r>
      <w:r w:rsidRPr="008A37A5">
        <w:t>orruption should be incorporated into the performance measurement system and each line manager’s performance should be measured against relevant benchmarks.</w:t>
      </w:r>
    </w:p>
    <w:p w14:paraId="3E6641F0" w14:textId="77777777" w:rsidR="008A37A5" w:rsidRPr="008A37A5" w:rsidRDefault="008A37A5" w:rsidP="00FC17D9">
      <w:pPr>
        <w:pStyle w:val="Heading2NoNum"/>
      </w:pPr>
      <w:r w:rsidRPr="008A37A5">
        <w:t xml:space="preserve">Separation of roles and delegations </w:t>
      </w:r>
    </w:p>
    <w:p w14:paraId="73FC700C" w14:textId="7A095939" w:rsidR="008A37A5" w:rsidRPr="008A37A5" w:rsidRDefault="008A37A5" w:rsidP="008E306C">
      <w:r w:rsidRPr="008A37A5">
        <w:t xml:space="preserve">Agencies should ensure appropriate separation of roles exist in their internal processes. Separation of roles is the concept of having more than one person to complete a task. Official delegations are required for the spending and receipt of public monies and should be allocated in such a way that no one delegate has control or authority over the end to end process. Such separation of roles provides for checks and balances to be the responsibility of different employees. Such separation of roles and delegations is important in transactions involving the receipt or payment of moneys, entering into or administering contracts and in the employment or remuneration of staff. Refer to </w:t>
      </w:r>
      <w:hyperlink r:id="rId198" w:anchor="standing-directions-2018" w:history="1">
        <w:r w:rsidRPr="00D4158F">
          <w:rPr>
            <w:rStyle w:val="Hyperlink"/>
          </w:rPr>
          <w:t>Directions 3.</w:t>
        </w:r>
        <w:r w:rsidR="00947D6E" w:rsidRPr="00D4158F">
          <w:rPr>
            <w:rStyle w:val="Hyperlink"/>
          </w:rPr>
          <w:t>3</w:t>
        </w:r>
      </w:hyperlink>
      <w:r w:rsidRPr="008A37A5">
        <w:t xml:space="preserve"> and </w:t>
      </w:r>
      <w:hyperlink r:id="rId199" w:anchor="standing-directions-2018" w:history="1">
        <w:r w:rsidR="00947D6E" w:rsidRPr="00D4158F">
          <w:rPr>
            <w:rStyle w:val="Hyperlink"/>
          </w:rPr>
          <w:t>3.4</w:t>
        </w:r>
      </w:hyperlink>
      <w:r w:rsidR="00E862D1" w:rsidRPr="00E862D1">
        <w:t xml:space="preserve"> </w:t>
      </w:r>
      <w:r w:rsidRPr="008A37A5">
        <w:t>for more details.</w:t>
      </w:r>
    </w:p>
    <w:p w14:paraId="366370B9" w14:textId="77777777" w:rsidR="008A37A5" w:rsidRPr="008A37A5" w:rsidRDefault="008A37A5" w:rsidP="00FC17D9">
      <w:pPr>
        <w:pStyle w:val="Heading2NoNum"/>
      </w:pPr>
      <w:r w:rsidRPr="008A37A5">
        <w:t>Risk consciousness</w:t>
      </w:r>
    </w:p>
    <w:p w14:paraId="1FE8467F" w14:textId="77777777" w:rsidR="008A37A5" w:rsidRPr="008A37A5" w:rsidRDefault="008A37A5" w:rsidP="008E306C">
      <w:r w:rsidRPr="008A37A5">
        <w:t>A high level of risk consciousness for the risks of</w:t>
      </w:r>
      <w:r w:rsidR="00082B9F">
        <w:t xml:space="preserve"> Fraud and C</w:t>
      </w:r>
      <w:r w:rsidRPr="008A37A5">
        <w:t>orruption should be present across the senior management group. Agencies exhibiting ‘be</w:t>
      </w:r>
      <w:r w:rsidR="00082B9F">
        <w:t>st practice’ in the control of Fraud and C</w:t>
      </w:r>
      <w:r w:rsidRPr="008A37A5">
        <w:t>orruption invariably have a senior management grou</w:t>
      </w:r>
      <w:r w:rsidR="00082B9F">
        <w:t>p that recognises the need for Fraud and C</w:t>
      </w:r>
      <w:r w:rsidRPr="008A37A5">
        <w:t>orruption prevention and detection even in the absence of recently detected incidents.</w:t>
      </w:r>
    </w:p>
    <w:p w14:paraId="2CE52F15" w14:textId="77777777" w:rsidR="008A37A5" w:rsidRPr="008A37A5" w:rsidRDefault="008A37A5" w:rsidP="00FC17D9">
      <w:pPr>
        <w:pStyle w:val="Heading2NoNum"/>
      </w:pPr>
      <w:r w:rsidRPr="008A37A5">
        <w:t>Process controls</w:t>
      </w:r>
    </w:p>
    <w:p w14:paraId="6F4C1443" w14:textId="77777777" w:rsidR="008A37A5" w:rsidRDefault="008A37A5" w:rsidP="008E306C">
      <w:r w:rsidRPr="008A37A5">
        <w:t xml:space="preserve">Agencies should ensure that all business processes, particularly those assessed as having a higher predisposition to the risks of </w:t>
      </w:r>
      <w:r w:rsidR="00082B9F">
        <w:t>Fraud and C</w:t>
      </w:r>
      <w:r w:rsidRPr="008A37A5">
        <w:t>orruption, are subject to a rigorous system of internal controls that are well documented, updated regularly and understood by all personnel.</w:t>
      </w:r>
    </w:p>
    <w:p w14:paraId="54B25429" w14:textId="77777777" w:rsidR="008A37A5" w:rsidRPr="008A37A5" w:rsidRDefault="008A37A5" w:rsidP="00FC17D9">
      <w:pPr>
        <w:pStyle w:val="Heading2NoNum"/>
      </w:pPr>
      <w:r w:rsidRPr="008A37A5">
        <w:t>Protected disclosure program</w:t>
      </w:r>
    </w:p>
    <w:p w14:paraId="5853929E" w14:textId="77777777" w:rsidR="008A37A5" w:rsidRPr="008A37A5" w:rsidRDefault="008A37A5" w:rsidP="008E306C">
      <w:r w:rsidRPr="008A37A5">
        <w:t xml:space="preserve">Agencies should be aware of their obligations under the </w:t>
      </w:r>
      <w:r w:rsidRPr="00F97EBD">
        <w:rPr>
          <w:i/>
        </w:rPr>
        <w:t>Protected Disclosure Act 2012</w:t>
      </w:r>
      <w:r w:rsidRPr="008A37A5">
        <w:t xml:space="preserve">. Processes designed to comply with the Act are one component of a sound internal control system for </w:t>
      </w:r>
      <w:r w:rsidR="00082B9F">
        <w:t>Fraud and C</w:t>
      </w:r>
      <w:r w:rsidRPr="008A37A5">
        <w:t>orruption prevention and assessment.</w:t>
      </w:r>
    </w:p>
    <w:p w14:paraId="192C9C8E" w14:textId="77777777" w:rsidR="000501DE" w:rsidRDefault="000501DE">
      <w:pPr>
        <w:spacing w:before="0" w:after="200" w:line="276" w:lineRule="auto"/>
        <w:rPr>
          <w:color w:val="4D4D4D"/>
          <w:sz w:val="24"/>
          <w:szCs w:val="28"/>
        </w:rPr>
      </w:pPr>
      <w:r>
        <w:br w:type="page"/>
      </w:r>
    </w:p>
    <w:p w14:paraId="5F7EAF4D" w14:textId="77777777" w:rsidR="008A37A5" w:rsidRPr="008A37A5" w:rsidRDefault="008A37A5" w:rsidP="00FC17D9">
      <w:pPr>
        <w:pStyle w:val="Heading2NoNum"/>
      </w:pPr>
      <w:r w:rsidRPr="008A37A5">
        <w:lastRenderedPageBreak/>
        <w:t>Employment screening</w:t>
      </w:r>
    </w:p>
    <w:p w14:paraId="1A181443" w14:textId="2DA374E8" w:rsidR="008A37A5" w:rsidRPr="008A37A5" w:rsidRDefault="008A37A5" w:rsidP="008E306C">
      <w:r w:rsidRPr="008A37A5">
        <w:t>Employment screening should be conducted within the confines of relevant legislation and with the informed and express consent of the employee.</w:t>
      </w:r>
      <w:r w:rsidR="00864247">
        <w:t xml:space="preserve"> Agencies should have regard to the Victorian Public Service Commission’s </w:t>
      </w:r>
      <w:hyperlink r:id="rId200" w:history="1">
        <w:r w:rsidR="00864247" w:rsidRPr="000501DE">
          <w:rPr>
            <w:rStyle w:val="Hyperlink"/>
          </w:rPr>
          <w:t>Integrity in Recruitment Guidance Note</w:t>
        </w:r>
      </w:hyperlink>
      <w:r w:rsidR="000501DE">
        <w:rPr>
          <w:rStyle w:val="FootnoteReference"/>
          <w:color w:val="595959" w:themeColor="text1" w:themeTint="A6"/>
        </w:rPr>
        <w:footnoteReference w:id="52"/>
      </w:r>
      <w:r w:rsidR="00864247">
        <w:t>.</w:t>
      </w:r>
      <w:r w:rsidRPr="008A37A5">
        <w:t xml:space="preserve"> Employment screening is contemplated for all new employees joining the organisation (including contractors) and all personnel being transferred to a senior executive position or to a position considered by the Agency to be ‘higher risk’ in term</w:t>
      </w:r>
      <w:r w:rsidR="00082B9F">
        <w:t>s of the potential exposure to F</w:t>
      </w:r>
      <w:r w:rsidRPr="008A37A5">
        <w:t xml:space="preserve">raud or </w:t>
      </w:r>
      <w:r w:rsidR="00082B9F">
        <w:t>C</w:t>
      </w:r>
      <w:r w:rsidRPr="008A37A5">
        <w:t>orruption associated with those positions.</w:t>
      </w:r>
      <w:r w:rsidR="00864247">
        <w:t xml:space="preserve"> Levels of vetting will vary depending on the risk associated with t</w:t>
      </w:r>
      <w:r w:rsidR="006F0D5C">
        <w:t>he A</w:t>
      </w:r>
      <w:r w:rsidR="00864247">
        <w:t xml:space="preserve">gency and with the specific position. </w:t>
      </w:r>
    </w:p>
    <w:p w14:paraId="28CE0869" w14:textId="77777777" w:rsidR="008A37A5" w:rsidRPr="008A37A5" w:rsidRDefault="008A37A5" w:rsidP="00FC17D9">
      <w:pPr>
        <w:pStyle w:val="Heading2NoNum"/>
      </w:pPr>
      <w:r w:rsidRPr="008A37A5">
        <w:t>Supplier vetting</w:t>
      </w:r>
    </w:p>
    <w:p w14:paraId="03257539" w14:textId="77777777" w:rsidR="008A37A5" w:rsidRPr="008A37A5" w:rsidRDefault="008A37A5" w:rsidP="008E306C">
      <w:r w:rsidRPr="008A37A5">
        <w:t xml:space="preserve">Agencies should take steps to ensure the bona fides of new suppliers and periodically confirm the bona fides of continuing suppliers. The Agency should consider its ongoing commercial relationship with the other party if inquiry finds a heightened risk of </w:t>
      </w:r>
      <w:r w:rsidR="00082B9F">
        <w:t>Fraud</w:t>
      </w:r>
      <w:r w:rsidRPr="008A37A5">
        <w:t xml:space="preserve"> or</w:t>
      </w:r>
      <w:r w:rsidR="00082B9F">
        <w:t xml:space="preserve"> C</w:t>
      </w:r>
      <w:r w:rsidRPr="008A37A5">
        <w:t>orruption in continuing to deal with that party.</w:t>
      </w:r>
    </w:p>
    <w:p w14:paraId="4F0EAD59" w14:textId="77777777" w:rsidR="008A37A5" w:rsidRPr="008A37A5" w:rsidRDefault="008A37A5" w:rsidP="00FC17D9">
      <w:pPr>
        <w:pStyle w:val="Heading2NoNum"/>
      </w:pPr>
      <w:r w:rsidRPr="008A37A5">
        <w:t>Investigation</w:t>
      </w:r>
    </w:p>
    <w:p w14:paraId="011D1E88" w14:textId="77777777" w:rsidR="008A37A5" w:rsidRPr="008A37A5" w:rsidRDefault="008A37A5" w:rsidP="008E306C">
      <w:r w:rsidRPr="008A37A5">
        <w:t xml:space="preserve">An investigation into apparent or suspected </w:t>
      </w:r>
      <w:r w:rsidR="00082B9F">
        <w:t>Fraud, C</w:t>
      </w:r>
      <w:r w:rsidR="00A31469">
        <w:t>orruption and Other L</w:t>
      </w:r>
      <w:r w:rsidRPr="008A37A5">
        <w:t>osses should be conducted as soon as possible after Agency management becomes aware of it. Any investigation should be managed and conducted by people who:</w:t>
      </w:r>
    </w:p>
    <w:p w14:paraId="552900CD" w14:textId="77777777" w:rsidR="008A37A5" w:rsidRPr="008A37A5" w:rsidRDefault="008A37A5" w:rsidP="000B4E8F">
      <w:pPr>
        <w:pStyle w:val="Bullet1"/>
        <w:ind w:left="284" w:hanging="284"/>
      </w:pPr>
      <w:r w:rsidRPr="008A37A5">
        <w:t xml:space="preserve">have appropriate skill and experience; </w:t>
      </w:r>
    </w:p>
    <w:p w14:paraId="2110978F" w14:textId="77777777" w:rsidR="008A37A5" w:rsidRPr="008A37A5" w:rsidRDefault="008A37A5" w:rsidP="000B4E8F">
      <w:pPr>
        <w:pStyle w:val="Bullet1"/>
        <w:ind w:left="284" w:hanging="284"/>
      </w:pPr>
      <w:r w:rsidRPr="008A37A5">
        <w:t xml:space="preserve">are independent of the business unit in which the alleged fraudulent or corrupt conduct occurred; and </w:t>
      </w:r>
    </w:p>
    <w:p w14:paraId="14931B26" w14:textId="77777777" w:rsidR="008A37A5" w:rsidRPr="008A37A5" w:rsidRDefault="008A37A5" w:rsidP="000B4E8F">
      <w:pPr>
        <w:pStyle w:val="Bullet1"/>
        <w:ind w:left="284" w:hanging="284"/>
      </w:pPr>
      <w:r w:rsidRPr="008A37A5">
        <w:t>do not have a conflict of interest.</w:t>
      </w:r>
    </w:p>
    <w:p w14:paraId="6A853E3E" w14:textId="77777777" w:rsidR="008A37A5" w:rsidRPr="008A37A5" w:rsidRDefault="008A37A5" w:rsidP="00CA6CEE">
      <w:pPr>
        <w:pStyle w:val="GuidanceBullet1"/>
      </w:pPr>
      <w:r w:rsidRPr="008A37A5">
        <w:t>The investigator(s) does not need to be a staff membe</w:t>
      </w:r>
      <w:r w:rsidR="00082B9F">
        <w:t>r of the Agency. Suspicions of Fraud or C</w:t>
      </w:r>
      <w:r w:rsidRPr="008A37A5">
        <w:t>orruption may also b</w:t>
      </w:r>
      <w:r w:rsidR="00453706">
        <w:t>e referred to more appropriate A</w:t>
      </w:r>
      <w:r w:rsidRPr="008A37A5">
        <w:t>gencies for investigation including:</w:t>
      </w:r>
    </w:p>
    <w:p w14:paraId="14B1CEA1" w14:textId="77777777" w:rsidR="008A37A5" w:rsidRPr="008A37A5" w:rsidRDefault="008A37A5" w:rsidP="000B4E8F">
      <w:pPr>
        <w:pStyle w:val="Bullet1"/>
        <w:ind w:left="284" w:hanging="284"/>
      </w:pPr>
      <w:r w:rsidRPr="008A37A5">
        <w:t>the Victorian Auditor</w:t>
      </w:r>
      <w:r w:rsidR="00D62B6D">
        <w:noBreakHyphen/>
      </w:r>
      <w:r w:rsidRPr="008A37A5">
        <w:t>General – for mismanagement of public funds and services or where funds have not been properly raised, protected from loss, or spent with maximum efficiency and effectiveness; or</w:t>
      </w:r>
    </w:p>
    <w:p w14:paraId="0450C4DE" w14:textId="77777777" w:rsidR="008A37A5" w:rsidRPr="008A37A5" w:rsidRDefault="008A37A5" w:rsidP="000B4E8F">
      <w:pPr>
        <w:pStyle w:val="Bullet1"/>
        <w:ind w:left="284" w:hanging="284"/>
      </w:pPr>
      <w:r w:rsidRPr="008A37A5">
        <w:t>Victoria Police – where the matter constitutes a criminal offence and where an indictment is likely; or</w:t>
      </w:r>
    </w:p>
    <w:p w14:paraId="299D2BFA" w14:textId="3D904080" w:rsidR="008A37A5" w:rsidRPr="008A37A5" w:rsidRDefault="008A37A5" w:rsidP="000B4E8F">
      <w:pPr>
        <w:pStyle w:val="Bullet1"/>
        <w:ind w:left="284" w:hanging="284"/>
      </w:pPr>
      <w:r w:rsidRPr="008A37A5">
        <w:t>the Independent Broad</w:t>
      </w:r>
      <w:r w:rsidR="00D62B6D">
        <w:noBreakHyphen/>
      </w:r>
      <w:r w:rsidRPr="008A37A5">
        <w:t>based Anti</w:t>
      </w:r>
      <w:r w:rsidR="00D62B6D">
        <w:noBreakHyphen/>
      </w:r>
      <w:r w:rsidRPr="008A37A5">
        <w:t>corruption Commission – for identifying, investigating and preventing corrupt conduct across the whole public sector.</w:t>
      </w:r>
    </w:p>
    <w:p w14:paraId="0DACD98F" w14:textId="77777777" w:rsidR="008A37A5" w:rsidRPr="008A37A5" w:rsidRDefault="008A37A5" w:rsidP="008E306C">
      <w:r w:rsidRPr="008A37A5">
        <w:t xml:space="preserve">An Agency should include in its internal discipline policy how disciplinary proceedings should be conducted against employees </w:t>
      </w:r>
      <w:r w:rsidR="00082B9F">
        <w:t>found to be involved in Fraud, C</w:t>
      </w:r>
      <w:r w:rsidRPr="008A37A5">
        <w:t>orruption</w:t>
      </w:r>
      <w:r w:rsidR="00082B9F">
        <w:t xml:space="preserve"> or Other L</w:t>
      </w:r>
      <w:r w:rsidRPr="008A37A5">
        <w:t>osses.</w:t>
      </w:r>
    </w:p>
    <w:p w14:paraId="3B22FE38" w14:textId="77777777" w:rsidR="008A37A5" w:rsidRPr="008A37A5" w:rsidRDefault="008A37A5" w:rsidP="00FC17D9">
      <w:pPr>
        <w:pStyle w:val="Heading2NoNum"/>
      </w:pPr>
      <w:r w:rsidRPr="008A37A5">
        <w:t>Recovery systems and processes</w:t>
      </w:r>
    </w:p>
    <w:p w14:paraId="487F77D2" w14:textId="77777777" w:rsidR="008A37A5" w:rsidRPr="008A37A5" w:rsidRDefault="00082B9F" w:rsidP="008E306C">
      <w:r>
        <w:t>As Fraud</w:t>
      </w:r>
      <w:r w:rsidR="00AB7771">
        <w:t>,</w:t>
      </w:r>
      <w:r>
        <w:t xml:space="preserve"> C</w:t>
      </w:r>
      <w:r w:rsidR="008A37A5" w:rsidRPr="008A37A5">
        <w:t xml:space="preserve">orruption </w:t>
      </w:r>
      <w:r w:rsidR="00AB7771">
        <w:t>and Other Losses involve</w:t>
      </w:r>
      <w:r w:rsidR="008A37A5" w:rsidRPr="008A37A5">
        <w:t xml:space="preserve"> the loss of public monies, assets or property, all reasonable attempts should be made to recover those losses. The resources applied to recover such losses should be commensurate with:</w:t>
      </w:r>
    </w:p>
    <w:p w14:paraId="5D248615" w14:textId="77777777" w:rsidR="008A37A5" w:rsidRPr="008A37A5" w:rsidRDefault="008A37A5" w:rsidP="000B4E8F">
      <w:pPr>
        <w:pStyle w:val="Bullet1"/>
        <w:ind w:left="284" w:hanging="284"/>
      </w:pPr>
      <w:r w:rsidRPr="008A37A5">
        <w:t xml:space="preserve">the size of the loss; </w:t>
      </w:r>
    </w:p>
    <w:p w14:paraId="5D38C8D1" w14:textId="77777777" w:rsidR="008A37A5" w:rsidRPr="008A37A5" w:rsidRDefault="008A37A5" w:rsidP="000B4E8F">
      <w:pPr>
        <w:pStyle w:val="Bullet1"/>
        <w:ind w:left="284" w:hanging="284"/>
      </w:pPr>
      <w:r w:rsidRPr="008A37A5">
        <w:t xml:space="preserve">the reputation issue for Government; and </w:t>
      </w:r>
    </w:p>
    <w:p w14:paraId="667CD70F" w14:textId="77777777" w:rsidR="008A37A5" w:rsidRPr="008A37A5" w:rsidRDefault="008A37A5" w:rsidP="000B4E8F">
      <w:pPr>
        <w:pStyle w:val="Bullet1"/>
        <w:ind w:left="284" w:hanging="284"/>
      </w:pPr>
      <w:r w:rsidRPr="008A37A5">
        <w:t>the likelihood of successful recovery.</w:t>
      </w:r>
    </w:p>
    <w:p w14:paraId="5E53522F" w14:textId="77777777" w:rsidR="008A37A5" w:rsidRPr="008A37A5" w:rsidRDefault="008A37A5" w:rsidP="008E306C">
      <w:r w:rsidRPr="008A37A5">
        <w:t>Section 57 of the</w:t>
      </w:r>
      <w:r w:rsidR="00C726FA">
        <w:t xml:space="preserve"> FMA</w:t>
      </w:r>
      <w:r w:rsidRPr="008A37A5">
        <w:t xml:space="preserve"> provides for the investigation and recovery of loss or damage by an officer.</w:t>
      </w:r>
    </w:p>
    <w:p w14:paraId="3D84B8F4" w14:textId="77777777" w:rsidR="008A37A5" w:rsidRPr="008A37A5" w:rsidRDefault="008A37A5" w:rsidP="008E306C">
      <w:r w:rsidRPr="008A37A5">
        <w:t>Where an Agency wishes to use external skills for reco</w:t>
      </w:r>
      <w:r w:rsidR="00453706">
        <w:t>very of losses, only reputable A</w:t>
      </w:r>
      <w:r w:rsidRPr="008A37A5">
        <w:t>gencies or individuals should be used.</w:t>
      </w:r>
    </w:p>
    <w:p w14:paraId="31319A8F" w14:textId="77777777" w:rsidR="007E6056" w:rsidRDefault="007E6056">
      <w:pPr>
        <w:spacing w:before="0" w:after="200" w:line="276" w:lineRule="auto"/>
        <w:rPr>
          <w:color w:val="404040"/>
          <w:sz w:val="28"/>
          <w:szCs w:val="28"/>
        </w:rPr>
      </w:pPr>
      <w:r>
        <w:br w:type="page"/>
      </w:r>
    </w:p>
    <w:p w14:paraId="27B8475A" w14:textId="4542DD53" w:rsidR="008A37A5" w:rsidRPr="008A37A5" w:rsidRDefault="00082B9F" w:rsidP="00D94C7A">
      <w:pPr>
        <w:pStyle w:val="Heading1NoNum"/>
      </w:pPr>
      <w:r>
        <w:lastRenderedPageBreak/>
        <w:t>Assess</w:t>
      </w:r>
      <w:r w:rsidR="008B7943">
        <w:t>ing</w:t>
      </w:r>
      <w:r>
        <w:t xml:space="preserve"> risks of Fraud, Corruption and Other L</w:t>
      </w:r>
      <w:r w:rsidR="008A37A5" w:rsidRPr="008A37A5">
        <w:t>osses</w:t>
      </w:r>
    </w:p>
    <w:p w14:paraId="639611F3" w14:textId="77777777" w:rsidR="008A37A5" w:rsidRPr="008A37A5" w:rsidRDefault="008A37A5" w:rsidP="008E306C">
      <w:r w:rsidRPr="008A37A5">
        <w:t>Agencies should adopt a policy and processes for the systematic identificati</w:t>
      </w:r>
      <w:r w:rsidR="00082B9F">
        <w:t>on, analysis and evaluation of Fraud</w:t>
      </w:r>
      <w:r w:rsidR="00AB7771">
        <w:t>,</w:t>
      </w:r>
      <w:r w:rsidR="00082B9F">
        <w:t xml:space="preserve"> C</w:t>
      </w:r>
      <w:r w:rsidRPr="008A37A5">
        <w:t xml:space="preserve">orruption </w:t>
      </w:r>
      <w:r w:rsidR="00AB7771">
        <w:t xml:space="preserve">and Other Losses </w:t>
      </w:r>
      <w:r w:rsidRPr="008A37A5">
        <w:t>risk and should periodically conduct a comprehens</w:t>
      </w:r>
      <w:r w:rsidR="00082B9F">
        <w:t>ive a</w:t>
      </w:r>
      <w:r w:rsidR="00AB7771">
        <w:t xml:space="preserve">ssessment of the risks of Fraud, </w:t>
      </w:r>
      <w:r w:rsidR="00082B9F">
        <w:t>C</w:t>
      </w:r>
      <w:r w:rsidRPr="008A37A5">
        <w:t xml:space="preserve">orruption </w:t>
      </w:r>
      <w:r w:rsidR="00AB7771">
        <w:t xml:space="preserve">and Other Losses </w:t>
      </w:r>
      <w:r w:rsidRPr="008A37A5">
        <w:t>in their business operations.</w:t>
      </w:r>
    </w:p>
    <w:p w14:paraId="7677FD2E" w14:textId="3E10AE9B" w:rsidR="008A37A5" w:rsidRPr="008A37A5" w:rsidRDefault="008A37A5" w:rsidP="008E306C">
      <w:r w:rsidRPr="008A37A5">
        <w:t xml:space="preserve">The frequency with which the Agency should conduct an assessment of </w:t>
      </w:r>
      <w:r w:rsidR="00931B21">
        <w:t>these</w:t>
      </w:r>
      <w:r w:rsidRPr="008A37A5">
        <w:t xml:space="preserve"> risk</w:t>
      </w:r>
      <w:r w:rsidR="00931B21">
        <w:t>s</w:t>
      </w:r>
      <w:r w:rsidRPr="008A37A5">
        <w:t xml:space="preserve"> will be dependent upon factors such as the Agency’s size, complexity of business operations, and the extent to which the Agency is monitored by other Agencies. </w:t>
      </w:r>
      <w:r w:rsidR="00E43990" w:rsidRPr="008A37A5">
        <w:t>Typically,</w:t>
      </w:r>
      <w:r w:rsidRPr="008A37A5">
        <w:t xml:space="preserve"> an assessment should be conducted</w:t>
      </w:r>
      <w:r w:rsidR="00082B9F">
        <w:t xml:space="preserve"> at least every two years. The </w:t>
      </w:r>
      <w:r w:rsidRPr="008A37A5">
        <w:t xml:space="preserve">risk assessment should be conducted in accordance with AS/NZS ISO 31000:2009, </w:t>
      </w:r>
      <w:r w:rsidRPr="008A37A5">
        <w:rPr>
          <w:i/>
        </w:rPr>
        <w:t>Risk management</w:t>
      </w:r>
      <w:r w:rsidR="002D61D4">
        <w:rPr>
          <w:i/>
        </w:rPr>
        <w:t xml:space="preserve"> – </w:t>
      </w:r>
      <w:r w:rsidRPr="008A37A5">
        <w:rPr>
          <w:i/>
        </w:rPr>
        <w:t>Principles and guidelines</w:t>
      </w:r>
      <w:r w:rsidRPr="008A37A5">
        <w:t>.</w:t>
      </w:r>
    </w:p>
    <w:p w14:paraId="7438C119" w14:textId="77777777" w:rsidR="008A37A5" w:rsidRPr="008A37A5" w:rsidRDefault="008A37A5" w:rsidP="008E306C">
      <w:r w:rsidRPr="008A37A5">
        <w:t>Agencies should ensure that adequate means for reporting suspicious or known illegal or unethical conduct are available to all personnel. The Agency should consider a policy of mandatory r</w:t>
      </w:r>
      <w:r w:rsidR="00082B9F">
        <w:t>eporting of known or suspected Fraud</w:t>
      </w:r>
      <w:r w:rsidR="00931B21">
        <w:t>,</w:t>
      </w:r>
      <w:r w:rsidR="00082B9F">
        <w:t xml:space="preserve"> C</w:t>
      </w:r>
      <w:r w:rsidRPr="008A37A5">
        <w:t xml:space="preserve">orruption </w:t>
      </w:r>
      <w:r w:rsidR="00931B21">
        <w:t xml:space="preserve">or Other Losses </w:t>
      </w:r>
      <w:r w:rsidRPr="008A37A5">
        <w:t>through one or more alternative reporting lines.</w:t>
      </w:r>
    </w:p>
    <w:p w14:paraId="4054D1CB" w14:textId="77777777" w:rsidR="008A37A5" w:rsidRPr="008A37A5" w:rsidRDefault="008A37A5" w:rsidP="008E306C">
      <w:r w:rsidRPr="008A37A5">
        <w:t>Systems should be in place for confidential reporting of suspicious conduct and for the reporter to suffer no repercussions.</w:t>
      </w:r>
    </w:p>
    <w:p w14:paraId="11014060" w14:textId="77777777" w:rsidR="008A37A5" w:rsidRPr="008A37A5" w:rsidRDefault="008A37A5" w:rsidP="00D94C7A">
      <w:pPr>
        <w:pStyle w:val="Heading1NoNum"/>
      </w:pPr>
      <w:r w:rsidRPr="008A37A5">
        <w:t>Audit of business processes or units</w:t>
      </w:r>
    </w:p>
    <w:p w14:paraId="780F5E5D" w14:textId="44F7D532" w:rsidR="008A37A5" w:rsidRPr="008A37A5" w:rsidRDefault="008A37A5" w:rsidP="008E306C">
      <w:hyperlink r:id="rId201" w:anchor="standing-directions-2018" w:history="1">
        <w:r w:rsidRPr="00D4158F">
          <w:rPr>
            <w:rStyle w:val="Hyperlink"/>
          </w:rPr>
          <w:t>Direction</w:t>
        </w:r>
        <w:r w:rsidR="00D63FE7" w:rsidRPr="00D4158F">
          <w:rPr>
            <w:rStyle w:val="Hyperlink"/>
          </w:rPr>
          <w:t>s</w:t>
        </w:r>
        <w:r w:rsidRPr="00D4158F">
          <w:rPr>
            <w:rStyle w:val="Hyperlink"/>
          </w:rPr>
          <w:t xml:space="preserve"> </w:t>
        </w:r>
        <w:r w:rsidR="00D63FE7" w:rsidRPr="00D4158F">
          <w:rPr>
            <w:rStyle w:val="Hyperlink"/>
          </w:rPr>
          <w:t>3.2.2.2</w:t>
        </w:r>
      </w:hyperlink>
      <w:r w:rsidR="00D63FE7">
        <w:t xml:space="preserve"> (b) and (c)</w:t>
      </w:r>
      <w:r w:rsidRPr="008A37A5">
        <w:t xml:space="preserve"> requires a </w:t>
      </w:r>
      <w:r w:rsidR="00947D6E">
        <w:t>strategic</w:t>
      </w:r>
      <w:r w:rsidRPr="008A37A5">
        <w:t xml:space="preserve"> audit plan </w:t>
      </w:r>
      <w:r w:rsidR="00D63FE7">
        <w:t xml:space="preserve">and annual work program </w:t>
      </w:r>
      <w:r w:rsidRPr="008A37A5">
        <w:t>to be developed. Th</w:t>
      </w:r>
      <w:r w:rsidR="00D63FE7">
        <w:t>ese</w:t>
      </w:r>
      <w:r w:rsidRPr="008A37A5">
        <w:t xml:space="preserve"> must include audit</w:t>
      </w:r>
      <w:r w:rsidR="00D63FE7">
        <w:t>s</w:t>
      </w:r>
      <w:r w:rsidRPr="008A37A5">
        <w:t xml:space="preserve"> to identify business proces</w:t>
      </w:r>
      <w:r w:rsidR="00082B9F">
        <w:t>ses likely to be vulnerable to Fraud or C</w:t>
      </w:r>
      <w:r w:rsidRPr="008A37A5">
        <w:t xml:space="preserve">orruption, and targeted reviews </w:t>
      </w:r>
      <w:r w:rsidR="00962FB8">
        <w:t>for potential or actual</w:t>
      </w:r>
      <w:r w:rsidR="00082B9F">
        <w:t xml:space="preserve"> Fraud, C</w:t>
      </w:r>
      <w:r w:rsidR="00A31469">
        <w:t>orruption and Other L</w:t>
      </w:r>
      <w:r w:rsidRPr="008A37A5">
        <w:t>osses in those business areas or process</w:t>
      </w:r>
      <w:r w:rsidR="00082B9F">
        <w:t>es identified as vulnerable to Fraud or C</w:t>
      </w:r>
      <w:r w:rsidRPr="008A37A5">
        <w:t>orruption.</w:t>
      </w:r>
    </w:p>
    <w:p w14:paraId="00A41E89" w14:textId="77777777" w:rsidR="008A37A5" w:rsidRPr="008A37A5" w:rsidRDefault="008A37A5" w:rsidP="008E306C">
      <w:r w:rsidRPr="008A37A5">
        <w:t xml:space="preserve">Audits </w:t>
      </w:r>
      <w:r w:rsidR="008F7D27">
        <w:t>should</w:t>
      </w:r>
      <w:r w:rsidRPr="008A37A5">
        <w:t>:</w:t>
      </w:r>
    </w:p>
    <w:p w14:paraId="33340DEA" w14:textId="77777777" w:rsidR="008A37A5" w:rsidRPr="003E50F8" w:rsidRDefault="008A37A5" w:rsidP="000B4E8F">
      <w:pPr>
        <w:pStyle w:val="Bullet1"/>
        <w:ind w:left="284" w:hanging="284"/>
      </w:pPr>
      <w:r w:rsidRPr="00F97EBD">
        <w:t>involve senior management;</w:t>
      </w:r>
    </w:p>
    <w:p w14:paraId="6F06A0EC" w14:textId="77777777" w:rsidR="008A37A5" w:rsidRPr="003E50F8" w:rsidRDefault="008A37A5" w:rsidP="000B4E8F">
      <w:pPr>
        <w:pStyle w:val="Bullet1"/>
        <w:ind w:left="284" w:hanging="284"/>
      </w:pPr>
      <w:r w:rsidRPr="00F97EBD">
        <w:t xml:space="preserve">be documented; and </w:t>
      </w:r>
    </w:p>
    <w:p w14:paraId="6C587E0C" w14:textId="77777777" w:rsidR="008A37A5" w:rsidRPr="003E50F8" w:rsidRDefault="008A37A5" w:rsidP="000B4E8F">
      <w:pPr>
        <w:pStyle w:val="Bullet1"/>
        <w:ind w:left="284" w:hanging="284"/>
      </w:pPr>
      <w:r w:rsidRPr="00F97EBD">
        <w:t>include areas for detailed review.</w:t>
      </w:r>
    </w:p>
    <w:p w14:paraId="19E881C8" w14:textId="77777777" w:rsidR="008A37A5" w:rsidRPr="008A37A5" w:rsidRDefault="008A37A5" w:rsidP="008E306C">
      <w:r w:rsidRPr="008A37A5">
        <w:t xml:space="preserve">Targeted reviews </w:t>
      </w:r>
      <w:r w:rsidR="008F7D27">
        <w:t>should</w:t>
      </w:r>
      <w:r w:rsidR="008F7D27" w:rsidRPr="008A37A5">
        <w:t xml:space="preserve"> </w:t>
      </w:r>
      <w:r w:rsidRPr="008A37A5">
        <w:t>include:</w:t>
      </w:r>
    </w:p>
    <w:p w14:paraId="07C78D08" w14:textId="77777777" w:rsidR="008A37A5" w:rsidRPr="008A37A5" w:rsidRDefault="008A37A5" w:rsidP="000B4E8F">
      <w:pPr>
        <w:pStyle w:val="Bullet1"/>
        <w:ind w:left="284" w:hanging="284"/>
      </w:pPr>
      <w:r w:rsidRPr="008A37A5">
        <w:t>ass</w:t>
      </w:r>
      <w:r w:rsidR="00082B9F">
        <w:t>essment of controls to prevent Fraud, Corruption and Other L</w:t>
      </w:r>
      <w:r w:rsidRPr="008A37A5">
        <w:t>osses in that business area or business process;</w:t>
      </w:r>
    </w:p>
    <w:p w14:paraId="0D7A284D" w14:textId="77777777" w:rsidR="008A37A5" w:rsidRPr="008A37A5" w:rsidRDefault="008A37A5" w:rsidP="000B4E8F">
      <w:pPr>
        <w:pStyle w:val="Bullet1"/>
        <w:ind w:left="284" w:hanging="284"/>
      </w:pPr>
      <w:r w:rsidRPr="008A37A5">
        <w:t xml:space="preserve">suitable treatment plans and remedial actions; and </w:t>
      </w:r>
    </w:p>
    <w:p w14:paraId="2268D4E3" w14:textId="77777777" w:rsidR="008A37A5" w:rsidRPr="008A37A5" w:rsidRDefault="008A37A5" w:rsidP="000B4E8F">
      <w:pPr>
        <w:pStyle w:val="Bullet1"/>
        <w:ind w:left="284" w:hanging="284"/>
      </w:pPr>
      <w:r w:rsidRPr="008A37A5">
        <w:t>accountabilities assigned for administering the treatment plans.</w:t>
      </w:r>
    </w:p>
    <w:p w14:paraId="2ABBC3CF" w14:textId="77777777" w:rsidR="00C426D3" w:rsidRDefault="00C426D3" w:rsidP="000501DE"/>
    <w:p w14:paraId="0053B0A6" w14:textId="77777777" w:rsidR="00E32A5E" w:rsidRDefault="00E32A5E" w:rsidP="000501DE"/>
    <w:p w14:paraId="25AC789E" w14:textId="77777777" w:rsidR="008A37A5" w:rsidRDefault="008A37A5" w:rsidP="00F97EBD">
      <w:pPr>
        <w:ind w:left="462"/>
        <w:sectPr w:rsidR="008A37A5" w:rsidSect="00764EE3">
          <w:pgSz w:w="11906" w:h="16838"/>
          <w:pgMar w:top="1276" w:right="1008" w:bottom="1440" w:left="1008" w:header="706" w:footer="389" w:gutter="0"/>
          <w:cols w:space="708"/>
          <w:titlePg/>
          <w:docGrid w:linePitch="360"/>
        </w:sectPr>
      </w:pPr>
    </w:p>
    <w:p w14:paraId="649C1499" w14:textId="1C101BEA" w:rsidR="008A37A5" w:rsidRPr="008A37A5" w:rsidRDefault="008A37A5" w:rsidP="007F577D">
      <w:pPr>
        <w:pStyle w:val="GuidanceTitle"/>
      </w:pPr>
      <w:bookmarkStart w:id="32" w:name="Guidance_3_6"/>
      <w:r w:rsidRPr="008A37A5">
        <w:lastRenderedPageBreak/>
        <w:t>Guidance 3.</w:t>
      </w:r>
      <w:r w:rsidR="00961833">
        <w:t xml:space="preserve">6 </w:t>
      </w:r>
      <w:bookmarkEnd w:id="32"/>
      <w:r w:rsidRPr="008A37A5">
        <w:t>– Purchasing card</w:t>
      </w:r>
      <w:r w:rsidR="00961833">
        <w:t>s</w:t>
      </w:r>
      <w:r w:rsidRPr="008A37A5">
        <w:t xml:space="preserve"> </w:t>
      </w:r>
    </w:p>
    <w:p w14:paraId="52CF1995" w14:textId="77777777" w:rsidR="008A37A5" w:rsidRPr="008A37A5" w:rsidRDefault="008A37A5" w:rsidP="00F97EBD">
      <w:pPr>
        <w:spacing w:before="0" w:after="0" w:line="120" w:lineRule="atLeast"/>
        <w:ind w:left="462"/>
        <w:rPr>
          <w:sz w:val="12"/>
        </w:rPr>
      </w:pPr>
    </w:p>
    <w:tbl>
      <w:tblPr>
        <w:tblStyle w:val="Table1211"/>
        <w:tblW w:w="9900" w:type="dxa"/>
        <w:tblLook w:val="0080" w:firstRow="0" w:lastRow="0" w:firstColumn="1" w:lastColumn="0" w:noHBand="0" w:noVBand="0"/>
      </w:tblPr>
      <w:tblGrid>
        <w:gridCol w:w="3119"/>
        <w:gridCol w:w="6781"/>
      </w:tblGrid>
      <w:tr w:rsidR="008A37A5" w:rsidRPr="008A37A5" w14:paraId="1E800B2F" w14:textId="77777777" w:rsidTr="00F97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E154776" w14:textId="77777777" w:rsidR="008A37A5" w:rsidRPr="008A37A5" w:rsidRDefault="008A37A5" w:rsidP="008A37A5">
            <w:pPr>
              <w:spacing w:before="60" w:after="60" w:line="252" w:lineRule="auto"/>
              <w:rPr>
                <w:rFonts w:cs="Times New Roman"/>
                <w:b/>
                <w:sz w:val="18"/>
                <w:szCs w:val="20"/>
              </w:rPr>
            </w:pPr>
            <w:r w:rsidRPr="008A37A5">
              <w:rPr>
                <w:rFonts w:cs="Times New Roman"/>
                <w:b/>
                <w:sz w:val="18"/>
                <w:szCs w:val="20"/>
              </w:rPr>
              <w:t xml:space="preserve">Objective </w:t>
            </w:r>
          </w:p>
        </w:tc>
        <w:tc>
          <w:tcPr>
            <w:cnfStyle w:val="000010000000" w:firstRow="0" w:lastRow="0" w:firstColumn="0" w:lastColumn="0" w:oddVBand="1" w:evenVBand="0" w:oddHBand="0" w:evenHBand="0" w:firstRowFirstColumn="0" w:firstRowLastColumn="0" w:lastRowFirstColumn="0" w:lastRowLastColumn="0"/>
            <w:tcW w:w="6781" w:type="dxa"/>
          </w:tcPr>
          <w:p w14:paraId="41636E02" w14:textId="77777777" w:rsidR="008A37A5" w:rsidRPr="008A37A5" w:rsidRDefault="008A37A5" w:rsidP="008A37A5">
            <w:pPr>
              <w:spacing w:before="60" w:after="60" w:line="252" w:lineRule="auto"/>
              <w:rPr>
                <w:rFonts w:cs="Times New Roman"/>
                <w:sz w:val="18"/>
                <w:szCs w:val="20"/>
              </w:rPr>
            </w:pPr>
            <w:r w:rsidRPr="008A37A5">
              <w:rPr>
                <w:rFonts w:cs="Times New Roman"/>
                <w:sz w:val="18"/>
                <w:szCs w:val="20"/>
              </w:rPr>
              <w:t>Provides guidance to establish an efficient and effective process for achieving the objectives of the Instruction and outcomes of the Direction.</w:t>
            </w:r>
          </w:p>
        </w:tc>
      </w:tr>
      <w:tr w:rsidR="008A37A5" w:rsidRPr="008A37A5" w14:paraId="5F596364" w14:textId="77777777" w:rsidTr="00F97E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139D65A" w14:textId="77777777" w:rsidR="008A37A5" w:rsidRPr="008A37A5" w:rsidRDefault="008A37A5" w:rsidP="008A37A5">
            <w:pPr>
              <w:spacing w:before="60" w:after="60" w:line="252" w:lineRule="auto"/>
              <w:rPr>
                <w:rFonts w:cs="Times New Roman"/>
                <w:b/>
                <w:sz w:val="18"/>
                <w:szCs w:val="20"/>
              </w:rPr>
            </w:pPr>
            <w:r w:rsidRPr="008A37A5">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12E11117" w14:textId="77777777" w:rsidR="008A37A5" w:rsidRPr="008A37A5" w:rsidRDefault="008A37A5" w:rsidP="008A37A5">
            <w:pPr>
              <w:spacing w:before="60" w:after="60" w:line="252" w:lineRule="auto"/>
              <w:rPr>
                <w:rFonts w:cs="Times New Roman"/>
                <w:bCs/>
                <w:sz w:val="18"/>
                <w:szCs w:val="20"/>
              </w:rPr>
            </w:pPr>
            <w:r w:rsidRPr="008A37A5">
              <w:rPr>
                <w:rFonts w:cs="Times New Roman"/>
                <w:bCs/>
                <w:sz w:val="18"/>
                <w:szCs w:val="20"/>
              </w:rPr>
              <w:t>1 July 2016</w:t>
            </w:r>
          </w:p>
        </w:tc>
      </w:tr>
      <w:tr w:rsidR="008A37A5" w:rsidRPr="008A37A5" w14:paraId="52DD0D9D" w14:textId="77777777" w:rsidTr="00F97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346CA79" w14:textId="77777777" w:rsidR="008A37A5" w:rsidRPr="008A37A5" w:rsidRDefault="008A37A5" w:rsidP="008C1C9D">
            <w:pPr>
              <w:spacing w:before="60" w:after="60" w:line="252" w:lineRule="auto"/>
              <w:rPr>
                <w:rFonts w:cs="Times New Roman"/>
                <w:b/>
                <w:sz w:val="18"/>
                <w:szCs w:val="20"/>
              </w:rPr>
            </w:pPr>
            <w:r w:rsidRPr="008A37A5">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4DD240F3" w14:textId="1171B30E" w:rsidR="00E862D1" w:rsidRDefault="00E862D1" w:rsidP="008A37A5">
            <w:pPr>
              <w:spacing w:before="60" w:after="60" w:line="252" w:lineRule="auto"/>
              <w:rPr>
                <w:rFonts w:cs="Times New Roman"/>
                <w:bCs/>
                <w:sz w:val="18"/>
                <w:szCs w:val="20"/>
              </w:rPr>
            </w:pPr>
            <w:hyperlink r:id="rId202" w:anchor="standing-directions-2018" w:history="1">
              <w:r w:rsidRPr="00913A2E">
                <w:rPr>
                  <w:rStyle w:val="Hyperlink"/>
                  <w:rFonts w:cs="Times New Roman"/>
                  <w:bCs/>
                  <w:sz w:val="18"/>
                  <w:szCs w:val="20"/>
                </w:rPr>
                <w:t>3.3 Financial Authorisations</w:t>
              </w:r>
            </w:hyperlink>
            <w:r w:rsidRPr="00E862D1">
              <w:rPr>
                <w:rFonts w:cs="Times New Roman"/>
                <w:bCs/>
                <w:sz w:val="18"/>
                <w:szCs w:val="20"/>
              </w:rPr>
              <w:t xml:space="preserve"> </w:t>
            </w:r>
          </w:p>
          <w:p w14:paraId="16127E94" w14:textId="3CB596AF" w:rsidR="008A37A5" w:rsidRDefault="008A37A5" w:rsidP="008A37A5">
            <w:pPr>
              <w:spacing w:before="60" w:after="60" w:line="252" w:lineRule="auto"/>
              <w:rPr>
                <w:rFonts w:cs="Times New Roman"/>
                <w:bCs/>
                <w:sz w:val="18"/>
                <w:szCs w:val="20"/>
              </w:rPr>
            </w:pPr>
            <w:hyperlink r:id="rId203" w:anchor="standing-directions-2018" w:history="1">
              <w:r w:rsidRPr="00913A2E">
                <w:rPr>
                  <w:rStyle w:val="Hyperlink"/>
                  <w:rFonts w:cs="Times New Roman"/>
                  <w:bCs/>
                  <w:sz w:val="18"/>
                  <w:szCs w:val="20"/>
                </w:rPr>
                <w:t>3</w:t>
              </w:r>
              <w:r w:rsidR="00176D57" w:rsidRPr="00913A2E">
                <w:rPr>
                  <w:rStyle w:val="Hyperlink"/>
                  <w:rFonts w:cs="Times New Roman"/>
                  <w:bCs/>
                  <w:sz w:val="18"/>
                  <w:szCs w:val="20"/>
                </w:rPr>
                <w:t>.</w:t>
              </w:r>
              <w:r w:rsidR="00B5742F" w:rsidRPr="00913A2E">
                <w:rPr>
                  <w:rStyle w:val="Hyperlink"/>
                  <w:rFonts w:cs="Times New Roman"/>
                  <w:bCs/>
                  <w:sz w:val="18"/>
                  <w:szCs w:val="20"/>
                </w:rPr>
                <w:t>5</w:t>
              </w:r>
              <w:r w:rsidRPr="00913A2E">
                <w:rPr>
                  <w:rStyle w:val="Hyperlink"/>
                  <w:rFonts w:cs="Times New Roman"/>
                  <w:bCs/>
                  <w:sz w:val="18"/>
                  <w:szCs w:val="20"/>
                </w:rPr>
                <w:t xml:space="preserve"> </w:t>
              </w:r>
              <w:r w:rsidR="00FB728C" w:rsidRPr="00913A2E">
                <w:rPr>
                  <w:rStyle w:val="Hyperlink"/>
                  <w:rFonts w:cs="Times New Roman"/>
                  <w:bCs/>
                  <w:sz w:val="18"/>
                  <w:szCs w:val="20"/>
                </w:rPr>
                <w:t>F</w:t>
              </w:r>
              <w:r w:rsidR="00082B9F" w:rsidRPr="00913A2E">
                <w:rPr>
                  <w:rStyle w:val="Hyperlink"/>
                  <w:rFonts w:cs="Times New Roman"/>
                  <w:bCs/>
                  <w:sz w:val="18"/>
                  <w:szCs w:val="20"/>
                </w:rPr>
                <w:t>raud, Corruption and Other L</w:t>
              </w:r>
              <w:r w:rsidRPr="00913A2E">
                <w:rPr>
                  <w:rStyle w:val="Hyperlink"/>
                  <w:rFonts w:cs="Times New Roman"/>
                  <w:bCs/>
                  <w:sz w:val="18"/>
                  <w:szCs w:val="20"/>
                </w:rPr>
                <w:t>osses</w:t>
              </w:r>
            </w:hyperlink>
          </w:p>
          <w:p w14:paraId="5E8EA524" w14:textId="2C9DD78E" w:rsidR="0054615B" w:rsidRPr="008A37A5" w:rsidRDefault="0054615B" w:rsidP="008A37A5">
            <w:pPr>
              <w:spacing w:before="60" w:after="60" w:line="252" w:lineRule="auto"/>
              <w:rPr>
                <w:rFonts w:cs="Times New Roman"/>
                <w:bCs/>
                <w:sz w:val="18"/>
                <w:szCs w:val="20"/>
              </w:rPr>
            </w:pPr>
            <w:hyperlink r:id="rId204" w:anchor="standing-directions-2018" w:history="1">
              <w:r w:rsidRPr="00913A2E">
                <w:rPr>
                  <w:rStyle w:val="Hyperlink"/>
                  <w:rFonts w:cs="Times New Roman"/>
                  <w:bCs/>
                  <w:sz w:val="18"/>
                  <w:szCs w:val="20"/>
                </w:rPr>
                <w:t>3.</w:t>
              </w:r>
              <w:r w:rsidR="00B5742F" w:rsidRPr="00913A2E">
                <w:rPr>
                  <w:rStyle w:val="Hyperlink"/>
                  <w:rFonts w:cs="Times New Roman"/>
                  <w:bCs/>
                  <w:sz w:val="18"/>
                  <w:szCs w:val="20"/>
                </w:rPr>
                <w:t>6</w:t>
              </w:r>
              <w:r w:rsidRPr="00913A2E">
                <w:rPr>
                  <w:rStyle w:val="Hyperlink"/>
                  <w:rFonts w:cs="Times New Roman"/>
                  <w:bCs/>
                  <w:sz w:val="18"/>
                  <w:szCs w:val="20"/>
                </w:rPr>
                <w:t xml:space="preserve"> Purchasing and prepaid debit cards</w:t>
              </w:r>
            </w:hyperlink>
          </w:p>
          <w:p w14:paraId="21624AD2" w14:textId="0BB129A5" w:rsidR="008A37A5" w:rsidRPr="008A37A5" w:rsidRDefault="008A37A5" w:rsidP="008A37A5">
            <w:pPr>
              <w:spacing w:before="60" w:after="60" w:line="252" w:lineRule="auto"/>
              <w:rPr>
                <w:rFonts w:cs="Times New Roman"/>
                <w:bCs/>
                <w:sz w:val="18"/>
                <w:szCs w:val="20"/>
              </w:rPr>
            </w:pPr>
            <w:hyperlink r:id="rId205" w:anchor="standing-directions-2018" w:history="1">
              <w:r w:rsidRPr="00913A2E">
                <w:rPr>
                  <w:rStyle w:val="Hyperlink"/>
                  <w:rFonts w:cs="Times New Roman"/>
                  <w:bCs/>
                  <w:sz w:val="18"/>
                  <w:szCs w:val="20"/>
                </w:rPr>
                <w:t>5.1 Financial management compliance</w:t>
              </w:r>
            </w:hyperlink>
          </w:p>
        </w:tc>
      </w:tr>
      <w:tr w:rsidR="008A37A5" w:rsidRPr="008A37A5" w14:paraId="29330006" w14:textId="77777777" w:rsidTr="00F97E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5602A23" w14:textId="77777777" w:rsidR="008A37A5" w:rsidRPr="008A37A5" w:rsidRDefault="008A37A5" w:rsidP="008A37A5">
            <w:pPr>
              <w:spacing w:before="60" w:after="60" w:line="252" w:lineRule="auto"/>
              <w:rPr>
                <w:rFonts w:cs="Times New Roman"/>
                <w:b/>
                <w:sz w:val="18"/>
                <w:szCs w:val="20"/>
              </w:rPr>
            </w:pPr>
            <w:r w:rsidRPr="008A37A5">
              <w:rPr>
                <w:rFonts w:cs="Times New Roman"/>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553D3BFB" w14:textId="62073994" w:rsidR="008A37A5" w:rsidRPr="008A37A5" w:rsidRDefault="00515507" w:rsidP="008A37A5">
            <w:pPr>
              <w:spacing w:before="60" w:after="60" w:line="252" w:lineRule="auto"/>
              <w:rPr>
                <w:rFonts w:cs="Times New Roman"/>
                <w:bCs/>
                <w:sz w:val="18"/>
                <w:szCs w:val="20"/>
              </w:rPr>
            </w:pPr>
            <w:r>
              <w:rPr>
                <w:rFonts w:cs="Times New Roman"/>
                <w:bCs/>
                <w:sz w:val="18"/>
                <w:szCs w:val="20"/>
              </w:rPr>
              <w:t>1 May 2019</w:t>
            </w:r>
          </w:p>
        </w:tc>
      </w:tr>
    </w:tbl>
    <w:p w14:paraId="2494B8FA" w14:textId="77777777" w:rsidR="008A37A5" w:rsidRPr="008A37A5" w:rsidRDefault="008A37A5" w:rsidP="00F97EBD">
      <w:pPr>
        <w:spacing w:before="0" w:after="0" w:line="120" w:lineRule="atLeast"/>
        <w:ind w:left="462"/>
        <w:rPr>
          <w:sz w:val="12"/>
        </w:rPr>
      </w:pPr>
    </w:p>
    <w:p w14:paraId="78891DA4" w14:textId="77777777" w:rsidR="008A37A5" w:rsidRPr="008A37A5" w:rsidRDefault="008A37A5" w:rsidP="00553B06">
      <w:pPr>
        <w:pStyle w:val="Heading1NoNum"/>
      </w:pPr>
      <w:r w:rsidRPr="008A37A5">
        <w:t>Roles and responsibilities</w:t>
      </w:r>
    </w:p>
    <w:p w14:paraId="3F432014" w14:textId="77777777" w:rsidR="008A37A5" w:rsidRPr="008A37A5" w:rsidRDefault="008A37A5" w:rsidP="00FC17D9">
      <w:pPr>
        <w:pStyle w:val="Heading2NoNum"/>
      </w:pPr>
      <w:r w:rsidRPr="008A37A5">
        <w:t>Accountable Officer</w:t>
      </w:r>
    </w:p>
    <w:p w14:paraId="0D3270B7" w14:textId="2B06F86D" w:rsidR="008A37A5" w:rsidRPr="008A37A5" w:rsidRDefault="008A37A5" w:rsidP="008E306C">
      <w:r w:rsidRPr="008A37A5">
        <w:t xml:space="preserve">Accountable Officers are responsible for establishing the purchasing </w:t>
      </w:r>
      <w:r w:rsidR="006F0D5C">
        <w:t>card program in their A</w:t>
      </w:r>
      <w:r w:rsidRPr="008A37A5">
        <w:t xml:space="preserve">gency in accordance with the requirements in the Instruction. They have the ability to delegate these responsibilities in accordance with </w:t>
      </w:r>
      <w:hyperlink r:id="rId206" w:anchor="standing-directions-2018" w:history="1">
        <w:r w:rsidR="00E862D1" w:rsidRPr="00D4158F">
          <w:rPr>
            <w:rStyle w:val="Hyperlink"/>
          </w:rPr>
          <w:t>Direction 3.3</w:t>
        </w:r>
      </w:hyperlink>
      <w:r w:rsidR="00E862D1" w:rsidRPr="00E862D1">
        <w:t>.</w:t>
      </w:r>
    </w:p>
    <w:p w14:paraId="631AE0F7" w14:textId="77777777" w:rsidR="008A37A5" w:rsidRPr="008A37A5" w:rsidRDefault="008A37A5" w:rsidP="008E306C">
      <w:r w:rsidRPr="008A37A5">
        <w:t>Accountable Officers and program administrators are responsible for having effective administrative policies and procedures for the use and administration of these cards, thereby providing the Responsible Minister with assurance that rigorous controls are in place.</w:t>
      </w:r>
    </w:p>
    <w:p w14:paraId="19353E52" w14:textId="1EF3CCBB" w:rsidR="008A37A5" w:rsidRPr="008A37A5" w:rsidRDefault="008A37A5" w:rsidP="008E306C">
      <w:r w:rsidRPr="008A37A5">
        <w:t xml:space="preserve">Accountable Officers are to review </w:t>
      </w:r>
      <w:r w:rsidRPr="00176D57">
        <w:t>all</w:t>
      </w:r>
      <w:r w:rsidRPr="008A37A5">
        <w:t xml:space="preserve"> instances of unauthorised use and non</w:t>
      </w:r>
      <w:r w:rsidR="00D62B6D">
        <w:noBreakHyphen/>
      </w:r>
      <w:r w:rsidRPr="008A37A5">
        <w:t>compliance with the Instruction reported by the program adminis</w:t>
      </w:r>
      <w:r w:rsidR="00A053FA">
        <w:t>trator. They are to report any S</w:t>
      </w:r>
      <w:r w:rsidRPr="008A37A5">
        <w:t>ignifican</w:t>
      </w:r>
      <w:r w:rsidR="00A053FA">
        <w:t>t or S</w:t>
      </w:r>
      <w:r w:rsidRPr="008A37A5">
        <w:t xml:space="preserve">ystemic </w:t>
      </w:r>
      <w:r w:rsidR="00F66A87">
        <w:t>non</w:t>
      </w:r>
      <w:r w:rsidR="00D62B6D">
        <w:noBreakHyphen/>
      </w:r>
      <w:r w:rsidR="00F66A87">
        <w:t>compliance</w:t>
      </w:r>
      <w:r w:rsidR="00F66A87" w:rsidRPr="008A37A5">
        <w:t xml:space="preserve"> </w:t>
      </w:r>
      <w:r w:rsidRPr="008A37A5">
        <w:t xml:space="preserve">to the Audit Committee and </w:t>
      </w:r>
      <w:r w:rsidR="006D18D6">
        <w:t>as soon as practicable</w:t>
      </w:r>
      <w:r w:rsidRPr="008A37A5">
        <w:t xml:space="preserve"> of the </w:t>
      </w:r>
      <w:r w:rsidR="00F66A87">
        <w:t>non</w:t>
      </w:r>
      <w:r w:rsidR="00D62B6D">
        <w:noBreakHyphen/>
      </w:r>
      <w:r w:rsidR="00F66A87">
        <w:t>compliance</w:t>
      </w:r>
      <w:r w:rsidR="00F66A87" w:rsidRPr="008A37A5">
        <w:t xml:space="preserve"> </w:t>
      </w:r>
      <w:r w:rsidRPr="008A37A5">
        <w:t>occurring, to the Responsible Minister, Portfolio Department and the Auditor</w:t>
      </w:r>
      <w:r w:rsidR="00D62B6D">
        <w:noBreakHyphen/>
      </w:r>
      <w:r w:rsidRPr="001326A1">
        <w:t xml:space="preserve">General (refer </w:t>
      </w:r>
      <w:hyperlink r:id="rId207" w:anchor="standing-directions-2018" w:history="1">
        <w:r w:rsidRPr="00D4158F">
          <w:rPr>
            <w:rStyle w:val="Hyperlink"/>
          </w:rPr>
          <w:t>Direction 3.</w:t>
        </w:r>
        <w:r w:rsidR="00176D57" w:rsidRPr="00D4158F">
          <w:rPr>
            <w:rStyle w:val="Hyperlink"/>
          </w:rPr>
          <w:t>5</w:t>
        </w:r>
        <w:r w:rsidR="00B5742F" w:rsidRPr="00D4158F">
          <w:rPr>
            <w:rStyle w:val="Hyperlink"/>
          </w:rPr>
          <w:t>.3</w:t>
        </w:r>
      </w:hyperlink>
      <w:r w:rsidRPr="001326A1">
        <w:t xml:space="preserve">). If necessary, the </w:t>
      </w:r>
      <w:r w:rsidR="00F66A87" w:rsidRPr="001326A1">
        <w:t>non</w:t>
      </w:r>
      <w:r w:rsidR="00D62B6D">
        <w:noBreakHyphen/>
      </w:r>
      <w:r w:rsidR="00F66A87" w:rsidRPr="001326A1">
        <w:t xml:space="preserve">compliance </w:t>
      </w:r>
      <w:r w:rsidRPr="001326A1">
        <w:t>should be referred to the police for investigation and</w:t>
      </w:r>
      <w:r w:rsidRPr="008A37A5">
        <w:t xml:space="preserve"> action, or in the case of </w:t>
      </w:r>
      <w:r w:rsidR="00B91FAC">
        <w:rPr>
          <w:b/>
        </w:rPr>
        <w:t>c</w:t>
      </w:r>
      <w:r w:rsidRPr="008A37A5">
        <w:rPr>
          <w:b/>
        </w:rPr>
        <w:t>orruption</w:t>
      </w:r>
      <w:r w:rsidRPr="008A37A5">
        <w:t>, to the Independent Broad</w:t>
      </w:r>
      <w:r w:rsidR="00D62B6D">
        <w:noBreakHyphen/>
      </w:r>
      <w:r w:rsidRPr="008A37A5">
        <w:t>based Anti</w:t>
      </w:r>
      <w:r w:rsidR="00D62B6D">
        <w:noBreakHyphen/>
      </w:r>
      <w:r w:rsidRPr="008A37A5">
        <w:t>corruption Commission. Otherwise it should be referred for disciplinary action unless the Accountable Officer considers the unauthorised use was accidental or was not part of a pattern of unauthorised use (accidental or not).</w:t>
      </w:r>
    </w:p>
    <w:p w14:paraId="2AA49A6B" w14:textId="77777777" w:rsidR="008A37A5" w:rsidRPr="00553B06" w:rsidRDefault="008A37A5" w:rsidP="00FC17D9">
      <w:pPr>
        <w:pStyle w:val="Heading2NoNum"/>
      </w:pPr>
      <w:r w:rsidRPr="00553B06">
        <w:t>Program administrator</w:t>
      </w:r>
    </w:p>
    <w:p w14:paraId="07C4D16B" w14:textId="7249B446" w:rsidR="008A37A5" w:rsidRPr="008A37A5" w:rsidRDefault="008A37A5" w:rsidP="008E306C">
      <w:r w:rsidRPr="008A37A5">
        <w:t xml:space="preserve">Program administrators provide operational support to Accountable Officers in administering the purchasing card program for their </w:t>
      </w:r>
      <w:r w:rsidR="006F0D5C">
        <w:t>A</w:t>
      </w:r>
      <w:r w:rsidRPr="008A37A5">
        <w:t>gency. They are the main contact for the card providers, cardholders and authorised signatories</w:t>
      </w:r>
      <w:r w:rsidR="00962FB8">
        <w:t xml:space="preserve"> (approver of expenditure)</w:t>
      </w:r>
      <w:r w:rsidRPr="008A37A5">
        <w:t>.</w:t>
      </w:r>
    </w:p>
    <w:p w14:paraId="24A2A17B" w14:textId="1095E18F" w:rsidR="008A37A5" w:rsidRPr="008A37A5" w:rsidRDefault="008A37A5" w:rsidP="008E306C">
      <w:r w:rsidRPr="008A37A5">
        <w:t>A program administrator should be nominated when the Agency provides administrative support to Responsible Ministers for the management of purchasing cards to relevant statutory office holders.</w:t>
      </w:r>
    </w:p>
    <w:p w14:paraId="0E19BA96" w14:textId="77777777" w:rsidR="008A37A5" w:rsidRPr="008A37A5" w:rsidRDefault="008A37A5" w:rsidP="008E306C">
      <w:r w:rsidRPr="008A37A5">
        <w:t>Program administrators should consider applying the following procedures for each authorised signatory appointed by the Accountable Officer:</w:t>
      </w:r>
    </w:p>
    <w:p w14:paraId="0C17CA3D" w14:textId="77777777" w:rsidR="008A37A5" w:rsidRPr="008A37A5" w:rsidRDefault="008A37A5" w:rsidP="000B15FD">
      <w:pPr>
        <w:pStyle w:val="GuidanceBullet1"/>
        <w:numPr>
          <w:ilvl w:val="0"/>
          <w:numId w:val="55"/>
        </w:numPr>
      </w:pPr>
      <w:r w:rsidRPr="008A37A5">
        <w:t xml:space="preserve">confirm that the authorised signatories </w:t>
      </w:r>
      <w:r w:rsidR="00B91FAC">
        <w:t>hold a</w:t>
      </w:r>
      <w:r w:rsidRPr="008A37A5">
        <w:t xml:space="preserve"> financial </w:t>
      </w:r>
      <w:r w:rsidR="00007F24">
        <w:t>authorisation</w:t>
      </w:r>
      <w:r w:rsidR="00B91FAC">
        <w:t xml:space="preserve"> (this does not have to be of a particular quantum)</w:t>
      </w:r>
      <w:r w:rsidRPr="008A37A5">
        <w:t>; and</w:t>
      </w:r>
    </w:p>
    <w:p w14:paraId="07B62D0D" w14:textId="77777777" w:rsidR="008A37A5" w:rsidRPr="008A37A5" w:rsidRDefault="008A37A5" w:rsidP="000B15FD">
      <w:pPr>
        <w:pStyle w:val="GuidanceBullet1"/>
        <w:numPr>
          <w:ilvl w:val="0"/>
          <w:numId w:val="55"/>
        </w:numPr>
      </w:pPr>
      <w:r w:rsidRPr="008A37A5">
        <w:t>the authorised signatories understand their responsibilities, what constitutes purchases for official purposes and how to report unauthorised use.</w:t>
      </w:r>
    </w:p>
    <w:p w14:paraId="72EB099C" w14:textId="77777777" w:rsidR="008A37A5" w:rsidRPr="008A37A5" w:rsidRDefault="008A37A5" w:rsidP="00824690">
      <w:pPr>
        <w:pStyle w:val="GuidanceBullet1"/>
        <w:numPr>
          <w:ilvl w:val="0"/>
          <w:numId w:val="0"/>
        </w:numPr>
      </w:pPr>
      <w:r w:rsidRPr="008A37A5">
        <w:t>Program administrators should when issuing cards to cardholders:</w:t>
      </w:r>
    </w:p>
    <w:p w14:paraId="3DDCA739" w14:textId="77777777" w:rsidR="008A37A5" w:rsidRPr="008A37A5" w:rsidRDefault="008A37A5" w:rsidP="000B15FD">
      <w:pPr>
        <w:pStyle w:val="GuidanceBullet1"/>
        <w:numPr>
          <w:ilvl w:val="0"/>
          <w:numId w:val="56"/>
        </w:numPr>
      </w:pPr>
      <w:r w:rsidRPr="008A37A5">
        <w:t xml:space="preserve">confirm the employee has the appropriate financial </w:t>
      </w:r>
      <w:r w:rsidR="00DC03F0">
        <w:t>authorisation</w:t>
      </w:r>
      <w:r w:rsidR="00DC03F0" w:rsidRPr="008A37A5">
        <w:t xml:space="preserve"> </w:t>
      </w:r>
      <w:r w:rsidRPr="008A37A5">
        <w:t xml:space="preserve">at least equivalent in value to the transaction limit agreed by the authorised signatory, and in instances when the employee does not have financial </w:t>
      </w:r>
      <w:r w:rsidR="00DC03F0">
        <w:t>authorisation</w:t>
      </w:r>
      <w:r w:rsidR="00DC03F0" w:rsidRPr="008A37A5">
        <w:t xml:space="preserve"> </w:t>
      </w:r>
      <w:r w:rsidRPr="008A37A5">
        <w:t xml:space="preserve">for the prepaid debit card, the authorised signatory has the appropriate financial </w:t>
      </w:r>
      <w:r w:rsidR="00DC03F0">
        <w:t>authorisation</w:t>
      </w:r>
      <w:r w:rsidRPr="008A37A5">
        <w:t>;</w:t>
      </w:r>
    </w:p>
    <w:p w14:paraId="550811CB" w14:textId="77777777" w:rsidR="008A37A5" w:rsidRPr="008A37A5" w:rsidRDefault="008A37A5" w:rsidP="000B15FD">
      <w:pPr>
        <w:pStyle w:val="GuidanceBullet1"/>
        <w:numPr>
          <w:ilvl w:val="0"/>
          <w:numId w:val="56"/>
        </w:numPr>
      </w:pPr>
      <w:r w:rsidRPr="008A37A5">
        <w:t>ensure the employee reads the card provider’s terms and conditions provided with the card;</w:t>
      </w:r>
    </w:p>
    <w:p w14:paraId="319F7BA7" w14:textId="77777777" w:rsidR="000501DE" w:rsidRDefault="000501DE" w:rsidP="000B15FD">
      <w:pPr>
        <w:pStyle w:val="ListParagraph"/>
        <w:numPr>
          <w:ilvl w:val="0"/>
          <w:numId w:val="56"/>
        </w:numPr>
        <w:spacing w:before="0" w:after="200" w:line="276" w:lineRule="auto"/>
      </w:pPr>
      <w:r>
        <w:br w:type="page"/>
      </w:r>
    </w:p>
    <w:p w14:paraId="4E578684" w14:textId="77777777" w:rsidR="008A37A5" w:rsidRPr="008A37A5" w:rsidRDefault="008A37A5" w:rsidP="000B15FD">
      <w:pPr>
        <w:pStyle w:val="GuidanceBullet1"/>
        <w:numPr>
          <w:ilvl w:val="0"/>
          <w:numId w:val="56"/>
        </w:numPr>
      </w:pPr>
      <w:r w:rsidRPr="008A37A5">
        <w:lastRenderedPageBreak/>
        <w:t xml:space="preserve">ensure the employee reads and signs an ‘Undertaking by the cardholder’ which sets out the </w:t>
      </w:r>
      <w:r w:rsidR="006F0D5C">
        <w:t>policies and procedures of the A</w:t>
      </w:r>
      <w:r w:rsidRPr="008A37A5">
        <w:t>gency (</w:t>
      </w:r>
      <w:r w:rsidR="00931B21">
        <w:t>Attachment</w:t>
      </w:r>
      <w:r w:rsidRPr="008A37A5">
        <w:t xml:space="preserve"> A provides a sample of an agreement) and any restrictions on the types of goods or services for which the cardholder may use the card (e.g. restrictions on domestic and overseas travel, hospitality and entertainment);</w:t>
      </w:r>
    </w:p>
    <w:p w14:paraId="0ED04F6C" w14:textId="77777777" w:rsidR="008A37A5" w:rsidRPr="008A37A5" w:rsidRDefault="008A37A5" w:rsidP="000B15FD">
      <w:pPr>
        <w:pStyle w:val="GuidanceBullet1"/>
        <w:numPr>
          <w:ilvl w:val="0"/>
          <w:numId w:val="56"/>
        </w:numPr>
      </w:pPr>
      <w:r w:rsidRPr="008A37A5">
        <w:t xml:space="preserve">ensure the employee is appropriately trained on the operation and use of the cards; </w:t>
      </w:r>
    </w:p>
    <w:p w14:paraId="68839110" w14:textId="60FAF5CD" w:rsidR="008A37A5" w:rsidRPr="008A37A5" w:rsidRDefault="008A37A5" w:rsidP="000B15FD">
      <w:pPr>
        <w:pStyle w:val="GuidanceBullet1"/>
        <w:numPr>
          <w:ilvl w:val="0"/>
          <w:numId w:val="56"/>
        </w:numPr>
      </w:pPr>
      <w:r w:rsidRPr="008A37A5">
        <w:t>ensure the employee signs the purchasing card immediately</w:t>
      </w:r>
      <w:r w:rsidR="00757A6F">
        <w:t xml:space="preserve"> (</w:t>
      </w:r>
      <w:r w:rsidR="007B37B8">
        <w:t>obviously this does not apply to</w:t>
      </w:r>
      <w:r w:rsidR="00757A6F">
        <w:t xml:space="preserve"> virtual cards</w:t>
      </w:r>
      <w:r w:rsidR="007B37B8">
        <w:t>)</w:t>
      </w:r>
      <w:r w:rsidRPr="008A37A5">
        <w:t xml:space="preserve">; </w:t>
      </w:r>
    </w:p>
    <w:p w14:paraId="1A6100CF" w14:textId="77777777" w:rsidR="008A37A5" w:rsidRPr="008A37A5" w:rsidRDefault="008A37A5" w:rsidP="000B15FD">
      <w:pPr>
        <w:pStyle w:val="GuidanceBullet1"/>
        <w:numPr>
          <w:ilvl w:val="0"/>
          <w:numId w:val="56"/>
        </w:numPr>
      </w:pPr>
      <w:r w:rsidRPr="008A37A5">
        <w:t>circulate any revised obligations or Agency policies to the cardholder in a timely manner;</w:t>
      </w:r>
    </w:p>
    <w:p w14:paraId="1668D18E" w14:textId="77777777" w:rsidR="008A37A5" w:rsidRPr="008A37A5" w:rsidRDefault="008A37A5" w:rsidP="000B15FD">
      <w:pPr>
        <w:pStyle w:val="GuidanceBullet1"/>
        <w:numPr>
          <w:ilvl w:val="0"/>
          <w:numId w:val="56"/>
        </w:numPr>
      </w:pPr>
      <w:r w:rsidRPr="008A37A5">
        <w:t>record information about cardholders; and</w:t>
      </w:r>
    </w:p>
    <w:p w14:paraId="4E3BEB95" w14:textId="77777777" w:rsidR="008A37A5" w:rsidRPr="008A37A5" w:rsidRDefault="008A37A5" w:rsidP="000B15FD">
      <w:pPr>
        <w:pStyle w:val="GuidanceBullet1"/>
        <w:numPr>
          <w:ilvl w:val="0"/>
          <w:numId w:val="56"/>
        </w:numPr>
      </w:pPr>
      <w:r w:rsidRPr="008A37A5">
        <w:t>assess the requirement for ongoing issue of the card to the current cardholder including limits and types of expenses, when the cardholder changes position in an Agency.</w:t>
      </w:r>
    </w:p>
    <w:p w14:paraId="6BC99967" w14:textId="77777777" w:rsidR="008A37A5" w:rsidRPr="008A37A5" w:rsidRDefault="008A37A5" w:rsidP="008E306C">
      <w:r w:rsidRPr="008A37A5">
        <w:t xml:space="preserve">Program administrators are to refer promptly </w:t>
      </w:r>
      <w:r w:rsidRPr="00176D57">
        <w:t>all</w:t>
      </w:r>
      <w:r w:rsidRPr="008A37A5">
        <w:t xml:space="preserve"> cases of unauthorised use or non</w:t>
      </w:r>
      <w:r w:rsidR="00D62B6D">
        <w:noBreakHyphen/>
      </w:r>
      <w:r w:rsidRPr="008A37A5">
        <w:t>compliance with the Instruction to their Accountable Officer.</w:t>
      </w:r>
    </w:p>
    <w:p w14:paraId="300F024C" w14:textId="77777777" w:rsidR="008A37A5" w:rsidRPr="00553B06" w:rsidRDefault="008A37A5" w:rsidP="00FC17D9">
      <w:pPr>
        <w:pStyle w:val="Heading2NoNum"/>
      </w:pPr>
      <w:r w:rsidRPr="00553B06">
        <w:t>Authorised signatory</w:t>
      </w:r>
      <w:r w:rsidR="00962FB8" w:rsidRPr="00553B06">
        <w:t xml:space="preserve"> (approving expenditure)</w:t>
      </w:r>
    </w:p>
    <w:p w14:paraId="4AD7FD71" w14:textId="77777777" w:rsidR="008A37A5" w:rsidRPr="008A37A5" w:rsidRDefault="008A37A5" w:rsidP="008E306C">
      <w:r w:rsidRPr="008A37A5">
        <w:t xml:space="preserve">Authorised signatories should </w:t>
      </w:r>
      <w:r w:rsidR="00B91FAC">
        <w:t xml:space="preserve">generally </w:t>
      </w:r>
      <w:r w:rsidRPr="008A37A5">
        <w:t>be employees who are senior to the cardholders they are responsible for. For Accountable Officers who are cardholders, the chair of the relevant Audit Committee should be the authorised signatory. For statutory office holders and Agencies exempted from having an Audit Committee, the authorised signatory shoul</w:t>
      </w:r>
      <w:r w:rsidR="00465158">
        <w:t>d be the chair of the relevant Portfolio D</w:t>
      </w:r>
      <w:r w:rsidRPr="008A37A5">
        <w:t>epartment’s Audit Committee.</w:t>
      </w:r>
    </w:p>
    <w:p w14:paraId="5B22BE1A" w14:textId="77777777" w:rsidR="006308D9" w:rsidRDefault="00603B2C" w:rsidP="008E306C">
      <w:r>
        <w:t xml:space="preserve">An authorised signatory </w:t>
      </w:r>
      <w:r w:rsidR="00B91FAC">
        <w:t>must</w:t>
      </w:r>
      <w:r>
        <w:t xml:space="preserve"> hold a financial </w:t>
      </w:r>
      <w:r w:rsidR="00DC03F0">
        <w:t>authorisation</w:t>
      </w:r>
      <w:r>
        <w:t xml:space="preserve">, and have undertaken </w:t>
      </w:r>
      <w:r w:rsidR="006308D9">
        <w:t xml:space="preserve">training </w:t>
      </w:r>
      <w:r>
        <w:t>and developed an understanding of all responsibilities and requirements of holding</w:t>
      </w:r>
      <w:r w:rsidR="006308D9">
        <w:t xml:space="preserve"> </w:t>
      </w:r>
      <w:r>
        <w:t xml:space="preserve">a financial </w:t>
      </w:r>
      <w:r w:rsidR="00DC03F0">
        <w:t>authorisation</w:t>
      </w:r>
      <w:r>
        <w:t xml:space="preserve">. </w:t>
      </w:r>
    </w:p>
    <w:p w14:paraId="5EE3D46B" w14:textId="77777777" w:rsidR="008A37A5" w:rsidRPr="008A37A5" w:rsidRDefault="00603B2C" w:rsidP="008E306C">
      <w:r>
        <w:t>The purpose of the authorised signatory’s approval is to serve as a review of the transaction</w:t>
      </w:r>
      <w:r w:rsidR="006308D9">
        <w:t xml:space="preserve">. </w:t>
      </w:r>
      <w:r w:rsidR="008A37A5" w:rsidRPr="008A37A5">
        <w:t>When approving purchases, authorised signatories should scrutinise the purchases as if they were made through the mainstream procurement and payment systems. For example, are they for official purposes, appropriate for business use, have goods and services been received and is there sufficient supporting documentation. The approved statement is forwarded to the program administrator for processing. Any non</w:t>
      </w:r>
      <w:r w:rsidR="00D62B6D">
        <w:noBreakHyphen/>
      </w:r>
      <w:r w:rsidR="008A37A5" w:rsidRPr="008A37A5">
        <w:t>accidental unauthorised use should be reported to the program administrator.</w:t>
      </w:r>
    </w:p>
    <w:p w14:paraId="6558F911" w14:textId="77777777" w:rsidR="008A37A5" w:rsidRPr="00553B06" w:rsidRDefault="008A37A5" w:rsidP="00FC17D9">
      <w:pPr>
        <w:pStyle w:val="Heading2NoNum"/>
      </w:pPr>
      <w:r w:rsidRPr="00553B06">
        <w:t>Cardholders</w:t>
      </w:r>
    </w:p>
    <w:p w14:paraId="2157E61B" w14:textId="16B4A4EC" w:rsidR="008A37A5" w:rsidRPr="008A37A5" w:rsidRDefault="008A37A5" w:rsidP="008E306C">
      <w:r w:rsidRPr="008A37A5">
        <w:t>Cardholders must be employees of an Agency</w:t>
      </w:r>
      <w:r w:rsidR="007B37B8">
        <w:t xml:space="preserve"> (since a purchasing card is a form of financial authorisation, the provisions of Direction 3.3 will apply)</w:t>
      </w:r>
      <w:r w:rsidRPr="008A37A5">
        <w:t>. Ministers and their staff are not eligible to be cardholders as they are not employees of an Agency. Statutory office holders (e.g. the Auditor</w:t>
      </w:r>
      <w:r w:rsidR="00D62B6D">
        <w:noBreakHyphen/>
      </w:r>
      <w:r w:rsidRPr="008A37A5">
        <w:t>General, Electoral Commissioner and Ombudsman) may require access to purchasing and prepaid debit card services. Although not technically employees of the Agencies, the Minister has authorised the provision of these cards to persons occupying these offices, subject to the cardholders adhering to a control regime which is at least equivalent in its standards to that applying to employees of Agencies. The Minister may provide advice from time to time to assist the Responsible Minister’s or Parliamentary officer’s oversight of the use and administration of purchasing cards outside the direct control of Accountable Officers in their portfolio.</w:t>
      </w:r>
    </w:p>
    <w:p w14:paraId="442366FC" w14:textId="77777777" w:rsidR="008A37A5" w:rsidRPr="008A37A5" w:rsidRDefault="008A37A5" w:rsidP="008E306C">
      <w:r w:rsidRPr="008A37A5">
        <w:t xml:space="preserve">Cardholders should acknowledge their responsibilities regarding the security and use of the cards as specified in the Instruction and read the card provider’s terms and conditions. They should safeguard the card and its details at all times, especially when purchasing online or making payments, no different to how they would protect their personal credit or debit cards. </w:t>
      </w:r>
    </w:p>
    <w:p w14:paraId="1D32AED6" w14:textId="2B27B758" w:rsidR="008A37A5" w:rsidRPr="008A37A5" w:rsidRDefault="008A37A5" w:rsidP="008E306C">
      <w:r w:rsidRPr="008A37A5">
        <w:t xml:space="preserve">Cardholders should only use the card for official purposes. In determining whether a purchase is of a private or official nature, cardholders need to consider whether the purchase can legitimately be paid as if the transaction </w:t>
      </w:r>
      <w:r w:rsidR="00AA0ED6">
        <w:t>were</w:t>
      </w:r>
      <w:r w:rsidR="00AA0ED6" w:rsidRPr="008A37A5">
        <w:t xml:space="preserve"> </w:t>
      </w:r>
      <w:r w:rsidRPr="008A37A5">
        <w:t>being managed through mainstream procurement and payment systems. When it is unclear, for example the purchase of gifts or flowers for staff who are leaving the organisation or are ill, they should take advice from their authorised signatory before incurring the expenditure. Purchasing and prepaid debit cards are a purchasing facility and should not be used as a convenient alternative to seek reimbursement for minor work</w:t>
      </w:r>
      <w:r w:rsidR="00D62B6D">
        <w:noBreakHyphen/>
      </w:r>
      <w:r w:rsidRPr="008A37A5">
        <w:t xml:space="preserve">related expenses. Cardholders should not purchase items using a ‘stringing’ arrangement, </w:t>
      </w:r>
      <w:r w:rsidR="007B37B8">
        <w:t>i.e.</w:t>
      </w:r>
      <w:r w:rsidRPr="008A37A5">
        <w:t xml:space="preserve"> splitting one transaction into many to avoid exceeding card limits.</w:t>
      </w:r>
    </w:p>
    <w:p w14:paraId="3C6A00B0" w14:textId="77777777" w:rsidR="00527EE5" w:rsidRDefault="008A37A5" w:rsidP="008E306C">
      <w:r w:rsidRPr="008A37A5">
        <w:t>Cardholders should review and sign their card statement/transaction report and provide this to their authorised signatory to approve. They should follow up any discrepancies on the statement with the card provider and promptly advise the program administrator.</w:t>
      </w:r>
    </w:p>
    <w:p w14:paraId="49A93B93" w14:textId="77777777" w:rsidR="008A37A5" w:rsidRPr="008A37A5" w:rsidRDefault="008A37A5" w:rsidP="00007F24">
      <w:pPr>
        <w:pStyle w:val="Heading2NoNum"/>
      </w:pPr>
      <w:r w:rsidRPr="008A37A5">
        <w:lastRenderedPageBreak/>
        <w:t>Mitigate risk</w:t>
      </w:r>
    </w:p>
    <w:p w14:paraId="7C5F55DC" w14:textId="2DB17AFE" w:rsidR="008A37A5" w:rsidRPr="008A37A5" w:rsidRDefault="008A37A5" w:rsidP="008E306C">
      <w:r w:rsidRPr="008A37A5">
        <w:t>The objective of card use policies and procedures is to assist in the management of risk. As a consequence, Agencies should consider the following as part of a broader risk management strategy overseen by its Audit Committee and internal audit program. Adherence to the Purchasing Card Instruction is, therefore, more than a compliance exercise.</w:t>
      </w:r>
    </w:p>
    <w:p w14:paraId="706DC27E" w14:textId="77777777" w:rsidR="008A37A5" w:rsidRPr="008A37A5" w:rsidRDefault="008A37A5" w:rsidP="008E306C">
      <w:r w:rsidRPr="008A37A5">
        <w:t>Agencies can perform a number of roles to mitigate risks in administering purchasing and prepaid debit card programs, including:</w:t>
      </w:r>
    </w:p>
    <w:p w14:paraId="3DCB596E" w14:textId="77777777" w:rsidR="008A37A5" w:rsidRPr="008A37A5" w:rsidRDefault="008A37A5" w:rsidP="000B15FD">
      <w:pPr>
        <w:pStyle w:val="GuidanceBullet1"/>
        <w:numPr>
          <w:ilvl w:val="0"/>
          <w:numId w:val="57"/>
        </w:numPr>
      </w:pPr>
      <w:r w:rsidRPr="008A37A5">
        <w:t>appointing relevant administrative personnel (e.g. authorised signatories, program administrator) to ensure the efficient and effective administration of the facility account in that Agency. Persons appointed to such positions are to be at a level appropriate to the responsibilities of that position;</w:t>
      </w:r>
    </w:p>
    <w:p w14:paraId="3D329BF7" w14:textId="0CC83BD1" w:rsidR="008A37A5" w:rsidRPr="008A37A5" w:rsidRDefault="008A37A5" w:rsidP="000B15FD">
      <w:pPr>
        <w:pStyle w:val="GuidanceBullet1"/>
        <w:numPr>
          <w:ilvl w:val="0"/>
          <w:numId w:val="57"/>
        </w:numPr>
      </w:pPr>
      <w:r w:rsidRPr="008A37A5">
        <w:t>assessing the costs and benefits of using purchasing cards;</w:t>
      </w:r>
    </w:p>
    <w:p w14:paraId="599625C0" w14:textId="78AB76B9" w:rsidR="008A37A5" w:rsidRPr="008A37A5" w:rsidRDefault="008A37A5" w:rsidP="000B15FD">
      <w:pPr>
        <w:pStyle w:val="GuidanceBullet1"/>
        <w:numPr>
          <w:ilvl w:val="0"/>
          <w:numId w:val="57"/>
        </w:numPr>
      </w:pPr>
      <w:r w:rsidRPr="008A37A5">
        <w:t>developing adequate internal controls, security measures and reporting procedures to implement and control the operation of the purchasing cards;</w:t>
      </w:r>
    </w:p>
    <w:p w14:paraId="70331A7A" w14:textId="64F68114" w:rsidR="008A37A5" w:rsidRPr="008A37A5" w:rsidRDefault="008A37A5" w:rsidP="000B15FD">
      <w:pPr>
        <w:pStyle w:val="GuidanceBullet1"/>
        <w:numPr>
          <w:ilvl w:val="0"/>
          <w:numId w:val="57"/>
        </w:numPr>
      </w:pPr>
      <w:r w:rsidRPr="008A37A5">
        <w:t>determining their own internal rules or policies for the use and administration of the purchasing cards, particularly regarding electronic commerce;</w:t>
      </w:r>
    </w:p>
    <w:p w14:paraId="738BB174" w14:textId="77777777" w:rsidR="008A37A5" w:rsidRPr="008A37A5" w:rsidRDefault="008A37A5" w:rsidP="000B15FD">
      <w:pPr>
        <w:pStyle w:val="GuidanceBullet1"/>
        <w:numPr>
          <w:ilvl w:val="0"/>
          <w:numId w:val="57"/>
        </w:numPr>
      </w:pPr>
      <w:r w:rsidRPr="008A37A5">
        <w:t>administering and monitoring the operation of purchasing cards in compliance with the Department of Treasury and Finance (DTF) Instructions and any Agency policies or procedures. Service issues should first be raised with the card provider;</w:t>
      </w:r>
    </w:p>
    <w:p w14:paraId="5123A826" w14:textId="77777777" w:rsidR="008A37A5" w:rsidRPr="008A37A5" w:rsidRDefault="008A37A5" w:rsidP="000B15FD">
      <w:pPr>
        <w:pStyle w:val="GuidanceBullet1"/>
        <w:numPr>
          <w:ilvl w:val="0"/>
          <w:numId w:val="57"/>
        </w:numPr>
      </w:pPr>
      <w:r w:rsidRPr="008A37A5">
        <w:t>authorising and processing the relevant documentation for the operation of purchasing cards;</w:t>
      </w:r>
    </w:p>
    <w:p w14:paraId="5FF6A121" w14:textId="77777777" w:rsidR="008A37A5" w:rsidRPr="008A37A5" w:rsidRDefault="008A37A5" w:rsidP="000B15FD">
      <w:pPr>
        <w:pStyle w:val="GuidanceBullet1"/>
        <w:numPr>
          <w:ilvl w:val="0"/>
          <w:numId w:val="57"/>
        </w:numPr>
      </w:pPr>
      <w:r w:rsidRPr="008A37A5">
        <w:t>maintaining all documents, statements and reconciliations required to be kept in relation to the use and administration in accordance with the Instruction; and</w:t>
      </w:r>
    </w:p>
    <w:p w14:paraId="13905B56" w14:textId="77777777" w:rsidR="00635CEF" w:rsidRPr="008A37A5" w:rsidRDefault="008A37A5" w:rsidP="000B15FD">
      <w:pPr>
        <w:pStyle w:val="GuidanceBullet1"/>
        <w:numPr>
          <w:ilvl w:val="0"/>
          <w:numId w:val="57"/>
        </w:numPr>
      </w:pPr>
      <w:r w:rsidRPr="008A37A5">
        <w:t>providing administrative support to Responsible Ministers for the management of purchasing cards as it applies to relevant statutory office holders. This function includes nominating a program administrator regarding these cardholders.</w:t>
      </w:r>
    </w:p>
    <w:p w14:paraId="240CBEBF" w14:textId="77777777" w:rsidR="008A37A5" w:rsidRPr="008A37A5" w:rsidRDefault="008A37A5" w:rsidP="00553B06">
      <w:pPr>
        <w:pStyle w:val="Heading1NoNum"/>
      </w:pPr>
      <w:r w:rsidRPr="008A37A5">
        <w:t>Internal controls</w:t>
      </w:r>
    </w:p>
    <w:p w14:paraId="17FE6A53" w14:textId="77777777" w:rsidR="008A37A5" w:rsidRPr="008A37A5" w:rsidRDefault="008A37A5" w:rsidP="00ED45F2">
      <w:r w:rsidRPr="008A37A5">
        <w:t>It is important that an Agency has appropriate internal controls to ensure the integrity and security of the card program, including:</w:t>
      </w:r>
    </w:p>
    <w:p w14:paraId="1641A9D4" w14:textId="5FC2CF6E" w:rsidR="008A37A5" w:rsidRPr="008A37A5" w:rsidRDefault="008A37A5" w:rsidP="004661D4">
      <w:pPr>
        <w:pStyle w:val="Bullet1"/>
      </w:pPr>
      <w:r w:rsidRPr="008A37A5">
        <w:t>providing appropriate training to employees on their obligations under the Directions before they are issued with a purchasing card;</w:t>
      </w:r>
    </w:p>
    <w:p w14:paraId="701CDBEA" w14:textId="77777777" w:rsidR="008A37A5" w:rsidRPr="008A37A5" w:rsidRDefault="008A37A5" w:rsidP="004661D4">
      <w:pPr>
        <w:pStyle w:val="Bullet1"/>
      </w:pPr>
      <w:r w:rsidRPr="008A37A5">
        <w:t>limiting the number of credit cards issued per employee to a maximum of one credit card and when necessary, to only one card per facility account (e.g. one Visa credit card and an American Express credit card);</w:t>
      </w:r>
    </w:p>
    <w:p w14:paraId="1E2D9F2A" w14:textId="77777777" w:rsidR="008A37A5" w:rsidRPr="008A37A5" w:rsidRDefault="008A37A5" w:rsidP="004661D4">
      <w:pPr>
        <w:pStyle w:val="Bullet1"/>
      </w:pPr>
      <w:r w:rsidRPr="008A37A5">
        <w:t>appropriate card limits (facility and transaction limits) are set and reviewed in line with the cardholder’s actual usage;</w:t>
      </w:r>
    </w:p>
    <w:p w14:paraId="573FCB2C" w14:textId="77777777" w:rsidR="008A37A5" w:rsidRPr="008A37A5" w:rsidRDefault="008A37A5" w:rsidP="004661D4">
      <w:pPr>
        <w:pStyle w:val="Bullet1"/>
      </w:pPr>
      <w:r w:rsidRPr="008A37A5">
        <w:t>sufficient documentation is obtained and maintained covering the authorisation and identification of transactions, including merchant records and approved and reconciled statements;</w:t>
      </w:r>
    </w:p>
    <w:p w14:paraId="45624AAC" w14:textId="77777777" w:rsidR="008A37A5" w:rsidRPr="008A37A5" w:rsidRDefault="008A37A5" w:rsidP="004661D4">
      <w:pPr>
        <w:pStyle w:val="Bullet1"/>
      </w:pPr>
      <w:r w:rsidRPr="008A37A5">
        <w:t>the allocation of transactions to expenditure types is made in the same manner as other Agency expenditure;</w:t>
      </w:r>
    </w:p>
    <w:p w14:paraId="66D793B4" w14:textId="77777777" w:rsidR="008A37A5" w:rsidRPr="008A37A5" w:rsidRDefault="008A37A5" w:rsidP="004661D4">
      <w:pPr>
        <w:pStyle w:val="Bullet1"/>
      </w:pPr>
      <w:r w:rsidRPr="008A37A5">
        <w:t>a policy where cards are withdrawn and/or immediately cancelled:</w:t>
      </w:r>
    </w:p>
    <w:p w14:paraId="774A5DD1" w14:textId="77777777" w:rsidR="008A37A5" w:rsidRPr="002D61D4" w:rsidRDefault="008A37A5" w:rsidP="002D61D4">
      <w:pPr>
        <w:pStyle w:val="GuidanceBullet2"/>
        <w:ind w:left="576" w:hanging="288"/>
        <w:contextualSpacing/>
      </w:pPr>
      <w:r w:rsidRPr="008A37A5">
        <w:t xml:space="preserve">on the </w:t>
      </w:r>
      <w:r w:rsidRPr="002D61D4">
        <w:t>termination, or notification of resignation of the cardholder’s employment in an Agency;</w:t>
      </w:r>
    </w:p>
    <w:p w14:paraId="7AFE1DAC" w14:textId="77777777" w:rsidR="008A37A5" w:rsidRPr="002D61D4" w:rsidRDefault="008A37A5" w:rsidP="002D61D4">
      <w:pPr>
        <w:pStyle w:val="GuidanceBullet2"/>
        <w:ind w:left="576" w:hanging="288"/>
        <w:contextualSpacing/>
      </w:pPr>
      <w:r w:rsidRPr="002D61D4">
        <w:t>when the card has been lost, stolen or misused;</w:t>
      </w:r>
    </w:p>
    <w:p w14:paraId="01C54E58" w14:textId="77777777" w:rsidR="008A37A5" w:rsidRPr="002D61D4" w:rsidRDefault="008A37A5" w:rsidP="002D61D4">
      <w:pPr>
        <w:pStyle w:val="GuidanceBullet2"/>
        <w:ind w:left="576" w:hanging="288"/>
        <w:contextualSpacing/>
      </w:pPr>
      <w:r w:rsidRPr="002D61D4">
        <w:t xml:space="preserve">when the card is no longer relevant to the performance of the cardholder’s functions and duties in an Agency; </w:t>
      </w:r>
    </w:p>
    <w:p w14:paraId="095B2704" w14:textId="77777777" w:rsidR="008A37A5" w:rsidRPr="002D61D4" w:rsidRDefault="008A37A5" w:rsidP="002D61D4">
      <w:pPr>
        <w:pStyle w:val="GuidanceBullet2"/>
        <w:ind w:left="576" w:hanging="288"/>
        <w:contextualSpacing/>
      </w:pPr>
      <w:r w:rsidRPr="002D61D4">
        <w:t>if the cardholder’s account is inactive; or</w:t>
      </w:r>
    </w:p>
    <w:p w14:paraId="08F47BE8" w14:textId="77777777" w:rsidR="008A37A5" w:rsidRPr="008A37A5" w:rsidRDefault="008A37A5" w:rsidP="002D61D4">
      <w:pPr>
        <w:pStyle w:val="GuidanceBullet2"/>
        <w:ind w:left="576" w:hanging="288"/>
        <w:contextualSpacing/>
      </w:pPr>
      <w:r w:rsidRPr="002D61D4">
        <w:t>when the</w:t>
      </w:r>
      <w:r w:rsidRPr="008A37A5">
        <w:t xml:space="preserve"> cardholder incurs a number of separate instances of unauthorised use; and</w:t>
      </w:r>
    </w:p>
    <w:p w14:paraId="26422746" w14:textId="77777777" w:rsidR="008A37A5" w:rsidRDefault="008A37A5" w:rsidP="000B15FD">
      <w:pPr>
        <w:pStyle w:val="GuidanceBullet1"/>
        <w:numPr>
          <w:ilvl w:val="0"/>
          <w:numId w:val="58"/>
        </w:numPr>
      </w:pPr>
      <w:r w:rsidRPr="008A37A5">
        <w:t xml:space="preserve">monthly reports are monitored by the program administrator. </w:t>
      </w:r>
    </w:p>
    <w:p w14:paraId="52E97542" w14:textId="5E8EE356" w:rsidR="00635CEF" w:rsidRPr="008A37A5" w:rsidRDefault="00635CEF" w:rsidP="00CA6CEE">
      <w:pPr>
        <w:pStyle w:val="GuidanceBullet1"/>
      </w:pPr>
      <w:r>
        <w:t xml:space="preserve">Card linked directly to a bank account are covered by </w:t>
      </w:r>
      <w:hyperlink r:id="rId208" w:anchor="standing-directions-2018" w:history="1">
        <w:r w:rsidRPr="00872EBA">
          <w:rPr>
            <w:rStyle w:val="Hyperlink"/>
          </w:rPr>
          <w:t>Direction 3.4</w:t>
        </w:r>
      </w:hyperlink>
      <w:r>
        <w:t xml:space="preserve"> and </w:t>
      </w:r>
      <w:hyperlink r:id="rId209" w:anchor="instructions" w:history="1">
        <w:r w:rsidRPr="00872EBA">
          <w:rPr>
            <w:rStyle w:val="Hyperlink"/>
          </w:rPr>
          <w:t>Instruction 3.4</w:t>
        </w:r>
      </w:hyperlink>
      <w:r>
        <w:t xml:space="preserve"> and not by </w:t>
      </w:r>
      <w:hyperlink r:id="rId210" w:anchor="standing-directions-2018" w:history="1">
        <w:r w:rsidRPr="00872EBA">
          <w:rPr>
            <w:rStyle w:val="Hyperlink"/>
          </w:rPr>
          <w:t>Direction 3.6</w:t>
        </w:r>
      </w:hyperlink>
      <w:r>
        <w:t xml:space="preserve"> and </w:t>
      </w:r>
      <w:hyperlink r:id="rId211" w:anchor="instructions" w:history="1">
        <w:r w:rsidRPr="00872EBA">
          <w:rPr>
            <w:rStyle w:val="Hyperlink"/>
          </w:rPr>
          <w:t>Instruction 3.6</w:t>
        </w:r>
      </w:hyperlink>
      <w:r>
        <w:t xml:space="preserve">. </w:t>
      </w:r>
    </w:p>
    <w:p w14:paraId="145290C5" w14:textId="2D7737A0" w:rsidR="008A37A5" w:rsidRPr="008A37A5" w:rsidRDefault="008A37A5" w:rsidP="00807DBC">
      <w:pPr>
        <w:pStyle w:val="Heading1NoNum"/>
      </w:pPr>
      <w:r w:rsidRPr="008A37A5">
        <w:br w:type="page"/>
      </w:r>
      <w:r w:rsidRPr="008A37A5">
        <w:lastRenderedPageBreak/>
        <w:t>Sufficient supporting documentation</w:t>
      </w:r>
    </w:p>
    <w:p w14:paraId="3E8896FB" w14:textId="2F13E3B0" w:rsidR="008A37A5" w:rsidRPr="008A37A5" w:rsidRDefault="00ED45F2" w:rsidP="008E306C">
      <w:hyperlink r:id="rId212" w:anchor="instructions" w:history="1">
        <w:r w:rsidRPr="00D4158F">
          <w:rPr>
            <w:rStyle w:val="Hyperlink"/>
          </w:rPr>
          <w:t>Instruction 3.6</w:t>
        </w:r>
      </w:hyperlink>
      <w:r w:rsidRPr="001326A1">
        <w:t xml:space="preserve"> </w:t>
      </w:r>
      <w:r w:rsidRPr="001326A1">
        <w:rPr>
          <w:i/>
        </w:rPr>
        <w:t>Purchasing card</w:t>
      </w:r>
      <w:r w:rsidR="001326A1" w:rsidRPr="001326A1">
        <w:rPr>
          <w:i/>
        </w:rPr>
        <w:t>s</w:t>
      </w:r>
      <w:r w:rsidRPr="001326A1">
        <w:t xml:space="preserve"> (Requirement</w:t>
      </w:r>
      <w:r w:rsidR="008A37A5" w:rsidRPr="001326A1">
        <w:t xml:space="preserve"> 5.1) requires a cardholder to obtain and retain sufficient</w:t>
      </w:r>
      <w:r w:rsidR="008A37A5" w:rsidRPr="008A37A5">
        <w:t xml:space="preserve"> supporting documentation for every transaction made using a purchasing card.</w:t>
      </w:r>
    </w:p>
    <w:p w14:paraId="1914E49E" w14:textId="77777777" w:rsidR="008A37A5" w:rsidRPr="008A37A5" w:rsidRDefault="008A37A5" w:rsidP="008E306C">
      <w:r w:rsidRPr="008A37A5">
        <w:t>Supporting documentation substantiates that transactions are made for valid business purposes and meet taxation requirements.</w:t>
      </w:r>
    </w:p>
    <w:p w14:paraId="5193352C" w14:textId="77777777" w:rsidR="008A37A5" w:rsidRPr="008A37A5" w:rsidRDefault="008A37A5" w:rsidP="008E306C">
      <w:r w:rsidRPr="008A37A5">
        <w:t>The requirement for sufficient supporting documentation applies irrespective of whether the transaction is:</w:t>
      </w:r>
    </w:p>
    <w:p w14:paraId="176BC688" w14:textId="77777777" w:rsidR="008A37A5" w:rsidRPr="008A37A5" w:rsidRDefault="008A37A5" w:rsidP="000B15FD">
      <w:pPr>
        <w:pStyle w:val="GuidanceBullet1"/>
        <w:numPr>
          <w:ilvl w:val="0"/>
          <w:numId w:val="58"/>
        </w:numPr>
      </w:pPr>
      <w:r w:rsidRPr="008A37A5">
        <w:t>made directly with a merchant; or</w:t>
      </w:r>
    </w:p>
    <w:p w14:paraId="1CAC1850" w14:textId="77777777" w:rsidR="008A37A5" w:rsidRPr="008A37A5" w:rsidRDefault="008A37A5" w:rsidP="000B15FD">
      <w:pPr>
        <w:pStyle w:val="GuidanceBullet1"/>
        <w:numPr>
          <w:ilvl w:val="0"/>
          <w:numId w:val="58"/>
        </w:numPr>
      </w:pPr>
      <w:r w:rsidRPr="008A37A5">
        <w:t xml:space="preserve">made by telephone, mail or electronic means. </w:t>
      </w:r>
    </w:p>
    <w:p w14:paraId="112D84CA" w14:textId="77777777" w:rsidR="008A37A5" w:rsidRPr="008A37A5" w:rsidRDefault="008A37A5" w:rsidP="008E306C">
      <w:r w:rsidRPr="008A37A5">
        <w:t>Each transaction should be supported by the invoice, receipt or receipt reference the cardholder receives at the time of purchase or requested to be sent at the time of making the order.</w:t>
      </w:r>
    </w:p>
    <w:p w14:paraId="1A4BF70D" w14:textId="0A42C6AB" w:rsidR="008A37A5" w:rsidRPr="008A37A5" w:rsidRDefault="008A37A5" w:rsidP="008E306C">
      <w:r w:rsidRPr="008A37A5">
        <w:t xml:space="preserve">Such documentation consists of, but is not limited to, receipts, tax invoices and merchant records (e.g. an </w:t>
      </w:r>
      <w:r w:rsidR="007B37B8">
        <w:t>aero</w:t>
      </w:r>
      <w:r w:rsidR="007B37B8" w:rsidRPr="008A37A5">
        <w:t xml:space="preserve">plane </w:t>
      </w:r>
      <w:r w:rsidRPr="008A37A5">
        <w:t>boarding pass).</w:t>
      </w:r>
    </w:p>
    <w:p w14:paraId="6F517401" w14:textId="77777777" w:rsidR="008A37A5" w:rsidRPr="008A37A5" w:rsidRDefault="008A37A5" w:rsidP="008E306C">
      <w:r w:rsidRPr="008A37A5">
        <w:t>When original supporting documentation is not obtainable, copies of such documentation can be provided with a cardholder</w:t>
      </w:r>
      <w:r w:rsidR="00D62B6D">
        <w:noBreakHyphen/>
      </w:r>
      <w:r w:rsidRPr="008A37A5">
        <w:t>signed statement of why the original documentation was not available.</w:t>
      </w:r>
    </w:p>
    <w:p w14:paraId="22DC32BE" w14:textId="77777777" w:rsidR="008A37A5" w:rsidRPr="008A37A5" w:rsidRDefault="008A37A5" w:rsidP="008E306C">
      <w:r w:rsidRPr="008A37A5">
        <w:t>In exceptional circumstances when appropriate supporting documentation cannot be obtained, alternate certification may be acceptable. In these cases, the advice of the authorised signatory and/or appropriate Agency personnel (e.g. card program administrator) is best sought before a monthly statement is verified.</w:t>
      </w:r>
    </w:p>
    <w:p w14:paraId="7493578C" w14:textId="77777777" w:rsidR="008A37A5" w:rsidRPr="008A37A5" w:rsidRDefault="008A37A5" w:rsidP="008E306C">
      <w:r w:rsidRPr="008A37A5">
        <w:t>All supporting documentation is to be sufficiently detailed to adequately support the payment processes.</w:t>
      </w:r>
    </w:p>
    <w:p w14:paraId="53927C5C" w14:textId="77777777" w:rsidR="008A37A5" w:rsidRPr="008A37A5" w:rsidRDefault="008A37A5" w:rsidP="008E306C">
      <w:r w:rsidRPr="008A37A5">
        <w:t>To avoid any doubt as to the level of documentation required regarding various transactions, Agencies may wish to determine transaction thresholds and matching substantiation requirements.</w:t>
      </w:r>
    </w:p>
    <w:p w14:paraId="35B9C1D8" w14:textId="77777777" w:rsidR="008A37A5" w:rsidRPr="008A37A5" w:rsidRDefault="008A37A5" w:rsidP="00553B06">
      <w:pPr>
        <w:pStyle w:val="Heading1NoNum"/>
      </w:pPr>
      <w:r w:rsidRPr="008A37A5">
        <w:t>Review and approve the monthly statements or transaction report</w:t>
      </w:r>
    </w:p>
    <w:p w14:paraId="324E4EF1" w14:textId="77777777" w:rsidR="008A37A5" w:rsidRPr="008A37A5" w:rsidRDefault="008A37A5" w:rsidP="008E306C">
      <w:r w:rsidRPr="008A37A5">
        <w:t>A cardholder’s expenses are to be authorised by the authorised signatory, who is senior to the cardholder. In the case of expenses incurred by Accountable Officers who are cardholders, arrangements are to be made for cardholder statements to be authorised by the chairman of the relevant Audit Committee. In the case of statutory office holders and those operating in an environment where there is no Audit Committee, arrangements are to be made through the relevant departmental Audit Committee to gain authorisation.</w:t>
      </w:r>
    </w:p>
    <w:p w14:paraId="0137345E" w14:textId="77777777" w:rsidR="008A37A5" w:rsidRPr="008A37A5" w:rsidRDefault="008A37A5" w:rsidP="00FC17D9">
      <w:pPr>
        <w:pStyle w:val="Heading2NoNum"/>
      </w:pPr>
      <w:r w:rsidRPr="008A37A5">
        <w:t>Good practice procedures for reviewing monthly statements</w:t>
      </w:r>
    </w:p>
    <w:p w14:paraId="3DE0B232" w14:textId="77777777" w:rsidR="008A37A5" w:rsidRPr="008A37A5" w:rsidRDefault="008A37A5" w:rsidP="008E306C">
      <w:r w:rsidRPr="008A37A5">
        <w:t>On a monthly basis, the cardholder is required to acquit and verify the transactions on the card to substantiate that they are valid and ensure no unauthorised use of the card by the cardholder or by a third party.</w:t>
      </w:r>
    </w:p>
    <w:p w14:paraId="7020FCE8" w14:textId="77777777" w:rsidR="008A37A5" w:rsidRPr="008A37A5" w:rsidRDefault="008A37A5" w:rsidP="008E306C">
      <w:r w:rsidRPr="008A37A5">
        <w:t>Good practice procedures include:</w:t>
      </w:r>
    </w:p>
    <w:p w14:paraId="3C93464B" w14:textId="77777777" w:rsidR="008A37A5" w:rsidRPr="008A37A5" w:rsidRDefault="008A37A5" w:rsidP="000B15FD">
      <w:pPr>
        <w:pStyle w:val="GuidanceBullet1"/>
        <w:numPr>
          <w:ilvl w:val="0"/>
          <w:numId w:val="59"/>
        </w:numPr>
      </w:pPr>
      <w:r w:rsidRPr="008A37A5">
        <w:t>reconciliations on a timely basis upon receipt of the monthly statement;</w:t>
      </w:r>
    </w:p>
    <w:p w14:paraId="78FC8861" w14:textId="77777777" w:rsidR="008A37A5" w:rsidRPr="008A37A5" w:rsidRDefault="008A37A5" w:rsidP="000B15FD">
      <w:pPr>
        <w:pStyle w:val="GuidanceBullet1"/>
        <w:numPr>
          <w:ilvl w:val="0"/>
          <w:numId w:val="59"/>
        </w:numPr>
      </w:pPr>
      <w:r w:rsidRPr="008A37A5">
        <w:t>discrepancies on the statement are to be followed up with the card provider and promptly advised to the program administrator;</w:t>
      </w:r>
    </w:p>
    <w:p w14:paraId="0B08E8FA" w14:textId="77777777" w:rsidR="008A37A5" w:rsidRPr="008A37A5" w:rsidRDefault="008A37A5" w:rsidP="000B15FD">
      <w:pPr>
        <w:pStyle w:val="GuidanceBullet1"/>
        <w:numPr>
          <w:ilvl w:val="0"/>
          <w:numId w:val="59"/>
        </w:numPr>
      </w:pPr>
      <w:r w:rsidRPr="008A37A5">
        <w:t>goods or services paid for using the card are actually delivered or provided;</w:t>
      </w:r>
    </w:p>
    <w:p w14:paraId="6FDE7C7C" w14:textId="77777777" w:rsidR="008A37A5" w:rsidRPr="008A37A5" w:rsidRDefault="008A37A5" w:rsidP="000B15FD">
      <w:pPr>
        <w:pStyle w:val="GuidanceBullet1"/>
        <w:numPr>
          <w:ilvl w:val="0"/>
          <w:numId w:val="59"/>
        </w:numPr>
      </w:pPr>
      <w:r w:rsidRPr="008A37A5">
        <w:t>credits on the card are raised when, for example, a good or service is not delivered or not provided in accordance with original expectations;</w:t>
      </w:r>
    </w:p>
    <w:p w14:paraId="455A8DB1" w14:textId="77777777" w:rsidR="008A37A5" w:rsidRPr="008A37A5" w:rsidRDefault="008A37A5" w:rsidP="000B15FD">
      <w:pPr>
        <w:pStyle w:val="GuidanceBullet1"/>
        <w:numPr>
          <w:ilvl w:val="0"/>
          <w:numId w:val="59"/>
        </w:numPr>
      </w:pPr>
      <w:r w:rsidRPr="008A37A5">
        <w:t>each transaction appearing on the card provider’s statement is appropriately coded for accounting purposes; and</w:t>
      </w:r>
    </w:p>
    <w:p w14:paraId="3DFAA7D4" w14:textId="77777777" w:rsidR="008A37A5" w:rsidRPr="008A37A5" w:rsidRDefault="008A37A5" w:rsidP="000B15FD">
      <w:pPr>
        <w:pStyle w:val="GuidanceBullet1"/>
        <w:numPr>
          <w:ilvl w:val="0"/>
          <w:numId w:val="59"/>
        </w:numPr>
      </w:pPr>
      <w:r w:rsidRPr="008A37A5">
        <w:t>sufficient supporting documentation for each transaction is attached to the card provider’s statement when statements are provided by the cardholder to the authorised signatory for approval.</w:t>
      </w:r>
    </w:p>
    <w:p w14:paraId="666B70B5" w14:textId="3ECC3276" w:rsidR="008A37A5" w:rsidRPr="008A37A5" w:rsidRDefault="008A37A5" w:rsidP="00553B06">
      <w:pPr>
        <w:pStyle w:val="Heading1NoNum"/>
      </w:pPr>
      <w:r w:rsidRPr="008A37A5">
        <w:lastRenderedPageBreak/>
        <w:t xml:space="preserve">Reporting of significant or systemic instances of purchasing card </w:t>
      </w:r>
      <w:r w:rsidR="00962FB8">
        <w:t>non</w:t>
      </w:r>
      <w:r w:rsidR="00D62B6D">
        <w:noBreakHyphen/>
      </w:r>
      <w:r w:rsidR="00962FB8">
        <w:t>compliance</w:t>
      </w:r>
    </w:p>
    <w:p w14:paraId="42CFC10C" w14:textId="77777777" w:rsidR="008A37A5" w:rsidRPr="008A37A5" w:rsidRDefault="008A37A5" w:rsidP="009E364A">
      <w:pPr>
        <w:keepNext/>
      </w:pPr>
      <w:r w:rsidRPr="008A37A5">
        <w:t>Unauthorised use should be reported by the cardholder and/or authorised signatory to the program administrator. The program administrator needs to promptly review each instance of unauthorised use or non</w:t>
      </w:r>
      <w:r w:rsidR="00D62B6D">
        <w:noBreakHyphen/>
      </w:r>
      <w:r w:rsidRPr="008A37A5">
        <w:t>compliance and refer all cases of unauthorised use or non</w:t>
      </w:r>
      <w:r w:rsidR="00D62B6D">
        <w:noBreakHyphen/>
      </w:r>
      <w:r w:rsidRPr="008A37A5">
        <w:t>compliance to the Accountable Officer.</w:t>
      </w:r>
    </w:p>
    <w:p w14:paraId="372DB56A" w14:textId="055C3265" w:rsidR="008A37A5" w:rsidRDefault="008A37A5" w:rsidP="008E306C">
      <w:r w:rsidRPr="008A37A5">
        <w:t>The Accountable Officer is</w:t>
      </w:r>
      <w:r w:rsidR="00A053FA">
        <w:t xml:space="preserve"> responsible for investigating Significant or S</w:t>
      </w:r>
      <w:r w:rsidRPr="008A37A5">
        <w:t>ystemic instances of unauthorised use or non</w:t>
      </w:r>
      <w:r w:rsidR="00D62B6D">
        <w:noBreakHyphen/>
      </w:r>
      <w:r w:rsidRPr="008A37A5">
        <w:t xml:space="preserve">compliance and reporting these to the Agency’s Audit Committee, Responsible Minister, Portfolio Department and the Auditor General as required under </w:t>
      </w:r>
      <w:hyperlink r:id="rId213" w:anchor="standing-directions-2018" w:history="1">
        <w:r w:rsidRPr="00D4158F">
          <w:rPr>
            <w:rStyle w:val="Hyperlink"/>
          </w:rPr>
          <w:t>Direction 3.</w:t>
        </w:r>
        <w:r w:rsidR="00176D57" w:rsidRPr="00D4158F">
          <w:rPr>
            <w:rStyle w:val="Hyperlink"/>
          </w:rPr>
          <w:t>5</w:t>
        </w:r>
      </w:hyperlink>
      <w:r w:rsidRPr="008A37A5">
        <w:t>.</w:t>
      </w:r>
    </w:p>
    <w:p w14:paraId="6F9564FE" w14:textId="77777777" w:rsidR="008A37A5" w:rsidRPr="008A37A5" w:rsidRDefault="008A37A5" w:rsidP="008E306C">
      <w:r w:rsidRPr="008A37A5">
        <w:t xml:space="preserve">The </w:t>
      </w:r>
      <w:r w:rsidRPr="008A37A5">
        <w:rPr>
          <w:i/>
        </w:rPr>
        <w:t>Australian Standards on Fraud and Corruption Control</w:t>
      </w:r>
      <w:r w:rsidRPr="008A37A5">
        <w:t xml:space="preserve"> (AS 8001) provides information on investigative, reporting and disciplinary considerations. When the Accountable Officer has determined that a significant </w:t>
      </w:r>
      <w:r w:rsidR="00962FB8">
        <w:t>non</w:t>
      </w:r>
      <w:r w:rsidR="00D62B6D">
        <w:noBreakHyphen/>
      </w:r>
      <w:r w:rsidR="00962FB8">
        <w:t>compliance</w:t>
      </w:r>
      <w:r w:rsidR="00962FB8" w:rsidRPr="008A37A5">
        <w:t xml:space="preserve"> </w:t>
      </w:r>
      <w:r w:rsidRPr="008A37A5">
        <w:t>has occurred but does not warrant police involvement, the Accountable Officer should refer the matter for disciplinary action. Disciplinary action should conform with the Agency's disciplinary or misconduct policy.</w:t>
      </w:r>
    </w:p>
    <w:p w14:paraId="51505B09" w14:textId="5CE98C71" w:rsidR="008A37A5" w:rsidRPr="008A37A5" w:rsidRDefault="008A37A5" w:rsidP="008E306C">
      <w:hyperlink r:id="rId214" w:anchor="instructions" w:history="1">
        <w:r w:rsidRPr="00D62B6D">
          <w:rPr>
            <w:rStyle w:val="Hyperlink"/>
          </w:rPr>
          <w:t>Instruction 3.</w:t>
        </w:r>
        <w:r w:rsidR="00176D57" w:rsidRPr="00D62B6D">
          <w:rPr>
            <w:rStyle w:val="Hyperlink"/>
          </w:rPr>
          <w:t>6</w:t>
        </w:r>
      </w:hyperlink>
      <w:r w:rsidRPr="008A37A5">
        <w:t xml:space="preserve"> states that the purchasing card must be withdrawn if any unauthorised transaction involves an amount greater than the limit deemed appropriate by the Accountable Officer or $</w:t>
      </w:r>
      <w:r w:rsidR="00962FB8">
        <w:t>1 0</w:t>
      </w:r>
      <w:r w:rsidRPr="008A37A5">
        <w:t>00, whichever is the lower</w:t>
      </w:r>
      <w:r w:rsidR="00C412BD">
        <w:t xml:space="preserve">, </w:t>
      </w:r>
      <w:r w:rsidR="00AE3FC4">
        <w:t>or is part of a pattern of una</w:t>
      </w:r>
      <w:r w:rsidR="00176D57">
        <w:t>u</w:t>
      </w:r>
      <w:r w:rsidR="00AE3FC4">
        <w:t>thorised use</w:t>
      </w:r>
      <w:r w:rsidRPr="008A37A5">
        <w:t>. In addition to referral for disciplinary action, when three separate instances of unauthorised use occur with the same cardholder, irrespective of the dollar amount, consideration should be given to withdrawing the purchasing or prepaid debit card immediately to minimise risk of future</w:t>
      </w:r>
      <w:r w:rsidR="00962FB8">
        <w:t xml:space="preserve"> unauthorised use or non</w:t>
      </w:r>
      <w:r w:rsidR="00D62B6D">
        <w:noBreakHyphen/>
      </w:r>
      <w:r w:rsidR="00962FB8">
        <w:t>compliance</w:t>
      </w:r>
      <w:r w:rsidRPr="008A37A5">
        <w:t>.</w:t>
      </w:r>
    </w:p>
    <w:p w14:paraId="12C13E5D" w14:textId="77777777" w:rsidR="008A37A5" w:rsidRPr="008A37A5" w:rsidRDefault="008A37A5" w:rsidP="00FC17D9">
      <w:pPr>
        <w:pStyle w:val="Heading2NoNum"/>
      </w:pPr>
      <w:r w:rsidRPr="008A37A5">
        <w:t xml:space="preserve">Role of Portfolio Departments </w:t>
      </w:r>
    </w:p>
    <w:p w14:paraId="1A824450" w14:textId="4CCEF359" w:rsidR="008A37A5" w:rsidRPr="008A37A5" w:rsidRDefault="008A37A5" w:rsidP="008E306C">
      <w:hyperlink r:id="rId215" w:anchor="standing-directions-2018" w:history="1">
        <w:r w:rsidRPr="00D4158F">
          <w:rPr>
            <w:rStyle w:val="Hyperlink"/>
          </w:rPr>
          <w:t>Direction 5.1.</w:t>
        </w:r>
        <w:r w:rsidR="001326A1" w:rsidRPr="00D4158F">
          <w:rPr>
            <w:rStyle w:val="Hyperlink"/>
          </w:rPr>
          <w:t>6</w:t>
        </w:r>
      </w:hyperlink>
      <w:r w:rsidR="00453706">
        <w:t xml:space="preserve"> requires public sector A</w:t>
      </w:r>
      <w:r w:rsidRPr="001326A1">
        <w:t>gencies to inform their Respo</w:t>
      </w:r>
      <w:r w:rsidR="00465158">
        <w:t>nsible Ministers and Portfolio D</w:t>
      </w:r>
      <w:r w:rsidRPr="001326A1">
        <w:t xml:space="preserve">epartments of any </w:t>
      </w:r>
      <w:r w:rsidR="00D63FE7">
        <w:t>Material Compliance Deficiency</w:t>
      </w:r>
      <w:r w:rsidRPr="001326A1">
        <w:t xml:space="preserve">. </w:t>
      </w:r>
      <w:hyperlink r:id="rId216" w:anchor="standing-directions-2018" w:history="1">
        <w:r w:rsidRPr="00D4158F">
          <w:rPr>
            <w:rStyle w:val="Hyperlink"/>
          </w:rPr>
          <w:t>Direction 2.</w:t>
        </w:r>
        <w:r w:rsidR="00B5742F" w:rsidRPr="00D4158F">
          <w:rPr>
            <w:rStyle w:val="Hyperlink"/>
          </w:rPr>
          <w:t>3.4</w:t>
        </w:r>
      </w:hyperlink>
      <w:r w:rsidR="00B5742F" w:rsidRPr="001326A1">
        <w:t xml:space="preserve"> </w:t>
      </w:r>
      <w:r w:rsidRPr="001326A1">
        <w:t>requires the Accountable Officer of a</w:t>
      </w:r>
      <w:r w:rsidRPr="008A37A5">
        <w:t xml:space="preserve"> Portfolio Department to oversee the discharge of financial responsibilities and to provide information to the Responsible Minister on key assurance and risk matters.</w:t>
      </w:r>
    </w:p>
    <w:p w14:paraId="12837254" w14:textId="464DC2A1" w:rsidR="008A37A5" w:rsidRPr="008A37A5" w:rsidRDefault="008A37A5" w:rsidP="008E306C">
      <w:r w:rsidRPr="008A37A5">
        <w:t>For purchasing cards, Portfolio Departments are expected to:</w:t>
      </w:r>
    </w:p>
    <w:p w14:paraId="57C5BC02" w14:textId="30307B12" w:rsidR="008A37A5" w:rsidRPr="008A37A5" w:rsidRDefault="008A37A5" w:rsidP="000B15FD">
      <w:pPr>
        <w:pStyle w:val="GuidanceBullet1"/>
        <w:numPr>
          <w:ilvl w:val="0"/>
          <w:numId w:val="60"/>
        </w:numPr>
      </w:pPr>
      <w:r w:rsidRPr="008A37A5">
        <w:t>monitor portfolio compliance with the Instruction on Purchasing card</w:t>
      </w:r>
      <w:r w:rsidR="00AE3FC4">
        <w:t>s</w:t>
      </w:r>
      <w:r w:rsidRPr="008A37A5">
        <w:t>;</w:t>
      </w:r>
    </w:p>
    <w:p w14:paraId="57CA7B1B" w14:textId="77777777" w:rsidR="008A37A5" w:rsidRPr="008A37A5" w:rsidRDefault="008A37A5" w:rsidP="000B15FD">
      <w:pPr>
        <w:pStyle w:val="GuidanceBullet1"/>
        <w:numPr>
          <w:ilvl w:val="0"/>
          <w:numId w:val="60"/>
        </w:numPr>
      </w:pPr>
      <w:r w:rsidRPr="008A37A5">
        <w:t>provide briefings to the Responsible Minister on non</w:t>
      </w:r>
      <w:r w:rsidR="00D62B6D">
        <w:noBreakHyphen/>
      </w:r>
      <w:r w:rsidRPr="008A37A5">
        <w:t>compliance reported by the Portfolio Agencies; and</w:t>
      </w:r>
    </w:p>
    <w:p w14:paraId="0DE1A79C" w14:textId="77777777" w:rsidR="008A37A5" w:rsidRPr="008A37A5" w:rsidRDefault="008A37A5" w:rsidP="000B15FD">
      <w:pPr>
        <w:pStyle w:val="GuidanceBullet1"/>
        <w:numPr>
          <w:ilvl w:val="0"/>
          <w:numId w:val="60"/>
        </w:numPr>
      </w:pPr>
      <w:r w:rsidRPr="008A37A5">
        <w:t>review reports of non</w:t>
      </w:r>
      <w:r w:rsidR="00D62B6D">
        <w:noBreakHyphen/>
      </w:r>
      <w:r w:rsidRPr="008A37A5">
        <w:t>compliance and implement strategies to promote compliance throughout portfolios.</w:t>
      </w:r>
    </w:p>
    <w:p w14:paraId="24E7B542" w14:textId="77777777" w:rsidR="008A37A5" w:rsidRPr="008A37A5" w:rsidRDefault="008A37A5" w:rsidP="000501DE">
      <w:pPr>
        <w:pStyle w:val="Heading3"/>
      </w:pPr>
      <w:r w:rsidRPr="008A37A5">
        <w:t>DTF role</w:t>
      </w:r>
    </w:p>
    <w:p w14:paraId="6821778C" w14:textId="22B0D2FB" w:rsidR="008A37A5" w:rsidRPr="008A37A5" w:rsidRDefault="003E0CD4" w:rsidP="008E306C">
      <w:hyperlink r:id="rId217" w:anchor="standing-directions-2018" w:history="1">
        <w:r w:rsidRPr="00D4158F">
          <w:rPr>
            <w:rStyle w:val="Hyperlink"/>
          </w:rPr>
          <w:t>Direction 2.3.6</w:t>
        </w:r>
      </w:hyperlink>
      <w:r w:rsidR="008A37A5" w:rsidRPr="008A37A5">
        <w:rPr>
          <w:i/>
        </w:rPr>
        <w:t xml:space="preserve"> </w:t>
      </w:r>
      <w:r w:rsidR="008A37A5" w:rsidRPr="008A37A5">
        <w:t xml:space="preserve">requires DTF to undertake the role of adviser to the </w:t>
      </w:r>
      <w:r w:rsidR="00780F7A">
        <w:t>Assistant Treasurer</w:t>
      </w:r>
      <w:r w:rsidR="008A37A5" w:rsidRPr="008A37A5">
        <w:t xml:space="preserve"> regarding the use and administration of purchasing cards policies as part of the financial management framework in the Victorian public sector.</w:t>
      </w:r>
    </w:p>
    <w:p w14:paraId="66F41624" w14:textId="77777777" w:rsidR="008A37A5" w:rsidRPr="008A37A5" w:rsidRDefault="008A37A5" w:rsidP="000501DE"/>
    <w:p w14:paraId="3D024C94" w14:textId="77777777" w:rsidR="008A37A5" w:rsidRPr="008A37A5" w:rsidRDefault="008A37A5" w:rsidP="000501DE">
      <w:r w:rsidRPr="008A37A5">
        <w:br w:type="page"/>
      </w:r>
    </w:p>
    <w:p w14:paraId="1C409A04" w14:textId="77777777" w:rsidR="008A37A5" w:rsidRPr="008A37A5" w:rsidRDefault="00931B21" w:rsidP="001A5F13">
      <w:pPr>
        <w:pStyle w:val="Heading1NoNum"/>
      </w:pPr>
      <w:r>
        <w:lastRenderedPageBreak/>
        <w:t>Attachment</w:t>
      </w:r>
      <w:r w:rsidR="008A37A5" w:rsidRPr="008A37A5">
        <w:t xml:space="preserve"> A: Undertaking by the cardholder</w:t>
      </w:r>
    </w:p>
    <w:p w14:paraId="75615388" w14:textId="77777777" w:rsidR="008A37A5" w:rsidRPr="008A37A5" w:rsidRDefault="008A37A5" w:rsidP="000501DE">
      <w:pPr>
        <w:pStyle w:val="Heading2NoNum"/>
      </w:pPr>
      <w:r w:rsidRPr="008A37A5">
        <w:t>Purchasing card cardholder agreement</w:t>
      </w:r>
    </w:p>
    <w:tbl>
      <w:tblPr>
        <w:tblStyle w:val="Table11"/>
        <w:tblW w:w="0" w:type="auto"/>
        <w:tblLook w:val="0480" w:firstRow="0" w:lastRow="0" w:firstColumn="1" w:lastColumn="0" w:noHBand="0" w:noVBand="1"/>
      </w:tblPr>
      <w:tblGrid>
        <w:gridCol w:w="3420"/>
        <w:gridCol w:w="5898"/>
        <w:gridCol w:w="250"/>
      </w:tblGrid>
      <w:tr w:rsidR="008A37A5" w:rsidRPr="008A37A5" w14:paraId="2B646DE2" w14:textId="77777777" w:rsidTr="002D6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31CE7E92" w14:textId="77777777" w:rsidR="008A37A5" w:rsidRPr="002D61D4" w:rsidRDefault="008A37A5" w:rsidP="008A37A5">
            <w:pPr>
              <w:rPr>
                <w:b/>
              </w:rPr>
            </w:pPr>
            <w:r w:rsidRPr="002D61D4">
              <w:rPr>
                <w:b/>
              </w:rPr>
              <w:t>Cardholder name:</w:t>
            </w:r>
          </w:p>
        </w:tc>
        <w:tc>
          <w:tcPr>
            <w:tcW w:w="5898" w:type="dxa"/>
            <w:gridSpan w:val="2"/>
          </w:tcPr>
          <w:p w14:paraId="59DA6BBF" w14:textId="77777777" w:rsidR="008A37A5" w:rsidRPr="008A37A5" w:rsidRDefault="008A37A5" w:rsidP="008A37A5">
            <w:pPr>
              <w:cnfStyle w:val="000000100000" w:firstRow="0" w:lastRow="0" w:firstColumn="0" w:lastColumn="0" w:oddVBand="0" w:evenVBand="0" w:oddHBand="1" w:evenHBand="0" w:firstRowFirstColumn="0" w:firstRowLastColumn="0" w:lastRowFirstColumn="0" w:lastRowLastColumn="0"/>
            </w:pPr>
          </w:p>
        </w:tc>
      </w:tr>
      <w:tr w:rsidR="008A37A5" w:rsidRPr="008A37A5" w14:paraId="3D04CF55" w14:textId="77777777" w:rsidTr="002D61D4">
        <w:trPr>
          <w:gridAfter w:val="1"/>
          <w:cnfStyle w:val="000000010000" w:firstRow="0" w:lastRow="0" w:firstColumn="0" w:lastColumn="0" w:oddVBand="0" w:evenVBand="0" w:oddHBand="0" w:evenHBand="1" w:firstRowFirstColumn="0" w:firstRowLastColumn="0" w:lastRowFirstColumn="0" w:lastRowLastColumn="0"/>
          <w:wAfter w:w="250" w:type="dxa"/>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46D8355E" w14:textId="77777777" w:rsidR="008A37A5" w:rsidRPr="002D61D4" w:rsidRDefault="008A37A5" w:rsidP="008A37A5">
            <w:pPr>
              <w:rPr>
                <w:b/>
              </w:rPr>
            </w:pPr>
            <w:r w:rsidRPr="002D61D4">
              <w:rPr>
                <w:b/>
              </w:rPr>
              <w:t>Position:</w:t>
            </w:r>
          </w:p>
        </w:tc>
        <w:tc>
          <w:tcPr>
            <w:tcW w:w="5898" w:type="dxa"/>
          </w:tcPr>
          <w:p w14:paraId="6F842ED0" w14:textId="77777777" w:rsidR="008A37A5" w:rsidRPr="008A37A5" w:rsidRDefault="008A37A5" w:rsidP="008A37A5">
            <w:pPr>
              <w:cnfStyle w:val="000000010000" w:firstRow="0" w:lastRow="0" w:firstColumn="0" w:lastColumn="0" w:oddVBand="0" w:evenVBand="0" w:oddHBand="0" w:evenHBand="1" w:firstRowFirstColumn="0" w:firstRowLastColumn="0" w:lastRowFirstColumn="0" w:lastRowLastColumn="0"/>
            </w:pPr>
          </w:p>
        </w:tc>
      </w:tr>
      <w:tr w:rsidR="008A37A5" w:rsidRPr="008A37A5" w14:paraId="5F241C70" w14:textId="77777777" w:rsidTr="002D61D4">
        <w:trPr>
          <w:gridAfter w:val="1"/>
          <w:cnfStyle w:val="000000100000" w:firstRow="0" w:lastRow="0" w:firstColumn="0" w:lastColumn="0" w:oddVBand="0" w:evenVBand="0" w:oddHBand="1" w:evenHBand="0" w:firstRowFirstColumn="0" w:firstRowLastColumn="0" w:lastRowFirstColumn="0" w:lastRowLastColumn="0"/>
          <w:wAfter w:w="250" w:type="dxa"/>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7C92CDC3" w14:textId="77777777" w:rsidR="008A37A5" w:rsidRPr="002D61D4" w:rsidRDefault="008A37A5" w:rsidP="008A37A5">
            <w:pPr>
              <w:rPr>
                <w:b/>
              </w:rPr>
            </w:pPr>
            <w:r w:rsidRPr="002D61D4">
              <w:rPr>
                <w:b/>
              </w:rPr>
              <w:t>Branch:</w:t>
            </w:r>
          </w:p>
        </w:tc>
        <w:tc>
          <w:tcPr>
            <w:tcW w:w="5898" w:type="dxa"/>
          </w:tcPr>
          <w:p w14:paraId="26ECA289" w14:textId="77777777" w:rsidR="008A37A5" w:rsidRPr="008A37A5" w:rsidRDefault="008A37A5" w:rsidP="008A37A5">
            <w:pPr>
              <w:cnfStyle w:val="000000100000" w:firstRow="0" w:lastRow="0" w:firstColumn="0" w:lastColumn="0" w:oddVBand="0" w:evenVBand="0" w:oddHBand="1" w:evenHBand="0" w:firstRowFirstColumn="0" w:firstRowLastColumn="0" w:lastRowFirstColumn="0" w:lastRowLastColumn="0"/>
            </w:pPr>
          </w:p>
        </w:tc>
      </w:tr>
      <w:tr w:rsidR="008A37A5" w:rsidRPr="008A37A5" w14:paraId="1605F14D" w14:textId="77777777" w:rsidTr="002D61D4">
        <w:trPr>
          <w:gridAfter w:val="1"/>
          <w:cnfStyle w:val="000000010000" w:firstRow="0" w:lastRow="0" w:firstColumn="0" w:lastColumn="0" w:oddVBand="0" w:evenVBand="0" w:oddHBand="0" w:evenHBand="1" w:firstRowFirstColumn="0" w:firstRowLastColumn="0" w:lastRowFirstColumn="0" w:lastRowLastColumn="0"/>
          <w:wAfter w:w="250" w:type="dxa"/>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0763D726" w14:textId="77777777" w:rsidR="008A37A5" w:rsidRPr="002D61D4" w:rsidRDefault="008A37A5" w:rsidP="008A37A5">
            <w:pPr>
              <w:rPr>
                <w:b/>
              </w:rPr>
            </w:pPr>
            <w:r w:rsidRPr="002D61D4">
              <w:rPr>
                <w:b/>
              </w:rPr>
              <w:t>Division:</w:t>
            </w:r>
          </w:p>
        </w:tc>
        <w:tc>
          <w:tcPr>
            <w:tcW w:w="5898" w:type="dxa"/>
          </w:tcPr>
          <w:p w14:paraId="1C4173D8" w14:textId="77777777" w:rsidR="008A37A5" w:rsidRPr="008A37A5" w:rsidRDefault="008A37A5" w:rsidP="008A37A5">
            <w:pPr>
              <w:cnfStyle w:val="000000010000" w:firstRow="0" w:lastRow="0" w:firstColumn="0" w:lastColumn="0" w:oddVBand="0" w:evenVBand="0" w:oddHBand="0" w:evenHBand="1" w:firstRowFirstColumn="0" w:firstRowLastColumn="0" w:lastRowFirstColumn="0" w:lastRowLastColumn="0"/>
            </w:pPr>
          </w:p>
        </w:tc>
      </w:tr>
      <w:tr w:rsidR="008A37A5" w:rsidRPr="008A37A5" w14:paraId="2D1F5A61" w14:textId="77777777" w:rsidTr="002D61D4">
        <w:trPr>
          <w:gridAfter w:val="1"/>
          <w:cnfStyle w:val="000000100000" w:firstRow="0" w:lastRow="0" w:firstColumn="0" w:lastColumn="0" w:oddVBand="0" w:evenVBand="0" w:oddHBand="1" w:evenHBand="0" w:firstRowFirstColumn="0" w:firstRowLastColumn="0" w:lastRowFirstColumn="0" w:lastRowLastColumn="0"/>
          <w:wAfter w:w="250" w:type="dxa"/>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7D06C38D" w14:textId="77777777" w:rsidR="008A37A5" w:rsidRPr="002D61D4" w:rsidRDefault="008A37A5" w:rsidP="008A37A5">
            <w:pPr>
              <w:rPr>
                <w:b/>
              </w:rPr>
            </w:pPr>
            <w:r w:rsidRPr="002D61D4">
              <w:rPr>
                <w:b/>
              </w:rPr>
              <w:t>Agency:</w:t>
            </w:r>
          </w:p>
        </w:tc>
        <w:tc>
          <w:tcPr>
            <w:tcW w:w="5898" w:type="dxa"/>
          </w:tcPr>
          <w:p w14:paraId="0788FB5A" w14:textId="77777777" w:rsidR="008A37A5" w:rsidRPr="008A37A5" w:rsidRDefault="008A37A5" w:rsidP="008A37A5">
            <w:pPr>
              <w:cnfStyle w:val="000000100000" w:firstRow="0" w:lastRow="0" w:firstColumn="0" w:lastColumn="0" w:oddVBand="0" w:evenVBand="0" w:oddHBand="1" w:evenHBand="0" w:firstRowFirstColumn="0" w:firstRowLastColumn="0" w:lastRowFirstColumn="0" w:lastRowLastColumn="0"/>
            </w:pPr>
          </w:p>
        </w:tc>
      </w:tr>
      <w:tr w:rsidR="008A37A5" w:rsidRPr="008A37A5" w14:paraId="68546A7B" w14:textId="77777777" w:rsidTr="002D61D4">
        <w:trPr>
          <w:gridAfter w:val="1"/>
          <w:cnfStyle w:val="000000010000" w:firstRow="0" w:lastRow="0" w:firstColumn="0" w:lastColumn="0" w:oddVBand="0" w:evenVBand="0" w:oddHBand="0" w:evenHBand="1" w:firstRowFirstColumn="0" w:firstRowLastColumn="0" w:lastRowFirstColumn="0" w:lastRowLastColumn="0"/>
          <w:wAfter w:w="250" w:type="dxa"/>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26DAF4EF" w14:textId="77777777" w:rsidR="008A37A5" w:rsidRPr="002D61D4" w:rsidRDefault="00B6124D" w:rsidP="008A37A5">
            <w:pPr>
              <w:rPr>
                <w:b/>
              </w:rPr>
            </w:pPr>
            <w:r w:rsidRPr="002D61D4">
              <w:rPr>
                <w:b/>
              </w:rPr>
              <w:t>Accountable O</w:t>
            </w:r>
            <w:r w:rsidR="008A37A5" w:rsidRPr="002D61D4">
              <w:rPr>
                <w:b/>
              </w:rPr>
              <w:t>fficer:</w:t>
            </w:r>
          </w:p>
        </w:tc>
        <w:tc>
          <w:tcPr>
            <w:tcW w:w="5898" w:type="dxa"/>
          </w:tcPr>
          <w:p w14:paraId="38F3496B" w14:textId="77777777" w:rsidR="008A37A5" w:rsidRPr="008A37A5" w:rsidRDefault="008A37A5" w:rsidP="008A37A5">
            <w:pPr>
              <w:cnfStyle w:val="000000010000" w:firstRow="0" w:lastRow="0" w:firstColumn="0" w:lastColumn="0" w:oddVBand="0" w:evenVBand="0" w:oddHBand="0" w:evenHBand="1" w:firstRowFirstColumn="0" w:firstRowLastColumn="0" w:lastRowFirstColumn="0" w:lastRowLastColumn="0"/>
            </w:pPr>
          </w:p>
        </w:tc>
      </w:tr>
      <w:tr w:rsidR="008A37A5" w:rsidRPr="008A37A5" w14:paraId="4DE309A8" w14:textId="77777777" w:rsidTr="002D61D4">
        <w:trPr>
          <w:gridAfter w:val="1"/>
          <w:cnfStyle w:val="000000100000" w:firstRow="0" w:lastRow="0" w:firstColumn="0" w:lastColumn="0" w:oddVBand="0" w:evenVBand="0" w:oddHBand="1" w:evenHBand="0" w:firstRowFirstColumn="0" w:firstRowLastColumn="0" w:lastRowFirstColumn="0" w:lastRowLastColumn="0"/>
          <w:wAfter w:w="250" w:type="dxa"/>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0985DE02" w14:textId="77777777" w:rsidR="008A37A5" w:rsidRPr="002D61D4" w:rsidRDefault="008A37A5" w:rsidP="008A37A5">
            <w:pPr>
              <w:rPr>
                <w:b/>
              </w:rPr>
            </w:pPr>
            <w:r w:rsidRPr="002D61D4">
              <w:rPr>
                <w:b/>
              </w:rPr>
              <w:t>Authorised signatory:</w:t>
            </w:r>
          </w:p>
        </w:tc>
        <w:tc>
          <w:tcPr>
            <w:tcW w:w="5898" w:type="dxa"/>
          </w:tcPr>
          <w:p w14:paraId="6FA2A6B9" w14:textId="77777777" w:rsidR="008A37A5" w:rsidRPr="008A37A5" w:rsidRDefault="008A37A5" w:rsidP="008A37A5">
            <w:pPr>
              <w:cnfStyle w:val="000000100000" w:firstRow="0" w:lastRow="0" w:firstColumn="0" w:lastColumn="0" w:oddVBand="0" w:evenVBand="0" w:oddHBand="1" w:evenHBand="0" w:firstRowFirstColumn="0" w:firstRowLastColumn="0" w:lastRowFirstColumn="0" w:lastRowLastColumn="0"/>
            </w:pPr>
          </w:p>
        </w:tc>
      </w:tr>
      <w:tr w:rsidR="008A37A5" w:rsidRPr="008A37A5" w14:paraId="122938A1" w14:textId="77777777" w:rsidTr="002D61D4">
        <w:trPr>
          <w:gridAfter w:val="1"/>
          <w:cnfStyle w:val="000000010000" w:firstRow="0" w:lastRow="0" w:firstColumn="0" w:lastColumn="0" w:oddVBand="0" w:evenVBand="0" w:oddHBand="0" w:evenHBand="1" w:firstRowFirstColumn="0" w:firstRowLastColumn="0" w:lastRowFirstColumn="0" w:lastRowLastColumn="0"/>
          <w:wAfter w:w="250" w:type="dxa"/>
        </w:trPr>
        <w:tc>
          <w:tcPr>
            <w:cnfStyle w:val="001000000000" w:firstRow="0" w:lastRow="0" w:firstColumn="1" w:lastColumn="0" w:oddVBand="0" w:evenVBand="0" w:oddHBand="0" w:evenHBand="0" w:firstRowFirstColumn="0" w:firstRowLastColumn="0" w:lastRowFirstColumn="0" w:lastRowLastColumn="0"/>
            <w:tcW w:w="3420" w:type="dxa"/>
            <w:shd w:val="clear" w:color="auto" w:fill="F2F2F2" w:themeFill="background1" w:themeFillShade="F2"/>
          </w:tcPr>
          <w:p w14:paraId="19F65504" w14:textId="77777777" w:rsidR="008A37A5" w:rsidRPr="002D61D4" w:rsidRDefault="008A37A5" w:rsidP="008A37A5">
            <w:pPr>
              <w:rPr>
                <w:b/>
              </w:rPr>
            </w:pPr>
            <w:r w:rsidRPr="002D61D4">
              <w:rPr>
                <w:b/>
              </w:rPr>
              <w:t>Program administrator:</w:t>
            </w:r>
          </w:p>
        </w:tc>
        <w:tc>
          <w:tcPr>
            <w:tcW w:w="5898" w:type="dxa"/>
          </w:tcPr>
          <w:p w14:paraId="1A282BE9" w14:textId="77777777" w:rsidR="008A37A5" w:rsidRPr="008A37A5" w:rsidRDefault="008A37A5" w:rsidP="008A37A5">
            <w:pPr>
              <w:cnfStyle w:val="000000010000" w:firstRow="0" w:lastRow="0" w:firstColumn="0" w:lastColumn="0" w:oddVBand="0" w:evenVBand="0" w:oddHBand="0" w:evenHBand="1" w:firstRowFirstColumn="0" w:firstRowLastColumn="0" w:lastRowFirstColumn="0" w:lastRowLastColumn="0"/>
            </w:pPr>
          </w:p>
        </w:tc>
      </w:tr>
    </w:tbl>
    <w:p w14:paraId="526E27B1" w14:textId="77777777" w:rsidR="008A37A5" w:rsidRPr="008A37A5" w:rsidRDefault="008A37A5" w:rsidP="000501DE"/>
    <w:p w14:paraId="66F59BC6" w14:textId="77777777" w:rsidR="008A37A5" w:rsidRPr="008A37A5" w:rsidRDefault="008A37A5">
      <w:r w:rsidRPr="008A37A5">
        <w:t>I understand and agree that the Purchasing Card is issued to me on the express understanding that I will, at all times, comply with the following conditions:</w:t>
      </w:r>
    </w:p>
    <w:p w14:paraId="7765D909" w14:textId="77777777" w:rsidR="008A37A5" w:rsidRPr="008A37A5" w:rsidRDefault="008A37A5" w:rsidP="00FC17D9">
      <w:pPr>
        <w:pStyle w:val="Heading2NoNum"/>
      </w:pPr>
      <w:r w:rsidRPr="008A37A5">
        <w:t>Use</w:t>
      </w:r>
    </w:p>
    <w:p w14:paraId="194433DF" w14:textId="77777777" w:rsidR="008A37A5" w:rsidRPr="008A37A5" w:rsidRDefault="008A37A5" w:rsidP="00351220">
      <w:pPr>
        <w:pStyle w:val="Num3"/>
        <w:numPr>
          <w:ilvl w:val="5"/>
          <w:numId w:val="2"/>
        </w:numPr>
        <w:tabs>
          <w:tab w:val="num" w:pos="-729"/>
        </w:tabs>
        <w:ind w:left="462" w:hanging="462"/>
      </w:pPr>
      <w:r w:rsidRPr="008A37A5">
        <w:t>The purchasing card is the property of (specify provider) and is in my possession and under my strict control.</w:t>
      </w:r>
    </w:p>
    <w:p w14:paraId="6886A064" w14:textId="77777777" w:rsidR="008A37A5" w:rsidRPr="008A37A5" w:rsidRDefault="008A37A5" w:rsidP="00351220">
      <w:pPr>
        <w:pStyle w:val="Num3"/>
        <w:numPr>
          <w:ilvl w:val="5"/>
          <w:numId w:val="2"/>
        </w:numPr>
        <w:tabs>
          <w:tab w:val="num" w:pos="-729"/>
        </w:tabs>
        <w:ind w:left="462" w:hanging="462"/>
      </w:pPr>
      <w:r w:rsidRPr="008A37A5">
        <w:t>I will not permit the purchasing card to be used by any person other than myself.</w:t>
      </w:r>
    </w:p>
    <w:p w14:paraId="0FC406E1" w14:textId="77777777" w:rsidR="008A37A5" w:rsidRPr="008A37A5" w:rsidRDefault="008A37A5" w:rsidP="00351220">
      <w:pPr>
        <w:pStyle w:val="Num3"/>
        <w:numPr>
          <w:ilvl w:val="5"/>
          <w:numId w:val="2"/>
        </w:numPr>
        <w:tabs>
          <w:tab w:val="num" w:pos="-729"/>
        </w:tabs>
        <w:ind w:left="462" w:hanging="462"/>
      </w:pPr>
      <w:r w:rsidRPr="008A37A5">
        <w:t>I will only use the purchasing card for official purposes.</w:t>
      </w:r>
    </w:p>
    <w:p w14:paraId="6E48A473" w14:textId="77777777" w:rsidR="008A37A5" w:rsidRPr="008A37A5" w:rsidRDefault="008A37A5" w:rsidP="00351220">
      <w:pPr>
        <w:pStyle w:val="Num3"/>
        <w:numPr>
          <w:ilvl w:val="5"/>
          <w:numId w:val="2"/>
        </w:numPr>
        <w:tabs>
          <w:tab w:val="num" w:pos="-729"/>
        </w:tabs>
        <w:ind w:left="462" w:hanging="462"/>
      </w:pPr>
      <w:r w:rsidRPr="008A37A5">
        <w:t>I will immediately report any suspected or known unauthorised use of the purchasing card to the card provider and the program administrator.</w:t>
      </w:r>
    </w:p>
    <w:p w14:paraId="73D9D140" w14:textId="77777777" w:rsidR="008A37A5" w:rsidRPr="008A37A5" w:rsidRDefault="008A37A5" w:rsidP="00351220">
      <w:pPr>
        <w:pStyle w:val="Num3"/>
        <w:numPr>
          <w:ilvl w:val="5"/>
          <w:numId w:val="2"/>
        </w:numPr>
        <w:tabs>
          <w:tab w:val="num" w:pos="-729"/>
        </w:tabs>
        <w:ind w:left="462" w:hanging="462"/>
      </w:pPr>
      <w:r w:rsidRPr="008A37A5">
        <w:t>I will not use the purchasing card to pay for expenses that have already been claimed (or will be claimed) by any form of allowance.</w:t>
      </w:r>
    </w:p>
    <w:p w14:paraId="063D7FA9" w14:textId="77777777" w:rsidR="003B7B66" w:rsidRPr="008A37A5" w:rsidRDefault="003B7B66" w:rsidP="00351220">
      <w:pPr>
        <w:pStyle w:val="Num3"/>
        <w:numPr>
          <w:ilvl w:val="5"/>
          <w:numId w:val="2"/>
        </w:numPr>
        <w:tabs>
          <w:tab w:val="num" w:pos="-729"/>
        </w:tabs>
        <w:ind w:left="462" w:hanging="462"/>
      </w:pPr>
      <w:r w:rsidRPr="008A37A5">
        <w:t>I will not use the purchasing card to pay for tips or gratuities</w:t>
      </w:r>
      <w:r>
        <w:t>, except in countries other than Australia, to the minimum extent expected in accordance with common practice in the country</w:t>
      </w:r>
      <w:r w:rsidRPr="008A37A5">
        <w:t>.</w:t>
      </w:r>
    </w:p>
    <w:p w14:paraId="0057302B" w14:textId="77777777" w:rsidR="003B7B66" w:rsidRPr="008A37A5" w:rsidRDefault="003B7B66" w:rsidP="00351220">
      <w:pPr>
        <w:pStyle w:val="Num3"/>
        <w:numPr>
          <w:ilvl w:val="5"/>
          <w:numId w:val="2"/>
        </w:numPr>
        <w:tabs>
          <w:tab w:val="num" w:pos="-729"/>
        </w:tabs>
        <w:ind w:left="462" w:hanging="462"/>
      </w:pPr>
      <w:r w:rsidRPr="008A37A5">
        <w:t xml:space="preserve">I will not use the purchasing card </w:t>
      </w:r>
      <w:r>
        <w:t>to obtain cash, except for prepaid debit cards, where cash may only be obtained if the Accountable Officer has authorised the use of the card for this purpose</w:t>
      </w:r>
      <w:r w:rsidRPr="008A37A5">
        <w:t>.</w:t>
      </w:r>
    </w:p>
    <w:p w14:paraId="2BDF96D2" w14:textId="77777777" w:rsidR="008A37A5" w:rsidRPr="008A37A5" w:rsidRDefault="008A37A5" w:rsidP="00351220">
      <w:pPr>
        <w:pStyle w:val="Num3"/>
        <w:numPr>
          <w:ilvl w:val="5"/>
          <w:numId w:val="2"/>
        </w:numPr>
        <w:tabs>
          <w:tab w:val="num" w:pos="-729"/>
        </w:tabs>
        <w:ind w:left="462" w:hanging="462"/>
      </w:pPr>
      <w:r w:rsidRPr="008A37A5">
        <w:t>I can use the purchasing card to a maximum limit of $ in any one transaction and to a maximum monthly limit of $ . My use of the purchasing card is subject to the following restrictions on transaction types (specify):</w:t>
      </w:r>
    </w:p>
    <w:p w14:paraId="3BA9CEC8" w14:textId="77777777" w:rsidR="008A37A5" w:rsidRPr="008A37A5" w:rsidRDefault="008A37A5" w:rsidP="00351220">
      <w:pPr>
        <w:pStyle w:val="Num3"/>
        <w:numPr>
          <w:ilvl w:val="5"/>
          <w:numId w:val="2"/>
        </w:numPr>
        <w:tabs>
          <w:tab w:val="num" w:pos="-729"/>
        </w:tabs>
        <w:ind w:left="462" w:hanging="462"/>
      </w:pPr>
      <w:r w:rsidRPr="008A37A5">
        <w:t>I will not split transactions on the purchasing card to avoid exceeding purchasing card transaction limits.</w:t>
      </w:r>
    </w:p>
    <w:p w14:paraId="7C6EA45F" w14:textId="77777777" w:rsidR="008A37A5" w:rsidRPr="008A37A5" w:rsidRDefault="008A37A5" w:rsidP="00351220">
      <w:pPr>
        <w:pStyle w:val="Num3"/>
        <w:numPr>
          <w:ilvl w:val="5"/>
          <w:numId w:val="2"/>
        </w:numPr>
        <w:tabs>
          <w:tab w:val="num" w:pos="-729"/>
        </w:tabs>
        <w:ind w:left="462" w:hanging="462"/>
      </w:pPr>
      <w:r w:rsidRPr="008A37A5">
        <w:t xml:space="preserve">I hold a financial </w:t>
      </w:r>
      <w:r w:rsidR="00DC03F0">
        <w:t>authorisation</w:t>
      </w:r>
      <w:r w:rsidR="00DC03F0" w:rsidRPr="008A37A5">
        <w:t xml:space="preserve"> </w:t>
      </w:r>
      <w:r w:rsidRPr="008A37A5">
        <w:t>that is at least equivalent in value to the transaction limit in 8 above.</w:t>
      </w:r>
    </w:p>
    <w:p w14:paraId="3BA4C8EC" w14:textId="77777777" w:rsidR="008A37A5" w:rsidRPr="008A37A5" w:rsidRDefault="008A37A5" w:rsidP="00351220">
      <w:pPr>
        <w:pStyle w:val="Num3"/>
        <w:numPr>
          <w:ilvl w:val="5"/>
          <w:numId w:val="2"/>
        </w:numPr>
        <w:tabs>
          <w:tab w:val="num" w:pos="-729"/>
        </w:tabs>
        <w:ind w:left="462" w:hanging="462"/>
      </w:pPr>
      <w:r w:rsidRPr="008A37A5">
        <w:t>In the case of general government purchasing cards, I understand that purchasing information may be periodically reviewed by the Department of Treasury and Finance.</w:t>
      </w:r>
    </w:p>
    <w:p w14:paraId="32904343" w14:textId="77777777" w:rsidR="007E6056" w:rsidRDefault="007E6056">
      <w:pPr>
        <w:spacing w:before="0" w:after="200" w:line="276" w:lineRule="auto"/>
        <w:rPr>
          <w:color w:val="4D4D4D"/>
          <w:sz w:val="24"/>
          <w:szCs w:val="28"/>
        </w:rPr>
      </w:pPr>
      <w:r>
        <w:br w:type="page"/>
      </w:r>
    </w:p>
    <w:p w14:paraId="3BBCDBAD" w14:textId="57033EE2" w:rsidR="008A37A5" w:rsidRPr="008A37A5" w:rsidRDefault="008A37A5" w:rsidP="00FC17D9">
      <w:pPr>
        <w:pStyle w:val="Heading2NoNum"/>
      </w:pPr>
      <w:r w:rsidRPr="008A37A5">
        <w:lastRenderedPageBreak/>
        <w:t>Transaction/monthly reconciliation</w:t>
      </w:r>
    </w:p>
    <w:p w14:paraId="574462CC" w14:textId="77777777" w:rsidR="008A37A5" w:rsidRPr="008A37A5" w:rsidRDefault="008A37A5" w:rsidP="00351220">
      <w:pPr>
        <w:pStyle w:val="Num3"/>
        <w:numPr>
          <w:ilvl w:val="5"/>
          <w:numId w:val="2"/>
        </w:numPr>
        <w:tabs>
          <w:tab w:val="num" w:pos="-729"/>
        </w:tabs>
        <w:ind w:left="462" w:hanging="462"/>
      </w:pPr>
      <w:r w:rsidRPr="008A37A5">
        <w:t>I will be issued with a monthly statement by the card provider. I will ensure that all transactions that appear on the monthly statement are verified by me and that sufficient supporting documentation is attached to the monthly statement when it is submitted for approval. I will ensure that goods or services paid for using the purchasing card are actually delivered or provided. I will ensure that each transaction appearing on the card provider’s statement is appropriately coded for accounting purposes.</w:t>
      </w:r>
    </w:p>
    <w:p w14:paraId="0E3126EE" w14:textId="77777777" w:rsidR="008A37A5" w:rsidRPr="008A37A5" w:rsidRDefault="008A37A5" w:rsidP="00351220">
      <w:pPr>
        <w:pStyle w:val="Num3"/>
        <w:numPr>
          <w:ilvl w:val="5"/>
          <w:numId w:val="2"/>
        </w:numPr>
        <w:tabs>
          <w:tab w:val="num" w:pos="-729"/>
        </w:tabs>
        <w:ind w:left="462" w:hanging="462"/>
      </w:pPr>
      <w:r w:rsidRPr="008A37A5">
        <w:t xml:space="preserve">I will sign the monthly statement provided by the card provider to indicate that the transactions being paid by the State have been made only for official purposes. </w:t>
      </w:r>
    </w:p>
    <w:p w14:paraId="0EAF3B86" w14:textId="77777777" w:rsidR="008A37A5" w:rsidRPr="008A37A5" w:rsidRDefault="008A37A5" w:rsidP="00351220">
      <w:pPr>
        <w:pStyle w:val="Num3"/>
        <w:numPr>
          <w:ilvl w:val="5"/>
          <w:numId w:val="2"/>
        </w:numPr>
        <w:tabs>
          <w:tab w:val="num" w:pos="-729"/>
        </w:tabs>
        <w:ind w:left="462" w:hanging="462"/>
      </w:pPr>
      <w:r w:rsidRPr="008A37A5">
        <w:t>I will ensure that credits are requested in relation to transactions made using the purchasing card as soon as I become aware of the need for a credit, for example, where a good or service is not delivered or not provided in accordance with original expectations.</w:t>
      </w:r>
    </w:p>
    <w:p w14:paraId="738B4CF5" w14:textId="77777777" w:rsidR="008A37A5" w:rsidRPr="008A37A5" w:rsidRDefault="008A37A5" w:rsidP="00FC17D9">
      <w:pPr>
        <w:pStyle w:val="Heading2NoNum"/>
      </w:pPr>
      <w:r w:rsidRPr="008A37A5">
        <w:t>Change in cardholder details</w:t>
      </w:r>
    </w:p>
    <w:p w14:paraId="42144592" w14:textId="77777777" w:rsidR="008A37A5" w:rsidRPr="008A37A5" w:rsidRDefault="008A37A5" w:rsidP="00351220">
      <w:pPr>
        <w:pStyle w:val="Num3"/>
        <w:numPr>
          <w:ilvl w:val="5"/>
          <w:numId w:val="2"/>
        </w:numPr>
        <w:tabs>
          <w:tab w:val="num" w:pos="-729"/>
        </w:tabs>
        <w:ind w:left="462" w:hanging="462"/>
      </w:pPr>
      <w:r w:rsidRPr="008A37A5">
        <w:t>I will immediately advise the program administrator of any change in my name or contact details.</w:t>
      </w:r>
    </w:p>
    <w:p w14:paraId="1EBDC18A" w14:textId="77777777" w:rsidR="008A37A5" w:rsidRPr="008A37A5" w:rsidRDefault="008A37A5" w:rsidP="00FC17D9">
      <w:pPr>
        <w:pStyle w:val="Heading2NoNum"/>
      </w:pPr>
      <w:r w:rsidRPr="008A37A5">
        <w:t>Upon resignation or transfer</w:t>
      </w:r>
    </w:p>
    <w:p w14:paraId="70B69A41" w14:textId="77777777" w:rsidR="008A37A5" w:rsidRPr="008A37A5" w:rsidRDefault="008A37A5" w:rsidP="00351220">
      <w:pPr>
        <w:pStyle w:val="Num3"/>
        <w:numPr>
          <w:ilvl w:val="5"/>
          <w:numId w:val="2"/>
        </w:numPr>
        <w:tabs>
          <w:tab w:val="num" w:pos="-729"/>
        </w:tabs>
        <w:ind w:left="462" w:hanging="462"/>
      </w:pPr>
      <w:r w:rsidRPr="008A37A5">
        <w:t xml:space="preserve">I will immediately return my purchasing card to the program administrator if I resign or retire, or if my </w:t>
      </w:r>
      <w:r w:rsidR="006F0D5C">
        <w:t>services as an employee of the A</w:t>
      </w:r>
      <w:r w:rsidRPr="008A37A5">
        <w:t>gency or statutory office holder are otherwise terminated, or if I</w:t>
      </w:r>
      <w:r w:rsidR="006F0D5C">
        <w:t xml:space="preserve"> take up a position in another A</w:t>
      </w:r>
      <w:r w:rsidRPr="008A37A5">
        <w:t xml:space="preserve">gency, or if I am instructed to do so by the </w:t>
      </w:r>
      <w:r w:rsidR="00962FB8">
        <w:t>A</w:t>
      </w:r>
      <w:r w:rsidRPr="008A37A5">
        <w:t xml:space="preserve">ccountable </w:t>
      </w:r>
      <w:r w:rsidR="00962FB8">
        <w:t>O</w:t>
      </w:r>
      <w:r w:rsidRPr="008A37A5">
        <w:t>fficer or the program administrator.</w:t>
      </w:r>
    </w:p>
    <w:p w14:paraId="2848A8A0" w14:textId="77777777" w:rsidR="008A37A5" w:rsidRPr="008A37A5" w:rsidRDefault="008A37A5" w:rsidP="00FC17D9">
      <w:pPr>
        <w:pStyle w:val="Heading2NoNum"/>
      </w:pPr>
      <w:r w:rsidRPr="008A37A5">
        <w:t>Lost or stolen cards</w:t>
      </w:r>
    </w:p>
    <w:p w14:paraId="0679C317" w14:textId="77777777" w:rsidR="008A37A5" w:rsidRPr="008A37A5" w:rsidRDefault="008A37A5" w:rsidP="00351220">
      <w:pPr>
        <w:pStyle w:val="Num3"/>
        <w:numPr>
          <w:ilvl w:val="5"/>
          <w:numId w:val="2"/>
        </w:numPr>
        <w:tabs>
          <w:tab w:val="num" w:pos="-729"/>
        </w:tabs>
        <w:ind w:left="462" w:hanging="462"/>
      </w:pPr>
      <w:r w:rsidRPr="008A37A5">
        <w:t xml:space="preserve">I will immediately report the loss or theft of my purchasing card to the card provider (24 hour </w:t>
      </w:r>
      <w:r w:rsidRPr="00924EDE">
        <w:rPr>
          <w:rFonts w:ascii="Wingdings" w:eastAsia="Wingdings" w:hAnsi="Wingdings"/>
        </w:rPr>
        <w:sym w:font="Wingdings" w:char="F028"/>
      </w:r>
      <w:r w:rsidRPr="008A37A5">
        <w:t xml:space="preserve"> service) and the program administrator.</w:t>
      </w:r>
    </w:p>
    <w:p w14:paraId="083E0F58" w14:textId="77777777" w:rsidR="008A37A5" w:rsidRPr="008A37A5" w:rsidRDefault="008A37A5" w:rsidP="00FC17D9">
      <w:pPr>
        <w:pStyle w:val="Heading2NoNum"/>
      </w:pPr>
      <w:r w:rsidRPr="008A37A5">
        <w:t>Declaration</w:t>
      </w:r>
    </w:p>
    <w:p w14:paraId="4FDF491B" w14:textId="77777777" w:rsidR="008A37A5" w:rsidRPr="008A37A5" w:rsidRDefault="008A37A5" w:rsidP="00351220">
      <w:pPr>
        <w:pStyle w:val="Num3"/>
        <w:numPr>
          <w:ilvl w:val="5"/>
          <w:numId w:val="2"/>
        </w:numPr>
        <w:tabs>
          <w:tab w:val="num" w:pos="-729"/>
        </w:tabs>
        <w:ind w:left="462" w:hanging="462"/>
      </w:pPr>
      <w:r w:rsidRPr="008A37A5">
        <w:t>I confirm that I have access to only one purchasing card.</w:t>
      </w:r>
    </w:p>
    <w:p w14:paraId="44047C1B" w14:textId="77777777" w:rsidR="008A37A5" w:rsidRPr="008A37A5" w:rsidRDefault="008A37A5" w:rsidP="00351220">
      <w:pPr>
        <w:pStyle w:val="Num3"/>
        <w:numPr>
          <w:ilvl w:val="5"/>
          <w:numId w:val="2"/>
        </w:numPr>
        <w:tabs>
          <w:tab w:val="num" w:pos="-729"/>
        </w:tabs>
        <w:ind w:left="462" w:hanging="462"/>
      </w:pPr>
      <w:r w:rsidRPr="008A37A5">
        <w:t xml:space="preserve">I acknowledge receipt </w:t>
      </w:r>
      <w:r w:rsidR="00246C1B">
        <w:t>of Instruction 3.6 (Purchasing and prepaid debit cards).</w:t>
      </w:r>
    </w:p>
    <w:p w14:paraId="7B19F5D7" w14:textId="77777777" w:rsidR="008A37A5" w:rsidRPr="008A37A5" w:rsidRDefault="008A37A5" w:rsidP="00351220">
      <w:pPr>
        <w:pStyle w:val="Num3"/>
        <w:numPr>
          <w:ilvl w:val="5"/>
          <w:numId w:val="2"/>
        </w:numPr>
        <w:tabs>
          <w:tab w:val="num" w:pos="-729"/>
        </w:tabs>
        <w:ind w:left="462" w:hanging="462"/>
      </w:pPr>
      <w:r w:rsidRPr="008A37A5">
        <w:t>I have been briefed on all aspects of the operation and use of the purchasing card.</w:t>
      </w:r>
    </w:p>
    <w:p w14:paraId="2DF937BC" w14:textId="77777777" w:rsidR="008A37A5" w:rsidRPr="008A37A5" w:rsidRDefault="008A37A5" w:rsidP="000501DE"/>
    <w:p w14:paraId="4CDC003C" w14:textId="77777777" w:rsidR="008A37A5" w:rsidRPr="008A37A5" w:rsidRDefault="008A37A5" w:rsidP="000501DE"/>
    <w:tbl>
      <w:tblPr>
        <w:tblStyle w:val="Table13"/>
        <w:tblW w:w="0" w:type="auto"/>
        <w:tblBorders>
          <w:top w:val="none" w:sz="0" w:space="0" w:color="auto"/>
          <w:bottom w:val="none" w:sz="0" w:space="0" w:color="auto"/>
          <w:insideH w:val="none" w:sz="0" w:space="0" w:color="auto"/>
        </w:tblBorders>
        <w:tblLook w:val="0600" w:firstRow="0" w:lastRow="0" w:firstColumn="0" w:lastColumn="0" w:noHBand="1" w:noVBand="1"/>
      </w:tblPr>
      <w:tblGrid>
        <w:gridCol w:w="3960"/>
        <w:gridCol w:w="900"/>
        <w:gridCol w:w="4500"/>
      </w:tblGrid>
      <w:tr w:rsidR="008A37A5" w:rsidRPr="008A37A5" w14:paraId="12BC38D9" w14:textId="77777777" w:rsidTr="00F97EBD">
        <w:tc>
          <w:tcPr>
            <w:tcW w:w="3960" w:type="dxa"/>
            <w:tcBorders>
              <w:bottom w:val="single" w:sz="4" w:space="0" w:color="auto"/>
            </w:tcBorders>
          </w:tcPr>
          <w:p w14:paraId="2F01EEF1" w14:textId="77777777" w:rsidR="008A37A5" w:rsidRPr="008A37A5" w:rsidRDefault="008A37A5" w:rsidP="008A37A5"/>
        </w:tc>
        <w:tc>
          <w:tcPr>
            <w:tcW w:w="900" w:type="dxa"/>
          </w:tcPr>
          <w:p w14:paraId="783851AA" w14:textId="77777777" w:rsidR="008A37A5" w:rsidRPr="008A37A5" w:rsidRDefault="008A37A5" w:rsidP="008A37A5"/>
        </w:tc>
        <w:tc>
          <w:tcPr>
            <w:tcW w:w="4500" w:type="dxa"/>
            <w:tcBorders>
              <w:bottom w:val="single" w:sz="4" w:space="0" w:color="auto"/>
            </w:tcBorders>
          </w:tcPr>
          <w:p w14:paraId="23A1D6DA" w14:textId="77777777" w:rsidR="008A37A5" w:rsidRPr="008A37A5" w:rsidRDefault="008A37A5" w:rsidP="008A37A5"/>
        </w:tc>
      </w:tr>
      <w:tr w:rsidR="008A37A5" w:rsidRPr="008A37A5" w14:paraId="632D3DDC" w14:textId="77777777" w:rsidTr="00F97EBD">
        <w:tc>
          <w:tcPr>
            <w:tcW w:w="3960" w:type="dxa"/>
            <w:tcBorders>
              <w:top w:val="single" w:sz="4" w:space="0" w:color="auto"/>
            </w:tcBorders>
          </w:tcPr>
          <w:p w14:paraId="59DD9387" w14:textId="77777777" w:rsidR="008A37A5" w:rsidRPr="008A37A5" w:rsidRDefault="008A37A5" w:rsidP="008A37A5">
            <w:r w:rsidRPr="008A37A5">
              <w:t>Signature of cardholder</w:t>
            </w:r>
          </w:p>
        </w:tc>
        <w:tc>
          <w:tcPr>
            <w:tcW w:w="900" w:type="dxa"/>
          </w:tcPr>
          <w:p w14:paraId="247192D0" w14:textId="77777777" w:rsidR="008A37A5" w:rsidRPr="008A37A5" w:rsidRDefault="008A37A5" w:rsidP="008A37A5"/>
        </w:tc>
        <w:tc>
          <w:tcPr>
            <w:tcW w:w="4500" w:type="dxa"/>
            <w:tcBorders>
              <w:top w:val="single" w:sz="4" w:space="0" w:color="auto"/>
            </w:tcBorders>
          </w:tcPr>
          <w:p w14:paraId="3419F733" w14:textId="77777777" w:rsidR="008A37A5" w:rsidRPr="008A37A5" w:rsidRDefault="006F0D5C" w:rsidP="008A37A5">
            <w:r>
              <w:t>Signature of A</w:t>
            </w:r>
            <w:r w:rsidR="008A37A5" w:rsidRPr="008A37A5">
              <w:t>gency program administrator</w:t>
            </w:r>
          </w:p>
        </w:tc>
      </w:tr>
      <w:tr w:rsidR="008A37A5" w:rsidRPr="008A37A5" w14:paraId="02C77095" w14:textId="77777777" w:rsidTr="00F97EBD">
        <w:tc>
          <w:tcPr>
            <w:tcW w:w="3960" w:type="dxa"/>
            <w:tcBorders>
              <w:bottom w:val="single" w:sz="4" w:space="0" w:color="auto"/>
            </w:tcBorders>
          </w:tcPr>
          <w:p w14:paraId="59AB150F" w14:textId="77777777" w:rsidR="008A37A5" w:rsidRPr="008A37A5" w:rsidRDefault="008A37A5" w:rsidP="008A37A5"/>
        </w:tc>
        <w:tc>
          <w:tcPr>
            <w:tcW w:w="900" w:type="dxa"/>
          </w:tcPr>
          <w:p w14:paraId="1353CF1F" w14:textId="77777777" w:rsidR="008A37A5" w:rsidRPr="008A37A5" w:rsidRDefault="008A37A5" w:rsidP="008A37A5"/>
        </w:tc>
        <w:tc>
          <w:tcPr>
            <w:tcW w:w="4500" w:type="dxa"/>
            <w:tcBorders>
              <w:bottom w:val="single" w:sz="4" w:space="0" w:color="auto"/>
            </w:tcBorders>
          </w:tcPr>
          <w:p w14:paraId="113D969B" w14:textId="77777777" w:rsidR="008A37A5" w:rsidRPr="008A37A5" w:rsidRDefault="008A37A5" w:rsidP="008A37A5"/>
        </w:tc>
      </w:tr>
      <w:tr w:rsidR="008A37A5" w:rsidRPr="008A37A5" w14:paraId="02C97CB6" w14:textId="77777777" w:rsidTr="00F97EBD">
        <w:tc>
          <w:tcPr>
            <w:tcW w:w="3960" w:type="dxa"/>
            <w:tcBorders>
              <w:top w:val="single" w:sz="4" w:space="0" w:color="auto"/>
            </w:tcBorders>
          </w:tcPr>
          <w:p w14:paraId="3836C76A" w14:textId="77777777" w:rsidR="008A37A5" w:rsidRPr="008A37A5" w:rsidRDefault="008A37A5" w:rsidP="008A37A5">
            <w:r w:rsidRPr="008A37A5">
              <w:t>Name of cardholder</w:t>
            </w:r>
          </w:p>
        </w:tc>
        <w:tc>
          <w:tcPr>
            <w:tcW w:w="900" w:type="dxa"/>
          </w:tcPr>
          <w:p w14:paraId="288D0BB2" w14:textId="77777777" w:rsidR="008A37A5" w:rsidRPr="008A37A5" w:rsidRDefault="008A37A5" w:rsidP="008A37A5"/>
        </w:tc>
        <w:tc>
          <w:tcPr>
            <w:tcW w:w="4500" w:type="dxa"/>
            <w:tcBorders>
              <w:top w:val="single" w:sz="4" w:space="0" w:color="auto"/>
            </w:tcBorders>
          </w:tcPr>
          <w:p w14:paraId="46068282" w14:textId="77777777" w:rsidR="008A37A5" w:rsidRPr="008A37A5" w:rsidRDefault="006F0D5C" w:rsidP="008A37A5">
            <w:r>
              <w:t>Name of A</w:t>
            </w:r>
            <w:r w:rsidR="008A37A5" w:rsidRPr="008A37A5">
              <w:t>gency program administrator</w:t>
            </w:r>
          </w:p>
        </w:tc>
      </w:tr>
      <w:tr w:rsidR="008A37A5" w:rsidRPr="008A37A5" w14:paraId="2D95F176" w14:textId="77777777" w:rsidTr="00F97EBD">
        <w:tc>
          <w:tcPr>
            <w:tcW w:w="3960" w:type="dxa"/>
            <w:tcBorders>
              <w:bottom w:val="single" w:sz="4" w:space="0" w:color="auto"/>
            </w:tcBorders>
          </w:tcPr>
          <w:p w14:paraId="06C21089" w14:textId="77777777" w:rsidR="008A37A5" w:rsidRPr="008A37A5" w:rsidRDefault="008A37A5" w:rsidP="008A37A5"/>
        </w:tc>
        <w:tc>
          <w:tcPr>
            <w:tcW w:w="900" w:type="dxa"/>
          </w:tcPr>
          <w:p w14:paraId="5E011703" w14:textId="77777777" w:rsidR="008A37A5" w:rsidRPr="008A37A5" w:rsidRDefault="008A37A5" w:rsidP="008A37A5"/>
        </w:tc>
        <w:tc>
          <w:tcPr>
            <w:tcW w:w="4500" w:type="dxa"/>
            <w:tcBorders>
              <w:bottom w:val="single" w:sz="4" w:space="0" w:color="auto"/>
            </w:tcBorders>
          </w:tcPr>
          <w:p w14:paraId="6ADCA43F" w14:textId="77777777" w:rsidR="008A37A5" w:rsidRPr="008A37A5" w:rsidRDefault="008A37A5" w:rsidP="008A37A5"/>
        </w:tc>
      </w:tr>
      <w:tr w:rsidR="008A37A5" w:rsidRPr="008A37A5" w14:paraId="44EA9D00" w14:textId="77777777" w:rsidTr="00F97EBD">
        <w:tc>
          <w:tcPr>
            <w:tcW w:w="3960" w:type="dxa"/>
            <w:tcBorders>
              <w:top w:val="single" w:sz="4" w:space="0" w:color="auto"/>
            </w:tcBorders>
          </w:tcPr>
          <w:p w14:paraId="6C5CF6FC" w14:textId="77777777" w:rsidR="008A37A5" w:rsidRPr="008A37A5" w:rsidRDefault="008A37A5" w:rsidP="008A37A5">
            <w:r w:rsidRPr="008A37A5">
              <w:t>Date</w:t>
            </w:r>
          </w:p>
        </w:tc>
        <w:tc>
          <w:tcPr>
            <w:tcW w:w="900" w:type="dxa"/>
          </w:tcPr>
          <w:p w14:paraId="457C0773" w14:textId="77777777" w:rsidR="008A37A5" w:rsidRPr="008A37A5" w:rsidRDefault="008A37A5" w:rsidP="008A37A5"/>
        </w:tc>
        <w:tc>
          <w:tcPr>
            <w:tcW w:w="4500" w:type="dxa"/>
            <w:tcBorders>
              <w:top w:val="single" w:sz="4" w:space="0" w:color="auto"/>
            </w:tcBorders>
          </w:tcPr>
          <w:p w14:paraId="4236A1D1" w14:textId="77777777" w:rsidR="008A37A5" w:rsidRPr="008A37A5" w:rsidRDefault="008A37A5" w:rsidP="008A37A5">
            <w:r w:rsidRPr="008A37A5">
              <w:t>Date</w:t>
            </w:r>
          </w:p>
        </w:tc>
      </w:tr>
    </w:tbl>
    <w:p w14:paraId="7795ED2D" w14:textId="77777777" w:rsidR="008A37A5" w:rsidRDefault="008A37A5" w:rsidP="000501DE"/>
    <w:p w14:paraId="4DB8D1EE" w14:textId="77777777" w:rsidR="000501DE" w:rsidRDefault="000501DE" w:rsidP="000501DE"/>
    <w:p w14:paraId="465A7798" w14:textId="77777777" w:rsidR="000501DE" w:rsidRDefault="000501DE" w:rsidP="00F97EBD">
      <w:pPr>
        <w:ind w:left="504"/>
        <w:sectPr w:rsidR="000501DE" w:rsidSect="007F1A5E">
          <w:pgSz w:w="11906" w:h="16838"/>
          <w:pgMar w:top="1440" w:right="1008" w:bottom="1440" w:left="1008" w:header="706" w:footer="389" w:gutter="0"/>
          <w:cols w:space="708"/>
          <w:titlePg/>
          <w:docGrid w:linePitch="360"/>
        </w:sectPr>
      </w:pPr>
    </w:p>
    <w:p w14:paraId="526AEA6E" w14:textId="10774A65" w:rsidR="00FF4D93" w:rsidRPr="00164D44" w:rsidRDefault="00FF4D93" w:rsidP="00FF4D93">
      <w:pPr>
        <w:pStyle w:val="GuidanceTitle"/>
      </w:pPr>
      <w:bookmarkStart w:id="33" w:name="Guidance_3_7"/>
      <w:r w:rsidRPr="00164D44">
        <w:lastRenderedPageBreak/>
        <w:t>Guidance 3.</w:t>
      </w:r>
      <w:r>
        <w:t>7</w:t>
      </w:r>
      <w:bookmarkEnd w:id="33"/>
      <w:r w:rsidR="008A5429">
        <w:t xml:space="preserve"> </w:t>
      </w:r>
      <w:r w:rsidRPr="00164D44">
        <w:t>– Managing specific risk</w:t>
      </w:r>
      <w:r>
        <w:t>s</w:t>
      </w:r>
      <w:r w:rsidRPr="00164D44">
        <w:t xml:space="preserve"> – business continuity planning, indemnities and immunities</w:t>
      </w:r>
    </w:p>
    <w:p w14:paraId="6AB06968" w14:textId="77777777" w:rsidR="00FF4D93" w:rsidRPr="00164D44" w:rsidRDefault="00FF4D93" w:rsidP="00FF4D93">
      <w:pPr>
        <w:pStyle w:val="Spacer"/>
      </w:pPr>
    </w:p>
    <w:tbl>
      <w:tblPr>
        <w:tblStyle w:val="Table126"/>
        <w:tblW w:w="9900" w:type="dxa"/>
        <w:tblLook w:val="0080" w:firstRow="0" w:lastRow="0" w:firstColumn="1" w:lastColumn="0" w:noHBand="0" w:noVBand="0"/>
      </w:tblPr>
      <w:tblGrid>
        <w:gridCol w:w="3119"/>
        <w:gridCol w:w="6781"/>
      </w:tblGrid>
      <w:tr w:rsidR="00FF4D93" w:rsidRPr="00164D44" w14:paraId="313BBA41" w14:textId="77777777" w:rsidTr="00564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CC8A6C2" w14:textId="77777777" w:rsidR="00FF4D93" w:rsidRPr="00164D44" w:rsidRDefault="00FF4D93" w:rsidP="005648BA">
            <w:pPr>
              <w:suppressAutoHyphens/>
              <w:autoSpaceDN w:val="0"/>
              <w:spacing w:before="40" w:after="40" w:line="260" w:lineRule="atLeast"/>
              <w:textAlignment w:val="baseline"/>
              <w:rPr>
                <w:b/>
                <w:sz w:val="18"/>
                <w:szCs w:val="20"/>
              </w:rPr>
            </w:pPr>
            <w:r w:rsidRPr="00164D44">
              <w:rPr>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08B20A24" w14:textId="77777777" w:rsidR="00FF4D93" w:rsidRPr="00164D44" w:rsidRDefault="00FF4D93" w:rsidP="005648BA">
            <w:pPr>
              <w:suppressAutoHyphens/>
              <w:autoSpaceDN w:val="0"/>
              <w:spacing w:before="40" w:after="40" w:line="260" w:lineRule="atLeast"/>
              <w:textAlignment w:val="baseline"/>
              <w:rPr>
                <w:sz w:val="18"/>
                <w:szCs w:val="20"/>
              </w:rPr>
            </w:pPr>
            <w:r w:rsidRPr="00164D44">
              <w:rPr>
                <w:sz w:val="18"/>
                <w:szCs w:val="20"/>
              </w:rPr>
              <w:t>Provides guidance on managing risks, business continuity planning, insurance, indemnity and immunity considerations.</w:t>
            </w:r>
          </w:p>
        </w:tc>
      </w:tr>
      <w:tr w:rsidR="00FF4D93" w:rsidRPr="00164D44" w14:paraId="53EF8F90" w14:textId="77777777" w:rsidTr="005648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B652BC6" w14:textId="77777777" w:rsidR="00FF4D93" w:rsidRPr="00164D44" w:rsidRDefault="00FF4D93" w:rsidP="005648BA">
            <w:pPr>
              <w:suppressAutoHyphens/>
              <w:autoSpaceDN w:val="0"/>
              <w:spacing w:before="40" w:after="40" w:line="260" w:lineRule="atLeast"/>
              <w:textAlignment w:val="baseline"/>
              <w:rPr>
                <w:b/>
                <w:sz w:val="18"/>
                <w:szCs w:val="20"/>
              </w:rPr>
            </w:pPr>
            <w:r w:rsidRPr="00164D44">
              <w:rPr>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534D34CD" w14:textId="77777777" w:rsidR="00FF4D93" w:rsidRPr="00164D44" w:rsidRDefault="00FF4D93" w:rsidP="005648BA">
            <w:pPr>
              <w:suppressAutoHyphens/>
              <w:autoSpaceDN w:val="0"/>
              <w:spacing w:before="40" w:after="40" w:line="260" w:lineRule="atLeast"/>
              <w:textAlignment w:val="baseline"/>
              <w:rPr>
                <w:sz w:val="18"/>
                <w:szCs w:val="20"/>
              </w:rPr>
            </w:pPr>
            <w:r w:rsidRPr="00164D44">
              <w:rPr>
                <w:sz w:val="18"/>
                <w:szCs w:val="20"/>
              </w:rPr>
              <w:t>1 July 2016</w:t>
            </w:r>
          </w:p>
        </w:tc>
      </w:tr>
      <w:tr w:rsidR="00FF4D93" w:rsidRPr="00164D44" w14:paraId="75ED5089" w14:textId="77777777" w:rsidTr="00564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8636127" w14:textId="77777777" w:rsidR="00FF4D93" w:rsidRPr="00164D44" w:rsidRDefault="00FF4D93" w:rsidP="005648BA">
            <w:pPr>
              <w:suppressAutoHyphens/>
              <w:autoSpaceDN w:val="0"/>
              <w:spacing w:before="40" w:after="40" w:line="260" w:lineRule="atLeast"/>
              <w:textAlignment w:val="baseline"/>
              <w:rPr>
                <w:b/>
                <w:sz w:val="18"/>
                <w:szCs w:val="20"/>
              </w:rPr>
            </w:pPr>
            <w:r w:rsidRPr="00164D44">
              <w:rPr>
                <w:b/>
                <w:sz w:val="18"/>
                <w:szCs w:val="20"/>
              </w:rPr>
              <w:t>Relevant Direction</w:t>
            </w:r>
            <w:r>
              <w:rPr>
                <w:b/>
                <w:sz w:val="18"/>
                <w:szCs w:val="20"/>
              </w:rPr>
              <w:t>s</w:t>
            </w:r>
          </w:p>
        </w:tc>
        <w:tc>
          <w:tcPr>
            <w:cnfStyle w:val="000010000000" w:firstRow="0" w:lastRow="0" w:firstColumn="0" w:lastColumn="0" w:oddVBand="1" w:evenVBand="0" w:oddHBand="0" w:evenHBand="0" w:firstRowFirstColumn="0" w:firstRowLastColumn="0" w:lastRowFirstColumn="0" w:lastRowLastColumn="0"/>
            <w:tcW w:w="6781" w:type="dxa"/>
          </w:tcPr>
          <w:p w14:paraId="0792E6D8" w14:textId="3EF779FF" w:rsidR="00FF4D93" w:rsidRPr="00164D44" w:rsidRDefault="00FF4D93" w:rsidP="005648BA">
            <w:pPr>
              <w:suppressAutoHyphens/>
              <w:autoSpaceDN w:val="0"/>
              <w:spacing w:before="40" w:after="40" w:line="240" w:lineRule="atLeast"/>
              <w:textAlignment w:val="baseline"/>
              <w:rPr>
                <w:rFonts w:cs="Times New Roman"/>
                <w:sz w:val="18"/>
                <w:szCs w:val="20"/>
              </w:rPr>
            </w:pPr>
            <w:hyperlink r:id="rId218" w:anchor="standing-directions-2018" w:history="1">
              <w:r w:rsidRPr="00C769E9">
                <w:rPr>
                  <w:rStyle w:val="Hyperlink"/>
                  <w:rFonts w:cs="Times New Roman"/>
                  <w:sz w:val="18"/>
                  <w:szCs w:val="20"/>
                </w:rPr>
                <w:t>3.2 Oversight and assurance</w:t>
              </w:r>
            </w:hyperlink>
          </w:p>
          <w:p w14:paraId="29AE9F7F" w14:textId="1428784B" w:rsidR="00FF4D93" w:rsidRPr="00164D44" w:rsidRDefault="00FF4D93" w:rsidP="005648BA">
            <w:pPr>
              <w:suppressAutoHyphens/>
              <w:autoSpaceDN w:val="0"/>
              <w:spacing w:before="40" w:after="40" w:line="240" w:lineRule="atLeast"/>
              <w:textAlignment w:val="baseline"/>
              <w:rPr>
                <w:rFonts w:cs="Times New Roman"/>
                <w:sz w:val="18"/>
                <w:szCs w:val="20"/>
              </w:rPr>
            </w:pPr>
            <w:hyperlink r:id="rId219" w:anchor="standing-directions-2018" w:history="1">
              <w:r w:rsidRPr="00C769E9">
                <w:rPr>
                  <w:rStyle w:val="Hyperlink"/>
                  <w:rFonts w:cs="Times New Roman"/>
                  <w:sz w:val="18"/>
                  <w:szCs w:val="20"/>
                </w:rPr>
                <w:t>3.4 Internal control system</w:t>
              </w:r>
            </w:hyperlink>
          </w:p>
          <w:p w14:paraId="2B29995D" w14:textId="42A92822" w:rsidR="00FF4D93" w:rsidRPr="00164D44" w:rsidRDefault="00FF4D93" w:rsidP="005648BA">
            <w:pPr>
              <w:suppressAutoHyphens/>
              <w:autoSpaceDN w:val="0"/>
              <w:spacing w:before="40" w:after="40" w:line="240" w:lineRule="atLeast"/>
              <w:textAlignment w:val="baseline"/>
              <w:rPr>
                <w:rFonts w:cs="Times New Roman"/>
                <w:sz w:val="18"/>
                <w:szCs w:val="20"/>
              </w:rPr>
            </w:pPr>
            <w:hyperlink r:id="rId220" w:anchor="standing-directions-2018" w:history="1">
              <w:r w:rsidRPr="00C769E9">
                <w:rPr>
                  <w:rStyle w:val="Hyperlink"/>
                  <w:rFonts w:cs="Times New Roman"/>
                  <w:sz w:val="18"/>
                  <w:szCs w:val="20"/>
                </w:rPr>
                <w:t>3.7 Managing risk</w:t>
              </w:r>
            </w:hyperlink>
            <w:r w:rsidRPr="00164D44">
              <w:rPr>
                <w:rFonts w:cs="Times New Roman"/>
                <w:sz w:val="18"/>
                <w:szCs w:val="20"/>
              </w:rPr>
              <w:t xml:space="preserve"> </w:t>
            </w:r>
          </w:p>
        </w:tc>
      </w:tr>
      <w:tr w:rsidR="00FF4D93" w:rsidRPr="00164D44" w14:paraId="2797EE59" w14:textId="77777777" w:rsidTr="005648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C378A1D" w14:textId="77777777" w:rsidR="00FF4D93" w:rsidRPr="00164D44" w:rsidRDefault="00FF4D93" w:rsidP="005648BA">
            <w:pPr>
              <w:suppressAutoHyphens/>
              <w:autoSpaceDN w:val="0"/>
              <w:spacing w:before="40" w:after="40" w:line="260" w:lineRule="atLeast"/>
              <w:textAlignment w:val="baseline"/>
              <w:rPr>
                <w:b/>
                <w:sz w:val="18"/>
                <w:szCs w:val="20"/>
              </w:rPr>
            </w:pPr>
            <w:r w:rsidRPr="00164D44">
              <w:rPr>
                <w:b/>
                <w:sz w:val="18"/>
                <w:szCs w:val="20"/>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69BA3534" w14:textId="02AD34DB" w:rsidR="00FF4D93" w:rsidRPr="00164D44" w:rsidRDefault="00515507" w:rsidP="005648BA">
            <w:pPr>
              <w:suppressAutoHyphens/>
              <w:autoSpaceDN w:val="0"/>
              <w:spacing w:before="40" w:after="40" w:line="240" w:lineRule="atLeast"/>
              <w:textAlignment w:val="baseline"/>
              <w:rPr>
                <w:rFonts w:cs="Times New Roman"/>
                <w:sz w:val="18"/>
                <w:szCs w:val="20"/>
              </w:rPr>
            </w:pPr>
            <w:r>
              <w:rPr>
                <w:rFonts w:cs="Times New Roman"/>
                <w:bCs/>
                <w:sz w:val="18"/>
                <w:szCs w:val="20"/>
              </w:rPr>
              <w:t>1 May 2019</w:t>
            </w:r>
          </w:p>
        </w:tc>
      </w:tr>
    </w:tbl>
    <w:p w14:paraId="0A9F99BD" w14:textId="77777777" w:rsidR="00FF4D93" w:rsidRPr="00164D44" w:rsidRDefault="00FF4D93" w:rsidP="00FF4D93">
      <w:pPr>
        <w:pStyle w:val="Spacer"/>
      </w:pPr>
    </w:p>
    <w:p w14:paraId="27D98D20" w14:textId="77777777" w:rsidR="00FF4D93" w:rsidRPr="00553B06" w:rsidRDefault="00FF4D93" w:rsidP="00FF4D93">
      <w:pPr>
        <w:pStyle w:val="Heading1NoNum"/>
      </w:pPr>
      <w:r w:rsidRPr="00553B06">
        <w:t>Business continuity management</w:t>
      </w:r>
    </w:p>
    <w:p w14:paraId="4725FED1" w14:textId="643E28F8" w:rsidR="00247D44" w:rsidRPr="007B7B74" w:rsidRDefault="00FF4D93" w:rsidP="00247D44">
      <w:r w:rsidRPr="00164D44">
        <w:t>Business continuity management aims to support continuous operations before, during and after a significant business disruption</w:t>
      </w:r>
      <w:r w:rsidR="00247D44">
        <w:t xml:space="preserve"> or failure</w:t>
      </w:r>
      <w:r w:rsidRPr="00164D44">
        <w:t xml:space="preserve">. </w:t>
      </w:r>
      <w:r w:rsidR="000C35ED">
        <w:t xml:space="preserve">The applicable Australian standard is </w:t>
      </w:r>
      <w:r w:rsidR="000C35ED" w:rsidRPr="00AD1D84">
        <w:t xml:space="preserve">AS ISO 22301:2020 </w:t>
      </w:r>
      <w:r w:rsidR="000C35ED" w:rsidRPr="00AD1D84">
        <w:rPr>
          <w:i/>
          <w:iCs/>
        </w:rPr>
        <w:t xml:space="preserve">Security and resilience - Business continuity management systems </w:t>
      </w:r>
      <w:r w:rsidR="000C35ED">
        <w:rPr>
          <w:i/>
          <w:iCs/>
        </w:rPr>
        <w:t>–</w:t>
      </w:r>
      <w:r w:rsidR="000C35ED" w:rsidRPr="00AD1D84">
        <w:rPr>
          <w:i/>
          <w:iCs/>
        </w:rPr>
        <w:t xml:space="preserve"> Requirements</w:t>
      </w:r>
      <w:r w:rsidRPr="00164D44">
        <w:t>.</w:t>
      </w:r>
      <w:r w:rsidR="00247D44">
        <w:t xml:space="preserve"> This standard assists in implementing and maintaining effective business continuity management, plans, systems and processes to ensure a more effective response to and a quicker recovery from a business disruption or failure.</w:t>
      </w:r>
    </w:p>
    <w:p w14:paraId="27E5D8CD" w14:textId="4A7B8B2D" w:rsidR="00FF4D93" w:rsidRPr="00164D44" w:rsidRDefault="00FF4D93" w:rsidP="00FF4D93">
      <w:r w:rsidRPr="00164D44">
        <w:t>Further guidance on business continuity management is available:</w:t>
      </w:r>
    </w:p>
    <w:p w14:paraId="7058F0E4" w14:textId="617FBDDE" w:rsidR="007B7B74" w:rsidRDefault="007B7B74" w:rsidP="000B15FD">
      <w:pPr>
        <w:pStyle w:val="ListParagraph"/>
        <w:numPr>
          <w:ilvl w:val="0"/>
          <w:numId w:val="13"/>
        </w:numPr>
        <w:ind w:left="360"/>
      </w:pPr>
      <w:r>
        <w:t xml:space="preserve">Standards Australia </w:t>
      </w:r>
      <w:r w:rsidRPr="007B7B74">
        <w:t>–</w:t>
      </w:r>
      <w:r>
        <w:t xml:space="preserve"> AS ISO 22313:2020 </w:t>
      </w:r>
      <w:r w:rsidRPr="00247D44">
        <w:rPr>
          <w:i/>
          <w:iCs/>
        </w:rPr>
        <w:t>Security and resilience - Business continuity management systems - Guidance on the use of ISO 22301</w:t>
      </w:r>
      <w:r>
        <w:rPr>
          <w:rStyle w:val="FootnoteReference"/>
          <w:i/>
          <w:iCs/>
        </w:rPr>
        <w:footnoteReference w:id="53"/>
      </w:r>
    </w:p>
    <w:p w14:paraId="5662B73D" w14:textId="241C76D4" w:rsidR="008027F3" w:rsidRDefault="00C3721F" w:rsidP="000B15FD">
      <w:pPr>
        <w:pStyle w:val="ListParagraph"/>
        <w:numPr>
          <w:ilvl w:val="0"/>
          <w:numId w:val="13"/>
        </w:numPr>
        <w:ind w:left="360"/>
      </w:pPr>
      <w:r>
        <w:t xml:space="preserve">Business Continuity Institute </w:t>
      </w:r>
      <w:r w:rsidR="00C04E7C">
        <w:t>- Victoria and Tasmania – Education and training</w:t>
      </w:r>
      <w:r w:rsidR="00C04E7C">
        <w:rPr>
          <w:rStyle w:val="FootnoteReference"/>
        </w:rPr>
        <w:footnoteReference w:id="54"/>
      </w:r>
    </w:p>
    <w:p w14:paraId="27B2089E" w14:textId="0F0F3B4D" w:rsidR="0070660C" w:rsidRPr="00164D44" w:rsidRDefault="0070660C" w:rsidP="000B15FD">
      <w:pPr>
        <w:pStyle w:val="ListParagraph"/>
        <w:numPr>
          <w:ilvl w:val="0"/>
          <w:numId w:val="13"/>
        </w:numPr>
        <w:ind w:left="360"/>
      </w:pPr>
      <w:r>
        <w:t>Australian Government – When things don’t go to plan</w:t>
      </w:r>
      <w:r>
        <w:rPr>
          <w:rStyle w:val="FootnoteReference"/>
        </w:rPr>
        <w:footnoteReference w:id="55"/>
      </w:r>
    </w:p>
    <w:p w14:paraId="1CC9B946" w14:textId="77777777" w:rsidR="00FF4D93" w:rsidRPr="00164D44" w:rsidRDefault="00FF4D93" w:rsidP="00FF4D93">
      <w:pPr>
        <w:pStyle w:val="Heading1NoNum"/>
      </w:pPr>
      <w:r w:rsidRPr="00164D44">
        <w:t>Treasurer’s indemnity and statutory immunity</w:t>
      </w:r>
    </w:p>
    <w:p w14:paraId="01D568E8" w14:textId="77777777" w:rsidR="00FF4D93" w:rsidRPr="00164D44" w:rsidRDefault="00FF4D93" w:rsidP="00FF4D93">
      <w:r w:rsidRPr="00164D44">
        <w:t>An indemnity is an agreement to be responsible for the financial liability for all, or a part, of the loss or damage that another party may suffer. An indemnity creates a potential financial risk or liability that may be realised at a later date due to the occurrence or non</w:t>
      </w:r>
      <w:r>
        <w:noBreakHyphen/>
      </w:r>
      <w:r w:rsidRPr="00164D44">
        <w:t>occurrence of a specified event. Indemnities may be provided by the Government whereby it accepts responsibility for the liability that its employees or agents, or occasionally, another entity or person, may incur.</w:t>
      </w:r>
    </w:p>
    <w:p w14:paraId="732641C7" w14:textId="77777777" w:rsidR="00FF4D93" w:rsidRPr="00164D44" w:rsidRDefault="00FF4D93" w:rsidP="00FF4D93">
      <w:r w:rsidRPr="00164D44">
        <w:t xml:space="preserve">An immunity is a legislative provision that prevents action being taken against a person and confers protection from all forms of civil liability. </w:t>
      </w:r>
    </w:p>
    <w:p w14:paraId="1DB663A9" w14:textId="77777777" w:rsidR="00FF4D93" w:rsidRPr="00164D44" w:rsidRDefault="00FF4D93" w:rsidP="00FF4D93"/>
    <w:p w14:paraId="791A183E" w14:textId="77777777" w:rsidR="00FF4D93" w:rsidRDefault="00FF4D93" w:rsidP="00FF4D93">
      <w:pPr>
        <w:sectPr w:rsidR="00FF4D93" w:rsidSect="007F1A5E">
          <w:pgSz w:w="11906" w:h="16838"/>
          <w:pgMar w:top="1440" w:right="1008" w:bottom="1440" w:left="1008" w:header="706" w:footer="389" w:gutter="0"/>
          <w:cols w:space="708"/>
          <w:titlePg/>
          <w:docGrid w:linePitch="360"/>
        </w:sectPr>
      </w:pPr>
    </w:p>
    <w:p w14:paraId="7920F828" w14:textId="069604D8" w:rsidR="00FF4D93" w:rsidRPr="003C5D74" w:rsidRDefault="00FF4D93" w:rsidP="00FF4D93">
      <w:pPr>
        <w:pStyle w:val="GuidanceTitle"/>
      </w:pPr>
      <w:bookmarkStart w:id="34" w:name="Guidance_3_7_2"/>
      <w:r w:rsidRPr="003C5D74">
        <w:lastRenderedPageBreak/>
        <w:t>Guidance 3.7.2</w:t>
      </w:r>
      <w:bookmarkEnd w:id="34"/>
      <w:r w:rsidRPr="003C5D74">
        <w:t xml:space="preserve"> – </w:t>
      </w:r>
      <w:r w:rsidR="009921CE" w:rsidRPr="003C5D74">
        <w:t xml:space="preserve">Centralised </w:t>
      </w:r>
      <w:r w:rsidR="002A3487" w:rsidRPr="003C5D74">
        <w:t>Treasury</w:t>
      </w:r>
      <w:r w:rsidR="009921CE" w:rsidRPr="003C5D74">
        <w:t xml:space="preserve"> and Investment</w:t>
      </w:r>
      <w:r w:rsidR="002A3487" w:rsidRPr="003C5D74">
        <w:t xml:space="preserve"> </w:t>
      </w:r>
      <w:r w:rsidR="00463A02" w:rsidRPr="003C5D74">
        <w:t>management</w:t>
      </w:r>
      <w:r w:rsidR="002A3487" w:rsidRPr="003C5D74">
        <w:t xml:space="preserve">, including </w:t>
      </w:r>
      <w:r w:rsidRPr="003C5D74">
        <w:t>Central Banking System</w:t>
      </w:r>
    </w:p>
    <w:p w14:paraId="00DD1DA2" w14:textId="77777777" w:rsidR="00FF4D93" w:rsidRPr="003C5D74" w:rsidRDefault="00FF4D93" w:rsidP="00FF4D93">
      <w:pPr>
        <w:pStyle w:val="Spacer"/>
      </w:pPr>
    </w:p>
    <w:tbl>
      <w:tblPr>
        <w:tblStyle w:val="Table12"/>
        <w:tblW w:w="9900" w:type="dxa"/>
        <w:tblLook w:val="0080" w:firstRow="0" w:lastRow="0" w:firstColumn="1" w:lastColumn="0" w:noHBand="0" w:noVBand="0"/>
      </w:tblPr>
      <w:tblGrid>
        <w:gridCol w:w="3119"/>
        <w:gridCol w:w="6781"/>
      </w:tblGrid>
      <w:tr w:rsidR="00FF4D93" w:rsidRPr="003C5D74" w14:paraId="79CCDEB1" w14:textId="77777777" w:rsidTr="00564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DC67025" w14:textId="77777777" w:rsidR="00FF4D93" w:rsidRPr="003C5D74" w:rsidRDefault="00FF4D93" w:rsidP="005648BA">
            <w:pPr>
              <w:pStyle w:val="Tabletext"/>
              <w:rPr>
                <w:b/>
                <w:bCs/>
              </w:rPr>
            </w:pPr>
            <w:r w:rsidRPr="003C5D74">
              <w:rPr>
                <w:b/>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00C9204D" w14:textId="77777777" w:rsidR="00FF4D93" w:rsidRPr="003C5D74" w:rsidRDefault="00FF4D93" w:rsidP="005648BA">
            <w:pPr>
              <w:pStyle w:val="Tabletext"/>
              <w:rPr>
                <w:rFonts w:cstheme="minorHAnsi"/>
                <w:szCs w:val="18"/>
              </w:rPr>
            </w:pPr>
            <w:r w:rsidRPr="003C5D74">
              <w:rPr>
                <w:rFonts w:cstheme="minorHAnsi"/>
                <w:szCs w:val="18"/>
              </w:rPr>
              <w:t>Provides information on:</w:t>
            </w:r>
          </w:p>
          <w:p w14:paraId="4509CF83" w14:textId="77777777" w:rsidR="00A64039" w:rsidRPr="003C5D74" w:rsidRDefault="00A64039" w:rsidP="000B15FD">
            <w:pPr>
              <w:pStyle w:val="TableBullet"/>
              <w:numPr>
                <w:ilvl w:val="0"/>
                <w:numId w:val="21"/>
              </w:numPr>
            </w:pPr>
            <w:r w:rsidRPr="003C5D74">
              <w:t>the Centralised Treasury and Investment Policy</w:t>
            </w:r>
          </w:p>
          <w:p w14:paraId="246AB82C" w14:textId="77777777" w:rsidR="00CC7F24" w:rsidRPr="003C5D74" w:rsidRDefault="00A64039" w:rsidP="000B15FD">
            <w:pPr>
              <w:pStyle w:val="TableBullet"/>
              <w:numPr>
                <w:ilvl w:val="0"/>
                <w:numId w:val="21"/>
              </w:numPr>
            </w:pPr>
            <w:r w:rsidRPr="003C5D74">
              <w:t>the Central banking System and</w:t>
            </w:r>
            <w:r w:rsidR="00CC7F24" w:rsidRPr="003C5D74">
              <w:t xml:space="preserve"> exceptions;</w:t>
            </w:r>
          </w:p>
          <w:p w14:paraId="3EE8D548" w14:textId="3743E548" w:rsidR="00FF4D93" w:rsidRPr="003C5D74" w:rsidRDefault="00FF4D93" w:rsidP="000B15FD">
            <w:pPr>
              <w:pStyle w:val="TableBullet"/>
              <w:numPr>
                <w:ilvl w:val="0"/>
                <w:numId w:val="21"/>
              </w:numPr>
            </w:pPr>
            <w:r w:rsidRPr="003C5D74">
              <w:t>ex</w:t>
            </w:r>
            <w:r w:rsidR="008A28FC" w:rsidRPr="003C5D74">
              <w:t>em</w:t>
            </w:r>
            <w:r w:rsidRPr="003C5D74">
              <w:t xml:space="preserve">ptions </w:t>
            </w:r>
            <w:r w:rsidR="008A28FC" w:rsidRPr="003C5D74">
              <w:t>provid</w:t>
            </w:r>
            <w:r w:rsidRPr="003C5D74">
              <w:t xml:space="preserve">ed in </w:t>
            </w:r>
            <w:hyperlink r:id="rId221" w:anchor="standing-directions-2018" w:history="1">
              <w:r w:rsidRPr="00176BC3">
                <w:rPr>
                  <w:rStyle w:val="Hyperlink"/>
                </w:rPr>
                <w:t>Directions 3.7.2.1, 1.2.1 and 1.2.2</w:t>
              </w:r>
            </w:hyperlink>
            <w:r w:rsidRPr="003C5D74">
              <w:t>;</w:t>
            </w:r>
          </w:p>
          <w:p w14:paraId="054B048D" w14:textId="77777777" w:rsidR="00FF4D93" w:rsidRPr="003C5D74" w:rsidRDefault="00FF4D93" w:rsidP="000B15FD">
            <w:pPr>
              <w:pStyle w:val="TableBullet"/>
              <w:numPr>
                <w:ilvl w:val="0"/>
                <w:numId w:val="21"/>
              </w:numPr>
            </w:pPr>
            <w:r w:rsidRPr="003C5D74">
              <w:t xml:space="preserve">applying for an exemption; </w:t>
            </w:r>
          </w:p>
          <w:p w14:paraId="29FA488D" w14:textId="2D2832D2" w:rsidR="00FF4D93" w:rsidRPr="003C5D74" w:rsidRDefault="00FF4D93" w:rsidP="000B15FD">
            <w:pPr>
              <w:pStyle w:val="TableBullet"/>
              <w:numPr>
                <w:ilvl w:val="0"/>
                <w:numId w:val="21"/>
              </w:numPr>
            </w:pPr>
            <w:r w:rsidRPr="003C5D74">
              <w:t xml:space="preserve">the Treasury Corporation of Victoria and Victorian Funds Management Corporation; </w:t>
            </w:r>
            <w:r w:rsidR="00A64039" w:rsidRPr="003C5D74">
              <w:t>and</w:t>
            </w:r>
          </w:p>
          <w:p w14:paraId="7303F4A2" w14:textId="74F2E92F" w:rsidR="00FF4D93" w:rsidRPr="003C5D74" w:rsidRDefault="00FF4D93" w:rsidP="000B15FD">
            <w:pPr>
              <w:pStyle w:val="TableBullet"/>
              <w:numPr>
                <w:ilvl w:val="0"/>
                <w:numId w:val="21"/>
              </w:numPr>
            </w:pPr>
            <w:r w:rsidRPr="003C5D74">
              <w:t>the policy and process for borrowing</w:t>
            </w:r>
            <w:r w:rsidR="00CC7F24" w:rsidRPr="003C5D74">
              <w:t xml:space="preserve">. </w:t>
            </w:r>
          </w:p>
        </w:tc>
      </w:tr>
      <w:tr w:rsidR="00FF4D93" w:rsidRPr="003C5D74" w14:paraId="3FE5579D" w14:textId="77777777" w:rsidTr="005648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388162D" w14:textId="77777777" w:rsidR="00FF4D93" w:rsidRPr="003C5D74" w:rsidRDefault="00FF4D93" w:rsidP="005648BA">
            <w:pPr>
              <w:pStyle w:val="Tabletext"/>
              <w:rPr>
                <w:b/>
              </w:rPr>
            </w:pPr>
            <w:r w:rsidRPr="003C5D74">
              <w:rPr>
                <w:b/>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56C78926" w14:textId="77777777" w:rsidR="00FF4D93" w:rsidRPr="003C5D74" w:rsidRDefault="00FF4D93" w:rsidP="005648BA">
            <w:pPr>
              <w:pStyle w:val="Tabletext"/>
              <w:rPr>
                <w:szCs w:val="18"/>
              </w:rPr>
            </w:pPr>
            <w:r w:rsidRPr="003C5D74">
              <w:rPr>
                <w:szCs w:val="18"/>
              </w:rPr>
              <w:t>1 July 2016</w:t>
            </w:r>
          </w:p>
        </w:tc>
      </w:tr>
      <w:tr w:rsidR="00FF4D93" w:rsidRPr="003C5D74" w14:paraId="2360D9AF" w14:textId="77777777" w:rsidTr="00564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C5EEF96" w14:textId="77777777" w:rsidR="00FF4D93" w:rsidRPr="003C5D74" w:rsidRDefault="00FF4D93" w:rsidP="005648BA">
            <w:pPr>
              <w:pStyle w:val="Tabletext"/>
              <w:rPr>
                <w:b/>
              </w:rPr>
            </w:pPr>
            <w:r w:rsidRPr="003C5D74">
              <w:rPr>
                <w:b/>
              </w:rPr>
              <w:t>Relevant Direction</w:t>
            </w:r>
          </w:p>
        </w:tc>
        <w:tc>
          <w:tcPr>
            <w:cnfStyle w:val="000010000000" w:firstRow="0" w:lastRow="0" w:firstColumn="0" w:lastColumn="0" w:oddVBand="1" w:evenVBand="0" w:oddHBand="0" w:evenHBand="0" w:firstRowFirstColumn="0" w:firstRowLastColumn="0" w:lastRowFirstColumn="0" w:lastRowLastColumn="0"/>
            <w:tcW w:w="6781" w:type="dxa"/>
          </w:tcPr>
          <w:p w14:paraId="411A2742" w14:textId="161B80B3" w:rsidR="00FF4D93" w:rsidRPr="003C5D74" w:rsidRDefault="00FF4D93" w:rsidP="005648BA">
            <w:pPr>
              <w:pStyle w:val="Tabletext"/>
              <w:rPr>
                <w:szCs w:val="18"/>
              </w:rPr>
            </w:pPr>
            <w:hyperlink r:id="rId222" w:anchor="standing-directions-2018" w:history="1">
              <w:r w:rsidRPr="003C5D74">
                <w:rPr>
                  <w:rStyle w:val="Hyperlink"/>
                  <w:szCs w:val="18"/>
                </w:rPr>
                <w:t>3.7.2.1 Borrowings, investments and financial arrangements</w:t>
              </w:r>
            </w:hyperlink>
          </w:p>
        </w:tc>
      </w:tr>
      <w:tr w:rsidR="00FF4D93" w:rsidRPr="003C5D74" w14:paraId="5300C6B9" w14:textId="77777777" w:rsidTr="005648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58BC5B8" w14:textId="77777777" w:rsidR="00FF4D93" w:rsidRPr="003C5D74" w:rsidRDefault="00FF4D93" w:rsidP="005648BA">
            <w:pPr>
              <w:pStyle w:val="Tabletext"/>
              <w:rPr>
                <w:b/>
              </w:rPr>
            </w:pPr>
            <w:r w:rsidRPr="003C5D74">
              <w:rPr>
                <w:b/>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6E2D180E" w14:textId="306F2ED3" w:rsidR="00FF4D93" w:rsidRPr="003C5D74" w:rsidRDefault="00023D2C" w:rsidP="005648BA">
            <w:pPr>
              <w:pStyle w:val="Tabletext"/>
              <w:rPr>
                <w:szCs w:val="18"/>
              </w:rPr>
            </w:pPr>
            <w:r>
              <w:rPr>
                <w:bCs w:val="0"/>
              </w:rPr>
              <w:t>12 August</w:t>
            </w:r>
            <w:r w:rsidR="00A004C4">
              <w:rPr>
                <w:bCs w:val="0"/>
              </w:rPr>
              <w:t xml:space="preserve"> 2022</w:t>
            </w:r>
          </w:p>
        </w:tc>
      </w:tr>
    </w:tbl>
    <w:p w14:paraId="5FD487F0" w14:textId="77777777" w:rsidR="00FF4D93" w:rsidRPr="003C5D74" w:rsidRDefault="00FF4D93" w:rsidP="004661D4">
      <w:pPr>
        <w:pStyle w:val="Spacer"/>
      </w:pPr>
    </w:p>
    <w:p w14:paraId="2CEFF27F" w14:textId="77777777" w:rsidR="00FF4D93" w:rsidRPr="00924EDE" w:rsidRDefault="00FF4D93" w:rsidP="00FF4D93">
      <w:pPr>
        <w:pStyle w:val="Heading1NoNum"/>
        <w:rPr>
          <w:sz w:val="20"/>
        </w:rPr>
      </w:pPr>
      <w:r w:rsidRPr="003C5D74">
        <w:t>Centralised Treasury and Investment Policy</w:t>
      </w:r>
      <w:r w:rsidRPr="003C5D74">
        <w:rPr>
          <w:sz w:val="20"/>
          <w:szCs w:val="20"/>
        </w:rPr>
        <w:t xml:space="preserve"> </w:t>
      </w:r>
    </w:p>
    <w:p w14:paraId="0C36B8CC" w14:textId="03B5E3A7" w:rsidR="00FF4D93" w:rsidRPr="0003333A" w:rsidRDefault="00FF4D93" w:rsidP="00FF4D93">
      <w:pPr>
        <w:spacing w:before="120" w:after="120" w:line="240" w:lineRule="atLeast"/>
        <w:ind w:left="284" w:hanging="284"/>
        <w:rPr>
          <w:iCs/>
          <w:szCs w:val="20"/>
          <w:lang w:val="en-GB"/>
        </w:rPr>
      </w:pPr>
      <w:r w:rsidRPr="003C5D74">
        <w:rPr>
          <w:iCs/>
          <w:szCs w:val="20"/>
          <w:lang w:val="en-GB"/>
        </w:rPr>
        <w:t xml:space="preserve">A </w:t>
      </w:r>
      <w:r w:rsidRPr="00176BC3">
        <w:t>Centralised Treasury and Investment Policy</w:t>
      </w:r>
      <w:r w:rsidR="000B42AC" w:rsidRPr="003C5D74">
        <w:rPr>
          <w:iCs/>
          <w:szCs w:val="20"/>
          <w:lang w:val="en-GB"/>
        </w:rPr>
        <w:t xml:space="preserve"> </w:t>
      </w:r>
      <w:r w:rsidRPr="003C5D74">
        <w:rPr>
          <w:iCs/>
          <w:szCs w:val="20"/>
          <w:lang w:val="en-GB"/>
        </w:rPr>
        <w:t xml:space="preserve">has been </w:t>
      </w:r>
      <w:r w:rsidR="00FE34E2" w:rsidRPr="003C5D74">
        <w:rPr>
          <w:iCs/>
          <w:szCs w:val="20"/>
          <w:lang w:val="en-GB"/>
        </w:rPr>
        <w:t>determined</w:t>
      </w:r>
      <w:r w:rsidRPr="003C5D74">
        <w:rPr>
          <w:iCs/>
          <w:szCs w:val="20"/>
          <w:lang w:val="en-GB"/>
        </w:rPr>
        <w:t xml:space="preserve"> by the Treasurer</w:t>
      </w:r>
      <w:r w:rsidRPr="00FC66A8">
        <w:rPr>
          <w:iCs/>
          <w:szCs w:val="20"/>
          <w:lang w:val="en-GB"/>
        </w:rPr>
        <w:t>.</w:t>
      </w:r>
    </w:p>
    <w:p w14:paraId="2A5C289A" w14:textId="746EEA39" w:rsidR="00FF4D93" w:rsidRPr="00450E9C" w:rsidRDefault="00FF4D93" w:rsidP="00FF4D93">
      <w:pPr>
        <w:spacing w:before="120" w:after="120" w:line="240" w:lineRule="atLeast"/>
        <w:ind w:left="284" w:hanging="284"/>
        <w:rPr>
          <w:iCs/>
          <w:szCs w:val="20"/>
          <w:lang w:val="en-GB"/>
        </w:rPr>
      </w:pPr>
      <w:r w:rsidRPr="00450E9C">
        <w:rPr>
          <w:iCs/>
          <w:szCs w:val="20"/>
          <w:lang w:val="en-GB"/>
        </w:rPr>
        <w:t xml:space="preserve">The </w:t>
      </w:r>
      <w:r w:rsidR="002327A4">
        <w:rPr>
          <w:iCs/>
          <w:szCs w:val="20"/>
          <w:lang w:val="en-GB"/>
        </w:rPr>
        <w:t>C</w:t>
      </w:r>
      <w:r w:rsidRPr="00450E9C">
        <w:rPr>
          <w:iCs/>
          <w:szCs w:val="20"/>
          <w:lang w:val="en-GB"/>
        </w:rPr>
        <w:t xml:space="preserve">entralised </w:t>
      </w:r>
      <w:r w:rsidR="002327A4">
        <w:rPr>
          <w:iCs/>
          <w:szCs w:val="20"/>
          <w:lang w:val="en-GB"/>
        </w:rPr>
        <w:t>T</w:t>
      </w:r>
      <w:r w:rsidRPr="00450E9C">
        <w:rPr>
          <w:iCs/>
          <w:szCs w:val="20"/>
          <w:lang w:val="en-GB"/>
        </w:rPr>
        <w:t xml:space="preserve">reasury and </w:t>
      </w:r>
      <w:r w:rsidR="002327A4">
        <w:rPr>
          <w:iCs/>
          <w:szCs w:val="20"/>
          <w:lang w:val="en-GB"/>
        </w:rPr>
        <w:t>I</w:t>
      </w:r>
      <w:r w:rsidRPr="00450E9C">
        <w:rPr>
          <w:iCs/>
          <w:szCs w:val="20"/>
          <w:lang w:val="en-GB"/>
        </w:rPr>
        <w:t xml:space="preserve">nvestment </w:t>
      </w:r>
      <w:r w:rsidR="002327A4">
        <w:rPr>
          <w:iCs/>
          <w:szCs w:val="20"/>
          <w:lang w:val="en-GB"/>
        </w:rPr>
        <w:t>P</w:t>
      </w:r>
      <w:r w:rsidRPr="00450E9C">
        <w:rPr>
          <w:iCs/>
          <w:szCs w:val="20"/>
          <w:lang w:val="en-GB"/>
        </w:rPr>
        <w:t>olicy creates significant benefits</w:t>
      </w:r>
      <w:r w:rsidR="00627DF2" w:rsidRPr="00450E9C">
        <w:rPr>
          <w:iCs/>
          <w:szCs w:val="20"/>
          <w:lang w:val="en-GB"/>
        </w:rPr>
        <w:t xml:space="preserve"> to the State by</w:t>
      </w:r>
      <w:r w:rsidRPr="00450E9C">
        <w:rPr>
          <w:iCs/>
          <w:szCs w:val="20"/>
          <w:lang w:val="en-GB"/>
        </w:rPr>
        <w:t>:</w:t>
      </w:r>
    </w:p>
    <w:p w14:paraId="218B7B7A" w14:textId="5C1140F5" w:rsidR="00FF4D93" w:rsidRPr="00450E9C" w:rsidRDefault="00FF4D93" w:rsidP="00CA6CEE">
      <w:pPr>
        <w:pStyle w:val="Bullet1"/>
      </w:pPr>
      <w:r w:rsidRPr="00450E9C">
        <w:t>provid</w:t>
      </w:r>
      <w:r w:rsidR="00627DF2" w:rsidRPr="00450E9C">
        <w:t>ing</w:t>
      </w:r>
      <w:r w:rsidRPr="00450E9C">
        <w:t xml:space="preserve"> the capacity </w:t>
      </w:r>
      <w:r w:rsidR="00627DF2" w:rsidRPr="00450E9C">
        <w:t xml:space="preserve">through the Central Banking System </w:t>
      </w:r>
      <w:r w:rsidRPr="00450E9C">
        <w:t xml:space="preserve">to net the State's borrowings prior to approaching financial markets, thus reducing </w:t>
      </w:r>
      <w:r w:rsidR="002F4F6F" w:rsidRPr="00450E9C">
        <w:t xml:space="preserve">net interest expense and </w:t>
      </w:r>
      <w:r w:rsidRPr="00450E9C">
        <w:t xml:space="preserve">overall </w:t>
      </w:r>
      <w:r w:rsidR="002F4F6F" w:rsidRPr="00450E9C">
        <w:t xml:space="preserve">external </w:t>
      </w:r>
      <w:r w:rsidRPr="00450E9C">
        <w:t>borrowing</w:t>
      </w:r>
      <w:r w:rsidR="002F4F6F" w:rsidRPr="00450E9C">
        <w:t>s</w:t>
      </w:r>
      <w:r w:rsidRPr="00450E9C">
        <w:t>;</w:t>
      </w:r>
    </w:p>
    <w:p w14:paraId="7F0CCC10" w14:textId="1CF5E108" w:rsidR="00FF4D93" w:rsidRPr="00450E9C" w:rsidRDefault="003A0991" w:rsidP="00CA6CEE">
      <w:pPr>
        <w:pStyle w:val="Bullet1"/>
      </w:pPr>
      <w:r w:rsidRPr="00450E9C">
        <w:t>centralising the borrowing and investment needs of the State and agencies</w:t>
      </w:r>
      <w:r w:rsidR="00627DF2" w:rsidRPr="00450E9C">
        <w:t xml:space="preserve"> </w:t>
      </w:r>
      <w:r w:rsidR="002327A4">
        <w:t>to</w:t>
      </w:r>
      <w:r w:rsidR="002327A4" w:rsidRPr="00450E9C">
        <w:t xml:space="preserve"> </w:t>
      </w:r>
      <w:r w:rsidR="00B4463C" w:rsidRPr="00450E9C">
        <w:t xml:space="preserve">establish </w:t>
      </w:r>
      <w:r w:rsidR="00FF4D93" w:rsidRPr="00450E9C">
        <w:t xml:space="preserve">economies of scale, which reduces execution and administration costs; </w:t>
      </w:r>
    </w:p>
    <w:p w14:paraId="28FD6C5D" w14:textId="1FC6A435" w:rsidR="00FF4D93" w:rsidRPr="00450E9C" w:rsidRDefault="00FF4D93" w:rsidP="00CA6CEE">
      <w:pPr>
        <w:pStyle w:val="Bullet1"/>
      </w:pPr>
      <w:r w:rsidRPr="00450E9C">
        <w:t>enabl</w:t>
      </w:r>
      <w:r w:rsidR="00627DF2" w:rsidRPr="00450E9C">
        <w:t>ing</w:t>
      </w:r>
      <w:r w:rsidRPr="00450E9C">
        <w:t xml:space="preserve"> the State's overall counterparty risk to be </w:t>
      </w:r>
      <w:r w:rsidR="002F4F6F" w:rsidRPr="00450E9C">
        <w:t xml:space="preserve">centrally </w:t>
      </w:r>
      <w:r w:rsidRPr="00450E9C">
        <w:t xml:space="preserve">monitored and managed; </w:t>
      </w:r>
    </w:p>
    <w:p w14:paraId="1EA0E3D2" w14:textId="0AC06EC0" w:rsidR="00947F14" w:rsidRPr="00450E9C" w:rsidRDefault="00FF4D93" w:rsidP="00CA6CEE">
      <w:pPr>
        <w:pStyle w:val="Bullet1"/>
      </w:pPr>
      <w:r w:rsidRPr="00450E9C">
        <w:t>improv</w:t>
      </w:r>
      <w:r w:rsidR="00627DF2" w:rsidRPr="00450E9C">
        <w:t>ing</w:t>
      </w:r>
      <w:r w:rsidRPr="00450E9C">
        <w:t xml:space="preserve"> prudential oversight of the State's overall borrowing and investment</w:t>
      </w:r>
      <w:r w:rsidR="003A0991" w:rsidRPr="00450E9C">
        <w:t xml:space="preserve"> exposures</w:t>
      </w:r>
      <w:r w:rsidRPr="00450E9C">
        <w:t>;</w:t>
      </w:r>
      <w:r w:rsidR="00947F14" w:rsidRPr="00450E9C">
        <w:t xml:space="preserve"> and</w:t>
      </w:r>
    </w:p>
    <w:p w14:paraId="0F073634" w14:textId="3340EE93" w:rsidR="00947F14" w:rsidRPr="00450E9C" w:rsidRDefault="002327A4" w:rsidP="0003333A">
      <w:pPr>
        <w:pStyle w:val="Bullet1"/>
      </w:pPr>
      <w:r>
        <w:t xml:space="preserve">centralising and reducing governance functions, </w:t>
      </w:r>
      <w:r w:rsidR="00627DF2" w:rsidRPr="00450E9C">
        <w:t>enabling</w:t>
      </w:r>
      <w:r w:rsidR="00FF4D93" w:rsidRPr="00450E9C">
        <w:t xml:space="preserve"> </w:t>
      </w:r>
      <w:r w:rsidR="00627DF2" w:rsidRPr="00450E9C">
        <w:t xml:space="preserve">cost savings and the development of expertise by </w:t>
      </w:r>
      <w:r w:rsidR="00FF4D93" w:rsidRPr="00450E9C">
        <w:t>concentration of appropriate financing and investment expertise</w:t>
      </w:r>
      <w:r w:rsidR="00627DF2" w:rsidRPr="00450E9C">
        <w:t xml:space="preserve"> into key agencies</w:t>
      </w:r>
      <w:r w:rsidR="00FF4D93" w:rsidRPr="00450E9C">
        <w:t xml:space="preserve">, rather than being spread thinly </w:t>
      </w:r>
      <w:r w:rsidR="00627DF2" w:rsidRPr="00450E9C">
        <w:t xml:space="preserve">and duplicated </w:t>
      </w:r>
      <w:r w:rsidR="00FF4D93" w:rsidRPr="00450E9C">
        <w:t xml:space="preserve">across a range of </w:t>
      </w:r>
      <w:r>
        <w:t>a</w:t>
      </w:r>
      <w:r w:rsidR="00FF4D93" w:rsidRPr="00450E9C">
        <w:t>gencies</w:t>
      </w:r>
      <w:r w:rsidR="00947F14" w:rsidRPr="00450E9C">
        <w:t>.</w:t>
      </w:r>
    </w:p>
    <w:p w14:paraId="2D662EDD" w14:textId="77777777" w:rsidR="00CC7F24" w:rsidRPr="007B5B2A" w:rsidRDefault="00EF6FE5" w:rsidP="00924EDE">
      <w:pPr>
        <w:pStyle w:val="Heading1NoNum"/>
        <w:spacing w:before="240" w:after="60"/>
      </w:pPr>
      <w:r w:rsidRPr="00FC66A8">
        <w:t>Central Banking System</w:t>
      </w:r>
      <w:r w:rsidR="00CC7F24" w:rsidRPr="007B5B2A">
        <w:t xml:space="preserve"> </w:t>
      </w:r>
    </w:p>
    <w:p w14:paraId="6FE51169" w14:textId="499897D1" w:rsidR="00372C74" w:rsidRDefault="001A51FD" w:rsidP="00153642">
      <w:r>
        <w:t xml:space="preserve">All </w:t>
      </w:r>
      <w:r w:rsidR="00FF4D93" w:rsidRPr="004B6593">
        <w:t>general government sector (GG)</w:t>
      </w:r>
      <w:r>
        <w:t xml:space="preserve"> departments and </w:t>
      </w:r>
      <w:r w:rsidR="00126D66" w:rsidRPr="004B6593">
        <w:t>agencies</w:t>
      </w:r>
      <w:r w:rsidR="006875F3">
        <w:t>,</w:t>
      </w:r>
      <w:r>
        <w:t xml:space="preserve"> </w:t>
      </w:r>
      <w:r w:rsidR="00072A73">
        <w:t>unless specifically exempted</w:t>
      </w:r>
      <w:r w:rsidR="006875F3">
        <w:t>,</w:t>
      </w:r>
      <w:r w:rsidR="00072A73">
        <w:t xml:space="preserve"> </w:t>
      </w:r>
      <w:r>
        <w:t xml:space="preserve">are </w:t>
      </w:r>
      <w:r w:rsidR="00EF6FE5" w:rsidRPr="004B6593">
        <w:t xml:space="preserve">required to hold Eligible Financial Assets and surplus cash holdings in a </w:t>
      </w:r>
      <w:r w:rsidR="00985720" w:rsidRPr="004B6593">
        <w:t xml:space="preserve">bank account contracted with a </w:t>
      </w:r>
      <w:r w:rsidR="003A0991">
        <w:t xml:space="preserve">Banking Services </w:t>
      </w:r>
      <w:r w:rsidR="009D123B" w:rsidRPr="004B6593">
        <w:t xml:space="preserve">SPC </w:t>
      </w:r>
      <w:r w:rsidR="00985720" w:rsidRPr="004B6593">
        <w:t xml:space="preserve">supplier, otherwise known as a </w:t>
      </w:r>
      <w:r w:rsidR="00EF6FE5" w:rsidRPr="004B6593">
        <w:t>Central Banking System (CBS)</w:t>
      </w:r>
      <w:r w:rsidR="009D123B" w:rsidRPr="004B6593">
        <w:t xml:space="preserve"> account</w:t>
      </w:r>
      <w:r w:rsidR="005A4304">
        <w:rPr>
          <w:rStyle w:val="FootnoteReference"/>
        </w:rPr>
        <w:footnoteReference w:id="56"/>
      </w:r>
      <w:r w:rsidR="00995ED6">
        <w:t xml:space="preserve">. </w:t>
      </w:r>
      <w:r w:rsidR="00985720" w:rsidRPr="004B6593">
        <w:t xml:space="preserve">This precludes </w:t>
      </w:r>
      <w:r>
        <w:t xml:space="preserve">departments and </w:t>
      </w:r>
      <w:r w:rsidR="00985720" w:rsidRPr="004B6593">
        <w:t>agencies from establishing</w:t>
      </w:r>
      <w:r w:rsidR="00985720" w:rsidRPr="00137171">
        <w:t xml:space="preserve"> transactional bank accounts </w:t>
      </w:r>
      <w:r w:rsidR="00985720" w:rsidRPr="004B6593">
        <w:t xml:space="preserve">outside of the </w:t>
      </w:r>
      <w:r w:rsidR="003A0991">
        <w:t xml:space="preserve">Banking Services </w:t>
      </w:r>
      <w:r w:rsidR="00985720" w:rsidRPr="004B6593">
        <w:t>SPC</w:t>
      </w:r>
      <w:r>
        <w:t xml:space="preserve"> (refer to Directions 3.7.2)</w:t>
      </w:r>
      <w:r w:rsidR="00985720" w:rsidRPr="00137171">
        <w:t>.</w:t>
      </w:r>
    </w:p>
    <w:p w14:paraId="0832C1D2" w14:textId="02ABD75A" w:rsidR="001A51FD" w:rsidRDefault="008F775C" w:rsidP="001A51FD">
      <w:pPr>
        <w:suppressAutoHyphens/>
        <w:autoSpaceDN w:val="0"/>
        <w:spacing w:before="120" w:after="120" w:line="240" w:lineRule="atLeast"/>
        <w:textAlignment w:val="baseline"/>
      </w:pPr>
      <w:r>
        <w:t>All p</w:t>
      </w:r>
      <w:r w:rsidR="001A51FD">
        <w:t xml:space="preserve">ublic </w:t>
      </w:r>
      <w:r>
        <w:t>n</w:t>
      </w:r>
      <w:r w:rsidR="001A51FD">
        <w:t xml:space="preserve">on-financial </w:t>
      </w:r>
      <w:r>
        <w:t>c</w:t>
      </w:r>
      <w:r w:rsidR="001A51FD">
        <w:t xml:space="preserve">orporations (PNFCs) and public financial corporations (PFCs), unless specifically exempted by the </w:t>
      </w:r>
      <w:r w:rsidR="008E0C1D">
        <w:t xml:space="preserve">Assistant </w:t>
      </w:r>
      <w:r w:rsidR="001A51FD">
        <w:t xml:space="preserve">Treasurer or by legislation, are </w:t>
      </w:r>
      <w:r w:rsidR="0026530B">
        <w:t xml:space="preserve">also </w:t>
      </w:r>
      <w:r w:rsidR="001A51FD">
        <w:t xml:space="preserve">required to hold </w:t>
      </w:r>
      <w:r w:rsidR="00072A73">
        <w:t xml:space="preserve">Eligible Financial Assets and surplus cash holdings in </w:t>
      </w:r>
      <w:r w:rsidR="001A51FD">
        <w:t xml:space="preserve">bank accounts in the CBS (refer to Directions 3.7.2). Compliance with Direction 3.7.2 is subject to the transitional arrangements set out in Direction 1.4.1. The specific requirements of Direction 3.7.2 (subject to Direction 1.4.1) in respect of the </w:t>
      </w:r>
      <w:r w:rsidR="001A51FD" w:rsidRPr="0024194F">
        <w:t xml:space="preserve">Banking and Financial Services State Purchase Contract </w:t>
      </w:r>
      <w:r w:rsidR="001A51FD">
        <w:t>prevail over any general requirements of the Victorian Government Purchasing Board with respect to the date by which entities must utilise State Purchase Contracts.</w:t>
      </w:r>
    </w:p>
    <w:p w14:paraId="30CF68A2" w14:textId="15713D03" w:rsidR="008F775C" w:rsidRDefault="00974859" w:rsidP="0003333A">
      <w:pPr>
        <w:pStyle w:val="Heading1NoNum"/>
        <w:spacing w:before="240" w:after="60"/>
      </w:pPr>
      <w:r>
        <w:t xml:space="preserve">Types of investments that can be held outside of the </w:t>
      </w:r>
      <w:r w:rsidR="008F775C">
        <w:t>Central Banking System</w:t>
      </w:r>
    </w:p>
    <w:p w14:paraId="4702A241" w14:textId="77777777" w:rsidR="00BA7A5D" w:rsidRPr="00C434D1" w:rsidRDefault="00BA7A5D" w:rsidP="00BA7A5D">
      <w:pPr>
        <w:pStyle w:val="Num1"/>
        <w:contextualSpacing w:val="0"/>
        <w:rPr>
          <w:rFonts w:eastAsia="+mn-ea"/>
        </w:rPr>
      </w:pPr>
      <w:r>
        <w:rPr>
          <w:rFonts w:eastAsia="+mn-ea"/>
        </w:rPr>
        <w:t xml:space="preserve">Standing Direction 3.7.2.2(a) requires </w:t>
      </w:r>
      <w:r w:rsidRPr="00C434D1">
        <w:rPr>
          <w:rFonts w:eastAsia="+mn-ea"/>
        </w:rPr>
        <w:t xml:space="preserve">all Financial Assets of </w:t>
      </w:r>
      <w:r>
        <w:rPr>
          <w:rFonts w:eastAsia="+mn-ea"/>
        </w:rPr>
        <w:t>agencies to be</w:t>
      </w:r>
      <w:r w:rsidRPr="00C434D1">
        <w:rPr>
          <w:rFonts w:eastAsia="+mn-ea"/>
        </w:rPr>
        <w:t xml:space="preserve"> deposited into </w:t>
      </w:r>
      <w:r>
        <w:rPr>
          <w:rFonts w:eastAsia="+mn-ea"/>
        </w:rPr>
        <w:t xml:space="preserve">the CBS </w:t>
      </w:r>
      <w:r w:rsidRPr="00C434D1">
        <w:rPr>
          <w:rFonts w:eastAsia="+mn-ea"/>
        </w:rPr>
        <w:t xml:space="preserve">except: </w:t>
      </w:r>
    </w:p>
    <w:p w14:paraId="4B1771E7" w14:textId="77777777" w:rsidR="00BA7A5D" w:rsidRDefault="00BA7A5D" w:rsidP="007B0FE1">
      <w:pPr>
        <w:pStyle w:val="ListParagraph"/>
        <w:numPr>
          <w:ilvl w:val="0"/>
          <w:numId w:val="125"/>
        </w:numPr>
        <w:rPr>
          <w:rFonts w:eastAsia="+mn-ea"/>
        </w:rPr>
      </w:pPr>
      <w:r w:rsidRPr="00C434D1">
        <w:rPr>
          <w:rFonts w:eastAsia="+mn-ea"/>
        </w:rPr>
        <w:t>notes and coins;</w:t>
      </w:r>
    </w:p>
    <w:p w14:paraId="5D798009" w14:textId="77777777" w:rsidR="00BA7A5D" w:rsidRDefault="00BA7A5D" w:rsidP="007B0FE1">
      <w:pPr>
        <w:pStyle w:val="ListParagraph"/>
        <w:numPr>
          <w:ilvl w:val="0"/>
          <w:numId w:val="125"/>
        </w:numPr>
        <w:rPr>
          <w:rFonts w:eastAsia="+mn-ea"/>
        </w:rPr>
      </w:pPr>
      <w:r w:rsidRPr="00C434D1">
        <w:rPr>
          <w:rFonts w:eastAsia="+mn-ea"/>
        </w:rPr>
        <w:t>Third Party Funds</w:t>
      </w:r>
      <w:r>
        <w:rPr>
          <w:rFonts w:eastAsia="+mn-ea"/>
        </w:rPr>
        <w:t>;</w:t>
      </w:r>
    </w:p>
    <w:p w14:paraId="1931C04C" w14:textId="77777777" w:rsidR="00BA7A5D" w:rsidRDefault="00BA7A5D" w:rsidP="007B0FE1">
      <w:pPr>
        <w:pStyle w:val="ListParagraph"/>
        <w:numPr>
          <w:ilvl w:val="0"/>
          <w:numId w:val="125"/>
        </w:numPr>
        <w:rPr>
          <w:rFonts w:eastAsia="+mn-ea"/>
        </w:rPr>
      </w:pPr>
      <w:r w:rsidRPr="00C434D1">
        <w:rPr>
          <w:rFonts w:eastAsia="+mn-ea"/>
        </w:rPr>
        <w:lastRenderedPageBreak/>
        <w:t>Non-Government Source Funds, other than Own Source Revenue;</w:t>
      </w:r>
    </w:p>
    <w:p w14:paraId="24AAF416" w14:textId="77777777" w:rsidR="00BA7A5D" w:rsidRDefault="00BA7A5D" w:rsidP="007B0FE1">
      <w:pPr>
        <w:pStyle w:val="ListParagraph"/>
        <w:numPr>
          <w:ilvl w:val="0"/>
          <w:numId w:val="125"/>
        </w:numPr>
        <w:rPr>
          <w:rFonts w:eastAsia="+mn-ea"/>
        </w:rPr>
      </w:pPr>
      <w:r w:rsidRPr="00C434D1">
        <w:rPr>
          <w:rFonts w:eastAsia="+mn-ea"/>
        </w:rPr>
        <w:t>Any part of the Agency’s Long-Term Investment Funds which the Agency originally received from money appropriated for tangible asset investment, with approval to invest in financial assets pending payment for the tangible asset;</w:t>
      </w:r>
      <w:r w:rsidRPr="00C434D1" w:rsidDel="00C95842">
        <w:rPr>
          <w:rFonts w:eastAsia="+mn-ea"/>
        </w:rPr>
        <w:t xml:space="preserve"> </w:t>
      </w:r>
      <w:r w:rsidRPr="00C434D1">
        <w:rPr>
          <w:rFonts w:eastAsia="+mn-ea"/>
        </w:rPr>
        <w:t xml:space="preserve">or </w:t>
      </w:r>
    </w:p>
    <w:p w14:paraId="4D62A69D" w14:textId="4C08B737" w:rsidR="00BA7A5D" w:rsidRPr="00C434D1" w:rsidRDefault="00BA7A5D" w:rsidP="00153642">
      <w:pPr>
        <w:pStyle w:val="ListParagraph"/>
        <w:numPr>
          <w:ilvl w:val="0"/>
          <w:numId w:val="125"/>
        </w:numPr>
        <w:ind w:left="714" w:hanging="357"/>
        <w:rPr>
          <w:rFonts w:eastAsia="+mn-ea"/>
        </w:rPr>
      </w:pPr>
      <w:r w:rsidRPr="00C434D1">
        <w:rPr>
          <w:rFonts w:eastAsia="+mn-ea"/>
        </w:rPr>
        <w:t xml:space="preserve">Financial Assets in respect of which an exemption has been provided under </w:t>
      </w:r>
      <w:hyperlink r:id="rId223" w:anchor="standing-directions-2018" w:history="1">
        <w:r w:rsidR="0054521F" w:rsidRPr="0054521F">
          <w:rPr>
            <w:rStyle w:val="Hyperlink"/>
            <w:rFonts w:eastAsia="+mn-ea"/>
          </w:rPr>
          <w:t>Direction 1.5</w:t>
        </w:r>
      </w:hyperlink>
      <w:r w:rsidR="0054521F">
        <w:rPr>
          <w:rFonts w:eastAsia="+mn-ea"/>
        </w:rPr>
        <w:t>.</w:t>
      </w:r>
      <w:r w:rsidRPr="00C434D1">
        <w:rPr>
          <w:rFonts w:eastAsia="+mn-ea"/>
        </w:rPr>
        <w:t xml:space="preserve"> </w:t>
      </w:r>
    </w:p>
    <w:p w14:paraId="7CC5BD29" w14:textId="3F020F1B" w:rsidR="0054521F" w:rsidRDefault="00BA7A5D" w:rsidP="00153642">
      <w:pPr>
        <w:pStyle w:val="Num1"/>
        <w:contextualSpacing w:val="0"/>
        <w:rPr>
          <w:rFonts w:eastAsia="+mn-ea"/>
        </w:rPr>
      </w:pPr>
      <w:r>
        <w:rPr>
          <w:rFonts w:eastAsia="+mn-ea"/>
        </w:rPr>
        <w:t>Standing Direction 3.7.2.2(c) therefore requires funds held outside of the</w:t>
      </w:r>
      <w:r w:rsidRPr="00450E9C">
        <w:rPr>
          <w:rFonts w:eastAsia="+mn-ea"/>
        </w:rPr>
        <w:t xml:space="preserve"> CBS, other than notes and coin</w:t>
      </w:r>
      <w:r w:rsidR="008E0C1D">
        <w:rPr>
          <w:rFonts w:eastAsia="+mn-ea"/>
        </w:rPr>
        <w:t>s</w:t>
      </w:r>
      <w:r w:rsidRPr="00450E9C">
        <w:rPr>
          <w:rFonts w:eastAsia="+mn-ea"/>
        </w:rPr>
        <w:t>, to be deposited with VFMC or TCV or as otherwise specified</w:t>
      </w:r>
      <w:r>
        <w:rPr>
          <w:rFonts w:eastAsia="+mn-ea"/>
        </w:rPr>
        <w:t xml:space="preserve"> in relevant legislation or as approved </w:t>
      </w:r>
      <w:r w:rsidRPr="00450E9C">
        <w:rPr>
          <w:rFonts w:eastAsia="+mn-ea"/>
        </w:rPr>
        <w:t xml:space="preserve">under </w:t>
      </w:r>
      <w:hyperlink r:id="rId224" w:anchor="standing-directions-2018" w:history="1">
        <w:r w:rsidR="0054521F" w:rsidRPr="0054521F">
          <w:rPr>
            <w:rStyle w:val="Hyperlink"/>
            <w:rFonts w:eastAsia="+mn-ea"/>
          </w:rPr>
          <w:t>Direction 1.5</w:t>
        </w:r>
      </w:hyperlink>
      <w:r w:rsidR="0054521F">
        <w:rPr>
          <w:rFonts w:eastAsia="+mn-ea"/>
        </w:rPr>
        <w:t>.</w:t>
      </w:r>
      <w:r w:rsidR="0054521F" w:rsidRPr="008F45D0">
        <w:rPr>
          <w:rFonts w:eastAsia="+mn-ea"/>
        </w:rPr>
        <w:t xml:space="preserve"> </w:t>
      </w:r>
    </w:p>
    <w:p w14:paraId="1F805200" w14:textId="0553D958" w:rsidR="00792470" w:rsidRPr="00974859" w:rsidRDefault="00BA7A5D" w:rsidP="00153642">
      <w:pPr>
        <w:pStyle w:val="Num1"/>
        <w:contextualSpacing w:val="0"/>
        <w:rPr>
          <w:rFonts w:eastAsia="+mn-ea"/>
        </w:rPr>
      </w:pPr>
      <w:r>
        <w:rPr>
          <w:rFonts w:eastAsia="+mn-ea"/>
        </w:rPr>
        <w:t>Guidance 1.5 sets out the details and requirements for obtaining an exemption from Standing Direction 3.7.2.2(a).</w:t>
      </w:r>
      <w:r w:rsidR="00866D64">
        <w:rPr>
          <w:rFonts w:eastAsia="+mn-ea"/>
        </w:rPr>
        <w:t xml:space="preserve"> </w:t>
      </w:r>
      <w:r w:rsidR="00792470" w:rsidRPr="00974859">
        <w:rPr>
          <w:rFonts w:eastAsia="+mn-ea"/>
        </w:rPr>
        <w:t>When funds are invested with VFMC or TCV, the Responsible Body must ensure that the investments are</w:t>
      </w:r>
      <w:r w:rsidR="00A44C87" w:rsidRPr="00974859">
        <w:rPr>
          <w:rFonts w:eastAsia="+mn-ea"/>
        </w:rPr>
        <w:t xml:space="preserve"> recorded in accordance </w:t>
      </w:r>
      <w:r w:rsidR="00974859">
        <w:rPr>
          <w:rFonts w:eastAsia="+mn-ea"/>
        </w:rPr>
        <w:t xml:space="preserve">with </w:t>
      </w:r>
      <w:r w:rsidR="00A44C87" w:rsidRPr="00974859">
        <w:rPr>
          <w:rFonts w:eastAsia="+mn-ea"/>
        </w:rPr>
        <w:t>Direction 3.7.2.3(b) and are</w:t>
      </w:r>
      <w:r w:rsidR="00792470" w:rsidRPr="00974859">
        <w:rPr>
          <w:rFonts w:eastAsia="+mn-ea"/>
        </w:rPr>
        <w:t>:</w:t>
      </w:r>
    </w:p>
    <w:p w14:paraId="18D682B9" w14:textId="77777777" w:rsidR="00792470" w:rsidRPr="00974859" w:rsidRDefault="00792470" w:rsidP="000B15FD">
      <w:pPr>
        <w:pStyle w:val="ListParagraph"/>
        <w:numPr>
          <w:ilvl w:val="0"/>
          <w:numId w:val="73"/>
        </w:numPr>
        <w:rPr>
          <w:rFonts w:eastAsia="+mn-ea"/>
        </w:rPr>
      </w:pPr>
      <w:r w:rsidRPr="00974859">
        <w:rPr>
          <w:rFonts w:eastAsia="+mn-ea"/>
        </w:rPr>
        <w:t>held separately from third-party funds which are not held on the State’s balance sheet: an example of third-party funds are bonds that have been lodged with the Residential Tenancy Bond Authority; and</w:t>
      </w:r>
    </w:p>
    <w:p w14:paraId="1A941028" w14:textId="42E73650" w:rsidR="00FF4D93" w:rsidRPr="003B4859" w:rsidRDefault="00792470" w:rsidP="00924EDE">
      <w:pPr>
        <w:pStyle w:val="ListParagraph"/>
        <w:numPr>
          <w:ilvl w:val="0"/>
          <w:numId w:val="73"/>
        </w:numPr>
        <w:suppressAutoHyphens/>
        <w:autoSpaceDN w:val="0"/>
        <w:spacing w:before="120" w:after="120" w:line="240" w:lineRule="atLeast"/>
        <w:textAlignment w:val="baseline"/>
        <w:rPr>
          <w:rFonts w:cs="Times New Roman"/>
        </w:rPr>
      </w:pPr>
      <w:r w:rsidRPr="004F0815">
        <w:rPr>
          <w:rFonts w:eastAsia="+mn-ea"/>
        </w:rPr>
        <w:t xml:space="preserve">be clearly identified as ‘State Funds’ by including in the investment name the Unit holder name: </w:t>
      </w:r>
      <w:r w:rsidR="00FF4D93" w:rsidRPr="004F0815">
        <w:rPr>
          <w:rFonts w:cs="Times New Roman"/>
        </w:rPr>
        <w:t>Further advice on the</w:t>
      </w:r>
      <w:r w:rsidR="009770A8" w:rsidRPr="004F0815">
        <w:rPr>
          <w:rFonts w:cs="Times New Roman"/>
        </w:rPr>
        <w:t xml:space="preserve"> </w:t>
      </w:r>
      <w:r w:rsidR="00072A73" w:rsidRPr="001D7E53">
        <w:rPr>
          <w:rFonts w:cs="Times New Roman"/>
        </w:rPr>
        <w:t xml:space="preserve">requirement to hold financial assets in the CBS, the </w:t>
      </w:r>
      <w:r w:rsidR="009770A8" w:rsidRPr="003B4859">
        <w:rPr>
          <w:rFonts w:cs="Times New Roman"/>
        </w:rPr>
        <w:t>classification of the source of funds o</w:t>
      </w:r>
      <w:r w:rsidR="00FF4D93" w:rsidRPr="003B4859">
        <w:rPr>
          <w:rFonts w:cs="Times New Roman"/>
        </w:rPr>
        <w:t>r how to seek an exemption can be obtained from DTF using the following contact details:</w:t>
      </w:r>
    </w:p>
    <w:p w14:paraId="3D3C9125" w14:textId="5165D9F0" w:rsidR="00FF4D93" w:rsidRPr="00FB301A" w:rsidRDefault="00C205A0" w:rsidP="008A28FC">
      <w:pPr>
        <w:pStyle w:val="NormalIndent"/>
        <w:ind w:left="807"/>
      </w:pPr>
      <w:r>
        <w:t xml:space="preserve">Executive </w:t>
      </w:r>
      <w:r w:rsidR="00FF4D93" w:rsidRPr="00FB301A">
        <w:t>Director, Financial Assets and Liabilities</w:t>
      </w:r>
      <w:r w:rsidR="00FF4D93">
        <w:br/>
      </w:r>
      <w:r w:rsidR="00FF4D93" w:rsidRPr="00FB301A">
        <w:t>Department of Treasury and Finance</w:t>
      </w:r>
      <w:r w:rsidR="00FF4D93">
        <w:br/>
      </w:r>
      <w:r w:rsidR="00FF4D93" w:rsidRPr="00FB301A">
        <w:t>Level 5, 1 Treasury Place</w:t>
      </w:r>
      <w:r w:rsidR="00FF4D93">
        <w:br/>
      </w:r>
      <w:r w:rsidR="00FF4D93" w:rsidRPr="00FB301A">
        <w:t>MELBOURNE  VIC 3002</w:t>
      </w:r>
      <w:r w:rsidR="00FF4D93">
        <w:br/>
      </w:r>
      <w:r w:rsidR="00FF4D93" w:rsidRPr="00613E42">
        <w:t xml:space="preserve">Tel: </w:t>
      </w:r>
      <w:r w:rsidR="00613E42" w:rsidRPr="00613E42">
        <w:t>03 7005 9229</w:t>
      </w:r>
    </w:p>
    <w:p w14:paraId="43C79886" w14:textId="5C45EED7" w:rsidR="00A64039" w:rsidRPr="00924EDE" w:rsidRDefault="00B23C53" w:rsidP="00A64039">
      <w:pPr>
        <w:pStyle w:val="Heading1NoNum"/>
        <w:spacing w:before="0" w:after="0" w:line="240" w:lineRule="auto"/>
        <w:ind w:left="807"/>
        <w:rPr>
          <w:rStyle w:val="Hyperlink"/>
        </w:rPr>
      </w:pPr>
      <w:r w:rsidRPr="00A64039">
        <w:rPr>
          <w:color w:val="auto"/>
          <w:sz w:val="20"/>
          <w:szCs w:val="20"/>
        </w:rPr>
        <w:t xml:space="preserve">Email address: </w:t>
      </w:r>
      <w:hyperlink r:id="rId225" w:history="1">
        <w:r w:rsidR="00FA5D26" w:rsidRPr="0093735C">
          <w:rPr>
            <w:rStyle w:val="Hyperlink"/>
            <w:sz w:val="20"/>
            <w:szCs w:val="20"/>
          </w:rPr>
          <w:t>working.capital@dtf.vic.gov.au</w:t>
        </w:r>
      </w:hyperlink>
    </w:p>
    <w:p w14:paraId="5798FE46" w14:textId="3B1B6AB6" w:rsidR="00FF4D93" w:rsidRPr="00FB301A" w:rsidRDefault="00E55C87" w:rsidP="00FF4D93">
      <w:pPr>
        <w:pStyle w:val="Heading1NoNum"/>
      </w:pPr>
      <w:bookmarkStart w:id="35" w:name="_Hlk103592733"/>
      <w:r>
        <w:t>Investments and Borrowings with</w:t>
      </w:r>
      <w:r w:rsidR="00FF4D93" w:rsidRPr="00FB301A">
        <w:t xml:space="preserve"> </w:t>
      </w:r>
      <w:r w:rsidR="008210B6" w:rsidRPr="00FB301A">
        <w:t>Victori</w:t>
      </w:r>
      <w:r w:rsidR="008210B6">
        <w:t xml:space="preserve">an Funds Management Corporation and </w:t>
      </w:r>
      <w:r w:rsidR="00FF4D93" w:rsidRPr="00FB301A">
        <w:t xml:space="preserve">Treasury Corporation of Victoria </w:t>
      </w:r>
    </w:p>
    <w:p w14:paraId="1C5A4A78" w14:textId="29A2A01E" w:rsidR="00E55C87" w:rsidRDefault="009770A8" w:rsidP="00E55C87">
      <w:pPr>
        <w:pStyle w:val="Heading2NoNum"/>
      </w:pPr>
      <w:r>
        <w:t>Investing</w:t>
      </w:r>
      <w:r w:rsidR="00E55C87">
        <w:t xml:space="preserve"> with VFMC</w:t>
      </w:r>
    </w:p>
    <w:p w14:paraId="260B7F8F" w14:textId="2FF81BE9" w:rsidR="00B94F92" w:rsidRDefault="00B94F92" w:rsidP="00153642">
      <w:pPr>
        <w:suppressAutoHyphens/>
        <w:autoSpaceDN w:val="0"/>
        <w:spacing w:before="120" w:after="120" w:line="240" w:lineRule="atLeast"/>
        <w:textAlignment w:val="baseline"/>
        <w:rPr>
          <w:rFonts w:cs="Times New Roman"/>
        </w:rPr>
      </w:pPr>
      <w:r>
        <w:rPr>
          <w:rFonts w:cs="Times New Roman"/>
        </w:rPr>
        <w:t xml:space="preserve">The </w:t>
      </w:r>
      <w:r w:rsidRPr="00FB301A">
        <w:t>Victori</w:t>
      </w:r>
      <w:r>
        <w:t>an Funds Management Corporation</w:t>
      </w:r>
      <w:r w:rsidRPr="00FB301A">
        <w:rPr>
          <w:rFonts w:cs="Times New Roman"/>
        </w:rPr>
        <w:t xml:space="preserve"> </w:t>
      </w:r>
      <w:r>
        <w:rPr>
          <w:rFonts w:cs="Times New Roman"/>
        </w:rPr>
        <w:t>(</w:t>
      </w:r>
      <w:r w:rsidRPr="00FB301A">
        <w:rPr>
          <w:rFonts w:cs="Times New Roman"/>
        </w:rPr>
        <w:t>VFMC</w:t>
      </w:r>
      <w:r>
        <w:rPr>
          <w:rFonts w:cs="Times New Roman"/>
        </w:rPr>
        <w:t>)</w:t>
      </w:r>
      <w:r w:rsidRPr="007E330E">
        <w:rPr>
          <w:rFonts w:cs="Times New Roman"/>
          <w:spacing w:val="2"/>
        </w:rPr>
        <w:t xml:space="preserve"> </w:t>
      </w:r>
      <w:r w:rsidRPr="00FB301A">
        <w:rPr>
          <w:rFonts w:cs="Times New Roman"/>
          <w:spacing w:val="2"/>
        </w:rPr>
        <w:t>was established in 199</w:t>
      </w:r>
      <w:r>
        <w:rPr>
          <w:rFonts w:cs="Times New Roman"/>
          <w:spacing w:val="2"/>
        </w:rPr>
        <w:t>4</w:t>
      </w:r>
      <w:r w:rsidRPr="00FB301A">
        <w:rPr>
          <w:rFonts w:cs="Times New Roman"/>
          <w:spacing w:val="2"/>
        </w:rPr>
        <w:t xml:space="preserve"> as </w:t>
      </w:r>
      <w:r w:rsidRPr="00924EDE">
        <w:rPr>
          <w:spacing w:val="2"/>
        </w:rPr>
        <w:t xml:space="preserve">the </w:t>
      </w:r>
      <w:r w:rsidRPr="00FB301A">
        <w:rPr>
          <w:rFonts w:cs="Times New Roman"/>
          <w:spacing w:val="2"/>
        </w:rPr>
        <w:t xml:space="preserve">centralised </w:t>
      </w:r>
      <w:r>
        <w:rPr>
          <w:rFonts w:cs="Times New Roman"/>
          <w:spacing w:val="2"/>
        </w:rPr>
        <w:t>long</w:t>
      </w:r>
      <w:r>
        <w:rPr>
          <w:rFonts w:cs="Times New Roman"/>
          <w:spacing w:val="2"/>
        </w:rPr>
        <w:noBreakHyphen/>
        <w:t xml:space="preserve">term investment </w:t>
      </w:r>
      <w:r w:rsidR="008210B6">
        <w:rPr>
          <w:rFonts w:cs="Times New Roman"/>
          <w:spacing w:val="2"/>
        </w:rPr>
        <w:t>manager</w:t>
      </w:r>
      <w:r w:rsidRPr="00FB301A">
        <w:rPr>
          <w:rFonts w:cs="Times New Roman"/>
          <w:spacing w:val="2"/>
        </w:rPr>
        <w:t xml:space="preserve"> for State</w:t>
      </w:r>
      <w:r>
        <w:rPr>
          <w:rFonts w:cs="Times New Roman"/>
          <w:spacing w:val="2"/>
        </w:rPr>
        <w:t xml:space="preserve"> Agencies</w:t>
      </w:r>
      <w:r w:rsidRPr="00FB301A">
        <w:rPr>
          <w:rFonts w:cs="Times New Roman"/>
          <w:spacing w:val="2"/>
        </w:rPr>
        <w:t xml:space="preserve">. </w:t>
      </w:r>
      <w:r>
        <w:rPr>
          <w:rFonts w:cs="Times New Roman"/>
          <w:spacing w:val="2"/>
        </w:rPr>
        <w:t>VFMC</w:t>
      </w:r>
      <w:r w:rsidRPr="00FB301A">
        <w:rPr>
          <w:rFonts w:cs="Times New Roman"/>
        </w:rPr>
        <w:t xml:space="preserve"> manages</w:t>
      </w:r>
      <w:r w:rsidR="00F8241D">
        <w:rPr>
          <w:rFonts w:cs="Times New Roman"/>
        </w:rPr>
        <w:t xml:space="preserve"> multi sector and single sector investment options</w:t>
      </w:r>
      <w:r w:rsidR="00B95D74">
        <w:rPr>
          <w:rFonts w:cs="Times New Roman"/>
        </w:rPr>
        <w:t xml:space="preserve"> </w:t>
      </w:r>
      <w:r w:rsidR="005150B1">
        <w:rPr>
          <w:rFonts w:cs="Times New Roman"/>
        </w:rPr>
        <w:t>and</w:t>
      </w:r>
      <w:r w:rsidRPr="00FB301A">
        <w:rPr>
          <w:rFonts w:cs="Times New Roman"/>
        </w:rPr>
        <w:t xml:space="preserve"> </w:t>
      </w:r>
      <w:r w:rsidR="008210B6">
        <w:rPr>
          <w:rFonts w:cs="Times New Roman"/>
        </w:rPr>
        <w:t>provides guidance on</w:t>
      </w:r>
      <w:r w:rsidRPr="00FB301A">
        <w:rPr>
          <w:rFonts w:cs="Times New Roman"/>
        </w:rPr>
        <w:t xml:space="preserve"> </w:t>
      </w:r>
      <w:r w:rsidR="008210B6">
        <w:rPr>
          <w:rFonts w:cs="Times New Roman"/>
        </w:rPr>
        <w:t>the development of appropriate investment objectives</w:t>
      </w:r>
      <w:r w:rsidR="00A51847">
        <w:rPr>
          <w:rFonts w:cs="Times New Roman"/>
        </w:rPr>
        <w:t>, including Strategic Asset Allocations</w:t>
      </w:r>
      <w:r w:rsidRPr="00FB301A">
        <w:rPr>
          <w:rFonts w:cs="Times New Roman"/>
        </w:rPr>
        <w:t>.</w:t>
      </w:r>
      <w:r w:rsidR="008210B6">
        <w:rPr>
          <w:rFonts w:cs="Times New Roman"/>
        </w:rPr>
        <w:t xml:space="preserve"> VFMC does not provide </w:t>
      </w:r>
      <w:r w:rsidR="00D772B4">
        <w:rPr>
          <w:rFonts w:cs="Times New Roman"/>
        </w:rPr>
        <w:t xml:space="preserve">investment </w:t>
      </w:r>
      <w:r w:rsidR="008210B6">
        <w:rPr>
          <w:rFonts w:cs="Times New Roman"/>
        </w:rPr>
        <w:t>advice.</w:t>
      </w:r>
    </w:p>
    <w:p w14:paraId="2229677E" w14:textId="77777777" w:rsidR="00B94F92" w:rsidRPr="00FB301A" w:rsidRDefault="00B94F92" w:rsidP="00B94F92">
      <w:pPr>
        <w:suppressAutoHyphens/>
        <w:autoSpaceDN w:val="0"/>
        <w:spacing w:before="120" w:after="120" w:line="240" w:lineRule="atLeast"/>
        <w:textAlignment w:val="baseline"/>
        <w:rPr>
          <w:rFonts w:cs="Times New Roman"/>
        </w:rPr>
      </w:pPr>
      <w:r w:rsidRPr="00FB301A">
        <w:rPr>
          <w:rFonts w:cs="Times New Roman"/>
        </w:rPr>
        <w:t>Requests for further information concerning VFMC’s products and services in relation to the management and execution of investments should be directed to:</w:t>
      </w:r>
    </w:p>
    <w:p w14:paraId="29741EBF" w14:textId="2FFEDA28" w:rsidR="00B94F92" w:rsidRDefault="00B94F92" w:rsidP="00450E9C">
      <w:pPr>
        <w:pStyle w:val="NormalIndent"/>
        <w:spacing w:before="120" w:after="120"/>
        <w:ind w:left="805"/>
        <w:rPr>
          <w:rFonts w:cs="Times New Roman"/>
        </w:rPr>
      </w:pPr>
      <w:r w:rsidRPr="00FB301A">
        <w:t xml:space="preserve">Head of Client </w:t>
      </w:r>
      <w:r w:rsidR="00AF4C48">
        <w:t>and Market Development</w:t>
      </w:r>
      <w:r w:rsidRPr="00FB301A">
        <w:t xml:space="preserve"> </w:t>
      </w:r>
      <w:r>
        <w:br/>
      </w:r>
      <w:r w:rsidRPr="00FB301A">
        <w:rPr>
          <w:rFonts w:cs="Times New Roman"/>
        </w:rPr>
        <w:t>Victorian Funds Management Corporation</w:t>
      </w:r>
      <w:r>
        <w:rPr>
          <w:rFonts w:cs="Times New Roman"/>
        </w:rPr>
        <w:br/>
      </w:r>
      <w:r w:rsidRPr="00FB301A">
        <w:rPr>
          <w:rFonts w:cs="Times New Roman"/>
        </w:rPr>
        <w:t>Level 13, 101 Collins Street</w:t>
      </w:r>
      <w:r>
        <w:rPr>
          <w:rFonts w:cs="Times New Roman"/>
        </w:rPr>
        <w:br/>
      </w:r>
      <w:r w:rsidRPr="00FB301A">
        <w:rPr>
          <w:rFonts w:cs="Times New Roman"/>
        </w:rPr>
        <w:t>MELBOURNE  VIC  3000</w:t>
      </w:r>
      <w:r>
        <w:rPr>
          <w:rFonts w:cs="Times New Roman"/>
        </w:rPr>
        <w:br/>
      </w:r>
      <w:r w:rsidRPr="00FB301A">
        <w:rPr>
          <w:rFonts w:cs="Times New Roman"/>
        </w:rPr>
        <w:t>Tel: 03 9207 2900</w:t>
      </w:r>
    </w:p>
    <w:p w14:paraId="78378225" w14:textId="5B3271D3" w:rsidR="00AF4C48" w:rsidRPr="00FB301A" w:rsidRDefault="00AF4C48" w:rsidP="0003333A">
      <w:pPr>
        <w:pStyle w:val="NormalIndent"/>
        <w:spacing w:before="0"/>
        <w:ind w:left="805"/>
        <w:rPr>
          <w:rFonts w:cs="Times New Roman"/>
        </w:rPr>
      </w:pPr>
      <w:r>
        <w:rPr>
          <w:rFonts w:cs="Times New Roman"/>
        </w:rPr>
        <w:t xml:space="preserve">Email: </w:t>
      </w:r>
      <w:r w:rsidR="002327A4">
        <w:rPr>
          <w:rFonts w:cs="Times New Roman"/>
        </w:rPr>
        <w:t>clientservices@vfmc.vic.gov.au</w:t>
      </w:r>
    </w:p>
    <w:p w14:paraId="516908EE" w14:textId="2623C59A" w:rsidR="00E55C87" w:rsidRDefault="005150B1" w:rsidP="00E55C87">
      <w:r w:rsidRPr="008F45D0">
        <w:t>The</w:t>
      </w:r>
      <w:r w:rsidR="00007322">
        <w:t xml:space="preserve"> multi </w:t>
      </w:r>
      <w:r w:rsidR="00171A1F">
        <w:t>asset</w:t>
      </w:r>
      <w:r w:rsidR="00007322">
        <w:t xml:space="preserve"> and single sector investment </w:t>
      </w:r>
      <w:r w:rsidR="00007322" w:rsidRPr="00BA7A5D">
        <w:t>options</w:t>
      </w:r>
      <w:r w:rsidR="00007322" w:rsidRPr="003D1953" w:rsidDel="00007322">
        <w:t xml:space="preserve"> </w:t>
      </w:r>
      <w:r w:rsidRPr="00BA7A5D">
        <w:t>provide</w:t>
      </w:r>
      <w:r>
        <w:t xml:space="preserve"> </w:t>
      </w:r>
      <w:r w:rsidR="00E55C87">
        <w:t xml:space="preserve">different risk/return profiles </w:t>
      </w:r>
      <w:r w:rsidR="00AF4C48">
        <w:t xml:space="preserve">and related </w:t>
      </w:r>
      <w:r w:rsidR="00E55C87">
        <w:t>investment horizon</w:t>
      </w:r>
      <w:r w:rsidR="00AF4C48">
        <w:t>s</w:t>
      </w:r>
      <w:r w:rsidR="00E55C87">
        <w:t xml:space="preserve">. </w:t>
      </w:r>
      <w:r w:rsidR="001A6B13">
        <w:t xml:space="preserve">Refer to VFMC </w:t>
      </w:r>
      <w:r w:rsidR="00444A60">
        <w:t>Client Services</w:t>
      </w:r>
      <w:r w:rsidR="001A6B13">
        <w:t xml:space="preserve"> for details</w:t>
      </w:r>
      <w:r w:rsidR="00444A60">
        <w:t>.</w:t>
      </w:r>
    </w:p>
    <w:bookmarkEnd w:id="35"/>
    <w:p w14:paraId="20765B7D" w14:textId="6042CF37" w:rsidR="00E55C87" w:rsidRDefault="00E55C87" w:rsidP="00E55C87">
      <w:pPr>
        <w:pStyle w:val="Bullet1"/>
        <w:numPr>
          <w:ilvl w:val="0"/>
          <w:numId w:val="0"/>
        </w:numPr>
      </w:pPr>
      <w:r>
        <w:t xml:space="preserve">Agencies </w:t>
      </w:r>
      <w:r w:rsidR="009770A8">
        <w:t xml:space="preserve">seeking to invest </w:t>
      </w:r>
      <w:r>
        <w:t>with VFMC should follow the following process:</w:t>
      </w:r>
    </w:p>
    <w:p w14:paraId="15C37FA8" w14:textId="6AA62788" w:rsidR="00344F2D" w:rsidRDefault="00E55C87" w:rsidP="00153642">
      <w:pPr>
        <w:rPr>
          <w:b/>
          <w:bCs/>
        </w:rPr>
      </w:pPr>
      <w:r>
        <w:rPr>
          <w:b/>
          <w:bCs/>
        </w:rPr>
        <w:t>Step 1</w:t>
      </w:r>
    </w:p>
    <w:p w14:paraId="77A09FC0" w14:textId="3A0610E9" w:rsidR="00E55C87" w:rsidRDefault="00E55C87" w:rsidP="00153642">
      <w:r>
        <w:t>Agencies to consult with DTF to ensure funds can be invested outside of the CBS and with VFMC</w:t>
      </w:r>
      <w:r w:rsidR="0026618B">
        <w:t xml:space="preserve"> </w:t>
      </w:r>
      <w:r w:rsidR="002327A4">
        <w:t>(see Section 1.5)</w:t>
      </w:r>
      <w:r>
        <w:t>.</w:t>
      </w:r>
    </w:p>
    <w:p w14:paraId="19C003BB" w14:textId="63D854F2" w:rsidR="00A54DC1" w:rsidRDefault="00E55C87" w:rsidP="00344F2D">
      <w:r>
        <w:t>DTF will confirm if the investment</w:t>
      </w:r>
      <w:r w:rsidR="00047D3B">
        <w:t xml:space="preserve"> </w:t>
      </w:r>
      <w:r w:rsidR="003C30E3">
        <w:t>exemption request</w:t>
      </w:r>
      <w:r>
        <w:t xml:space="preserve"> is in compliance with </w:t>
      </w:r>
      <w:r w:rsidR="00A477D0">
        <w:t xml:space="preserve">the </w:t>
      </w:r>
      <w:r>
        <w:t>Directions</w:t>
      </w:r>
      <w:r w:rsidR="006875F3">
        <w:t xml:space="preserve">, </w:t>
      </w:r>
      <w:r w:rsidR="003C30E3">
        <w:t>i.e.</w:t>
      </w:r>
      <w:r>
        <w:t xml:space="preserve"> an explicit exemption has been provided or if an exemption is required</w:t>
      </w:r>
      <w:r w:rsidR="00B94F92">
        <w:t xml:space="preserve">.  </w:t>
      </w:r>
    </w:p>
    <w:p w14:paraId="3E9B982F" w14:textId="368D604A" w:rsidR="00A54DC1" w:rsidRDefault="00A54DC1" w:rsidP="00344F2D">
      <w:r>
        <w:t xml:space="preserve">If an exemption is required, the agency should formally request the approval of the </w:t>
      </w:r>
      <w:r w:rsidR="00EC081A">
        <w:t xml:space="preserve">Assistant </w:t>
      </w:r>
      <w:r>
        <w:t xml:space="preserve">Treasurer to invest funds with VFMC. The approval would generally be subject to the agency developing a Board approved investment policy and strategy with VFMC and </w:t>
      </w:r>
      <w:r w:rsidR="002327A4">
        <w:t xml:space="preserve">approved </w:t>
      </w:r>
      <w:r>
        <w:t>by DTF.</w:t>
      </w:r>
    </w:p>
    <w:p w14:paraId="681D84AE" w14:textId="765BE636" w:rsidR="00E55C87" w:rsidRPr="008C2826" w:rsidRDefault="00B94F92" w:rsidP="00344F2D">
      <w:r>
        <w:t>Requests for information should be sent to DTF at working.capital@dtf.vic.gov.au.</w:t>
      </w:r>
    </w:p>
    <w:p w14:paraId="2C54E9A8" w14:textId="7D3FA233" w:rsidR="00344F2D" w:rsidRDefault="00E55C87" w:rsidP="00A54DC1">
      <w:pPr>
        <w:ind w:left="567" w:hanging="567"/>
      </w:pPr>
      <w:r>
        <w:rPr>
          <w:b/>
          <w:bCs/>
        </w:rPr>
        <w:lastRenderedPageBreak/>
        <w:t>Step 2</w:t>
      </w:r>
      <w:r>
        <w:t xml:space="preserve"> </w:t>
      </w:r>
    </w:p>
    <w:p w14:paraId="4F77F1D5" w14:textId="51A0C5D0" w:rsidR="00E55C87" w:rsidRDefault="00E55C87" w:rsidP="007414C7">
      <w:r>
        <w:t xml:space="preserve">DTF will </w:t>
      </w:r>
      <w:r w:rsidR="00A477D0">
        <w:t>confirm with</w:t>
      </w:r>
      <w:r>
        <w:t xml:space="preserve"> VFMC and the agency</w:t>
      </w:r>
      <w:r w:rsidR="00A477D0">
        <w:t xml:space="preserve"> that the exemption request is in compliance with the </w:t>
      </w:r>
      <w:r w:rsidR="00A54DC1">
        <w:t xml:space="preserve">Directions, </w:t>
      </w:r>
      <w:r w:rsidR="002327A4">
        <w:t xml:space="preserve">and </w:t>
      </w:r>
      <w:r w:rsidR="00A54DC1">
        <w:t xml:space="preserve">the exemption request has been approved by the </w:t>
      </w:r>
      <w:r w:rsidR="00EC081A">
        <w:t xml:space="preserve">Assistant </w:t>
      </w:r>
      <w:r w:rsidR="00A54DC1">
        <w:t>Treasurer.</w:t>
      </w:r>
    </w:p>
    <w:p w14:paraId="4785646D" w14:textId="588DD0F3" w:rsidR="00E55C87" w:rsidRDefault="00E55C87" w:rsidP="00344F2D">
      <w:r>
        <w:t>Without approval</w:t>
      </w:r>
      <w:r w:rsidR="00A54DC1">
        <w:t xml:space="preserve"> being confirmed</w:t>
      </w:r>
      <w:r>
        <w:t>, the agency is not approved for an investment with VFMC. This applies to all</w:t>
      </w:r>
      <w:r w:rsidR="00A477D0">
        <w:t xml:space="preserve"> GG</w:t>
      </w:r>
      <w:r>
        <w:t>, PNFC and PFC</w:t>
      </w:r>
      <w:r w:rsidR="00A477D0">
        <w:t xml:space="preserve"> agencies. </w:t>
      </w:r>
    </w:p>
    <w:p w14:paraId="46B1DE73" w14:textId="0D3E7A03" w:rsidR="007414C7" w:rsidRDefault="00E55C87" w:rsidP="0003333A">
      <w:pPr>
        <w:ind w:left="567" w:hanging="567"/>
      </w:pPr>
      <w:r>
        <w:rPr>
          <w:b/>
          <w:bCs/>
        </w:rPr>
        <w:t>Step 3</w:t>
      </w:r>
      <w:r>
        <w:t xml:space="preserve"> </w:t>
      </w:r>
    </w:p>
    <w:p w14:paraId="636A8096" w14:textId="2BAD8BDE" w:rsidR="00E55C87" w:rsidRDefault="003B4859" w:rsidP="007414C7">
      <w:r>
        <w:t xml:space="preserve">Following approval by the </w:t>
      </w:r>
      <w:r w:rsidR="00EC081A">
        <w:t xml:space="preserve">Assistant </w:t>
      </w:r>
      <w:r>
        <w:t>Treasurer, the agency should contact VFMC</w:t>
      </w:r>
      <w:r w:rsidR="00E55C87">
        <w:t xml:space="preserve"> to begin the onboarding process</w:t>
      </w:r>
      <w:r w:rsidR="00A477D0">
        <w:t>, including the development of an Investment Policy Statement</w:t>
      </w:r>
      <w:r w:rsidR="00A54DC1">
        <w:t xml:space="preserve"> and Strategy</w:t>
      </w:r>
      <w:r w:rsidR="00AF4C48">
        <w:t>.</w:t>
      </w:r>
      <w:r w:rsidR="00E55C87">
        <w:t xml:space="preserve"> </w:t>
      </w:r>
    </w:p>
    <w:p w14:paraId="6846AF54" w14:textId="457EAC2F" w:rsidR="00EA134A" w:rsidRPr="00CE341B" w:rsidRDefault="00EA134A" w:rsidP="007414C7">
      <w:r w:rsidRPr="00CE341B">
        <w:t>Agencies are required to have a</w:t>
      </w:r>
      <w:r>
        <w:t xml:space="preserve"> Board approved I</w:t>
      </w:r>
      <w:r w:rsidRPr="00CE341B">
        <w:t xml:space="preserve">nvestment </w:t>
      </w:r>
      <w:r>
        <w:t>P</w:t>
      </w:r>
      <w:r w:rsidRPr="00CE341B">
        <w:t xml:space="preserve">olicy </w:t>
      </w:r>
      <w:r>
        <w:t xml:space="preserve">Statement (IPS) </w:t>
      </w:r>
      <w:r w:rsidRPr="00CE341B">
        <w:t>in p</w:t>
      </w:r>
      <w:r>
        <w:t>l</w:t>
      </w:r>
      <w:r w:rsidRPr="00CE341B">
        <w:t xml:space="preserve">ace </w:t>
      </w:r>
      <w:r>
        <w:t>to invest</w:t>
      </w:r>
      <w:r w:rsidRPr="00CE341B">
        <w:t xml:space="preserve"> with VFMC. The </w:t>
      </w:r>
      <w:r>
        <w:t>IPS</w:t>
      </w:r>
      <w:r w:rsidRPr="00CE341B">
        <w:t xml:space="preserve"> and </w:t>
      </w:r>
      <w:r>
        <w:t xml:space="preserve">any </w:t>
      </w:r>
      <w:r w:rsidRPr="00CE341B">
        <w:t xml:space="preserve">later material changes should be reviewed by DTF prior to final </w:t>
      </w:r>
      <w:r w:rsidR="002327A4">
        <w:t>B</w:t>
      </w:r>
      <w:r w:rsidRPr="00CE341B">
        <w:t xml:space="preserve">oard approval. Refer to </w:t>
      </w:r>
      <w:hyperlink r:id="rId226" w:anchor="Instruction_3_7_2_2" w:history="1">
        <w:r w:rsidRPr="00CE341B">
          <w:t>Instruction 3.7.2.</w:t>
        </w:r>
        <w:r w:rsidR="00F506FE">
          <w:t>3</w:t>
        </w:r>
      </w:hyperlink>
      <w:r w:rsidRPr="00CE341B">
        <w:t xml:space="preserve"> for </w:t>
      </w:r>
      <w:r>
        <w:t>further details on the</w:t>
      </w:r>
      <w:r w:rsidR="0021254A">
        <w:t xml:space="preserve"> requirement to develop a</w:t>
      </w:r>
      <w:r w:rsidR="00A54DC1">
        <w:t>n</w:t>
      </w:r>
      <w:r w:rsidR="0021254A">
        <w:t xml:space="preserve"> </w:t>
      </w:r>
      <w:r w:rsidR="002327A4">
        <w:t>I</w:t>
      </w:r>
      <w:r w:rsidR="0021254A">
        <w:t xml:space="preserve">nvestment </w:t>
      </w:r>
      <w:r w:rsidR="002327A4">
        <w:t>R</w:t>
      </w:r>
      <w:r w:rsidR="0021254A">
        <w:t xml:space="preserve">isk </w:t>
      </w:r>
      <w:r w:rsidR="002327A4">
        <w:t>M</w:t>
      </w:r>
      <w:r w:rsidR="0021254A">
        <w:t xml:space="preserve">anagement </w:t>
      </w:r>
      <w:r w:rsidR="002327A4">
        <w:t>P</w:t>
      </w:r>
      <w:r w:rsidR="0021254A">
        <w:t xml:space="preserve">olicy. </w:t>
      </w:r>
      <w:r w:rsidR="0021254A" w:rsidRPr="00866D64">
        <w:t xml:space="preserve">Direction </w:t>
      </w:r>
      <w:r w:rsidRPr="00866D64">
        <w:t>3.7.2.2(e) requires</w:t>
      </w:r>
      <w:r w:rsidRPr="00CE341B">
        <w:t xml:space="preserve"> that</w:t>
      </w:r>
      <w:r>
        <w:t>,</w:t>
      </w:r>
      <w:r w:rsidRPr="00CE341B">
        <w:t xml:space="preserve"> as the expected time to expenditure for funds held with VFMC falls to within 12 months, the Agency should </w:t>
      </w:r>
      <w:r w:rsidR="00AB7F32">
        <w:t>as soon as is p</w:t>
      </w:r>
      <w:r w:rsidR="006D3068">
        <w:t>racticable</w:t>
      </w:r>
      <w:r w:rsidR="00D3610E">
        <w:t xml:space="preserve"> </w:t>
      </w:r>
      <w:r w:rsidRPr="00CE341B">
        <w:t>mov</w:t>
      </w:r>
      <w:r w:rsidR="00D91E8C">
        <w:t>e</w:t>
      </w:r>
      <w:r w:rsidRPr="00CE341B">
        <w:t xml:space="preserve"> the funds to a CBS account</w:t>
      </w:r>
      <w:r w:rsidR="003D1953">
        <w:t xml:space="preserve"> to reduce the potential volatility in the market value of the investment.</w:t>
      </w:r>
    </w:p>
    <w:p w14:paraId="62F3B497" w14:textId="30DB85C1" w:rsidR="007414C7" w:rsidRDefault="00EA134A" w:rsidP="00E55C87">
      <w:pPr>
        <w:rPr>
          <w:b/>
          <w:bCs/>
        </w:rPr>
      </w:pPr>
      <w:r w:rsidRPr="0003333A">
        <w:rPr>
          <w:b/>
          <w:bCs/>
        </w:rPr>
        <w:t>Ongoing</w:t>
      </w:r>
      <w:r w:rsidR="0021254A">
        <w:rPr>
          <w:b/>
          <w:bCs/>
        </w:rPr>
        <w:t xml:space="preserve"> </w:t>
      </w:r>
    </w:p>
    <w:p w14:paraId="07D3F647" w14:textId="30AFCA61" w:rsidR="00E55C87" w:rsidRDefault="00E55C87" w:rsidP="00E55C87">
      <w:r w:rsidRPr="008C2826">
        <w:t xml:space="preserve">DTF will conduct </w:t>
      </w:r>
      <w:r>
        <w:t>periodic review</w:t>
      </w:r>
      <w:r w:rsidR="00FE6DC2">
        <w:t>s</w:t>
      </w:r>
      <w:r>
        <w:t xml:space="preserve"> of agencies</w:t>
      </w:r>
      <w:r w:rsidR="00AF4C48">
        <w:t>’</w:t>
      </w:r>
      <w:r>
        <w:t xml:space="preserve"> investments with VFMC to ensure that:</w:t>
      </w:r>
    </w:p>
    <w:p w14:paraId="699BB7F7" w14:textId="13E6AB09" w:rsidR="00E55C87" w:rsidRDefault="00E55C87" w:rsidP="007414C7">
      <w:r>
        <w:t xml:space="preserve">- funds are still eligible for investment; and </w:t>
      </w:r>
    </w:p>
    <w:p w14:paraId="15ED6516" w14:textId="66B97E73" w:rsidR="00E55C87" w:rsidRPr="008C2826" w:rsidRDefault="00E55C87" w:rsidP="007414C7">
      <w:r w:rsidRPr="009D3ACF">
        <w:t>-</w:t>
      </w:r>
      <w:r w:rsidR="00A477D0" w:rsidRPr="0003333A">
        <w:t xml:space="preserve"> the investment strategy remains appropriate.  </w:t>
      </w:r>
    </w:p>
    <w:p w14:paraId="235FA85C" w14:textId="021CE807" w:rsidR="00FF4D93" w:rsidRPr="00FB301A" w:rsidRDefault="009770A8" w:rsidP="00924EDE">
      <w:pPr>
        <w:pStyle w:val="Heading2NoNum"/>
        <w:spacing w:before="360" w:after="60"/>
      </w:pPr>
      <w:r>
        <w:t xml:space="preserve">Borrowing from or making short term investments </w:t>
      </w:r>
      <w:r w:rsidR="00FF4D93" w:rsidRPr="00FB301A">
        <w:t xml:space="preserve">with </w:t>
      </w:r>
      <w:r w:rsidR="00FE34E2">
        <w:t>TCV</w:t>
      </w:r>
    </w:p>
    <w:p w14:paraId="27CA9E9A" w14:textId="11D420BC" w:rsidR="00FF4D93" w:rsidRPr="00FB301A" w:rsidRDefault="00FF4D93" w:rsidP="00FF4D93">
      <w:pPr>
        <w:suppressAutoHyphens/>
        <w:autoSpaceDN w:val="0"/>
        <w:spacing w:before="120" w:after="120" w:line="240" w:lineRule="atLeast"/>
        <w:textAlignment w:val="baseline"/>
        <w:rPr>
          <w:rFonts w:cs="Times New Roman"/>
        </w:rPr>
      </w:pPr>
      <w:r>
        <w:rPr>
          <w:rFonts w:cs="Times New Roman"/>
          <w:spacing w:val="2"/>
        </w:rPr>
        <w:t>Treasury Corporation of Victoria (</w:t>
      </w:r>
      <w:r w:rsidRPr="00FB301A">
        <w:rPr>
          <w:rFonts w:cs="Times New Roman"/>
          <w:spacing w:val="2"/>
        </w:rPr>
        <w:t>TCV</w:t>
      </w:r>
      <w:r>
        <w:rPr>
          <w:rFonts w:cs="Times New Roman"/>
          <w:spacing w:val="2"/>
        </w:rPr>
        <w:t>)</w:t>
      </w:r>
      <w:r w:rsidRPr="00FB301A">
        <w:rPr>
          <w:rFonts w:cs="Times New Roman"/>
          <w:spacing w:val="2"/>
        </w:rPr>
        <w:t xml:space="preserve"> was established in 1993 as the centralised treasury </w:t>
      </w:r>
      <w:r w:rsidR="00EF6FE5">
        <w:rPr>
          <w:rFonts w:cs="Times New Roman"/>
          <w:spacing w:val="2"/>
        </w:rPr>
        <w:t xml:space="preserve">manager </w:t>
      </w:r>
      <w:r w:rsidRPr="00FB301A">
        <w:rPr>
          <w:rFonts w:cs="Times New Roman"/>
          <w:spacing w:val="2"/>
        </w:rPr>
        <w:t>for the State. Part of its role is to ensure the State sources</w:t>
      </w:r>
      <w:r w:rsidRPr="00FB301A">
        <w:rPr>
          <w:rFonts w:cs="Times New Roman"/>
        </w:rPr>
        <w:t xml:space="preserve"> funds at the lowest possible cost and to manage associated financial risks. TCV provides borrowings, short</w:t>
      </w:r>
      <w:r>
        <w:rPr>
          <w:rFonts w:cs="Times New Roman"/>
        </w:rPr>
        <w:noBreakHyphen/>
      </w:r>
      <w:r w:rsidRPr="00FB301A">
        <w:rPr>
          <w:rFonts w:cs="Times New Roman"/>
        </w:rPr>
        <w:t>term deposit facilit</w:t>
      </w:r>
      <w:r w:rsidR="00FC5F2A">
        <w:rPr>
          <w:rFonts w:cs="Times New Roman"/>
        </w:rPr>
        <w:t>i</w:t>
      </w:r>
      <w:r w:rsidRPr="00FB301A">
        <w:rPr>
          <w:rFonts w:cs="Times New Roman"/>
        </w:rPr>
        <w:t xml:space="preserve">es and financial arrangements to hedge, protect or manage the value of assets and liabilities. TCV does not offer bank overdrafts or leases. </w:t>
      </w:r>
    </w:p>
    <w:p w14:paraId="233330DF" w14:textId="197CD8EA" w:rsidR="00FF4D93" w:rsidRDefault="00FF4D93" w:rsidP="00FF4D93">
      <w:pPr>
        <w:suppressAutoHyphens/>
        <w:autoSpaceDN w:val="0"/>
        <w:spacing w:before="120" w:after="120" w:line="240" w:lineRule="atLeast"/>
        <w:textAlignment w:val="baseline"/>
        <w:rPr>
          <w:rFonts w:cs="Times New Roman"/>
        </w:rPr>
      </w:pPr>
      <w:r w:rsidRPr="00FB301A">
        <w:rPr>
          <w:rFonts w:cs="Times New Roman"/>
        </w:rPr>
        <w:t>Under the centralised</w:t>
      </w:r>
      <w:r w:rsidR="0021254A">
        <w:rPr>
          <w:rFonts w:cs="Times New Roman"/>
        </w:rPr>
        <w:t xml:space="preserve"> treasury and investments</w:t>
      </w:r>
      <w:r w:rsidRPr="00FB301A">
        <w:rPr>
          <w:rFonts w:cs="Times New Roman"/>
        </w:rPr>
        <w:t xml:space="preserve"> </w:t>
      </w:r>
      <w:r w:rsidR="009770A8">
        <w:rPr>
          <w:rFonts w:cs="Times New Roman"/>
        </w:rPr>
        <w:t>framework</w:t>
      </w:r>
      <w:r w:rsidRPr="00FB301A">
        <w:rPr>
          <w:rFonts w:cs="Times New Roman"/>
        </w:rPr>
        <w:t xml:space="preserve"> all borrowings and financial arrangements should be </w:t>
      </w:r>
      <w:r w:rsidR="0021254A">
        <w:rPr>
          <w:rFonts w:cs="Times New Roman"/>
        </w:rPr>
        <w:t>transacted</w:t>
      </w:r>
      <w:r w:rsidRPr="00FB301A">
        <w:rPr>
          <w:rFonts w:cs="Times New Roman"/>
        </w:rPr>
        <w:t xml:space="preserve"> through TCV. TCV can advise on appropriate funding</w:t>
      </w:r>
      <w:r>
        <w:rPr>
          <w:rFonts w:cs="Times New Roman"/>
        </w:rPr>
        <w:t xml:space="preserve"> and</w:t>
      </w:r>
      <w:r w:rsidRPr="00FB301A">
        <w:rPr>
          <w:rFonts w:cs="Times New Roman"/>
        </w:rPr>
        <w:t xml:space="preserve"> hedging str</w:t>
      </w:r>
      <w:r w:rsidR="00FC5F2A">
        <w:rPr>
          <w:rFonts w:cs="Times New Roman"/>
        </w:rPr>
        <w:t>ategi</w:t>
      </w:r>
      <w:r w:rsidRPr="00FB301A">
        <w:rPr>
          <w:rFonts w:cs="Times New Roman"/>
        </w:rPr>
        <w:t xml:space="preserve">es, taking into account the financial requirements and risk appetite of the Agency. TCV is also able to offer advice in the development of treasury policies and the outsourcing of treasury operations. </w:t>
      </w:r>
    </w:p>
    <w:p w14:paraId="2FAB6844" w14:textId="30A20232" w:rsidR="00B94F92" w:rsidRPr="00FB301A" w:rsidRDefault="00E3487E" w:rsidP="00E41431">
      <w:pPr>
        <w:rPr>
          <w:rFonts w:cs="Times New Roman"/>
        </w:rPr>
      </w:pPr>
      <w:r w:rsidRPr="00450E9C">
        <w:t xml:space="preserve">TCV provide the option to place funds on term deposit. Note: when funds are to be utilised within </w:t>
      </w:r>
      <w:r w:rsidR="00580606">
        <w:t>twelve months</w:t>
      </w:r>
      <w:r w:rsidRPr="00450E9C">
        <w:t>, they should be invested in the CBS. An investment policy is not required to invest with TCV.</w:t>
      </w:r>
    </w:p>
    <w:p w14:paraId="7DE693F4" w14:textId="5DCBB492" w:rsidR="00FF4D93" w:rsidRPr="00FB301A" w:rsidRDefault="00FF4D93" w:rsidP="00FF4D93">
      <w:pPr>
        <w:suppressAutoHyphens/>
        <w:autoSpaceDN w:val="0"/>
        <w:spacing w:before="120" w:after="120" w:line="240" w:lineRule="atLeast"/>
        <w:textAlignment w:val="baseline"/>
        <w:rPr>
          <w:rFonts w:cs="Times New Roman"/>
        </w:rPr>
      </w:pPr>
      <w:r w:rsidRPr="00FB301A">
        <w:rPr>
          <w:rFonts w:cs="Times New Roman"/>
        </w:rPr>
        <w:t>Requests for further information concerning TCV’s products and services, should be directed to:</w:t>
      </w:r>
    </w:p>
    <w:p w14:paraId="1963E81D" w14:textId="4D450679" w:rsidR="00FF4D93" w:rsidRPr="002167FF" w:rsidRDefault="00FF4D93" w:rsidP="002167FF">
      <w:pPr>
        <w:pStyle w:val="NormalIndent"/>
        <w:ind w:left="807"/>
        <w:rPr>
          <w:rFonts w:cs="Times New Roman"/>
        </w:rPr>
      </w:pPr>
      <w:r w:rsidRPr="00FB301A">
        <w:t>Treasury Client Services</w:t>
      </w:r>
      <w:r>
        <w:br/>
      </w:r>
      <w:r w:rsidRPr="00FB301A">
        <w:rPr>
          <w:rFonts w:cs="Times New Roman"/>
        </w:rPr>
        <w:t>Treasury Corporation of Victoria</w:t>
      </w:r>
      <w:r>
        <w:rPr>
          <w:rFonts w:cs="Times New Roman"/>
        </w:rPr>
        <w:br/>
      </w:r>
      <w:r w:rsidRPr="00FB301A">
        <w:rPr>
          <w:rFonts w:cs="Times New Roman"/>
        </w:rPr>
        <w:t>Level 12, 1 Collins Street</w:t>
      </w:r>
      <w:r>
        <w:rPr>
          <w:rFonts w:cs="Times New Roman"/>
        </w:rPr>
        <w:br/>
      </w:r>
      <w:r w:rsidRPr="00FB301A">
        <w:rPr>
          <w:rFonts w:cs="Times New Roman"/>
        </w:rPr>
        <w:t>MELBOURNE  VIC  3000</w:t>
      </w:r>
      <w:r>
        <w:rPr>
          <w:rFonts w:cs="Times New Roman"/>
        </w:rPr>
        <w:br/>
      </w:r>
      <w:r w:rsidRPr="00FB301A">
        <w:rPr>
          <w:rFonts w:cs="Times New Roman"/>
        </w:rPr>
        <w:t xml:space="preserve">Tel: </w:t>
      </w:r>
      <w:r w:rsidR="00580606">
        <w:rPr>
          <w:rFonts w:cs="Times New Roman"/>
        </w:rPr>
        <w:t xml:space="preserve">03 </w:t>
      </w:r>
      <w:r>
        <w:rPr>
          <w:rFonts w:cs="Times New Roman"/>
        </w:rPr>
        <w:t>9911 3636</w:t>
      </w:r>
      <w:r>
        <w:rPr>
          <w:rFonts w:cs="Times New Roman"/>
        </w:rPr>
        <w:br/>
      </w:r>
      <w:r w:rsidRPr="008A28FC">
        <w:rPr>
          <w:rFonts w:cs="Times New Roman"/>
        </w:rPr>
        <w:t xml:space="preserve">Email: </w:t>
      </w:r>
      <w:hyperlink r:id="rId227" w:history="1">
        <w:r w:rsidRPr="004661D4">
          <w:rPr>
            <w:rStyle w:val="Hyperlink"/>
            <w:color w:val="auto"/>
          </w:rPr>
          <w:t>treasuryclientservices@tcv.vic.gov.au</w:t>
        </w:r>
      </w:hyperlink>
    </w:p>
    <w:p w14:paraId="4526C193" w14:textId="289D5AC9" w:rsidR="00FF4D93" w:rsidRPr="00FB301A" w:rsidRDefault="00FF4D93" w:rsidP="00924EDE">
      <w:pPr>
        <w:suppressAutoHyphens/>
        <w:autoSpaceDN w:val="0"/>
        <w:spacing w:before="120" w:after="120" w:line="240" w:lineRule="atLeast"/>
        <w:textAlignment w:val="baseline"/>
        <w:rPr>
          <w:rFonts w:cs="Times New Roman"/>
        </w:rPr>
      </w:pPr>
    </w:p>
    <w:p w14:paraId="47310307" w14:textId="77777777" w:rsidR="00FF4D93" w:rsidRPr="00573B36" w:rsidRDefault="00FF4D93" w:rsidP="00FF4D93">
      <w:pPr>
        <w:pStyle w:val="Heading1NoNum"/>
      </w:pPr>
      <w:r w:rsidRPr="00573B36">
        <w:t>Borrowing approval process</w:t>
      </w:r>
    </w:p>
    <w:p w14:paraId="3E4E004E" w14:textId="37B097AE" w:rsidR="00FF4D93" w:rsidRPr="00FB301A" w:rsidRDefault="00FF4D93" w:rsidP="00FF4D93">
      <w:pPr>
        <w:suppressAutoHyphens/>
        <w:autoSpaceDN w:val="0"/>
        <w:spacing w:before="120" w:after="120" w:line="240" w:lineRule="atLeast"/>
        <w:textAlignment w:val="baseline"/>
        <w:rPr>
          <w:rFonts w:cs="Times New Roman"/>
        </w:rPr>
      </w:pPr>
      <w:r w:rsidRPr="00FB301A">
        <w:rPr>
          <w:rFonts w:cs="Times New Roman"/>
          <w:spacing w:val="-4"/>
        </w:rPr>
        <w:t>The majority of regular borrowers are public non</w:t>
      </w:r>
      <w:r>
        <w:rPr>
          <w:rFonts w:cs="Times New Roman"/>
          <w:spacing w:val="-4"/>
        </w:rPr>
        <w:noBreakHyphen/>
      </w:r>
      <w:r w:rsidRPr="00FB301A">
        <w:rPr>
          <w:rFonts w:cs="Times New Roman"/>
          <w:spacing w:val="-4"/>
        </w:rPr>
        <w:t>financial corporations such as water corporations</w:t>
      </w:r>
      <w:r w:rsidRPr="00FB301A">
        <w:rPr>
          <w:rFonts w:cs="Times New Roman"/>
        </w:rPr>
        <w:t xml:space="preserve">. They have borrowing powers under the </w:t>
      </w:r>
      <w:r w:rsidRPr="00FB301A">
        <w:rPr>
          <w:rFonts w:cs="Times New Roman"/>
          <w:i/>
        </w:rPr>
        <w:t>Borrowing and Investment Powers Act 1987</w:t>
      </w:r>
      <w:r w:rsidRPr="00FB301A">
        <w:rPr>
          <w:rFonts w:cs="Times New Roman"/>
        </w:rPr>
        <w:t xml:space="preserve">. Other </w:t>
      </w:r>
      <w:r w:rsidRPr="00FB301A">
        <w:rPr>
          <w:rFonts w:cs="Times New Roman"/>
          <w:spacing w:val="-3"/>
        </w:rPr>
        <w:t>Agencies also have borrowing powers under their establishing or governing legislation. Agencies</w:t>
      </w:r>
      <w:r w:rsidRPr="00FB301A">
        <w:rPr>
          <w:rFonts w:cs="Times New Roman"/>
        </w:rPr>
        <w:t xml:space="preserve"> can obtain borrowings subject to obtaining the Treasurer’s approval of a borrowing limit. TCV will be authorised to lend up to </w:t>
      </w:r>
      <w:r w:rsidR="0021254A">
        <w:rPr>
          <w:rFonts w:cs="Times New Roman"/>
        </w:rPr>
        <w:t xml:space="preserve">the approved </w:t>
      </w:r>
      <w:r w:rsidRPr="00FB301A">
        <w:rPr>
          <w:rFonts w:cs="Times New Roman"/>
        </w:rPr>
        <w:t>limit.</w:t>
      </w:r>
    </w:p>
    <w:p w14:paraId="516E853B" w14:textId="77777777" w:rsidR="00FF4D93" w:rsidRPr="00573B36" w:rsidRDefault="00FF4D93" w:rsidP="00FF4D93">
      <w:pPr>
        <w:pStyle w:val="Heading2NoNum"/>
      </w:pPr>
      <w:r w:rsidRPr="00573B36">
        <w:lastRenderedPageBreak/>
        <w:t>Annual borrowing cycle</w:t>
      </w:r>
    </w:p>
    <w:p w14:paraId="17F9FA8F" w14:textId="0CB7ACB4" w:rsidR="00FF4D93" w:rsidRPr="00FB301A" w:rsidRDefault="00FF4D93" w:rsidP="00FF4D93">
      <w:pPr>
        <w:suppressAutoHyphens/>
        <w:autoSpaceDN w:val="0"/>
        <w:spacing w:before="120" w:after="120" w:line="240" w:lineRule="atLeast"/>
        <w:textAlignment w:val="baseline"/>
        <w:rPr>
          <w:rFonts w:cs="Times New Roman"/>
        </w:rPr>
      </w:pPr>
      <w:r w:rsidRPr="00FB301A">
        <w:rPr>
          <w:rFonts w:cs="Times New Roman"/>
          <w:spacing w:val="-2"/>
        </w:rPr>
        <w:t>The borrowing approval framework operates on an annual cycle. The Treasurer approves the borrowing requirements</w:t>
      </w:r>
      <w:r w:rsidRPr="00FB301A">
        <w:rPr>
          <w:rFonts w:cs="Times New Roman"/>
        </w:rPr>
        <w:t xml:space="preserve"> </w:t>
      </w:r>
      <w:r w:rsidRPr="00FB301A">
        <w:rPr>
          <w:rFonts w:cs="Times New Roman"/>
          <w:spacing w:val="-1"/>
        </w:rPr>
        <w:t>for each Agency for the following financial year. This approval is based on data submitted to DTF via the</w:t>
      </w:r>
      <w:r w:rsidRPr="00FB301A">
        <w:rPr>
          <w:rFonts w:cs="Times New Roman"/>
        </w:rPr>
        <w:t xml:space="preserve"> annual budget</w:t>
      </w:r>
      <w:r w:rsidR="003C5D74">
        <w:rPr>
          <w:rFonts w:cs="Times New Roman"/>
        </w:rPr>
        <w:t xml:space="preserve"> and corporate planning</w:t>
      </w:r>
      <w:r w:rsidRPr="00FB301A">
        <w:rPr>
          <w:rFonts w:cs="Times New Roman"/>
        </w:rPr>
        <w:t xml:space="preserve"> process. The Agency borrowing requirements for the forthcoming year should be reflected in its annual budget feeds. Once approved, the Agency is provided with written confirmation of its annual borrowing limits and these limits are provided to TCV.</w:t>
      </w:r>
      <w:r w:rsidR="00B23C53">
        <w:rPr>
          <w:rFonts w:cs="Times New Roman"/>
        </w:rPr>
        <w:t xml:space="preserve"> The borrowing approval for all agencies now include</w:t>
      </w:r>
      <w:r w:rsidR="00D67CF0">
        <w:rPr>
          <w:rFonts w:cs="Times New Roman"/>
        </w:rPr>
        <w:t>s</w:t>
      </w:r>
      <w:r w:rsidR="00B23C53">
        <w:rPr>
          <w:rFonts w:cs="Times New Roman"/>
        </w:rPr>
        <w:t xml:space="preserve"> leases (using the accounting definition).</w:t>
      </w:r>
    </w:p>
    <w:p w14:paraId="6C0DF66B" w14:textId="3BAF12F8" w:rsidR="00FF4D93" w:rsidRPr="00FB301A" w:rsidRDefault="00FF4D93" w:rsidP="00FF4D93">
      <w:pPr>
        <w:pStyle w:val="Heading2NoNum"/>
      </w:pPr>
      <w:r w:rsidRPr="00FB301A">
        <w:t>Borrowing approval process</w:t>
      </w:r>
      <w:r w:rsidR="000D6BE8">
        <w:t xml:space="preserve"> for public non-financial corporations </w:t>
      </w:r>
      <w:r w:rsidRPr="00FB301A">
        <w:t>out</w:t>
      </w:r>
      <w:r>
        <w:t>side of annual cycle</w:t>
      </w:r>
    </w:p>
    <w:p w14:paraId="6EB36918" w14:textId="5113F763" w:rsidR="00FF4D93" w:rsidRPr="00866D64" w:rsidRDefault="00FF4D93" w:rsidP="00FF4D93">
      <w:pPr>
        <w:suppressAutoHyphens/>
        <w:autoSpaceDN w:val="0"/>
        <w:spacing w:before="120" w:after="120" w:line="240" w:lineRule="atLeast"/>
        <w:textAlignment w:val="baseline"/>
        <w:rPr>
          <w:rFonts w:cs="Times New Roman"/>
        </w:rPr>
      </w:pPr>
      <w:r w:rsidRPr="00866D64">
        <w:rPr>
          <w:rFonts w:cs="Times New Roman"/>
        </w:rPr>
        <w:t>There may be occasions when an Agency borrows on a ‘once</w:t>
      </w:r>
      <w:r w:rsidRPr="00866D64">
        <w:rPr>
          <w:rFonts w:cs="Times New Roman"/>
        </w:rPr>
        <w:noBreakHyphen/>
        <w:t xml:space="preserve">off’ or project basis outside the annual </w:t>
      </w:r>
      <w:r w:rsidRPr="00866D64">
        <w:rPr>
          <w:rFonts w:cs="Times New Roman"/>
          <w:spacing w:val="-2"/>
        </w:rPr>
        <w:t>borrowing cycle, or requires additional borrowings (over and above the borrowing limit approved in the annual cycle)</w:t>
      </w:r>
      <w:r w:rsidRPr="00866D64">
        <w:rPr>
          <w:rFonts w:cs="Times New Roman"/>
        </w:rPr>
        <w:t>. Public Sector Agencies should submit a written request to DTF detailing the amount of additional borrowings with an accompanying explanation or business case if project related</w:t>
      </w:r>
      <w:r w:rsidR="00995ED6" w:rsidRPr="00866D64">
        <w:rPr>
          <w:rFonts w:cs="Times New Roman"/>
        </w:rPr>
        <w:t xml:space="preserve">. </w:t>
      </w:r>
    </w:p>
    <w:p w14:paraId="73D3B23B" w14:textId="77777777" w:rsidR="00FF4D93" w:rsidRPr="00866D64" w:rsidRDefault="00FF4D93" w:rsidP="00FF4D93">
      <w:pPr>
        <w:suppressAutoHyphens/>
        <w:autoSpaceDN w:val="0"/>
        <w:spacing w:before="120" w:after="120" w:line="240" w:lineRule="atLeast"/>
        <w:textAlignment w:val="baseline"/>
        <w:rPr>
          <w:rFonts w:cs="Times New Roman"/>
        </w:rPr>
      </w:pPr>
      <w:r w:rsidRPr="00866D64">
        <w:rPr>
          <w:rFonts w:cs="Times New Roman"/>
        </w:rPr>
        <w:t>Written requests for borrowing limits outside of the annual approval cycle should be forwarded to:</w:t>
      </w:r>
    </w:p>
    <w:p w14:paraId="5041F8F0" w14:textId="77777777" w:rsidR="000D6BE8" w:rsidRPr="00866D64" w:rsidRDefault="00C205A0" w:rsidP="0003333A">
      <w:pPr>
        <w:pStyle w:val="NormalIndent"/>
        <w:ind w:left="807"/>
        <w:rPr>
          <w:rFonts w:cs="Times New Roman"/>
        </w:rPr>
      </w:pPr>
      <w:r w:rsidRPr="00866D64">
        <w:t xml:space="preserve">Executive </w:t>
      </w:r>
      <w:r w:rsidR="00FF4D93" w:rsidRPr="00866D64">
        <w:t>Director, Financial Assets and Liabilities</w:t>
      </w:r>
      <w:r w:rsidR="00FF4D93" w:rsidRPr="00866D64">
        <w:br/>
      </w:r>
      <w:r w:rsidR="00FF4D93" w:rsidRPr="00866D64">
        <w:rPr>
          <w:rFonts w:cs="Times New Roman"/>
        </w:rPr>
        <w:t>Department of Treasury and Finance</w:t>
      </w:r>
      <w:r w:rsidR="00FF4D93" w:rsidRPr="00866D64">
        <w:rPr>
          <w:rFonts w:cs="Times New Roman"/>
        </w:rPr>
        <w:br/>
        <w:t>Level 5, 1 Treasury Place</w:t>
      </w:r>
      <w:r w:rsidR="00FF4D93" w:rsidRPr="00866D64">
        <w:rPr>
          <w:rFonts w:cs="Times New Roman"/>
        </w:rPr>
        <w:br/>
        <w:t>MELBOURNE VIC 3002</w:t>
      </w:r>
    </w:p>
    <w:p w14:paraId="367A402C" w14:textId="6A4766DC" w:rsidR="00FF4D93" w:rsidRPr="00FB301A" w:rsidRDefault="00FF4D93" w:rsidP="00924EDE">
      <w:pPr>
        <w:pStyle w:val="Heading2NoNum"/>
      </w:pPr>
      <w:r w:rsidRPr="00450E9C">
        <w:t>Approvals for general government agencies</w:t>
      </w:r>
    </w:p>
    <w:p w14:paraId="0AFCBB58" w14:textId="26725057" w:rsidR="00FF4D93" w:rsidRPr="00FB301A" w:rsidRDefault="00FF4D93" w:rsidP="00FF4D93">
      <w:pPr>
        <w:spacing w:before="120" w:after="120" w:line="240" w:lineRule="atLeast"/>
        <w:rPr>
          <w:rFonts w:cs="Times New Roman"/>
          <w:szCs w:val="20"/>
        </w:rPr>
      </w:pPr>
      <w:r w:rsidRPr="00FB301A">
        <w:rPr>
          <w:rFonts w:cs="Times New Roman"/>
          <w:bCs/>
          <w:iCs/>
          <w:spacing w:val="2"/>
          <w:szCs w:val="20"/>
        </w:rPr>
        <w:t xml:space="preserve">General government </w:t>
      </w:r>
      <w:r w:rsidR="000D6BE8">
        <w:rPr>
          <w:rFonts w:cs="Times New Roman"/>
          <w:bCs/>
          <w:iCs/>
          <w:spacing w:val="2"/>
          <w:szCs w:val="20"/>
        </w:rPr>
        <w:t>a</w:t>
      </w:r>
      <w:r w:rsidR="000D6BE8" w:rsidRPr="00FB301A">
        <w:rPr>
          <w:rFonts w:cs="Times New Roman"/>
          <w:bCs/>
          <w:iCs/>
          <w:spacing w:val="2"/>
          <w:szCs w:val="20"/>
        </w:rPr>
        <w:t xml:space="preserve">gencies </w:t>
      </w:r>
      <w:r w:rsidRPr="00FB301A">
        <w:rPr>
          <w:rFonts w:cs="Times New Roman"/>
          <w:bCs/>
          <w:iCs/>
          <w:spacing w:val="2"/>
          <w:szCs w:val="20"/>
        </w:rPr>
        <w:t>are not normally given approval to borrow as they are subject to the</w:t>
      </w:r>
      <w:r w:rsidRPr="00FB301A">
        <w:rPr>
          <w:rFonts w:cs="Times New Roman"/>
          <w:bCs/>
          <w:iCs/>
          <w:szCs w:val="20"/>
        </w:rPr>
        <w:t xml:space="preserve"> </w:t>
      </w:r>
      <w:r w:rsidRPr="00FB301A">
        <w:rPr>
          <w:rFonts w:cs="Times New Roman"/>
          <w:bCs/>
          <w:iCs/>
          <w:spacing w:val="-3"/>
          <w:szCs w:val="20"/>
        </w:rPr>
        <w:t>Expenditure Review Sub</w:t>
      </w:r>
      <w:r>
        <w:rPr>
          <w:rFonts w:cs="Times New Roman"/>
          <w:bCs/>
          <w:iCs/>
          <w:spacing w:val="-3"/>
          <w:szCs w:val="20"/>
        </w:rPr>
        <w:noBreakHyphen/>
      </w:r>
      <w:r w:rsidRPr="00FB301A">
        <w:rPr>
          <w:rFonts w:cs="Times New Roman"/>
          <w:bCs/>
          <w:iCs/>
          <w:spacing w:val="-3"/>
          <w:szCs w:val="20"/>
        </w:rPr>
        <w:t xml:space="preserve">Committee (ERC) process and funded by Budget Appropriations. </w:t>
      </w:r>
      <w:r w:rsidR="000D6BE8">
        <w:rPr>
          <w:rFonts w:cs="Times New Roman"/>
          <w:bCs/>
          <w:iCs/>
          <w:spacing w:val="-3"/>
          <w:szCs w:val="20"/>
        </w:rPr>
        <w:t>G</w:t>
      </w:r>
      <w:r w:rsidR="000D6BE8" w:rsidRPr="00FB301A">
        <w:rPr>
          <w:rFonts w:cs="Times New Roman"/>
          <w:bCs/>
          <w:iCs/>
          <w:spacing w:val="-3"/>
          <w:szCs w:val="20"/>
        </w:rPr>
        <w:t xml:space="preserve">eneral </w:t>
      </w:r>
      <w:r w:rsidRPr="00FB301A">
        <w:rPr>
          <w:rFonts w:cs="Times New Roman"/>
          <w:bCs/>
          <w:iCs/>
          <w:spacing w:val="-3"/>
          <w:szCs w:val="20"/>
        </w:rPr>
        <w:t>government</w:t>
      </w:r>
      <w:r>
        <w:rPr>
          <w:rFonts w:cs="Times New Roman"/>
          <w:bCs/>
          <w:iCs/>
          <w:szCs w:val="20"/>
        </w:rPr>
        <w:t xml:space="preserve"> public sector </w:t>
      </w:r>
      <w:r w:rsidR="000D6BE8">
        <w:rPr>
          <w:rFonts w:cs="Times New Roman"/>
          <w:bCs/>
          <w:iCs/>
          <w:szCs w:val="20"/>
        </w:rPr>
        <w:t>a</w:t>
      </w:r>
      <w:r w:rsidR="000D6BE8" w:rsidRPr="00FB301A">
        <w:rPr>
          <w:rFonts w:cs="Times New Roman"/>
          <w:bCs/>
          <w:iCs/>
          <w:szCs w:val="20"/>
        </w:rPr>
        <w:t xml:space="preserve">gencies </w:t>
      </w:r>
      <w:r w:rsidRPr="00FB301A">
        <w:rPr>
          <w:rFonts w:cs="Times New Roman"/>
          <w:bCs/>
          <w:iCs/>
          <w:szCs w:val="20"/>
        </w:rPr>
        <w:t xml:space="preserve">permitted to borrow by exception include: </w:t>
      </w:r>
    </w:p>
    <w:p w14:paraId="1CABCCE7" w14:textId="77777777" w:rsidR="00FF4D93" w:rsidRPr="00FB301A" w:rsidRDefault="00FF4D93" w:rsidP="00FF4D93">
      <w:pPr>
        <w:pStyle w:val="Heading2NoNum"/>
      </w:pPr>
      <w:r w:rsidRPr="00FB301A">
        <w:t>Hospitals</w:t>
      </w:r>
    </w:p>
    <w:p w14:paraId="05E07AA9" w14:textId="56625E44" w:rsidR="00FF4D93" w:rsidRPr="00FB301A" w:rsidRDefault="00FF4D93" w:rsidP="00FF4D93">
      <w:pPr>
        <w:spacing w:before="120" w:after="120" w:line="240" w:lineRule="atLeast"/>
        <w:rPr>
          <w:rFonts w:cs="Times New Roman"/>
          <w:b/>
          <w:szCs w:val="20"/>
        </w:rPr>
      </w:pPr>
      <w:r w:rsidRPr="00FB301A">
        <w:rPr>
          <w:rFonts w:cs="Times New Roman"/>
          <w:bCs/>
          <w:iCs/>
          <w:spacing w:val="2"/>
          <w:szCs w:val="20"/>
        </w:rPr>
        <w:t>As a result of a previous ERC decision, hospitals may request borrowings for new car park developments when a</w:t>
      </w:r>
      <w:r w:rsidRPr="00FB301A">
        <w:rPr>
          <w:rFonts w:cs="Times New Roman"/>
          <w:bCs/>
          <w:iCs/>
          <w:szCs w:val="20"/>
        </w:rPr>
        <w:t xml:space="preserve"> commercially</w:t>
      </w:r>
      <w:r w:rsidRPr="00FB301A">
        <w:rPr>
          <w:rFonts w:cs="Times New Roman"/>
          <w:bCs/>
          <w:iCs/>
          <w:spacing w:val="-2"/>
          <w:szCs w:val="20"/>
        </w:rPr>
        <w:t xml:space="preserve"> viable</w:t>
      </w:r>
      <w:r w:rsidRPr="00FB301A">
        <w:rPr>
          <w:rFonts w:cs="Times New Roman"/>
          <w:bCs/>
          <w:iCs/>
          <w:szCs w:val="20"/>
        </w:rPr>
        <w:t xml:space="preserve"> business case has been submitted to DTF for approval. Such borrowings are outside the scope of the annual borrowing cycle, and will require the approval of the Minister for Health, the </w:t>
      </w:r>
      <w:r w:rsidR="0089733D" w:rsidRPr="002F49A6">
        <w:rPr>
          <w:rFonts w:cs="Times New Roman"/>
          <w:bCs/>
          <w:iCs/>
          <w:szCs w:val="20"/>
        </w:rPr>
        <w:t>Assistant Treasurer</w:t>
      </w:r>
      <w:r w:rsidRPr="00FB301A">
        <w:rPr>
          <w:rFonts w:cs="Times New Roman"/>
          <w:bCs/>
          <w:iCs/>
          <w:szCs w:val="20"/>
        </w:rPr>
        <w:t xml:space="preserve"> and the</w:t>
      </w:r>
      <w:r w:rsidRPr="00FB301A">
        <w:rPr>
          <w:rFonts w:cs="Times New Roman"/>
          <w:szCs w:val="20"/>
        </w:rPr>
        <w:t xml:space="preserve"> Treasurer.</w:t>
      </w:r>
    </w:p>
    <w:p w14:paraId="0FCE567A" w14:textId="77777777" w:rsidR="00FF4D93" w:rsidRPr="00FB301A" w:rsidRDefault="00FF4D93" w:rsidP="00FF4D93">
      <w:pPr>
        <w:pStyle w:val="Heading2NoNum"/>
      </w:pPr>
      <w:r>
        <w:t>School co</w:t>
      </w:r>
      <w:r w:rsidRPr="00FB301A">
        <w:t>operatives</w:t>
      </w:r>
    </w:p>
    <w:p w14:paraId="79D838D2" w14:textId="62CC2F0F" w:rsidR="00FF4D93" w:rsidRDefault="00FF4D93" w:rsidP="00FF4D93">
      <w:pPr>
        <w:autoSpaceDE w:val="0"/>
        <w:adjustRightInd w:val="0"/>
        <w:spacing w:before="120" w:after="120" w:line="240" w:lineRule="atLeast"/>
        <w:rPr>
          <w:rFonts w:cs="Times New Roman"/>
          <w:szCs w:val="20"/>
        </w:rPr>
      </w:pPr>
      <w:r w:rsidRPr="00FB301A">
        <w:rPr>
          <w:rFonts w:cs="Times New Roman"/>
          <w:spacing w:val="2"/>
          <w:szCs w:val="20"/>
        </w:rPr>
        <w:t xml:space="preserve">School cooperatives may borrow from TCV to finance school building projects. A business case is required along with support from the Department of Education and </w:t>
      </w:r>
      <w:r w:rsidR="000456AD">
        <w:rPr>
          <w:rFonts w:cs="Times New Roman"/>
          <w:spacing w:val="2"/>
          <w:szCs w:val="20"/>
        </w:rPr>
        <w:t>Training (DET</w:t>
      </w:r>
      <w:r w:rsidR="00CC7F24" w:rsidRPr="00A64039">
        <w:rPr>
          <w:rFonts w:cs="Times New Roman"/>
          <w:spacing w:val="2"/>
          <w:szCs w:val="20"/>
        </w:rPr>
        <w:t>)</w:t>
      </w:r>
      <w:r w:rsidR="000456AD">
        <w:rPr>
          <w:rFonts w:cs="Times New Roman"/>
          <w:spacing w:val="2"/>
          <w:szCs w:val="20"/>
        </w:rPr>
        <w:t xml:space="preserve"> and the Treasurer via DTF</w:t>
      </w:r>
      <w:r w:rsidR="00CC7F24" w:rsidRPr="00A64039">
        <w:rPr>
          <w:rFonts w:cs="Times New Roman"/>
          <w:spacing w:val="2"/>
          <w:szCs w:val="20"/>
        </w:rPr>
        <w:t>.</w:t>
      </w:r>
      <w:r w:rsidRPr="00FB301A">
        <w:rPr>
          <w:rFonts w:cs="Times New Roman"/>
          <w:spacing w:val="2"/>
          <w:szCs w:val="20"/>
        </w:rPr>
        <w:t xml:space="preserve"> Further</w:t>
      </w:r>
      <w:r w:rsidRPr="00FB301A">
        <w:rPr>
          <w:rFonts w:cs="Times New Roman"/>
          <w:szCs w:val="20"/>
        </w:rPr>
        <w:t xml:space="preserve"> information (only accessible to schools</w:t>
      </w:r>
      <w:r>
        <w:rPr>
          <w:rFonts w:cs="Times New Roman"/>
          <w:szCs w:val="20"/>
        </w:rPr>
        <w:t>)</w:t>
      </w:r>
      <w:r w:rsidRPr="00FB301A">
        <w:rPr>
          <w:rFonts w:cs="Times New Roman"/>
          <w:szCs w:val="20"/>
        </w:rPr>
        <w:t xml:space="preserve"> is contained on the </w:t>
      </w:r>
      <w:hyperlink r:id="rId228" w:history="1">
        <w:r w:rsidRPr="007B5B2A">
          <w:rPr>
            <w:rStyle w:val="Hyperlink"/>
            <w:rFonts w:cs="Times New Roman"/>
            <w:szCs w:val="20"/>
          </w:rPr>
          <w:t>DET intranet</w:t>
        </w:r>
      </w:hyperlink>
      <w:r w:rsidRPr="00FB301A">
        <w:rPr>
          <w:rFonts w:cs="Times New Roman"/>
          <w:szCs w:val="20"/>
        </w:rPr>
        <w:t xml:space="preserve">. </w:t>
      </w:r>
    </w:p>
    <w:p w14:paraId="7708BA76" w14:textId="77777777" w:rsidR="00FF4D93" w:rsidRPr="00FB301A" w:rsidRDefault="00FF4D93" w:rsidP="00FF4D93">
      <w:pPr>
        <w:pStyle w:val="Heading1NoNum"/>
      </w:pPr>
      <w:r w:rsidRPr="00FB301A">
        <w:t>Finance leases</w:t>
      </w:r>
    </w:p>
    <w:p w14:paraId="24E6298B" w14:textId="141A9506" w:rsidR="00FF4D93" w:rsidRPr="007B5B2A" w:rsidRDefault="00FF4D93" w:rsidP="00FF4D93">
      <w:pPr>
        <w:spacing w:before="120" w:after="120" w:line="240" w:lineRule="atLeast"/>
        <w:rPr>
          <w:iCs/>
          <w:szCs w:val="20"/>
          <w:lang w:val="en-GB"/>
        </w:rPr>
      </w:pPr>
      <w:r w:rsidRPr="007B5B2A">
        <w:rPr>
          <w:iCs/>
          <w:szCs w:val="20"/>
          <w:lang w:val="en-GB"/>
        </w:rPr>
        <w:t xml:space="preserve">The </w:t>
      </w:r>
      <w:r w:rsidRPr="007B5B2A">
        <w:rPr>
          <w:i/>
          <w:iCs/>
          <w:szCs w:val="20"/>
          <w:lang w:val="en-GB"/>
        </w:rPr>
        <w:t>Borrowing and Investment Powers Act 1987</w:t>
      </w:r>
      <w:r w:rsidRPr="007B5B2A">
        <w:rPr>
          <w:iCs/>
          <w:szCs w:val="20"/>
          <w:lang w:val="en-GB"/>
        </w:rPr>
        <w:t xml:space="preserve"> includes finance leases in the definition of financial acco</w:t>
      </w:r>
      <w:r>
        <w:rPr>
          <w:iCs/>
          <w:szCs w:val="20"/>
          <w:lang w:val="en-GB"/>
        </w:rPr>
        <w:t xml:space="preserve">mmodation or borrowing (see </w:t>
      </w:r>
      <w:hyperlink r:id="rId229" w:anchor="instructions" w:history="1">
        <w:r w:rsidRPr="00D4158F">
          <w:rPr>
            <w:rStyle w:val="Hyperlink"/>
            <w:iCs/>
            <w:szCs w:val="20"/>
            <w:lang w:val="en-GB"/>
          </w:rPr>
          <w:t>Instruction 3.7.2.3</w:t>
        </w:r>
      </w:hyperlink>
      <w:r w:rsidRPr="007B5B2A">
        <w:rPr>
          <w:iCs/>
          <w:szCs w:val="20"/>
          <w:lang w:val="en-GB"/>
        </w:rPr>
        <w:t>). This Act and most othe</w:t>
      </w:r>
      <w:r>
        <w:rPr>
          <w:iCs/>
          <w:szCs w:val="20"/>
          <w:lang w:val="en-GB"/>
        </w:rPr>
        <w:t>r Victorian legislation require</w:t>
      </w:r>
      <w:r w:rsidRPr="007B5B2A">
        <w:rPr>
          <w:iCs/>
          <w:szCs w:val="20"/>
          <w:lang w:val="en-GB"/>
        </w:rPr>
        <w:t xml:space="preserve"> a Public Sector Agency to obtain the Treasurer’s approval before obtaining financial accommodation (including finance leases). TCV or VFMC do not offer finance leases. Therefore, when an Agency requests approval from the Treasurer to enter into a finance lease, an exemption to the Direction should also be sought. Agencies </w:t>
      </w:r>
      <w:proofErr w:type="gramStart"/>
      <w:r w:rsidRPr="007B5B2A">
        <w:rPr>
          <w:iCs/>
          <w:szCs w:val="20"/>
          <w:lang w:val="en-GB"/>
        </w:rPr>
        <w:t>entering into</w:t>
      </w:r>
      <w:proofErr w:type="gramEnd"/>
      <w:r w:rsidRPr="007B5B2A">
        <w:rPr>
          <w:iCs/>
          <w:szCs w:val="20"/>
          <w:lang w:val="en-GB"/>
        </w:rPr>
        <w:t xml:space="preserve"> finance leases as part of </w:t>
      </w:r>
      <w:hyperlink r:id="rId230" w:history="1">
        <w:r w:rsidRPr="00BC1116">
          <w:rPr>
            <w:rStyle w:val="Hyperlink"/>
          </w:rPr>
          <w:t>Public Private Partnership</w:t>
        </w:r>
      </w:hyperlink>
      <w:r w:rsidRPr="007B5B2A">
        <w:rPr>
          <w:iCs/>
          <w:szCs w:val="20"/>
          <w:lang w:val="en-GB"/>
        </w:rPr>
        <w:t xml:space="preserve"> (PV) arrangements should also consider obtaining an exemption along with all other relevant approvals as part of the PV framework.</w:t>
      </w:r>
    </w:p>
    <w:p w14:paraId="48D03DE3" w14:textId="0A80E8E2" w:rsidR="004E517D" w:rsidRDefault="004E517D" w:rsidP="00CC7F24">
      <w:pPr>
        <w:pStyle w:val="Heading1NoNum"/>
      </w:pPr>
      <w:r>
        <w:t xml:space="preserve">Operational </w:t>
      </w:r>
      <w:r w:rsidR="000D6BE8">
        <w:t>l</w:t>
      </w:r>
      <w:r>
        <w:t>eases</w:t>
      </w:r>
    </w:p>
    <w:p w14:paraId="77E309EC" w14:textId="681488CC" w:rsidR="0089733D" w:rsidRPr="002F49A6" w:rsidRDefault="0089733D" w:rsidP="002F49A6">
      <w:pPr>
        <w:pStyle w:val="Listnum"/>
        <w:numPr>
          <w:ilvl w:val="0"/>
          <w:numId w:val="0"/>
        </w:numPr>
        <w:spacing w:before="120" w:after="120" w:line="240" w:lineRule="atLeast"/>
        <w:rPr>
          <w:rFonts w:cstheme="minorHAnsi"/>
        </w:rPr>
      </w:pPr>
      <w:r w:rsidRPr="002F49A6">
        <w:rPr>
          <w:rFonts w:cstheme="minorHAnsi"/>
        </w:rPr>
        <w:t xml:space="preserve">The introduction of the accounting standard, </w:t>
      </w:r>
      <w:r w:rsidRPr="002F49A6">
        <w:rPr>
          <w:rFonts w:cstheme="minorHAnsi"/>
          <w:i/>
        </w:rPr>
        <w:t>AASB 16 Leases</w:t>
      </w:r>
      <w:r w:rsidR="009770A8">
        <w:rPr>
          <w:rFonts w:cstheme="minorHAnsi"/>
          <w:i/>
        </w:rPr>
        <w:t xml:space="preserve"> </w:t>
      </w:r>
      <w:r w:rsidR="009770A8" w:rsidRPr="009770A8">
        <w:rPr>
          <w:rFonts w:cstheme="minorHAnsi"/>
          <w:iCs/>
        </w:rPr>
        <w:t>results</w:t>
      </w:r>
      <w:r w:rsidR="009770A8" w:rsidRPr="00924EDE">
        <w:rPr>
          <w:i/>
        </w:rPr>
        <w:t xml:space="preserve"> </w:t>
      </w:r>
      <w:r w:rsidRPr="002F49A6">
        <w:rPr>
          <w:rFonts w:cstheme="minorHAnsi"/>
        </w:rPr>
        <w:t xml:space="preserve">in operating leases being recognised on the State’s balance sheet. This means that the value of balance sheet ‘borrowings’ will </w:t>
      </w:r>
      <w:r w:rsidR="00E4046C">
        <w:rPr>
          <w:rFonts w:cstheme="minorHAnsi"/>
        </w:rPr>
        <w:t>include the impact of operating leases</w:t>
      </w:r>
      <w:r w:rsidRPr="002F49A6">
        <w:rPr>
          <w:rFonts w:cstheme="minorHAnsi"/>
        </w:rPr>
        <w:t xml:space="preserve">. </w:t>
      </w:r>
      <w:r w:rsidR="00E43990" w:rsidRPr="002F49A6">
        <w:rPr>
          <w:rFonts w:cstheme="minorHAnsi"/>
        </w:rPr>
        <w:t>T</w:t>
      </w:r>
      <w:r w:rsidR="00E43990">
        <w:rPr>
          <w:rFonts w:cstheme="minorHAnsi"/>
        </w:rPr>
        <w:t>herefore,</w:t>
      </w:r>
      <w:r w:rsidR="00E4046C">
        <w:rPr>
          <w:rFonts w:cstheme="minorHAnsi"/>
        </w:rPr>
        <w:t xml:space="preserve"> t</w:t>
      </w:r>
      <w:r w:rsidRPr="002F49A6">
        <w:rPr>
          <w:rFonts w:cstheme="minorHAnsi"/>
        </w:rPr>
        <w:t xml:space="preserve">he value of </w:t>
      </w:r>
      <w:r w:rsidR="00E4046C">
        <w:rPr>
          <w:rFonts w:cstheme="minorHAnsi"/>
        </w:rPr>
        <w:t xml:space="preserve">operating </w:t>
      </w:r>
      <w:r w:rsidRPr="002F49A6">
        <w:rPr>
          <w:rFonts w:cstheme="minorHAnsi"/>
        </w:rPr>
        <w:t xml:space="preserve">leases needs to be closely monitored and controlled by Departments, </w:t>
      </w:r>
      <w:r w:rsidR="00E4046C">
        <w:rPr>
          <w:rFonts w:cstheme="minorHAnsi"/>
        </w:rPr>
        <w:t>agenc</w:t>
      </w:r>
      <w:r w:rsidRPr="002F49A6">
        <w:rPr>
          <w:rFonts w:cstheme="minorHAnsi"/>
        </w:rPr>
        <w:t>ies and DTF to ensure that ‘borrowings’ are maintained within the Government’s fiscal targets.</w:t>
      </w:r>
    </w:p>
    <w:p w14:paraId="5C00A87B" w14:textId="4C90F971" w:rsidR="0089733D" w:rsidRPr="002F49A6" w:rsidRDefault="0089733D" w:rsidP="002F49A6">
      <w:pPr>
        <w:pStyle w:val="Listnum"/>
        <w:numPr>
          <w:ilvl w:val="0"/>
          <w:numId w:val="0"/>
        </w:numPr>
        <w:spacing w:before="120" w:after="120" w:line="240" w:lineRule="atLeast"/>
        <w:rPr>
          <w:rFonts w:cstheme="minorHAnsi"/>
        </w:rPr>
      </w:pPr>
      <w:r w:rsidRPr="002F49A6">
        <w:rPr>
          <w:rFonts w:cstheme="minorHAnsi"/>
        </w:rPr>
        <w:lastRenderedPageBreak/>
        <w:t>The change in accounting Standards and related financial reporting does not impact the legal status of operating leases nor the authority for an agency to enter an operati</w:t>
      </w:r>
      <w:r w:rsidR="00E4046C">
        <w:rPr>
          <w:rFonts w:cstheme="minorHAnsi"/>
        </w:rPr>
        <w:t>ng</w:t>
      </w:r>
      <w:r w:rsidRPr="002F49A6">
        <w:rPr>
          <w:rFonts w:cstheme="minorHAnsi"/>
        </w:rPr>
        <w:t xml:space="preserve"> lease. Agencies will continue to have the power to enter into operati</w:t>
      </w:r>
      <w:r w:rsidR="00E4046C">
        <w:rPr>
          <w:rFonts w:cstheme="minorHAnsi"/>
        </w:rPr>
        <w:t>ng</w:t>
      </w:r>
      <w:r w:rsidRPr="002F49A6">
        <w:rPr>
          <w:rFonts w:cstheme="minorHAnsi"/>
        </w:rPr>
        <w:t xml:space="preserve"> leases in line with existing practices. However, it is now necessary to impose limits on the total accounting value of leases held. </w:t>
      </w:r>
    </w:p>
    <w:p w14:paraId="204C595E" w14:textId="77777777" w:rsidR="0089733D" w:rsidRPr="002F49A6" w:rsidRDefault="0089733D" w:rsidP="0089733D">
      <w:pPr>
        <w:spacing w:before="120" w:after="120" w:line="240" w:lineRule="atLeast"/>
        <w:rPr>
          <w:rFonts w:asciiTheme="minorHAnsi" w:hAnsiTheme="minorHAnsi" w:cstheme="minorHAnsi"/>
        </w:rPr>
      </w:pPr>
      <w:r w:rsidRPr="002F49A6">
        <w:rPr>
          <w:rFonts w:asciiTheme="minorHAnsi" w:hAnsiTheme="minorHAnsi" w:cstheme="minorHAnsi"/>
        </w:rPr>
        <w:t xml:space="preserve">The need to maintain whole of State balance sheet ‘borrowings’ within the Government’s fiscal targets means that it’s essential that the stock of leases can be accurately </w:t>
      </w:r>
      <w:r w:rsidR="00FD2EE2" w:rsidRPr="002F49A6">
        <w:rPr>
          <w:rFonts w:asciiTheme="minorHAnsi" w:hAnsiTheme="minorHAnsi" w:cstheme="minorHAnsi"/>
        </w:rPr>
        <w:t>monitored,</w:t>
      </w:r>
      <w:r w:rsidRPr="002F49A6">
        <w:rPr>
          <w:rFonts w:asciiTheme="minorHAnsi" w:hAnsiTheme="minorHAnsi" w:cstheme="minorHAnsi"/>
        </w:rPr>
        <w:t xml:space="preserve"> and any increase tightly controlled. </w:t>
      </w:r>
    </w:p>
    <w:p w14:paraId="2C0D2718" w14:textId="03B677E8" w:rsidR="0089733D" w:rsidRPr="002F49A6" w:rsidRDefault="0089733D" w:rsidP="0089733D">
      <w:pPr>
        <w:spacing w:before="120" w:after="120" w:line="240" w:lineRule="atLeast"/>
        <w:rPr>
          <w:rFonts w:asciiTheme="minorHAnsi" w:hAnsiTheme="minorHAnsi" w:cstheme="minorHAnsi"/>
        </w:rPr>
      </w:pPr>
      <w:r w:rsidRPr="002F49A6">
        <w:rPr>
          <w:rFonts w:asciiTheme="minorHAnsi" w:hAnsiTheme="minorHAnsi" w:cstheme="minorHAnsi"/>
        </w:rPr>
        <w:t xml:space="preserve">The Government sets the target for the level of whole of State borrowings/net debt and within this whole of State limit, a sub limit will be established for leases. </w:t>
      </w:r>
      <w:r w:rsidR="00E4046C">
        <w:rPr>
          <w:rFonts w:asciiTheme="minorHAnsi" w:hAnsiTheme="minorHAnsi" w:cstheme="minorHAnsi"/>
        </w:rPr>
        <w:t xml:space="preserve">The sublimit </w:t>
      </w:r>
      <w:r w:rsidR="00E734D6">
        <w:rPr>
          <w:rFonts w:asciiTheme="minorHAnsi" w:hAnsiTheme="minorHAnsi" w:cstheme="minorHAnsi"/>
        </w:rPr>
        <w:t>for leases will then be delegated (or allocated) to Portfolio Departments, which in turn will allocate limits to portfolio agencies.</w:t>
      </w:r>
    </w:p>
    <w:p w14:paraId="0FA18330" w14:textId="5F5D2224" w:rsidR="0089733D" w:rsidRDefault="0089733D" w:rsidP="0089733D">
      <w:pPr>
        <w:spacing w:before="120" w:after="120" w:line="240" w:lineRule="atLeast"/>
        <w:rPr>
          <w:rFonts w:asciiTheme="minorHAnsi" w:hAnsiTheme="minorHAnsi" w:cstheme="minorHAnsi"/>
        </w:rPr>
      </w:pPr>
      <w:r w:rsidRPr="002F49A6">
        <w:rPr>
          <w:rFonts w:asciiTheme="minorHAnsi" w:hAnsiTheme="minorHAnsi" w:cstheme="minorHAnsi"/>
        </w:rPr>
        <w:t xml:space="preserve">Departments or agencies can only enter new leases provided the accounting value of their total leases (including the new lease) does not exceed the Department or Agency Limit. </w:t>
      </w:r>
    </w:p>
    <w:p w14:paraId="64BA5C75" w14:textId="77777777" w:rsidR="004F5440" w:rsidRPr="00922BC3" w:rsidRDefault="004F5440" w:rsidP="004F5440">
      <w:pPr>
        <w:pStyle w:val="Heading2NoNum"/>
      </w:pPr>
      <w:r w:rsidRPr="00922BC3">
        <w:t>Transfer Negotiation Authority and Similar Payroll Arrangements</w:t>
      </w:r>
    </w:p>
    <w:p w14:paraId="5C79EEA3" w14:textId="21EEA678" w:rsidR="004F5440" w:rsidRDefault="004F5440" w:rsidP="004F5440">
      <w:pPr>
        <w:autoSpaceDE w:val="0"/>
        <w:autoSpaceDN w:val="0"/>
        <w:adjustRightInd w:val="0"/>
        <w:spacing w:before="0" w:after="0"/>
        <w:rPr>
          <w:rFonts w:asciiTheme="minorHAnsi" w:eastAsiaTheme="minorHAnsi" w:hAnsiTheme="minorHAnsi" w:cs="Helv"/>
          <w:color w:val="000000"/>
          <w:szCs w:val="20"/>
          <w:lang w:eastAsia="en-US"/>
        </w:rPr>
      </w:pPr>
      <w:r w:rsidRPr="00922BC3">
        <w:rPr>
          <w:rFonts w:asciiTheme="minorHAnsi" w:eastAsiaTheme="minorHAnsi" w:hAnsiTheme="minorHAnsi" w:cs="Helv"/>
          <w:bCs/>
          <w:color w:val="000000"/>
          <w:szCs w:val="20"/>
          <w:lang w:eastAsia="en-US"/>
        </w:rPr>
        <w:t>A Transfer Negotiation Authority (TNA), also known as a Transactional</w:t>
      </w:r>
      <w:r w:rsidRPr="00922BC3">
        <w:rPr>
          <w:rFonts w:asciiTheme="minorHAnsi" w:eastAsiaTheme="minorHAnsi" w:hAnsiTheme="minorHAnsi" w:cs="Helv"/>
          <w:color w:val="000000"/>
          <w:szCs w:val="20"/>
          <w:lang w:eastAsia="en-US"/>
        </w:rPr>
        <w:t xml:space="preserve"> Negotiation Agreement, is an arrangement which guarantees that a client’s bank will honour all payroll related instructions from a specialist third party payroll company. TNAs are used by a number of public sector agencies such as hospitals. DTF does not consider a TNA to be a borrowing, and therefore no exemption request is necessary if an agency uses a TNA.</w:t>
      </w:r>
      <w:r w:rsidRPr="00DC2C8E">
        <w:rPr>
          <w:rFonts w:asciiTheme="minorHAnsi" w:eastAsiaTheme="minorHAnsi" w:hAnsiTheme="minorHAnsi" w:cs="Helv"/>
          <w:color w:val="000000"/>
          <w:szCs w:val="20"/>
          <w:lang w:eastAsia="en-US"/>
        </w:rPr>
        <w:t xml:space="preserve"> </w:t>
      </w:r>
    </w:p>
    <w:p w14:paraId="7A7265E6" w14:textId="4DA36B43" w:rsidR="004F5440" w:rsidRPr="00922BC3" w:rsidRDefault="004F5440" w:rsidP="004F5440">
      <w:pPr>
        <w:pStyle w:val="Heading2NoNum"/>
      </w:pPr>
      <w:r>
        <w:t>Foreign Currency Hedging</w:t>
      </w:r>
    </w:p>
    <w:p w14:paraId="5F87E014" w14:textId="16C732DE" w:rsidR="00F42C10" w:rsidRPr="00137171" w:rsidRDefault="004F5440" w:rsidP="00F42C10">
      <w:pPr>
        <w:autoSpaceDE w:val="0"/>
        <w:autoSpaceDN w:val="0"/>
        <w:adjustRightInd w:val="0"/>
        <w:spacing w:before="0" w:after="0"/>
      </w:pPr>
      <w:r>
        <w:t>Agencies may undertake foreign currency hedging transactions of less than $1 million with TCV or an ADI</w:t>
      </w:r>
      <w:r w:rsidR="006F76B2">
        <w:t xml:space="preserve"> contracted through the Banking and Financial Services SPC</w:t>
      </w:r>
      <w:r>
        <w:t>. Hedging of foreign currency transactions in excess of $1 million must be transacted with TCV.</w:t>
      </w:r>
    </w:p>
    <w:p w14:paraId="1EF6B8B9" w14:textId="599CF971" w:rsidR="00F42C10" w:rsidRPr="00385769" w:rsidRDefault="002167FF" w:rsidP="00F42C10">
      <w:pPr>
        <w:pStyle w:val="Heading1NoNum"/>
      </w:pPr>
      <w:r>
        <w:t>Transition</w:t>
      </w:r>
    </w:p>
    <w:p w14:paraId="7A1958D6" w14:textId="70E54158" w:rsidR="00F42C10" w:rsidRPr="00385769" w:rsidRDefault="00F42C10" w:rsidP="00F42C10">
      <w:r>
        <w:t xml:space="preserve">Direction </w:t>
      </w:r>
      <w:hyperlink r:id="rId231" w:anchor="standing-directions-2018" w:history="1">
        <w:r w:rsidRPr="00C3502B">
          <w:rPr>
            <w:rStyle w:val="Hyperlink"/>
          </w:rPr>
          <w:t>3.</w:t>
        </w:r>
        <w:r>
          <w:rPr>
            <w:rStyle w:val="Hyperlink"/>
          </w:rPr>
          <w:t>7.2</w:t>
        </w:r>
      </w:hyperlink>
      <w:r w:rsidRPr="00385769">
        <w:t xml:space="preserve"> is subject to a transitional arrangement in </w:t>
      </w:r>
      <w:hyperlink r:id="rId232" w:anchor="standing-directions-2018" w:history="1">
        <w:r w:rsidRPr="00385769">
          <w:rPr>
            <w:rStyle w:val="Hyperlink"/>
          </w:rPr>
          <w:t>Direction 1.4.1</w:t>
        </w:r>
      </w:hyperlink>
      <w:r>
        <w:t>.</w:t>
      </w:r>
    </w:p>
    <w:p w14:paraId="3971FC75" w14:textId="77777777" w:rsidR="00F42C10" w:rsidRPr="009D123B" w:rsidRDefault="00F42C10" w:rsidP="00F42C10">
      <w:pPr>
        <w:pStyle w:val="GuidanceBullet1"/>
      </w:pPr>
      <w:r w:rsidRPr="009D123B">
        <w:t xml:space="preserve">Agencies must email a transition plan to </w:t>
      </w:r>
      <w:hyperlink r:id="rId233" w:history="1">
        <w:r w:rsidRPr="009D123B">
          <w:rPr>
            <w:rStyle w:val="Hyperlink"/>
          </w:rPr>
          <w:t>workingcapital@dtf.vic.gov.au</w:t>
        </w:r>
      </w:hyperlink>
      <w:r w:rsidRPr="009D123B">
        <w:t xml:space="preserve"> for approval</w:t>
      </w:r>
    </w:p>
    <w:p w14:paraId="11B96378" w14:textId="77777777" w:rsidR="009E364A" w:rsidRDefault="009E364A">
      <w:pPr>
        <w:spacing w:before="0" w:after="200" w:line="276" w:lineRule="auto"/>
      </w:pPr>
    </w:p>
    <w:p w14:paraId="6F33811F" w14:textId="77777777" w:rsidR="009E364A" w:rsidRDefault="009E364A">
      <w:pPr>
        <w:spacing w:before="0" w:after="200" w:line="276" w:lineRule="auto"/>
        <w:sectPr w:rsidR="009E364A" w:rsidSect="007F1A5E">
          <w:pgSz w:w="11906" w:h="16838"/>
          <w:pgMar w:top="1440" w:right="1008" w:bottom="1440" w:left="1008" w:header="706" w:footer="389" w:gutter="0"/>
          <w:cols w:space="708"/>
          <w:titlePg/>
          <w:docGrid w:linePitch="360"/>
        </w:sectPr>
      </w:pPr>
    </w:p>
    <w:p w14:paraId="197D71EC" w14:textId="76D0E03C" w:rsidR="00FF4D93" w:rsidRPr="00164D44" w:rsidRDefault="00FF4D93" w:rsidP="00FF4D93">
      <w:pPr>
        <w:pStyle w:val="GuidanceTitle"/>
      </w:pPr>
      <w:bookmarkStart w:id="36" w:name="Guidance_3_7_2_2"/>
      <w:bookmarkStart w:id="37" w:name="_Hlk98320730"/>
      <w:r w:rsidRPr="00164D44">
        <w:lastRenderedPageBreak/>
        <w:t>Guidance 3.</w:t>
      </w:r>
      <w:r>
        <w:t>7.2.</w:t>
      </w:r>
      <w:r w:rsidR="003A62F6">
        <w:t>3</w:t>
      </w:r>
      <w:r>
        <w:t xml:space="preserve"> </w:t>
      </w:r>
      <w:bookmarkEnd w:id="36"/>
      <w:r w:rsidRPr="00164D44">
        <w:t xml:space="preserve">– Treasury </w:t>
      </w:r>
      <w:r w:rsidR="00B53A80">
        <w:t>M</w:t>
      </w:r>
      <w:r w:rsidRPr="00164D44">
        <w:t xml:space="preserve">anagement </w:t>
      </w:r>
      <w:r w:rsidR="00B53A80">
        <w:t>P</w:t>
      </w:r>
      <w:r w:rsidRPr="00164D44">
        <w:t>olic</w:t>
      </w:r>
      <w:r w:rsidR="00B53A80">
        <w:t>y</w:t>
      </w:r>
    </w:p>
    <w:p w14:paraId="7C883941" w14:textId="77777777" w:rsidR="00FF4D93" w:rsidRPr="00164D44" w:rsidRDefault="00FF4D93" w:rsidP="00FF4D93">
      <w:pPr>
        <w:spacing w:before="0" w:after="0" w:line="120" w:lineRule="atLeast"/>
        <w:rPr>
          <w:sz w:val="12"/>
        </w:rPr>
      </w:pPr>
    </w:p>
    <w:tbl>
      <w:tblPr>
        <w:tblStyle w:val="Table127"/>
        <w:tblW w:w="9900" w:type="dxa"/>
        <w:tblLook w:val="0080" w:firstRow="0" w:lastRow="0" w:firstColumn="1" w:lastColumn="0" w:noHBand="0" w:noVBand="0"/>
      </w:tblPr>
      <w:tblGrid>
        <w:gridCol w:w="3119"/>
        <w:gridCol w:w="6781"/>
      </w:tblGrid>
      <w:tr w:rsidR="00FF4D93" w:rsidRPr="00164D44" w14:paraId="3191FBBA" w14:textId="77777777" w:rsidTr="00564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109809B" w14:textId="77777777" w:rsidR="00FF4D93" w:rsidRPr="00164D44" w:rsidRDefault="00FF4D93" w:rsidP="005648BA">
            <w:pPr>
              <w:spacing w:before="40" w:after="40" w:line="285" w:lineRule="auto"/>
              <w:rPr>
                <w:rFonts w:cstheme="minorHAnsi"/>
                <w:b/>
                <w:sz w:val="18"/>
                <w:szCs w:val="18"/>
              </w:rPr>
            </w:pPr>
            <w:r w:rsidRPr="00164D44">
              <w:rPr>
                <w:rFonts w:cstheme="minorHAnsi"/>
                <w:b/>
                <w:sz w:val="18"/>
                <w:szCs w:val="18"/>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349775E1" w14:textId="77777777" w:rsidR="00FF4D93" w:rsidRPr="00164D44" w:rsidRDefault="00FF4D93" w:rsidP="005648BA">
            <w:pPr>
              <w:spacing w:before="80" w:after="80"/>
              <w:rPr>
                <w:rFonts w:cstheme="minorHAnsi"/>
                <w:sz w:val="18"/>
                <w:szCs w:val="18"/>
              </w:rPr>
            </w:pPr>
            <w:r w:rsidRPr="00164D44">
              <w:rPr>
                <w:rFonts w:cstheme="minorHAnsi"/>
                <w:sz w:val="18"/>
                <w:szCs w:val="18"/>
              </w:rPr>
              <w:t>Provides information to assist with the preparation of Financial Market Risk Management Polices, in particular Treasury and Investment policies and in complying with the requirements.</w:t>
            </w:r>
          </w:p>
        </w:tc>
      </w:tr>
      <w:tr w:rsidR="00FF4D93" w:rsidRPr="00164D44" w14:paraId="3E9BAAA6" w14:textId="77777777" w:rsidTr="005648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872D0E2" w14:textId="77777777" w:rsidR="00FF4D93" w:rsidRPr="00164D44" w:rsidRDefault="00FF4D93" w:rsidP="005648BA">
            <w:pPr>
              <w:tabs>
                <w:tab w:val="left" w:pos="1524"/>
              </w:tabs>
              <w:spacing w:before="40" w:after="40" w:line="285" w:lineRule="auto"/>
              <w:rPr>
                <w:rFonts w:cstheme="minorHAnsi"/>
                <w:sz w:val="18"/>
                <w:szCs w:val="18"/>
              </w:rPr>
            </w:pPr>
            <w:r w:rsidRPr="00164D44">
              <w:rPr>
                <w:rFonts w:cstheme="minorHAnsi"/>
                <w:b/>
                <w:sz w:val="18"/>
                <w:szCs w:val="18"/>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77C43E6C" w14:textId="77777777" w:rsidR="00FF4D93" w:rsidRPr="00164D44" w:rsidRDefault="00FF4D93" w:rsidP="005648BA">
            <w:pPr>
              <w:spacing w:before="60" w:after="60" w:line="252" w:lineRule="auto"/>
              <w:rPr>
                <w:rFonts w:cs="Times New Roman"/>
                <w:bCs/>
                <w:sz w:val="18"/>
                <w:szCs w:val="20"/>
              </w:rPr>
            </w:pPr>
            <w:r w:rsidRPr="00164D44">
              <w:rPr>
                <w:rFonts w:cs="Times New Roman"/>
                <w:bCs/>
                <w:sz w:val="18"/>
                <w:szCs w:val="20"/>
              </w:rPr>
              <w:t>1 July 2016</w:t>
            </w:r>
          </w:p>
        </w:tc>
      </w:tr>
      <w:tr w:rsidR="00FF4D93" w:rsidRPr="00164D44" w14:paraId="13A093A2" w14:textId="77777777" w:rsidTr="00564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4EE6E0E" w14:textId="77777777" w:rsidR="00FF4D93" w:rsidRPr="00164D44" w:rsidRDefault="00FF4D93" w:rsidP="005648BA">
            <w:pPr>
              <w:suppressAutoHyphens/>
              <w:autoSpaceDN w:val="0"/>
              <w:spacing w:before="40" w:after="40" w:line="283" w:lineRule="auto"/>
              <w:textAlignment w:val="baseline"/>
              <w:rPr>
                <w:rFonts w:cs="Times New Roman"/>
                <w:b/>
                <w:sz w:val="18"/>
                <w:szCs w:val="20"/>
              </w:rPr>
            </w:pPr>
            <w:r w:rsidRPr="00164D44">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7A01016C" w14:textId="650BAD34" w:rsidR="00FF4D93" w:rsidRPr="00164D44" w:rsidRDefault="00176BC3" w:rsidP="005648BA">
            <w:pPr>
              <w:spacing w:before="60" w:after="60" w:line="252" w:lineRule="auto"/>
              <w:rPr>
                <w:rFonts w:cs="Times New Roman"/>
                <w:bCs/>
                <w:sz w:val="18"/>
                <w:szCs w:val="20"/>
              </w:rPr>
            </w:pPr>
            <w:hyperlink r:id="rId234" w:anchor="standing-directions-2018" w:history="1">
              <w:r w:rsidR="00FF4D93" w:rsidRPr="00176BC3">
                <w:rPr>
                  <w:rStyle w:val="Hyperlink"/>
                  <w:rFonts w:cs="Times New Roman"/>
                  <w:bCs/>
                  <w:sz w:val="18"/>
                  <w:szCs w:val="20"/>
                </w:rPr>
                <w:t>3.7.2 Treasury management</w:t>
              </w:r>
              <w:r w:rsidR="009C7C6B" w:rsidRPr="00176BC3">
                <w:rPr>
                  <w:rStyle w:val="Hyperlink"/>
                  <w:rFonts w:cs="Times New Roman"/>
                  <w:bCs/>
                  <w:sz w:val="18"/>
                  <w:szCs w:val="20"/>
                </w:rPr>
                <w:t>, including Central Banking System</w:t>
              </w:r>
            </w:hyperlink>
          </w:p>
        </w:tc>
      </w:tr>
      <w:tr w:rsidR="00FF4D93" w:rsidRPr="00164D44" w14:paraId="513BF725" w14:textId="77777777" w:rsidTr="005648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24C6A06" w14:textId="77777777" w:rsidR="00FF4D93" w:rsidRPr="00164D44" w:rsidRDefault="00FF4D93" w:rsidP="005648BA">
            <w:pPr>
              <w:spacing w:before="40" w:after="40" w:line="285" w:lineRule="auto"/>
              <w:rPr>
                <w:rFonts w:cstheme="minorHAnsi"/>
                <w:sz w:val="18"/>
                <w:szCs w:val="18"/>
              </w:rPr>
            </w:pPr>
            <w:r w:rsidRPr="00164D44">
              <w:rPr>
                <w:rFonts w:cstheme="minorHAnsi"/>
                <w:b/>
                <w:sz w:val="18"/>
                <w:szCs w:val="18"/>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188C1630" w14:textId="018EE963" w:rsidR="00FF4D93" w:rsidRPr="00164D44" w:rsidRDefault="00023D2C" w:rsidP="005648BA">
            <w:pPr>
              <w:spacing w:before="40" w:after="40" w:line="285" w:lineRule="auto"/>
              <w:rPr>
                <w:rFonts w:cstheme="minorHAnsi"/>
                <w:sz w:val="18"/>
                <w:szCs w:val="18"/>
              </w:rPr>
            </w:pPr>
            <w:r>
              <w:rPr>
                <w:rFonts w:cs="Times New Roman"/>
                <w:bCs/>
                <w:sz w:val="18"/>
                <w:szCs w:val="20"/>
              </w:rPr>
              <w:t>12 August</w:t>
            </w:r>
            <w:r w:rsidR="00A004C4">
              <w:rPr>
                <w:rFonts w:cs="Times New Roman"/>
                <w:bCs/>
                <w:sz w:val="18"/>
                <w:szCs w:val="20"/>
              </w:rPr>
              <w:t xml:space="preserve"> 2022</w:t>
            </w:r>
          </w:p>
        </w:tc>
      </w:tr>
      <w:bookmarkEnd w:id="37"/>
    </w:tbl>
    <w:p w14:paraId="048519C4" w14:textId="77777777" w:rsidR="00FF4D93" w:rsidRPr="00164D44" w:rsidRDefault="00FF4D93" w:rsidP="00FF4D93">
      <w:pPr>
        <w:spacing w:before="0" w:after="0" w:line="120" w:lineRule="atLeast"/>
        <w:rPr>
          <w:sz w:val="12"/>
        </w:rPr>
      </w:pPr>
    </w:p>
    <w:p w14:paraId="013A2715" w14:textId="77777777" w:rsidR="00FF4D93" w:rsidRPr="00164D44" w:rsidRDefault="00FF4D93" w:rsidP="009E364A">
      <w:pPr>
        <w:pStyle w:val="Heading1NoNum"/>
      </w:pPr>
      <w:r w:rsidRPr="009E364A">
        <w:t>Treasury</w:t>
      </w:r>
      <w:r w:rsidRPr="00164D44">
        <w:t xml:space="preserve"> Policy</w:t>
      </w:r>
    </w:p>
    <w:p w14:paraId="2EFA10EB" w14:textId="38709244" w:rsidR="00FF4D93" w:rsidRPr="008C268A" w:rsidRDefault="00FF4D93" w:rsidP="00FF4D93">
      <w:r w:rsidRPr="008C268A">
        <w:t>The State has a conservative philosophy for the management of treasury risks and accordingly agencies must establish treasury (borrowing and/or investment) policies appropriate to the borrowing and investment risks of their business.</w:t>
      </w:r>
    </w:p>
    <w:p w14:paraId="4A67DB5E" w14:textId="7771B3A8" w:rsidR="00FF4D93" w:rsidRPr="004661D4" w:rsidRDefault="00FF4D93" w:rsidP="00FF4D93">
      <w:pPr>
        <w:spacing w:before="120" w:after="120" w:line="240" w:lineRule="atLeast"/>
        <w:rPr>
          <w:rFonts w:asciiTheme="minorHAnsi" w:hAnsiTheme="minorHAnsi"/>
        </w:rPr>
      </w:pPr>
      <w:r w:rsidRPr="008C268A">
        <w:t>A</w:t>
      </w:r>
      <w:r w:rsidR="0085057E">
        <w:t>n a</w:t>
      </w:r>
      <w:r w:rsidRPr="008C268A">
        <w:t>genc</w:t>
      </w:r>
      <w:r w:rsidR="0085057E">
        <w:t>y</w:t>
      </w:r>
      <w:r w:rsidRPr="008C268A">
        <w:t xml:space="preserve"> must maintain a Treasury Policy if it has borrowings</w:t>
      </w:r>
      <w:r w:rsidRPr="0073201E">
        <w:rPr>
          <w:rFonts w:asciiTheme="minorHAnsi" w:hAnsiTheme="minorHAnsi"/>
        </w:rPr>
        <w:t>. A</w:t>
      </w:r>
      <w:r w:rsidR="006C7C18">
        <w:rPr>
          <w:rFonts w:asciiTheme="minorHAnsi" w:hAnsiTheme="minorHAnsi"/>
        </w:rPr>
        <w:t>n a</w:t>
      </w:r>
      <w:r w:rsidRPr="0073201E">
        <w:rPr>
          <w:rFonts w:asciiTheme="minorHAnsi" w:hAnsiTheme="minorHAnsi"/>
        </w:rPr>
        <w:t>genc</w:t>
      </w:r>
      <w:r w:rsidR="006C7C18">
        <w:rPr>
          <w:rFonts w:asciiTheme="minorHAnsi" w:hAnsiTheme="minorHAnsi"/>
        </w:rPr>
        <w:t>y</w:t>
      </w:r>
      <w:r w:rsidRPr="0073201E">
        <w:rPr>
          <w:rFonts w:asciiTheme="minorHAnsi" w:hAnsiTheme="minorHAnsi"/>
        </w:rPr>
        <w:t xml:space="preserve"> must maintain an Investment Policy if it invests</w:t>
      </w:r>
      <w:r w:rsidRPr="004661D4">
        <w:rPr>
          <w:rFonts w:asciiTheme="minorHAnsi" w:hAnsiTheme="minorHAnsi"/>
        </w:rPr>
        <w:t xml:space="preserve"> with </w:t>
      </w:r>
      <w:r w:rsidRPr="0073201E">
        <w:rPr>
          <w:rFonts w:asciiTheme="minorHAnsi" w:hAnsiTheme="minorHAnsi"/>
        </w:rPr>
        <w:t>VFMC or seeks to maintain any investments other than cash funds</w:t>
      </w:r>
      <w:r w:rsidR="004E517D" w:rsidRPr="0001256C">
        <w:rPr>
          <w:rFonts w:asciiTheme="minorHAnsi" w:hAnsiTheme="minorHAnsi" w:cstheme="minorHAnsi"/>
          <w:szCs w:val="20"/>
        </w:rPr>
        <w:t xml:space="preserve"> held in the CBS</w:t>
      </w:r>
      <w:r w:rsidRPr="0073201E">
        <w:rPr>
          <w:rFonts w:asciiTheme="minorHAnsi" w:hAnsiTheme="minorHAnsi"/>
        </w:rPr>
        <w:t xml:space="preserve">. </w:t>
      </w:r>
      <w:r w:rsidR="003C5128">
        <w:rPr>
          <w:rFonts w:asciiTheme="minorHAnsi" w:hAnsiTheme="minorHAnsi"/>
        </w:rPr>
        <w:t xml:space="preserve">An Agency can combine a Treasury policy and an Investment Policy within a single policy. </w:t>
      </w:r>
      <w:r w:rsidRPr="0073201E">
        <w:rPr>
          <w:rFonts w:asciiTheme="minorHAnsi" w:hAnsiTheme="minorHAnsi"/>
        </w:rPr>
        <w:t>Illustrative</w:t>
      </w:r>
      <w:r w:rsidRPr="004661D4">
        <w:rPr>
          <w:rFonts w:asciiTheme="minorHAnsi" w:hAnsiTheme="minorHAnsi"/>
        </w:rPr>
        <w:t xml:space="preserve"> policies</w:t>
      </w:r>
      <w:r w:rsidRPr="0073201E">
        <w:rPr>
          <w:rFonts w:asciiTheme="minorHAnsi" w:hAnsiTheme="minorHAnsi"/>
        </w:rPr>
        <w:t xml:space="preserve"> are included in this Guidance below.</w:t>
      </w:r>
    </w:p>
    <w:p w14:paraId="0D577BE2" w14:textId="29B112BE" w:rsidR="00FF4D93" w:rsidRPr="004661D4" w:rsidRDefault="00FF4D93" w:rsidP="00FF4D93">
      <w:pPr>
        <w:spacing w:before="120" w:after="120" w:line="240" w:lineRule="atLeast"/>
        <w:rPr>
          <w:rFonts w:asciiTheme="minorHAnsi" w:hAnsiTheme="minorHAnsi"/>
        </w:rPr>
      </w:pPr>
      <w:r w:rsidRPr="004661D4">
        <w:rPr>
          <w:rFonts w:asciiTheme="minorHAnsi" w:hAnsiTheme="minorHAnsi"/>
          <w:spacing w:val="-2"/>
        </w:rPr>
        <w:t xml:space="preserve">The Treasury Policy document for </w:t>
      </w:r>
      <w:r w:rsidR="003C5128">
        <w:rPr>
          <w:rFonts w:asciiTheme="minorHAnsi" w:hAnsiTheme="minorHAnsi"/>
          <w:spacing w:val="-2"/>
        </w:rPr>
        <w:t>an</w:t>
      </w:r>
      <w:r w:rsidR="003C5128" w:rsidRPr="004661D4">
        <w:rPr>
          <w:rFonts w:asciiTheme="minorHAnsi" w:hAnsiTheme="minorHAnsi"/>
          <w:spacing w:val="-2"/>
        </w:rPr>
        <w:t xml:space="preserve"> </w:t>
      </w:r>
      <w:r w:rsidRPr="004661D4">
        <w:rPr>
          <w:rFonts w:asciiTheme="minorHAnsi" w:hAnsiTheme="minorHAnsi"/>
          <w:spacing w:val="-2"/>
        </w:rPr>
        <w:t>Agency should include information to detail all aspects relevant to achieving the primary</w:t>
      </w:r>
      <w:r w:rsidRPr="004661D4">
        <w:rPr>
          <w:rFonts w:asciiTheme="minorHAnsi" w:hAnsiTheme="minorHAnsi"/>
        </w:rPr>
        <w:t xml:space="preserve"> objectives of the Treasury operation. Although the policy will vary across </w:t>
      </w:r>
      <w:r w:rsidR="003C5128">
        <w:rPr>
          <w:rFonts w:asciiTheme="minorHAnsi" w:hAnsiTheme="minorHAnsi"/>
        </w:rPr>
        <w:t>a</w:t>
      </w:r>
      <w:r w:rsidR="003C5128" w:rsidRPr="004661D4">
        <w:rPr>
          <w:rFonts w:asciiTheme="minorHAnsi" w:hAnsiTheme="minorHAnsi"/>
        </w:rPr>
        <w:t xml:space="preserve">gencies </w:t>
      </w:r>
      <w:r w:rsidRPr="004661D4">
        <w:rPr>
          <w:rFonts w:asciiTheme="minorHAnsi" w:hAnsiTheme="minorHAnsi"/>
        </w:rPr>
        <w:t xml:space="preserve">in its specific detail, there is similarity in the general content to be included. The proposed content of the policy is described below. An example of a Treasury Policy is </w:t>
      </w:r>
      <w:r w:rsidR="006C7C18">
        <w:rPr>
          <w:rFonts w:asciiTheme="minorHAnsi" w:hAnsiTheme="minorHAnsi"/>
        </w:rPr>
        <w:t>at</w:t>
      </w:r>
      <w:r w:rsidRPr="004661D4">
        <w:rPr>
          <w:rFonts w:asciiTheme="minorHAnsi" w:hAnsiTheme="minorHAnsi"/>
        </w:rPr>
        <w:t xml:space="preserve"> Attachment A.</w:t>
      </w:r>
    </w:p>
    <w:p w14:paraId="5F45D766" w14:textId="44A3AC6F" w:rsidR="00164D44" w:rsidRPr="0001256C" w:rsidRDefault="00B90E49">
      <w:pPr>
        <w:spacing w:before="120" w:after="120" w:line="240" w:lineRule="atLeast"/>
        <w:rPr>
          <w:rFonts w:asciiTheme="minorHAnsi" w:hAnsiTheme="minorHAnsi" w:cstheme="minorHAnsi"/>
          <w:szCs w:val="20"/>
        </w:rPr>
      </w:pPr>
      <w:r w:rsidRPr="0001256C">
        <w:rPr>
          <w:rFonts w:asciiTheme="minorHAnsi" w:hAnsiTheme="minorHAnsi" w:cstheme="minorHAnsi"/>
          <w:szCs w:val="20"/>
        </w:rPr>
        <w:t xml:space="preserve">The </w:t>
      </w:r>
      <w:r w:rsidR="00410673" w:rsidRPr="0001256C">
        <w:rPr>
          <w:rFonts w:asciiTheme="minorHAnsi" w:hAnsiTheme="minorHAnsi" w:cstheme="minorHAnsi"/>
          <w:szCs w:val="20"/>
        </w:rPr>
        <w:t>structure of the Treasury Policy should include the following</w:t>
      </w:r>
      <w:r w:rsidR="0050365C" w:rsidRPr="0001256C">
        <w:rPr>
          <w:rFonts w:asciiTheme="minorHAnsi" w:hAnsiTheme="minorHAnsi" w:cstheme="minorHAnsi"/>
          <w:szCs w:val="20"/>
        </w:rPr>
        <w:t xml:space="preserve"> sections</w:t>
      </w:r>
      <w:r w:rsidR="00410673" w:rsidRPr="0001256C">
        <w:rPr>
          <w:rFonts w:asciiTheme="minorHAnsi" w:hAnsiTheme="minorHAnsi" w:cstheme="minorHAnsi"/>
          <w:szCs w:val="20"/>
        </w:rPr>
        <w:t>:</w:t>
      </w:r>
    </w:p>
    <w:p w14:paraId="1139075F" w14:textId="00A82E88" w:rsidR="00FF4D93" w:rsidRDefault="00FF4D93" w:rsidP="000B15FD">
      <w:pPr>
        <w:pStyle w:val="Bullet1"/>
        <w:numPr>
          <w:ilvl w:val="0"/>
          <w:numId w:val="12"/>
        </w:numPr>
        <w:rPr>
          <w:rFonts w:asciiTheme="minorHAnsi" w:hAnsiTheme="minorHAnsi"/>
        </w:rPr>
      </w:pPr>
      <w:r w:rsidRPr="002D61D4">
        <w:rPr>
          <w:b/>
        </w:rPr>
        <w:t>Introduction and overview</w:t>
      </w:r>
      <w:r w:rsidR="002D61D4">
        <w:rPr>
          <w:rFonts w:asciiTheme="minorHAnsi" w:hAnsiTheme="minorHAnsi" w:cstheme="minorHAnsi"/>
          <w:szCs w:val="20"/>
        </w:rPr>
        <w:t xml:space="preserve"> – </w:t>
      </w:r>
      <w:r w:rsidR="00164D44" w:rsidRPr="0001256C">
        <w:rPr>
          <w:rFonts w:asciiTheme="minorHAnsi" w:hAnsiTheme="minorHAnsi" w:cstheme="minorHAnsi"/>
          <w:szCs w:val="20"/>
        </w:rPr>
        <w:t>cover</w:t>
      </w:r>
      <w:r w:rsidR="0050365C" w:rsidRPr="0001256C">
        <w:rPr>
          <w:rFonts w:asciiTheme="minorHAnsi" w:hAnsiTheme="minorHAnsi" w:cstheme="minorHAnsi"/>
          <w:szCs w:val="20"/>
        </w:rPr>
        <w:t>ing</w:t>
      </w:r>
      <w:r w:rsidR="00164D44" w:rsidRPr="0001256C">
        <w:rPr>
          <w:rFonts w:asciiTheme="minorHAnsi" w:hAnsiTheme="minorHAnsi" w:cstheme="minorHAnsi"/>
          <w:szCs w:val="20"/>
        </w:rPr>
        <w:t>:</w:t>
      </w:r>
      <w:r w:rsidR="0050365C" w:rsidRPr="0001256C">
        <w:rPr>
          <w:rFonts w:asciiTheme="minorHAnsi" w:hAnsiTheme="minorHAnsi" w:cstheme="minorHAnsi"/>
          <w:szCs w:val="20"/>
        </w:rPr>
        <w:t xml:space="preserve"> </w:t>
      </w:r>
      <w:r w:rsidRPr="004661D4">
        <w:rPr>
          <w:rFonts w:asciiTheme="minorHAnsi" w:hAnsiTheme="minorHAnsi"/>
        </w:rPr>
        <w:t xml:space="preserve">purpose </w:t>
      </w:r>
      <w:r w:rsidR="0050365C" w:rsidRPr="0001256C">
        <w:rPr>
          <w:rFonts w:asciiTheme="minorHAnsi" w:hAnsiTheme="minorHAnsi" w:cstheme="minorHAnsi"/>
          <w:szCs w:val="20"/>
        </w:rPr>
        <w:t xml:space="preserve">and </w:t>
      </w:r>
      <w:r w:rsidRPr="004661D4">
        <w:rPr>
          <w:rFonts w:asciiTheme="minorHAnsi" w:hAnsiTheme="minorHAnsi"/>
        </w:rPr>
        <w:t>scope</w:t>
      </w:r>
      <w:r w:rsidR="0050365C" w:rsidRPr="0001256C">
        <w:rPr>
          <w:rFonts w:asciiTheme="minorHAnsi" w:hAnsiTheme="minorHAnsi" w:cstheme="minorHAnsi"/>
          <w:szCs w:val="20"/>
        </w:rPr>
        <w:t xml:space="preserve">; </w:t>
      </w:r>
      <w:r w:rsidRPr="004661D4">
        <w:rPr>
          <w:rFonts w:asciiTheme="minorHAnsi" w:hAnsiTheme="minorHAnsi"/>
        </w:rPr>
        <w:t>reference to other documents relevant to the treasury management function; description of the position responsible for maintaining and approving the Treasury Policy, the process for review and amending the policy and the frequency of review of policy.</w:t>
      </w:r>
    </w:p>
    <w:p w14:paraId="24A06A45" w14:textId="41BEA2AD" w:rsidR="006C7C18" w:rsidRDefault="006C7C18" w:rsidP="000B15FD">
      <w:pPr>
        <w:pStyle w:val="Bullet1"/>
        <w:numPr>
          <w:ilvl w:val="0"/>
          <w:numId w:val="12"/>
        </w:numPr>
        <w:rPr>
          <w:rFonts w:asciiTheme="minorHAnsi" w:hAnsiTheme="minorHAnsi"/>
        </w:rPr>
      </w:pPr>
      <w:r w:rsidRPr="002D61D4">
        <w:rPr>
          <w:b/>
        </w:rPr>
        <w:t>Treasury objectives and strategies</w:t>
      </w:r>
      <w:r w:rsidR="002D61D4">
        <w:rPr>
          <w:rFonts w:asciiTheme="minorHAnsi" w:hAnsiTheme="minorHAnsi" w:cstheme="minorHAnsi"/>
          <w:szCs w:val="20"/>
        </w:rPr>
        <w:t xml:space="preserve"> – </w:t>
      </w:r>
      <w:r w:rsidRPr="0001256C">
        <w:rPr>
          <w:rFonts w:asciiTheme="minorHAnsi" w:hAnsiTheme="minorHAnsi" w:cstheme="minorHAnsi"/>
          <w:szCs w:val="20"/>
        </w:rPr>
        <w:t>providing</w:t>
      </w:r>
      <w:r w:rsidRPr="004661D4">
        <w:rPr>
          <w:rFonts w:asciiTheme="minorHAnsi" w:hAnsiTheme="minorHAnsi"/>
        </w:rPr>
        <w:t xml:space="preserve"> a brief outline of the objectives of the Treasury operation, including strategies developed to achieve those objectives. The Responsible Body’s risk tolerance can be reflected in the Treasury’s objectives and strategies.</w:t>
      </w:r>
    </w:p>
    <w:p w14:paraId="57E29BF8" w14:textId="7216A68F" w:rsidR="006C7C18" w:rsidRPr="006C7C18" w:rsidRDefault="006C7C18" w:rsidP="000B15FD">
      <w:pPr>
        <w:pStyle w:val="Bullet1"/>
        <w:numPr>
          <w:ilvl w:val="0"/>
          <w:numId w:val="12"/>
        </w:numPr>
        <w:rPr>
          <w:rFonts w:asciiTheme="minorHAnsi" w:hAnsiTheme="minorHAnsi"/>
        </w:rPr>
      </w:pPr>
      <w:r w:rsidRPr="002D61D4">
        <w:rPr>
          <w:b/>
        </w:rPr>
        <w:t>Roles and responsibilities</w:t>
      </w:r>
      <w:r w:rsidR="002D61D4">
        <w:rPr>
          <w:rFonts w:asciiTheme="minorHAnsi" w:hAnsiTheme="minorHAnsi" w:cstheme="minorHAnsi"/>
          <w:szCs w:val="20"/>
        </w:rPr>
        <w:t xml:space="preserve"> – </w:t>
      </w:r>
      <w:r w:rsidRPr="0001256C">
        <w:rPr>
          <w:rFonts w:asciiTheme="minorHAnsi" w:hAnsiTheme="minorHAnsi" w:cstheme="minorHAnsi"/>
          <w:szCs w:val="20"/>
        </w:rPr>
        <w:t>covering</w:t>
      </w:r>
      <w:r w:rsidRPr="004661D4">
        <w:rPr>
          <w:rFonts w:asciiTheme="minorHAnsi" w:hAnsiTheme="minorHAnsi"/>
        </w:rPr>
        <w:t xml:space="preserve"> information regarding the roles and responsibilities of the parties involved in the management, control and reporting of the organisation’s financial risks. </w:t>
      </w:r>
      <w:r w:rsidRPr="0001256C">
        <w:rPr>
          <w:rFonts w:asciiTheme="minorHAnsi" w:hAnsiTheme="minorHAnsi" w:cstheme="minorHAnsi"/>
          <w:szCs w:val="20"/>
        </w:rPr>
        <w:t xml:space="preserve">The parties will typically include the Responsible Body, Accountable Officer, Chief Finance Officer, Treasury Committee, and </w:t>
      </w:r>
      <w:r w:rsidRPr="008C268A">
        <w:t>Treasury Manager.</w:t>
      </w:r>
    </w:p>
    <w:p w14:paraId="60D3D2B3" w14:textId="6F8DA046" w:rsidR="006C7C18" w:rsidRPr="004661D4" w:rsidRDefault="006C7C18" w:rsidP="000B15FD">
      <w:pPr>
        <w:pStyle w:val="Bullet1"/>
        <w:numPr>
          <w:ilvl w:val="0"/>
          <w:numId w:val="12"/>
        </w:numPr>
        <w:rPr>
          <w:rFonts w:asciiTheme="minorHAnsi" w:hAnsiTheme="minorHAnsi"/>
        </w:rPr>
      </w:pPr>
      <w:r w:rsidRPr="002D61D4">
        <w:rPr>
          <w:b/>
        </w:rPr>
        <w:t>Delegation of authority</w:t>
      </w:r>
      <w:r w:rsidR="002D61D4">
        <w:rPr>
          <w:rFonts w:asciiTheme="minorHAnsi" w:hAnsiTheme="minorHAnsi" w:cstheme="minorHAnsi"/>
          <w:szCs w:val="20"/>
        </w:rPr>
        <w:t xml:space="preserve"> – </w:t>
      </w:r>
      <w:r w:rsidRPr="0001256C">
        <w:rPr>
          <w:rFonts w:asciiTheme="minorHAnsi" w:hAnsiTheme="minorHAnsi" w:cstheme="minorHAnsi"/>
          <w:szCs w:val="20"/>
        </w:rPr>
        <w:t>covering</w:t>
      </w:r>
      <w:r w:rsidRPr="004661D4">
        <w:rPr>
          <w:rFonts w:asciiTheme="minorHAnsi" w:hAnsiTheme="minorHAnsi"/>
        </w:rPr>
        <w:t xml:space="preserve"> the delegation of authority, from the Responsible Body down through the Agency to the Treasury, and delegation in the Treasury. Delegations form a vital part of both the Agency’s governance structure and the Treasury Policy.</w:t>
      </w:r>
      <w:r w:rsidRPr="0001256C">
        <w:rPr>
          <w:rFonts w:asciiTheme="minorHAnsi" w:hAnsiTheme="minorHAnsi" w:cstheme="minorHAnsi"/>
          <w:szCs w:val="20"/>
        </w:rPr>
        <w:t xml:space="preserve"> </w:t>
      </w:r>
      <w:r w:rsidRPr="004661D4">
        <w:rPr>
          <w:rFonts w:asciiTheme="minorHAnsi" w:hAnsiTheme="minorHAnsi"/>
        </w:rPr>
        <w:t xml:space="preserve">A listing of delegated authorities and discretionary limits (often held as an attachment to the policy), details what transactions are delegated to whom, who should authorise them and what limits apply. It can be comprehensive in capturing all types of transactions that are subject to delegation. Refer to </w:t>
      </w:r>
      <w:hyperlink r:id="rId235" w:anchor="standing-directions-2018" w:history="1">
        <w:r w:rsidRPr="004661D4">
          <w:rPr>
            <w:rStyle w:val="Hyperlink"/>
            <w:rFonts w:asciiTheme="minorHAnsi" w:hAnsiTheme="minorHAnsi"/>
            <w:color w:val="auto"/>
          </w:rPr>
          <w:t>Direction 3.3</w:t>
        </w:r>
      </w:hyperlink>
      <w:r w:rsidRPr="004661D4">
        <w:rPr>
          <w:rFonts w:asciiTheme="minorHAnsi" w:hAnsiTheme="minorHAnsi"/>
        </w:rPr>
        <w:t xml:space="preserve"> for requirements.</w:t>
      </w:r>
    </w:p>
    <w:p w14:paraId="0196F6F9" w14:textId="2F59FD8A" w:rsidR="00FF4D93" w:rsidRPr="004661D4" w:rsidRDefault="00FF4D93" w:rsidP="000B15FD">
      <w:pPr>
        <w:pStyle w:val="Bullet1"/>
        <w:numPr>
          <w:ilvl w:val="0"/>
          <w:numId w:val="12"/>
        </w:numPr>
        <w:rPr>
          <w:rFonts w:asciiTheme="minorHAnsi" w:hAnsiTheme="minorHAnsi"/>
        </w:rPr>
      </w:pPr>
      <w:r w:rsidRPr="002D61D4">
        <w:rPr>
          <w:b/>
        </w:rPr>
        <w:t>Treasury risk recognition and management</w:t>
      </w:r>
      <w:r w:rsidR="002F49A6" w:rsidRPr="0001256C">
        <w:rPr>
          <w:rFonts w:asciiTheme="minorHAnsi" w:hAnsiTheme="minorHAnsi" w:cstheme="minorHAnsi"/>
          <w:szCs w:val="20"/>
        </w:rPr>
        <w:t xml:space="preserve"> –</w:t>
      </w:r>
      <w:r w:rsidRPr="004661D4">
        <w:rPr>
          <w:rFonts w:asciiTheme="minorHAnsi" w:hAnsiTheme="minorHAnsi"/>
        </w:rPr>
        <w:t xml:space="preserve"> should include clear definition of risks, details of recognition, measurement, timing and objectives of risk management.</w:t>
      </w:r>
      <w:r w:rsidR="002F49A6" w:rsidRPr="0001256C">
        <w:rPr>
          <w:rFonts w:asciiTheme="minorHAnsi" w:hAnsiTheme="minorHAnsi" w:cstheme="minorHAnsi"/>
          <w:szCs w:val="20"/>
        </w:rPr>
        <w:t xml:space="preserve"> </w:t>
      </w:r>
      <w:r w:rsidRPr="004661D4">
        <w:rPr>
          <w:rFonts w:asciiTheme="minorHAnsi" w:hAnsiTheme="minorHAnsi"/>
        </w:rPr>
        <w:t>Further information on risks can be found in a later section of the guidance on ‘Treasury risks’.</w:t>
      </w:r>
      <w:r w:rsidR="002F49A6" w:rsidRPr="0001256C">
        <w:rPr>
          <w:rFonts w:asciiTheme="minorHAnsi" w:hAnsiTheme="minorHAnsi" w:cstheme="minorHAnsi"/>
          <w:szCs w:val="20"/>
        </w:rPr>
        <w:t xml:space="preserve"> </w:t>
      </w:r>
      <w:r w:rsidRPr="004661D4">
        <w:rPr>
          <w:rFonts w:asciiTheme="minorHAnsi" w:hAnsiTheme="minorHAnsi"/>
        </w:rPr>
        <w:t>The following factors should be considered in developing strategies to manage risk:</w:t>
      </w:r>
      <w:r w:rsidR="002F49A6" w:rsidRPr="0001256C">
        <w:rPr>
          <w:rFonts w:asciiTheme="minorHAnsi" w:hAnsiTheme="minorHAnsi" w:cstheme="minorHAnsi"/>
          <w:szCs w:val="20"/>
        </w:rPr>
        <w:t xml:space="preserve"> </w:t>
      </w:r>
      <w:r w:rsidRPr="004661D4">
        <w:rPr>
          <w:rFonts w:asciiTheme="minorHAnsi" w:hAnsiTheme="minorHAnsi"/>
        </w:rPr>
        <w:t>Agency projected cash flows over the short to medium</w:t>
      </w:r>
      <w:r w:rsidRPr="004661D4">
        <w:rPr>
          <w:rFonts w:asciiTheme="minorHAnsi" w:hAnsiTheme="minorHAnsi"/>
        </w:rPr>
        <w:noBreakHyphen/>
        <w:t>term;</w:t>
      </w:r>
      <w:r w:rsidR="002F49A6" w:rsidRPr="0001256C">
        <w:rPr>
          <w:rFonts w:asciiTheme="minorHAnsi" w:hAnsiTheme="minorHAnsi" w:cstheme="minorHAnsi"/>
          <w:szCs w:val="20"/>
        </w:rPr>
        <w:t xml:space="preserve"> </w:t>
      </w:r>
      <w:r w:rsidRPr="004661D4">
        <w:rPr>
          <w:rFonts w:asciiTheme="minorHAnsi" w:hAnsiTheme="minorHAnsi"/>
        </w:rPr>
        <w:t>the life cycle of assets and the strategies for their replacement;</w:t>
      </w:r>
      <w:r w:rsidR="002F49A6" w:rsidRPr="0001256C">
        <w:rPr>
          <w:rFonts w:asciiTheme="minorHAnsi" w:hAnsiTheme="minorHAnsi" w:cstheme="minorHAnsi"/>
          <w:szCs w:val="20"/>
        </w:rPr>
        <w:t xml:space="preserve"> </w:t>
      </w:r>
      <w:r w:rsidRPr="004661D4">
        <w:rPr>
          <w:rFonts w:asciiTheme="minorHAnsi" w:hAnsiTheme="minorHAnsi"/>
        </w:rPr>
        <w:t>the nature and structure of existing liabilities;</w:t>
      </w:r>
      <w:r w:rsidR="002F49A6" w:rsidRPr="0001256C">
        <w:rPr>
          <w:rFonts w:asciiTheme="minorHAnsi" w:hAnsiTheme="minorHAnsi" w:cstheme="minorHAnsi"/>
          <w:szCs w:val="20"/>
        </w:rPr>
        <w:t xml:space="preserve"> </w:t>
      </w:r>
      <w:r w:rsidRPr="004661D4">
        <w:rPr>
          <w:rFonts w:asciiTheme="minorHAnsi" w:hAnsiTheme="minorHAnsi"/>
        </w:rPr>
        <w:t>the sensitivity of the Agency’s cash flows to movements in economic variables, commodity prices and financial market variables (e.g. interest rates, inflation rates and exchange rates); and</w:t>
      </w:r>
      <w:r w:rsidR="002F49A6" w:rsidRPr="0001256C">
        <w:rPr>
          <w:rFonts w:asciiTheme="minorHAnsi" w:hAnsiTheme="minorHAnsi" w:cstheme="minorHAnsi"/>
          <w:szCs w:val="20"/>
        </w:rPr>
        <w:t xml:space="preserve"> </w:t>
      </w:r>
      <w:r w:rsidRPr="00465C6F">
        <w:rPr>
          <w:rFonts w:asciiTheme="minorHAnsi" w:hAnsiTheme="minorHAnsi"/>
        </w:rPr>
        <w:t>the risk tolerance of the Responsible Body.</w:t>
      </w:r>
    </w:p>
    <w:p w14:paraId="2B3D4902" w14:textId="404D4639" w:rsidR="00FF4D93" w:rsidRPr="004661D4" w:rsidRDefault="00FF4D93" w:rsidP="000B15FD">
      <w:pPr>
        <w:pStyle w:val="Bullet1"/>
        <w:numPr>
          <w:ilvl w:val="0"/>
          <w:numId w:val="12"/>
        </w:numPr>
        <w:rPr>
          <w:rFonts w:asciiTheme="minorHAnsi" w:hAnsiTheme="minorHAnsi"/>
        </w:rPr>
      </w:pPr>
      <w:r w:rsidRPr="002D61D4">
        <w:rPr>
          <w:b/>
        </w:rPr>
        <w:t>Approved financial instruments</w:t>
      </w:r>
      <w:r w:rsidR="002D61D4">
        <w:rPr>
          <w:rFonts w:asciiTheme="minorHAnsi" w:hAnsiTheme="minorHAnsi" w:cstheme="minorHAnsi"/>
          <w:szCs w:val="20"/>
        </w:rPr>
        <w:t xml:space="preserve"> – </w:t>
      </w:r>
      <w:r w:rsidRPr="004661D4">
        <w:rPr>
          <w:rFonts w:asciiTheme="minorHAnsi" w:hAnsiTheme="minorHAnsi"/>
        </w:rPr>
        <w:t>specifies the financial instruments approved by the Treasurer of Victoria</w:t>
      </w:r>
      <w:r w:rsidR="002F49A6" w:rsidRPr="0001256C">
        <w:rPr>
          <w:rFonts w:asciiTheme="minorHAnsi" w:hAnsiTheme="minorHAnsi" w:cstheme="minorHAnsi"/>
          <w:szCs w:val="20"/>
        </w:rPr>
        <w:t xml:space="preserve"> and potentially</w:t>
      </w:r>
      <w:r w:rsidR="002F49A6" w:rsidRPr="0001256C">
        <w:rPr>
          <w:rFonts w:asciiTheme="minorHAnsi" w:hAnsiTheme="minorHAnsi" w:cstheme="minorHAnsi"/>
          <w:spacing w:val="-2"/>
          <w:szCs w:val="20"/>
        </w:rPr>
        <w:t xml:space="preserve"> the</w:t>
      </w:r>
      <w:r w:rsidRPr="00465C6F">
        <w:rPr>
          <w:rFonts w:asciiTheme="minorHAnsi" w:hAnsiTheme="minorHAnsi"/>
          <w:spacing w:val="-2"/>
        </w:rPr>
        <w:t xml:space="preserve"> </w:t>
      </w:r>
      <w:r w:rsidRPr="004661D4">
        <w:rPr>
          <w:rFonts w:asciiTheme="minorHAnsi" w:hAnsiTheme="minorHAnsi"/>
          <w:spacing w:val="-2"/>
        </w:rPr>
        <w:t>limits on the approved instruments</w:t>
      </w:r>
      <w:r w:rsidR="00995ED6">
        <w:rPr>
          <w:rFonts w:asciiTheme="minorHAnsi" w:hAnsiTheme="minorHAnsi"/>
          <w:spacing w:val="-2"/>
        </w:rPr>
        <w:t xml:space="preserve">. </w:t>
      </w:r>
      <w:r w:rsidRPr="004661D4">
        <w:rPr>
          <w:rFonts w:asciiTheme="minorHAnsi" w:hAnsiTheme="minorHAnsi"/>
          <w:spacing w:val="-2"/>
        </w:rPr>
        <w:t>For each</w:t>
      </w:r>
      <w:r w:rsidRPr="004661D4">
        <w:rPr>
          <w:rFonts w:asciiTheme="minorHAnsi" w:hAnsiTheme="minorHAnsi"/>
        </w:rPr>
        <w:t xml:space="preserve"> category of approved financial instrument, it is recommended the policy document covers:</w:t>
      </w:r>
      <w:r w:rsidR="002F49A6" w:rsidRPr="0001256C">
        <w:rPr>
          <w:rFonts w:asciiTheme="minorHAnsi" w:hAnsiTheme="minorHAnsi" w:cstheme="minorHAnsi"/>
          <w:szCs w:val="20"/>
        </w:rPr>
        <w:t xml:space="preserve"> </w:t>
      </w:r>
      <w:r w:rsidRPr="004661D4">
        <w:rPr>
          <w:rFonts w:asciiTheme="minorHAnsi" w:hAnsiTheme="minorHAnsi"/>
        </w:rPr>
        <w:t>maximum maturity for which instruments may be entered into;</w:t>
      </w:r>
      <w:r w:rsidR="002F49A6" w:rsidRPr="0001256C">
        <w:rPr>
          <w:rFonts w:asciiTheme="minorHAnsi" w:hAnsiTheme="minorHAnsi" w:cstheme="minorHAnsi"/>
          <w:szCs w:val="20"/>
        </w:rPr>
        <w:t xml:space="preserve"> </w:t>
      </w:r>
      <w:r w:rsidRPr="004661D4">
        <w:rPr>
          <w:rFonts w:asciiTheme="minorHAnsi" w:hAnsiTheme="minorHAnsi"/>
        </w:rPr>
        <w:t>maximum amount per transaction; and</w:t>
      </w:r>
      <w:r w:rsidR="002F49A6" w:rsidRPr="0001256C">
        <w:rPr>
          <w:rFonts w:asciiTheme="minorHAnsi" w:hAnsiTheme="minorHAnsi" w:cstheme="minorHAnsi"/>
          <w:szCs w:val="20"/>
        </w:rPr>
        <w:t xml:space="preserve"> </w:t>
      </w:r>
      <w:r w:rsidRPr="004661D4">
        <w:rPr>
          <w:rFonts w:asciiTheme="minorHAnsi" w:hAnsiTheme="minorHAnsi"/>
        </w:rPr>
        <w:t>that they should be with TCV/VFMC or as otherwise approved by the Treasurer.</w:t>
      </w:r>
    </w:p>
    <w:p w14:paraId="0A2207D9" w14:textId="1DB815AC" w:rsidR="00FF4D93" w:rsidRDefault="00FF4D93" w:rsidP="000B15FD">
      <w:pPr>
        <w:pStyle w:val="Bullet1"/>
        <w:numPr>
          <w:ilvl w:val="0"/>
          <w:numId w:val="12"/>
        </w:numPr>
        <w:rPr>
          <w:rFonts w:asciiTheme="minorHAnsi" w:hAnsiTheme="minorHAnsi"/>
        </w:rPr>
      </w:pPr>
      <w:r w:rsidRPr="002D61D4">
        <w:rPr>
          <w:b/>
        </w:rPr>
        <w:lastRenderedPageBreak/>
        <w:t>Use of financial arrangements (derivatives)</w:t>
      </w:r>
      <w:r w:rsidR="002D61D4">
        <w:rPr>
          <w:rFonts w:asciiTheme="minorHAnsi" w:hAnsiTheme="minorHAnsi" w:cstheme="minorHAnsi"/>
          <w:szCs w:val="20"/>
        </w:rPr>
        <w:t xml:space="preserve"> – </w:t>
      </w:r>
      <w:r w:rsidRPr="004661D4">
        <w:rPr>
          <w:rFonts w:asciiTheme="minorHAnsi" w:hAnsiTheme="minorHAnsi"/>
        </w:rPr>
        <w:t xml:space="preserve">includes information on financial arrangements entered into. </w:t>
      </w:r>
      <w:r w:rsidR="00FD2EE2" w:rsidRPr="0001256C">
        <w:rPr>
          <w:rFonts w:asciiTheme="minorHAnsi" w:hAnsiTheme="minorHAnsi" w:cstheme="minorHAnsi"/>
          <w:szCs w:val="20"/>
        </w:rPr>
        <w:t>Attention</w:t>
      </w:r>
      <w:r w:rsidRPr="004661D4">
        <w:rPr>
          <w:rFonts w:asciiTheme="minorHAnsi" w:hAnsiTheme="minorHAnsi"/>
        </w:rPr>
        <w:t xml:space="preserve"> should be given to:</w:t>
      </w:r>
      <w:r w:rsidR="002F49A6" w:rsidRPr="0001256C">
        <w:rPr>
          <w:rFonts w:asciiTheme="minorHAnsi" w:hAnsiTheme="minorHAnsi" w:cstheme="minorHAnsi"/>
          <w:szCs w:val="20"/>
        </w:rPr>
        <w:t xml:space="preserve"> </w:t>
      </w:r>
      <w:r w:rsidRPr="004661D4">
        <w:rPr>
          <w:rFonts w:asciiTheme="minorHAnsi" w:hAnsiTheme="minorHAnsi"/>
        </w:rPr>
        <w:t>items which expose the Agency to risk and need to be hedged;</w:t>
      </w:r>
      <w:r w:rsidR="002F49A6" w:rsidRPr="0001256C">
        <w:rPr>
          <w:rFonts w:asciiTheme="minorHAnsi" w:hAnsiTheme="minorHAnsi" w:cstheme="minorHAnsi"/>
          <w:szCs w:val="20"/>
        </w:rPr>
        <w:t xml:space="preserve"> </w:t>
      </w:r>
      <w:r w:rsidRPr="004661D4">
        <w:rPr>
          <w:rFonts w:asciiTheme="minorHAnsi" w:hAnsiTheme="minorHAnsi"/>
        </w:rPr>
        <w:t>approved instruments that are effective in reducing the exposures; and management reports to measure, monitor, and control derivative activity including mark</w:t>
      </w:r>
      <w:r w:rsidRPr="004661D4">
        <w:rPr>
          <w:rFonts w:asciiTheme="minorHAnsi" w:hAnsiTheme="minorHAnsi"/>
        </w:rPr>
        <w:noBreakHyphen/>
        <w:t>to</w:t>
      </w:r>
      <w:r w:rsidRPr="004661D4">
        <w:rPr>
          <w:rFonts w:asciiTheme="minorHAnsi" w:hAnsiTheme="minorHAnsi"/>
        </w:rPr>
        <w:noBreakHyphen/>
        <w:t xml:space="preserve">market information on all open positions by instrument category. </w:t>
      </w:r>
    </w:p>
    <w:p w14:paraId="31244225" w14:textId="05C57631" w:rsidR="006C7C18" w:rsidRDefault="006C7C18" w:rsidP="000B15FD">
      <w:pPr>
        <w:pStyle w:val="Bullet1"/>
        <w:numPr>
          <w:ilvl w:val="0"/>
          <w:numId w:val="12"/>
        </w:numPr>
        <w:rPr>
          <w:rFonts w:asciiTheme="minorHAnsi" w:hAnsiTheme="minorHAnsi"/>
        </w:rPr>
      </w:pPr>
      <w:r w:rsidRPr="002D61D4">
        <w:rPr>
          <w:b/>
        </w:rPr>
        <w:t>Internal control systems</w:t>
      </w:r>
      <w:r w:rsidR="002D61D4" w:rsidRPr="002D61D4">
        <w:rPr>
          <w:b/>
        </w:rPr>
        <w:t xml:space="preserve"> </w:t>
      </w:r>
      <w:r w:rsidR="002D61D4">
        <w:rPr>
          <w:rFonts w:asciiTheme="minorHAnsi" w:hAnsiTheme="minorHAnsi" w:cstheme="minorHAnsi"/>
          <w:szCs w:val="20"/>
        </w:rPr>
        <w:t xml:space="preserve">– </w:t>
      </w:r>
      <w:r w:rsidRPr="0001256C">
        <w:rPr>
          <w:rFonts w:asciiTheme="minorHAnsi" w:hAnsiTheme="minorHAnsi" w:cstheme="minorHAnsi"/>
          <w:spacing w:val="-2"/>
          <w:szCs w:val="20"/>
        </w:rPr>
        <w:t xml:space="preserve">outlining: </w:t>
      </w:r>
      <w:r w:rsidRPr="004661D4">
        <w:rPr>
          <w:rFonts w:asciiTheme="minorHAnsi" w:hAnsiTheme="minorHAnsi"/>
        </w:rPr>
        <w:t>the role of internal audit, frequency of audits and to whom the results are conveyed; operational policies that reasonably ensure:</w:t>
      </w:r>
      <w:r w:rsidRPr="0001256C">
        <w:rPr>
          <w:rFonts w:asciiTheme="minorHAnsi" w:hAnsiTheme="minorHAnsi" w:cstheme="minorHAnsi"/>
          <w:szCs w:val="20"/>
        </w:rPr>
        <w:t xml:space="preserve"> </w:t>
      </w:r>
      <w:r w:rsidRPr="004661D4">
        <w:rPr>
          <w:rFonts w:asciiTheme="minorHAnsi" w:hAnsiTheme="minorHAnsi"/>
        </w:rPr>
        <w:t>Directions, Instructions and the Treasury Policy are not breached;</w:t>
      </w:r>
      <w:r w:rsidRPr="0001256C">
        <w:rPr>
          <w:rFonts w:asciiTheme="minorHAnsi" w:hAnsiTheme="minorHAnsi" w:cstheme="minorHAnsi"/>
          <w:szCs w:val="20"/>
        </w:rPr>
        <w:t xml:space="preserve"> </w:t>
      </w:r>
      <w:r w:rsidRPr="004661D4">
        <w:rPr>
          <w:rFonts w:asciiTheme="minorHAnsi" w:hAnsiTheme="minorHAnsi"/>
        </w:rPr>
        <w:t>computer systems are appropriate and error free;</w:t>
      </w:r>
      <w:r w:rsidRPr="0001256C">
        <w:rPr>
          <w:rFonts w:asciiTheme="minorHAnsi" w:hAnsiTheme="minorHAnsi" w:cstheme="minorHAnsi"/>
          <w:szCs w:val="20"/>
        </w:rPr>
        <w:t xml:space="preserve"> </w:t>
      </w:r>
      <w:r w:rsidRPr="004661D4">
        <w:rPr>
          <w:rFonts w:asciiTheme="minorHAnsi" w:hAnsiTheme="minorHAnsi"/>
        </w:rPr>
        <w:t xml:space="preserve">risks are being regularly identified, measured and evaluated; </w:t>
      </w:r>
      <w:r w:rsidRPr="0001256C">
        <w:rPr>
          <w:rFonts w:asciiTheme="minorHAnsi" w:hAnsiTheme="minorHAnsi" w:cstheme="minorHAnsi"/>
          <w:szCs w:val="20"/>
        </w:rPr>
        <w:t xml:space="preserve"> </w:t>
      </w:r>
      <w:r w:rsidRPr="004661D4">
        <w:rPr>
          <w:rFonts w:asciiTheme="minorHAnsi" w:hAnsiTheme="minorHAnsi"/>
        </w:rPr>
        <w:t xml:space="preserve">appropriate segregation of duties; management policies and directives are being adhered to; and </w:t>
      </w:r>
      <w:r>
        <w:rPr>
          <w:rFonts w:asciiTheme="minorHAnsi" w:hAnsiTheme="minorHAnsi"/>
        </w:rPr>
        <w:t>r</w:t>
      </w:r>
      <w:r w:rsidRPr="004661D4">
        <w:rPr>
          <w:rFonts w:asciiTheme="minorHAnsi" w:hAnsiTheme="minorHAnsi"/>
        </w:rPr>
        <w:t>eporting of breaches, including defining levels of significant breach, procedures to ensure that breaches are reported appropriately and internal controls amended if required</w:t>
      </w:r>
      <w:r w:rsidR="00995ED6">
        <w:rPr>
          <w:rFonts w:asciiTheme="minorHAnsi" w:hAnsiTheme="minorHAnsi"/>
        </w:rPr>
        <w:t xml:space="preserve">. </w:t>
      </w:r>
      <w:r w:rsidRPr="004661D4">
        <w:rPr>
          <w:rFonts w:asciiTheme="minorHAnsi" w:hAnsiTheme="minorHAnsi"/>
        </w:rPr>
        <w:t xml:space="preserve">The policy should also record the requirement of compliance reporting when significant and systemic breaches of the policy occur, see </w:t>
      </w:r>
      <w:hyperlink r:id="rId236" w:anchor="standing-directions-2018" w:history="1">
        <w:r w:rsidRPr="004661D4">
          <w:rPr>
            <w:rStyle w:val="Hyperlink"/>
            <w:rFonts w:asciiTheme="minorHAnsi" w:hAnsiTheme="minorHAnsi"/>
            <w:color w:val="auto"/>
          </w:rPr>
          <w:t>Direction 5.1</w:t>
        </w:r>
      </w:hyperlink>
      <w:r w:rsidRPr="004661D4">
        <w:rPr>
          <w:rFonts w:asciiTheme="minorHAnsi" w:hAnsiTheme="minorHAnsi"/>
          <w:i/>
        </w:rPr>
        <w:t>.</w:t>
      </w:r>
    </w:p>
    <w:p w14:paraId="5B98CDCC" w14:textId="1052DC6D" w:rsidR="006C7C18" w:rsidRDefault="006C7C18" w:rsidP="000B15FD">
      <w:pPr>
        <w:pStyle w:val="Bullet1"/>
        <w:numPr>
          <w:ilvl w:val="0"/>
          <w:numId w:val="12"/>
        </w:numPr>
        <w:rPr>
          <w:rFonts w:asciiTheme="minorHAnsi" w:hAnsiTheme="minorHAnsi"/>
        </w:rPr>
      </w:pPr>
      <w:r w:rsidRPr="002D61D4">
        <w:rPr>
          <w:b/>
        </w:rPr>
        <w:t>Reporting and monitoring process</w:t>
      </w:r>
      <w:r w:rsidR="002D61D4">
        <w:rPr>
          <w:rFonts w:asciiTheme="minorHAnsi" w:hAnsiTheme="minorHAnsi" w:cstheme="minorHAnsi"/>
          <w:szCs w:val="20"/>
        </w:rPr>
        <w:t xml:space="preserve"> – </w:t>
      </w:r>
      <w:r w:rsidRPr="0001256C">
        <w:rPr>
          <w:rFonts w:asciiTheme="minorHAnsi" w:hAnsiTheme="minorHAnsi" w:cstheme="minorHAnsi"/>
          <w:szCs w:val="20"/>
        </w:rPr>
        <w:t>including</w:t>
      </w:r>
      <w:r w:rsidRPr="004661D4">
        <w:rPr>
          <w:rFonts w:asciiTheme="minorHAnsi" w:hAnsiTheme="minorHAnsi"/>
        </w:rPr>
        <w:t xml:space="preserve"> the frequency and contents of management</w:t>
      </w:r>
      <w:r w:rsidR="003B4859">
        <w:rPr>
          <w:rFonts w:asciiTheme="minorHAnsi" w:hAnsiTheme="minorHAnsi"/>
        </w:rPr>
        <w:t xml:space="preserve"> reports</w:t>
      </w:r>
      <w:r w:rsidRPr="004661D4">
        <w:rPr>
          <w:rFonts w:asciiTheme="minorHAnsi" w:hAnsiTheme="minorHAnsi"/>
        </w:rPr>
        <w:t xml:space="preserve"> and the Responsible Body including the reporting of Treasury activities</w:t>
      </w:r>
      <w:r w:rsidRPr="0001256C">
        <w:rPr>
          <w:rFonts w:asciiTheme="minorHAnsi" w:hAnsiTheme="minorHAnsi" w:cstheme="minorHAnsi"/>
          <w:szCs w:val="20"/>
        </w:rPr>
        <w:t>;</w:t>
      </w:r>
      <w:r w:rsidRPr="004661D4">
        <w:rPr>
          <w:rFonts w:asciiTheme="minorHAnsi" w:hAnsiTheme="minorHAnsi"/>
        </w:rPr>
        <w:t xml:space="preserve"> and adherence to dealing limits.</w:t>
      </w:r>
    </w:p>
    <w:p w14:paraId="62DB32C1" w14:textId="2A1597E1" w:rsidR="006C7C18" w:rsidRPr="006C7C18" w:rsidRDefault="006C7C18" w:rsidP="000B15FD">
      <w:pPr>
        <w:pStyle w:val="Bullet1"/>
        <w:numPr>
          <w:ilvl w:val="0"/>
          <w:numId w:val="12"/>
        </w:numPr>
      </w:pPr>
      <w:r w:rsidRPr="002D61D4">
        <w:rPr>
          <w:b/>
        </w:rPr>
        <w:t>Treasury risks</w:t>
      </w:r>
      <w:r w:rsidR="002D61D4">
        <w:rPr>
          <w:rFonts w:asciiTheme="minorHAnsi" w:hAnsiTheme="minorHAnsi" w:cstheme="minorHAnsi"/>
          <w:szCs w:val="20"/>
          <w:lang w:val="en-GB"/>
        </w:rPr>
        <w:t xml:space="preserve"> – </w:t>
      </w:r>
      <w:r w:rsidRPr="006C7C18">
        <w:rPr>
          <w:rFonts w:asciiTheme="minorHAnsi" w:hAnsiTheme="minorHAnsi" w:cstheme="minorHAnsi"/>
          <w:szCs w:val="20"/>
        </w:rPr>
        <w:t>providing</w:t>
      </w:r>
      <w:r w:rsidRPr="004661D4">
        <w:rPr>
          <w:rFonts w:asciiTheme="minorHAnsi" w:hAnsiTheme="minorHAnsi"/>
        </w:rPr>
        <w:t xml:space="preserve"> further description on the various risks</w:t>
      </w:r>
      <w:r w:rsidRPr="006C7C18">
        <w:rPr>
          <w:rFonts w:asciiTheme="minorHAnsi" w:hAnsiTheme="minorHAnsi" w:cstheme="minorHAnsi"/>
          <w:szCs w:val="20"/>
        </w:rPr>
        <w:t>, as outlined below</w:t>
      </w:r>
      <w:r w:rsidRPr="006C7C18">
        <w:rPr>
          <w:rFonts w:asciiTheme="minorHAnsi" w:hAnsiTheme="minorHAnsi"/>
        </w:rPr>
        <w:t>:</w:t>
      </w:r>
    </w:p>
    <w:p w14:paraId="4F67BDBF" w14:textId="65FF44FA" w:rsidR="006C7C18" w:rsidRPr="003A27B8" w:rsidRDefault="006C7C18" w:rsidP="003A27B8">
      <w:pPr>
        <w:pStyle w:val="NormalIndent2"/>
      </w:pPr>
      <w:r w:rsidRPr="002D61D4">
        <w:rPr>
          <w:b/>
        </w:rPr>
        <w:t>Interest rate risk</w:t>
      </w:r>
      <w:r w:rsidR="002D61D4">
        <w:rPr>
          <w:rFonts w:cstheme="minorHAnsi"/>
          <w:szCs w:val="20"/>
        </w:rPr>
        <w:t xml:space="preserve"> – </w:t>
      </w:r>
      <w:r w:rsidRPr="004661D4">
        <w:t xml:space="preserve">the risk to earnings or capital arising from movements in interest rates. </w:t>
      </w:r>
      <w:r w:rsidRPr="006C7C18">
        <w:rPr>
          <w:rFonts w:cstheme="minorHAnsi"/>
          <w:szCs w:val="20"/>
        </w:rPr>
        <w:t>Interest</w:t>
      </w:r>
      <w:r w:rsidRPr="004661D4">
        <w:t xml:space="preserve"> rate risk can arise from:</w:t>
      </w:r>
      <w:r w:rsidRPr="006C7C18">
        <w:rPr>
          <w:rFonts w:cstheme="minorHAnsi"/>
          <w:szCs w:val="20"/>
        </w:rPr>
        <w:t xml:space="preserve"> </w:t>
      </w:r>
      <w:r w:rsidRPr="004661D4">
        <w:t xml:space="preserve">differences between the timing of interest rate changes and the timing of cash flows; </w:t>
      </w:r>
      <w:r>
        <w:t>r</w:t>
      </w:r>
      <w:r w:rsidRPr="004661D4">
        <w:t xml:space="preserve">esetting of interest rates on Agency’s loans or </w:t>
      </w:r>
      <w:r w:rsidR="003B4859">
        <w:t>investments</w:t>
      </w:r>
      <w:r w:rsidRPr="004661D4">
        <w:t>; and</w:t>
      </w:r>
      <w:r w:rsidRPr="0001256C">
        <w:rPr>
          <w:rFonts w:cstheme="minorHAnsi"/>
          <w:szCs w:val="20"/>
        </w:rPr>
        <w:t xml:space="preserve"> </w:t>
      </w:r>
      <w:r w:rsidRPr="004661D4">
        <w:t xml:space="preserve">when interest costs fluctuate according to interest rate movements during the life of a </w:t>
      </w:r>
      <w:r w:rsidRPr="002D61D4">
        <w:t>loan</w:t>
      </w:r>
      <w:r w:rsidRPr="004661D4">
        <w:t>.</w:t>
      </w:r>
    </w:p>
    <w:p w14:paraId="0EE1CC2D" w14:textId="2BC510E2" w:rsidR="006C7C18" w:rsidRDefault="006C7C18" w:rsidP="003A27B8">
      <w:pPr>
        <w:pStyle w:val="NormalIndent2"/>
      </w:pPr>
      <w:r w:rsidRPr="004661D4">
        <w:t>Agencies that borrow should determine their funding and cash flow requirements and the type of borrowing, its term to maturity and interest rate risk management strategies. Interest rate risk may be mitigated by including a mix of fixed and floating rate debt with a range of maturities in the liability portfolio, and ensuring that new or replacement debt is added in a way that minimises any concentration of maturities or repricing dates.</w:t>
      </w:r>
    </w:p>
    <w:p w14:paraId="3893ED6F" w14:textId="6147F531" w:rsidR="006C7C18" w:rsidRDefault="006C7C18" w:rsidP="003A27B8">
      <w:pPr>
        <w:pStyle w:val="NormalIndent2"/>
        <w:rPr>
          <w:lang w:val="en-GB"/>
        </w:rPr>
      </w:pPr>
      <w:r w:rsidRPr="004661D4">
        <w:rPr>
          <w:lang w:val="en-GB"/>
        </w:rPr>
        <w:t xml:space="preserve">The limits (shown below) may be a useful guide to Agencies with significant ongoing borrowings in the development of their </w:t>
      </w:r>
      <w:r w:rsidRPr="002D61D4">
        <w:t>policies</w:t>
      </w:r>
      <w:r w:rsidRPr="004661D4">
        <w:rPr>
          <w:lang w:val="en-GB"/>
        </w:rPr>
        <w:t>.</w:t>
      </w:r>
    </w:p>
    <w:tbl>
      <w:tblPr>
        <w:tblStyle w:val="LightShading"/>
        <w:tblW w:w="0" w:type="auto"/>
        <w:tblInd w:w="868" w:type="dxa"/>
        <w:tblLook w:val="04A0" w:firstRow="1" w:lastRow="0" w:firstColumn="1" w:lastColumn="0" w:noHBand="0" w:noVBand="1"/>
      </w:tblPr>
      <w:tblGrid>
        <w:gridCol w:w="2506"/>
        <w:gridCol w:w="1370"/>
        <w:gridCol w:w="1614"/>
      </w:tblGrid>
      <w:tr w:rsidR="002D61D4" w14:paraId="056EAE3C" w14:textId="77777777" w:rsidTr="003A27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4F78C397" w14:textId="3E38E1A6" w:rsidR="002D61D4" w:rsidRDefault="002D61D4" w:rsidP="003A27B8">
            <w:r>
              <w:t>Term to maturity</w:t>
            </w:r>
          </w:p>
        </w:tc>
        <w:tc>
          <w:tcPr>
            <w:tcW w:w="1370" w:type="dxa"/>
          </w:tcPr>
          <w:p w14:paraId="66F45823" w14:textId="1C8016B5" w:rsidR="002D61D4" w:rsidRDefault="002D61D4" w:rsidP="003A27B8">
            <w:pPr>
              <w:cnfStyle w:val="100000000000" w:firstRow="1" w:lastRow="0" w:firstColumn="0" w:lastColumn="0" w:oddVBand="0" w:evenVBand="0" w:oddHBand="0" w:evenHBand="0" w:firstRowFirstColumn="0" w:firstRowLastColumn="0" w:lastRowFirstColumn="0" w:lastRowLastColumn="0"/>
            </w:pPr>
            <w:r>
              <w:t>Target</w:t>
            </w:r>
            <w:r>
              <w:br/>
              <w:t>(%)</w:t>
            </w:r>
          </w:p>
        </w:tc>
        <w:tc>
          <w:tcPr>
            <w:tcW w:w="1614" w:type="dxa"/>
          </w:tcPr>
          <w:p w14:paraId="46E62037" w14:textId="1B8B9E5B" w:rsidR="002D61D4" w:rsidRDefault="002D61D4" w:rsidP="003A27B8">
            <w:pPr>
              <w:cnfStyle w:val="100000000000" w:firstRow="1" w:lastRow="0" w:firstColumn="0" w:lastColumn="0" w:oddVBand="0" w:evenVBand="0" w:oddHBand="0" w:evenHBand="0" w:firstRowFirstColumn="0" w:firstRowLastColumn="0" w:lastRowFirstColumn="0" w:lastRowLastColumn="0"/>
            </w:pPr>
            <w:r>
              <w:t>Limits</w:t>
            </w:r>
            <w:r>
              <w:br/>
              <w:t>(%)</w:t>
            </w:r>
          </w:p>
        </w:tc>
      </w:tr>
      <w:tr w:rsidR="002D61D4" w14:paraId="5E8246FD" w14:textId="77777777" w:rsidTr="003A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021ED585" w14:textId="3C677366" w:rsidR="002D61D4" w:rsidRDefault="002D61D4" w:rsidP="003A27B8">
            <w:r>
              <w:t>0–1 year*</w:t>
            </w:r>
          </w:p>
        </w:tc>
        <w:tc>
          <w:tcPr>
            <w:tcW w:w="1370" w:type="dxa"/>
          </w:tcPr>
          <w:p w14:paraId="73F1F8C0" w14:textId="12102A8C" w:rsidR="002D61D4" w:rsidRDefault="002D61D4" w:rsidP="003A27B8">
            <w:pPr>
              <w:cnfStyle w:val="000000100000" w:firstRow="0" w:lastRow="0" w:firstColumn="0" w:lastColumn="0" w:oddVBand="0" w:evenVBand="0" w:oddHBand="1" w:evenHBand="0" w:firstRowFirstColumn="0" w:firstRowLastColumn="0" w:lastRowFirstColumn="0" w:lastRowLastColumn="0"/>
            </w:pPr>
            <w:r>
              <w:t>20</w:t>
            </w:r>
          </w:p>
        </w:tc>
        <w:tc>
          <w:tcPr>
            <w:tcW w:w="1614" w:type="dxa"/>
          </w:tcPr>
          <w:p w14:paraId="24E0C8C0" w14:textId="6EA63795" w:rsidR="002D61D4" w:rsidRDefault="002D61D4" w:rsidP="003A27B8">
            <w:pPr>
              <w:cnfStyle w:val="000000100000" w:firstRow="0" w:lastRow="0" w:firstColumn="0" w:lastColumn="0" w:oddVBand="0" w:evenVBand="0" w:oddHBand="1" w:evenHBand="0" w:firstRowFirstColumn="0" w:firstRowLastColumn="0" w:lastRowFirstColumn="0" w:lastRowLastColumn="0"/>
            </w:pPr>
            <w:r>
              <w:t>10–30</w:t>
            </w:r>
          </w:p>
        </w:tc>
      </w:tr>
      <w:tr w:rsidR="002D61D4" w14:paraId="64D7C705" w14:textId="77777777" w:rsidTr="003A27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46EA3E90" w14:textId="0BD2C3A3" w:rsidR="002D61D4" w:rsidRDefault="002D61D4" w:rsidP="003A27B8">
            <w:r>
              <w:t>1–4 years</w:t>
            </w:r>
          </w:p>
        </w:tc>
        <w:tc>
          <w:tcPr>
            <w:tcW w:w="1370" w:type="dxa"/>
          </w:tcPr>
          <w:p w14:paraId="236EEE4F" w14:textId="5CDE300E" w:rsidR="002D61D4" w:rsidRDefault="002D61D4" w:rsidP="003A27B8">
            <w:pPr>
              <w:cnfStyle w:val="000000010000" w:firstRow="0" w:lastRow="0" w:firstColumn="0" w:lastColumn="0" w:oddVBand="0" w:evenVBand="0" w:oddHBand="0" w:evenHBand="1" w:firstRowFirstColumn="0" w:firstRowLastColumn="0" w:lastRowFirstColumn="0" w:lastRowLastColumn="0"/>
            </w:pPr>
            <w:r>
              <w:t>35</w:t>
            </w:r>
          </w:p>
        </w:tc>
        <w:tc>
          <w:tcPr>
            <w:tcW w:w="1614" w:type="dxa"/>
          </w:tcPr>
          <w:p w14:paraId="71B917ED" w14:textId="5754921B" w:rsidR="002D61D4" w:rsidRDefault="002D61D4" w:rsidP="003A27B8">
            <w:pPr>
              <w:cnfStyle w:val="000000010000" w:firstRow="0" w:lastRow="0" w:firstColumn="0" w:lastColumn="0" w:oddVBand="0" w:evenVBand="0" w:oddHBand="0" w:evenHBand="1" w:firstRowFirstColumn="0" w:firstRowLastColumn="0" w:lastRowFirstColumn="0" w:lastRowLastColumn="0"/>
            </w:pPr>
            <w:r>
              <w:t>20–50</w:t>
            </w:r>
          </w:p>
        </w:tc>
      </w:tr>
      <w:tr w:rsidR="002D61D4" w14:paraId="37455449" w14:textId="77777777" w:rsidTr="003A2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44FB089F" w14:textId="128642C8" w:rsidR="002D61D4" w:rsidRDefault="002D61D4" w:rsidP="003A27B8">
            <w:r>
              <w:t>4–8 years</w:t>
            </w:r>
          </w:p>
        </w:tc>
        <w:tc>
          <w:tcPr>
            <w:tcW w:w="1370" w:type="dxa"/>
          </w:tcPr>
          <w:p w14:paraId="6D8694A0" w14:textId="35CE4894" w:rsidR="002D61D4" w:rsidRDefault="002D61D4" w:rsidP="003A27B8">
            <w:pPr>
              <w:cnfStyle w:val="000000100000" w:firstRow="0" w:lastRow="0" w:firstColumn="0" w:lastColumn="0" w:oddVBand="0" w:evenVBand="0" w:oddHBand="1" w:evenHBand="0" w:firstRowFirstColumn="0" w:firstRowLastColumn="0" w:lastRowFirstColumn="0" w:lastRowLastColumn="0"/>
            </w:pPr>
            <w:r>
              <w:t>35</w:t>
            </w:r>
          </w:p>
        </w:tc>
        <w:tc>
          <w:tcPr>
            <w:tcW w:w="1614" w:type="dxa"/>
          </w:tcPr>
          <w:p w14:paraId="5F00A84C" w14:textId="6D84CDCB" w:rsidR="002D61D4" w:rsidRDefault="002D61D4" w:rsidP="003A27B8">
            <w:pPr>
              <w:cnfStyle w:val="000000100000" w:firstRow="0" w:lastRow="0" w:firstColumn="0" w:lastColumn="0" w:oddVBand="0" w:evenVBand="0" w:oddHBand="1" w:evenHBand="0" w:firstRowFirstColumn="0" w:firstRowLastColumn="0" w:lastRowFirstColumn="0" w:lastRowLastColumn="0"/>
            </w:pPr>
            <w:r>
              <w:t>20–50</w:t>
            </w:r>
          </w:p>
        </w:tc>
      </w:tr>
      <w:tr w:rsidR="002D61D4" w14:paraId="6F1CB984" w14:textId="77777777" w:rsidTr="003A27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79BF44D7" w14:textId="71D5A5E9" w:rsidR="002D61D4" w:rsidRDefault="002D61D4" w:rsidP="003A27B8">
            <w:r>
              <w:t>8 years and over</w:t>
            </w:r>
          </w:p>
        </w:tc>
        <w:tc>
          <w:tcPr>
            <w:tcW w:w="1370" w:type="dxa"/>
          </w:tcPr>
          <w:p w14:paraId="39C0E185" w14:textId="4C37A44E" w:rsidR="002D61D4" w:rsidRDefault="002D61D4" w:rsidP="003A27B8">
            <w:pPr>
              <w:cnfStyle w:val="000000010000" w:firstRow="0" w:lastRow="0" w:firstColumn="0" w:lastColumn="0" w:oddVBand="0" w:evenVBand="0" w:oddHBand="0" w:evenHBand="1" w:firstRowFirstColumn="0" w:firstRowLastColumn="0" w:lastRowFirstColumn="0" w:lastRowLastColumn="0"/>
            </w:pPr>
            <w:r>
              <w:t>10</w:t>
            </w:r>
          </w:p>
        </w:tc>
        <w:tc>
          <w:tcPr>
            <w:tcW w:w="1614" w:type="dxa"/>
          </w:tcPr>
          <w:p w14:paraId="37987712" w14:textId="653096CF" w:rsidR="002D61D4" w:rsidRDefault="002D61D4" w:rsidP="003A27B8">
            <w:pPr>
              <w:cnfStyle w:val="000000010000" w:firstRow="0" w:lastRow="0" w:firstColumn="0" w:lastColumn="0" w:oddVBand="0" w:evenVBand="0" w:oddHBand="0" w:evenHBand="1" w:firstRowFirstColumn="0" w:firstRowLastColumn="0" w:lastRowFirstColumn="0" w:lastRowLastColumn="0"/>
            </w:pPr>
            <w:r>
              <w:t>0–20</w:t>
            </w:r>
          </w:p>
        </w:tc>
      </w:tr>
    </w:tbl>
    <w:p w14:paraId="2B0BF6B8" w14:textId="21C48BBD" w:rsidR="00FF4D93" w:rsidRPr="004661D4" w:rsidRDefault="00FF4D93" w:rsidP="003A27B8">
      <w:pPr>
        <w:pStyle w:val="NoteNormalindent"/>
        <w:ind w:left="1350" w:right="3590" w:hanging="540"/>
      </w:pPr>
      <w:r w:rsidRPr="004661D4">
        <w:t xml:space="preserve">* </w:t>
      </w:r>
      <w:r w:rsidR="002D61D4">
        <w:tab/>
      </w:r>
      <w:r w:rsidRPr="004661D4">
        <w:t>Loans maturing within 12 months and term loans with floating rate resets should be included in the 0 to 1</w:t>
      </w:r>
      <w:r w:rsidR="00FD2EE2" w:rsidRPr="0001256C">
        <w:rPr>
          <w:rFonts w:cstheme="minorHAnsi"/>
          <w:szCs w:val="20"/>
        </w:rPr>
        <w:t>-</w:t>
      </w:r>
      <w:r w:rsidRPr="004661D4">
        <w:t>year period.</w:t>
      </w:r>
    </w:p>
    <w:p w14:paraId="0504C657" w14:textId="35DFF007" w:rsidR="00FF4D93" w:rsidRPr="004661D4" w:rsidRDefault="00FF4D93" w:rsidP="003A27B8">
      <w:pPr>
        <w:pStyle w:val="NormalIndent2"/>
      </w:pPr>
      <w:r w:rsidRPr="004661D4">
        <w:rPr>
          <w:spacing w:val="-1"/>
        </w:rPr>
        <w:t>Setting of interest rate risk limits may not be appropriate for all Agencies. For example, Agencies that</w:t>
      </w:r>
      <w:r w:rsidRPr="004661D4">
        <w:t xml:space="preserve"> undertake one</w:t>
      </w:r>
      <w:r w:rsidRPr="004661D4">
        <w:noBreakHyphen/>
        <w:t xml:space="preserve">off project borrowings may opt to use a </w:t>
      </w:r>
      <w:r w:rsidR="003B4859">
        <w:t>project based financing strategy</w:t>
      </w:r>
      <w:r w:rsidRPr="004661D4">
        <w:t xml:space="preserve">, with a term broadly matching the life of the underlying asset and with a rate of interest fixed for the life of the loan. </w:t>
      </w:r>
    </w:p>
    <w:p w14:paraId="2339B4C0" w14:textId="2D11597C" w:rsidR="00FF4D93" w:rsidRPr="004661D4" w:rsidRDefault="00FF4D93" w:rsidP="003A27B8">
      <w:pPr>
        <w:pStyle w:val="NormalIndent2"/>
      </w:pPr>
      <w:r w:rsidRPr="004661D4">
        <w:rPr>
          <w:spacing w:val="-4"/>
        </w:rPr>
        <w:t>Some Agencies may hold minimal short</w:t>
      </w:r>
      <w:r w:rsidRPr="004661D4">
        <w:rPr>
          <w:spacing w:val="-4"/>
        </w:rPr>
        <w:noBreakHyphen/>
        <w:t>term borrowing facilities for the purposes</w:t>
      </w:r>
      <w:r w:rsidRPr="004661D4">
        <w:t xml:space="preserve"> of liquidity management only and would therefore not need to adopt the portfolio approach described above. </w:t>
      </w:r>
    </w:p>
    <w:p w14:paraId="77D7E59D" w14:textId="77777777" w:rsidR="00FF4D93" w:rsidRPr="004661D4" w:rsidRDefault="00FF4D93" w:rsidP="003A27B8">
      <w:pPr>
        <w:pStyle w:val="NormalIndent2"/>
      </w:pPr>
      <w:r w:rsidRPr="004661D4">
        <w:t xml:space="preserve">TCV is available to provide advice and financial products in relation to interest rate risk management. </w:t>
      </w:r>
    </w:p>
    <w:p w14:paraId="3BB96551" w14:textId="05FBFA6C" w:rsidR="00FF4D93" w:rsidRPr="004661D4" w:rsidRDefault="00FF4D93" w:rsidP="003A27B8">
      <w:pPr>
        <w:pStyle w:val="NormalIndent2"/>
      </w:pPr>
      <w:r w:rsidRPr="002D61D4">
        <w:rPr>
          <w:b/>
        </w:rPr>
        <w:t>Liquidity risk</w:t>
      </w:r>
      <w:r w:rsidR="002D61D4">
        <w:rPr>
          <w:rFonts w:cstheme="minorHAnsi"/>
          <w:szCs w:val="20"/>
        </w:rPr>
        <w:t xml:space="preserve"> – </w:t>
      </w:r>
      <w:r w:rsidRPr="004661D4">
        <w:t xml:space="preserve">the risk that an Agency does not have sufficient funds available to meet cash outflow commitments or faces a liquidity crisis </w:t>
      </w:r>
      <w:r w:rsidRPr="002D61D4">
        <w:t>brought</w:t>
      </w:r>
      <w:r w:rsidRPr="004661D4">
        <w:t xml:space="preserve"> on by unforeseen events. Liquidity risk consists of two main elements: </w:t>
      </w:r>
      <w:r w:rsidR="00164D44" w:rsidRPr="009925A4">
        <w:rPr>
          <w:rFonts w:cstheme="minorHAnsi"/>
          <w:szCs w:val="20"/>
        </w:rPr>
        <w:t xml:space="preserve"> funds risk; and transaction risk.</w:t>
      </w:r>
    </w:p>
    <w:p w14:paraId="216C41A1" w14:textId="77777777" w:rsidR="00FF4D93" w:rsidRPr="004661D4" w:rsidRDefault="00FF4D93" w:rsidP="003A27B8">
      <w:pPr>
        <w:pStyle w:val="NormalIndent2"/>
      </w:pPr>
      <w:r w:rsidRPr="002D61D4">
        <w:rPr>
          <w:b/>
        </w:rPr>
        <w:t>Funds risk</w:t>
      </w:r>
      <w:r w:rsidRPr="004661D4">
        <w:t xml:space="preserve"> is the risk that the Agency will not be able to meet its obligations as they fall due. This is a cash flow risk and it is managed by ensuring that adequate funds of the correct currency are available in the right places at the right time. Regular forecasts of future cash flows should be prepared to monitor future funding requirements. </w:t>
      </w:r>
    </w:p>
    <w:p w14:paraId="511E82F2" w14:textId="77777777" w:rsidR="00FF4D93" w:rsidRPr="004661D4" w:rsidRDefault="00FF4D93" w:rsidP="003A27B8">
      <w:pPr>
        <w:pStyle w:val="NormalIndent2"/>
      </w:pPr>
      <w:r w:rsidRPr="002D61D4">
        <w:rPr>
          <w:b/>
        </w:rPr>
        <w:lastRenderedPageBreak/>
        <w:t>Transaction risk</w:t>
      </w:r>
      <w:r w:rsidRPr="004661D4">
        <w:t xml:space="preserve"> is the risk that losses will arise from being exposed to an illiquid market. This ties very closely to market risk. If market rates become more volatile, transaction risk increases for the Agency if it tries to sell or buy in the market.</w:t>
      </w:r>
    </w:p>
    <w:p w14:paraId="1A92665E" w14:textId="77777777" w:rsidR="00FF4D93" w:rsidRPr="004661D4" w:rsidRDefault="00FF4D93" w:rsidP="003A27B8">
      <w:pPr>
        <w:pStyle w:val="NormalIndent2"/>
      </w:pPr>
      <w:r w:rsidRPr="004661D4">
        <w:t>Under the Government’s centralised Treasury model, Agencies that borrow are responsible for managing the funds risk. TCV is responsible for managing the transaction risk and ensuring that funding lines are always available to borrowers. Agencies should focus on managing liquidity risk through careful cash flow forecasting and developing an appropriate maturity profile to manage refinancing. Agencies are ultimately responsible for the management of liquidity risk.</w:t>
      </w:r>
    </w:p>
    <w:p w14:paraId="3040A74B" w14:textId="7C8A9395" w:rsidR="00FF4D93" w:rsidRPr="004661D4" w:rsidRDefault="00FF4D93" w:rsidP="003A27B8">
      <w:pPr>
        <w:pStyle w:val="NormalIndent2"/>
      </w:pPr>
      <w:r w:rsidRPr="002D61D4">
        <w:rPr>
          <w:b/>
          <w:lang w:val="en-GB"/>
        </w:rPr>
        <w:t>Foreign exchange risk</w:t>
      </w:r>
      <w:r w:rsidR="002D61D4">
        <w:rPr>
          <w:lang w:val="en-GB"/>
        </w:rPr>
        <w:t xml:space="preserve"> – </w:t>
      </w:r>
      <w:r w:rsidR="00AB7C2E" w:rsidRPr="0094707A">
        <w:rPr>
          <w:rFonts w:cstheme="minorHAnsi"/>
          <w:lang w:val="en-GB"/>
        </w:rPr>
        <w:t>the</w:t>
      </w:r>
      <w:r w:rsidRPr="004661D4">
        <w:t xml:space="preserve"> risk to operating result and or capital due to a change in foreign exchange rates. For Agencies, foreign exchange risk mainly arises</w:t>
      </w:r>
      <w:r w:rsidR="0051154F" w:rsidRPr="0094707A">
        <w:rPr>
          <w:rFonts w:cstheme="minorHAnsi"/>
        </w:rPr>
        <w:t xml:space="preserve"> </w:t>
      </w:r>
      <w:r w:rsidRPr="004661D4">
        <w:t xml:space="preserve">when a cash payment or receipt is denominated in a foreign currency; or an Australian dollar cash payment or receipt is determined by a foreign currency amount converted to Australian dollars at an exchange rate prevailing at some future date. </w:t>
      </w:r>
    </w:p>
    <w:p w14:paraId="3B5EC54F" w14:textId="4493B77C" w:rsidR="00FF4D93" w:rsidRPr="004661D4" w:rsidRDefault="00FF4D93" w:rsidP="003A27B8">
      <w:pPr>
        <w:pStyle w:val="NormalIndent2"/>
      </w:pPr>
      <w:r w:rsidRPr="004661D4">
        <w:t>Exposure to changing foreign exchange rates often arises indirectly in the normal course of business. It may occur when purchasing products from a foreign supplier and a fall in the value of the Australian dollar may reduce the operating margin. In some instances</w:t>
      </w:r>
      <w:r w:rsidR="00FD2EE2" w:rsidRPr="006C7C18">
        <w:rPr>
          <w:rFonts w:cstheme="minorHAnsi"/>
        </w:rPr>
        <w:t>,</w:t>
      </w:r>
      <w:r w:rsidRPr="004661D4">
        <w:t xml:space="preserve"> the foreign currency exposure may be embedded in the terms of a contract, such as an agreement to purchase goods from an offshore supplier. To assist Agencies to determine exposures, it is important to consider the likely amount and timing and the degree of certainty attached to both. </w:t>
      </w:r>
    </w:p>
    <w:p w14:paraId="14BF085A" w14:textId="4569F187" w:rsidR="00FF4D93" w:rsidRPr="006C7C18" w:rsidRDefault="00FF4D93" w:rsidP="003A27B8">
      <w:pPr>
        <w:pStyle w:val="NormalIndent2"/>
      </w:pPr>
      <w:bookmarkStart w:id="38" w:name="_Hlk3515906"/>
      <w:r w:rsidRPr="004661D4">
        <w:t xml:space="preserve">The Responsible Body should ensure policies and procedures in relation to foreign exchange risk have been developed which identify the foreign exchange exposure and recognise the requirement that these exposures be fully hedged when material. </w:t>
      </w:r>
      <w:r w:rsidRPr="006C7C18">
        <w:t>Policies should therefore specifically address how any exposure arising from trade transactions (payables/receivables) is to be managed.</w:t>
      </w:r>
    </w:p>
    <w:bookmarkEnd w:id="38"/>
    <w:p w14:paraId="71F2F9C5" w14:textId="77777777" w:rsidR="00FF4D93" w:rsidRPr="004661D4" w:rsidRDefault="00FF4D93" w:rsidP="003A27B8">
      <w:pPr>
        <w:pStyle w:val="NormalIndent2"/>
      </w:pPr>
      <w:r w:rsidRPr="004661D4">
        <w:t>The most significant currency exposures faced by Agencies are cash flow exposures. TCV offers a variety of specific market instruments to manage these exposures, including forward foreign exchange, currency swaps, currency futures and options, which lend themselves readily to transaction exposures.</w:t>
      </w:r>
    </w:p>
    <w:p w14:paraId="7FB02308" w14:textId="743C827D" w:rsidR="00FF4D93" w:rsidRPr="004661D4" w:rsidRDefault="00FF4D93" w:rsidP="003A27B8">
      <w:pPr>
        <w:pStyle w:val="NormalIndent2"/>
      </w:pPr>
      <w:r w:rsidRPr="004661D4">
        <w:t>When an Agency purchases goods and services using fixed price state purchase contracts</w:t>
      </w:r>
      <w:r w:rsidR="00E43990">
        <w:t>,</w:t>
      </w:r>
      <w:r w:rsidRPr="004661D4">
        <w:t xml:space="preserve"> they are reducing their foreign currency and commodity price exposure. This is because the prices are fixed for a period, sometimes 3 or more years, and generally should not fluctuate. This includes items purchased under Health Purchasing Victoria contracts and whole of Victorian Government contracts. </w:t>
      </w:r>
    </w:p>
    <w:p w14:paraId="233CEEE8" w14:textId="77777777" w:rsidR="00FF4D93" w:rsidRPr="004661D4" w:rsidRDefault="00FF4D93" w:rsidP="003A27B8">
      <w:pPr>
        <w:pStyle w:val="NormalIndent2"/>
      </w:pPr>
      <w:r w:rsidRPr="004661D4">
        <w:t>There could be a higher exposure to foreign exchange or commodity price risk when an Agency negotiates pricing directly for goods and services with the supplier, for example when an Agency purchases directly from an overseas supplier in an overseas currency.</w:t>
      </w:r>
    </w:p>
    <w:p w14:paraId="420061BB" w14:textId="74AD2202" w:rsidR="00FF4D93" w:rsidRPr="004661D4" w:rsidRDefault="00FF4D93" w:rsidP="003A27B8">
      <w:pPr>
        <w:pStyle w:val="NormalIndent2"/>
      </w:pPr>
      <w:r w:rsidRPr="002D61D4">
        <w:rPr>
          <w:b/>
          <w:lang w:val="en-GB"/>
        </w:rPr>
        <w:t>Commodity price risk</w:t>
      </w:r>
      <w:r w:rsidR="00AB7C2E" w:rsidRPr="0094707A">
        <w:rPr>
          <w:rFonts w:cstheme="minorHAnsi"/>
          <w:lang w:val="en-GB"/>
        </w:rPr>
        <w:t xml:space="preserve"> – the</w:t>
      </w:r>
      <w:r w:rsidRPr="004661D4">
        <w:rPr>
          <w:lang w:val="en-GB"/>
        </w:rPr>
        <w:t xml:space="preserve"> </w:t>
      </w:r>
      <w:r w:rsidRPr="004661D4">
        <w:t>risk to operating result or capital due to a change in the price of a commodity that is a key input or output. For example</w:t>
      </w:r>
      <w:r w:rsidR="0051154F" w:rsidRPr="0094707A">
        <w:rPr>
          <w:rFonts w:cstheme="minorHAnsi"/>
        </w:rPr>
        <w:t>,</w:t>
      </w:r>
      <w:r w:rsidRPr="004661D4">
        <w:t xml:space="preserve"> an Agency may be required to purchase fuel. A commodity price risk may arise because the future price of fuel is uncertain. If fuel prices are rising the Agency will have to pay more for fuel and this might reduce the operating margins if the increased prices cannot be recovered.</w:t>
      </w:r>
    </w:p>
    <w:p w14:paraId="23B2252B" w14:textId="77777777" w:rsidR="00FF4D93" w:rsidRPr="004661D4" w:rsidRDefault="00FF4D93" w:rsidP="003A27B8">
      <w:pPr>
        <w:pStyle w:val="NormalIndent2"/>
      </w:pPr>
      <w:r w:rsidRPr="004661D4">
        <w:t>A Commodity</w:t>
      </w:r>
      <w:r w:rsidRPr="004661D4">
        <w:rPr>
          <w:vertAlign w:val="superscript"/>
        </w:rPr>
        <w:footnoteReference w:id="57"/>
      </w:r>
      <w:r w:rsidRPr="004661D4">
        <w:t xml:space="preserve"> is defined as a tradable item that can generally be further processed and sold; includes industrial (metals such as aluminium), agricultural (wool, wheat, sugar, etc.), and bulk (coal, iron ore) goods. Commodities are important to the Australian economy as they account for the majority of our exports.</w:t>
      </w:r>
    </w:p>
    <w:p w14:paraId="606FAFAC" w14:textId="6A294A86" w:rsidR="00FF4D93" w:rsidRPr="004661D4" w:rsidRDefault="0051154F" w:rsidP="003A27B8">
      <w:pPr>
        <w:pStyle w:val="NormalIndent2"/>
      </w:pPr>
      <w:r w:rsidRPr="006C7C18">
        <w:t xml:space="preserve">The </w:t>
      </w:r>
      <w:r w:rsidR="00FF4D93" w:rsidRPr="004661D4">
        <w:t xml:space="preserve">policy </w:t>
      </w:r>
      <w:r w:rsidR="00A849FF" w:rsidRPr="006C7C18">
        <w:t>should address</w:t>
      </w:r>
      <w:r w:rsidR="00FF4D93" w:rsidRPr="004661D4">
        <w:t xml:space="preserve"> how any </w:t>
      </w:r>
      <w:r w:rsidR="00A849FF" w:rsidRPr="006C7C18">
        <w:t>exposure</w:t>
      </w:r>
      <w:r w:rsidR="00FF4D93" w:rsidRPr="004661D4">
        <w:t xml:space="preserve"> arising from </w:t>
      </w:r>
      <w:r w:rsidR="00A849FF" w:rsidRPr="006C7C18">
        <w:t>trade transactions (payables/receivables) is to be managed.</w:t>
      </w:r>
    </w:p>
    <w:p w14:paraId="37B345D5" w14:textId="77777777" w:rsidR="00FF4D93" w:rsidRPr="004661D4" w:rsidRDefault="00FF4D93" w:rsidP="003A27B8">
      <w:pPr>
        <w:pStyle w:val="NormalIndent2"/>
      </w:pPr>
      <w:r w:rsidRPr="004661D4">
        <w:t>Agencies should be aware that many commodities have a foreign exchange component in their AUD pricing.</w:t>
      </w:r>
    </w:p>
    <w:p w14:paraId="2E494B09" w14:textId="0D36491F" w:rsidR="00FF4D93" w:rsidRPr="004661D4" w:rsidRDefault="00FF4D93" w:rsidP="00B46A7C">
      <w:pPr>
        <w:pStyle w:val="NormalIndent2"/>
        <w:keepNext/>
      </w:pPr>
      <w:r w:rsidRPr="002D61D4">
        <w:rPr>
          <w:b/>
          <w:lang w:val="en-GB"/>
        </w:rPr>
        <w:lastRenderedPageBreak/>
        <w:t>Credit risk</w:t>
      </w:r>
      <w:r w:rsidR="002D61D4">
        <w:rPr>
          <w:rFonts w:cstheme="minorHAnsi"/>
          <w:lang w:val="en-GB"/>
        </w:rPr>
        <w:t xml:space="preserve"> – </w:t>
      </w:r>
      <w:r w:rsidRPr="004661D4">
        <w:t>the risk that another party in a transaction will fail to meet its financial obligations. Credit risk may include:</w:t>
      </w:r>
    </w:p>
    <w:p w14:paraId="4CD0764E" w14:textId="77777777" w:rsidR="00FF4D93" w:rsidRPr="004661D4" w:rsidRDefault="00FF4D93" w:rsidP="00B46A7C">
      <w:pPr>
        <w:pStyle w:val="Bulletindent"/>
        <w:keepNext/>
      </w:pPr>
      <w:r w:rsidRPr="004661D4">
        <w:t xml:space="preserve">counterparty </w:t>
      </w:r>
      <w:r w:rsidRPr="003A27B8">
        <w:t>risk</w:t>
      </w:r>
      <w:r w:rsidRPr="004661D4">
        <w:t>, which is the risk that the other party to a transaction will not meet its obligations as to timing or amount of settlement;</w:t>
      </w:r>
    </w:p>
    <w:p w14:paraId="74576699" w14:textId="77777777" w:rsidR="00FF4D93" w:rsidRPr="004661D4" w:rsidRDefault="00FF4D93" w:rsidP="00B46A7C">
      <w:pPr>
        <w:pStyle w:val="Bulletindent"/>
        <w:keepNext/>
      </w:pPr>
      <w:r w:rsidRPr="004661D4">
        <w:t>country/</w:t>
      </w:r>
      <w:r w:rsidRPr="00AF4A42">
        <w:t>political</w:t>
      </w:r>
      <w:r w:rsidRPr="004661D4">
        <w:t>/</w:t>
      </w:r>
      <w:r w:rsidRPr="00AF4A42">
        <w:t>sovereign</w:t>
      </w:r>
      <w:r w:rsidRPr="004661D4">
        <w:t xml:space="preserve"> risk associated with government directives and policies that may affect the contractual performance of either party to the transaction, and that are generally beyond the direct control of the counterparty; and</w:t>
      </w:r>
    </w:p>
    <w:p w14:paraId="5807FABC" w14:textId="77777777" w:rsidR="00FF4D93" w:rsidRPr="004661D4" w:rsidRDefault="00FF4D93" w:rsidP="003A27B8">
      <w:pPr>
        <w:pStyle w:val="Bulletindent"/>
      </w:pPr>
      <w:r w:rsidRPr="004661D4">
        <w:t>settlement or delivery risk that may exist if there is a default in a single settlement or delivery, in which case all other exposures or positions with that counterparty will be closed out, thus establishing claims for transaction costs.</w:t>
      </w:r>
    </w:p>
    <w:p w14:paraId="007681D7" w14:textId="77777777" w:rsidR="0051154F" w:rsidRPr="006C7C18" w:rsidRDefault="00A849FF" w:rsidP="003A27B8">
      <w:pPr>
        <w:pStyle w:val="NormalIndent2"/>
      </w:pPr>
      <w:r w:rsidRPr="006C7C18">
        <w:t xml:space="preserve">The Responsible Body should ensure policies and procedures </w:t>
      </w:r>
      <w:r w:rsidR="0051154F" w:rsidRPr="006C7C18">
        <w:t>outline the</w:t>
      </w:r>
      <w:r w:rsidRPr="006C7C18">
        <w:t xml:space="preserve"> manag</w:t>
      </w:r>
      <w:r w:rsidR="0051154F" w:rsidRPr="006C7C18">
        <w:t>ement of</w:t>
      </w:r>
      <w:r w:rsidRPr="006C7C18">
        <w:t xml:space="preserve"> credit risk.</w:t>
      </w:r>
    </w:p>
    <w:p w14:paraId="40B575BF" w14:textId="12D01C8D" w:rsidR="00A849FF" w:rsidRPr="0094707A" w:rsidRDefault="00FF4D93" w:rsidP="003A27B8">
      <w:pPr>
        <w:pStyle w:val="NormalIndent2"/>
        <w:rPr>
          <w:rFonts w:cstheme="minorHAnsi"/>
        </w:rPr>
      </w:pPr>
      <w:r w:rsidRPr="00AF4A42">
        <w:rPr>
          <w:b/>
          <w:lang w:val="en-GB"/>
        </w:rPr>
        <w:t>Treasury operational risk</w:t>
      </w:r>
      <w:r w:rsidR="002D61D4">
        <w:rPr>
          <w:rFonts w:cstheme="minorHAnsi"/>
          <w:i/>
          <w:lang w:val="en-GB"/>
        </w:rPr>
        <w:t xml:space="preserve"> – </w:t>
      </w:r>
      <w:r w:rsidRPr="004661D4">
        <w:t xml:space="preserve">the risk of losing money as a result of failures in systems, people or procedures. The focus of operational risk management in a Treasury Policy relates to the roles and responsibilities of staff employed in the Treasury function and the related systems. Financial loss can occur in the Treasury function due to mismanagement, error, fraud, omission, theft, unauthorised use of techniques and/or financial products, or inadequate information systems. </w:t>
      </w:r>
    </w:p>
    <w:p w14:paraId="7DCF3593" w14:textId="7B579C78" w:rsidR="00FF4D93" w:rsidRPr="004661D4" w:rsidRDefault="00A849FF" w:rsidP="003A27B8">
      <w:pPr>
        <w:pStyle w:val="NormalIndent2"/>
      </w:pPr>
      <w:r w:rsidRPr="006C7C18">
        <w:rPr>
          <w:rFonts w:cstheme="minorHAnsi"/>
        </w:rPr>
        <w:t>The Responsible Body should ensure that o</w:t>
      </w:r>
      <w:r w:rsidR="00164D44" w:rsidRPr="006C7C18">
        <w:rPr>
          <w:rFonts w:cstheme="minorHAnsi"/>
        </w:rPr>
        <w:t>perational</w:t>
      </w:r>
      <w:r w:rsidR="00FF4D93" w:rsidRPr="004661D4">
        <w:t xml:space="preserve"> risks are managed by having an adequate control framework in place which limits authority, establishes supervision and separates sensitive duties. The management approach to operational risk should be to clearly define the roles and responsibilities of staff employed in the Treasury section. The management of operational risk in the Treasury function should be consistent with overall operational risk management and policies. </w:t>
      </w:r>
    </w:p>
    <w:p w14:paraId="49E46F5C" w14:textId="4B9C71F2" w:rsidR="00FF4D93" w:rsidRPr="00DB41F5" w:rsidRDefault="00FF4D93" w:rsidP="003A27B8">
      <w:pPr>
        <w:pStyle w:val="NormalIndent2"/>
      </w:pPr>
      <w:r w:rsidRPr="00AF4A42">
        <w:rPr>
          <w:b/>
          <w:lang w:val="en-GB"/>
        </w:rPr>
        <w:t>Investment risk</w:t>
      </w:r>
      <w:r w:rsidR="002D61D4">
        <w:rPr>
          <w:rFonts w:cstheme="minorHAnsi"/>
          <w:i/>
          <w:lang w:val="en-GB"/>
        </w:rPr>
        <w:t xml:space="preserve"> – </w:t>
      </w:r>
      <w:r w:rsidR="00FE293B" w:rsidRPr="00DB41F5">
        <w:rPr>
          <w:rFonts w:cstheme="minorHAnsi"/>
        </w:rPr>
        <w:t>the</w:t>
      </w:r>
      <w:r w:rsidRPr="004661D4">
        <w:t xml:space="preserve"> risk to the operating result or capital from an adverse movement in the value of investment assets. A primary consideration for Agencies that invest is capital preservation. A specific investment policy is required for Agencies investing with VFMC or in long</w:t>
      </w:r>
      <w:r w:rsidRPr="004661D4">
        <w:noBreakHyphen/>
        <w:t>term or other high</w:t>
      </w:r>
      <w:r w:rsidRPr="004661D4">
        <w:noBreakHyphen/>
        <w:t>risk assets such as equities and managed funds.</w:t>
      </w:r>
    </w:p>
    <w:p w14:paraId="01B34272" w14:textId="7DD36C88" w:rsidR="00E41431" w:rsidRPr="00E41431" w:rsidRDefault="00E41431" w:rsidP="00924EDE"/>
    <w:p w14:paraId="5C349778" w14:textId="33090629" w:rsidR="0058259D" w:rsidRPr="004C22F9" w:rsidRDefault="0058259D" w:rsidP="004661D4">
      <w:pPr>
        <w:pStyle w:val="Heading1"/>
        <w:rPr>
          <w:b/>
        </w:rPr>
      </w:pPr>
      <w:r w:rsidRPr="00E454F8">
        <w:rPr>
          <w:b/>
        </w:rPr>
        <w:t>Attachment A – Treasury Policy Example</w:t>
      </w:r>
    </w:p>
    <w:p w14:paraId="6A8C25CE" w14:textId="23FCE70C" w:rsidR="0058259D" w:rsidRPr="004661D4" w:rsidRDefault="0058259D" w:rsidP="004661D4">
      <w:pPr>
        <w:rPr>
          <w:b/>
          <w:szCs w:val="20"/>
        </w:rPr>
      </w:pPr>
      <w:r w:rsidRPr="003D3B15">
        <w:rPr>
          <w:szCs w:val="20"/>
        </w:rPr>
        <w:t xml:space="preserve">This </w:t>
      </w:r>
      <w:r w:rsidRPr="00C205A0">
        <w:rPr>
          <w:szCs w:val="20"/>
        </w:rPr>
        <w:t>illustrative</w:t>
      </w:r>
      <w:r w:rsidRPr="003D3B15">
        <w:rPr>
          <w:szCs w:val="20"/>
        </w:rPr>
        <w:t xml:space="preserve"> policy is based on a </w:t>
      </w:r>
      <w:r w:rsidRPr="00C205A0">
        <w:rPr>
          <w:szCs w:val="20"/>
        </w:rPr>
        <w:t xml:space="preserve">public sector agency </w:t>
      </w:r>
      <w:r w:rsidRPr="003D3B15">
        <w:rPr>
          <w:szCs w:val="20"/>
        </w:rPr>
        <w:t xml:space="preserve">involved in borrowing, </w:t>
      </w:r>
      <w:r w:rsidRPr="00C205A0">
        <w:rPr>
          <w:szCs w:val="20"/>
        </w:rPr>
        <w:t xml:space="preserve">cash </w:t>
      </w:r>
      <w:r w:rsidRPr="003D3B15">
        <w:rPr>
          <w:szCs w:val="20"/>
        </w:rPr>
        <w:t xml:space="preserve">investing </w:t>
      </w:r>
      <w:r w:rsidRPr="00C205A0">
        <w:rPr>
          <w:szCs w:val="20"/>
        </w:rPr>
        <w:t xml:space="preserve">(short-term) </w:t>
      </w:r>
      <w:r w:rsidRPr="003D3B15">
        <w:rPr>
          <w:szCs w:val="20"/>
        </w:rPr>
        <w:t xml:space="preserve">and </w:t>
      </w:r>
      <w:r w:rsidRPr="00C205A0">
        <w:rPr>
          <w:szCs w:val="20"/>
        </w:rPr>
        <w:t xml:space="preserve">hedging transactions utilising </w:t>
      </w:r>
      <w:r w:rsidRPr="003D3B15">
        <w:rPr>
          <w:szCs w:val="20"/>
        </w:rPr>
        <w:t xml:space="preserve">financial </w:t>
      </w:r>
      <w:r w:rsidRPr="00C205A0">
        <w:rPr>
          <w:szCs w:val="20"/>
        </w:rPr>
        <w:t>arrangements. For smaller agencies, users are encouraged</w:t>
      </w:r>
      <w:r w:rsidRPr="003D3B15">
        <w:rPr>
          <w:szCs w:val="20"/>
        </w:rPr>
        <w:t xml:space="preserve"> to </w:t>
      </w:r>
      <w:r w:rsidRPr="00C205A0">
        <w:rPr>
          <w:szCs w:val="20"/>
        </w:rPr>
        <w:t>delete unnecessary wording</w:t>
      </w:r>
      <w:r w:rsidRPr="003D3B15">
        <w:rPr>
          <w:szCs w:val="20"/>
        </w:rPr>
        <w:t xml:space="preserve"> and</w:t>
      </w:r>
      <w:r w:rsidRPr="00C205A0">
        <w:rPr>
          <w:szCs w:val="20"/>
        </w:rPr>
        <w:t>/or edit as appropriate to make it ‘fit for purpose’. In particular, some descriptive paragraphs with background information and/or guidance have been included to assist an agency to develop its own policy</w:t>
      </w:r>
      <w:r w:rsidRPr="003D3B15">
        <w:rPr>
          <w:szCs w:val="20"/>
        </w:rPr>
        <w:t xml:space="preserve">. </w:t>
      </w:r>
    </w:p>
    <w:p w14:paraId="3A883B27" w14:textId="5FC7691D" w:rsidR="0058259D" w:rsidRPr="00BD69C4" w:rsidRDefault="0058259D" w:rsidP="0058259D">
      <w:pPr>
        <w:jc w:val="center"/>
        <w:rPr>
          <w:b/>
          <w:sz w:val="22"/>
        </w:rPr>
      </w:pPr>
      <w:r w:rsidRPr="00BD69C4">
        <w:rPr>
          <w:b/>
          <w:sz w:val="22"/>
        </w:rPr>
        <w:t>[Public Sector Agency ABC] Treasury M</w:t>
      </w:r>
      <w:bookmarkStart w:id="39" w:name="_Hlk528792"/>
      <w:r w:rsidRPr="00BD69C4">
        <w:rPr>
          <w:b/>
          <w:sz w:val="22"/>
        </w:rPr>
        <w:t>anagement</w:t>
      </w:r>
      <w:bookmarkEnd w:id="39"/>
      <w:r w:rsidRPr="00BD69C4">
        <w:rPr>
          <w:b/>
          <w:sz w:val="22"/>
        </w:rPr>
        <w:t xml:space="preserve"> Policy</w:t>
      </w:r>
      <w:r w:rsidR="004C22F9">
        <w:rPr>
          <w:b/>
          <w:sz w:val="22"/>
        </w:rPr>
        <w:t xml:space="preserve"> - </w:t>
      </w:r>
      <w:r w:rsidRPr="00BD69C4">
        <w:rPr>
          <w:b/>
          <w:sz w:val="22"/>
        </w:rPr>
        <w:t>Ma</w:t>
      </w:r>
      <w:r w:rsidR="004C22F9">
        <w:rPr>
          <w:b/>
          <w:sz w:val="22"/>
        </w:rPr>
        <w:t>y</w:t>
      </w:r>
      <w:r w:rsidRPr="00BD69C4">
        <w:rPr>
          <w:b/>
          <w:sz w:val="22"/>
        </w:rPr>
        <w:t xml:space="preserve"> </w:t>
      </w:r>
      <w:r w:rsidR="00E454F8" w:rsidRPr="00BD69C4">
        <w:rPr>
          <w:b/>
          <w:sz w:val="22"/>
        </w:rPr>
        <w:t>20</w:t>
      </w:r>
      <w:r w:rsidR="00E454F8">
        <w:rPr>
          <w:b/>
          <w:sz w:val="22"/>
        </w:rPr>
        <w:t>22</w:t>
      </w:r>
    </w:p>
    <w:p w14:paraId="45B1F0EC" w14:textId="23A57354" w:rsidR="0058259D" w:rsidRPr="00BD69C4" w:rsidRDefault="0058259D" w:rsidP="0027351E">
      <w:pPr>
        <w:pStyle w:val="AttachmentHeading1"/>
      </w:pPr>
      <w:r w:rsidRPr="00BD69C4">
        <w:t>Introduction and overview</w:t>
      </w:r>
    </w:p>
    <w:p w14:paraId="4C5CD110" w14:textId="77777777" w:rsidR="0058259D" w:rsidRPr="003D3B15" w:rsidRDefault="0058259D" w:rsidP="0027351E">
      <w:pPr>
        <w:pStyle w:val="AttachmentHeading2"/>
      </w:pPr>
      <w:r w:rsidRPr="003D3B15">
        <w:t>Purpose</w:t>
      </w:r>
    </w:p>
    <w:p w14:paraId="1FCD3439" w14:textId="1689FE48" w:rsidR="0058259D" w:rsidRPr="003D3B15" w:rsidRDefault="0058259D" w:rsidP="001B5654">
      <w:pPr>
        <w:pStyle w:val="NormalIndent"/>
      </w:pPr>
      <w:r w:rsidRPr="00C205A0">
        <w:t>To</w:t>
      </w:r>
      <w:r w:rsidRPr="003D3B15">
        <w:t xml:space="preserve"> provide a framework for the management of the treasury operation of [ABC</w:t>
      </w:r>
      <w:r w:rsidRPr="00C205A0">
        <w:t xml:space="preserve">]; and ensure prudent and efficient </w:t>
      </w:r>
      <w:r w:rsidRPr="0027351E">
        <w:t>financial</w:t>
      </w:r>
      <w:r w:rsidRPr="00C205A0">
        <w:t xml:space="preserve"> risk management. This includes</w:t>
      </w:r>
      <w:r w:rsidRPr="003D3B15">
        <w:t xml:space="preserve"> the relationship between [ABC], TCV, DTF</w:t>
      </w:r>
      <w:r w:rsidRPr="00C205A0">
        <w:t>, the [</w:t>
      </w:r>
      <w:r w:rsidRPr="003D3B15">
        <w:t>Portfolio</w:t>
      </w:r>
      <w:r w:rsidRPr="00C205A0">
        <w:t>]</w:t>
      </w:r>
      <w:r w:rsidRPr="003D3B15">
        <w:t xml:space="preserve"> Department and private financial institutions</w:t>
      </w:r>
      <w:r w:rsidRPr="00C205A0">
        <w:t xml:space="preserve"> including Authorised Deposit Taking Institutions (ADIs). </w:t>
      </w:r>
      <w:r w:rsidRPr="003D3B15">
        <w:t xml:space="preserve">This will be achieved through the </w:t>
      </w:r>
      <w:r w:rsidRPr="00C205A0">
        <w:t xml:space="preserve">management, </w:t>
      </w:r>
      <w:r w:rsidRPr="003D3B15">
        <w:t>monitoring</w:t>
      </w:r>
      <w:r w:rsidRPr="00C205A0">
        <w:t xml:space="preserve"> and</w:t>
      </w:r>
      <w:r w:rsidRPr="003D3B15">
        <w:t xml:space="preserve"> reporting </w:t>
      </w:r>
      <w:r w:rsidRPr="00C205A0">
        <w:t>on</w:t>
      </w:r>
      <w:r w:rsidRPr="003D3B15">
        <w:t xml:space="preserve"> the </w:t>
      </w:r>
      <w:r w:rsidRPr="00C205A0">
        <w:t>key risks</w:t>
      </w:r>
      <w:r w:rsidR="00995ED6">
        <w:t xml:space="preserve">. </w:t>
      </w:r>
    </w:p>
    <w:p w14:paraId="1E592748" w14:textId="77777777" w:rsidR="0058259D" w:rsidRPr="003D3B15" w:rsidRDefault="0058259D" w:rsidP="0027351E">
      <w:pPr>
        <w:pStyle w:val="AttachmentHeading2"/>
      </w:pPr>
      <w:r w:rsidRPr="003D3B15">
        <w:t>Scope</w:t>
      </w:r>
    </w:p>
    <w:p w14:paraId="5D44ADF3" w14:textId="52280E5D" w:rsidR="0058259D" w:rsidRPr="003D3B15" w:rsidRDefault="0058259D" w:rsidP="001B5654">
      <w:pPr>
        <w:pStyle w:val="NormalIndent"/>
      </w:pPr>
      <w:r w:rsidRPr="0025486E">
        <w:t xml:space="preserve">This </w:t>
      </w:r>
      <w:r w:rsidRPr="003D3B15">
        <w:t>policy will apply to all:</w:t>
      </w:r>
      <w:r w:rsidRPr="00C205A0">
        <w:t xml:space="preserve"> borrowings; cash (and short-term) investments including funds held in the Central Banking </w:t>
      </w:r>
      <w:r w:rsidRPr="0027351E">
        <w:t>System</w:t>
      </w:r>
      <w:r w:rsidRPr="00C205A0">
        <w:t xml:space="preserve"> (CBS) and TCV, and transactional funds held in ADI accounts; and </w:t>
      </w:r>
      <w:r w:rsidRPr="003D3B15">
        <w:t>financial arrangements for managing interest rate</w:t>
      </w:r>
      <w:r w:rsidRPr="00C205A0">
        <w:t>,</w:t>
      </w:r>
      <w:r w:rsidRPr="003D3B15">
        <w:t xml:space="preserve"> foreign exchange</w:t>
      </w:r>
      <w:r w:rsidRPr="00C205A0">
        <w:t>, commodity risks.</w:t>
      </w:r>
    </w:p>
    <w:p w14:paraId="2ED23758" w14:textId="1381BBE9" w:rsidR="0058259D" w:rsidRPr="003D3B15" w:rsidRDefault="0058259D" w:rsidP="0027351E">
      <w:pPr>
        <w:pStyle w:val="AttachmentHeading2"/>
      </w:pPr>
      <w:r w:rsidRPr="003D3B15">
        <w:t xml:space="preserve">Other documents </w:t>
      </w:r>
      <w:r w:rsidRPr="00C205A0">
        <w:t xml:space="preserve">relevant </w:t>
      </w:r>
    </w:p>
    <w:p w14:paraId="51A1EC4E" w14:textId="7EB7E3C0" w:rsidR="0058259D" w:rsidRPr="003D3B15" w:rsidRDefault="0058259D" w:rsidP="001B5654">
      <w:pPr>
        <w:pStyle w:val="NormalIndent"/>
      </w:pPr>
      <w:r w:rsidRPr="003D3B15">
        <w:t xml:space="preserve">This </w:t>
      </w:r>
      <w:r w:rsidRPr="0027351E">
        <w:t>document</w:t>
      </w:r>
      <w:r w:rsidRPr="003D3B15">
        <w:t xml:space="preserve"> should be read in conjunction with the following legislation </w:t>
      </w:r>
      <w:r w:rsidRPr="00C205A0">
        <w:t xml:space="preserve">and policies </w:t>
      </w:r>
      <w:r w:rsidRPr="003D3B15">
        <w:t>as it applies to the operations of</w:t>
      </w:r>
      <w:r w:rsidR="00AF4A42">
        <w:t> </w:t>
      </w:r>
      <w:r w:rsidRPr="003D3B15">
        <w:t>[</w:t>
      </w:r>
      <w:r w:rsidRPr="00C205A0">
        <w:t>ABC</w:t>
      </w:r>
      <w:r w:rsidRPr="003D3B15">
        <w:t>]:</w:t>
      </w:r>
    </w:p>
    <w:p w14:paraId="4BF35529" w14:textId="77777777" w:rsidR="0058259D" w:rsidRPr="003D3B15" w:rsidRDefault="0058259D" w:rsidP="003A27B8">
      <w:pPr>
        <w:pStyle w:val="AttachmentBullet1"/>
        <w:ind w:hanging="259"/>
      </w:pPr>
      <w:r w:rsidRPr="0027351E">
        <w:rPr>
          <w:i/>
        </w:rPr>
        <w:t>Borrowing and Investment Powers Act 1987</w:t>
      </w:r>
      <w:r w:rsidRPr="003D3B15">
        <w:t>;</w:t>
      </w:r>
    </w:p>
    <w:p w14:paraId="5116E427" w14:textId="6DDFD06C" w:rsidR="0058259D" w:rsidRPr="004661D4" w:rsidRDefault="0058259D" w:rsidP="003A27B8">
      <w:pPr>
        <w:pStyle w:val="AttachmentBullet1"/>
        <w:ind w:hanging="259"/>
      </w:pPr>
      <w:r w:rsidRPr="0027351E">
        <w:rPr>
          <w:i/>
        </w:rPr>
        <w:t>Financial Management Act 1994</w:t>
      </w:r>
      <w:r w:rsidRPr="00C205A0">
        <w:t>,</w:t>
      </w:r>
      <w:r w:rsidRPr="004661D4">
        <w:t xml:space="preserve"> and the </w:t>
      </w:r>
      <w:r w:rsidRPr="00C205A0">
        <w:t>Standing Directions under this Act, particularly</w:t>
      </w:r>
      <w:r w:rsidRPr="003D3B15">
        <w:t>:</w:t>
      </w:r>
    </w:p>
    <w:p w14:paraId="763B9956" w14:textId="00185DE6" w:rsidR="0058259D" w:rsidRPr="00C205A0" w:rsidRDefault="0058259D" w:rsidP="003A27B8">
      <w:pPr>
        <w:pStyle w:val="AttachmentBullet2"/>
        <w:ind w:hanging="259"/>
        <w:rPr>
          <w:i/>
        </w:rPr>
      </w:pPr>
      <w:r w:rsidRPr="00C205A0">
        <w:t>Direction 1.2.</w:t>
      </w:r>
      <w:r w:rsidR="008B2CA7">
        <w:t>2</w:t>
      </w:r>
      <w:r w:rsidRPr="00C205A0">
        <w:t xml:space="preserve"> which exempts public </w:t>
      </w:r>
      <w:r w:rsidRPr="003D3B15">
        <w:t xml:space="preserve">financial </w:t>
      </w:r>
      <w:r w:rsidRPr="00C205A0">
        <w:t>and non-financial corporations from the CBS under</w:t>
      </w:r>
      <w:r w:rsidRPr="003D3B15">
        <w:t xml:space="preserve"> Direction</w:t>
      </w:r>
      <w:r w:rsidRPr="00C205A0">
        <w:t xml:space="preserve"> 3.7.2.1.</w:t>
      </w:r>
    </w:p>
    <w:p w14:paraId="67766B08" w14:textId="77777777" w:rsidR="0058259D" w:rsidRPr="00C205A0" w:rsidRDefault="0058259D" w:rsidP="003A27B8">
      <w:pPr>
        <w:pStyle w:val="AttachmentBullet2"/>
        <w:ind w:hanging="259"/>
        <w:rPr>
          <w:i/>
        </w:rPr>
      </w:pPr>
      <w:r w:rsidRPr="00C205A0">
        <w:lastRenderedPageBreak/>
        <w:t>Direction 3.7.2 on ‘Treasury management including Central Banking System’;</w:t>
      </w:r>
    </w:p>
    <w:p w14:paraId="44F4F63C" w14:textId="1B601AD8" w:rsidR="0058259D" w:rsidRPr="004661D4" w:rsidRDefault="0058259D" w:rsidP="003A27B8">
      <w:pPr>
        <w:pStyle w:val="AttachmentBullet1"/>
        <w:ind w:hanging="259"/>
        <w:rPr>
          <w:i/>
        </w:rPr>
      </w:pPr>
      <w:r w:rsidRPr="00C205A0">
        <w:t>the Government’s centralised treasury</w:t>
      </w:r>
      <w:r w:rsidRPr="003D3B15">
        <w:t xml:space="preserve"> and </w:t>
      </w:r>
      <w:r w:rsidRPr="00C205A0">
        <w:t>investment policy</w:t>
      </w:r>
      <w:r w:rsidRPr="003D3B15">
        <w:t>; and</w:t>
      </w:r>
    </w:p>
    <w:p w14:paraId="04973DF5" w14:textId="7F00DC98" w:rsidR="0058259D" w:rsidRPr="00C205A0" w:rsidRDefault="0058259D" w:rsidP="003A27B8">
      <w:pPr>
        <w:pStyle w:val="AttachmentBullet1"/>
        <w:ind w:hanging="259"/>
      </w:pPr>
      <w:r w:rsidRPr="00C205A0">
        <w:t>Code of Conduct for Victorian Public Sector Employees.</w:t>
      </w:r>
    </w:p>
    <w:p w14:paraId="39309188" w14:textId="77777777" w:rsidR="0058259D" w:rsidRPr="003D3B15" w:rsidRDefault="0058259D" w:rsidP="001B5654">
      <w:pPr>
        <w:pStyle w:val="NormalIndent"/>
      </w:pPr>
      <w:r w:rsidRPr="00C205A0">
        <w:t>This document should also be read in conjunction with other</w:t>
      </w:r>
      <w:r w:rsidRPr="003D3B15">
        <w:t xml:space="preserve"> internal policy materials relevant to the operation of the treasury function of [ABC] </w:t>
      </w:r>
      <w:r w:rsidRPr="00C205A0">
        <w:t xml:space="preserve">which </w:t>
      </w:r>
      <w:r w:rsidRPr="003D3B15">
        <w:t>include the following:</w:t>
      </w:r>
      <w:r w:rsidRPr="00C205A0">
        <w:t xml:space="preserve"> [ABC] Corporate Plan; Risk Management Policy; Treasury procedures manual; and [ABC] Code of Conduct.</w:t>
      </w:r>
    </w:p>
    <w:p w14:paraId="174BEAB9" w14:textId="77777777" w:rsidR="0058259D" w:rsidRPr="003D3B15" w:rsidRDefault="0058259D" w:rsidP="0027351E">
      <w:pPr>
        <w:pStyle w:val="AttachmentHeading2"/>
      </w:pPr>
      <w:r w:rsidRPr="003D3B15">
        <w:t>Maintenance of the treasury policy</w:t>
      </w:r>
    </w:p>
    <w:p w14:paraId="5678664A" w14:textId="0342593A" w:rsidR="0058259D" w:rsidRPr="003D3B15" w:rsidRDefault="0058259D" w:rsidP="001B5654">
      <w:pPr>
        <w:pStyle w:val="NormalIndent"/>
      </w:pPr>
      <w:r w:rsidRPr="00C205A0">
        <w:t>The [CFO</w:t>
      </w:r>
      <w:r w:rsidRPr="003D3B15">
        <w:t>] is responsible for maintaining and supervising compliance with this treasury policy. The policy and all amendments must be approved by the Board. The policy is reviewed annually</w:t>
      </w:r>
      <w:r w:rsidR="00995ED6">
        <w:t xml:space="preserve">. </w:t>
      </w:r>
    </w:p>
    <w:p w14:paraId="63F90FBB" w14:textId="77777777" w:rsidR="0058259D" w:rsidRPr="00C205A0" w:rsidRDefault="0058259D" w:rsidP="001B5654">
      <w:pPr>
        <w:pStyle w:val="NormalIndent"/>
      </w:pPr>
      <w:r w:rsidRPr="00C205A0">
        <w:t xml:space="preserve">It is a requirement under the Standing Direction 3.7.2.2 Instructions to provide DTF with a draft of the treasury policy for </w:t>
      </w:r>
      <w:r w:rsidRPr="0027351E">
        <w:t>review</w:t>
      </w:r>
      <w:r w:rsidRPr="00C205A0">
        <w:t>.</w:t>
      </w:r>
    </w:p>
    <w:p w14:paraId="5C30DB3D" w14:textId="2762FAE4" w:rsidR="0058259D" w:rsidRPr="00BD69C4" w:rsidRDefault="0058259D" w:rsidP="0027351E">
      <w:pPr>
        <w:pStyle w:val="AttachmentHeading1"/>
      </w:pPr>
      <w:r w:rsidRPr="00BD69C4">
        <w:t xml:space="preserve">Financial objectives and strategies </w:t>
      </w:r>
    </w:p>
    <w:p w14:paraId="135AF60A" w14:textId="08BD253E" w:rsidR="0058259D" w:rsidRPr="003D3B15" w:rsidRDefault="0058259D" w:rsidP="0027351E">
      <w:pPr>
        <w:pStyle w:val="AttachmentHeading2"/>
      </w:pPr>
      <w:r w:rsidRPr="003D3B15">
        <w:t xml:space="preserve">Financial </w:t>
      </w:r>
      <w:r w:rsidR="00A66487" w:rsidRPr="00C205A0">
        <w:t>objectives</w:t>
      </w:r>
    </w:p>
    <w:p w14:paraId="239D9B60" w14:textId="77777777" w:rsidR="0058259D" w:rsidRPr="003D3B15" w:rsidRDefault="0058259D" w:rsidP="001B5654">
      <w:pPr>
        <w:pStyle w:val="NormalIndent"/>
      </w:pPr>
      <w:r w:rsidRPr="003D3B15">
        <w:t xml:space="preserve">The financial and treasury management objectives of [ABC] are as follows: </w:t>
      </w:r>
    </w:p>
    <w:p w14:paraId="705E7F20" w14:textId="303A7CC1" w:rsidR="0058259D" w:rsidRPr="003D3B15" w:rsidRDefault="0058259D" w:rsidP="0027351E">
      <w:pPr>
        <w:pStyle w:val="AttachmentBullet1"/>
      </w:pPr>
      <w:r w:rsidRPr="003D3B15">
        <w:t xml:space="preserve">to manage </w:t>
      </w:r>
      <w:r w:rsidRPr="00C205A0">
        <w:t xml:space="preserve">cash flows and </w:t>
      </w:r>
      <w:r w:rsidRPr="003D3B15">
        <w:t>liquidity needs on a daily and longer</w:t>
      </w:r>
      <w:r w:rsidRPr="00C205A0">
        <w:t>-</w:t>
      </w:r>
      <w:r w:rsidRPr="003D3B15">
        <w:t xml:space="preserve">term basis and meet cash flow commitments </w:t>
      </w:r>
      <w:r w:rsidRPr="00A66487">
        <w:t>when</w:t>
      </w:r>
      <w:r w:rsidRPr="003D3B15">
        <w:t xml:space="preserve"> they fall due;</w:t>
      </w:r>
    </w:p>
    <w:p w14:paraId="743FD2E0" w14:textId="4ED0BE8C" w:rsidR="0058259D" w:rsidRPr="003D3B15" w:rsidRDefault="0058259D" w:rsidP="0027351E">
      <w:pPr>
        <w:pStyle w:val="AttachmentBullet1"/>
      </w:pPr>
      <w:r w:rsidRPr="00C205A0">
        <w:t>to</w:t>
      </w:r>
      <w:r w:rsidRPr="003D3B15">
        <w:t xml:space="preserve"> maintain the minimum required cash balances in transactional bank accounts;</w:t>
      </w:r>
    </w:p>
    <w:p w14:paraId="4F89DD13" w14:textId="3A9967C5" w:rsidR="0058259D" w:rsidRPr="003D3B15" w:rsidRDefault="0058259D" w:rsidP="0027351E">
      <w:pPr>
        <w:pStyle w:val="AttachmentBullet1"/>
      </w:pPr>
      <w:r w:rsidRPr="003D3B15">
        <w:t xml:space="preserve">to determine annual borrowing requirements for inclusion in the </w:t>
      </w:r>
      <w:r w:rsidRPr="00C205A0">
        <w:t xml:space="preserve">Government </w:t>
      </w:r>
      <w:r w:rsidRPr="003D3B15">
        <w:t xml:space="preserve">budget feeds based on corporate plans and forecast capital </w:t>
      </w:r>
      <w:r w:rsidRPr="00C205A0">
        <w:t>expenditures</w:t>
      </w:r>
      <w:r w:rsidRPr="003D3B15">
        <w:t>;</w:t>
      </w:r>
    </w:p>
    <w:p w14:paraId="76F30BEC" w14:textId="2A2ED0DA" w:rsidR="0058259D" w:rsidRPr="003D3B15" w:rsidRDefault="0058259D" w:rsidP="0027351E">
      <w:pPr>
        <w:pStyle w:val="AttachmentBullet1"/>
      </w:pPr>
      <w:r w:rsidRPr="003D3B15">
        <w:t>to ensure financial risks and treasury management exposures are identified, planned and managed; and</w:t>
      </w:r>
    </w:p>
    <w:p w14:paraId="651D5DC2" w14:textId="610EFE54" w:rsidR="0058259D" w:rsidRPr="003D3B15" w:rsidRDefault="0058259D" w:rsidP="00A66487">
      <w:pPr>
        <w:pStyle w:val="Bullet3"/>
      </w:pPr>
      <w:r w:rsidRPr="003D3B15">
        <w:t xml:space="preserve">to </w:t>
      </w:r>
      <w:r w:rsidRPr="00C205A0">
        <w:t>allocate</w:t>
      </w:r>
      <w:r w:rsidRPr="003D3B15">
        <w:t xml:space="preserve"> appropriate resources, </w:t>
      </w:r>
      <w:r w:rsidRPr="00C205A0">
        <w:t xml:space="preserve">implement </w:t>
      </w:r>
      <w:r w:rsidRPr="003D3B15">
        <w:t xml:space="preserve">internal controls and </w:t>
      </w:r>
      <w:r w:rsidRPr="00C205A0">
        <w:t xml:space="preserve">maintain </w:t>
      </w:r>
      <w:r w:rsidRPr="003D3B15">
        <w:t xml:space="preserve">oversight of the corporate treasury </w:t>
      </w:r>
      <w:r w:rsidRPr="00A66487">
        <w:t>function</w:t>
      </w:r>
      <w:r w:rsidRPr="003D3B15">
        <w:t>.</w:t>
      </w:r>
    </w:p>
    <w:p w14:paraId="2B9C01DA" w14:textId="53772F85" w:rsidR="0058259D" w:rsidRPr="003D3B15" w:rsidRDefault="0058259D" w:rsidP="0027351E">
      <w:pPr>
        <w:pStyle w:val="AttachmentHeading2"/>
      </w:pPr>
      <w:r w:rsidRPr="003D3B15">
        <w:t xml:space="preserve">Financial </w:t>
      </w:r>
      <w:r w:rsidR="00A66487" w:rsidRPr="00C205A0">
        <w:t>strategy</w:t>
      </w:r>
    </w:p>
    <w:p w14:paraId="1AFFD24D" w14:textId="77777777" w:rsidR="0058259D" w:rsidRPr="003D3B15" w:rsidRDefault="0058259D" w:rsidP="001B5654">
      <w:pPr>
        <w:pStyle w:val="NormalIndent"/>
      </w:pPr>
      <w:r w:rsidRPr="003D3B15">
        <w:t>The financial strategies employed to achieve these treasury management strategies are as follows:</w:t>
      </w:r>
    </w:p>
    <w:p w14:paraId="6333A019" w14:textId="2FD9D9B0" w:rsidR="0058259D" w:rsidRPr="003D3B15" w:rsidRDefault="0058259D" w:rsidP="0027351E">
      <w:pPr>
        <w:pStyle w:val="AttachmentBullet1"/>
      </w:pPr>
      <w:r w:rsidRPr="003D3B15">
        <w:t>t</w:t>
      </w:r>
      <w:r w:rsidRPr="0025486E">
        <w:t xml:space="preserve">o </w:t>
      </w:r>
      <w:r w:rsidRPr="00C205A0">
        <w:t>prepare</w:t>
      </w:r>
      <w:r w:rsidRPr="003D3B15">
        <w:t xml:space="preserve"> regular cash forecasts to</w:t>
      </w:r>
      <w:r w:rsidRPr="00C205A0">
        <w:t xml:space="preserve"> effectively monitor future funding requirements,</w:t>
      </w:r>
      <w:r w:rsidRPr="003D3B15">
        <w:t xml:space="preserve"> meet all cash flow commitments when they fall due</w:t>
      </w:r>
      <w:r w:rsidRPr="00C205A0">
        <w:t xml:space="preserve"> and minimise liquidity risk;  </w:t>
      </w:r>
    </w:p>
    <w:p w14:paraId="4E91CDE7" w14:textId="5380F753" w:rsidR="0058259D" w:rsidRPr="003D3B15" w:rsidRDefault="0058259D" w:rsidP="0027351E">
      <w:pPr>
        <w:pStyle w:val="AttachmentBullet1"/>
      </w:pPr>
      <w:r w:rsidRPr="003D3B15">
        <w:t>where there are borrowings outstanding, to use any surplus funds to retire debt as a priority</w:t>
      </w:r>
      <w:r w:rsidRPr="00C205A0">
        <w:t xml:space="preserve"> taking into consideration the book valuation of the loans and the ability to absorb book losses if applicable</w:t>
      </w:r>
      <w:r w:rsidRPr="003D3B15">
        <w:t>;</w:t>
      </w:r>
    </w:p>
    <w:p w14:paraId="4A94E332" w14:textId="44F4EE05" w:rsidR="0058259D" w:rsidRPr="003D3B15" w:rsidRDefault="0058259D" w:rsidP="0027351E">
      <w:pPr>
        <w:pStyle w:val="AttachmentBullet1"/>
      </w:pPr>
      <w:r w:rsidRPr="003D3B15">
        <w:t xml:space="preserve">to maintain any surplus cash balances </w:t>
      </w:r>
      <w:r w:rsidRPr="00C205A0">
        <w:t>(</w:t>
      </w:r>
      <w:r w:rsidRPr="003D3B15">
        <w:t xml:space="preserve">not </w:t>
      </w:r>
      <w:r w:rsidRPr="00C205A0">
        <w:t>applied</w:t>
      </w:r>
      <w:r w:rsidRPr="003D3B15">
        <w:t xml:space="preserve"> to debt </w:t>
      </w:r>
      <w:r w:rsidRPr="00C205A0">
        <w:t xml:space="preserve">retirement) </w:t>
      </w:r>
      <w:r w:rsidRPr="003D3B15">
        <w:t xml:space="preserve">in </w:t>
      </w:r>
      <w:r w:rsidRPr="00C205A0">
        <w:t>the CBS</w:t>
      </w:r>
      <w:r w:rsidRPr="003D3B15">
        <w:t>;</w:t>
      </w:r>
    </w:p>
    <w:p w14:paraId="4CDCCB8E" w14:textId="74733955" w:rsidR="0058259D" w:rsidRDefault="0058259D" w:rsidP="0027351E">
      <w:pPr>
        <w:pStyle w:val="AttachmentBullet1"/>
        <w:rPr>
          <w:szCs w:val="20"/>
        </w:rPr>
      </w:pPr>
      <w:r w:rsidRPr="003D3B15">
        <w:rPr>
          <w:szCs w:val="20"/>
        </w:rPr>
        <w:t xml:space="preserve">to keep floating rate debt to a minimum, unless there are offsetting </w:t>
      </w:r>
      <w:r w:rsidRPr="00C205A0">
        <w:rPr>
          <w:szCs w:val="20"/>
        </w:rPr>
        <w:t>exposures</w:t>
      </w:r>
      <w:r w:rsidRPr="003D3B15">
        <w:rPr>
          <w:szCs w:val="20"/>
        </w:rPr>
        <w:t xml:space="preserve"> in revenue; </w:t>
      </w:r>
    </w:p>
    <w:p w14:paraId="0B4F6891" w14:textId="77777777" w:rsidR="00FC3FA9" w:rsidRPr="00FC3FA9" w:rsidRDefault="00FC3FA9" w:rsidP="0027351E">
      <w:pPr>
        <w:pStyle w:val="AttachmentBullet1"/>
      </w:pPr>
      <w:r w:rsidRPr="00FC3FA9">
        <w:t>to maintain a spread of debt maturities (Standing Direction 3.7.2 Guidance) to minimise interest rate/refinancing risks;</w:t>
      </w:r>
    </w:p>
    <w:p w14:paraId="5A1ECAB0" w14:textId="77777777" w:rsidR="0058259D" w:rsidRPr="003D3B15" w:rsidRDefault="0058259D" w:rsidP="0027351E">
      <w:pPr>
        <w:pStyle w:val="AttachmentBullet1"/>
      </w:pPr>
      <w:r w:rsidRPr="003D3B15">
        <w:t xml:space="preserve">to actively manage refinancing risk for </w:t>
      </w:r>
      <w:r w:rsidRPr="00C205A0">
        <w:t xml:space="preserve">any </w:t>
      </w:r>
      <w:r w:rsidRPr="003D3B15">
        <w:t xml:space="preserve">large fixed rate loans through obtaining appropriate financial arrangements </w:t>
      </w:r>
      <w:r w:rsidRPr="00C205A0">
        <w:t xml:space="preserve">such as the approval to transact a forward settlement loan </w:t>
      </w:r>
      <w:r w:rsidRPr="003D3B15">
        <w:t>through TCV;</w:t>
      </w:r>
    </w:p>
    <w:p w14:paraId="6A52A54A" w14:textId="0F154AFB" w:rsidR="0058259D" w:rsidRPr="003D3B15" w:rsidRDefault="0058259D" w:rsidP="0027351E">
      <w:pPr>
        <w:pStyle w:val="AttachmentBullet1"/>
      </w:pPr>
      <w:r w:rsidRPr="00C205A0">
        <w:t>to liaise with DTF to obtain the necessary Treasurer’s borrowing approval and</w:t>
      </w:r>
      <w:r w:rsidRPr="003D3B15">
        <w:t xml:space="preserve"> with TCV to ensure that access to credit lines is available to meet any unexpected funding requirements; </w:t>
      </w:r>
    </w:p>
    <w:p w14:paraId="7F9C0289" w14:textId="77777777" w:rsidR="0058259D" w:rsidRPr="003D3B15" w:rsidRDefault="0058259D" w:rsidP="0027351E">
      <w:pPr>
        <w:pStyle w:val="AttachmentBullet1"/>
      </w:pPr>
      <w:r w:rsidRPr="003D3B15">
        <w:t xml:space="preserve">to prohibit speculative position taking, and </w:t>
      </w:r>
      <w:r w:rsidRPr="00C205A0">
        <w:t xml:space="preserve">to </w:t>
      </w:r>
      <w:r w:rsidRPr="003D3B15">
        <w:t>only enter into financial arrangements for hedging/</w:t>
      </w:r>
      <w:r w:rsidRPr="00C205A0">
        <w:t xml:space="preserve"> </w:t>
      </w:r>
      <w:r w:rsidRPr="003D3B15">
        <w:t xml:space="preserve">risk management purposes; </w:t>
      </w:r>
    </w:p>
    <w:p w14:paraId="1F1A4F3D" w14:textId="577022FE" w:rsidR="0058259D" w:rsidRPr="003D3B15" w:rsidRDefault="0058259D" w:rsidP="0027351E">
      <w:pPr>
        <w:pStyle w:val="AttachmentBullet1"/>
      </w:pPr>
      <w:r w:rsidRPr="003D3B15">
        <w:t>to undertake all borrowings</w:t>
      </w:r>
      <w:r w:rsidRPr="00C205A0">
        <w:t xml:space="preserve"> and</w:t>
      </w:r>
      <w:r w:rsidRPr="003D3B15">
        <w:t xml:space="preserve"> financial arrangements</w:t>
      </w:r>
      <w:r w:rsidRPr="00C205A0">
        <w:t>, including foreign exchange transactions</w:t>
      </w:r>
      <w:r w:rsidRPr="003D3B15">
        <w:t xml:space="preserve"> through TCV to mitigate credit/</w:t>
      </w:r>
      <w:r w:rsidRPr="00C205A0">
        <w:t xml:space="preserve"> </w:t>
      </w:r>
      <w:r w:rsidRPr="003D3B15">
        <w:t>counterparty risk;</w:t>
      </w:r>
    </w:p>
    <w:p w14:paraId="4F5E883D" w14:textId="5C0040B8" w:rsidR="0058259D" w:rsidRPr="003D3B15" w:rsidRDefault="0058259D" w:rsidP="0027351E">
      <w:pPr>
        <w:pStyle w:val="AttachmentBullet1"/>
      </w:pPr>
      <w:r w:rsidRPr="003D3B15">
        <w:t>to undertake an annual internal audit of the treasury management function;</w:t>
      </w:r>
    </w:p>
    <w:p w14:paraId="789D6506" w14:textId="77777777" w:rsidR="0058259D" w:rsidRPr="003D3B15" w:rsidRDefault="0058259D" w:rsidP="0027351E">
      <w:pPr>
        <w:pStyle w:val="AttachmentBullet1"/>
      </w:pPr>
      <w:r w:rsidRPr="003D3B15">
        <w:t>to operate at all times within the Board approved treasury policy; and</w:t>
      </w:r>
    </w:p>
    <w:p w14:paraId="4939815A" w14:textId="77777777" w:rsidR="0058259D" w:rsidRPr="0025486E" w:rsidRDefault="0058259D" w:rsidP="0027351E">
      <w:pPr>
        <w:pStyle w:val="AttachmentBullet1"/>
      </w:pPr>
      <w:r w:rsidRPr="0025486E">
        <w:t xml:space="preserve">maintain the highest standards of professional conduct and ethical dealing in the management of the treasury function. </w:t>
      </w:r>
    </w:p>
    <w:p w14:paraId="3E24425F" w14:textId="00593856" w:rsidR="0058259D" w:rsidRPr="00BD69C4" w:rsidRDefault="0058259D" w:rsidP="0027351E">
      <w:pPr>
        <w:pStyle w:val="AttachmentHeading1"/>
      </w:pPr>
      <w:r w:rsidRPr="00BD69C4">
        <w:t>Treasury risk recognition and management</w:t>
      </w:r>
    </w:p>
    <w:p w14:paraId="101306D7" w14:textId="77777777" w:rsidR="0058259D" w:rsidRPr="00C205A0" w:rsidRDefault="0058259D" w:rsidP="001B5654">
      <w:pPr>
        <w:pStyle w:val="NormalIndent"/>
      </w:pPr>
      <w:r w:rsidRPr="00C205A0">
        <w:t>Standing Direction 3.7.2.2 requires that bodies such as [ABC] establish and maintain policies to identify, assess, monitor, report on and mitigate its treasury risks. These policies must address, at a minimum, the risks outlined below.</w:t>
      </w:r>
    </w:p>
    <w:p w14:paraId="44FA0ECB" w14:textId="77777777" w:rsidR="0058259D" w:rsidRPr="003D3B15" w:rsidRDefault="0058259D" w:rsidP="0027351E">
      <w:pPr>
        <w:pStyle w:val="AttachmentHeading2"/>
      </w:pPr>
      <w:r w:rsidRPr="003D3B15">
        <w:lastRenderedPageBreak/>
        <w:t>Interest rate risk</w:t>
      </w:r>
    </w:p>
    <w:p w14:paraId="48164D6C" w14:textId="77777777" w:rsidR="0058259D" w:rsidRPr="0025486E" w:rsidRDefault="0058259D" w:rsidP="001B5654">
      <w:pPr>
        <w:pStyle w:val="NormalIndent"/>
      </w:pPr>
      <w:r w:rsidRPr="003D3B15">
        <w:t>Interest rate risk is the risk that the organisation will suffer a financial or economic loss due to adverse movements in interest rates. Interest rate risk will arise where:</w:t>
      </w:r>
    </w:p>
    <w:p w14:paraId="1AA5139C" w14:textId="77777777" w:rsidR="0058259D" w:rsidRPr="00FF63D7" w:rsidRDefault="0058259D" w:rsidP="000B15FD">
      <w:pPr>
        <w:numPr>
          <w:ilvl w:val="0"/>
          <w:numId w:val="24"/>
        </w:numPr>
        <w:spacing w:before="0" w:after="0"/>
        <w:jc w:val="both"/>
        <w:rPr>
          <w:szCs w:val="20"/>
        </w:rPr>
      </w:pPr>
      <w:r w:rsidRPr="0025486E">
        <w:rPr>
          <w:szCs w:val="20"/>
        </w:rPr>
        <w:t>there is a cash surplus or deficit that needs to be managed</w:t>
      </w:r>
      <w:r w:rsidRPr="00FF63D7">
        <w:rPr>
          <w:szCs w:val="20"/>
        </w:rPr>
        <w:t xml:space="preserve">; </w:t>
      </w:r>
    </w:p>
    <w:p w14:paraId="49EE0650" w14:textId="77777777" w:rsidR="0058259D" w:rsidRPr="00C205A0" w:rsidRDefault="0058259D" w:rsidP="000B15FD">
      <w:pPr>
        <w:numPr>
          <w:ilvl w:val="0"/>
          <w:numId w:val="24"/>
        </w:numPr>
        <w:spacing w:before="0" w:after="0"/>
        <w:jc w:val="both"/>
        <w:rPr>
          <w:szCs w:val="20"/>
        </w:rPr>
      </w:pPr>
      <w:r w:rsidRPr="00C205A0">
        <w:rPr>
          <w:szCs w:val="20"/>
        </w:rPr>
        <w:t>borrowings or investments mature and are reborrowed or reinvested;</w:t>
      </w:r>
    </w:p>
    <w:p w14:paraId="4B74FF35" w14:textId="77777777" w:rsidR="0058259D" w:rsidRPr="00C205A0" w:rsidRDefault="0058259D" w:rsidP="000B15FD">
      <w:pPr>
        <w:numPr>
          <w:ilvl w:val="0"/>
          <w:numId w:val="24"/>
        </w:numPr>
        <w:spacing w:before="0" w:after="0"/>
        <w:jc w:val="both"/>
        <w:rPr>
          <w:szCs w:val="20"/>
        </w:rPr>
      </w:pPr>
      <w:r w:rsidRPr="00C205A0">
        <w:rPr>
          <w:szCs w:val="20"/>
        </w:rPr>
        <w:t>an interest repricing occurs on a borrowing, financial arrangement or investment;</w:t>
      </w:r>
    </w:p>
    <w:p w14:paraId="626F6D6B" w14:textId="77777777" w:rsidR="0058259D" w:rsidRPr="00C205A0" w:rsidRDefault="0058259D" w:rsidP="000B15FD">
      <w:pPr>
        <w:numPr>
          <w:ilvl w:val="0"/>
          <w:numId w:val="24"/>
        </w:numPr>
        <w:spacing w:before="0" w:after="0"/>
        <w:jc w:val="both"/>
        <w:rPr>
          <w:szCs w:val="20"/>
        </w:rPr>
      </w:pPr>
      <w:r w:rsidRPr="00C205A0">
        <w:rPr>
          <w:szCs w:val="20"/>
        </w:rPr>
        <w:t>there are new borrowings or investments; and</w:t>
      </w:r>
    </w:p>
    <w:p w14:paraId="67C5818D" w14:textId="77777777" w:rsidR="0058259D" w:rsidRPr="00C205A0" w:rsidRDefault="0058259D" w:rsidP="000B15FD">
      <w:pPr>
        <w:numPr>
          <w:ilvl w:val="0"/>
          <w:numId w:val="24"/>
        </w:numPr>
        <w:spacing w:before="0" w:after="0"/>
        <w:jc w:val="both"/>
        <w:rPr>
          <w:szCs w:val="20"/>
        </w:rPr>
      </w:pPr>
      <w:r w:rsidRPr="00C205A0">
        <w:rPr>
          <w:szCs w:val="20"/>
        </w:rPr>
        <w:t>there is an early repayment of debt or an investment.</w:t>
      </w:r>
    </w:p>
    <w:p w14:paraId="1076503F" w14:textId="77777777" w:rsidR="0058259D" w:rsidRPr="003D3B15" w:rsidRDefault="0058259D" w:rsidP="001B5654">
      <w:pPr>
        <w:pStyle w:val="NormalIndent"/>
      </w:pPr>
      <w:r w:rsidRPr="00C205A0">
        <w:t>[ABC</w:t>
      </w:r>
      <w:r w:rsidRPr="003D3B15">
        <w:t>] predominantly manages interest rate risk by:</w:t>
      </w:r>
    </w:p>
    <w:p w14:paraId="25F145F9" w14:textId="77777777" w:rsidR="0058259D" w:rsidRPr="0025486E" w:rsidRDefault="0058259D" w:rsidP="0027351E">
      <w:pPr>
        <w:pStyle w:val="AttachmentBullet1"/>
      </w:pPr>
      <w:r w:rsidRPr="003D3B15">
        <w:t>keeping floating rate debt to a minimum and adhering to the debt portfolio maturity profile contained in the financial strategy section (2.2) of this policy;</w:t>
      </w:r>
    </w:p>
    <w:p w14:paraId="34162711" w14:textId="77777777" w:rsidR="0058259D" w:rsidRPr="00C205A0" w:rsidRDefault="0058259D" w:rsidP="0027351E">
      <w:pPr>
        <w:pStyle w:val="AttachmentBullet1"/>
      </w:pPr>
      <w:r w:rsidRPr="00C205A0">
        <w:t xml:space="preserve">corporate planning that monitors future capital expenditure requirements and how this will affect the portfolio structure; and </w:t>
      </w:r>
    </w:p>
    <w:p w14:paraId="50E58733" w14:textId="10CE1E90" w:rsidR="0058259D" w:rsidRPr="00C205A0" w:rsidRDefault="0058259D" w:rsidP="00924EDE">
      <w:pPr>
        <w:pStyle w:val="AttachmentBullet1"/>
        <w:spacing w:after="120"/>
        <w:contextualSpacing w:val="0"/>
      </w:pPr>
      <w:r w:rsidRPr="00C205A0">
        <w:t>contacting TCV to arrange for appropriate risk management products to be put in place before a large fixed interest rate loan is due to be refinanced. A forward settlement loan is in most circumstances the most cost-effective financial arrangement to manage the risks associated with a loan maturity that requires refinancing</w:t>
      </w:r>
      <w:r w:rsidR="00995ED6">
        <w:t xml:space="preserve">. </w:t>
      </w:r>
    </w:p>
    <w:p w14:paraId="2E172D57" w14:textId="6BCAB69C" w:rsidR="0058259D" w:rsidRPr="00C205A0" w:rsidRDefault="0058259D" w:rsidP="0027351E">
      <w:pPr>
        <w:pStyle w:val="AttachmentHeading2"/>
      </w:pPr>
      <w:r w:rsidRPr="004661D4">
        <w:t>Liquidity risk</w:t>
      </w:r>
    </w:p>
    <w:p w14:paraId="4A33261E" w14:textId="77777777" w:rsidR="0058259D" w:rsidRPr="00C205A0" w:rsidRDefault="0058259D" w:rsidP="001B5654">
      <w:pPr>
        <w:pStyle w:val="NormalIndent"/>
      </w:pPr>
      <w:r w:rsidRPr="00C205A0">
        <w:t>Liquidity risk is the risk that [ABC] cannot satisfy its day to day cash flow commitments when they fall due. Liquidity risk is managed by:</w:t>
      </w:r>
    </w:p>
    <w:p w14:paraId="274A19A0" w14:textId="77777777" w:rsidR="0058259D" w:rsidRPr="00C205A0" w:rsidRDefault="0058259D" w:rsidP="0027351E">
      <w:pPr>
        <w:pStyle w:val="AttachmentBullet1"/>
      </w:pPr>
      <w:r w:rsidRPr="00C205A0">
        <w:t xml:space="preserve">regular cash forecasting; </w:t>
      </w:r>
    </w:p>
    <w:p w14:paraId="60C5E8F6" w14:textId="77777777" w:rsidR="0058259D" w:rsidRPr="00C205A0" w:rsidRDefault="0058259D" w:rsidP="0027351E">
      <w:pPr>
        <w:pStyle w:val="AttachmentBullet1"/>
      </w:pPr>
      <w:r w:rsidRPr="00C205A0">
        <w:t>monitoring the life cycle and replacement time of fixed assets and the liability profile;</w:t>
      </w:r>
    </w:p>
    <w:p w14:paraId="23871D68" w14:textId="77777777" w:rsidR="0058259D" w:rsidRPr="00C205A0" w:rsidRDefault="0058259D" w:rsidP="0027351E">
      <w:pPr>
        <w:pStyle w:val="AttachmentBullet1"/>
      </w:pPr>
      <w:r w:rsidRPr="00C205A0">
        <w:t>maintaining access to TCV borrowing facilities by having in place a current Treasurer’s borrowing approval; and</w:t>
      </w:r>
    </w:p>
    <w:p w14:paraId="117FD1D0" w14:textId="77777777" w:rsidR="0058259D" w:rsidRPr="003D3B15" w:rsidRDefault="0058259D" w:rsidP="0027351E">
      <w:pPr>
        <w:pStyle w:val="AttachmentBullet1"/>
      </w:pPr>
      <w:r w:rsidRPr="003D3B15">
        <w:t xml:space="preserve">ensuring accurate estimates are provided for the annual borrowing approval process. </w:t>
      </w:r>
    </w:p>
    <w:p w14:paraId="6FA0C06C" w14:textId="77777777" w:rsidR="0058259D" w:rsidRPr="00C205A0" w:rsidRDefault="0058259D" w:rsidP="001B5654">
      <w:pPr>
        <w:pStyle w:val="NormalIndent"/>
      </w:pPr>
      <w:r w:rsidRPr="00C205A0">
        <w:t xml:space="preserve">Short-term liquidity management is ensured through effective daily cash management to ensure funds are available on demand. </w:t>
      </w:r>
    </w:p>
    <w:p w14:paraId="0502E15B" w14:textId="77777777" w:rsidR="0058259D" w:rsidRPr="00C205A0" w:rsidRDefault="0058259D" w:rsidP="001B5654">
      <w:pPr>
        <w:pStyle w:val="NormalIndent"/>
      </w:pPr>
      <w:r w:rsidRPr="00C205A0">
        <w:t>Long-term liquidity management is managed through ensuring appropriate funding facilities are in place with TCV to meet all long-term funding requirements. The preparation of the annual financing plan will consider new debt and refinancing requirements. The plan forms the basis for the application to the Treasurer to seek the approval to borrow from TCV the required financial accommodation. Long-term liquidity management is also achieved through monitoring the maturity profile of borrowings and by maintaining a spread of debt maturities which minimises the refinancing risk associated with a concentration of maturities.</w:t>
      </w:r>
    </w:p>
    <w:p w14:paraId="5A8C05BF" w14:textId="4DD0E84B" w:rsidR="0058259D" w:rsidRPr="00C205A0" w:rsidRDefault="0058259D" w:rsidP="001B5654">
      <w:pPr>
        <w:pStyle w:val="NormalIndent"/>
      </w:pPr>
      <w:r w:rsidRPr="00C205A0">
        <w:t>TCV is responsible for managing access to financial markets and providing the state and clients funds when required</w:t>
      </w:r>
      <w:r w:rsidR="00995ED6">
        <w:t xml:space="preserve">. </w:t>
      </w:r>
    </w:p>
    <w:p w14:paraId="48C5583D" w14:textId="77777777" w:rsidR="0058259D" w:rsidRPr="00C205A0" w:rsidRDefault="0058259D" w:rsidP="001B5654">
      <w:pPr>
        <w:pStyle w:val="NormalIndent"/>
      </w:pPr>
      <w:r w:rsidRPr="00C205A0">
        <w:t xml:space="preserve">Investments are limited to deposits held in the Central Banking System and highly liquid cash investments provided by TCV to ensure funding flexibility. </w:t>
      </w:r>
    </w:p>
    <w:p w14:paraId="55D6EC8F" w14:textId="77777777" w:rsidR="0058259D" w:rsidRPr="00C205A0" w:rsidRDefault="0058259D" w:rsidP="0027351E">
      <w:pPr>
        <w:pStyle w:val="AttachmentHeading2"/>
      </w:pPr>
      <w:r w:rsidRPr="004661D4">
        <w:t>Foreign exchange risk</w:t>
      </w:r>
    </w:p>
    <w:p w14:paraId="313DFFF8" w14:textId="77777777" w:rsidR="0058259D" w:rsidRPr="00C205A0" w:rsidRDefault="0058259D" w:rsidP="001B5654">
      <w:pPr>
        <w:pStyle w:val="NormalIndent"/>
      </w:pPr>
      <w:r w:rsidRPr="00C205A0">
        <w:t xml:space="preserve">Foreign exchange risk is the risk that [ABC] will suffer financial loss due to adverse movements in foreign exchange rates. </w:t>
      </w:r>
    </w:p>
    <w:p w14:paraId="329194A7" w14:textId="77777777" w:rsidR="0058259D" w:rsidRPr="00C205A0" w:rsidRDefault="0058259D" w:rsidP="001B5654">
      <w:pPr>
        <w:pStyle w:val="NormalIndent"/>
      </w:pPr>
      <w:r w:rsidRPr="00C205A0">
        <w:t xml:space="preserve">A material foreign currency exposure for [ABC] is an exposure in excess of [$   ]. [ABC] is exposed to foreign exchange risk when purchasing equipment from foreign suppliers. Where a material foreign currency risk arises, these must be fully hedged using an appropriate risk management product obtained from TCV. </w:t>
      </w:r>
    </w:p>
    <w:p w14:paraId="1600900E" w14:textId="77777777" w:rsidR="0058259D" w:rsidRPr="00C205A0" w:rsidRDefault="0058259D" w:rsidP="001B5654">
      <w:pPr>
        <w:pStyle w:val="NormalIndent"/>
      </w:pPr>
      <w:r w:rsidRPr="00C205A0">
        <w:t xml:space="preserve">[ABC] will follow Standing Direction Guidance 3.7.2.2 which details the hedging of a foreign exchange exposure (when known with certainty) with a forward foreign exchange contract. </w:t>
      </w:r>
    </w:p>
    <w:p w14:paraId="2EA32435" w14:textId="77777777" w:rsidR="0058259D" w:rsidRPr="00C205A0" w:rsidRDefault="0058259D" w:rsidP="0027351E">
      <w:pPr>
        <w:pStyle w:val="AttachmentHeading2"/>
      </w:pPr>
      <w:r w:rsidRPr="00C205A0">
        <w:t>Credit/Counterparty risk</w:t>
      </w:r>
    </w:p>
    <w:p w14:paraId="43B0C4CB" w14:textId="77777777" w:rsidR="0058259D" w:rsidRPr="003D3B15" w:rsidRDefault="0058259D" w:rsidP="001B5654">
      <w:pPr>
        <w:pStyle w:val="NormalIndent"/>
      </w:pPr>
      <w:r w:rsidRPr="00C205A0">
        <w:t>Credit risk is the risk that a [ABC] will suffer financial loss due to the inability of a counterparty to meet its financial obligations in full and on time. Credit risk is reduced by diversifying exposures across a broad range of counterparties.</w:t>
      </w:r>
      <w:r w:rsidRPr="003D3B15">
        <w:t xml:space="preserve"> [ABC] faces credit risk in the following areas:</w:t>
      </w:r>
    </w:p>
    <w:p w14:paraId="6F7A7AC8" w14:textId="77777777" w:rsidR="0058259D" w:rsidRPr="003D3B15" w:rsidRDefault="0058259D" w:rsidP="0027351E">
      <w:pPr>
        <w:pStyle w:val="AttachmentBullet1"/>
      </w:pPr>
      <w:r w:rsidRPr="003D3B15">
        <w:t>investments;</w:t>
      </w:r>
    </w:p>
    <w:p w14:paraId="48C53F18" w14:textId="77777777" w:rsidR="0058259D" w:rsidRPr="0025486E" w:rsidRDefault="0058259D" w:rsidP="0027351E">
      <w:pPr>
        <w:pStyle w:val="AttachmentBullet1"/>
      </w:pPr>
      <w:r w:rsidRPr="0025486E">
        <w:t>performance guarantees;</w:t>
      </w:r>
    </w:p>
    <w:p w14:paraId="5212600C" w14:textId="77777777" w:rsidR="0058259D" w:rsidRPr="0025486E" w:rsidRDefault="0058259D" w:rsidP="0027351E">
      <w:pPr>
        <w:pStyle w:val="AttachmentBullet1"/>
      </w:pPr>
      <w:r w:rsidRPr="0025486E">
        <w:t>supplier contracts; and</w:t>
      </w:r>
    </w:p>
    <w:p w14:paraId="25FB8E84" w14:textId="77777777" w:rsidR="0058259D" w:rsidRPr="00FF63D7" w:rsidRDefault="0058259D" w:rsidP="0027351E">
      <w:pPr>
        <w:pStyle w:val="AttachmentBullet1"/>
      </w:pPr>
      <w:r w:rsidRPr="00FF63D7">
        <w:lastRenderedPageBreak/>
        <w:t xml:space="preserve">customer ability to meet contractual commitments. </w:t>
      </w:r>
    </w:p>
    <w:p w14:paraId="3E9735D8" w14:textId="77777777" w:rsidR="0058259D" w:rsidRPr="00C205A0" w:rsidRDefault="0058259D" w:rsidP="001B5654">
      <w:pPr>
        <w:pStyle w:val="NormalIndent"/>
      </w:pPr>
      <w:r w:rsidRPr="00C205A0">
        <w:t xml:space="preserve">Credit risk exposures to investment counterparties external to the state’s treasury framework will be minimal given surplus funds are required to be held in the CBS or on deposit with TCV. </w:t>
      </w:r>
    </w:p>
    <w:p w14:paraId="49F97BC8" w14:textId="77777777" w:rsidR="0058259D" w:rsidRPr="00C205A0" w:rsidRDefault="0058259D" w:rsidP="001B5654">
      <w:pPr>
        <w:pStyle w:val="NormalIndent"/>
      </w:pPr>
      <w:r w:rsidRPr="00C205A0">
        <w:t xml:space="preserve">Credit risk is reduced by maintaining borrowings, financial arrangements and cash investments with TCV and depositing surplus funds in the CBS as well as a limited amount of transactional funds with an ADI. </w:t>
      </w:r>
    </w:p>
    <w:p w14:paraId="030E791B" w14:textId="77777777" w:rsidR="0058259D" w:rsidRPr="00C205A0" w:rsidRDefault="0058259D" w:rsidP="001B5654">
      <w:pPr>
        <w:pStyle w:val="NormalIndent"/>
      </w:pPr>
      <w:r w:rsidRPr="00C205A0">
        <w:t>TCV is the only approved counterparty for borrowings and financial arrangements. The credit risk exposure to TCV is considered minimal as TCV has a credit rating equivalent to the State of Victoria.</w:t>
      </w:r>
    </w:p>
    <w:p w14:paraId="5D48C54B" w14:textId="542DE897" w:rsidR="0058259D" w:rsidRPr="003D3B15" w:rsidRDefault="0058259D" w:rsidP="001B5654">
      <w:pPr>
        <w:pStyle w:val="NormalIndent"/>
      </w:pPr>
      <w:r w:rsidRPr="00C205A0">
        <w:t>Investment products are provided by TCV and ADIs in accordance with the Standing Directions of the Assistant Treasurer.</w:t>
      </w:r>
      <w:r w:rsidRPr="003D3B15">
        <w:t xml:space="preserve"> If TCV cannot provide the required financial product then approval is required from the Board, the relevant Minister and </w:t>
      </w:r>
      <w:r w:rsidR="00EC081A">
        <w:t xml:space="preserve">Assistant </w:t>
      </w:r>
      <w:r w:rsidRPr="003D3B15">
        <w:t xml:space="preserve">Treasurer to operate outside the centralised framework. </w:t>
      </w:r>
    </w:p>
    <w:p w14:paraId="4BC5A8D6" w14:textId="77777777" w:rsidR="0058259D" w:rsidRPr="00C205A0" w:rsidRDefault="0058259D" w:rsidP="0027351E">
      <w:pPr>
        <w:pStyle w:val="AttachmentHeading2"/>
      </w:pPr>
      <w:r w:rsidRPr="00C205A0">
        <w:t>Commodity price risk</w:t>
      </w:r>
    </w:p>
    <w:p w14:paraId="78EAFB5F" w14:textId="75A7BCB5" w:rsidR="0058259D" w:rsidRPr="00C205A0" w:rsidRDefault="0058259D" w:rsidP="001B5654">
      <w:pPr>
        <w:pStyle w:val="NormalIndent"/>
      </w:pPr>
      <w:r w:rsidRPr="003D3B15">
        <w:t xml:space="preserve">Commodity risk is a risk to operating result or capital due to a change in the price of a commodity that is a key input or output. </w:t>
      </w:r>
      <w:r w:rsidRPr="00C205A0">
        <w:t>Public sector agency [ABC] is [not] exposed to commodity price risk</w:t>
      </w:r>
      <w:r w:rsidR="00995ED6">
        <w:t xml:space="preserve">. </w:t>
      </w:r>
    </w:p>
    <w:p w14:paraId="69BA5F59" w14:textId="77777777" w:rsidR="0058259D" w:rsidRPr="00C205A0" w:rsidRDefault="0058259D" w:rsidP="001B5654">
      <w:pPr>
        <w:pStyle w:val="NormalIndent"/>
      </w:pPr>
      <w:r w:rsidRPr="00C205A0">
        <w:t>If a commodity risk were to arise, the objective will be to identify the commodity price risk and determine a hedge that will effectively manage the exposure.</w:t>
      </w:r>
    </w:p>
    <w:p w14:paraId="2DE8D2A4" w14:textId="715492BE" w:rsidR="0058259D" w:rsidRPr="00C205A0" w:rsidRDefault="0058259D" w:rsidP="0027351E">
      <w:pPr>
        <w:pStyle w:val="AttachmentHeading2"/>
      </w:pPr>
      <w:r w:rsidRPr="00C205A0">
        <w:t>Treasury operational risk</w:t>
      </w:r>
    </w:p>
    <w:p w14:paraId="57E5BA57" w14:textId="77777777" w:rsidR="0058259D" w:rsidRPr="00C205A0" w:rsidRDefault="0058259D" w:rsidP="001B5654">
      <w:pPr>
        <w:pStyle w:val="NormalIndent"/>
      </w:pPr>
      <w:r w:rsidRPr="00C205A0">
        <w:t xml:space="preserve">Treasury operational risk is the risk that [ABC] will suffer loss owing to the mismanagement of the treasury/borrowing/investment function. This may include the risks of financial loss due to error, fraud or unauthorised dealing or use of financial products. </w:t>
      </w:r>
    </w:p>
    <w:p w14:paraId="232A7080" w14:textId="77777777" w:rsidR="0058259D" w:rsidRPr="00C205A0" w:rsidRDefault="0058259D" w:rsidP="001B5654">
      <w:pPr>
        <w:pStyle w:val="NormalIndent"/>
      </w:pPr>
      <w:r w:rsidRPr="00C205A0">
        <w:t>This risk is monitored and controlled through the following risk management practices:</w:t>
      </w:r>
    </w:p>
    <w:p w14:paraId="2E2AB09F" w14:textId="77777777" w:rsidR="0058259D" w:rsidRPr="00C205A0" w:rsidRDefault="0058259D" w:rsidP="0027351E">
      <w:pPr>
        <w:pStyle w:val="AttachmentBullet1"/>
      </w:pPr>
      <w:r w:rsidRPr="00C205A0">
        <w:t>oversight by management and the board of directors;</w:t>
      </w:r>
    </w:p>
    <w:p w14:paraId="36C6A099" w14:textId="77777777" w:rsidR="0058259D" w:rsidRPr="003D3B15" w:rsidRDefault="0058259D" w:rsidP="0027351E">
      <w:pPr>
        <w:pStyle w:val="AttachmentBullet1"/>
      </w:pPr>
      <w:r w:rsidRPr="003D3B15">
        <w:t>regular performance of internal and external audit;</w:t>
      </w:r>
    </w:p>
    <w:p w14:paraId="7D0BE971" w14:textId="77777777" w:rsidR="0058259D" w:rsidRPr="0025486E" w:rsidRDefault="0058259D" w:rsidP="0027351E">
      <w:pPr>
        <w:pStyle w:val="AttachmentBullet1"/>
      </w:pPr>
      <w:r w:rsidRPr="003D3B15">
        <w:t xml:space="preserve">the execution of treasury management operations and financial strategy through TCV; </w:t>
      </w:r>
    </w:p>
    <w:p w14:paraId="4D07886A" w14:textId="77777777" w:rsidR="0058259D" w:rsidRPr="00FF63D7" w:rsidRDefault="0058259D" w:rsidP="0027351E">
      <w:pPr>
        <w:pStyle w:val="AttachmentBullet1"/>
      </w:pPr>
      <w:r w:rsidRPr="0025486E">
        <w:t>abiding by the treasury management procedures and</w:t>
      </w:r>
      <w:r w:rsidRPr="00FF63D7">
        <w:t xml:space="preserve"> policies outlined in this treasury policy;</w:t>
      </w:r>
    </w:p>
    <w:p w14:paraId="350927CB" w14:textId="77777777" w:rsidR="0058259D" w:rsidRPr="00FF63D7" w:rsidRDefault="0058259D" w:rsidP="0027351E">
      <w:pPr>
        <w:pStyle w:val="AttachmentBullet1"/>
      </w:pPr>
      <w:r w:rsidRPr="00FF63D7">
        <w:t>appropriate organisational structure and resourcing within the treasury function;</w:t>
      </w:r>
    </w:p>
    <w:p w14:paraId="3B48760E" w14:textId="77777777" w:rsidR="0058259D" w:rsidRPr="00C205A0" w:rsidRDefault="0058259D" w:rsidP="0027351E">
      <w:pPr>
        <w:pStyle w:val="AttachmentBullet1"/>
      </w:pPr>
      <w:r w:rsidRPr="00C205A0">
        <w:t>clearly defining the roles, responsibilities and authority of treasury staff;</w:t>
      </w:r>
    </w:p>
    <w:p w14:paraId="65E5D2B9" w14:textId="77777777" w:rsidR="0058259D" w:rsidRPr="00C205A0" w:rsidRDefault="0058259D" w:rsidP="0027351E">
      <w:pPr>
        <w:pStyle w:val="AttachmentBullet1"/>
      </w:pPr>
      <w:r w:rsidRPr="00C205A0">
        <w:t>adequate training and knowledge;</w:t>
      </w:r>
    </w:p>
    <w:p w14:paraId="3CD1E2AB" w14:textId="77777777" w:rsidR="0058259D" w:rsidRPr="00C205A0" w:rsidRDefault="0058259D" w:rsidP="0027351E">
      <w:pPr>
        <w:pStyle w:val="AttachmentBullet1"/>
      </w:pPr>
      <w:r w:rsidRPr="00C205A0">
        <w:t>adequate segregation of duties;</w:t>
      </w:r>
    </w:p>
    <w:p w14:paraId="5AF17D55" w14:textId="77777777" w:rsidR="0058259D" w:rsidRPr="00C205A0" w:rsidRDefault="0058259D" w:rsidP="0027351E">
      <w:pPr>
        <w:pStyle w:val="AttachmentBullet1"/>
      </w:pPr>
      <w:r w:rsidRPr="00C205A0">
        <w:t>adherence to the code of conduct;</w:t>
      </w:r>
    </w:p>
    <w:p w14:paraId="7D61FD18" w14:textId="77777777" w:rsidR="0058259D" w:rsidRPr="003D3B15" w:rsidRDefault="0058259D" w:rsidP="0027351E">
      <w:pPr>
        <w:pStyle w:val="AttachmentBullet1"/>
      </w:pPr>
      <w:r w:rsidRPr="003D3B15">
        <w:t xml:space="preserve">fully documented dealing and authorisation limits; </w:t>
      </w:r>
    </w:p>
    <w:p w14:paraId="33376C0B" w14:textId="77777777" w:rsidR="0058259D" w:rsidRPr="00C205A0" w:rsidRDefault="0058259D" w:rsidP="0027351E">
      <w:pPr>
        <w:pStyle w:val="AttachmentBullet1"/>
      </w:pPr>
      <w:r w:rsidRPr="00C205A0">
        <w:t>adequate systems and internal controls;</w:t>
      </w:r>
    </w:p>
    <w:p w14:paraId="7038B23E" w14:textId="77777777" w:rsidR="0058259D" w:rsidRPr="00C205A0" w:rsidRDefault="0058259D" w:rsidP="0027351E">
      <w:pPr>
        <w:pStyle w:val="AttachmentBullet1"/>
      </w:pPr>
      <w:r w:rsidRPr="00C205A0">
        <w:t>proper documentation of procedures and reporting;</w:t>
      </w:r>
    </w:p>
    <w:p w14:paraId="4A1AE2F8" w14:textId="77777777" w:rsidR="0058259D" w:rsidRPr="00C205A0" w:rsidRDefault="0058259D" w:rsidP="0027351E">
      <w:pPr>
        <w:pStyle w:val="AttachmentBullet1"/>
      </w:pPr>
      <w:r w:rsidRPr="00C205A0">
        <w:t>effective reporting of treasury operations and any breaches to management, the Board and DTF; and</w:t>
      </w:r>
    </w:p>
    <w:p w14:paraId="0482140C" w14:textId="77777777" w:rsidR="0058259D" w:rsidRPr="00C205A0" w:rsidRDefault="0058259D" w:rsidP="0027351E">
      <w:pPr>
        <w:pStyle w:val="AttachmentBullet1"/>
      </w:pPr>
      <w:r w:rsidRPr="00C205A0">
        <w:t xml:space="preserve">measures to protect the integrity of information systems including security, backup, and disaster recovery. </w:t>
      </w:r>
    </w:p>
    <w:p w14:paraId="0EEDA465" w14:textId="41F4520A" w:rsidR="00507362" w:rsidRPr="00C205A0" w:rsidRDefault="0058259D" w:rsidP="0027351E">
      <w:pPr>
        <w:pStyle w:val="AttachmentHeading2"/>
      </w:pPr>
      <w:r w:rsidRPr="00C205A0">
        <w:t>Investment risk</w:t>
      </w:r>
    </w:p>
    <w:p w14:paraId="1419E6F6" w14:textId="68955F79" w:rsidR="0058259D" w:rsidRPr="003D3B15" w:rsidRDefault="0058259D" w:rsidP="001B5654">
      <w:pPr>
        <w:pStyle w:val="NormalIndent"/>
      </w:pPr>
      <w:r w:rsidRPr="00C205A0">
        <w:t>[ABC] is not normally exposed to investment interest rate risk as it uses surplus funds to fund its operations and repay debt. The repayment of medium to long-term debt will require the consideration of the debt’s book and market values</w:t>
      </w:r>
      <w:r w:rsidR="00995ED6">
        <w:t xml:space="preserve">. </w:t>
      </w:r>
    </w:p>
    <w:p w14:paraId="4DC85F9A" w14:textId="07E06364" w:rsidR="00507362" w:rsidRPr="00BD69C4" w:rsidRDefault="0058259D" w:rsidP="0027351E">
      <w:pPr>
        <w:pStyle w:val="AttachmentHeading1"/>
      </w:pPr>
      <w:r w:rsidRPr="00BD69C4">
        <w:t>Roles and responsibilities</w:t>
      </w:r>
    </w:p>
    <w:p w14:paraId="4AEE16FF" w14:textId="3EBDF778" w:rsidR="00DB0885" w:rsidRDefault="0058259D" w:rsidP="001B5654">
      <w:pPr>
        <w:pStyle w:val="NormalIndent"/>
      </w:pPr>
      <w:r w:rsidRPr="003D3B15">
        <w:t xml:space="preserve">Responsibility for the management and control of </w:t>
      </w:r>
      <w:r w:rsidR="00CD388B">
        <w:t xml:space="preserve">treasury related </w:t>
      </w:r>
      <w:r w:rsidRPr="003D3B15">
        <w:t>financial risks faced by [</w:t>
      </w:r>
      <w:r w:rsidRPr="00C205A0">
        <w:t>ABC</w:t>
      </w:r>
      <w:r w:rsidRPr="003D3B15">
        <w:t>]</w:t>
      </w:r>
      <w:r w:rsidR="00DB0885">
        <w:t xml:space="preserve"> </w:t>
      </w:r>
      <w:r w:rsidR="00DB0885" w:rsidRPr="00183117">
        <w:rPr>
          <w:rFonts w:cstheme="minorHAnsi"/>
          <w:szCs w:val="20"/>
        </w:rPr>
        <w:t>rests with the Accountable Officer</w:t>
      </w:r>
      <w:r w:rsidR="00DB0885">
        <w:rPr>
          <w:rFonts w:cstheme="minorHAnsi"/>
          <w:szCs w:val="20"/>
        </w:rPr>
        <w:t xml:space="preserve"> and</w:t>
      </w:r>
      <w:r w:rsidR="00B4485F">
        <w:rPr>
          <w:rFonts w:cstheme="minorHAnsi"/>
          <w:szCs w:val="20"/>
        </w:rPr>
        <w:t xml:space="preserve"> involves the</w:t>
      </w:r>
      <w:r w:rsidRPr="003D3B15">
        <w:t xml:space="preserve"> following parties:</w:t>
      </w:r>
      <w:r w:rsidRPr="00C205A0">
        <w:t xml:space="preserve"> </w:t>
      </w:r>
    </w:p>
    <w:p w14:paraId="4B4AD09B" w14:textId="7F217561" w:rsidR="00DB0885" w:rsidRPr="00AC7075" w:rsidRDefault="00B4485F" w:rsidP="0027351E">
      <w:pPr>
        <w:pStyle w:val="AttachmentBullet1"/>
      </w:pPr>
      <w:r>
        <w:t>t</w:t>
      </w:r>
      <w:r w:rsidR="0058259D" w:rsidRPr="00AC7075">
        <w:t xml:space="preserve">he Board; </w:t>
      </w:r>
    </w:p>
    <w:p w14:paraId="5C8CCACD" w14:textId="15B7BEDD" w:rsidR="00DB0885" w:rsidRPr="00AC7075" w:rsidRDefault="00B4485F" w:rsidP="0027351E">
      <w:pPr>
        <w:pStyle w:val="AttachmentBullet1"/>
      </w:pPr>
      <w:r>
        <w:t xml:space="preserve">the </w:t>
      </w:r>
      <w:r w:rsidR="0058259D" w:rsidRPr="00AC7075">
        <w:t>Audit Committee;</w:t>
      </w:r>
    </w:p>
    <w:p w14:paraId="45EBD437" w14:textId="5D1191E6" w:rsidR="00DB0885" w:rsidRPr="00AC7075" w:rsidRDefault="00C031A0" w:rsidP="0027351E">
      <w:pPr>
        <w:pStyle w:val="AttachmentBullet1"/>
      </w:pPr>
      <w:r w:rsidRPr="00AC7075">
        <w:t>t</w:t>
      </w:r>
      <w:r w:rsidR="0058259D" w:rsidRPr="00AC7075">
        <w:t xml:space="preserve">he Chief Financial Officer; and </w:t>
      </w:r>
    </w:p>
    <w:p w14:paraId="4A84AF9E" w14:textId="73C40590" w:rsidR="0058259D" w:rsidRPr="00AC7075" w:rsidRDefault="00B4485F" w:rsidP="0027351E">
      <w:pPr>
        <w:pStyle w:val="AttachmentBullet1"/>
      </w:pPr>
      <w:r>
        <w:t xml:space="preserve">the </w:t>
      </w:r>
      <w:r w:rsidR="00CD388B">
        <w:t xml:space="preserve">Financial </w:t>
      </w:r>
      <w:r w:rsidR="0058259D" w:rsidRPr="00AC7075">
        <w:t>Manager</w:t>
      </w:r>
      <w:r w:rsidR="00CD388B">
        <w:t xml:space="preserve"> or </w:t>
      </w:r>
      <w:r w:rsidR="0058259D" w:rsidRPr="00AC7075">
        <w:t>Accountant</w:t>
      </w:r>
      <w:r w:rsidR="00CD388B">
        <w:t>/Treasury Manager</w:t>
      </w:r>
      <w:r w:rsidR="0058259D" w:rsidRPr="00AC7075">
        <w:t>.</w:t>
      </w:r>
    </w:p>
    <w:p w14:paraId="1B087788" w14:textId="44CF6623" w:rsidR="00507362" w:rsidRPr="00C205A0" w:rsidRDefault="0058259D" w:rsidP="0027351E">
      <w:pPr>
        <w:pStyle w:val="AttachmentHeading2"/>
      </w:pPr>
      <w:r w:rsidRPr="003D3B15">
        <w:t>The Board</w:t>
      </w:r>
      <w:r w:rsidRPr="00C205A0">
        <w:t xml:space="preserve"> </w:t>
      </w:r>
    </w:p>
    <w:p w14:paraId="6A443929" w14:textId="77777777" w:rsidR="0058259D" w:rsidRPr="003D3B15" w:rsidRDefault="0058259D" w:rsidP="001B5654">
      <w:pPr>
        <w:pStyle w:val="NormalIndent"/>
      </w:pPr>
      <w:r w:rsidRPr="003D3B15">
        <w:t>The Board must:</w:t>
      </w:r>
    </w:p>
    <w:p w14:paraId="5651C26B" w14:textId="03DCD27D" w:rsidR="0058259D" w:rsidRPr="003D3B15" w:rsidRDefault="0058259D" w:rsidP="0027351E">
      <w:pPr>
        <w:pStyle w:val="AttachmentBullet1"/>
      </w:pPr>
      <w:r w:rsidRPr="003D3B15">
        <w:t xml:space="preserve">approve this treasury policy and all amendments and ensure </w:t>
      </w:r>
      <w:r w:rsidRPr="00C205A0">
        <w:t xml:space="preserve">compliance with </w:t>
      </w:r>
      <w:r w:rsidRPr="003D3B15">
        <w:t xml:space="preserve">the policy; </w:t>
      </w:r>
    </w:p>
    <w:p w14:paraId="199C6BA0" w14:textId="77777777" w:rsidR="0058259D" w:rsidRPr="003D3B15" w:rsidRDefault="0058259D" w:rsidP="0027351E">
      <w:pPr>
        <w:pStyle w:val="AttachmentBullet1"/>
      </w:pPr>
      <w:r w:rsidRPr="003D3B15">
        <w:lastRenderedPageBreak/>
        <w:t>approve all borrowings, investments and risk management products;</w:t>
      </w:r>
    </w:p>
    <w:p w14:paraId="20D98A0E" w14:textId="63A767C0" w:rsidR="0058259D" w:rsidRPr="003D3B15" w:rsidRDefault="0058259D" w:rsidP="0027351E">
      <w:pPr>
        <w:pStyle w:val="AttachmentBullet1"/>
      </w:pPr>
      <w:r w:rsidRPr="0025486E">
        <w:t xml:space="preserve">receive </w:t>
      </w:r>
      <w:r w:rsidRPr="003D3B15">
        <w:t>treasury reports from management</w:t>
      </w:r>
      <w:r w:rsidRPr="00C205A0">
        <w:t>, at least quarterly, covering</w:t>
      </w:r>
      <w:r w:rsidRPr="003D3B15">
        <w:t xml:space="preserve"> borrowings, financial arrangements and cash investments. The Board may request more regular reporting if this would be prudent or otherwise desirable; </w:t>
      </w:r>
    </w:p>
    <w:p w14:paraId="54920603" w14:textId="284427E3" w:rsidR="0058259D" w:rsidRPr="003D3B15" w:rsidRDefault="0058259D" w:rsidP="0027351E">
      <w:pPr>
        <w:pStyle w:val="AttachmentBullet1"/>
      </w:pPr>
      <w:r w:rsidRPr="003D3B15">
        <w:t>approve all relevant delegations and dealer limits in operation within the Treasury function</w:t>
      </w:r>
      <w:r w:rsidRPr="00C205A0">
        <w:t>; and</w:t>
      </w:r>
    </w:p>
    <w:p w14:paraId="00FD9382" w14:textId="77777777" w:rsidR="0058259D" w:rsidRPr="00C205A0" w:rsidRDefault="0058259D" w:rsidP="0027351E">
      <w:pPr>
        <w:pStyle w:val="AttachmentBullet1"/>
      </w:pPr>
      <w:r w:rsidRPr="00C205A0">
        <w:t xml:space="preserve">review and note any breach of the treasury policy and the plan to rectify the breach. </w:t>
      </w:r>
    </w:p>
    <w:p w14:paraId="2271B9DA" w14:textId="638E3311" w:rsidR="00507362" w:rsidRPr="00C205A0" w:rsidRDefault="0058259D" w:rsidP="0027351E">
      <w:pPr>
        <w:pStyle w:val="AttachmentHeading2"/>
      </w:pPr>
      <w:r w:rsidRPr="003D3B15">
        <w:t>Audit Committee</w:t>
      </w:r>
      <w:r w:rsidRPr="00C205A0">
        <w:t xml:space="preserve"> </w:t>
      </w:r>
    </w:p>
    <w:p w14:paraId="686573E1" w14:textId="59BB01F6" w:rsidR="0058259D" w:rsidRPr="003D3B15" w:rsidRDefault="0058259D" w:rsidP="001B5654">
      <w:pPr>
        <w:pStyle w:val="NormalIndent"/>
      </w:pPr>
      <w:r w:rsidRPr="003D3B15">
        <w:t xml:space="preserve">The Audit </w:t>
      </w:r>
      <w:r w:rsidRPr="00C205A0">
        <w:t>Committee</w:t>
      </w:r>
      <w:r w:rsidRPr="003D3B15">
        <w:t>:</w:t>
      </w:r>
    </w:p>
    <w:p w14:paraId="171B6043" w14:textId="5DC7A7B5" w:rsidR="0058259D" w:rsidRPr="003D3B15" w:rsidRDefault="0058259D" w:rsidP="0027351E">
      <w:pPr>
        <w:pStyle w:val="AttachmentBullet1"/>
      </w:pPr>
      <w:r w:rsidRPr="003D3B15">
        <w:t>is responsible for endorsing the overall financial risk management strategy of [</w:t>
      </w:r>
      <w:r w:rsidRPr="00C205A0">
        <w:t>ABC];</w:t>
      </w:r>
      <w:r w:rsidRPr="003D3B15">
        <w:t xml:space="preserve"> </w:t>
      </w:r>
    </w:p>
    <w:p w14:paraId="10489A26" w14:textId="31A43144" w:rsidR="0058259D" w:rsidRPr="003D3B15" w:rsidRDefault="0058259D" w:rsidP="0027351E">
      <w:pPr>
        <w:pStyle w:val="AttachmentBullet1"/>
      </w:pPr>
      <w:r w:rsidRPr="00C205A0">
        <w:t>is responsible for appointing an internal auditor and receiving</w:t>
      </w:r>
      <w:r w:rsidRPr="003D3B15">
        <w:t xml:space="preserve"> regular internal audit reports concerning Treasury operations and providing the results to the Board on an annual basis</w:t>
      </w:r>
      <w:r w:rsidRPr="00C205A0">
        <w:t>; and</w:t>
      </w:r>
      <w:r w:rsidRPr="003D3B15">
        <w:t xml:space="preserve"> </w:t>
      </w:r>
    </w:p>
    <w:p w14:paraId="4C4E52EF" w14:textId="2D09EAD8" w:rsidR="0058259D" w:rsidRDefault="0058259D" w:rsidP="00924EDE">
      <w:pPr>
        <w:pStyle w:val="AttachmentBullet1"/>
        <w:spacing w:after="120"/>
        <w:contextualSpacing w:val="0"/>
      </w:pPr>
      <w:r w:rsidRPr="003D3B15">
        <w:t xml:space="preserve">may direct the internal auditor to investigate the </w:t>
      </w:r>
      <w:r w:rsidRPr="00C205A0">
        <w:t>treasury</w:t>
      </w:r>
      <w:r w:rsidRPr="003D3B15">
        <w:t xml:space="preserve"> operation of [</w:t>
      </w:r>
      <w:r w:rsidRPr="00C205A0">
        <w:t>ABC</w:t>
      </w:r>
      <w:r w:rsidRPr="003D3B15">
        <w:t xml:space="preserve">] on a more regular basis if it has reason to believe there has been a significant breach of this treasury policy. </w:t>
      </w:r>
    </w:p>
    <w:p w14:paraId="3C9180BE" w14:textId="6149F1A9" w:rsidR="00507362" w:rsidRPr="00C205A0" w:rsidRDefault="0058259D" w:rsidP="0027351E">
      <w:pPr>
        <w:pStyle w:val="AttachmentHeading2"/>
      </w:pPr>
      <w:r w:rsidRPr="003D3B15">
        <w:t xml:space="preserve">Chief </w:t>
      </w:r>
      <w:r w:rsidRPr="00C205A0">
        <w:t>Financial</w:t>
      </w:r>
      <w:r w:rsidRPr="003D3B15">
        <w:t xml:space="preserve"> Officer </w:t>
      </w:r>
      <w:r w:rsidR="00AC7075">
        <w:t>(CFO)</w:t>
      </w:r>
    </w:p>
    <w:p w14:paraId="208B3EC0" w14:textId="2A6CD995" w:rsidR="0058259D" w:rsidRPr="003D3B15" w:rsidRDefault="0058259D" w:rsidP="001B5654">
      <w:pPr>
        <w:pStyle w:val="NormalIndent"/>
      </w:pPr>
      <w:r w:rsidRPr="003D3B15">
        <w:t>The CFO</w:t>
      </w:r>
      <w:r w:rsidRPr="00C205A0">
        <w:t>:</w:t>
      </w:r>
    </w:p>
    <w:p w14:paraId="18F30453" w14:textId="71E93108" w:rsidR="0058259D" w:rsidRPr="003D3B15" w:rsidRDefault="0058259D" w:rsidP="0027351E">
      <w:pPr>
        <w:pStyle w:val="AttachmentBullet1"/>
      </w:pPr>
      <w:r w:rsidRPr="003D3B15">
        <w:t>is responsible for overseeing and monitoring the management of the treasury function in accordance with this treasury policy and related legislation</w:t>
      </w:r>
      <w:r w:rsidRPr="00C205A0">
        <w:t>;</w:t>
      </w:r>
      <w:r w:rsidRPr="003D3B15">
        <w:t xml:space="preserve"> </w:t>
      </w:r>
    </w:p>
    <w:p w14:paraId="3DF99CF3" w14:textId="32611626" w:rsidR="0058259D" w:rsidRPr="003D3B15" w:rsidRDefault="0058259D" w:rsidP="0027351E">
      <w:pPr>
        <w:pStyle w:val="AttachmentBullet1"/>
      </w:pPr>
      <w:r w:rsidRPr="003D3B15">
        <w:t>must make available the approved policy to [Portfolio</w:t>
      </w:r>
      <w:r w:rsidRPr="00C205A0">
        <w:t>]</w:t>
      </w:r>
      <w:r w:rsidRPr="003D3B15">
        <w:t xml:space="preserve"> Department and DTF upon request</w:t>
      </w:r>
      <w:r w:rsidRPr="00C205A0">
        <w:t>;</w:t>
      </w:r>
    </w:p>
    <w:p w14:paraId="2C06E3FB" w14:textId="519B8260" w:rsidR="0058259D" w:rsidRPr="003D3B15" w:rsidRDefault="0058259D" w:rsidP="0027351E">
      <w:pPr>
        <w:pStyle w:val="AttachmentBullet1"/>
      </w:pPr>
      <w:r w:rsidRPr="003D3B15">
        <w:t>must make recommendations to the Board concerning delegations and responsibilities within the treasury function</w:t>
      </w:r>
      <w:r w:rsidRPr="00C205A0">
        <w:t>;</w:t>
      </w:r>
      <w:r w:rsidRPr="003D3B15">
        <w:t xml:space="preserve"> </w:t>
      </w:r>
    </w:p>
    <w:p w14:paraId="1F64D586" w14:textId="55E57D28" w:rsidR="0058259D" w:rsidRPr="003D3B15" w:rsidRDefault="0058259D" w:rsidP="0027351E">
      <w:pPr>
        <w:pStyle w:val="AttachmentBullet1"/>
      </w:pPr>
      <w:r w:rsidRPr="003D3B15">
        <w:t>may recommend amendments to the treasury policy for Board approval</w:t>
      </w:r>
      <w:r w:rsidRPr="00C205A0">
        <w:t>;</w:t>
      </w:r>
      <w:r w:rsidRPr="003D3B15">
        <w:t xml:space="preserve"> </w:t>
      </w:r>
    </w:p>
    <w:p w14:paraId="7A603823" w14:textId="60D47027" w:rsidR="0058259D" w:rsidRPr="003D3B15" w:rsidRDefault="0058259D" w:rsidP="0027351E">
      <w:pPr>
        <w:pStyle w:val="AttachmentBullet1"/>
      </w:pPr>
      <w:r w:rsidRPr="003D3B15">
        <w:t xml:space="preserve">has authority to liaise with TCV concerning any borrowing </w:t>
      </w:r>
      <w:r w:rsidRPr="00C205A0">
        <w:t xml:space="preserve">or financial arrangements </w:t>
      </w:r>
      <w:r w:rsidRPr="003D3B15">
        <w:t>within the restrictions of any dealer limit of delegation prescribed by this treasury policy</w:t>
      </w:r>
      <w:r w:rsidRPr="00C205A0">
        <w:t>; and</w:t>
      </w:r>
    </w:p>
    <w:p w14:paraId="58569B56" w14:textId="77777777" w:rsidR="0058259D" w:rsidRPr="003D3B15" w:rsidRDefault="0058259D" w:rsidP="0027351E">
      <w:pPr>
        <w:pStyle w:val="AttachmentBullet1"/>
      </w:pPr>
      <w:r w:rsidRPr="003D3B15">
        <w:t xml:space="preserve">is responsible for reviewing and signing off on all treasury reports before they are presented to the Board. </w:t>
      </w:r>
    </w:p>
    <w:p w14:paraId="13B8A9DE" w14:textId="1C7D213D" w:rsidR="00507362" w:rsidRPr="00C205A0" w:rsidRDefault="0058259D" w:rsidP="00507362">
      <w:pPr>
        <w:tabs>
          <w:tab w:val="left" w:pos="360"/>
        </w:tabs>
        <w:ind w:left="720" w:hanging="720"/>
        <w:rPr>
          <w:b/>
          <w:szCs w:val="20"/>
        </w:rPr>
      </w:pPr>
      <w:r w:rsidRPr="00C205A0">
        <w:rPr>
          <w:b/>
          <w:szCs w:val="20"/>
        </w:rPr>
        <w:t xml:space="preserve">4.4 </w:t>
      </w:r>
      <w:r w:rsidR="00507362">
        <w:rPr>
          <w:b/>
          <w:szCs w:val="20"/>
        </w:rPr>
        <w:tab/>
      </w:r>
      <w:r w:rsidRPr="003D3B15">
        <w:rPr>
          <w:b/>
          <w:szCs w:val="20"/>
        </w:rPr>
        <w:t xml:space="preserve">Financial </w:t>
      </w:r>
      <w:r w:rsidR="00CD388B">
        <w:rPr>
          <w:b/>
          <w:szCs w:val="20"/>
        </w:rPr>
        <w:t xml:space="preserve">Manager or </w:t>
      </w:r>
      <w:r w:rsidRPr="003D3B15">
        <w:rPr>
          <w:b/>
          <w:szCs w:val="20"/>
        </w:rPr>
        <w:t>Accountant/Treasury Manager</w:t>
      </w:r>
      <w:r w:rsidRPr="00C205A0">
        <w:rPr>
          <w:b/>
          <w:szCs w:val="20"/>
        </w:rPr>
        <w:t xml:space="preserve"> </w:t>
      </w:r>
    </w:p>
    <w:p w14:paraId="39D1B1AD" w14:textId="72B29A5D" w:rsidR="0058259D" w:rsidRPr="003D3B15" w:rsidRDefault="0058259D" w:rsidP="003A27B8">
      <w:pPr>
        <w:pStyle w:val="NormalIndent2"/>
      </w:pPr>
      <w:r w:rsidRPr="003D3B15">
        <w:t xml:space="preserve">The </w:t>
      </w:r>
      <w:r w:rsidR="00CD388B">
        <w:t>[</w:t>
      </w:r>
      <w:r w:rsidRPr="003D3B15">
        <w:t xml:space="preserve">Financial </w:t>
      </w:r>
      <w:r w:rsidR="00CD388B">
        <w:t xml:space="preserve">Manager or </w:t>
      </w:r>
      <w:r w:rsidRPr="003D3B15">
        <w:t>Accountant</w:t>
      </w:r>
      <w:r w:rsidR="00CD388B">
        <w:t>]</w:t>
      </w:r>
      <w:r w:rsidRPr="003D3B15">
        <w:t xml:space="preserve"> will act as Treasury Manager and is delegated responsibility to liaise with TCV concerning the execution of the treasury strategies contained in the treasury policy. The Treasury Manager:</w:t>
      </w:r>
      <w:r w:rsidRPr="00C205A0">
        <w:t xml:space="preserve"> </w:t>
      </w:r>
    </w:p>
    <w:p w14:paraId="3C9A15EF" w14:textId="5FB5BA60" w:rsidR="0058259D" w:rsidRPr="003D3B15" w:rsidRDefault="0058259D" w:rsidP="0027351E">
      <w:pPr>
        <w:pStyle w:val="AttachmentBullet1"/>
      </w:pPr>
      <w:r w:rsidRPr="003D3B15">
        <w:t>is responsible for operating and administering the treasury function including relevant forecasting, correspondence, accounting and reporting functions</w:t>
      </w:r>
      <w:r w:rsidRPr="00C205A0">
        <w:t>;</w:t>
      </w:r>
      <w:r w:rsidRPr="003D3B15">
        <w:t xml:space="preserve"> </w:t>
      </w:r>
    </w:p>
    <w:p w14:paraId="7E4854BA" w14:textId="59BBDD66" w:rsidR="0058259D" w:rsidRPr="003D3B15" w:rsidRDefault="0058259D" w:rsidP="0027351E">
      <w:pPr>
        <w:pStyle w:val="AttachmentBullet1"/>
      </w:pPr>
      <w:r w:rsidRPr="003D3B15">
        <w:t>is responsible for identifying any emerging financial risks and developing appropriate financial risk management strategies for approval by the CFO and Board</w:t>
      </w:r>
      <w:r w:rsidRPr="00C205A0">
        <w:t>;</w:t>
      </w:r>
      <w:r w:rsidRPr="003D3B15">
        <w:t xml:space="preserve"> </w:t>
      </w:r>
    </w:p>
    <w:p w14:paraId="37E75AC8" w14:textId="2D590821" w:rsidR="0058259D" w:rsidRPr="003D3B15" w:rsidRDefault="0058259D" w:rsidP="0027351E">
      <w:pPr>
        <w:pStyle w:val="AttachmentBullet1"/>
      </w:pPr>
      <w:r w:rsidRPr="003D3B15">
        <w:t>may liaise with TCV in relation to borrowings within restrictions of any dealer limits or delegations provided in this document</w:t>
      </w:r>
      <w:r w:rsidRPr="00C205A0">
        <w:t>;</w:t>
      </w:r>
      <w:r w:rsidRPr="003D3B15">
        <w:t xml:space="preserve"> </w:t>
      </w:r>
    </w:p>
    <w:p w14:paraId="41928432" w14:textId="4B99A4EB" w:rsidR="0058259D" w:rsidRPr="003D3B15" w:rsidRDefault="0058259D" w:rsidP="0027351E">
      <w:pPr>
        <w:pStyle w:val="AttachmentBullet1"/>
      </w:pPr>
      <w:r w:rsidRPr="003D3B15">
        <w:t>is not authorised to liaise with TCV concerning entering into or performing financial arrangements</w:t>
      </w:r>
      <w:r w:rsidRPr="00C205A0">
        <w:t xml:space="preserve">; </w:t>
      </w:r>
      <w:r w:rsidRPr="003D3B15">
        <w:t xml:space="preserve"> </w:t>
      </w:r>
    </w:p>
    <w:p w14:paraId="2CE64E54" w14:textId="6058976C" w:rsidR="0058259D" w:rsidRPr="003D3B15" w:rsidRDefault="0058259D" w:rsidP="0027351E">
      <w:pPr>
        <w:pStyle w:val="AttachmentBullet1"/>
      </w:pPr>
      <w:r w:rsidRPr="003D3B15">
        <w:t>is responsible for providing quarterly treasury reports to the CFO and the Board</w:t>
      </w:r>
      <w:r w:rsidRPr="00C205A0">
        <w:t>;</w:t>
      </w:r>
      <w:r w:rsidRPr="003D3B15">
        <w:t xml:space="preserve"> </w:t>
      </w:r>
    </w:p>
    <w:p w14:paraId="1A57B007" w14:textId="41B5F216" w:rsidR="0058259D" w:rsidRPr="003D3B15" w:rsidRDefault="0058259D" w:rsidP="0027351E">
      <w:pPr>
        <w:pStyle w:val="AttachmentBullet1"/>
      </w:pPr>
      <w:r w:rsidRPr="003D3B15">
        <w:t>is responsible for assisting the CFO concerning any amendments to this treasury policy</w:t>
      </w:r>
      <w:r w:rsidRPr="00C205A0">
        <w:t>; and</w:t>
      </w:r>
      <w:r w:rsidRPr="003D3B15">
        <w:t xml:space="preserve"> </w:t>
      </w:r>
    </w:p>
    <w:p w14:paraId="3108C945" w14:textId="77777777" w:rsidR="0058259D" w:rsidRPr="00C205A0" w:rsidRDefault="0058259D" w:rsidP="0027351E">
      <w:pPr>
        <w:pStyle w:val="AttachmentBullet1"/>
      </w:pPr>
      <w:r w:rsidRPr="00C205A0">
        <w:t>must report any breaches or exceptions to the Board approved policy and provide an action plan.</w:t>
      </w:r>
    </w:p>
    <w:p w14:paraId="2E5964D8" w14:textId="6CC8BC1B" w:rsidR="00507362" w:rsidRPr="00BD69C4" w:rsidRDefault="0058259D" w:rsidP="0027351E">
      <w:pPr>
        <w:pStyle w:val="AttachmentHeading1"/>
      </w:pPr>
      <w:r w:rsidRPr="00BD69C4">
        <w:t>Delegations (may be attached to the policy in a tabular format)</w:t>
      </w:r>
      <w:r w:rsidR="00507362" w:rsidRPr="00BD69C4">
        <w:t xml:space="preserve"> </w:t>
      </w:r>
    </w:p>
    <w:p w14:paraId="5706D6F4" w14:textId="1FF47937" w:rsidR="0058259D" w:rsidRPr="003D3B15" w:rsidRDefault="0058259D" w:rsidP="0027351E">
      <w:pPr>
        <w:pStyle w:val="AttachmentBullet1"/>
      </w:pPr>
      <w:r w:rsidRPr="003D3B15">
        <w:t xml:space="preserve">All borrowings, financial arrangements or investments of greater than </w:t>
      </w:r>
      <w:r w:rsidRPr="00C205A0">
        <w:t xml:space="preserve">[$  ] </w:t>
      </w:r>
      <w:r w:rsidRPr="003D3B15">
        <w:t xml:space="preserve">million must be authorised by the Board and transacted by the CFO. </w:t>
      </w:r>
    </w:p>
    <w:p w14:paraId="3C712808" w14:textId="55CB3641" w:rsidR="0058259D" w:rsidRPr="003D3B15" w:rsidRDefault="0058259D" w:rsidP="0027351E">
      <w:pPr>
        <w:pStyle w:val="AttachmentBullet1"/>
      </w:pPr>
      <w:r w:rsidRPr="003D3B15">
        <w:t>The CFO is approved to authorise financial arrangements on behalf of ABC</w:t>
      </w:r>
      <w:r w:rsidR="00995ED6">
        <w:t xml:space="preserve">. </w:t>
      </w:r>
      <w:r w:rsidRPr="003D3B15">
        <w:t xml:space="preserve">This delegation is granted up to the value of </w:t>
      </w:r>
      <w:r w:rsidRPr="00C205A0">
        <w:t xml:space="preserve">[$   ] </w:t>
      </w:r>
      <w:r w:rsidRPr="003D3B15">
        <w:t xml:space="preserve">million and must be transacted by the Treasury Manager. </w:t>
      </w:r>
    </w:p>
    <w:p w14:paraId="5C198921" w14:textId="1480E0B8" w:rsidR="0058259D" w:rsidRPr="003D3B15" w:rsidRDefault="0058259D" w:rsidP="0027351E">
      <w:pPr>
        <w:pStyle w:val="AttachmentBullet1"/>
      </w:pPr>
      <w:r w:rsidRPr="003D3B15">
        <w:t>The CFO is approved to authorise cash investments with TCV on behalf of [</w:t>
      </w:r>
      <w:r w:rsidRPr="00C205A0">
        <w:t>ABC</w:t>
      </w:r>
      <w:r w:rsidRPr="003D3B15">
        <w:t xml:space="preserve">] in amounts greater than </w:t>
      </w:r>
      <w:r w:rsidRPr="00C205A0">
        <w:t xml:space="preserve">[$  ] </w:t>
      </w:r>
      <w:r w:rsidRPr="003D3B15">
        <w:t xml:space="preserve">million but less than </w:t>
      </w:r>
      <w:r w:rsidRPr="00C205A0">
        <w:t xml:space="preserve">[$   ] </w:t>
      </w:r>
      <w:r w:rsidRPr="003D3B15">
        <w:t xml:space="preserve">million. These investments must be transacted by the Treasury Manager. </w:t>
      </w:r>
    </w:p>
    <w:p w14:paraId="5AAEA91A" w14:textId="3815F78D" w:rsidR="0058259D" w:rsidRPr="003D3B15" w:rsidRDefault="0058259D" w:rsidP="0027351E">
      <w:pPr>
        <w:pStyle w:val="AttachmentBullet1"/>
      </w:pPr>
      <w:r w:rsidRPr="003D3B15">
        <w:t>The CFO is approved to authorise financial accommodation from TCV on behalf of [</w:t>
      </w:r>
      <w:r w:rsidRPr="00C205A0">
        <w:t>ABC</w:t>
      </w:r>
      <w:r w:rsidRPr="003D3B15">
        <w:t xml:space="preserve">] in amounts greater than </w:t>
      </w:r>
      <w:r w:rsidRPr="00C205A0">
        <w:t xml:space="preserve">[$  ] </w:t>
      </w:r>
      <w:r w:rsidRPr="003D3B15">
        <w:t xml:space="preserve">million but less than </w:t>
      </w:r>
      <w:r w:rsidRPr="00C205A0">
        <w:t xml:space="preserve">[$   ] </w:t>
      </w:r>
      <w:r w:rsidRPr="003D3B15">
        <w:t>million. These borrowings must be transacted by the Treasury Manager.</w:t>
      </w:r>
    </w:p>
    <w:p w14:paraId="799A3CC8" w14:textId="2B95AFF2" w:rsidR="0058259D" w:rsidRPr="003D3B15" w:rsidRDefault="0058259D" w:rsidP="0027351E">
      <w:pPr>
        <w:pStyle w:val="AttachmentBullet1"/>
      </w:pPr>
      <w:r w:rsidRPr="003D3B15">
        <w:t>The Treasury Manager may place investments with TCV on behalf of [</w:t>
      </w:r>
      <w:r w:rsidRPr="00C205A0">
        <w:t>ABC</w:t>
      </w:r>
      <w:r w:rsidRPr="003D3B15">
        <w:t xml:space="preserve">] up to a limit of </w:t>
      </w:r>
      <w:r w:rsidRPr="00C205A0">
        <w:t xml:space="preserve">[$  ] </w:t>
      </w:r>
      <w:r w:rsidRPr="003D3B15">
        <w:t xml:space="preserve">million. These investments must be transacted by an accountant within the treasury function reporting directly to the Treasury Manager. </w:t>
      </w:r>
    </w:p>
    <w:p w14:paraId="2D1ACBE7" w14:textId="6AE559E0" w:rsidR="0058259D" w:rsidRPr="003D3B15" w:rsidRDefault="0058259D" w:rsidP="0027351E">
      <w:pPr>
        <w:pStyle w:val="AttachmentBullet1"/>
      </w:pPr>
      <w:r w:rsidRPr="003D3B15">
        <w:lastRenderedPageBreak/>
        <w:t>The Treasury Manager may obtain financial accommodation on behalf of [</w:t>
      </w:r>
      <w:r w:rsidRPr="00C205A0">
        <w:t>ABC</w:t>
      </w:r>
      <w:r w:rsidRPr="003D3B15">
        <w:t xml:space="preserve">] from TCV in amounts less than </w:t>
      </w:r>
      <w:r w:rsidRPr="00C205A0">
        <w:t xml:space="preserve">[$   ] </w:t>
      </w:r>
      <w:r w:rsidRPr="003D3B15">
        <w:t>million. These borrowings must be transacted by an accountant within the treasury function reporting directly to the Treasury Manager.</w:t>
      </w:r>
    </w:p>
    <w:p w14:paraId="2CF3E5BD" w14:textId="698273C9" w:rsidR="00507362" w:rsidRPr="00C205A0" w:rsidRDefault="0058259D" w:rsidP="0027351E">
      <w:pPr>
        <w:pStyle w:val="AttachmentHeading1"/>
        <w:rPr>
          <w:szCs w:val="20"/>
        </w:rPr>
      </w:pPr>
      <w:r w:rsidRPr="00BD69C4">
        <w:t>Approved financial instruments</w:t>
      </w:r>
    </w:p>
    <w:p w14:paraId="23C1521D" w14:textId="504BB14E" w:rsidR="00507362" w:rsidRPr="00C205A0" w:rsidRDefault="0058259D" w:rsidP="0027351E">
      <w:pPr>
        <w:pStyle w:val="AttachmentHeading2"/>
      </w:pPr>
      <w:r w:rsidRPr="003D3B15">
        <w:t xml:space="preserve">Approved </w:t>
      </w:r>
      <w:r w:rsidRPr="00C205A0">
        <w:t xml:space="preserve">TCV </w:t>
      </w:r>
      <w:r w:rsidRPr="003D3B15">
        <w:t>borrowing products</w:t>
      </w:r>
    </w:p>
    <w:p w14:paraId="571ED0D9" w14:textId="6D9B96F8" w:rsidR="0058259D" w:rsidRPr="003D3B15" w:rsidRDefault="0058259D" w:rsidP="00484ACD">
      <w:pPr>
        <w:pStyle w:val="AttachmentList1"/>
      </w:pPr>
      <w:r w:rsidRPr="00C205A0">
        <w:t>Short</w:t>
      </w:r>
      <w:r w:rsidRPr="003D3B15">
        <w:t xml:space="preserve"> term loans including 11:00am loans;</w:t>
      </w:r>
    </w:p>
    <w:p w14:paraId="543EEF32" w14:textId="04FB8E00" w:rsidR="0058259D" w:rsidRPr="003D3B15" w:rsidRDefault="0058259D" w:rsidP="00484ACD">
      <w:pPr>
        <w:pStyle w:val="AttachmentList1"/>
        <w:rPr>
          <w:szCs w:val="20"/>
        </w:rPr>
      </w:pPr>
      <w:r w:rsidRPr="00C205A0">
        <w:rPr>
          <w:szCs w:val="20"/>
        </w:rPr>
        <w:t>Term</w:t>
      </w:r>
      <w:r w:rsidRPr="003D3B15">
        <w:rPr>
          <w:szCs w:val="20"/>
        </w:rPr>
        <w:t xml:space="preserve"> floating rate loans;</w:t>
      </w:r>
    </w:p>
    <w:p w14:paraId="0D6B2D41" w14:textId="41834AAD" w:rsidR="0058259D" w:rsidRPr="003D3B15" w:rsidRDefault="0058259D" w:rsidP="00484ACD">
      <w:pPr>
        <w:pStyle w:val="AttachmentList1"/>
        <w:rPr>
          <w:szCs w:val="20"/>
        </w:rPr>
      </w:pPr>
      <w:r w:rsidRPr="00C205A0">
        <w:rPr>
          <w:szCs w:val="20"/>
        </w:rPr>
        <w:t>Fixed</w:t>
      </w:r>
      <w:r w:rsidRPr="003D3B15">
        <w:rPr>
          <w:szCs w:val="20"/>
        </w:rPr>
        <w:t xml:space="preserve"> rate loans; and </w:t>
      </w:r>
    </w:p>
    <w:p w14:paraId="63B3D327" w14:textId="64D49CEC" w:rsidR="0058259D" w:rsidRPr="003D3B15" w:rsidRDefault="0058259D" w:rsidP="00484ACD">
      <w:pPr>
        <w:pStyle w:val="AttachmentList1"/>
        <w:rPr>
          <w:szCs w:val="20"/>
        </w:rPr>
      </w:pPr>
      <w:r w:rsidRPr="00C205A0">
        <w:rPr>
          <w:szCs w:val="20"/>
        </w:rPr>
        <w:t>Forward</w:t>
      </w:r>
      <w:r w:rsidRPr="003D3B15">
        <w:rPr>
          <w:szCs w:val="20"/>
        </w:rPr>
        <w:t xml:space="preserve"> settlement loans.</w:t>
      </w:r>
    </w:p>
    <w:p w14:paraId="4A77DCD4" w14:textId="02DDE38B" w:rsidR="00507362" w:rsidRPr="00C205A0" w:rsidRDefault="0058259D" w:rsidP="0027351E">
      <w:pPr>
        <w:pStyle w:val="AttachmentHeading2"/>
      </w:pPr>
      <w:r w:rsidRPr="003D3B15">
        <w:t>Approved investment products</w:t>
      </w:r>
    </w:p>
    <w:p w14:paraId="33A240B4" w14:textId="2B77FE3B" w:rsidR="0058259D" w:rsidRPr="004661D4" w:rsidRDefault="0058259D" w:rsidP="001B5654">
      <w:pPr>
        <w:pStyle w:val="NormalIndent"/>
        <w:rPr>
          <w:b/>
        </w:rPr>
      </w:pPr>
      <w:r w:rsidRPr="00C205A0">
        <w:t xml:space="preserve">Consistent with Standing Direction 3.7.2, the </w:t>
      </w:r>
      <w:r w:rsidRPr="003D3B15">
        <w:t>permitted investment products</w:t>
      </w:r>
      <w:r w:rsidRPr="00C205A0">
        <w:t xml:space="preserve"> are:</w:t>
      </w:r>
    </w:p>
    <w:p w14:paraId="72990E95" w14:textId="0B7B850F" w:rsidR="0058259D" w:rsidRDefault="0058259D" w:rsidP="000B15FD">
      <w:pPr>
        <w:pStyle w:val="AttachmentList1"/>
        <w:numPr>
          <w:ilvl w:val="0"/>
          <w:numId w:val="69"/>
        </w:numPr>
        <w:ind w:left="792" w:hanging="360"/>
      </w:pPr>
      <w:r w:rsidRPr="00C205A0">
        <w:t>CBS</w:t>
      </w:r>
      <w:r w:rsidRPr="003D3B15">
        <w:t xml:space="preserve"> </w:t>
      </w:r>
      <w:r w:rsidRPr="003A27B8">
        <w:t>deposits</w:t>
      </w:r>
      <w:r w:rsidRPr="003D3B15">
        <w:t>;</w:t>
      </w:r>
      <w:r w:rsidR="00145605">
        <w:t xml:space="preserve"> and</w:t>
      </w:r>
    </w:p>
    <w:p w14:paraId="483C1578" w14:textId="4308B22F" w:rsidR="00E20891" w:rsidRPr="003D3B15" w:rsidRDefault="00F46DD3" w:rsidP="000B15FD">
      <w:pPr>
        <w:pStyle w:val="AttachmentList1"/>
        <w:numPr>
          <w:ilvl w:val="0"/>
          <w:numId w:val="69"/>
        </w:numPr>
        <w:ind w:left="792" w:hanging="360"/>
      </w:pPr>
      <w:r>
        <w:t xml:space="preserve">VFMC </w:t>
      </w:r>
      <w:r w:rsidR="00A2768C">
        <w:t>single sector solutions</w:t>
      </w:r>
      <w:r w:rsidR="00596E6A">
        <w:t>.</w:t>
      </w:r>
    </w:p>
    <w:p w14:paraId="735F96FD" w14:textId="156EF5AF" w:rsidR="00507362" w:rsidRPr="00C205A0" w:rsidRDefault="0058259D" w:rsidP="0027351E">
      <w:pPr>
        <w:pStyle w:val="AttachmentHeading2"/>
      </w:pPr>
      <w:r w:rsidRPr="003D3B15">
        <w:t xml:space="preserve">Approved </w:t>
      </w:r>
      <w:r w:rsidRPr="00C205A0">
        <w:t xml:space="preserve">TCV </w:t>
      </w:r>
      <w:r w:rsidRPr="003D3B15">
        <w:t>financial arrangement products</w:t>
      </w:r>
    </w:p>
    <w:p w14:paraId="51CE4C77" w14:textId="01FDF510" w:rsidR="0058259D" w:rsidRPr="003D3B15" w:rsidRDefault="0058259D" w:rsidP="000B15FD">
      <w:pPr>
        <w:pStyle w:val="AttachmentList1"/>
        <w:numPr>
          <w:ilvl w:val="0"/>
          <w:numId w:val="70"/>
        </w:numPr>
        <w:ind w:left="792" w:hanging="360"/>
      </w:pPr>
      <w:r w:rsidRPr="00C205A0">
        <w:t>Forward</w:t>
      </w:r>
      <w:r w:rsidRPr="003D3B15">
        <w:t xml:space="preserve"> settlement loans; </w:t>
      </w:r>
    </w:p>
    <w:p w14:paraId="72585F5F" w14:textId="0850C663" w:rsidR="0058259D" w:rsidRPr="00C205A0" w:rsidRDefault="0058259D" w:rsidP="000B15FD">
      <w:pPr>
        <w:pStyle w:val="AttachmentList1"/>
        <w:numPr>
          <w:ilvl w:val="0"/>
          <w:numId w:val="70"/>
        </w:numPr>
        <w:ind w:left="792" w:hanging="360"/>
      </w:pPr>
      <w:r w:rsidRPr="00C205A0">
        <w:t>Spot foreign exchange rate contracts; and</w:t>
      </w:r>
    </w:p>
    <w:p w14:paraId="434FC02A" w14:textId="2CE8F6A2" w:rsidR="0058259D" w:rsidRDefault="0058259D" w:rsidP="000B15FD">
      <w:pPr>
        <w:pStyle w:val="AttachmentList1"/>
        <w:numPr>
          <w:ilvl w:val="0"/>
          <w:numId w:val="70"/>
        </w:numPr>
        <w:ind w:left="792" w:hanging="360"/>
      </w:pPr>
      <w:r w:rsidRPr="00C205A0">
        <w:t>Forward</w:t>
      </w:r>
      <w:r w:rsidRPr="003D3B15">
        <w:t xml:space="preserve"> foreign exchange rate contracts.</w:t>
      </w:r>
    </w:p>
    <w:p w14:paraId="35307048" w14:textId="57F9B2AF" w:rsidR="00507362" w:rsidRPr="00AC7075" w:rsidRDefault="0058259D" w:rsidP="00484ACD">
      <w:pPr>
        <w:pStyle w:val="AttachmentHeading1"/>
      </w:pPr>
      <w:r w:rsidRPr="00AC7075">
        <w:t>Use of financial arrangements (derivatives)</w:t>
      </w:r>
      <w:r w:rsidR="00A66487" w:rsidRPr="00AC7075">
        <w:t xml:space="preserve"> </w:t>
      </w:r>
    </w:p>
    <w:p w14:paraId="422E89C6" w14:textId="78D26433" w:rsidR="0058259D" w:rsidRPr="003D3B15" w:rsidRDefault="0058259D" w:rsidP="00484ACD">
      <w:pPr>
        <w:pStyle w:val="NormalIndent"/>
      </w:pPr>
      <w:r w:rsidRPr="003D3B15">
        <w:t>To manage refinancing risk for large fixed rate loans as they approach maturity</w:t>
      </w:r>
      <w:r w:rsidRPr="00C205A0">
        <w:t>,</w:t>
      </w:r>
      <w:r w:rsidRPr="003D3B15">
        <w:t xml:space="preserve"> TCV may be engaged to provide financial arrangements. In this case, TCV should be requested to provide appropriate financial arrangements (derivatives) to manage refinancing risk. </w:t>
      </w:r>
      <w:r w:rsidRPr="00C205A0">
        <w:t>A forward settlement loan is in most circumstances the most cost-effective financial arrangement to manage the risks associated with a loan maturity that requires refinancing</w:t>
      </w:r>
      <w:r w:rsidR="00995ED6">
        <w:t xml:space="preserve">. </w:t>
      </w:r>
    </w:p>
    <w:p w14:paraId="0E683D49" w14:textId="3CCE2CDD" w:rsidR="0058259D" w:rsidRPr="003D3B15" w:rsidRDefault="0058259D" w:rsidP="00484ACD">
      <w:pPr>
        <w:pStyle w:val="NormalIndent"/>
      </w:pPr>
      <w:r w:rsidRPr="00C205A0">
        <w:t>Material</w:t>
      </w:r>
      <w:r w:rsidRPr="003D3B15">
        <w:t xml:space="preserve"> foreign exchange exposure</w:t>
      </w:r>
      <w:r w:rsidRPr="00C205A0">
        <w:t xml:space="preserve"> should</w:t>
      </w:r>
      <w:r w:rsidRPr="003D3B15">
        <w:t xml:space="preserve"> be </w:t>
      </w:r>
      <w:r w:rsidRPr="00C205A0">
        <w:t>hedged. In most circumstances if the foreign exchange</w:t>
      </w:r>
      <w:r w:rsidRPr="003D3B15">
        <w:t xml:space="preserve"> exposure is </w:t>
      </w:r>
      <w:r w:rsidRPr="00C205A0">
        <w:t>known with certainty regarding amount and timing, a forward foreign exchange contract will be the most cost-effective hedge.</w:t>
      </w:r>
    </w:p>
    <w:p w14:paraId="5003D084" w14:textId="77777777" w:rsidR="0058259D" w:rsidRPr="003D3B15" w:rsidRDefault="0058259D" w:rsidP="00484ACD">
      <w:pPr>
        <w:pStyle w:val="NormalIndent"/>
      </w:pPr>
      <w:r w:rsidRPr="003D3B15">
        <w:t xml:space="preserve">Any financial arrangement entered into by [ABC]: </w:t>
      </w:r>
    </w:p>
    <w:p w14:paraId="3D633E3B" w14:textId="77777777" w:rsidR="0058259D" w:rsidRPr="0025486E" w:rsidRDefault="0058259D" w:rsidP="00484ACD">
      <w:pPr>
        <w:pStyle w:val="AttachmentBullet1"/>
      </w:pPr>
      <w:r w:rsidRPr="0025486E">
        <w:t>must be designated as a hedge at the time of entering into the arrangement;</w:t>
      </w:r>
    </w:p>
    <w:p w14:paraId="235734F4" w14:textId="4C9BE2BE" w:rsidR="0058259D" w:rsidRPr="003D3B15" w:rsidRDefault="0058259D" w:rsidP="00484ACD">
      <w:pPr>
        <w:pStyle w:val="AttachmentBullet1"/>
      </w:pPr>
      <w:r w:rsidRPr="00FF63D7">
        <w:t>the risk exposure must not already be effectively hedged by an off</w:t>
      </w:r>
      <w:r w:rsidRPr="00C205A0">
        <w:t>-</w:t>
      </w:r>
      <w:r w:rsidRPr="003D3B15">
        <w:t>setting risk;</w:t>
      </w:r>
    </w:p>
    <w:p w14:paraId="63972E1C" w14:textId="77777777" w:rsidR="0058259D" w:rsidRPr="003D3B15" w:rsidRDefault="0058259D" w:rsidP="00484ACD">
      <w:pPr>
        <w:pStyle w:val="AttachmentBullet1"/>
      </w:pPr>
      <w:r w:rsidRPr="003D3B15">
        <w:t xml:space="preserve">must contribute to the reduction of exposure to financial risk; </w:t>
      </w:r>
    </w:p>
    <w:p w14:paraId="39D0CE3A" w14:textId="77777777" w:rsidR="0058259D" w:rsidRPr="0025486E" w:rsidRDefault="0058259D" w:rsidP="00484ACD">
      <w:pPr>
        <w:pStyle w:val="AttachmentBullet1"/>
      </w:pPr>
      <w:r w:rsidRPr="0025486E">
        <w:t>must not be entered for the purposes of leveraging a transaction; and</w:t>
      </w:r>
    </w:p>
    <w:p w14:paraId="1A8449AF" w14:textId="77777777" w:rsidR="0058259D" w:rsidRPr="00FF63D7" w:rsidRDefault="0058259D" w:rsidP="00484ACD">
      <w:pPr>
        <w:pStyle w:val="AttachmentBullet1"/>
      </w:pPr>
      <w:r w:rsidRPr="0025486E">
        <w:t>trading activities in the co</w:t>
      </w:r>
      <w:r w:rsidRPr="00FF63D7">
        <w:t>ntext of transacting to create new or additional exposures are not permitted.</w:t>
      </w:r>
    </w:p>
    <w:p w14:paraId="600B8468" w14:textId="77777777" w:rsidR="0058259D" w:rsidRPr="00FF63D7" w:rsidRDefault="0058259D" w:rsidP="00484ACD">
      <w:pPr>
        <w:pStyle w:val="NormalIndent"/>
      </w:pPr>
      <w:r w:rsidRPr="00FF63D7">
        <w:t>Treasurer’s approval must be sought prior to entering into financial arrangements.</w:t>
      </w:r>
    </w:p>
    <w:p w14:paraId="34E36EB6" w14:textId="7392E35D" w:rsidR="0058259D" w:rsidRPr="003D3B15" w:rsidRDefault="0058259D" w:rsidP="00484ACD">
      <w:pPr>
        <w:pStyle w:val="NormalIndent"/>
      </w:pPr>
      <w:r w:rsidRPr="00C374FA">
        <w:t>Where financial arrangements are in use, management must report to the Board concerning measure</w:t>
      </w:r>
      <w:r w:rsidRPr="007119B2">
        <w:t>ment, monitoring and control of derivative activity including mark</w:t>
      </w:r>
      <w:r w:rsidRPr="00C205A0">
        <w:t>-</w:t>
      </w:r>
      <w:r w:rsidRPr="003D3B15">
        <w:t>to</w:t>
      </w:r>
      <w:r w:rsidRPr="00C205A0">
        <w:t>-</w:t>
      </w:r>
      <w:r w:rsidRPr="003D3B15">
        <w:t>market information on all open positions by instrument category.</w:t>
      </w:r>
    </w:p>
    <w:p w14:paraId="141B094C" w14:textId="77777777" w:rsidR="0058259D" w:rsidRPr="00C205A0" w:rsidRDefault="0058259D" w:rsidP="00484ACD">
      <w:pPr>
        <w:pStyle w:val="NormalIndent"/>
      </w:pPr>
      <w:r w:rsidRPr="00C205A0">
        <w:t>(Specialist advice from technical accounting advisers may be required regarding the valuation and reporting of financial arrangements.)</w:t>
      </w:r>
    </w:p>
    <w:p w14:paraId="1E50441D" w14:textId="10FAC1C8" w:rsidR="00507362" w:rsidRPr="00BD69C4" w:rsidRDefault="0058259D" w:rsidP="00484ACD">
      <w:pPr>
        <w:pStyle w:val="AttachmentHeading1"/>
      </w:pPr>
      <w:r w:rsidRPr="00BD69C4">
        <w:t>Internal controls and systems</w:t>
      </w:r>
    </w:p>
    <w:p w14:paraId="7C9DC3B6" w14:textId="33BFDCA4" w:rsidR="0058259D" w:rsidRPr="004661D4" w:rsidRDefault="0058259D" w:rsidP="00484ACD">
      <w:pPr>
        <w:pStyle w:val="AttachmentHeading2"/>
      </w:pPr>
      <w:r w:rsidRPr="003D3B15">
        <w:t xml:space="preserve">Internal </w:t>
      </w:r>
      <w:r w:rsidRPr="00C205A0">
        <w:t xml:space="preserve">Audit </w:t>
      </w:r>
    </w:p>
    <w:p w14:paraId="4B6A1F1E" w14:textId="51A588D4" w:rsidR="0058259D" w:rsidRPr="003D3B15" w:rsidRDefault="0058259D" w:rsidP="00484ACD">
      <w:pPr>
        <w:pStyle w:val="NormalIndent"/>
      </w:pPr>
      <w:r w:rsidRPr="003D3B15">
        <w:t>Internal audit will be carried out by [Accounting Firm] in accordance with the Internal Audit</w:t>
      </w:r>
      <w:r w:rsidRPr="00C205A0">
        <w:t>, Standing Direction 3.2.2</w:t>
      </w:r>
      <w:r w:rsidRPr="003D3B15">
        <w:t xml:space="preserve"> and internal audit plan. Internal audit reports for the Treasury function will be conducted on at least an </w:t>
      </w:r>
      <w:r w:rsidRPr="00C205A0">
        <w:t>[</w:t>
      </w:r>
      <w:r w:rsidRPr="003D3B15">
        <w:t>annual</w:t>
      </w:r>
      <w:r w:rsidRPr="00C205A0">
        <w:t>]</w:t>
      </w:r>
      <w:r w:rsidRPr="003D3B15">
        <w:t xml:space="preserve"> basis, and more regularly at the request of the Audit Committee. The internal audit report will be provided to the Audit Committee for their consideration. The Audit Committee reserves the right to perform additional audit activity at any time should it be required. </w:t>
      </w:r>
    </w:p>
    <w:p w14:paraId="413A5046" w14:textId="77777777" w:rsidR="00596E6A" w:rsidRDefault="00596E6A">
      <w:pPr>
        <w:keepLines w:val="0"/>
        <w:spacing w:before="0" w:after="200" w:line="276" w:lineRule="auto"/>
        <w:rPr>
          <w:b/>
        </w:rPr>
      </w:pPr>
      <w:r>
        <w:br w:type="page"/>
      </w:r>
    </w:p>
    <w:p w14:paraId="4138A16F" w14:textId="3FA893C9" w:rsidR="0058259D" w:rsidRPr="004661D4" w:rsidRDefault="0058259D" w:rsidP="00484ACD">
      <w:pPr>
        <w:pStyle w:val="AttachmentHeading2"/>
      </w:pPr>
      <w:r w:rsidRPr="003D3B15">
        <w:lastRenderedPageBreak/>
        <w:t xml:space="preserve">Operational </w:t>
      </w:r>
      <w:r w:rsidRPr="00C205A0">
        <w:t>Policies</w:t>
      </w:r>
    </w:p>
    <w:p w14:paraId="3495E981" w14:textId="3996DF3C" w:rsidR="0058259D" w:rsidRPr="00C205A0" w:rsidRDefault="0058259D" w:rsidP="00484ACD">
      <w:pPr>
        <w:pStyle w:val="NormalIndent"/>
      </w:pPr>
      <w:r w:rsidRPr="003D3B15">
        <w:t>Management and staff</w:t>
      </w:r>
      <w:r w:rsidRPr="00C205A0">
        <w:t>:</w:t>
      </w:r>
    </w:p>
    <w:p w14:paraId="762BCCF5" w14:textId="3A68BA13" w:rsidR="0058259D" w:rsidRPr="00484ACD" w:rsidRDefault="0058259D" w:rsidP="00484ACD">
      <w:pPr>
        <w:pStyle w:val="AttachmentBullet1"/>
      </w:pPr>
      <w:r w:rsidRPr="00484ACD">
        <w:t xml:space="preserve">must comply with the requirements of the Standing Directions including Instructions, and other materials, at all times; </w:t>
      </w:r>
    </w:p>
    <w:p w14:paraId="0962BDB5" w14:textId="6DD98C17" w:rsidR="0058259D" w:rsidRPr="00484ACD" w:rsidRDefault="0058259D" w:rsidP="00484ACD">
      <w:pPr>
        <w:pStyle w:val="AttachmentBullet1"/>
      </w:pPr>
      <w:r w:rsidRPr="00484ACD">
        <w:t xml:space="preserve">must comply with the terms of this treasury policy in the conduct of the treasury function of [ABC]; </w:t>
      </w:r>
    </w:p>
    <w:p w14:paraId="2C146F0B" w14:textId="31B11002" w:rsidR="0058259D" w:rsidRPr="00484ACD" w:rsidRDefault="0058259D" w:rsidP="00484ACD">
      <w:pPr>
        <w:pStyle w:val="AttachmentBullet1"/>
      </w:pPr>
      <w:r w:rsidRPr="00484ACD">
        <w:t>must ensure that computer systems, including accounting software and communications systems, are capable of supporting the treasury management function at all times; and</w:t>
      </w:r>
    </w:p>
    <w:p w14:paraId="26F4CBDE" w14:textId="1038E620" w:rsidR="0058259D" w:rsidRPr="00484ACD" w:rsidRDefault="0058259D" w:rsidP="00484ACD">
      <w:pPr>
        <w:pStyle w:val="AttachmentBullet1"/>
      </w:pPr>
      <w:r w:rsidRPr="00484ACD">
        <w:t xml:space="preserve">including the Responsible Officer and the CFO are responsible for ensuring systems are in place to identify, measure and evaluate potential financial risks as and when they eventuate. Management should frequently review the risk environment of the public sector agency and update the treasury policy as required. </w:t>
      </w:r>
    </w:p>
    <w:p w14:paraId="17CB9D12" w14:textId="77777777" w:rsidR="0058259D" w:rsidRPr="003D3B15" w:rsidRDefault="0058259D" w:rsidP="00484ACD">
      <w:pPr>
        <w:pStyle w:val="NormalIndent"/>
      </w:pPr>
      <w:r w:rsidRPr="003D3B15">
        <w:t xml:space="preserve">The Board is responsible for ensuring that management policies and directions, including this treasury policy, are being adhered to by management and staff. </w:t>
      </w:r>
    </w:p>
    <w:p w14:paraId="0F25FEFA" w14:textId="628E6BFE" w:rsidR="0058259D" w:rsidRPr="003D3B15" w:rsidRDefault="0058259D" w:rsidP="00484ACD">
      <w:pPr>
        <w:pStyle w:val="AttachmentHeading2"/>
      </w:pPr>
      <w:r w:rsidRPr="003D3B15">
        <w:t xml:space="preserve">Breach </w:t>
      </w:r>
      <w:r w:rsidRPr="00C205A0">
        <w:t>Reporting</w:t>
      </w:r>
    </w:p>
    <w:p w14:paraId="3FB37085" w14:textId="612C4338" w:rsidR="0058259D" w:rsidRPr="003D3B15" w:rsidRDefault="0058259D" w:rsidP="00484ACD">
      <w:pPr>
        <w:pStyle w:val="NormalIndent"/>
      </w:pPr>
      <w:r w:rsidRPr="003D3B15">
        <w:t xml:space="preserve">Management should ensure that the Board </w:t>
      </w:r>
      <w:r w:rsidRPr="00C205A0">
        <w:t>is made</w:t>
      </w:r>
      <w:r w:rsidRPr="003D3B15">
        <w:t xml:space="preserve"> aware of any breach or potential breach of this policy</w:t>
      </w:r>
      <w:r w:rsidRPr="00C205A0">
        <w:t xml:space="preserve"> and what actions have been taken /will be taken to rectify the </w:t>
      </w:r>
      <w:r w:rsidRPr="003D3B15">
        <w:t>breach</w:t>
      </w:r>
      <w:r w:rsidRPr="00C205A0">
        <w:t>.</w:t>
      </w:r>
    </w:p>
    <w:p w14:paraId="61F084E4" w14:textId="73CF651A" w:rsidR="0058259D" w:rsidRPr="00C205A0" w:rsidRDefault="0058259D" w:rsidP="00484ACD">
      <w:pPr>
        <w:pStyle w:val="NormalIndent"/>
      </w:pPr>
      <w:r w:rsidRPr="00C205A0">
        <w:t>DTF is also to be formally notified of any</w:t>
      </w:r>
      <w:r w:rsidRPr="003D3B15">
        <w:t xml:space="preserve"> breaches </w:t>
      </w:r>
      <w:r w:rsidRPr="00C205A0">
        <w:t xml:space="preserve">and the proposed actions to rectify the breach. </w:t>
      </w:r>
    </w:p>
    <w:p w14:paraId="63271237" w14:textId="63B004C1" w:rsidR="0058259D" w:rsidRPr="003D3B15" w:rsidRDefault="0058259D" w:rsidP="00484ACD">
      <w:pPr>
        <w:pStyle w:val="NormalIndent"/>
      </w:pPr>
      <w:r w:rsidRPr="003D3B15">
        <w:t xml:space="preserve">Significant and or </w:t>
      </w:r>
      <w:r w:rsidRPr="00C205A0">
        <w:t>systemic</w:t>
      </w:r>
      <w:r w:rsidRPr="003D3B15">
        <w:t xml:space="preserve"> breaches are reported in accordance with the Standing Directions of the </w:t>
      </w:r>
      <w:r w:rsidRPr="00C205A0">
        <w:t>Assistant Treasurer</w:t>
      </w:r>
      <w:r w:rsidR="002D61D4">
        <w:t xml:space="preserve"> – </w:t>
      </w:r>
      <w:r w:rsidRPr="003D3B15">
        <w:t xml:space="preserve">Compliance and </w:t>
      </w:r>
      <w:r w:rsidRPr="00C205A0">
        <w:t>reporting direction</w:t>
      </w:r>
      <w:r w:rsidRPr="003D3B15">
        <w:t>.</w:t>
      </w:r>
    </w:p>
    <w:p w14:paraId="6CF2BDB1" w14:textId="48097AB9" w:rsidR="0058259D" w:rsidRPr="004661D4" w:rsidRDefault="0058259D" w:rsidP="00484ACD">
      <w:pPr>
        <w:pStyle w:val="AttachmentHeading1"/>
        <w:rPr>
          <w:szCs w:val="20"/>
        </w:rPr>
      </w:pPr>
      <w:r w:rsidRPr="00BD69C4">
        <w:t>Reporting to Board and management</w:t>
      </w:r>
    </w:p>
    <w:p w14:paraId="376416DA" w14:textId="325676E8" w:rsidR="0058259D" w:rsidRPr="003D3B15" w:rsidRDefault="0058259D" w:rsidP="00484ACD">
      <w:pPr>
        <w:pStyle w:val="NormalIndent"/>
      </w:pPr>
      <w:r w:rsidRPr="003D3B15">
        <w:t xml:space="preserve">Management must report to the Board on </w:t>
      </w:r>
      <w:r w:rsidRPr="00C205A0">
        <w:t>a regular</w:t>
      </w:r>
      <w:r w:rsidRPr="003D3B15">
        <w:t xml:space="preserve"> basis concerning the treasury operations and financial risks of</w:t>
      </w:r>
      <w:r w:rsidRPr="00C205A0">
        <w:t xml:space="preserve"> </w:t>
      </w:r>
      <w:r w:rsidRPr="003D3B15">
        <w:t xml:space="preserve">[ABC]. </w:t>
      </w:r>
    </w:p>
    <w:p w14:paraId="15CD843C" w14:textId="2EB5EA4B" w:rsidR="0058259D" w:rsidRPr="003D3B15" w:rsidRDefault="0058259D" w:rsidP="00484ACD">
      <w:pPr>
        <w:pStyle w:val="NormalIndent"/>
      </w:pPr>
      <w:r w:rsidRPr="003D3B15">
        <w:t>Treasury reports provided to the Board should detail the following information:</w:t>
      </w:r>
    </w:p>
    <w:p w14:paraId="0856BFE0" w14:textId="77777777" w:rsidR="0058259D" w:rsidRPr="003D3B15" w:rsidRDefault="0058259D" w:rsidP="00484ACD">
      <w:pPr>
        <w:pStyle w:val="AttachmentBullet1"/>
      </w:pPr>
      <w:r w:rsidRPr="003D3B15">
        <w:t xml:space="preserve">borrowing levels and how these are tracking against annual borrowing limits approved by the Treasurer and planned capital expenditure detailed in the corporate plan and annual budget feeds; </w:t>
      </w:r>
      <w:r w:rsidRPr="00C205A0">
        <w:t xml:space="preserve"> </w:t>
      </w:r>
    </w:p>
    <w:p w14:paraId="030BB232" w14:textId="77777777" w:rsidR="0058259D" w:rsidRPr="003D3B15" w:rsidRDefault="0058259D" w:rsidP="00484ACD">
      <w:pPr>
        <w:pStyle w:val="AttachmentBullet1"/>
      </w:pPr>
      <w:r w:rsidRPr="003D3B15">
        <w:t>the status of financial risks faced by [ABC] and any material changes to these risks along with proposed mitigation strategies;</w:t>
      </w:r>
    </w:p>
    <w:p w14:paraId="72BFD604" w14:textId="77777777" w:rsidR="0058259D" w:rsidRPr="0025486E" w:rsidRDefault="0058259D" w:rsidP="00484ACD">
      <w:pPr>
        <w:pStyle w:val="AttachmentBullet1"/>
      </w:pPr>
      <w:r w:rsidRPr="003D3B15">
        <w:t>any likely unplanned capital expenditure requirements and whether these</w:t>
      </w:r>
      <w:r w:rsidRPr="0025486E">
        <w:t xml:space="preserve"> will require increasing the Treasurer’s approved borrowing limit for the financial year; </w:t>
      </w:r>
    </w:p>
    <w:p w14:paraId="44825DF4" w14:textId="77777777" w:rsidR="0058259D" w:rsidRPr="00FF63D7" w:rsidRDefault="0058259D" w:rsidP="00484ACD">
      <w:pPr>
        <w:pStyle w:val="AttachmentBullet1"/>
      </w:pPr>
      <w:r w:rsidRPr="0025486E">
        <w:t xml:space="preserve">cash forecasts concerning the timing of upcoming cash flows, a detailed consideration of the application of any surplus cash, </w:t>
      </w:r>
      <w:r w:rsidRPr="00FF63D7">
        <w:t xml:space="preserve">and details concerning the required composition of cash balances in transactional, at call and term deposit products; </w:t>
      </w:r>
    </w:p>
    <w:p w14:paraId="585B25D7" w14:textId="77777777" w:rsidR="0058259D" w:rsidRPr="00FF63D7" w:rsidRDefault="0058259D" w:rsidP="00484ACD">
      <w:pPr>
        <w:pStyle w:val="AttachmentBullet1"/>
      </w:pPr>
      <w:r w:rsidRPr="00FF63D7">
        <w:t xml:space="preserve">the report should also cover adherence to dealer limits and delegations as set out in this treasury policy document; </w:t>
      </w:r>
    </w:p>
    <w:p w14:paraId="3BC79EE5" w14:textId="77777777" w:rsidR="0058259D" w:rsidRPr="007119B2" w:rsidRDefault="0058259D" w:rsidP="00484ACD">
      <w:pPr>
        <w:pStyle w:val="AttachmentBullet1"/>
      </w:pPr>
      <w:r w:rsidRPr="00C374FA">
        <w:t xml:space="preserve">general details of </w:t>
      </w:r>
      <w:r w:rsidRPr="007119B2">
        <w:t xml:space="preserve">treasury transactional activities; </w:t>
      </w:r>
    </w:p>
    <w:p w14:paraId="74277F58" w14:textId="77777777" w:rsidR="0058259D" w:rsidRPr="004575D9" w:rsidRDefault="0058259D" w:rsidP="00484ACD">
      <w:pPr>
        <w:pStyle w:val="AttachmentBullet1"/>
      </w:pPr>
      <w:r w:rsidRPr="004575D9">
        <w:t xml:space="preserve">details of portfolio composition and position; </w:t>
      </w:r>
    </w:p>
    <w:p w14:paraId="2A4D501A" w14:textId="77777777" w:rsidR="0058259D" w:rsidRPr="00EA5E02" w:rsidRDefault="0058259D" w:rsidP="00484ACD">
      <w:pPr>
        <w:pStyle w:val="AttachmentBullet1"/>
      </w:pPr>
      <w:r w:rsidRPr="00765DB7">
        <w:t>strategic planning is</w:t>
      </w:r>
      <w:r w:rsidRPr="00B61114">
        <w:t xml:space="preserve">sues; </w:t>
      </w:r>
    </w:p>
    <w:p w14:paraId="7306B61B" w14:textId="77777777" w:rsidR="0058259D" w:rsidRPr="00345B1B" w:rsidRDefault="0058259D" w:rsidP="00484ACD">
      <w:pPr>
        <w:pStyle w:val="AttachmentBullet1"/>
      </w:pPr>
      <w:r w:rsidRPr="004B61FB">
        <w:t xml:space="preserve">a record of performance against measures; </w:t>
      </w:r>
    </w:p>
    <w:p w14:paraId="638520A5" w14:textId="77777777" w:rsidR="0058259D" w:rsidRPr="00345B1B" w:rsidRDefault="0058259D" w:rsidP="00484ACD">
      <w:pPr>
        <w:pStyle w:val="AttachmentBullet1"/>
      </w:pPr>
      <w:r w:rsidRPr="00345B1B">
        <w:t xml:space="preserve">exceptions or breaches to Board approved policy; </w:t>
      </w:r>
    </w:p>
    <w:p w14:paraId="05423715" w14:textId="77777777" w:rsidR="0058259D" w:rsidRPr="0089071A" w:rsidRDefault="0058259D" w:rsidP="00484ACD">
      <w:pPr>
        <w:pStyle w:val="AttachmentBullet1"/>
      </w:pPr>
      <w:r w:rsidRPr="0089071A">
        <w:t>operational issues; and</w:t>
      </w:r>
    </w:p>
    <w:p w14:paraId="5847CBA3" w14:textId="71488923" w:rsidR="0058259D" w:rsidRPr="00C205A0" w:rsidRDefault="0058259D" w:rsidP="00484ACD">
      <w:pPr>
        <w:pStyle w:val="AttachmentBullet1"/>
      </w:pPr>
      <w:r w:rsidRPr="0089071A">
        <w:t>a report concerning the measurement, monitoring and control financial arrang</w:t>
      </w:r>
      <w:r w:rsidRPr="00E11FD9">
        <w:t>ements outstanding including mark</w:t>
      </w:r>
      <w:r w:rsidRPr="00C205A0">
        <w:t>-</w:t>
      </w:r>
      <w:r w:rsidRPr="003D3B15">
        <w:t>to</w:t>
      </w:r>
      <w:r w:rsidRPr="00C205A0">
        <w:t>-</w:t>
      </w:r>
      <w:r w:rsidRPr="003D3B15">
        <w:t xml:space="preserve">market information concerning all open positions. </w:t>
      </w:r>
    </w:p>
    <w:p w14:paraId="47E2476E" w14:textId="77777777" w:rsidR="0058259D" w:rsidRPr="003D3B15" w:rsidRDefault="0058259D" w:rsidP="00484ACD">
      <w:pPr>
        <w:pStyle w:val="NormalIndent"/>
      </w:pPr>
      <w:r w:rsidRPr="003D3B15">
        <w:t>Internal audit reports provided to the Audit Committee should include:</w:t>
      </w:r>
    </w:p>
    <w:p w14:paraId="4EDB1137" w14:textId="77777777" w:rsidR="0058259D" w:rsidRPr="003D3B15" w:rsidRDefault="0058259D" w:rsidP="00484ACD">
      <w:pPr>
        <w:pStyle w:val="AttachmentBullet1"/>
      </w:pPr>
      <w:r w:rsidRPr="003D3B15">
        <w:t xml:space="preserve">a summary of financial risk management activity; </w:t>
      </w:r>
    </w:p>
    <w:p w14:paraId="4530450B" w14:textId="77777777" w:rsidR="0058259D" w:rsidRPr="0025486E" w:rsidRDefault="0058259D" w:rsidP="00484ACD">
      <w:pPr>
        <w:pStyle w:val="AttachmentBullet1"/>
      </w:pPr>
      <w:r w:rsidRPr="003D3B15">
        <w:t>an overview of portfolio com</w:t>
      </w:r>
      <w:r w:rsidRPr="0025486E">
        <w:t xml:space="preserve">position and position; </w:t>
      </w:r>
    </w:p>
    <w:p w14:paraId="67D59D92" w14:textId="77777777" w:rsidR="0058259D" w:rsidRPr="0025486E" w:rsidRDefault="0058259D" w:rsidP="00484ACD">
      <w:pPr>
        <w:pStyle w:val="AttachmentBullet1"/>
      </w:pPr>
      <w:r w:rsidRPr="0025486E">
        <w:t xml:space="preserve">strategic action plans; </w:t>
      </w:r>
    </w:p>
    <w:p w14:paraId="090ADD6F" w14:textId="77777777" w:rsidR="0058259D" w:rsidRPr="00FF63D7" w:rsidRDefault="0058259D" w:rsidP="00484ACD">
      <w:pPr>
        <w:pStyle w:val="AttachmentBullet1"/>
      </w:pPr>
      <w:r w:rsidRPr="00FF63D7">
        <w:t>performance overview of treasury function; and</w:t>
      </w:r>
    </w:p>
    <w:p w14:paraId="00DD9450" w14:textId="06C20977" w:rsidR="0058259D" w:rsidRPr="003D3B15" w:rsidRDefault="0058259D" w:rsidP="00484ACD">
      <w:pPr>
        <w:pStyle w:val="AttachmentBullet1"/>
      </w:pPr>
      <w:r w:rsidRPr="00FF63D7">
        <w:t xml:space="preserve">any exceptions or breaches to the Board approved </w:t>
      </w:r>
      <w:r w:rsidRPr="00C205A0">
        <w:t xml:space="preserve">treasury policy. </w:t>
      </w:r>
    </w:p>
    <w:p w14:paraId="4F84AC23" w14:textId="12B6B50B" w:rsidR="0058259D" w:rsidRPr="003D3B15" w:rsidRDefault="0058259D" w:rsidP="00183117">
      <w:pPr>
        <w:ind w:left="360"/>
        <w:rPr>
          <w:szCs w:val="20"/>
        </w:rPr>
      </w:pPr>
      <w:r w:rsidRPr="003D3B15">
        <w:rPr>
          <w:szCs w:val="20"/>
        </w:rPr>
        <w:br w:type="page"/>
      </w:r>
    </w:p>
    <w:p w14:paraId="645EBC7C" w14:textId="7B6BB5F9" w:rsidR="00E72EA7" w:rsidRPr="00450E9C" w:rsidRDefault="00E72EA7" w:rsidP="00E72EA7">
      <w:pPr>
        <w:pStyle w:val="GuidanceTitle"/>
      </w:pPr>
      <w:bookmarkStart w:id="40" w:name="_Toc442780672"/>
      <w:r w:rsidRPr="00450E9C">
        <w:lastRenderedPageBreak/>
        <w:t>Guidance 3.7.2.4 – Investment Management Policy</w:t>
      </w:r>
    </w:p>
    <w:p w14:paraId="2171BEC9" w14:textId="77777777" w:rsidR="00E72EA7" w:rsidRPr="00450E9C" w:rsidRDefault="00E72EA7" w:rsidP="00E72EA7">
      <w:pPr>
        <w:spacing w:before="0" w:after="0" w:line="120" w:lineRule="atLeast"/>
        <w:rPr>
          <w:sz w:val="12"/>
        </w:rPr>
      </w:pPr>
    </w:p>
    <w:tbl>
      <w:tblPr>
        <w:tblStyle w:val="Table127"/>
        <w:tblW w:w="9900" w:type="dxa"/>
        <w:tblLook w:val="0080" w:firstRow="0" w:lastRow="0" w:firstColumn="1" w:lastColumn="0" w:noHBand="0" w:noVBand="0"/>
      </w:tblPr>
      <w:tblGrid>
        <w:gridCol w:w="3119"/>
        <w:gridCol w:w="6781"/>
      </w:tblGrid>
      <w:tr w:rsidR="00E72EA7" w:rsidRPr="00450E9C" w14:paraId="30008494" w14:textId="77777777" w:rsidTr="00C11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3B0E16A" w14:textId="77777777" w:rsidR="00E72EA7" w:rsidRPr="00450E9C" w:rsidRDefault="00E72EA7" w:rsidP="00C11318">
            <w:pPr>
              <w:spacing w:before="40" w:after="40" w:line="285" w:lineRule="auto"/>
              <w:rPr>
                <w:rFonts w:cstheme="minorHAnsi"/>
                <w:b/>
                <w:sz w:val="18"/>
                <w:szCs w:val="18"/>
              </w:rPr>
            </w:pPr>
            <w:r w:rsidRPr="00450E9C">
              <w:rPr>
                <w:rFonts w:cstheme="minorHAnsi"/>
                <w:b/>
                <w:sz w:val="18"/>
                <w:szCs w:val="18"/>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53C4626B" w14:textId="47C47127" w:rsidR="00E72EA7" w:rsidRPr="00450E9C" w:rsidRDefault="00E72EA7" w:rsidP="00C11318">
            <w:pPr>
              <w:spacing w:before="80" w:after="80"/>
              <w:rPr>
                <w:rFonts w:cstheme="minorHAnsi"/>
                <w:sz w:val="18"/>
                <w:szCs w:val="18"/>
              </w:rPr>
            </w:pPr>
            <w:r w:rsidRPr="00450E9C">
              <w:rPr>
                <w:rFonts w:cstheme="minorHAnsi"/>
                <w:sz w:val="18"/>
                <w:szCs w:val="18"/>
              </w:rPr>
              <w:t>Provides information to assist with the preparation of Investment Policies which comply with the requirements of the Standing Directions.</w:t>
            </w:r>
          </w:p>
        </w:tc>
      </w:tr>
      <w:tr w:rsidR="00E72EA7" w:rsidRPr="00450E9C" w14:paraId="53ECC072" w14:textId="77777777" w:rsidTr="00C113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EEAF636" w14:textId="77777777" w:rsidR="00E72EA7" w:rsidRPr="00450E9C" w:rsidRDefault="00E72EA7" w:rsidP="00C11318">
            <w:pPr>
              <w:tabs>
                <w:tab w:val="left" w:pos="1524"/>
              </w:tabs>
              <w:spacing w:before="40" w:after="40" w:line="285" w:lineRule="auto"/>
              <w:rPr>
                <w:rFonts w:cstheme="minorHAnsi"/>
                <w:sz w:val="18"/>
                <w:szCs w:val="18"/>
              </w:rPr>
            </w:pPr>
            <w:r w:rsidRPr="00450E9C">
              <w:rPr>
                <w:rFonts w:cstheme="minorHAnsi"/>
                <w:b/>
                <w:sz w:val="18"/>
                <w:szCs w:val="18"/>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36F4444B" w14:textId="4E463EFF" w:rsidR="00E72EA7" w:rsidRPr="00450E9C" w:rsidRDefault="00023D2C" w:rsidP="00C11318">
            <w:pPr>
              <w:spacing w:before="60" w:after="60" w:line="252" w:lineRule="auto"/>
              <w:rPr>
                <w:rFonts w:cs="Times New Roman"/>
                <w:bCs/>
                <w:sz w:val="18"/>
                <w:szCs w:val="20"/>
              </w:rPr>
            </w:pPr>
            <w:r>
              <w:rPr>
                <w:rFonts w:cs="Times New Roman"/>
                <w:bCs/>
                <w:sz w:val="18"/>
                <w:szCs w:val="20"/>
              </w:rPr>
              <w:t>12 August</w:t>
            </w:r>
            <w:r w:rsidR="00A004C4">
              <w:rPr>
                <w:rFonts w:cs="Times New Roman"/>
                <w:bCs/>
                <w:sz w:val="18"/>
                <w:szCs w:val="20"/>
              </w:rPr>
              <w:t xml:space="preserve"> 2022</w:t>
            </w:r>
          </w:p>
        </w:tc>
      </w:tr>
      <w:tr w:rsidR="00E72EA7" w:rsidRPr="00450E9C" w14:paraId="0F43E63E" w14:textId="77777777" w:rsidTr="00C11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C9FAF07" w14:textId="77777777" w:rsidR="00E72EA7" w:rsidRPr="00450E9C" w:rsidRDefault="00E72EA7" w:rsidP="00C11318">
            <w:pPr>
              <w:suppressAutoHyphens/>
              <w:autoSpaceDN w:val="0"/>
              <w:spacing w:before="40" w:after="40" w:line="283" w:lineRule="auto"/>
              <w:textAlignment w:val="baseline"/>
              <w:rPr>
                <w:rFonts w:cs="Times New Roman"/>
                <w:b/>
                <w:sz w:val="18"/>
                <w:szCs w:val="20"/>
              </w:rPr>
            </w:pPr>
            <w:r w:rsidRPr="00450E9C">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550A82AC" w14:textId="50751D3F" w:rsidR="00E72EA7" w:rsidRPr="00450E9C" w:rsidRDefault="009E3EFD" w:rsidP="00C11318">
            <w:pPr>
              <w:spacing w:before="60" w:after="60" w:line="252" w:lineRule="auto"/>
              <w:rPr>
                <w:rFonts w:cs="Times New Roman"/>
                <w:bCs/>
                <w:sz w:val="18"/>
                <w:szCs w:val="20"/>
              </w:rPr>
            </w:pPr>
            <w:hyperlink r:id="rId237" w:anchor="standing-directions-2018" w:history="1">
              <w:r w:rsidR="00E72EA7" w:rsidRPr="009E3EFD">
                <w:rPr>
                  <w:rStyle w:val="Hyperlink"/>
                  <w:rFonts w:cs="Times New Roman"/>
                  <w:bCs/>
                  <w:sz w:val="18"/>
                  <w:szCs w:val="20"/>
                </w:rPr>
                <w:t>3.7.2 Treasury management, including Central Banking System</w:t>
              </w:r>
            </w:hyperlink>
          </w:p>
        </w:tc>
      </w:tr>
      <w:tr w:rsidR="00E72EA7" w:rsidRPr="00164D44" w14:paraId="07E02777" w14:textId="77777777" w:rsidTr="00C113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AE47F43" w14:textId="77777777" w:rsidR="00E72EA7" w:rsidRPr="00450E9C" w:rsidRDefault="00E72EA7" w:rsidP="00C11318">
            <w:pPr>
              <w:spacing w:before="40" w:after="40" w:line="285" w:lineRule="auto"/>
              <w:rPr>
                <w:rFonts w:cstheme="minorHAnsi"/>
                <w:sz w:val="18"/>
                <w:szCs w:val="18"/>
              </w:rPr>
            </w:pPr>
            <w:r w:rsidRPr="00450E9C">
              <w:rPr>
                <w:rFonts w:cstheme="minorHAnsi"/>
                <w:b/>
                <w:sz w:val="18"/>
                <w:szCs w:val="18"/>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6AF303A8" w14:textId="23A81B9E" w:rsidR="00E72EA7" w:rsidRPr="00164D44" w:rsidRDefault="00023D2C" w:rsidP="00C11318">
            <w:pPr>
              <w:spacing w:before="40" w:after="40" w:line="285" w:lineRule="auto"/>
              <w:rPr>
                <w:rFonts w:cstheme="minorHAnsi"/>
                <w:sz w:val="18"/>
                <w:szCs w:val="18"/>
              </w:rPr>
            </w:pPr>
            <w:r>
              <w:rPr>
                <w:rFonts w:cs="Times New Roman"/>
                <w:bCs/>
                <w:sz w:val="18"/>
                <w:szCs w:val="20"/>
              </w:rPr>
              <w:t>12 August</w:t>
            </w:r>
            <w:r w:rsidR="00A004C4">
              <w:rPr>
                <w:rFonts w:cs="Times New Roman"/>
                <w:bCs/>
                <w:sz w:val="18"/>
                <w:szCs w:val="20"/>
              </w:rPr>
              <w:t xml:space="preserve"> 2022</w:t>
            </w:r>
          </w:p>
        </w:tc>
      </w:tr>
    </w:tbl>
    <w:p w14:paraId="33073293" w14:textId="77777777" w:rsidR="00E72EA7" w:rsidRPr="00164D44" w:rsidRDefault="00E72EA7" w:rsidP="00E72EA7">
      <w:pPr>
        <w:pStyle w:val="Heading1NoNum"/>
      </w:pPr>
      <w:r w:rsidRPr="003A27B8">
        <w:t>Investment</w:t>
      </w:r>
      <w:r w:rsidRPr="00164D44">
        <w:t xml:space="preserve"> </w:t>
      </w:r>
      <w:r>
        <w:t>P</w:t>
      </w:r>
      <w:r w:rsidRPr="00164D44">
        <w:t xml:space="preserve">olicy </w:t>
      </w:r>
      <w:r>
        <w:t>(</w:t>
      </w:r>
      <w:r w:rsidRPr="00164D44">
        <w:t>statement</w:t>
      </w:r>
      <w:r>
        <w:t>)</w:t>
      </w:r>
    </w:p>
    <w:p w14:paraId="362BF3B7" w14:textId="77777777" w:rsidR="00E72EA7" w:rsidRPr="00164D44" w:rsidRDefault="00E72EA7" w:rsidP="00E72EA7">
      <w:r w:rsidRPr="00164D44">
        <w:t>An Investment policy statement sets out the framework for managing the Agency’s long</w:t>
      </w:r>
      <w:r>
        <w:noBreakHyphen/>
      </w:r>
      <w:r w:rsidRPr="00164D44">
        <w:t>term or other high</w:t>
      </w:r>
      <w:r>
        <w:noBreakHyphen/>
      </w:r>
      <w:r w:rsidRPr="00164D44">
        <w:t>risk investments. This is only applicable to Agencies with ongoing surplus investments.</w:t>
      </w:r>
    </w:p>
    <w:p w14:paraId="4F3183CE" w14:textId="77777777" w:rsidR="00E72EA7" w:rsidRDefault="00E72EA7" w:rsidP="00E72EA7">
      <w:r w:rsidRPr="00164D44">
        <w:t xml:space="preserve">The </w:t>
      </w:r>
      <w:r w:rsidRPr="00164D44">
        <w:rPr>
          <w:spacing w:val="-1"/>
        </w:rPr>
        <w:t>statement should document the Agency’s investment policy and the approach</w:t>
      </w:r>
      <w:r w:rsidRPr="00164D44">
        <w:t xml:space="preserve"> taken in managing its investments. Although the statement will vary across Agencies in its detail, there is similarity in the general content to be included. </w:t>
      </w:r>
    </w:p>
    <w:p w14:paraId="399A44E3" w14:textId="77777777" w:rsidR="00E72EA7" w:rsidRPr="00164D44" w:rsidRDefault="00E72EA7" w:rsidP="00E72EA7">
      <w:r w:rsidRPr="00164D44">
        <w:t xml:space="preserve">An example of an Investment Policy Statement is available in Attachment </w:t>
      </w:r>
      <w:r>
        <w:t>B</w:t>
      </w:r>
      <w:r w:rsidRPr="00164D44">
        <w:t>.</w:t>
      </w:r>
      <w:r w:rsidRPr="00FE293B">
        <w:t xml:space="preserve"> </w:t>
      </w:r>
      <w:r w:rsidRPr="00164D44">
        <w:t>The proposed content of the statement is described below.</w:t>
      </w:r>
    </w:p>
    <w:p w14:paraId="6E518424" w14:textId="77777777" w:rsidR="00E72EA7" w:rsidRDefault="00E72EA7" w:rsidP="00E72EA7">
      <w:pPr>
        <w:pStyle w:val="Bullet1"/>
      </w:pPr>
      <w:r w:rsidRPr="00924EDE">
        <w:rPr>
          <w:b/>
        </w:rPr>
        <w:t>Introduction and overview</w:t>
      </w:r>
      <w:r w:rsidRPr="008B1F58">
        <w:rPr>
          <w:szCs w:val="20"/>
        </w:rPr>
        <w:t xml:space="preserve"> – covering </w:t>
      </w:r>
      <w:r w:rsidRPr="003D7DBD">
        <w:t xml:space="preserve">purpose </w:t>
      </w:r>
      <w:r w:rsidRPr="008B1F58">
        <w:rPr>
          <w:szCs w:val="20"/>
        </w:rPr>
        <w:t xml:space="preserve">and </w:t>
      </w:r>
      <w:r w:rsidRPr="003D7DBD">
        <w:t>scope</w:t>
      </w:r>
      <w:r w:rsidRPr="008B1F58">
        <w:rPr>
          <w:szCs w:val="20"/>
        </w:rPr>
        <w:t xml:space="preserve">; </w:t>
      </w:r>
      <w:r w:rsidRPr="003D7DBD">
        <w:t>reference to policies or documents relevant to the investment management function</w:t>
      </w:r>
      <w:r w:rsidRPr="008B1F58">
        <w:rPr>
          <w:szCs w:val="20"/>
        </w:rPr>
        <w:t xml:space="preserve"> (e.g.</w:t>
      </w:r>
      <w:r w:rsidRPr="003D7DBD">
        <w:t xml:space="preserve"> investment powers in legislation</w:t>
      </w:r>
      <w:r w:rsidRPr="008B1F58">
        <w:rPr>
          <w:szCs w:val="20"/>
        </w:rPr>
        <w:t>,</w:t>
      </w:r>
      <w:r w:rsidRPr="003D7DBD">
        <w:t xml:space="preserve"> risk management practices</w:t>
      </w:r>
      <w:r w:rsidRPr="008B1F58">
        <w:rPr>
          <w:szCs w:val="20"/>
        </w:rPr>
        <w:t>);</w:t>
      </w:r>
      <w:r w:rsidRPr="003D7DBD">
        <w:t xml:space="preserve"> and</w:t>
      </w:r>
      <w:r w:rsidRPr="008B1F58">
        <w:rPr>
          <w:szCs w:val="20"/>
        </w:rPr>
        <w:t xml:space="preserve"> </w:t>
      </w:r>
      <w:r w:rsidRPr="003D7DBD">
        <w:t xml:space="preserve">description of the position responsible for maintaining and approving the </w:t>
      </w:r>
      <w:r w:rsidRPr="008B1F58">
        <w:rPr>
          <w:szCs w:val="20"/>
        </w:rPr>
        <w:t>policy</w:t>
      </w:r>
      <w:r w:rsidRPr="003D7DBD">
        <w:t>, the process for review and amending the policy and the frequency of review of policy.</w:t>
      </w:r>
    </w:p>
    <w:p w14:paraId="48474473" w14:textId="77777777" w:rsidR="00E72EA7" w:rsidRDefault="00E72EA7" w:rsidP="00E72EA7">
      <w:pPr>
        <w:pStyle w:val="Bullet1"/>
      </w:pPr>
      <w:r w:rsidRPr="00924EDE">
        <w:rPr>
          <w:b/>
        </w:rPr>
        <w:t>Investment objectives and strategies</w:t>
      </w:r>
      <w:r>
        <w:rPr>
          <w:szCs w:val="20"/>
        </w:rPr>
        <w:t xml:space="preserve"> – </w:t>
      </w:r>
      <w:r w:rsidRPr="008B1F58">
        <w:rPr>
          <w:szCs w:val="20"/>
        </w:rPr>
        <w:t>outlining</w:t>
      </w:r>
      <w:r w:rsidRPr="003D7DBD">
        <w:t xml:space="preserve"> the investment objectives for returns and risk that form the basis of its investment strategy</w:t>
      </w:r>
      <w:r w:rsidRPr="008B1F58">
        <w:rPr>
          <w:szCs w:val="20"/>
        </w:rPr>
        <w:t xml:space="preserve">. </w:t>
      </w:r>
      <w:r w:rsidRPr="003D7DBD">
        <w:t>Investment objectives should be set by the Responsible Body in consultation with VFMC and be consistent with the objectives of the Agency’s corporate plan.</w:t>
      </w:r>
    </w:p>
    <w:p w14:paraId="7119D4DA" w14:textId="77777777" w:rsidR="00E72EA7" w:rsidRPr="00221B45" w:rsidRDefault="00E72EA7" w:rsidP="00E72EA7">
      <w:pPr>
        <w:pStyle w:val="Bullet1"/>
      </w:pPr>
      <w:r w:rsidRPr="00924EDE">
        <w:rPr>
          <w:b/>
        </w:rPr>
        <w:t>Roles and responsibilities</w:t>
      </w:r>
      <w:r>
        <w:rPr>
          <w:szCs w:val="20"/>
        </w:rPr>
        <w:t xml:space="preserve"> – </w:t>
      </w:r>
      <w:r w:rsidRPr="003D7DBD">
        <w:t>of the parties involved in the management, control and reporting of the investment function. The parties may be some or all of the following</w:t>
      </w:r>
      <w:r>
        <w:rPr>
          <w:szCs w:val="20"/>
        </w:rPr>
        <w:t>:</w:t>
      </w:r>
      <w:r w:rsidRPr="008B1F58">
        <w:rPr>
          <w:szCs w:val="20"/>
        </w:rPr>
        <w:t xml:space="preserve"> Responsible Body, Accountable Officer, Chief Finance Officer, Investment Committee, Investment Manager, and external consultants.</w:t>
      </w:r>
    </w:p>
    <w:p w14:paraId="0707B0AD" w14:textId="755A0B8F" w:rsidR="00E72EA7" w:rsidRDefault="00E72EA7" w:rsidP="00E72EA7">
      <w:pPr>
        <w:pStyle w:val="Bullet1"/>
      </w:pPr>
      <w:r w:rsidRPr="00924EDE">
        <w:rPr>
          <w:b/>
        </w:rPr>
        <w:t>Delegation of authority</w:t>
      </w:r>
      <w:r>
        <w:rPr>
          <w:szCs w:val="20"/>
        </w:rPr>
        <w:t xml:space="preserve"> – </w:t>
      </w:r>
      <w:r w:rsidRPr="008B1F58">
        <w:rPr>
          <w:spacing w:val="-1"/>
          <w:szCs w:val="20"/>
        </w:rPr>
        <w:t>including</w:t>
      </w:r>
      <w:r w:rsidRPr="003D7DBD">
        <w:rPr>
          <w:spacing w:val="-1"/>
        </w:rPr>
        <w:t xml:space="preserve"> details of what transactions and functions are delegated, to whom, who should authorise</w:t>
      </w:r>
      <w:r w:rsidRPr="003D7DBD">
        <w:t xml:space="preserve"> various transactions or functions, and what financial or other limits shoul</w:t>
      </w:r>
      <w:r w:rsidRPr="00342AE8">
        <w:t xml:space="preserve">d apply. Refer to </w:t>
      </w:r>
      <w:hyperlink r:id="rId238" w:anchor="standing-directions-2018" w:history="1">
        <w:r w:rsidRPr="00465C6F">
          <w:rPr>
            <w:rStyle w:val="Hyperlink"/>
          </w:rPr>
          <w:t>Direction 3.3</w:t>
        </w:r>
      </w:hyperlink>
      <w:r w:rsidRPr="00465C6F">
        <w:rPr>
          <w:i/>
        </w:rPr>
        <w:t xml:space="preserve"> </w:t>
      </w:r>
      <w:r w:rsidRPr="00465C6F">
        <w:t>for requirements.</w:t>
      </w:r>
    </w:p>
    <w:p w14:paraId="4D118B87" w14:textId="77777777" w:rsidR="00E72EA7" w:rsidRPr="003D7DBD" w:rsidRDefault="00E72EA7" w:rsidP="00E72EA7">
      <w:pPr>
        <w:pStyle w:val="Bullet1"/>
        <w:keepNext/>
      </w:pPr>
      <w:r w:rsidRPr="00924EDE">
        <w:rPr>
          <w:b/>
        </w:rPr>
        <w:t>Investment risks</w:t>
      </w:r>
      <w:r w:rsidRPr="008B1F58">
        <w:rPr>
          <w:szCs w:val="20"/>
        </w:rPr>
        <w:t xml:space="preserve"> – which include</w:t>
      </w:r>
      <w:r w:rsidRPr="003D7DBD">
        <w:t>:</w:t>
      </w:r>
    </w:p>
    <w:p w14:paraId="35229A1A" w14:textId="77777777" w:rsidR="00E72EA7" w:rsidRPr="003A27B8" w:rsidRDefault="00E72EA7" w:rsidP="00E72EA7">
      <w:pPr>
        <w:pStyle w:val="Bullet2"/>
        <w:keepNext/>
      </w:pPr>
      <w:r w:rsidRPr="003A27B8">
        <w:t>liquidity risk: The risk that the Agency cannot satisfy its day to day cash flow commitments;</w:t>
      </w:r>
    </w:p>
    <w:p w14:paraId="0B7EAC0B" w14:textId="77777777" w:rsidR="00E72EA7" w:rsidRPr="003A27B8" w:rsidRDefault="00E72EA7" w:rsidP="00E72EA7">
      <w:pPr>
        <w:pStyle w:val="Bullet2"/>
        <w:keepNext/>
      </w:pPr>
      <w:r w:rsidRPr="003A27B8">
        <w:t>inflation risk: The risk that investment values fail to match inflation in the long</w:t>
      </w:r>
      <w:r w:rsidRPr="003A27B8">
        <w:noBreakHyphen/>
        <w:t>run;</w:t>
      </w:r>
    </w:p>
    <w:p w14:paraId="377EE922" w14:textId="77AE5BB4" w:rsidR="00BC45C8" w:rsidRPr="00933BCC" w:rsidRDefault="00E72EA7" w:rsidP="003972FE">
      <w:pPr>
        <w:pStyle w:val="Bullet2"/>
        <w:keepNext/>
      </w:pPr>
      <w:r w:rsidRPr="003A27B8">
        <w:t xml:space="preserve">interest rate risk: </w:t>
      </w:r>
      <w:r w:rsidRPr="00933BCC">
        <w:t>The risk that falling rates lower the earnings on cash or fixed interest securities</w:t>
      </w:r>
      <w:r w:rsidR="00DA1C96">
        <w:t xml:space="preserve">. </w:t>
      </w:r>
      <w:r w:rsidR="00DA1C96">
        <w:rPr>
          <w:spacing w:val="-1"/>
        </w:rPr>
        <w:t>Conversely, interest rate risk can also impact financial assets in a period of sharp rising interest rates</w:t>
      </w:r>
      <w:r w:rsidRPr="00933BCC">
        <w:t>; and</w:t>
      </w:r>
    </w:p>
    <w:p w14:paraId="7066AFD7" w14:textId="7AC262D8" w:rsidR="00E72EA7" w:rsidRPr="00164D44" w:rsidRDefault="00E72EA7" w:rsidP="008B0B94">
      <w:pPr>
        <w:pStyle w:val="Bullet2"/>
        <w:keepNext/>
      </w:pPr>
      <w:r w:rsidRPr="003A27B8">
        <w:t>operational</w:t>
      </w:r>
      <w:r w:rsidRPr="004661D4">
        <w:t xml:space="preserve"> risk:</w:t>
      </w:r>
      <w:r w:rsidRPr="00164D44">
        <w:t xml:space="preserve"> </w:t>
      </w:r>
      <w:r w:rsidR="003972FE" w:rsidRPr="003972FE">
        <w:t>the risk that a Public Body will suffer loss owing to the mismanagement of the investment function. These may include risks of financial loss due to error, fraud or unauthorised dealing or use of financial products.</w:t>
      </w:r>
    </w:p>
    <w:p w14:paraId="2E74CBD5" w14:textId="77777777" w:rsidR="00E72EA7" w:rsidRPr="00164D44" w:rsidRDefault="00E72EA7" w:rsidP="00E72EA7">
      <w:pPr>
        <w:pStyle w:val="NormalIndent"/>
        <w:ind w:left="283"/>
      </w:pPr>
      <w:r w:rsidRPr="00164D44">
        <w:t>Where an Agency invests through VFMC, VFMC will take measures to manage some investment risks on their behalf. These investment risks include:</w:t>
      </w:r>
    </w:p>
    <w:p w14:paraId="51BC869D" w14:textId="3B605B48" w:rsidR="00E72EA7" w:rsidRPr="00DB6BF4" w:rsidRDefault="00E72EA7" w:rsidP="00E72EA7">
      <w:pPr>
        <w:pStyle w:val="Bullet1"/>
      </w:pPr>
      <w:r w:rsidRPr="0003333A">
        <w:rPr>
          <w:b/>
          <w:bCs/>
        </w:rPr>
        <w:t>market risk</w:t>
      </w:r>
      <w:r w:rsidRPr="004661D4">
        <w:t xml:space="preserve">: </w:t>
      </w:r>
      <w:r>
        <w:rPr>
          <w:szCs w:val="20"/>
        </w:rPr>
        <w:t>t</w:t>
      </w:r>
      <w:r w:rsidRPr="008B1F58">
        <w:rPr>
          <w:szCs w:val="20"/>
        </w:rPr>
        <w:t>he</w:t>
      </w:r>
      <w:r w:rsidRPr="00DB6BF4">
        <w:t xml:space="preserve"> risk that </w:t>
      </w:r>
      <w:r w:rsidR="00B5374B">
        <w:t xml:space="preserve">asset </w:t>
      </w:r>
      <w:r w:rsidRPr="00DB6BF4">
        <w:t>prices across many markets fall in response to expectations of declining general economic conditions</w:t>
      </w:r>
      <w:r w:rsidR="00B5374B">
        <w:t xml:space="preserve"> or </w:t>
      </w:r>
      <w:r w:rsidR="00F76C0E">
        <w:t>heightened risks, e.g. geopolitical</w:t>
      </w:r>
      <w:r w:rsidRPr="00DB6BF4">
        <w:t>;</w:t>
      </w:r>
    </w:p>
    <w:p w14:paraId="488525E1" w14:textId="77777777" w:rsidR="00E72EA7" w:rsidRPr="00DB6BF4" w:rsidRDefault="00E72EA7" w:rsidP="00E72EA7">
      <w:pPr>
        <w:pStyle w:val="Bullet1"/>
      </w:pPr>
      <w:r w:rsidRPr="00924EDE">
        <w:rPr>
          <w:b/>
        </w:rPr>
        <w:t>credit risk</w:t>
      </w:r>
      <w:r w:rsidRPr="004661D4">
        <w:t xml:space="preserve">: </w:t>
      </w:r>
      <w:r>
        <w:rPr>
          <w:szCs w:val="20"/>
        </w:rPr>
        <w:t>t</w:t>
      </w:r>
      <w:r w:rsidRPr="008B1F58">
        <w:rPr>
          <w:szCs w:val="20"/>
        </w:rPr>
        <w:t>he</w:t>
      </w:r>
      <w:r w:rsidRPr="00DB6BF4">
        <w:t xml:space="preserve"> risk that a security issuer or other counterparty may fail to repay some or all of an investment;</w:t>
      </w:r>
    </w:p>
    <w:p w14:paraId="370AF158" w14:textId="77777777" w:rsidR="00E72EA7" w:rsidRPr="00DB6BF4" w:rsidRDefault="00E72EA7" w:rsidP="00E72EA7">
      <w:pPr>
        <w:pStyle w:val="Bullet1"/>
      </w:pPr>
      <w:r w:rsidRPr="00924EDE">
        <w:rPr>
          <w:b/>
        </w:rPr>
        <w:t>selection risk</w:t>
      </w:r>
      <w:r w:rsidRPr="004661D4">
        <w:t xml:space="preserve">: </w:t>
      </w:r>
      <w:r>
        <w:rPr>
          <w:szCs w:val="20"/>
        </w:rPr>
        <w:t>t</w:t>
      </w:r>
      <w:r w:rsidRPr="008B1F58">
        <w:rPr>
          <w:szCs w:val="20"/>
        </w:rPr>
        <w:t>he</w:t>
      </w:r>
      <w:r w:rsidRPr="00DB6BF4">
        <w:t xml:space="preserve"> risk of poor portfolio performance due to poor asset selection; and</w:t>
      </w:r>
    </w:p>
    <w:p w14:paraId="39D9972F" w14:textId="093648BF" w:rsidR="00E72EA7" w:rsidRPr="007C3775" w:rsidRDefault="00E72EA7" w:rsidP="00E72EA7">
      <w:pPr>
        <w:pStyle w:val="Bullet1"/>
      </w:pPr>
      <w:r w:rsidRPr="00924EDE">
        <w:rPr>
          <w:b/>
        </w:rPr>
        <w:t>concentration risk</w:t>
      </w:r>
      <w:r w:rsidRPr="004661D4">
        <w:t xml:space="preserve">: </w:t>
      </w:r>
      <w:r>
        <w:rPr>
          <w:szCs w:val="20"/>
        </w:rPr>
        <w:t>t</w:t>
      </w:r>
      <w:r w:rsidRPr="008B1F58">
        <w:rPr>
          <w:szCs w:val="20"/>
        </w:rPr>
        <w:t>he</w:t>
      </w:r>
      <w:r w:rsidRPr="00DB6BF4">
        <w:t xml:space="preserve"> risk that there is insufficient diversification between investments, investment issuers, fund</w:t>
      </w:r>
      <w:r w:rsidRPr="007C3775">
        <w:t xml:space="preserve"> managers or other characteristics which may lead to an Agency being exposed to a single economic </w:t>
      </w:r>
      <w:r w:rsidR="00F4271A">
        <w:t xml:space="preserve">or market </w:t>
      </w:r>
      <w:r w:rsidRPr="007C3775">
        <w:t xml:space="preserve">event. </w:t>
      </w:r>
    </w:p>
    <w:p w14:paraId="6B89B439" w14:textId="77777777" w:rsidR="00E72EA7" w:rsidRDefault="00E72EA7" w:rsidP="00E72EA7">
      <w:pPr>
        <w:pStyle w:val="NormalIndent"/>
        <w:ind w:left="283"/>
      </w:pPr>
      <w:r w:rsidRPr="001753CE">
        <w:t>For each investment risk, it is important to provide details of the risk, recognition, measurement, timing and objectives of risk management.</w:t>
      </w:r>
      <w:r>
        <w:t xml:space="preserve"> </w:t>
      </w:r>
    </w:p>
    <w:p w14:paraId="1CD3D9DB" w14:textId="19681EB5" w:rsidR="00E72EA7" w:rsidRDefault="00E72EA7" w:rsidP="00E72EA7">
      <w:pPr>
        <w:pStyle w:val="NormalIndent"/>
        <w:ind w:left="283"/>
      </w:pPr>
      <w:r w:rsidRPr="00924EDE">
        <w:rPr>
          <w:b/>
        </w:rPr>
        <w:lastRenderedPageBreak/>
        <w:t>External investment advisors and fund managers</w:t>
      </w:r>
      <w:r w:rsidRPr="007E41F3">
        <w:t xml:space="preserve">. </w:t>
      </w:r>
      <w:r w:rsidRPr="001753CE">
        <w:t xml:space="preserve">When the Agency has the authority or Treasurer’s approval to invest outside VFMC, this section documents the policies regarding the engagement, performance management and retention of external investment advisors/managers. </w:t>
      </w:r>
      <w:r w:rsidR="00AC28F0">
        <w:t>Client</w:t>
      </w:r>
      <w:r w:rsidR="000A396C">
        <w:t>s</w:t>
      </w:r>
      <w:r w:rsidR="00AC28F0">
        <w:t xml:space="preserve"> can </w:t>
      </w:r>
      <w:r w:rsidR="004B4ED2">
        <w:t xml:space="preserve">use the services of a specialist investment advisor to </w:t>
      </w:r>
      <w:r w:rsidR="00CC25F5">
        <w:t>compliment the relationship with VFMC</w:t>
      </w:r>
      <w:r w:rsidR="00EE17F4">
        <w:t xml:space="preserve"> to assist agencies with their investment objectives and strategic asset allocation</w:t>
      </w:r>
      <w:r w:rsidR="008251FF">
        <w:t>.</w:t>
      </w:r>
    </w:p>
    <w:p w14:paraId="065976D0" w14:textId="77777777" w:rsidR="00E72EA7" w:rsidRPr="001753CE" w:rsidRDefault="00E72EA7" w:rsidP="00E72EA7">
      <w:pPr>
        <w:pStyle w:val="NormalIndent"/>
        <w:ind w:left="283"/>
      </w:pPr>
      <w:r w:rsidRPr="00924EDE">
        <w:rPr>
          <w:b/>
        </w:rPr>
        <w:t>Internal control systems</w:t>
      </w:r>
      <w:r>
        <w:t xml:space="preserve"> – </w:t>
      </w:r>
      <w:r w:rsidRPr="001753CE">
        <w:t xml:space="preserve">the nature and extent of the control environment is driven by the type and value of the investments. </w:t>
      </w:r>
      <w:r w:rsidRPr="001753CE">
        <w:rPr>
          <w:spacing w:val="-2"/>
        </w:rPr>
        <w:t xml:space="preserve">The </w:t>
      </w:r>
      <w:r w:rsidRPr="001753CE">
        <w:t>statement should prescribe an appropriate internal control environment that includes the following features:</w:t>
      </w:r>
    </w:p>
    <w:p w14:paraId="312FAB48" w14:textId="77777777" w:rsidR="00E72EA7" w:rsidRDefault="00E72EA7" w:rsidP="00E72EA7">
      <w:pPr>
        <w:pStyle w:val="Bullet1"/>
      </w:pPr>
      <w:r w:rsidRPr="001753CE">
        <w:t xml:space="preserve">a clear definition of the role of Internal Audit, the frequency of audits and to whom the results are conveyed; </w:t>
      </w:r>
    </w:p>
    <w:p w14:paraId="0CCAB8F5" w14:textId="77777777" w:rsidR="00E72EA7" w:rsidRDefault="00E72EA7" w:rsidP="00E72EA7">
      <w:pPr>
        <w:pStyle w:val="Bullet1"/>
      </w:pPr>
      <w:r w:rsidRPr="001753CE">
        <w:t xml:space="preserve">adequate operational policies that reasonably ensure that: </w:t>
      </w:r>
      <w:r w:rsidRPr="001753CE">
        <w:rPr>
          <w:i/>
        </w:rPr>
        <w:t>Directions</w:t>
      </w:r>
      <w:r w:rsidRPr="001753CE">
        <w:t xml:space="preserve">, </w:t>
      </w:r>
      <w:r w:rsidRPr="001753CE">
        <w:rPr>
          <w:i/>
        </w:rPr>
        <w:t>Instructions</w:t>
      </w:r>
      <w:r w:rsidRPr="001753CE">
        <w:t xml:space="preserve"> and the </w:t>
      </w:r>
      <w:r w:rsidRPr="001753CE">
        <w:rPr>
          <w:i/>
        </w:rPr>
        <w:t>Investment Policy Statement</w:t>
      </w:r>
      <w:r w:rsidRPr="001753CE">
        <w:t xml:space="preserve"> are not breached and that DTF should be contacted verbally and in writing of any breaches; risks are being identified, measured and evaluated regularly; adequate segregation of duties to ensure that the risk of error or fraud in the investment management process is minimised, and there is an enhanced probability for the discovery of error or fraud; and management policies and Directions are being adhered to;</w:t>
      </w:r>
    </w:p>
    <w:p w14:paraId="582653A3" w14:textId="77777777" w:rsidR="00E72EA7" w:rsidRDefault="00E72EA7" w:rsidP="00E72EA7">
      <w:pPr>
        <w:pStyle w:val="Bullet1"/>
      </w:pPr>
      <w:r w:rsidRPr="001753CE">
        <w:t>robust investment processes and compliance structures are in place; and</w:t>
      </w:r>
    </w:p>
    <w:p w14:paraId="51637CBD" w14:textId="77777777" w:rsidR="00E72EA7" w:rsidRPr="001753CE" w:rsidRDefault="00E72EA7" w:rsidP="00E72EA7">
      <w:pPr>
        <w:pStyle w:val="Bullet1"/>
      </w:pPr>
      <w:r w:rsidRPr="001753CE">
        <w:t>accounting and information systems are appropriate to task and error free.</w:t>
      </w:r>
    </w:p>
    <w:p w14:paraId="70B54768" w14:textId="63CF8479" w:rsidR="00E72EA7" w:rsidRPr="001753CE" w:rsidRDefault="00E72EA7" w:rsidP="00E72EA7">
      <w:r w:rsidRPr="00AF4A42">
        <w:rPr>
          <w:b/>
          <w:szCs w:val="20"/>
        </w:rPr>
        <w:t>Permitted investment list</w:t>
      </w:r>
      <w:r>
        <w:rPr>
          <w:szCs w:val="20"/>
        </w:rPr>
        <w:t xml:space="preserve"> – </w:t>
      </w:r>
      <w:r w:rsidRPr="001753CE">
        <w:rPr>
          <w:szCs w:val="20"/>
        </w:rPr>
        <w:t>t</w:t>
      </w:r>
      <w:r w:rsidRPr="001753CE">
        <w:rPr>
          <w:spacing w:val="-3"/>
          <w:szCs w:val="20"/>
        </w:rPr>
        <w:t>he</w:t>
      </w:r>
      <w:r w:rsidRPr="001753CE">
        <w:rPr>
          <w:spacing w:val="-3"/>
        </w:rPr>
        <w:t xml:space="preserve"> Responsible Body may wish to provide limits on approved investments</w:t>
      </w:r>
      <w:r>
        <w:rPr>
          <w:spacing w:val="-3"/>
        </w:rPr>
        <w:t xml:space="preserve">. </w:t>
      </w:r>
      <w:r w:rsidRPr="001753CE">
        <w:rPr>
          <w:spacing w:val="-3"/>
        </w:rPr>
        <w:t xml:space="preserve"> </w:t>
      </w:r>
      <w:r w:rsidRPr="001753CE">
        <w:rPr>
          <w:spacing w:val="-2"/>
        </w:rPr>
        <w:t>The aim of including such a list in the Statement is to ensure that</w:t>
      </w:r>
      <w:r w:rsidRPr="001753CE">
        <w:t xml:space="preserve"> employees </w:t>
      </w:r>
      <w:r>
        <w:t>or the investment manager is</w:t>
      </w:r>
      <w:r w:rsidRPr="001753CE">
        <w:t xml:space="preserve"> explicitly aware of the investment products and arrangements that may be undertaken, and those not permitted. </w:t>
      </w:r>
    </w:p>
    <w:p w14:paraId="75815E6F" w14:textId="77777777" w:rsidR="00E72EA7" w:rsidRPr="001753CE" w:rsidRDefault="00E72EA7" w:rsidP="00E72EA7">
      <w:r w:rsidRPr="00AF4A42">
        <w:rPr>
          <w:b/>
        </w:rPr>
        <w:t>Reporting and monitoring process</w:t>
      </w:r>
      <w:r>
        <w:t xml:space="preserve"> – </w:t>
      </w:r>
      <w:r w:rsidRPr="001753CE">
        <w:t>i</w:t>
      </w:r>
      <w:r w:rsidRPr="001753CE">
        <w:rPr>
          <w:spacing w:val="-2"/>
        </w:rPr>
        <w:t>t is common for the Responsible Body to receive a detailed investment report on a quarterly</w:t>
      </w:r>
      <w:r w:rsidRPr="001753CE">
        <w:t xml:space="preserve"> basis and summary investment data on a monthly basis. Agencies investing through VFMC will receive comprehensive reporting on a monthly, quarterly, and annual basis. More frequent investment reporting may </w:t>
      </w:r>
      <w:r w:rsidRPr="001753CE">
        <w:rPr>
          <w:spacing w:val="-2"/>
        </w:rPr>
        <w:t>be necessary when the investment environment or operational circumstances dictate that this would be prudent</w:t>
      </w:r>
      <w:r w:rsidRPr="001753CE">
        <w:t>. Reporting requirements could include a comparison of investment performance against relevant benchmarks.</w:t>
      </w:r>
    </w:p>
    <w:p w14:paraId="7F10B9B0" w14:textId="77777777" w:rsidR="00E72EA7" w:rsidRPr="00164D44" w:rsidRDefault="00E72EA7" w:rsidP="00E72EA7">
      <w:pPr>
        <w:pStyle w:val="Heading1NoNum"/>
      </w:pPr>
      <w:r w:rsidRPr="00164D44">
        <w:t xml:space="preserve">Other relevant information </w:t>
      </w:r>
    </w:p>
    <w:p w14:paraId="3FB08E66" w14:textId="0D3E362F" w:rsidR="00E72EA7" w:rsidRPr="00164D44" w:rsidRDefault="00E72EA7" w:rsidP="00E72EA7">
      <w:r w:rsidRPr="00164D44">
        <w:t>Queries in relation to this material should be directed to:</w:t>
      </w:r>
    </w:p>
    <w:p w14:paraId="7353A376" w14:textId="269CECC5" w:rsidR="00E72EA7" w:rsidRPr="00FB301A" w:rsidRDefault="00E72EA7" w:rsidP="00E72EA7">
      <w:pPr>
        <w:pStyle w:val="NormalIndent"/>
        <w:ind w:left="807"/>
      </w:pPr>
      <w:r>
        <w:t xml:space="preserve">Executive </w:t>
      </w:r>
      <w:r w:rsidRPr="00FB301A">
        <w:t>Director, Financial Assets and Liabilities</w:t>
      </w:r>
      <w:r>
        <w:br/>
      </w:r>
      <w:r w:rsidRPr="00FB301A">
        <w:t>Department of Treasury and Finance</w:t>
      </w:r>
      <w:r>
        <w:br/>
      </w:r>
      <w:r w:rsidRPr="00FB301A">
        <w:t>Level 5, 1 Treasury Place</w:t>
      </w:r>
      <w:r>
        <w:br/>
      </w:r>
      <w:r w:rsidRPr="00FB301A">
        <w:t>MELBOURNE  VIC 3002</w:t>
      </w:r>
      <w:r w:rsidR="007479F0">
        <w:br/>
        <w:t>Email: bernard.gastin@dtf.vic.gov.au</w:t>
      </w:r>
      <w:r>
        <w:br/>
      </w:r>
      <w:r w:rsidRPr="00613E42">
        <w:t>Tel: 03 7005 9229</w:t>
      </w:r>
    </w:p>
    <w:p w14:paraId="6AB2DFD9" w14:textId="77777777" w:rsidR="00E72EA7" w:rsidRPr="00164D44" w:rsidRDefault="00E72EA7" w:rsidP="00E72EA7">
      <w:pPr>
        <w:spacing w:line="240" w:lineRule="exact"/>
        <w:ind w:left="807"/>
      </w:pPr>
    </w:p>
    <w:p w14:paraId="2FCCACAF" w14:textId="580EA58E" w:rsidR="0058259D" w:rsidRPr="004C22F9" w:rsidRDefault="0058259D" w:rsidP="004661D4">
      <w:pPr>
        <w:pStyle w:val="Heading1"/>
      </w:pPr>
      <w:r w:rsidRPr="004C22F9">
        <w:rPr>
          <w:b/>
        </w:rPr>
        <w:t xml:space="preserve">Attachment B – Investment Policy </w:t>
      </w:r>
      <w:r w:rsidR="00183117" w:rsidRPr="004C22F9">
        <w:rPr>
          <w:b/>
        </w:rPr>
        <w:t xml:space="preserve">Statement </w:t>
      </w:r>
      <w:r w:rsidRPr="004C22F9">
        <w:rPr>
          <w:b/>
        </w:rPr>
        <w:t>Example</w:t>
      </w:r>
    </w:p>
    <w:p w14:paraId="5A09739D" w14:textId="414D41FA" w:rsidR="0058259D" w:rsidRPr="003D3B15" w:rsidRDefault="0058259D" w:rsidP="004661D4">
      <w:pPr>
        <w:rPr>
          <w:szCs w:val="20"/>
        </w:rPr>
      </w:pPr>
      <w:r w:rsidRPr="003D3B15">
        <w:rPr>
          <w:szCs w:val="20"/>
        </w:rPr>
        <w:t xml:space="preserve">In this </w:t>
      </w:r>
      <w:r w:rsidRPr="00183117">
        <w:rPr>
          <w:szCs w:val="20"/>
        </w:rPr>
        <w:t xml:space="preserve">illustrative </w:t>
      </w:r>
      <w:r w:rsidRPr="003D3B15">
        <w:rPr>
          <w:szCs w:val="20"/>
        </w:rPr>
        <w:t xml:space="preserve">example, the </w:t>
      </w:r>
      <w:r w:rsidRPr="00183117">
        <w:rPr>
          <w:szCs w:val="20"/>
        </w:rPr>
        <w:t>agency [ABC] has</w:t>
      </w:r>
      <w:r w:rsidRPr="003D3B15">
        <w:rPr>
          <w:szCs w:val="20"/>
        </w:rPr>
        <w:t xml:space="preserve"> a </w:t>
      </w:r>
      <w:r w:rsidRPr="00183117">
        <w:rPr>
          <w:szCs w:val="20"/>
        </w:rPr>
        <w:t>long-</w:t>
      </w:r>
      <w:r w:rsidRPr="003D3B15">
        <w:rPr>
          <w:szCs w:val="20"/>
        </w:rPr>
        <w:t>term investment portfolio with VFMC via one or more of its funds</w:t>
      </w:r>
      <w:r w:rsidR="00E30394">
        <w:rPr>
          <w:szCs w:val="20"/>
        </w:rPr>
        <w:t xml:space="preserve"> and fund</w:t>
      </w:r>
      <w:r w:rsidR="00866D64">
        <w:rPr>
          <w:szCs w:val="20"/>
        </w:rPr>
        <w:t>s in</w:t>
      </w:r>
      <w:r w:rsidRPr="00183117">
        <w:rPr>
          <w:szCs w:val="20"/>
        </w:rPr>
        <w:t xml:space="preserve"> the CBS (</w:t>
      </w:r>
      <w:r w:rsidR="00A976A6">
        <w:rPr>
          <w:szCs w:val="20"/>
        </w:rPr>
        <w:t xml:space="preserve">e.g. </w:t>
      </w:r>
      <w:r w:rsidRPr="00183117">
        <w:rPr>
          <w:szCs w:val="20"/>
        </w:rPr>
        <w:t xml:space="preserve">in a </w:t>
      </w:r>
      <w:r w:rsidR="00E30394">
        <w:rPr>
          <w:szCs w:val="20"/>
        </w:rPr>
        <w:t xml:space="preserve">CBA, NAB or </w:t>
      </w:r>
      <w:r w:rsidRPr="00183117">
        <w:rPr>
          <w:szCs w:val="20"/>
        </w:rPr>
        <w:t>Westpac bank account)</w:t>
      </w:r>
      <w:r w:rsidR="00E30394">
        <w:rPr>
          <w:szCs w:val="20"/>
        </w:rPr>
        <w:t>.</w:t>
      </w:r>
      <w:r w:rsidRPr="00183117">
        <w:rPr>
          <w:szCs w:val="20"/>
        </w:rPr>
        <w:t xml:space="preserve"> </w:t>
      </w:r>
    </w:p>
    <w:p w14:paraId="37A53729" w14:textId="4BE8FCF2" w:rsidR="0058259D" w:rsidRPr="00521117" w:rsidRDefault="0058259D" w:rsidP="0058259D">
      <w:pPr>
        <w:keepNext/>
        <w:spacing w:before="120" w:after="120"/>
        <w:jc w:val="center"/>
        <w:rPr>
          <w:b/>
          <w:color w:val="4D4D4D"/>
          <w:sz w:val="22"/>
        </w:rPr>
      </w:pPr>
      <w:r w:rsidRPr="00521117">
        <w:rPr>
          <w:b/>
          <w:color w:val="4D4D4D"/>
          <w:sz w:val="22"/>
        </w:rPr>
        <w:t xml:space="preserve">Public Sector Agency [ABC] Investment Policy </w:t>
      </w:r>
      <w:r w:rsidR="00183117" w:rsidRPr="00521117">
        <w:rPr>
          <w:b/>
          <w:color w:val="4D4D4D"/>
          <w:sz w:val="22"/>
        </w:rPr>
        <w:t>S</w:t>
      </w:r>
      <w:r w:rsidRPr="00521117">
        <w:rPr>
          <w:b/>
          <w:color w:val="4D4D4D"/>
          <w:sz w:val="22"/>
        </w:rPr>
        <w:t>tatement</w:t>
      </w:r>
      <w:r w:rsidR="004C22F9">
        <w:rPr>
          <w:b/>
          <w:color w:val="4D4D4D"/>
          <w:sz w:val="22"/>
        </w:rPr>
        <w:t xml:space="preserve"> -</w:t>
      </w:r>
      <w:r w:rsidRPr="00521117">
        <w:rPr>
          <w:b/>
          <w:color w:val="4D4D4D"/>
          <w:sz w:val="22"/>
        </w:rPr>
        <w:t xml:space="preserve"> Ma</w:t>
      </w:r>
      <w:r w:rsidR="004C22F9">
        <w:rPr>
          <w:b/>
          <w:color w:val="4D4D4D"/>
          <w:sz w:val="22"/>
        </w:rPr>
        <w:t>y</w:t>
      </w:r>
      <w:r w:rsidRPr="00521117">
        <w:rPr>
          <w:b/>
          <w:color w:val="4D4D4D"/>
          <w:sz w:val="22"/>
        </w:rPr>
        <w:t xml:space="preserve"> 20</w:t>
      </w:r>
      <w:r w:rsidR="00E30394">
        <w:rPr>
          <w:b/>
          <w:color w:val="4D4D4D"/>
          <w:sz w:val="22"/>
        </w:rPr>
        <w:t>22</w:t>
      </w:r>
    </w:p>
    <w:p w14:paraId="5841F3AA" w14:textId="77777777" w:rsidR="0058259D" w:rsidRPr="0027351E" w:rsidRDefault="0058259D" w:rsidP="000B15FD">
      <w:pPr>
        <w:pStyle w:val="AttachmentHeading1"/>
        <w:numPr>
          <w:ilvl w:val="0"/>
          <w:numId w:val="71"/>
        </w:numPr>
      </w:pPr>
      <w:r w:rsidRPr="0027351E">
        <w:t>Introduction and overview</w:t>
      </w:r>
    </w:p>
    <w:p w14:paraId="752D9D71" w14:textId="77777777" w:rsidR="0058259D" w:rsidRPr="003D3B15" w:rsidRDefault="0058259D" w:rsidP="0027351E">
      <w:pPr>
        <w:pStyle w:val="AttachmentHeading2"/>
      </w:pPr>
      <w:r w:rsidRPr="003D3B15">
        <w:t>Purpose</w:t>
      </w:r>
    </w:p>
    <w:p w14:paraId="71FDEC56" w14:textId="77777777" w:rsidR="0058259D" w:rsidRPr="00183117" w:rsidRDefault="0058259D" w:rsidP="0027351E">
      <w:pPr>
        <w:pStyle w:val="NormalIndent"/>
      </w:pPr>
      <w:r w:rsidRPr="00183117">
        <w:t xml:space="preserve">The purpose of this Investment Policy Statement is to provide a framework for the investment management function of [ABC]. This includes the relationship between [ABC], VFMC, TCV, DTF and approved private financial institutions and advisers specified in this document. </w:t>
      </w:r>
    </w:p>
    <w:p w14:paraId="35609BD9" w14:textId="77777777" w:rsidR="0058259D" w:rsidRPr="003D3B15" w:rsidRDefault="0058259D" w:rsidP="00E71DE5">
      <w:pPr>
        <w:pStyle w:val="AttachmentHeading2"/>
      </w:pPr>
      <w:r w:rsidRPr="003D3B15">
        <w:t>Scope</w:t>
      </w:r>
    </w:p>
    <w:p w14:paraId="5647B05E" w14:textId="77777777" w:rsidR="0058259D" w:rsidRPr="00183117" w:rsidRDefault="0058259D" w:rsidP="0027351E">
      <w:pPr>
        <w:pStyle w:val="NormalIndent"/>
      </w:pPr>
      <w:r w:rsidRPr="00183117">
        <w:t>This Investment Policy Statement and the guidelines within it apply to all:</w:t>
      </w:r>
    </w:p>
    <w:p w14:paraId="1745EC81" w14:textId="1B6564BE" w:rsidR="0058259D" w:rsidRPr="00521117" w:rsidRDefault="0058259D" w:rsidP="00E71DE5">
      <w:pPr>
        <w:pStyle w:val="AttachmentBullet1"/>
      </w:pPr>
      <w:r w:rsidRPr="00521117">
        <w:t>investments held with VFMC</w:t>
      </w:r>
      <w:r w:rsidR="007F3C3C">
        <w:t xml:space="preserve">, </w:t>
      </w:r>
      <w:r w:rsidR="007F3C3C" w:rsidRPr="00183117">
        <w:rPr>
          <w:szCs w:val="20"/>
        </w:rPr>
        <w:t>funds in the CBS</w:t>
      </w:r>
      <w:r w:rsidRPr="00521117">
        <w:t xml:space="preserve"> and TCV; and</w:t>
      </w:r>
    </w:p>
    <w:p w14:paraId="708EC8FB" w14:textId="77F2DFBB" w:rsidR="0058259D" w:rsidRPr="004661D4" w:rsidRDefault="0058259D" w:rsidP="00E71DE5">
      <w:pPr>
        <w:pStyle w:val="AttachmentBullet1"/>
      </w:pPr>
      <w:r w:rsidRPr="00521117">
        <w:t xml:space="preserve">any other investments approved by the relevant Minister and the </w:t>
      </w:r>
      <w:r w:rsidR="00546111">
        <w:t xml:space="preserve">Assistant </w:t>
      </w:r>
      <w:r w:rsidRPr="00521117">
        <w:t>Treasurer as suitable for use by [ABC].</w:t>
      </w:r>
    </w:p>
    <w:p w14:paraId="30C14743" w14:textId="77777777" w:rsidR="0058259D" w:rsidRPr="003D3B15" w:rsidRDefault="0058259D" w:rsidP="00E71DE5">
      <w:pPr>
        <w:pStyle w:val="AttachmentHeading2"/>
      </w:pPr>
      <w:r w:rsidRPr="003D3B15">
        <w:lastRenderedPageBreak/>
        <w:t>Other relevant documents</w:t>
      </w:r>
    </w:p>
    <w:p w14:paraId="01D79568" w14:textId="77777777" w:rsidR="0058259D" w:rsidRPr="00183117" w:rsidRDefault="0058259D" w:rsidP="00521117">
      <w:pPr>
        <w:ind w:left="426"/>
        <w:rPr>
          <w:rFonts w:cstheme="minorHAnsi"/>
          <w:szCs w:val="20"/>
        </w:rPr>
      </w:pPr>
      <w:r w:rsidRPr="00183117">
        <w:rPr>
          <w:rFonts w:cstheme="minorHAnsi"/>
          <w:szCs w:val="20"/>
        </w:rPr>
        <w:t>This document should be read in conjunction with the following legislation as it applies to the operations of [insert Public Body name]:</w:t>
      </w:r>
    </w:p>
    <w:p w14:paraId="468B75DF" w14:textId="77777777" w:rsidR="0058259D" w:rsidRPr="00521117" w:rsidRDefault="0058259D" w:rsidP="00E71DE5">
      <w:pPr>
        <w:pStyle w:val="AttachmentBullet1"/>
      </w:pPr>
      <w:r w:rsidRPr="00521117">
        <w:t xml:space="preserve">The Standing Directions of the Assistant Treasurer, especially Direction 3.7.2;  </w:t>
      </w:r>
    </w:p>
    <w:p w14:paraId="6F35C39A" w14:textId="77777777" w:rsidR="0058259D" w:rsidRPr="00521117" w:rsidRDefault="0058259D" w:rsidP="00E71DE5">
      <w:pPr>
        <w:pStyle w:val="AttachmentBullet1"/>
      </w:pPr>
      <w:r w:rsidRPr="00521117">
        <w:rPr>
          <w:i/>
        </w:rPr>
        <w:t>Borrowing and Investment Powers Act 1987</w:t>
      </w:r>
      <w:r w:rsidRPr="00521117">
        <w:t xml:space="preserve"> and Orders in Council re approved manner of investments;</w:t>
      </w:r>
    </w:p>
    <w:p w14:paraId="7C9DE8BF" w14:textId="77777777" w:rsidR="0058259D" w:rsidRPr="00521117" w:rsidRDefault="0058259D" w:rsidP="00E71DE5">
      <w:pPr>
        <w:pStyle w:val="AttachmentBullet1"/>
      </w:pPr>
      <w:r w:rsidRPr="00521117">
        <w:t>establishing legislation;</w:t>
      </w:r>
    </w:p>
    <w:p w14:paraId="50F6E6B0" w14:textId="77777777" w:rsidR="0058259D" w:rsidRPr="00521117" w:rsidRDefault="0058259D" w:rsidP="00E71DE5">
      <w:pPr>
        <w:pStyle w:val="AttachmentBullet1"/>
      </w:pPr>
      <w:r w:rsidRPr="00521117">
        <w:rPr>
          <w:i/>
        </w:rPr>
        <w:t>Treasury Corporation of Victoria Act 1992</w:t>
      </w:r>
      <w:r w:rsidRPr="00521117">
        <w:t>;</w:t>
      </w:r>
    </w:p>
    <w:p w14:paraId="6E29BEDA" w14:textId="443CA3AF" w:rsidR="001A0A64" w:rsidRDefault="0058259D" w:rsidP="00E71DE5">
      <w:pPr>
        <w:pStyle w:val="AttachmentBullet1"/>
      </w:pPr>
      <w:r w:rsidRPr="00521117">
        <w:rPr>
          <w:i/>
        </w:rPr>
        <w:t>Victorian Funds Management Corporation Act 1994</w:t>
      </w:r>
      <w:r w:rsidRPr="00521117">
        <w:t>;</w:t>
      </w:r>
    </w:p>
    <w:p w14:paraId="33CDA8CF" w14:textId="3D07C38A" w:rsidR="001A0A64" w:rsidRDefault="00783E19" w:rsidP="001A0A64">
      <w:pPr>
        <w:pStyle w:val="AttachmentBullet1"/>
      </w:pPr>
      <w:r>
        <w:t xml:space="preserve">The </w:t>
      </w:r>
      <w:r w:rsidR="00D268FB">
        <w:t>Government</w:t>
      </w:r>
      <w:r>
        <w:t>’s</w:t>
      </w:r>
      <w:r w:rsidR="00D268FB">
        <w:t xml:space="preserve"> </w:t>
      </w:r>
      <w:r w:rsidR="001A0A64">
        <w:t>Centralised Banking, Treasur</w:t>
      </w:r>
      <w:r w:rsidR="00E30394">
        <w:t>y</w:t>
      </w:r>
      <w:r w:rsidR="001A0A64">
        <w:t xml:space="preserve"> and Investment Policy; and</w:t>
      </w:r>
    </w:p>
    <w:p w14:paraId="4209C69E" w14:textId="77777777" w:rsidR="0058259D" w:rsidRPr="00521117" w:rsidRDefault="0058259D" w:rsidP="00E71DE5">
      <w:pPr>
        <w:pStyle w:val="AttachmentBullet1"/>
      </w:pPr>
      <w:r w:rsidRPr="00521117">
        <w:rPr>
          <w:i/>
        </w:rPr>
        <w:t>Audit Act 1994</w:t>
      </w:r>
      <w:r w:rsidRPr="00521117">
        <w:t>.</w:t>
      </w:r>
    </w:p>
    <w:p w14:paraId="2B3759C0" w14:textId="77777777" w:rsidR="0058259D" w:rsidRPr="003D3B15" w:rsidRDefault="0058259D" w:rsidP="00E71DE5">
      <w:pPr>
        <w:pStyle w:val="AttachmentHeading2"/>
      </w:pPr>
      <w:r w:rsidRPr="003D3B15">
        <w:t>Maintenance of the Investment Policy Statement</w:t>
      </w:r>
    </w:p>
    <w:p w14:paraId="21BAF404" w14:textId="65604D42" w:rsidR="00942711" w:rsidRPr="00490100" w:rsidRDefault="0058259D" w:rsidP="00924EDE">
      <w:pPr>
        <w:pStyle w:val="BodyText"/>
        <w:spacing w:before="110"/>
        <w:ind w:left="425" w:right="1084"/>
      </w:pPr>
      <w:r w:rsidRPr="003960F3">
        <w:rPr>
          <w:sz w:val="20"/>
        </w:rPr>
        <w:t>The Accountable Officer (normally the Chief Finance Officer) is responsible for maintaining and supervising compliance with this Investment Policy Statement. The Policy and any amendments must be approved by the Board. Following Board approval of this Investment Policy Statement, it must be available to the [Portfolio Department X] and DTF for review upon request. The Policy will be reviewed by [ABC] at least annually</w:t>
      </w:r>
      <w:r w:rsidR="007E339D" w:rsidRPr="007E339D">
        <w:rPr>
          <w:sz w:val="20"/>
          <w:szCs w:val="20"/>
        </w:rPr>
        <w:t xml:space="preserve"> </w:t>
      </w:r>
      <w:r w:rsidR="00942711" w:rsidRPr="007E339D">
        <w:rPr>
          <w:sz w:val="20"/>
          <w:szCs w:val="20"/>
        </w:rPr>
        <w:t>and will be made available to VFMC if ABC is a client.</w:t>
      </w:r>
    </w:p>
    <w:p w14:paraId="58FA970B" w14:textId="77777777" w:rsidR="0058259D" w:rsidRPr="00E71DE5" w:rsidRDefault="0058259D" w:rsidP="00E71DE5">
      <w:pPr>
        <w:pStyle w:val="NormalIndent"/>
        <w:rPr>
          <w:i/>
        </w:rPr>
      </w:pPr>
      <w:r w:rsidRPr="00E71DE5">
        <w:rPr>
          <w:i/>
        </w:rPr>
        <w:t xml:space="preserve">Note: The Instructions supporting the Standing Directions 2018 requires the Accountable Officer to consult with DTF as part of the Board approval process for new or material changes to an Investment policy. </w:t>
      </w:r>
    </w:p>
    <w:p w14:paraId="20816ADF" w14:textId="77777777" w:rsidR="0058259D" w:rsidRPr="004661D4" w:rsidRDefault="0058259D" w:rsidP="00E71DE5">
      <w:pPr>
        <w:pStyle w:val="AttachmentHeading1"/>
      </w:pPr>
      <w:r w:rsidRPr="004661D4">
        <w:t xml:space="preserve">Investment objectives </w:t>
      </w:r>
    </w:p>
    <w:p w14:paraId="29CAC027" w14:textId="0FBEF655" w:rsidR="00573DFE" w:rsidRPr="00573DFE" w:rsidRDefault="00573DFE" w:rsidP="00573DFE">
      <w:pPr>
        <w:pStyle w:val="AttachmentHeading1"/>
        <w:numPr>
          <w:ilvl w:val="0"/>
          <w:numId w:val="0"/>
        </w:numPr>
        <w:ind w:left="425"/>
        <w:rPr>
          <w:b w:val="0"/>
          <w:i/>
          <w:sz w:val="20"/>
        </w:rPr>
      </w:pPr>
      <w:r w:rsidRPr="00573DFE">
        <w:rPr>
          <w:b w:val="0"/>
          <w:i/>
          <w:sz w:val="20"/>
        </w:rPr>
        <w:t xml:space="preserve">Investment objectives to include the purpose and investment time frame for the portfolio. If ABC is eligible to claim franking credits, this should be referenced, as well as any liquidity requirements and ABC’s approach to managing a spending rule and </w:t>
      </w:r>
      <w:r w:rsidR="00BF367C">
        <w:rPr>
          <w:b w:val="0"/>
          <w:i/>
          <w:sz w:val="20"/>
        </w:rPr>
        <w:t xml:space="preserve">the organisation’s </w:t>
      </w:r>
      <w:r w:rsidRPr="00573DFE">
        <w:rPr>
          <w:b w:val="0"/>
          <w:i/>
          <w:sz w:val="20"/>
        </w:rPr>
        <w:t>ongoing distribution reinvestment</w:t>
      </w:r>
      <w:r w:rsidR="00BF367C">
        <w:rPr>
          <w:b w:val="0"/>
          <w:i/>
          <w:sz w:val="20"/>
        </w:rPr>
        <w:t xml:space="preserve"> plan</w:t>
      </w:r>
      <w:r w:rsidRPr="00573DFE">
        <w:rPr>
          <w:b w:val="0"/>
          <w:i/>
          <w:sz w:val="20"/>
        </w:rPr>
        <w:t>.</w:t>
      </w:r>
    </w:p>
    <w:p w14:paraId="1FEDB9BE" w14:textId="00B40962" w:rsidR="0058259D" w:rsidRPr="00183117" w:rsidRDefault="0058259D" w:rsidP="00E71DE5">
      <w:pPr>
        <w:pStyle w:val="NormalIndent"/>
      </w:pPr>
      <w:r w:rsidRPr="00183117">
        <w:t>The investment objectives of [ABC] are as follows:</w:t>
      </w:r>
    </w:p>
    <w:p w14:paraId="7DFB617F" w14:textId="3A80D144" w:rsidR="0058259D" w:rsidRPr="00521117" w:rsidRDefault="0058259D" w:rsidP="00E71DE5">
      <w:pPr>
        <w:pStyle w:val="AttachmentBullet1"/>
      </w:pPr>
      <w:r w:rsidRPr="004C22F9">
        <w:rPr>
          <w:b/>
        </w:rPr>
        <w:t>return</w:t>
      </w:r>
      <w:r w:rsidRPr="00521117">
        <w:t>: To maintain a return objective of [e.g. CPI +3.0%</w:t>
      </w:r>
      <w:r w:rsidR="00106AA5">
        <w:t xml:space="preserve"> p.a.</w:t>
      </w:r>
      <w:r w:rsidRPr="00521117">
        <w:t>] for surplus funds over a rolling [e.g. five</w:t>
      </w:r>
      <w:r w:rsidRPr="00521117">
        <w:noBreakHyphen/>
        <w:t>year] period; and</w:t>
      </w:r>
    </w:p>
    <w:p w14:paraId="2FD83D2C" w14:textId="7AE8F3F1" w:rsidR="0058259D" w:rsidRPr="00521117" w:rsidRDefault="0058259D" w:rsidP="00E71DE5">
      <w:pPr>
        <w:pStyle w:val="AttachmentBullet1"/>
      </w:pPr>
      <w:r w:rsidRPr="004C22F9">
        <w:rPr>
          <w:b/>
        </w:rPr>
        <w:t>risk</w:t>
      </w:r>
      <w:r w:rsidRPr="00521117">
        <w:t xml:space="preserve">: </w:t>
      </w:r>
      <w:r w:rsidR="004C22F9">
        <w:t xml:space="preserve">For example, </w:t>
      </w:r>
      <w:r w:rsidRPr="00521117">
        <w:t xml:space="preserve">to limit the likelihood of a negative return to no more than one year in every </w:t>
      </w:r>
      <w:r w:rsidR="005D7B93" w:rsidRPr="00521117">
        <w:t xml:space="preserve">[e.g. </w:t>
      </w:r>
      <w:r w:rsidR="005D7B93">
        <w:t>four</w:t>
      </w:r>
      <w:r w:rsidR="005D7B93" w:rsidRPr="00521117">
        <w:t xml:space="preserve">] </w:t>
      </w:r>
      <w:r w:rsidRPr="00521117">
        <w:t xml:space="preserve">years. </w:t>
      </w:r>
    </w:p>
    <w:p w14:paraId="15AF9A87" w14:textId="77777777" w:rsidR="0058259D" w:rsidRPr="004661D4" w:rsidRDefault="0058259D" w:rsidP="00E71DE5">
      <w:pPr>
        <w:pStyle w:val="AttachmentHeading1"/>
      </w:pPr>
      <w:r w:rsidRPr="004661D4">
        <w:t>Investment strategy</w:t>
      </w:r>
      <w:r w:rsidRPr="004661D4">
        <w:rPr>
          <w:rFonts w:cstheme="minorHAnsi"/>
        </w:rPr>
        <w:t xml:space="preserve"> implementation</w:t>
      </w:r>
    </w:p>
    <w:p w14:paraId="0CC7E2D8" w14:textId="702BE940" w:rsidR="0058259D" w:rsidRPr="00183117" w:rsidRDefault="0058259D" w:rsidP="00E71DE5">
      <w:pPr>
        <w:pStyle w:val="NormalIndent"/>
      </w:pPr>
      <w:r w:rsidRPr="00183117">
        <w:t xml:space="preserve">The </w:t>
      </w:r>
      <w:r w:rsidRPr="00507362">
        <w:t>investment</w:t>
      </w:r>
      <w:r w:rsidRPr="00183117">
        <w:t xml:space="preserve"> strategy will be implemented by:</w:t>
      </w:r>
    </w:p>
    <w:p w14:paraId="5B451269" w14:textId="101AEEEE" w:rsidR="00C30121" w:rsidRDefault="0092216D" w:rsidP="000B15FD">
      <w:pPr>
        <w:pStyle w:val="AttachmentBullet1"/>
      </w:pPr>
      <w:r>
        <w:t>invest</w:t>
      </w:r>
      <w:r w:rsidR="00DD11AF">
        <w:t>ing</w:t>
      </w:r>
      <w:r>
        <w:t xml:space="preserve"> via an agreed strategic asset allocation (SAA) with appropriate rebalancing ranges;</w:t>
      </w:r>
    </w:p>
    <w:p w14:paraId="4FE8F616" w14:textId="1001AD69" w:rsidR="00E4489A" w:rsidRDefault="00C30121" w:rsidP="00CD3A87">
      <w:pPr>
        <w:pStyle w:val="AttachmentBullet1"/>
      </w:pPr>
      <w:r>
        <w:t xml:space="preserve">implementing ABC’s SAA </w:t>
      </w:r>
      <w:r w:rsidR="0058259D" w:rsidRPr="00521117">
        <w:t xml:space="preserve">with VFMC in its </w:t>
      </w:r>
      <w:r w:rsidR="00C714ED">
        <w:t>multi sector</w:t>
      </w:r>
      <w:r>
        <w:t xml:space="preserve"> and/or </w:t>
      </w:r>
      <w:r w:rsidR="00350E42">
        <w:t>s</w:t>
      </w:r>
      <w:r>
        <w:t xml:space="preserve">ingle </w:t>
      </w:r>
      <w:r w:rsidR="00350E42">
        <w:t>s</w:t>
      </w:r>
      <w:r>
        <w:t xml:space="preserve">ector </w:t>
      </w:r>
      <w:r w:rsidR="00350E42">
        <w:t>i</w:t>
      </w:r>
      <w:r>
        <w:t xml:space="preserve">nvestment </w:t>
      </w:r>
      <w:r w:rsidR="00350E42">
        <w:t>f</w:t>
      </w:r>
      <w:r>
        <w:t>unds</w:t>
      </w:r>
      <w:r w:rsidR="0058259D" w:rsidRPr="00521117">
        <w:t>; and</w:t>
      </w:r>
    </w:p>
    <w:p w14:paraId="6647D8E8" w14:textId="10BD7973" w:rsidR="0058259D" w:rsidRPr="00B4485F" w:rsidRDefault="0058259D" w:rsidP="00E71DE5">
      <w:pPr>
        <w:pStyle w:val="AttachmentBullet1"/>
      </w:pPr>
      <w:r w:rsidRPr="00521117">
        <w:t xml:space="preserve">investing surplus short-term funds in a Central Banking System bank </w:t>
      </w:r>
      <w:bookmarkStart w:id="41" w:name="_Hlk534796325"/>
      <w:r w:rsidRPr="00521117">
        <w:t>or with a designated bank to cover liquidity requirements</w:t>
      </w:r>
      <w:r w:rsidRPr="00B4485F">
        <w:t xml:space="preserve">. </w:t>
      </w:r>
      <w:bookmarkEnd w:id="41"/>
    </w:p>
    <w:p w14:paraId="6D593C7B" w14:textId="064C1169" w:rsidR="0058259D" w:rsidRPr="004661D4" w:rsidRDefault="0058259D" w:rsidP="00E71DE5">
      <w:pPr>
        <w:pStyle w:val="AttachmentHeading1"/>
      </w:pPr>
      <w:r w:rsidRPr="004661D4">
        <w:t>Roles and responsibilities</w:t>
      </w:r>
    </w:p>
    <w:p w14:paraId="137232B9" w14:textId="01A52EB6" w:rsidR="0058259D" w:rsidRPr="00183117" w:rsidRDefault="0058259D" w:rsidP="00E71DE5">
      <w:pPr>
        <w:pStyle w:val="NormalIndent"/>
      </w:pPr>
      <w:r w:rsidRPr="00183117">
        <w:t>Responsibility for the management and control of investment related financial risks faced by [insert Public Sector Agency name] rests with the Accountable Officer and involves the following parties:</w:t>
      </w:r>
    </w:p>
    <w:p w14:paraId="5A6609C3" w14:textId="756890CB" w:rsidR="0058259D" w:rsidRDefault="00DB0885" w:rsidP="00E71DE5">
      <w:pPr>
        <w:pStyle w:val="AttachmentBullet1"/>
      </w:pPr>
      <w:r>
        <w:t>t</w:t>
      </w:r>
      <w:r w:rsidR="0058259D" w:rsidRPr="00521117">
        <w:t>he Responsible Body (Board);</w:t>
      </w:r>
    </w:p>
    <w:p w14:paraId="028DF076" w14:textId="5D1E1FEE" w:rsidR="0027338E" w:rsidRPr="00521117" w:rsidRDefault="00E30394" w:rsidP="0027338E">
      <w:pPr>
        <w:pStyle w:val="AttachmentBullet1"/>
      </w:pPr>
      <w:r>
        <w:t>The Audit Committee</w:t>
      </w:r>
      <w:r w:rsidR="0027338E">
        <w:t xml:space="preserve"> and/or Investment Committee;</w:t>
      </w:r>
    </w:p>
    <w:p w14:paraId="179167B7" w14:textId="437E431D" w:rsidR="0058259D" w:rsidRPr="00521117" w:rsidRDefault="00DB0885" w:rsidP="00E71DE5">
      <w:pPr>
        <w:pStyle w:val="AttachmentBullet1"/>
      </w:pPr>
      <w:r>
        <w:t>t</w:t>
      </w:r>
      <w:r w:rsidR="0058259D" w:rsidRPr="00521117">
        <w:t>he Chief Finance Officer; and</w:t>
      </w:r>
    </w:p>
    <w:p w14:paraId="4044A435" w14:textId="335E48B0" w:rsidR="0058259D" w:rsidRDefault="00DB0885" w:rsidP="00E71DE5">
      <w:pPr>
        <w:pStyle w:val="AttachmentBullet1"/>
      </w:pPr>
      <w:r>
        <w:t xml:space="preserve">the </w:t>
      </w:r>
      <w:r w:rsidR="0058259D" w:rsidRPr="00521117">
        <w:t>Financ</w:t>
      </w:r>
      <w:r w:rsidR="00CD388B">
        <w:t>ial Manager or Accountant</w:t>
      </w:r>
      <w:r w:rsidR="0058259D" w:rsidRPr="00521117">
        <w:t>/Investment Manager.</w:t>
      </w:r>
    </w:p>
    <w:p w14:paraId="5C72352B" w14:textId="77777777" w:rsidR="000E596A" w:rsidRDefault="000E596A" w:rsidP="00932774">
      <w:pPr>
        <w:pStyle w:val="AttachmentBullet1"/>
        <w:numPr>
          <w:ilvl w:val="0"/>
          <w:numId w:val="0"/>
        </w:numPr>
        <w:ind w:left="680"/>
      </w:pPr>
    </w:p>
    <w:p w14:paraId="245C5F18" w14:textId="77777777" w:rsidR="0058259D" w:rsidRPr="003D3B15" w:rsidRDefault="0058259D" w:rsidP="00E71DE5">
      <w:pPr>
        <w:pStyle w:val="AttachmentHeading2"/>
      </w:pPr>
      <w:r w:rsidRPr="003D3B15">
        <w:t xml:space="preserve">The Board </w:t>
      </w:r>
    </w:p>
    <w:p w14:paraId="06B8ED65" w14:textId="1163C640" w:rsidR="0058259D" w:rsidRPr="00183117" w:rsidRDefault="0058259D" w:rsidP="00E71DE5">
      <w:pPr>
        <w:pStyle w:val="NormalIndent"/>
      </w:pPr>
      <w:r w:rsidRPr="00183117">
        <w:t xml:space="preserve">The Board is responsible for overseeing the management of the investments. The specific roles and responsibilities of the Board with respect to investment management are </w:t>
      </w:r>
      <w:r w:rsidR="00413DBD">
        <w:t>outlined below</w:t>
      </w:r>
      <w:r w:rsidR="006C64FE">
        <w:t xml:space="preserve">, noting </w:t>
      </w:r>
      <w:r w:rsidR="00413DBD">
        <w:t>some</w:t>
      </w:r>
      <w:r w:rsidR="006C64FE">
        <w:t xml:space="preserve"> responsibilities may be delegated to an appropriate sub-committee of the Board [e.g. Finance &amp; Audit, Investment Committee]</w:t>
      </w:r>
      <w:r w:rsidRPr="00183117">
        <w:t>:</w:t>
      </w:r>
    </w:p>
    <w:p w14:paraId="7F77EEB7" w14:textId="77777777" w:rsidR="0058259D" w:rsidRPr="00521117" w:rsidRDefault="0058259D" w:rsidP="00974349">
      <w:pPr>
        <w:pStyle w:val="AttachmentBullet1"/>
      </w:pPr>
      <w:r w:rsidRPr="00521117">
        <w:t>ensure that [ABC] has an Investment Policy Statement which is being complied with;</w:t>
      </w:r>
    </w:p>
    <w:p w14:paraId="370DD712" w14:textId="686D0CE6" w:rsidR="0058259D" w:rsidRPr="00521117" w:rsidRDefault="0058259D" w:rsidP="00974349">
      <w:pPr>
        <w:pStyle w:val="AttachmentBullet1"/>
      </w:pPr>
      <w:r w:rsidRPr="00521117">
        <w:t>set the investment objectives</w:t>
      </w:r>
      <w:r w:rsidR="00A402D9">
        <w:t xml:space="preserve"> </w:t>
      </w:r>
      <w:r w:rsidRPr="00521117">
        <w:t>for [ABC];</w:t>
      </w:r>
    </w:p>
    <w:p w14:paraId="2900994B" w14:textId="2E287584" w:rsidR="0058259D" w:rsidRPr="00521117" w:rsidRDefault="0058259D">
      <w:pPr>
        <w:pStyle w:val="AttachmentBullet1"/>
      </w:pPr>
      <w:r w:rsidRPr="00521117">
        <w:t>approve the investment strategy</w:t>
      </w:r>
      <w:r w:rsidR="00A402D9">
        <w:t>, including the SAA</w:t>
      </w:r>
      <w:r w:rsidRPr="00521117">
        <w:t xml:space="preserve"> and its </w:t>
      </w:r>
      <w:r w:rsidR="007D2C8E">
        <w:t xml:space="preserve">investment </w:t>
      </w:r>
      <w:r w:rsidRPr="00521117">
        <w:t>execution plan;</w:t>
      </w:r>
    </w:p>
    <w:p w14:paraId="17059E3A" w14:textId="77777777" w:rsidR="0058259D" w:rsidRPr="00521117" w:rsidRDefault="0058259D">
      <w:pPr>
        <w:pStyle w:val="AttachmentBullet1"/>
      </w:pPr>
      <w:r w:rsidRPr="00521117">
        <w:t>approve the use of any financial arrangements to manage investment related financial risks;</w:t>
      </w:r>
    </w:p>
    <w:p w14:paraId="4D93D197" w14:textId="77777777" w:rsidR="0058259D" w:rsidRPr="00521117" w:rsidRDefault="0058259D">
      <w:pPr>
        <w:pStyle w:val="AttachmentBullet1"/>
      </w:pPr>
      <w:r w:rsidRPr="00521117">
        <w:lastRenderedPageBreak/>
        <w:t>approve any delegations of responsibility within the investment management function;</w:t>
      </w:r>
    </w:p>
    <w:p w14:paraId="3ADC6260" w14:textId="4AC7C053" w:rsidR="0058259D" w:rsidRPr="00521117" w:rsidRDefault="0058259D">
      <w:pPr>
        <w:pStyle w:val="AttachmentBullet1"/>
      </w:pPr>
      <w:r w:rsidRPr="00521117">
        <w:t xml:space="preserve">receive and consider investment performance and compliance </w:t>
      </w:r>
      <w:r w:rsidR="007553BE">
        <w:t>and responsible</w:t>
      </w:r>
      <w:r w:rsidR="00FB53B8">
        <w:t xml:space="preserve"> investment reports</w:t>
      </w:r>
      <w:r w:rsidRPr="00521117">
        <w:t xml:space="preserve"> prepared by VFMC (or TCV), management and any external advisors at least quarterly; and</w:t>
      </w:r>
    </w:p>
    <w:p w14:paraId="33B6D285" w14:textId="4E48CC25" w:rsidR="0058259D" w:rsidRDefault="00803396">
      <w:pPr>
        <w:pStyle w:val="AttachmentBullet1"/>
      </w:pPr>
      <w:r>
        <w:t>approve</w:t>
      </w:r>
      <w:r w:rsidRPr="00521117">
        <w:t xml:space="preserve"> </w:t>
      </w:r>
      <w:r w:rsidR="0058259D" w:rsidRPr="00521117">
        <w:t xml:space="preserve">the investment objectives, </w:t>
      </w:r>
      <w:r w:rsidR="003471B0">
        <w:rPr>
          <w:spacing w:val="-2"/>
        </w:rPr>
        <w:t xml:space="preserve">asset allocation, rebalancing </w:t>
      </w:r>
      <w:r w:rsidR="00CF229B">
        <w:rPr>
          <w:spacing w:val="-2"/>
        </w:rPr>
        <w:t>ranges</w:t>
      </w:r>
      <w:r w:rsidR="003471B0">
        <w:rPr>
          <w:spacing w:val="-2"/>
        </w:rPr>
        <w:t xml:space="preserve">, distribution </w:t>
      </w:r>
      <w:r w:rsidR="00AA70F6">
        <w:rPr>
          <w:spacing w:val="-2"/>
        </w:rPr>
        <w:t>approach</w:t>
      </w:r>
      <w:r w:rsidR="003471B0" w:rsidRPr="00924EDE">
        <w:rPr>
          <w:spacing w:val="-2"/>
        </w:rPr>
        <w:t xml:space="preserve"> </w:t>
      </w:r>
      <w:r w:rsidR="0058259D" w:rsidRPr="00521117">
        <w:t>and Investment Policy Statement at least annually.</w:t>
      </w:r>
    </w:p>
    <w:p w14:paraId="442D158E" w14:textId="7229B5D8" w:rsidR="00457C28" w:rsidRDefault="00457C28" w:rsidP="00457C28">
      <w:pPr>
        <w:pStyle w:val="AttachmentHeading2"/>
      </w:pPr>
      <w:r>
        <w:t>Audit Committee</w:t>
      </w:r>
    </w:p>
    <w:p w14:paraId="5D5D3359" w14:textId="77777777" w:rsidR="00596E6A" w:rsidRPr="00596E6A" w:rsidRDefault="00974349" w:rsidP="00117282">
      <w:pPr>
        <w:pStyle w:val="NormalIndent"/>
      </w:pPr>
      <w:r>
        <w:t>The Audit Committee is r</w:t>
      </w:r>
      <w:r w:rsidR="00457C28" w:rsidRPr="0052160E">
        <w:t xml:space="preserve">esponsible for the oversight of investments </w:t>
      </w:r>
      <w:r w:rsidR="00457C28">
        <w:t>and recommending the following to the Agency’s Board for approval</w:t>
      </w:r>
      <w:r w:rsidR="00457C28" w:rsidRPr="0052160E">
        <w:t>:</w:t>
      </w:r>
    </w:p>
    <w:p w14:paraId="021EC379" w14:textId="7526677E" w:rsidR="00457C28" w:rsidRPr="0052160E" w:rsidRDefault="00974349" w:rsidP="00974349">
      <w:pPr>
        <w:pStyle w:val="AttachmentHeading2"/>
        <w:numPr>
          <w:ilvl w:val="0"/>
          <w:numId w:val="126"/>
        </w:numPr>
        <w:spacing w:before="40" w:after="40" w:line="240" w:lineRule="auto"/>
        <w:ind w:left="782" w:hanging="357"/>
        <w:rPr>
          <w:b w:val="0"/>
        </w:rPr>
      </w:pPr>
      <w:r>
        <w:rPr>
          <w:b w:val="0"/>
        </w:rPr>
        <w:t>c</w:t>
      </w:r>
      <w:r w:rsidR="00457C28" w:rsidRPr="0052160E">
        <w:rPr>
          <w:b w:val="0"/>
        </w:rPr>
        <w:t>reation and maintenance of investment policy document</w:t>
      </w:r>
      <w:r w:rsidR="00457C28">
        <w:rPr>
          <w:b w:val="0"/>
        </w:rPr>
        <w:t>, setting the risk appetite</w:t>
      </w:r>
    </w:p>
    <w:p w14:paraId="713DA550" w14:textId="1E09A22B" w:rsidR="00457C28" w:rsidRDefault="00974349" w:rsidP="00974349">
      <w:pPr>
        <w:pStyle w:val="AttachmentHeading2"/>
        <w:numPr>
          <w:ilvl w:val="0"/>
          <w:numId w:val="77"/>
        </w:numPr>
        <w:spacing w:before="40" w:after="40" w:line="240" w:lineRule="auto"/>
        <w:ind w:left="782" w:hanging="357"/>
        <w:rPr>
          <w:b w:val="0"/>
        </w:rPr>
      </w:pPr>
      <w:r>
        <w:rPr>
          <w:b w:val="0"/>
        </w:rPr>
        <w:t>e</w:t>
      </w:r>
      <w:r w:rsidR="00457C28">
        <w:rPr>
          <w:b w:val="0"/>
        </w:rPr>
        <w:t>stablishment</w:t>
      </w:r>
      <w:r w:rsidR="00457C28" w:rsidRPr="0052160E">
        <w:rPr>
          <w:b w:val="0"/>
        </w:rPr>
        <w:t xml:space="preserve"> of investment objectives</w:t>
      </w:r>
      <w:r w:rsidR="00457C28">
        <w:rPr>
          <w:b w:val="0"/>
        </w:rPr>
        <w:t xml:space="preserve"> (risk and return)</w:t>
      </w:r>
    </w:p>
    <w:p w14:paraId="64FBDC48" w14:textId="729EFC2C" w:rsidR="00457C28" w:rsidRDefault="00974349" w:rsidP="00974349">
      <w:pPr>
        <w:pStyle w:val="AttachmentHeading2"/>
        <w:numPr>
          <w:ilvl w:val="0"/>
          <w:numId w:val="77"/>
        </w:numPr>
        <w:spacing w:before="40" w:after="40" w:line="240" w:lineRule="auto"/>
        <w:ind w:left="782" w:hanging="357"/>
        <w:rPr>
          <w:b w:val="0"/>
        </w:rPr>
      </w:pPr>
      <w:r>
        <w:rPr>
          <w:b w:val="0"/>
        </w:rPr>
        <w:t>e</w:t>
      </w:r>
      <w:r w:rsidR="00457C28">
        <w:rPr>
          <w:b w:val="0"/>
        </w:rPr>
        <w:t>stablishment of the Strategic Asset Allocation (SAA) and ensuring rebalancing to within stated allocation ranges</w:t>
      </w:r>
    </w:p>
    <w:p w14:paraId="2D3EAE6B" w14:textId="583D18CC" w:rsidR="00457C28" w:rsidRDefault="00974349" w:rsidP="00974349">
      <w:pPr>
        <w:pStyle w:val="AttachmentHeading2"/>
        <w:numPr>
          <w:ilvl w:val="0"/>
          <w:numId w:val="77"/>
        </w:numPr>
        <w:spacing w:before="40" w:after="40" w:line="240" w:lineRule="auto"/>
        <w:ind w:left="782" w:hanging="357"/>
        <w:rPr>
          <w:b w:val="0"/>
        </w:rPr>
      </w:pPr>
      <w:r>
        <w:rPr>
          <w:b w:val="0"/>
        </w:rPr>
        <w:t>m</w:t>
      </w:r>
      <w:r w:rsidR="00457C28">
        <w:rPr>
          <w:b w:val="0"/>
        </w:rPr>
        <w:t>anagement of any investment distributions including decision to reinvest or to distribute, the establishment of any associated spending rule</w:t>
      </w:r>
    </w:p>
    <w:p w14:paraId="58B606CD" w14:textId="3AED2AD8" w:rsidR="00457C28" w:rsidRDefault="00974349" w:rsidP="00974349">
      <w:pPr>
        <w:pStyle w:val="AttachmentHeading2"/>
        <w:numPr>
          <w:ilvl w:val="0"/>
          <w:numId w:val="77"/>
        </w:numPr>
        <w:spacing w:before="40" w:after="40" w:line="240" w:lineRule="auto"/>
        <w:ind w:left="782" w:hanging="357"/>
        <w:rPr>
          <w:b w:val="0"/>
        </w:rPr>
      </w:pPr>
      <w:r>
        <w:rPr>
          <w:b w:val="0"/>
        </w:rPr>
        <w:t>o</w:t>
      </w:r>
      <w:r w:rsidR="00457C28">
        <w:rPr>
          <w:b w:val="0"/>
        </w:rPr>
        <w:t>versight of investment performance against the investment objective</w:t>
      </w:r>
    </w:p>
    <w:p w14:paraId="5A2FCEB2" w14:textId="3791670D" w:rsidR="00457C28" w:rsidRDefault="00974349" w:rsidP="00974349">
      <w:pPr>
        <w:pStyle w:val="AttachmentHeading2"/>
        <w:numPr>
          <w:ilvl w:val="0"/>
          <w:numId w:val="77"/>
        </w:numPr>
        <w:spacing w:before="40" w:after="40" w:line="240" w:lineRule="auto"/>
        <w:ind w:left="782" w:hanging="357"/>
        <w:rPr>
          <w:b w:val="0"/>
        </w:rPr>
      </w:pPr>
      <w:r>
        <w:rPr>
          <w:b w:val="0"/>
        </w:rPr>
        <w:t>o</w:t>
      </w:r>
      <w:r w:rsidR="00457C28">
        <w:rPr>
          <w:b w:val="0"/>
        </w:rPr>
        <w:t>versight of responsible investment and ESG principles</w:t>
      </w:r>
      <w:r w:rsidR="00B41699">
        <w:rPr>
          <w:b w:val="0"/>
        </w:rPr>
        <w:t xml:space="preserve"> within VFMC’s </w:t>
      </w:r>
      <w:r w:rsidR="00164665">
        <w:rPr>
          <w:b w:val="0"/>
        </w:rPr>
        <w:t>responsible investment framework</w:t>
      </w:r>
      <w:r w:rsidR="00457C28">
        <w:rPr>
          <w:b w:val="0"/>
        </w:rPr>
        <w:t xml:space="preserve"> </w:t>
      </w:r>
    </w:p>
    <w:p w14:paraId="771975E7" w14:textId="602B3B9B" w:rsidR="00457C28" w:rsidRPr="0052160E" w:rsidRDefault="00974349" w:rsidP="00974349">
      <w:pPr>
        <w:pStyle w:val="AttachmentHeading2"/>
        <w:numPr>
          <w:ilvl w:val="0"/>
          <w:numId w:val="77"/>
        </w:numPr>
        <w:spacing w:before="40" w:after="40" w:line="240" w:lineRule="auto"/>
        <w:ind w:left="782" w:hanging="357"/>
        <w:rPr>
          <w:b w:val="0"/>
        </w:rPr>
      </w:pPr>
      <w:r>
        <w:rPr>
          <w:b w:val="0"/>
        </w:rPr>
        <w:t>m</w:t>
      </w:r>
      <w:r w:rsidR="00457C28">
        <w:rPr>
          <w:b w:val="0"/>
        </w:rPr>
        <w:t>eeting with VFMC once per year to review the above</w:t>
      </w:r>
      <w:r w:rsidR="00C423F6">
        <w:rPr>
          <w:b w:val="0"/>
        </w:rPr>
        <w:t>.</w:t>
      </w:r>
    </w:p>
    <w:p w14:paraId="20AC621C" w14:textId="77777777" w:rsidR="00457C28" w:rsidRPr="00521117" w:rsidRDefault="00457C28" w:rsidP="00924EDE">
      <w:pPr>
        <w:pStyle w:val="AttachmentBullet1"/>
        <w:numPr>
          <w:ilvl w:val="0"/>
          <w:numId w:val="0"/>
        </w:numPr>
      </w:pPr>
    </w:p>
    <w:p w14:paraId="130A13AF" w14:textId="1AAA2DA8" w:rsidR="0058259D" w:rsidRPr="003D3B15" w:rsidRDefault="00DB0885" w:rsidP="00E71DE5">
      <w:pPr>
        <w:pStyle w:val="AttachmentHeading2"/>
      </w:pPr>
      <w:r>
        <w:t>Chief Finance</w:t>
      </w:r>
      <w:r w:rsidR="0058259D" w:rsidRPr="003D3B15">
        <w:t xml:space="preserve"> Officer</w:t>
      </w:r>
      <w:r>
        <w:t xml:space="preserve"> (CFO)</w:t>
      </w:r>
    </w:p>
    <w:p w14:paraId="04A1D9D3" w14:textId="0E0C4B78" w:rsidR="0058259D" w:rsidRPr="00183117" w:rsidRDefault="0058259D" w:rsidP="00E71DE5">
      <w:pPr>
        <w:pStyle w:val="NormalIndent"/>
      </w:pPr>
      <w:r w:rsidRPr="00183117">
        <w:t>The CFO is responsible for overseeing the management of the investment function in accordance with this Investment Policy Statement and related legislation. Specific responsibilities of the CFO are to:</w:t>
      </w:r>
    </w:p>
    <w:p w14:paraId="502E1E70" w14:textId="3EE77F38" w:rsidR="0058259D" w:rsidRPr="00521117" w:rsidRDefault="0058259D" w:rsidP="00E71DE5">
      <w:pPr>
        <w:pStyle w:val="AttachmentBullet1"/>
      </w:pPr>
      <w:r w:rsidRPr="00521117">
        <w:t>monitor the activities of, and take responsibility for the operation of the investment management function;</w:t>
      </w:r>
    </w:p>
    <w:p w14:paraId="14527DAA" w14:textId="77777777" w:rsidR="0058259D" w:rsidRPr="00521117" w:rsidRDefault="0058259D" w:rsidP="00E71DE5">
      <w:pPr>
        <w:pStyle w:val="AttachmentBullet1"/>
      </w:pPr>
      <w:r w:rsidRPr="00521117">
        <w:t>make recommendations to the Board concerning delegations and responsibilities within the investment function;</w:t>
      </w:r>
    </w:p>
    <w:p w14:paraId="3BABA778" w14:textId="77777777" w:rsidR="0058259D" w:rsidRPr="00521117" w:rsidRDefault="0058259D" w:rsidP="00E71DE5">
      <w:pPr>
        <w:pStyle w:val="AttachmentBullet1"/>
      </w:pPr>
      <w:r w:rsidRPr="00521117">
        <w:t>recommend amendments to the Investment Policy Statement for Board approval;</w:t>
      </w:r>
    </w:p>
    <w:p w14:paraId="43446FB9" w14:textId="406BA643" w:rsidR="0058259D" w:rsidRPr="00521117" w:rsidRDefault="0058259D" w:rsidP="00E71DE5">
      <w:pPr>
        <w:pStyle w:val="AttachmentBullet1"/>
      </w:pPr>
      <w:r w:rsidRPr="00521117">
        <w:t>liaise with VFMC concerning the execution of the investment strategy within the limits and delegations prescribed by this Investment Policy Statement;</w:t>
      </w:r>
    </w:p>
    <w:p w14:paraId="27EA1969" w14:textId="1FFBBE93" w:rsidR="0058259D" w:rsidRPr="00521117" w:rsidRDefault="0058259D" w:rsidP="00E71DE5">
      <w:pPr>
        <w:pStyle w:val="AttachmentBullet1"/>
      </w:pPr>
      <w:r w:rsidRPr="00521117">
        <w:t>action any compliance breach in line with Board approve</w:t>
      </w:r>
      <w:r w:rsidR="00145605">
        <w:t>d</w:t>
      </w:r>
      <w:r w:rsidRPr="00521117">
        <w:t xml:space="preserve"> policies; and </w:t>
      </w:r>
    </w:p>
    <w:p w14:paraId="5ADD988D" w14:textId="77777777" w:rsidR="0058259D" w:rsidRPr="00521117" w:rsidRDefault="0058259D" w:rsidP="00E71DE5">
      <w:pPr>
        <w:pStyle w:val="AttachmentBullet1"/>
      </w:pPr>
      <w:r w:rsidRPr="00521117">
        <w:t xml:space="preserve">review and sign off on regular investment performance and compliance reports before they are presented to the Board. </w:t>
      </w:r>
    </w:p>
    <w:p w14:paraId="02323709" w14:textId="706561DA" w:rsidR="0058259D" w:rsidRPr="003D3B15" w:rsidRDefault="0058259D" w:rsidP="00E71DE5">
      <w:pPr>
        <w:pStyle w:val="AttachmentHeading2"/>
      </w:pPr>
      <w:r w:rsidRPr="003D3B15">
        <w:t>Financ</w:t>
      </w:r>
      <w:r w:rsidR="00CD388B">
        <w:t>ial</w:t>
      </w:r>
      <w:r w:rsidRPr="003D3B15">
        <w:t xml:space="preserve"> Manager</w:t>
      </w:r>
      <w:r w:rsidR="00CD388B">
        <w:t xml:space="preserve"> or Accountant</w:t>
      </w:r>
      <w:r w:rsidRPr="003D3B15">
        <w:t>/Investment Manager</w:t>
      </w:r>
    </w:p>
    <w:p w14:paraId="5C7560A4" w14:textId="601447F7" w:rsidR="0058259D" w:rsidRPr="004661D4" w:rsidRDefault="0058259D" w:rsidP="00E71DE5">
      <w:pPr>
        <w:pStyle w:val="NormalIndent"/>
      </w:pPr>
      <w:r w:rsidRPr="004661D4">
        <w:t xml:space="preserve">The </w:t>
      </w:r>
      <w:r w:rsidRPr="00521117">
        <w:t>[</w:t>
      </w:r>
      <w:r w:rsidRPr="004661D4">
        <w:t>Financ</w:t>
      </w:r>
      <w:r w:rsidR="00CD388B">
        <w:t>ial</w:t>
      </w:r>
      <w:r w:rsidRPr="004661D4">
        <w:t xml:space="preserve"> Manager</w:t>
      </w:r>
      <w:r w:rsidR="00CD388B">
        <w:t xml:space="preserve"> or Accountant</w:t>
      </w:r>
      <w:r w:rsidRPr="00521117">
        <w:t>]</w:t>
      </w:r>
      <w:r w:rsidRPr="004661D4">
        <w:t xml:space="preserve"> will act as Investment Manager and is responsible for operating and administering the investment function including relevant forecasting, correspondence, </w:t>
      </w:r>
      <w:r w:rsidRPr="00521117">
        <w:t xml:space="preserve">compliance </w:t>
      </w:r>
      <w:r w:rsidRPr="004661D4">
        <w:t>accounting and</w:t>
      </w:r>
      <w:r w:rsidRPr="00521117">
        <w:t xml:space="preserve"> performance</w:t>
      </w:r>
      <w:r w:rsidRPr="004661D4">
        <w:t xml:space="preserve"> reporting duties. The Investment Manager:</w:t>
      </w:r>
    </w:p>
    <w:p w14:paraId="1E096CAA" w14:textId="17CADF27" w:rsidR="0058259D" w:rsidRPr="00521117" w:rsidRDefault="0058259D" w:rsidP="00E71DE5">
      <w:pPr>
        <w:pStyle w:val="AttachmentBullet1"/>
      </w:pPr>
      <w:r w:rsidRPr="00521117">
        <w:t>is responsible for implementing the financial risk management strategy of the investment function in coordination with the [CFO] and authorising transactions within Board approved dealer limits and delegations</w:t>
      </w:r>
      <w:r w:rsidR="000060F5">
        <w:t xml:space="preserve"> [e.g. including the asset allocation relative to the SAA, the distribution reinvestment and relevant spending rule actions]</w:t>
      </w:r>
      <w:r w:rsidR="00CD388B">
        <w:t>; and</w:t>
      </w:r>
    </w:p>
    <w:p w14:paraId="6A9A7D9D" w14:textId="77777777" w:rsidR="0058259D" w:rsidRPr="00521117" w:rsidRDefault="0058259D" w:rsidP="00E71DE5">
      <w:pPr>
        <w:pStyle w:val="AttachmentBullet1"/>
      </w:pPr>
      <w:r w:rsidRPr="00521117">
        <w:t xml:space="preserve">in coordination with VFMC, is responsible for providing investment performance and compliance reports to the CFO and the Board. </w:t>
      </w:r>
    </w:p>
    <w:p w14:paraId="43D1D14B" w14:textId="649E299C" w:rsidR="0058259D" w:rsidRPr="00521117" w:rsidRDefault="0058259D" w:rsidP="00E71DE5">
      <w:pPr>
        <w:pStyle w:val="AttachmentHeading2"/>
      </w:pPr>
      <w:r w:rsidRPr="00521117">
        <w:t>Delegations</w:t>
      </w:r>
    </w:p>
    <w:p w14:paraId="6356FB3E" w14:textId="77777777" w:rsidR="0058259D" w:rsidRPr="00183117" w:rsidRDefault="0058259D" w:rsidP="00E71DE5">
      <w:pPr>
        <w:pStyle w:val="NormalIndent"/>
      </w:pPr>
      <w:r w:rsidRPr="00183117">
        <w:t>These include:</w:t>
      </w:r>
    </w:p>
    <w:p w14:paraId="1AF160ED" w14:textId="77777777" w:rsidR="0058259D" w:rsidRPr="00521117" w:rsidRDefault="0058259D" w:rsidP="00E71DE5">
      <w:pPr>
        <w:pStyle w:val="AttachmentBullet1"/>
      </w:pPr>
      <w:r w:rsidRPr="00521117">
        <w:t>The Board must approve of any change in the investment objectives or strategy of [ABC].</w:t>
      </w:r>
    </w:p>
    <w:p w14:paraId="3920310D" w14:textId="63E96D9F" w:rsidR="0058259D" w:rsidRPr="00521117" w:rsidRDefault="0058259D" w:rsidP="00E71DE5">
      <w:pPr>
        <w:pStyle w:val="AttachmentBullet1"/>
      </w:pPr>
      <w:r w:rsidRPr="00521117">
        <w:t xml:space="preserve">All investments of greater than $XX million must be authorised by the Board and transacted by the [CFO]. All portfolio investment services must be provided by VFMC as the Investment Manager. </w:t>
      </w:r>
    </w:p>
    <w:p w14:paraId="2306881B" w14:textId="1439300D" w:rsidR="0058259D" w:rsidRPr="00521117" w:rsidRDefault="0058259D" w:rsidP="00E71DE5">
      <w:pPr>
        <w:pStyle w:val="AttachmentBullet1"/>
      </w:pPr>
      <w:r w:rsidRPr="00521117">
        <w:t xml:space="preserve">The [CFO] is approved to authorise investments with VFMC on behalf of [insert Public Body name] up to a limit of $xx million. These investments must be transacted by the Investment Manager. </w:t>
      </w:r>
    </w:p>
    <w:p w14:paraId="4CA0391E" w14:textId="70F523C2" w:rsidR="0058259D" w:rsidRPr="00521117" w:rsidRDefault="0058259D" w:rsidP="00E71DE5">
      <w:pPr>
        <w:pStyle w:val="AttachmentBullet1"/>
      </w:pPr>
      <w:r w:rsidRPr="00521117">
        <w:t xml:space="preserve">The Investment Manager may place investments with VFMC on behalf of [ABC] up to a limit of $xx million. </w:t>
      </w:r>
    </w:p>
    <w:p w14:paraId="39BC0E6A" w14:textId="77777777" w:rsidR="0058259D" w:rsidRPr="004661D4" w:rsidRDefault="0058259D" w:rsidP="00E71DE5">
      <w:pPr>
        <w:pStyle w:val="AttachmentHeading1"/>
      </w:pPr>
      <w:r w:rsidRPr="004661D4">
        <w:lastRenderedPageBreak/>
        <w:t>Investment risks</w:t>
      </w:r>
    </w:p>
    <w:p w14:paraId="7E81BC2A" w14:textId="094F172C" w:rsidR="0058259D" w:rsidRPr="00183117" w:rsidRDefault="0058259D" w:rsidP="00E71DE5">
      <w:pPr>
        <w:pStyle w:val="NormalIndent"/>
      </w:pPr>
      <w:r w:rsidRPr="00183117">
        <w:t xml:space="preserve">In seeking to achieve the investment objectives in this Investment Policy Statement the Board acknowledges that risks are being taken to achieve investment returns above the risk-free rate of return. Risks accepted to achieve the investment objective include the following: </w:t>
      </w:r>
    </w:p>
    <w:p w14:paraId="521C9849" w14:textId="77777777" w:rsidR="0058259D" w:rsidRPr="003D3B15" w:rsidRDefault="0058259D" w:rsidP="00E71DE5">
      <w:pPr>
        <w:pStyle w:val="AttachmentHeading2"/>
      </w:pPr>
      <w:r w:rsidRPr="003D3B15">
        <w:t>Liquidity risk</w:t>
      </w:r>
    </w:p>
    <w:p w14:paraId="2E0AFA45" w14:textId="6B242A55" w:rsidR="0058259D" w:rsidRPr="00183117" w:rsidRDefault="0058259D" w:rsidP="00E71DE5">
      <w:pPr>
        <w:pStyle w:val="NormalIndent"/>
      </w:pPr>
      <w:r w:rsidRPr="00183117">
        <w:t xml:space="preserve">Liquidity risk is the risk that [ABC] cannot satisfy its day to day cash flow commitments when they fall due. Liquidity risk is managed by investing a proportion of funds in highly liquid assets. </w:t>
      </w:r>
    </w:p>
    <w:p w14:paraId="762FE30F" w14:textId="5CDF9529" w:rsidR="0058259D" w:rsidRPr="003D3B15" w:rsidRDefault="00C949F0" w:rsidP="00E71DE5">
      <w:pPr>
        <w:pStyle w:val="AttachmentHeading2"/>
      </w:pPr>
      <w:r>
        <w:t>Counterparty c</w:t>
      </w:r>
      <w:r w:rsidR="0058259D" w:rsidRPr="003D3B15">
        <w:t>redit risk</w:t>
      </w:r>
    </w:p>
    <w:p w14:paraId="2626A6EB" w14:textId="56428678" w:rsidR="0058259D" w:rsidRPr="00183117" w:rsidRDefault="0058259D" w:rsidP="00E71DE5">
      <w:pPr>
        <w:pStyle w:val="NormalIndent"/>
      </w:pPr>
      <w:r w:rsidRPr="00183117">
        <w:t xml:space="preserve">Credit risk is the risk that a [ABC] will suffer financial loss due to the inability of counterparty to meet its financial obligations in full and on time. Credit risk is reduced by diversifying exposures across a broad range of counterparties. </w:t>
      </w:r>
    </w:p>
    <w:p w14:paraId="4E813604" w14:textId="77777777" w:rsidR="006A4A52" w:rsidRPr="006A4A52" w:rsidRDefault="006A4A52" w:rsidP="00E03B87">
      <w:pPr>
        <w:pStyle w:val="AttachmentHeading2"/>
      </w:pPr>
      <w:r>
        <w:t xml:space="preserve">Environmental, Social and Governance (ESG) risks </w:t>
      </w:r>
    </w:p>
    <w:p w14:paraId="17A1E240" w14:textId="1A5B69BF" w:rsidR="00770981" w:rsidRPr="003208BA" w:rsidRDefault="00770981" w:rsidP="003208BA">
      <w:pPr>
        <w:pStyle w:val="AttachmentHeading1"/>
        <w:numPr>
          <w:ilvl w:val="0"/>
          <w:numId w:val="0"/>
        </w:numPr>
        <w:ind w:left="425"/>
        <w:rPr>
          <w:b w:val="0"/>
          <w:sz w:val="20"/>
        </w:rPr>
      </w:pPr>
      <w:r w:rsidRPr="003208BA">
        <w:rPr>
          <w:b w:val="0"/>
          <w:sz w:val="20"/>
        </w:rPr>
        <w:t xml:space="preserve">ABC recognises that ESG considerations present both risks and potential opportunities. ESG considerations are factored into the selection, management and monitoring of internally and externally managed investments in accordance with VFMC’s ESG Investment Policy. VFMC makes full use of ownership rights by actively exercising votes at company and fund meetings and by engaging with investee companies, fund managers and policymakers on material ESG issues. </w:t>
      </w:r>
    </w:p>
    <w:p w14:paraId="33DE5193" w14:textId="64F80FA6" w:rsidR="0058259D" w:rsidRPr="003D3B15" w:rsidRDefault="0058259D" w:rsidP="00E71DE5">
      <w:pPr>
        <w:pStyle w:val="AttachmentHeading2"/>
      </w:pPr>
      <w:r w:rsidRPr="003D3B15">
        <w:t>Inflation risk</w:t>
      </w:r>
    </w:p>
    <w:p w14:paraId="72EC43D3" w14:textId="5F954A72" w:rsidR="0058259D" w:rsidRPr="00183117" w:rsidRDefault="0058259D" w:rsidP="00E71DE5">
      <w:pPr>
        <w:pStyle w:val="NormalIndent"/>
      </w:pPr>
      <w:r w:rsidRPr="00183117">
        <w:t>Inflation risk is the risk that investment performance fails to match long</w:t>
      </w:r>
      <w:r w:rsidRPr="00183117">
        <w:noBreakHyphen/>
        <w:t>term inflation. This risk is being managed by [for example, maintaining a strategic allocation toward long</w:t>
      </w:r>
      <w:r w:rsidRPr="00183117">
        <w:noBreakHyphen/>
        <w:t xml:space="preserve">term growth assets]. </w:t>
      </w:r>
    </w:p>
    <w:p w14:paraId="6CF2E42B" w14:textId="77777777" w:rsidR="0058259D" w:rsidRPr="003D3B15" w:rsidRDefault="0058259D" w:rsidP="00E71DE5">
      <w:pPr>
        <w:pStyle w:val="AttachmentHeading2"/>
      </w:pPr>
      <w:r w:rsidRPr="003D3B15">
        <w:t>Interest rate risk</w:t>
      </w:r>
    </w:p>
    <w:p w14:paraId="3D2842D4" w14:textId="6DB459E9" w:rsidR="0058259D" w:rsidRPr="00183117" w:rsidRDefault="0058259D" w:rsidP="00E71DE5">
      <w:pPr>
        <w:pStyle w:val="NormalIndent"/>
      </w:pPr>
      <w:r w:rsidRPr="00183117">
        <w:t>Interest rate risk is the risk that movements in interest rates has an adverse impact on the value of the investment portfolio or of the valuation of [ABC]. This risk is being managed by [</w:t>
      </w:r>
      <w:r w:rsidR="00240E83" w:rsidRPr="00183117">
        <w:t>for example, a diversified investment portfolio with exposure to a broad range of assets classes.</w:t>
      </w:r>
      <w:r w:rsidRPr="00183117">
        <w:t xml:space="preserve">]. </w:t>
      </w:r>
    </w:p>
    <w:p w14:paraId="4C988692" w14:textId="77777777" w:rsidR="0058259D" w:rsidRPr="00FC3FA9" w:rsidRDefault="0058259D" w:rsidP="00E71DE5">
      <w:pPr>
        <w:pStyle w:val="AttachmentHeading2"/>
      </w:pPr>
      <w:r w:rsidRPr="00FC3FA9">
        <w:t>Market risk</w:t>
      </w:r>
    </w:p>
    <w:p w14:paraId="126F7ACA" w14:textId="3AEA2E77" w:rsidR="0058259D" w:rsidRPr="00183117" w:rsidRDefault="0058259D" w:rsidP="00E71DE5">
      <w:pPr>
        <w:pStyle w:val="NormalIndent"/>
      </w:pPr>
      <w:r w:rsidRPr="00183117">
        <w:t xml:space="preserve">Market risk is the financial risk associated with </w:t>
      </w:r>
      <w:r w:rsidR="005E7D55">
        <w:t>factors</w:t>
      </w:r>
      <w:r w:rsidR="005E7D55" w:rsidRPr="00924EDE">
        <w:rPr>
          <w:spacing w:val="-1"/>
        </w:rPr>
        <w:t xml:space="preserve"> </w:t>
      </w:r>
      <w:r w:rsidR="005E7D55">
        <w:t>impacting</w:t>
      </w:r>
      <w:r w:rsidR="005E7D55" w:rsidRPr="00924EDE">
        <w:rPr>
          <w:spacing w:val="-4"/>
        </w:rPr>
        <w:t xml:space="preserve"> </w:t>
      </w:r>
      <w:r w:rsidR="005E7D55">
        <w:t>upon</w:t>
      </w:r>
      <w:r w:rsidR="005E7D55">
        <w:rPr>
          <w:spacing w:val="-2"/>
        </w:rPr>
        <w:t xml:space="preserve"> </w:t>
      </w:r>
      <w:r w:rsidR="005E7D55">
        <w:t>portfolio</w:t>
      </w:r>
      <w:r w:rsidR="005E7D55" w:rsidRPr="00924EDE">
        <w:rPr>
          <w:spacing w:val="-2"/>
        </w:rPr>
        <w:t xml:space="preserve"> </w:t>
      </w:r>
      <w:r w:rsidR="005E7D55">
        <w:t>performance of the entire market or an asset class</w:t>
      </w:r>
      <w:r w:rsidRPr="00183117">
        <w:t>. This risk is managed by maintaining [for example, a diversified investment portfolio with exposure to a broad range of assets classes].</w:t>
      </w:r>
    </w:p>
    <w:p w14:paraId="59C65280" w14:textId="77777777" w:rsidR="0058259D" w:rsidRPr="003D3B15" w:rsidRDefault="0058259D" w:rsidP="00E71DE5">
      <w:pPr>
        <w:pStyle w:val="AttachmentHeading2"/>
      </w:pPr>
      <w:r w:rsidRPr="003D3B15">
        <w:t>Foreign exchange risk</w:t>
      </w:r>
    </w:p>
    <w:p w14:paraId="2857DE67" w14:textId="77777777" w:rsidR="0058259D" w:rsidRPr="00183117" w:rsidRDefault="0058259D" w:rsidP="00E71DE5">
      <w:pPr>
        <w:pStyle w:val="NormalIndent"/>
      </w:pPr>
      <w:r w:rsidRPr="00183117">
        <w:t xml:space="preserve">Foreign exchange risk is the risk that [ABC] will suffer financial loss due to adverse movements in foreign exchange rates. This risk is managed by maintaining [for example by hedging or a diversified exposure within the investment portfolio] </w:t>
      </w:r>
    </w:p>
    <w:p w14:paraId="4DFBF075" w14:textId="77777777" w:rsidR="0058259D" w:rsidRPr="003D3B15" w:rsidRDefault="0058259D" w:rsidP="00E71DE5">
      <w:pPr>
        <w:pStyle w:val="AttachmentHeading2"/>
      </w:pPr>
      <w:r w:rsidRPr="003D3B15">
        <w:t>Operational risk</w:t>
      </w:r>
    </w:p>
    <w:p w14:paraId="55448694" w14:textId="1D6DE23F" w:rsidR="0058259D" w:rsidRPr="00183117" w:rsidRDefault="0058259D" w:rsidP="00E71DE5">
      <w:pPr>
        <w:pStyle w:val="NormalIndent"/>
      </w:pPr>
      <w:r w:rsidRPr="00183117">
        <w:t>Operational risk is the risk that [ABC] will suffer loss owing to the mismanagement of the investment function. These may include risks of financial loss due to error, fraud or unauthorised dealing or use of financial products.</w:t>
      </w:r>
    </w:p>
    <w:p w14:paraId="40EBBFF2" w14:textId="77777777" w:rsidR="0058259D" w:rsidRPr="00183117" w:rsidRDefault="0058259D" w:rsidP="00E71DE5">
      <w:pPr>
        <w:pStyle w:val="NormalIndent"/>
      </w:pPr>
      <w:r w:rsidRPr="00183117">
        <w:t>Operational risk is monitored and controlled through the following risk management practices:</w:t>
      </w:r>
    </w:p>
    <w:p w14:paraId="2F2F7B23" w14:textId="78FDCC7D" w:rsidR="0058259D" w:rsidRPr="00521117" w:rsidRDefault="0058259D" w:rsidP="00E71DE5">
      <w:pPr>
        <w:pStyle w:val="AttachmentBullet1"/>
      </w:pPr>
      <w:r w:rsidRPr="00521117">
        <w:t xml:space="preserve">oversight by management and the </w:t>
      </w:r>
      <w:r w:rsidR="00F82308">
        <w:t>B</w:t>
      </w:r>
      <w:r w:rsidRPr="00521117">
        <w:t xml:space="preserve">oard of </w:t>
      </w:r>
      <w:r w:rsidR="00F82308">
        <w:t>D</w:t>
      </w:r>
      <w:r w:rsidRPr="00521117">
        <w:t>irectors;</w:t>
      </w:r>
    </w:p>
    <w:p w14:paraId="4B93A77C" w14:textId="77777777" w:rsidR="0058259D" w:rsidRPr="00521117" w:rsidRDefault="0058259D" w:rsidP="00E71DE5">
      <w:pPr>
        <w:pStyle w:val="AttachmentBullet1"/>
      </w:pPr>
      <w:r w:rsidRPr="00521117">
        <w:t>regular internal and external audits;</w:t>
      </w:r>
    </w:p>
    <w:p w14:paraId="7A8D1B9B" w14:textId="48D037CF" w:rsidR="0058259D" w:rsidRPr="00521117" w:rsidRDefault="0058259D" w:rsidP="00E71DE5">
      <w:pPr>
        <w:pStyle w:val="AttachmentBullet1"/>
      </w:pPr>
      <w:r w:rsidRPr="00521117">
        <w:t xml:space="preserve">the execution of investment strategy through VFMC; </w:t>
      </w:r>
    </w:p>
    <w:p w14:paraId="1269082A" w14:textId="77777777" w:rsidR="0058259D" w:rsidRPr="00521117" w:rsidRDefault="0058259D" w:rsidP="00E71DE5">
      <w:pPr>
        <w:pStyle w:val="AttachmentBullet1"/>
      </w:pPr>
      <w:r w:rsidRPr="00521117">
        <w:t xml:space="preserve">adherence to the investment management policies and procedures outlined in this Investment Policy Statement, including fully documented dealing and authorisation limits; </w:t>
      </w:r>
    </w:p>
    <w:p w14:paraId="626AFAAA" w14:textId="77777777" w:rsidR="0058259D" w:rsidRPr="00521117" w:rsidRDefault="0058259D" w:rsidP="00E71DE5">
      <w:pPr>
        <w:pStyle w:val="AttachmentBullet1"/>
      </w:pPr>
      <w:r w:rsidRPr="00521117">
        <w:t>a compliance monitoring and actioning procedures in line with a Board approved policy;</w:t>
      </w:r>
    </w:p>
    <w:p w14:paraId="3D1F2992" w14:textId="77777777" w:rsidR="0058259D" w:rsidRPr="00521117" w:rsidRDefault="0058259D" w:rsidP="00E71DE5">
      <w:pPr>
        <w:pStyle w:val="AttachmentBullet1"/>
      </w:pPr>
      <w:r w:rsidRPr="00521117">
        <w:t>appropriate organisational structure and resourcing within the investment function;</w:t>
      </w:r>
    </w:p>
    <w:p w14:paraId="6F8A8966" w14:textId="77777777" w:rsidR="0058259D" w:rsidRPr="00521117" w:rsidRDefault="0058259D" w:rsidP="00E71DE5">
      <w:pPr>
        <w:pStyle w:val="AttachmentBullet1"/>
      </w:pPr>
      <w:r w:rsidRPr="00521117">
        <w:t>effective performance and compliance reporting of investment activities and operations to management and the Board; and</w:t>
      </w:r>
    </w:p>
    <w:p w14:paraId="30C5F336" w14:textId="77777777" w:rsidR="0058259D" w:rsidRPr="00521117" w:rsidRDefault="0058259D" w:rsidP="00E71DE5">
      <w:pPr>
        <w:pStyle w:val="AttachmentBullet1"/>
      </w:pPr>
      <w:r w:rsidRPr="00521117">
        <w:t xml:space="preserve">measures to protect the integrity of information systems including security, backup, and disaster recovery of treasury and information systems. </w:t>
      </w:r>
    </w:p>
    <w:p w14:paraId="609CFFCF" w14:textId="77777777" w:rsidR="00507362" w:rsidRPr="00521117" w:rsidRDefault="00507362" w:rsidP="000B15FD">
      <w:pPr>
        <w:numPr>
          <w:ilvl w:val="0"/>
          <w:numId w:val="25"/>
        </w:numPr>
        <w:tabs>
          <w:tab w:val="left" w:pos="5460"/>
        </w:tabs>
        <w:spacing w:before="0" w:after="0"/>
        <w:jc w:val="both"/>
      </w:pPr>
      <w:r w:rsidRPr="00521117">
        <w:rPr>
          <w:szCs w:val="20"/>
        </w:rPr>
        <w:br w:type="page"/>
      </w:r>
    </w:p>
    <w:p w14:paraId="35101A7C" w14:textId="7F93B53E" w:rsidR="0058259D" w:rsidRPr="004661D4" w:rsidRDefault="0058259D" w:rsidP="00E71DE5">
      <w:pPr>
        <w:pStyle w:val="AttachmentHeading1"/>
      </w:pPr>
      <w:r w:rsidRPr="004661D4">
        <w:lastRenderedPageBreak/>
        <w:t>Permitted investment list</w:t>
      </w:r>
    </w:p>
    <w:p w14:paraId="45D4E5E8" w14:textId="77777777" w:rsidR="0058259D" w:rsidRPr="004661D4" w:rsidRDefault="0058259D" w:rsidP="00E71DE5">
      <w:pPr>
        <w:pStyle w:val="AttachmentHeading2"/>
      </w:pPr>
      <w:r w:rsidRPr="003D3B15">
        <w:t>Approved financial products</w:t>
      </w:r>
    </w:p>
    <w:p w14:paraId="1384CD7A" w14:textId="5E9726F9" w:rsidR="0058259D" w:rsidRPr="00183117" w:rsidRDefault="0058259D" w:rsidP="00E71DE5">
      <w:pPr>
        <w:pStyle w:val="NormalIndent"/>
      </w:pPr>
      <w:r w:rsidRPr="00183117">
        <w:t>[ABC] is permitted to invest in the following investment products subject to the limits and delegations provided by this Investment Policy Statement:</w:t>
      </w:r>
    </w:p>
    <w:p w14:paraId="68CB6CC7" w14:textId="3B9ABDB0" w:rsidR="0058259D" w:rsidRPr="00B4485F" w:rsidRDefault="0058259D" w:rsidP="00E71DE5">
      <w:pPr>
        <w:pStyle w:val="AttachmentBullet1"/>
      </w:pPr>
      <w:r w:rsidRPr="00B4485F">
        <w:t xml:space="preserve">VFMC </w:t>
      </w:r>
      <w:r w:rsidR="00E4489A">
        <w:t>Multi Asset</w:t>
      </w:r>
      <w:r w:rsidR="005D158B">
        <w:t xml:space="preserve"> Funds</w:t>
      </w:r>
      <w:r w:rsidRPr="00B4485F">
        <w:t>;</w:t>
      </w:r>
    </w:p>
    <w:p w14:paraId="47F9B742" w14:textId="58EF8D37" w:rsidR="007D2CDD" w:rsidRDefault="007D2CDD" w:rsidP="00E71DE5">
      <w:pPr>
        <w:pStyle w:val="AttachmentBullet1"/>
      </w:pPr>
      <w:r>
        <w:t xml:space="preserve">VFMC </w:t>
      </w:r>
      <w:r w:rsidR="00E4489A">
        <w:t>S</w:t>
      </w:r>
      <w:r>
        <w:t xml:space="preserve">ingle </w:t>
      </w:r>
      <w:r w:rsidR="00E4489A">
        <w:t>S</w:t>
      </w:r>
      <w:r>
        <w:t xml:space="preserve">ector </w:t>
      </w:r>
      <w:r w:rsidR="00E4489A">
        <w:t xml:space="preserve">Investment </w:t>
      </w:r>
      <w:r w:rsidR="00311C48">
        <w:t>Funds</w:t>
      </w:r>
      <w:r>
        <w:t>;</w:t>
      </w:r>
    </w:p>
    <w:p w14:paraId="5F18F59E" w14:textId="3A6BE088" w:rsidR="0058259D" w:rsidRPr="00B4485F" w:rsidRDefault="0058259D" w:rsidP="00E71DE5">
      <w:pPr>
        <w:pStyle w:val="AttachmentBullet1"/>
      </w:pPr>
      <w:r w:rsidRPr="00B4485F">
        <w:t xml:space="preserve">CBS deposits; </w:t>
      </w:r>
    </w:p>
    <w:p w14:paraId="5B939ABE" w14:textId="2B564570" w:rsidR="0058259D" w:rsidRPr="00B4485F" w:rsidRDefault="0058259D" w:rsidP="00E71DE5">
      <w:pPr>
        <w:pStyle w:val="AttachmentBullet1"/>
      </w:pPr>
      <w:r w:rsidRPr="00B4485F">
        <w:t>TCV deposit products as approved; and</w:t>
      </w:r>
    </w:p>
    <w:p w14:paraId="48A45DE3" w14:textId="77777777" w:rsidR="0058259D" w:rsidRPr="00B4485F" w:rsidRDefault="0058259D" w:rsidP="00E71DE5">
      <w:pPr>
        <w:pStyle w:val="AttachmentBullet1"/>
      </w:pPr>
      <w:r w:rsidRPr="00B4485F">
        <w:t>Transactional funds in a designated bank to cover liquidity requirements.</w:t>
      </w:r>
    </w:p>
    <w:p w14:paraId="64B2B8C3" w14:textId="77777777" w:rsidR="0058259D" w:rsidRPr="004661D4" w:rsidRDefault="0058259D" w:rsidP="00E71DE5">
      <w:pPr>
        <w:pStyle w:val="AttachmentHeading1"/>
      </w:pPr>
      <w:r w:rsidRPr="004661D4">
        <w:t>Internal controls and systems</w:t>
      </w:r>
    </w:p>
    <w:p w14:paraId="3766EEE0" w14:textId="77777777" w:rsidR="0058259D" w:rsidRPr="003D3B15" w:rsidRDefault="0058259D" w:rsidP="00E71DE5">
      <w:pPr>
        <w:pStyle w:val="AttachmentHeading2"/>
      </w:pPr>
      <w:r w:rsidRPr="003D3B15">
        <w:t xml:space="preserve">Internal audit </w:t>
      </w:r>
    </w:p>
    <w:p w14:paraId="02E6DFA5" w14:textId="08EF69A6" w:rsidR="0058259D" w:rsidRPr="00183117" w:rsidRDefault="0058259D" w:rsidP="00E71DE5">
      <w:pPr>
        <w:pStyle w:val="NormalIndent"/>
      </w:pPr>
      <w:r w:rsidRPr="00183117">
        <w:t>Internal audit will be carried out by [Accounting Firm X]. The internal audit function will be reviewed by the Board and re</w:t>
      </w:r>
      <w:r w:rsidRPr="00183117">
        <w:noBreakHyphen/>
        <w:t xml:space="preserve">tendered on a triennial basis. Internal audit reports will be conducted on at least an annual basis, and more regularly at the request of the Board. The internal audit report will be provided to the Board for their consideration. The Board reserves the right to engage additional audit activity at any time should it be required. </w:t>
      </w:r>
    </w:p>
    <w:p w14:paraId="6E1E6F5E" w14:textId="77777777" w:rsidR="0058259D" w:rsidRPr="003D3B15" w:rsidRDefault="0058259D" w:rsidP="00E71DE5">
      <w:pPr>
        <w:pStyle w:val="AttachmentHeading2"/>
      </w:pPr>
      <w:r w:rsidRPr="003D3B15">
        <w:t>Operational policies</w:t>
      </w:r>
    </w:p>
    <w:p w14:paraId="20A34C5C" w14:textId="77777777" w:rsidR="0058259D" w:rsidRPr="00183117" w:rsidRDefault="0058259D" w:rsidP="00E71DE5">
      <w:pPr>
        <w:pStyle w:val="NormalIndent"/>
      </w:pPr>
      <w:r w:rsidRPr="00183117">
        <w:t xml:space="preserve">Management and staff must comply with the requirements of the relevant Directions and Instructions outlined in Board policies and relevant legislation and policies. </w:t>
      </w:r>
    </w:p>
    <w:p w14:paraId="33B51C7F" w14:textId="37D25100" w:rsidR="0058259D" w:rsidRPr="00183117" w:rsidRDefault="0058259D" w:rsidP="00E71DE5">
      <w:pPr>
        <w:pStyle w:val="NormalIndent"/>
      </w:pPr>
      <w:r w:rsidRPr="00183117">
        <w:t xml:space="preserve">Management and staff must comply with the terms of this Investment Policy Statement in the conduct of the investment function of [ABC]. </w:t>
      </w:r>
    </w:p>
    <w:p w14:paraId="4612FB05" w14:textId="7DA135C2" w:rsidR="0058259D" w:rsidRPr="00183117" w:rsidRDefault="0058259D" w:rsidP="00E71DE5">
      <w:pPr>
        <w:pStyle w:val="NormalIndent"/>
      </w:pPr>
      <w:r w:rsidRPr="00183117">
        <w:t xml:space="preserve">The Accountable Officer is responsible for ensuring systems are in place to identify, measure and evaluate potential financial risks as and when they eventuate. The Accountable Officer should frequently review the risk environment of [ABC] and update the </w:t>
      </w:r>
      <w:r w:rsidR="0096719A">
        <w:t>investment objectives, SAA</w:t>
      </w:r>
      <w:r w:rsidR="009B440C">
        <w:t xml:space="preserve"> and </w:t>
      </w:r>
      <w:r w:rsidRPr="00183117">
        <w:t xml:space="preserve">Investment Policy Statement as required. </w:t>
      </w:r>
    </w:p>
    <w:p w14:paraId="6134C236" w14:textId="38D18B0A" w:rsidR="0058259D" w:rsidRPr="00183117" w:rsidRDefault="0058259D" w:rsidP="00E71DE5">
      <w:pPr>
        <w:pStyle w:val="NormalIndent"/>
      </w:pPr>
      <w:r w:rsidRPr="00183117">
        <w:t xml:space="preserve">The Board must ensure adequate segregation of duties to minimise the risk of error or fraud in the investment management process and enhance the probability of discovering error or fraud. </w:t>
      </w:r>
    </w:p>
    <w:p w14:paraId="400B71D3" w14:textId="54AE0498" w:rsidR="0058259D" w:rsidRPr="00183117" w:rsidRDefault="0058259D" w:rsidP="00E71DE5">
      <w:pPr>
        <w:pStyle w:val="NormalIndent"/>
      </w:pPr>
      <w:r w:rsidRPr="00183117">
        <w:t xml:space="preserve">The Board is responsible for ensuring that management policies and directions, including this Investment Policy Statement, are being adhered to by management and staff. </w:t>
      </w:r>
    </w:p>
    <w:p w14:paraId="121A8E30" w14:textId="77777777" w:rsidR="0058259D" w:rsidRPr="003D3B15" w:rsidRDefault="0058259D" w:rsidP="00E71DE5">
      <w:pPr>
        <w:pStyle w:val="AttachmentHeading2"/>
      </w:pPr>
      <w:r w:rsidRPr="003D3B15">
        <w:t>Information systems</w:t>
      </w:r>
    </w:p>
    <w:p w14:paraId="1FCD7572" w14:textId="2D99E1AC" w:rsidR="0058259D" w:rsidRPr="00183117" w:rsidRDefault="0058259D" w:rsidP="00E71DE5">
      <w:pPr>
        <w:pStyle w:val="NormalIndent"/>
      </w:pPr>
      <w:r w:rsidRPr="00183117">
        <w:t>The Accountable Officer must ensure that computer systems, including accounting software and communications systems</w:t>
      </w:r>
      <w:r w:rsidR="004C22F9">
        <w:t>,</w:t>
      </w:r>
      <w:r w:rsidRPr="00183117">
        <w:t xml:space="preserve"> can support the investment function at all times. </w:t>
      </w:r>
    </w:p>
    <w:p w14:paraId="281F5E1F" w14:textId="77777777" w:rsidR="0058259D" w:rsidRPr="003D3B15" w:rsidRDefault="0058259D" w:rsidP="00E71DE5">
      <w:pPr>
        <w:pStyle w:val="AttachmentHeading2"/>
      </w:pPr>
      <w:r w:rsidRPr="003D3B15">
        <w:t>Breach reporting</w:t>
      </w:r>
    </w:p>
    <w:p w14:paraId="566A9E95" w14:textId="1181A672" w:rsidR="0058259D" w:rsidRPr="00183117" w:rsidRDefault="0058259D" w:rsidP="00E71DE5">
      <w:pPr>
        <w:pStyle w:val="NormalIndent"/>
      </w:pPr>
      <w:r w:rsidRPr="00183117">
        <w:t>The Accountable Officer must ensure a process is in place to report breaches to the Board of any requirements in this Investment Policy Statement, including procedures to ensure that breaches are appropriately addressed, and internal controls amended if required.</w:t>
      </w:r>
    </w:p>
    <w:p w14:paraId="5352935E" w14:textId="3A41B93F" w:rsidR="0058259D" w:rsidRPr="00183117" w:rsidRDefault="0058259D" w:rsidP="00E71DE5">
      <w:pPr>
        <w:pStyle w:val="NormalIndent"/>
      </w:pPr>
      <w:r w:rsidRPr="00183117">
        <w:t>Significant breaches must be reported in accordance with the Compliance and Reporting Direction.</w:t>
      </w:r>
    </w:p>
    <w:p w14:paraId="21EC63CD" w14:textId="77777777" w:rsidR="0058259D" w:rsidRPr="004661D4" w:rsidRDefault="0058259D" w:rsidP="00E71DE5">
      <w:pPr>
        <w:pStyle w:val="AttachmentHeading1"/>
      </w:pPr>
      <w:r w:rsidRPr="004661D4">
        <w:t>Reporting to Board and management</w:t>
      </w:r>
    </w:p>
    <w:p w14:paraId="04BD8379" w14:textId="40F47AA0" w:rsidR="0058259D" w:rsidRPr="00183117" w:rsidRDefault="0058259D" w:rsidP="00E71DE5">
      <w:pPr>
        <w:pStyle w:val="NormalIndent"/>
      </w:pPr>
      <w:r w:rsidRPr="00183117">
        <w:t xml:space="preserve">The Accountable Officer must ensure that reports to the Board are provided on at least a quarterly basis detailing investment operations and performance of [ABC]. </w:t>
      </w:r>
    </w:p>
    <w:p w14:paraId="75695DD2" w14:textId="77777777" w:rsidR="0058259D" w:rsidRPr="00183117" w:rsidRDefault="0058259D" w:rsidP="00E71DE5">
      <w:pPr>
        <w:pStyle w:val="NormalIndent"/>
        <w:rPr>
          <w:rFonts w:cstheme="minorHAnsi"/>
        </w:rPr>
      </w:pPr>
      <w:r w:rsidRPr="00183117">
        <w:t xml:space="preserve">The Investment Manager [VFMC] will provide comprehensive investment reporting on a monthly, quarterly, and annual </w:t>
      </w:r>
      <w:r w:rsidRPr="00183117">
        <w:rPr>
          <w:rFonts w:cstheme="minorHAnsi"/>
        </w:rPr>
        <w:t xml:space="preserve">basis. More frequent reporting may be prudent in periods of high market volatility. </w:t>
      </w:r>
    </w:p>
    <w:p w14:paraId="66412936" w14:textId="77777777" w:rsidR="0058259D" w:rsidRPr="00183117" w:rsidRDefault="0058259D" w:rsidP="00E71DE5">
      <w:pPr>
        <w:pStyle w:val="NormalIndent"/>
        <w:rPr>
          <w:rFonts w:cstheme="minorHAnsi"/>
        </w:rPr>
      </w:pPr>
      <w:r w:rsidRPr="00183117">
        <w:rPr>
          <w:rFonts w:cstheme="minorHAnsi"/>
        </w:rPr>
        <w:t>Quarterly investment reports from management to the Board should contain the following features:</w:t>
      </w:r>
    </w:p>
    <w:p w14:paraId="6CD6FA6B" w14:textId="77777777" w:rsidR="0058259D" w:rsidRPr="00B4485F" w:rsidRDefault="0058259D" w:rsidP="00E71DE5">
      <w:pPr>
        <w:pStyle w:val="AttachmentBullet1"/>
      </w:pPr>
      <w:r w:rsidRPr="00B4485F">
        <w:t>a regular reporting of portfolio values using the mark</w:t>
      </w:r>
      <w:r w:rsidRPr="00B4485F">
        <w:noBreakHyphen/>
        <w:t>to</w:t>
      </w:r>
      <w:r w:rsidRPr="00B4485F">
        <w:noBreakHyphen/>
        <w:t xml:space="preserve">market methodology; </w:t>
      </w:r>
    </w:p>
    <w:p w14:paraId="0E51DA1A" w14:textId="77777777" w:rsidR="0058259D" w:rsidRPr="00B4485F" w:rsidRDefault="0058259D" w:rsidP="00E71DE5">
      <w:pPr>
        <w:pStyle w:val="AttachmentBullet1"/>
      </w:pPr>
      <w:r w:rsidRPr="00B4485F">
        <w:t>a breakdown of investment performance for each asset class or product including a comparison of performance against relevant benchmarks; and</w:t>
      </w:r>
    </w:p>
    <w:p w14:paraId="66D2C592" w14:textId="7213DE75" w:rsidR="00FF4D93" w:rsidRPr="00B4485F" w:rsidRDefault="0058259D" w:rsidP="00E71DE5">
      <w:pPr>
        <w:pStyle w:val="AttachmentBullet1"/>
      </w:pPr>
      <w:r w:rsidRPr="00B4485F">
        <w:t>a note verifying compliance with the Investment Policy Statement, and all relevant legislation, subordinate legislation, Ministerial Directions and Instructions including the provision of a detailed explanation where any of the above requirements are breached.</w:t>
      </w:r>
      <w:bookmarkEnd w:id="40"/>
    </w:p>
    <w:p w14:paraId="4104BA98" w14:textId="77777777" w:rsidR="009408C9" w:rsidRPr="00183117" w:rsidRDefault="009408C9" w:rsidP="00E71DE5">
      <w:pPr>
        <w:pStyle w:val="AttachmentBullet1"/>
        <w:sectPr w:rsidR="009408C9" w:rsidRPr="00183117" w:rsidSect="007F1A5E">
          <w:pgSz w:w="11906" w:h="16838"/>
          <w:pgMar w:top="1440" w:right="1008" w:bottom="1440" w:left="1008" w:header="706" w:footer="389" w:gutter="0"/>
          <w:cols w:space="708"/>
          <w:titlePg/>
          <w:docGrid w:linePitch="360"/>
        </w:sectPr>
      </w:pPr>
    </w:p>
    <w:p w14:paraId="6D77305C" w14:textId="77777777" w:rsidR="009408C9" w:rsidRPr="004E6EEE" w:rsidRDefault="009408C9">
      <w:pPr>
        <w:pStyle w:val="GuidanceTitle"/>
      </w:pPr>
      <w:bookmarkStart w:id="42" w:name="Guidance_3_9"/>
      <w:bookmarkStart w:id="43" w:name="_Toc441672090"/>
      <w:r>
        <w:lastRenderedPageBreak/>
        <w:t>Guidance 3.</w:t>
      </w:r>
      <w:r w:rsidR="00461CFC">
        <w:t>9</w:t>
      </w:r>
      <w:r w:rsidRPr="00C046C1">
        <w:t xml:space="preserve"> </w:t>
      </w:r>
      <w:bookmarkEnd w:id="42"/>
      <w:r w:rsidRPr="00C046C1">
        <w:t xml:space="preserve">– Managing </w:t>
      </w:r>
      <w:r w:rsidR="00100277">
        <w:t xml:space="preserve">financial </w:t>
      </w:r>
      <w:r w:rsidRPr="00C046C1">
        <w:t>information</w:t>
      </w:r>
      <w:bookmarkEnd w:id="43"/>
    </w:p>
    <w:p w14:paraId="10871CC8" w14:textId="77777777" w:rsidR="008C1C9D" w:rsidRDefault="008C1C9D">
      <w:pPr>
        <w:pStyle w:val="Spacer"/>
      </w:pPr>
    </w:p>
    <w:tbl>
      <w:tblPr>
        <w:tblStyle w:val="Table15"/>
        <w:tblW w:w="9900" w:type="dxa"/>
        <w:tblLook w:val="0080" w:firstRow="0" w:lastRow="0" w:firstColumn="1" w:lastColumn="0" w:noHBand="0" w:noVBand="0"/>
      </w:tblPr>
      <w:tblGrid>
        <w:gridCol w:w="3119"/>
        <w:gridCol w:w="6781"/>
      </w:tblGrid>
      <w:tr w:rsidR="008C1C9D" w:rsidRPr="009408C9" w14:paraId="337E9171" w14:textId="77777777" w:rsidTr="00F57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A67D2BD" w14:textId="77777777" w:rsidR="008C1C9D" w:rsidRPr="009408C9" w:rsidRDefault="008C1C9D" w:rsidP="00F57D75">
            <w:pPr>
              <w:spacing w:before="60" w:after="60" w:line="252" w:lineRule="auto"/>
              <w:rPr>
                <w:rFonts w:cs="Times New Roman"/>
                <w:b/>
                <w:sz w:val="18"/>
                <w:szCs w:val="20"/>
              </w:rPr>
            </w:pPr>
            <w:r w:rsidRPr="009408C9">
              <w:rPr>
                <w:rFonts w:cs="Times New Roman"/>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6C0C6B55" w14:textId="77777777" w:rsidR="008C1C9D" w:rsidRPr="009408C9" w:rsidRDefault="008C1C9D" w:rsidP="00F57D75">
            <w:pPr>
              <w:spacing w:before="60" w:after="60" w:line="252" w:lineRule="auto"/>
              <w:rPr>
                <w:rFonts w:cs="Times New Roman"/>
                <w:bCs/>
                <w:sz w:val="18"/>
                <w:szCs w:val="20"/>
              </w:rPr>
            </w:pPr>
            <w:r w:rsidRPr="005921BC">
              <w:rPr>
                <w:rFonts w:cstheme="minorHAnsi"/>
                <w:sz w:val="18"/>
                <w:szCs w:val="20"/>
              </w:rPr>
              <w:t xml:space="preserve">Brings together key information and resources for </w:t>
            </w:r>
            <w:r>
              <w:rPr>
                <w:rFonts w:cstheme="minorHAnsi"/>
                <w:sz w:val="18"/>
                <w:szCs w:val="20"/>
              </w:rPr>
              <w:t>managing financial</w:t>
            </w:r>
            <w:r w:rsidRPr="005921BC">
              <w:rPr>
                <w:rFonts w:cstheme="minorHAnsi"/>
                <w:sz w:val="18"/>
                <w:szCs w:val="20"/>
              </w:rPr>
              <w:t xml:space="preserve"> information</w:t>
            </w:r>
            <w:r>
              <w:rPr>
                <w:rFonts w:cstheme="minorHAnsi"/>
                <w:sz w:val="18"/>
                <w:szCs w:val="20"/>
              </w:rPr>
              <w:t>.</w:t>
            </w:r>
          </w:p>
        </w:tc>
      </w:tr>
      <w:tr w:rsidR="008C1C9D" w:rsidRPr="009408C9" w14:paraId="7CD79D1B" w14:textId="77777777" w:rsidTr="00F57D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99E75BE" w14:textId="77777777" w:rsidR="008C1C9D" w:rsidRPr="009408C9" w:rsidRDefault="008C1C9D" w:rsidP="00F57D75">
            <w:pPr>
              <w:spacing w:before="60" w:after="60" w:line="252" w:lineRule="auto"/>
              <w:rPr>
                <w:rFonts w:cs="Times New Roman"/>
                <w:b/>
                <w:sz w:val="18"/>
                <w:szCs w:val="20"/>
              </w:rPr>
            </w:pPr>
            <w:r w:rsidRPr="009408C9">
              <w:rPr>
                <w:rFonts w:cs="Times New Roman"/>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6F17BDC2" w14:textId="77777777" w:rsidR="008C1C9D" w:rsidRPr="009408C9" w:rsidRDefault="008C1C9D" w:rsidP="00F57D75">
            <w:pPr>
              <w:spacing w:before="60" w:after="60" w:line="252" w:lineRule="auto"/>
              <w:rPr>
                <w:rFonts w:cs="Times New Roman"/>
                <w:bCs/>
                <w:sz w:val="18"/>
                <w:szCs w:val="20"/>
              </w:rPr>
            </w:pPr>
            <w:r w:rsidRPr="009408C9">
              <w:rPr>
                <w:bCs/>
                <w:sz w:val="18"/>
                <w:szCs w:val="20"/>
              </w:rPr>
              <w:t>1 July 2016</w:t>
            </w:r>
          </w:p>
        </w:tc>
      </w:tr>
      <w:tr w:rsidR="008C1C9D" w:rsidRPr="009408C9" w14:paraId="32656CBA" w14:textId="77777777" w:rsidTr="00F57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6B308B8" w14:textId="77777777" w:rsidR="008C1C9D" w:rsidRPr="009408C9" w:rsidRDefault="008C1C9D" w:rsidP="000B6691">
            <w:pPr>
              <w:spacing w:before="60" w:after="60" w:line="252" w:lineRule="auto"/>
              <w:rPr>
                <w:rFonts w:cs="Times New Roman"/>
                <w:b/>
                <w:sz w:val="18"/>
                <w:szCs w:val="20"/>
              </w:rPr>
            </w:pPr>
            <w:r w:rsidRPr="009408C9">
              <w:rPr>
                <w:rFonts w:cs="Times New Roman"/>
                <w:b/>
                <w:sz w:val="18"/>
                <w:szCs w:val="20"/>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4D627B0C" w14:textId="27461D54" w:rsidR="000B6691" w:rsidRDefault="000B6691" w:rsidP="000B6691">
            <w:pPr>
              <w:spacing w:before="40" w:after="40" w:line="240" w:lineRule="atLeast"/>
              <w:rPr>
                <w:rFonts w:cstheme="minorHAnsi"/>
                <w:sz w:val="18"/>
                <w:szCs w:val="20"/>
              </w:rPr>
            </w:pPr>
            <w:hyperlink r:id="rId239" w:anchor="standing-directions-2018" w:history="1">
              <w:r w:rsidRPr="00BE5E1B">
                <w:rPr>
                  <w:rStyle w:val="Hyperlink"/>
                  <w:rFonts w:cstheme="minorHAnsi"/>
                  <w:sz w:val="18"/>
                  <w:szCs w:val="20"/>
                </w:rPr>
                <w:t>3.4 Internal control system</w:t>
              </w:r>
            </w:hyperlink>
          </w:p>
          <w:p w14:paraId="56174D1B" w14:textId="21885975" w:rsidR="000B6691" w:rsidRDefault="000B6691" w:rsidP="000B6691">
            <w:pPr>
              <w:spacing w:before="40" w:after="40" w:line="240" w:lineRule="atLeast"/>
              <w:rPr>
                <w:rFonts w:cstheme="minorHAnsi"/>
                <w:sz w:val="18"/>
                <w:szCs w:val="20"/>
              </w:rPr>
            </w:pPr>
            <w:hyperlink r:id="rId240" w:anchor="standing-directions-2018" w:history="1">
              <w:r w:rsidRPr="00BE5E1B">
                <w:rPr>
                  <w:rStyle w:val="Hyperlink"/>
                  <w:rFonts w:cstheme="minorHAnsi"/>
                  <w:sz w:val="18"/>
                  <w:szCs w:val="20"/>
                </w:rPr>
                <w:t>3.7 Managing risk</w:t>
              </w:r>
            </w:hyperlink>
          </w:p>
          <w:p w14:paraId="56F5E52A" w14:textId="00F1AA15" w:rsidR="008C1C9D" w:rsidRPr="009408C9" w:rsidRDefault="000B6691" w:rsidP="000B6691">
            <w:pPr>
              <w:spacing w:before="60" w:after="60" w:line="252" w:lineRule="auto"/>
              <w:rPr>
                <w:rFonts w:cs="Times New Roman"/>
                <w:bCs/>
                <w:sz w:val="18"/>
                <w:szCs w:val="20"/>
              </w:rPr>
            </w:pPr>
            <w:hyperlink r:id="rId241" w:anchor="standing-directions-2018" w:history="1">
              <w:r w:rsidRPr="00BE5E1B">
                <w:rPr>
                  <w:rStyle w:val="Hyperlink"/>
                  <w:rFonts w:cstheme="minorHAnsi"/>
                  <w:sz w:val="18"/>
                  <w:szCs w:val="20"/>
                </w:rPr>
                <w:t>3.9 Managing financial information</w:t>
              </w:r>
            </w:hyperlink>
          </w:p>
        </w:tc>
      </w:tr>
      <w:tr w:rsidR="008C1C9D" w:rsidRPr="009408C9" w14:paraId="040D0F67" w14:textId="77777777" w:rsidTr="00F57D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808E7B2" w14:textId="77777777" w:rsidR="008C1C9D" w:rsidRPr="009408C9" w:rsidRDefault="008C1C9D" w:rsidP="00F57D75">
            <w:pPr>
              <w:spacing w:before="60" w:after="60" w:line="252" w:lineRule="auto"/>
              <w:rPr>
                <w:rFonts w:cs="Times New Roman"/>
                <w:b/>
                <w:sz w:val="18"/>
                <w:szCs w:val="20"/>
              </w:rPr>
            </w:pPr>
            <w:r w:rsidRPr="009408C9">
              <w:rPr>
                <w:rFonts w:cs="Times New Roman"/>
                <w:b/>
                <w:sz w:val="18"/>
                <w:szCs w:val="20"/>
              </w:rPr>
              <w:t>Last reviewed date</w:t>
            </w:r>
          </w:p>
        </w:tc>
        <w:tc>
          <w:tcPr>
            <w:cnfStyle w:val="000010000000" w:firstRow="0" w:lastRow="0" w:firstColumn="0" w:lastColumn="0" w:oddVBand="1" w:evenVBand="0" w:oddHBand="0" w:evenHBand="0" w:firstRowFirstColumn="0" w:firstRowLastColumn="0" w:lastRowFirstColumn="0" w:lastRowLastColumn="0"/>
            <w:tcW w:w="6781" w:type="dxa"/>
          </w:tcPr>
          <w:p w14:paraId="08AD867D" w14:textId="06285613" w:rsidR="008C1C9D" w:rsidRPr="009408C9" w:rsidRDefault="00515507" w:rsidP="00F57D75">
            <w:pPr>
              <w:spacing w:before="60" w:after="60" w:line="252" w:lineRule="auto"/>
              <w:rPr>
                <w:rFonts w:cs="Times New Roman"/>
                <w:bCs/>
                <w:sz w:val="18"/>
                <w:szCs w:val="20"/>
              </w:rPr>
            </w:pPr>
            <w:r>
              <w:rPr>
                <w:rFonts w:cs="Times New Roman"/>
                <w:bCs/>
                <w:sz w:val="18"/>
                <w:szCs w:val="20"/>
              </w:rPr>
              <w:t>1 May 2019</w:t>
            </w:r>
          </w:p>
        </w:tc>
      </w:tr>
    </w:tbl>
    <w:p w14:paraId="0414996B" w14:textId="77777777" w:rsidR="008C1C9D" w:rsidRDefault="008C1C9D">
      <w:pPr>
        <w:pStyle w:val="Spacer"/>
      </w:pPr>
    </w:p>
    <w:p w14:paraId="254E5DC9" w14:textId="64AC8616" w:rsidR="00786459" w:rsidRDefault="00786459" w:rsidP="00786459">
      <w:pPr>
        <w:rPr>
          <w:rFonts w:eastAsia="+mn-ea"/>
        </w:rPr>
      </w:pPr>
      <w:hyperlink r:id="rId242" w:anchor="standing-directions-2018" w:history="1">
        <w:r w:rsidRPr="00D4158F">
          <w:rPr>
            <w:rStyle w:val="Hyperlink"/>
            <w:rFonts w:eastAsia="+mn-ea"/>
          </w:rPr>
          <w:t>Direction 3.</w:t>
        </w:r>
        <w:r w:rsidR="00176D57" w:rsidRPr="00D4158F">
          <w:rPr>
            <w:rStyle w:val="Hyperlink"/>
            <w:rFonts w:eastAsia="+mn-ea"/>
          </w:rPr>
          <w:t>9</w:t>
        </w:r>
      </w:hyperlink>
      <w:r w:rsidR="006F0D5C">
        <w:rPr>
          <w:rFonts w:eastAsia="+mn-ea"/>
        </w:rPr>
        <w:t xml:space="preserve"> provides that the A</w:t>
      </w:r>
      <w:r>
        <w:rPr>
          <w:rFonts w:eastAsia="+mn-ea"/>
        </w:rPr>
        <w:t>gency must apply</w:t>
      </w:r>
      <w:r w:rsidRPr="00AF6695">
        <w:rPr>
          <w:rFonts w:eastAsia="+mn-ea"/>
        </w:rPr>
        <w:t xml:space="preserve"> relevant legislation, standards and policies</w:t>
      </w:r>
      <w:r>
        <w:rPr>
          <w:rFonts w:eastAsia="+mn-ea"/>
        </w:rPr>
        <w:t xml:space="preserve"> in relation to its management of financial information</w:t>
      </w:r>
      <w:r w:rsidR="00094F43">
        <w:rPr>
          <w:rFonts w:eastAsia="+mn-ea"/>
        </w:rPr>
        <w:t>, including financial information systems</w:t>
      </w:r>
      <w:r>
        <w:rPr>
          <w:rFonts w:eastAsia="+mn-ea"/>
        </w:rPr>
        <w:t xml:space="preserve">. </w:t>
      </w:r>
      <w:r w:rsidR="00094F43">
        <w:rPr>
          <w:rFonts w:eastAsia="+mn-ea"/>
        </w:rPr>
        <w:t>This captures all forms of financial information and information systems, including documents, digital records and information technology systems.</w:t>
      </w:r>
    </w:p>
    <w:p w14:paraId="544F59F6" w14:textId="7EE399D2" w:rsidR="0076439F" w:rsidRDefault="0076439F" w:rsidP="00786459">
      <w:pPr>
        <w:rPr>
          <w:rFonts w:eastAsia="+mn-ea"/>
        </w:rPr>
      </w:pPr>
      <w:r>
        <w:rPr>
          <w:rFonts w:eastAsia="+mn-ea"/>
        </w:rPr>
        <w:t xml:space="preserve">Direction 3.9 does not impose a duty on an Agency to comply with </w:t>
      </w:r>
      <w:r w:rsidRPr="00AF6695">
        <w:rPr>
          <w:rFonts w:eastAsia="+mn-ea"/>
        </w:rPr>
        <w:t>relevant legislation, standards and policies</w:t>
      </w:r>
      <w:r>
        <w:rPr>
          <w:rFonts w:eastAsia="+mn-ea"/>
        </w:rPr>
        <w:t>. The terms of the relevant legislation, standards and policies themselves impose that duty. Direction 3.9 imposes a duty on the Accountable Officer of the Agency to ensure that the Agency does comply, i.e. that it has properly established systems and trained people who check and verify compliance.</w:t>
      </w:r>
    </w:p>
    <w:p w14:paraId="4A70BF89" w14:textId="77777777" w:rsidR="00786459" w:rsidRDefault="00786459" w:rsidP="00786459">
      <w:pPr>
        <w:rPr>
          <w:rFonts w:eastAsia="+mn-ea"/>
        </w:rPr>
      </w:pPr>
      <w:r>
        <w:rPr>
          <w:rFonts w:eastAsia="+mn-ea"/>
        </w:rPr>
        <w:t xml:space="preserve">There </w:t>
      </w:r>
      <w:r w:rsidR="00EA44E1">
        <w:rPr>
          <w:rFonts w:eastAsia="+mn-ea"/>
        </w:rPr>
        <w:t>is</w:t>
      </w:r>
      <w:r>
        <w:rPr>
          <w:rFonts w:eastAsia="+mn-ea"/>
        </w:rPr>
        <w:t xml:space="preserve"> a range of existing frameworks in place in relation to information management by the VPS. Where a framework appli</w:t>
      </w:r>
      <w:r w:rsidR="006F0D5C">
        <w:rPr>
          <w:rFonts w:eastAsia="+mn-ea"/>
        </w:rPr>
        <w:t>es to an A</w:t>
      </w:r>
      <w:r>
        <w:rPr>
          <w:rFonts w:eastAsia="+mn-ea"/>
        </w:rPr>
        <w:t>gency, it should be applied to all relevant information, financial and non</w:t>
      </w:r>
      <w:r w:rsidR="00D62B6D">
        <w:rPr>
          <w:rFonts w:eastAsia="+mn-ea"/>
        </w:rPr>
        <w:noBreakHyphen/>
      </w:r>
      <w:r>
        <w:rPr>
          <w:rFonts w:eastAsia="+mn-ea"/>
        </w:rPr>
        <w:t>financial. However, the Directions emphasise that the proper management of financial information is particularly important.</w:t>
      </w:r>
    </w:p>
    <w:p w14:paraId="6270CA9A" w14:textId="77777777" w:rsidR="00786459" w:rsidRDefault="00094F43" w:rsidP="00786459">
      <w:pPr>
        <w:rPr>
          <w:rFonts w:eastAsia="+mn-ea"/>
        </w:rPr>
      </w:pPr>
      <w:r>
        <w:rPr>
          <w:rFonts w:eastAsia="+mn-ea"/>
        </w:rPr>
        <w:t>S</w:t>
      </w:r>
      <w:r w:rsidR="00786459">
        <w:rPr>
          <w:rFonts w:eastAsia="+mn-ea"/>
        </w:rPr>
        <w:t xml:space="preserve">ignificant </w:t>
      </w:r>
      <w:r w:rsidR="00786459" w:rsidRPr="00AF6695">
        <w:rPr>
          <w:rFonts w:eastAsia="+mn-ea"/>
        </w:rPr>
        <w:t>legislation, standards and policies</w:t>
      </w:r>
      <w:r w:rsidR="00786459">
        <w:rPr>
          <w:rFonts w:eastAsia="+mn-ea"/>
        </w:rPr>
        <w:t xml:space="preserve"> include those for information management, recordkeeping, privacy and data protection, intellectual property</w:t>
      </w:r>
      <w:r>
        <w:rPr>
          <w:rFonts w:eastAsia="+mn-ea"/>
        </w:rPr>
        <w:t>,</w:t>
      </w:r>
      <w:r w:rsidR="00786459">
        <w:rPr>
          <w:rFonts w:eastAsia="+mn-ea"/>
        </w:rPr>
        <w:t xml:space="preserve"> data sharing</w:t>
      </w:r>
      <w:r>
        <w:rPr>
          <w:rFonts w:eastAsia="+mn-ea"/>
        </w:rPr>
        <w:t xml:space="preserve"> and information systems</w:t>
      </w:r>
      <w:r w:rsidR="00786459">
        <w:rPr>
          <w:rFonts w:eastAsia="+mn-ea"/>
        </w:rPr>
        <w:t xml:space="preserve">. Each is described in more detail below. </w:t>
      </w:r>
    </w:p>
    <w:p w14:paraId="1C195C00" w14:textId="10DFB5C6" w:rsidR="00786459" w:rsidRDefault="00786459" w:rsidP="00786459">
      <w:pPr>
        <w:rPr>
          <w:rFonts w:eastAsia="+mn-ea"/>
        </w:rPr>
      </w:pPr>
      <w:r>
        <w:rPr>
          <w:rFonts w:eastAsia="+mn-ea"/>
        </w:rPr>
        <w:t xml:space="preserve">Agencies should note that </w:t>
      </w:r>
      <w:hyperlink r:id="rId243" w:anchor="standing-directions-2018" w:history="1">
        <w:r w:rsidRPr="00D4158F">
          <w:rPr>
            <w:rStyle w:val="Hyperlink"/>
            <w:rFonts w:eastAsia="+mn-ea"/>
          </w:rPr>
          <w:t>Direction 3.</w:t>
        </w:r>
        <w:r w:rsidR="00D14A60" w:rsidRPr="00D4158F">
          <w:rPr>
            <w:rStyle w:val="Hyperlink"/>
            <w:rFonts w:eastAsia="+mn-ea"/>
          </w:rPr>
          <w:t>9</w:t>
        </w:r>
      </w:hyperlink>
      <w:r>
        <w:rPr>
          <w:rFonts w:eastAsia="+mn-ea"/>
        </w:rPr>
        <w:t xml:space="preserve"> only applies to the extent that particular </w:t>
      </w:r>
      <w:r w:rsidRPr="00AF6695">
        <w:rPr>
          <w:rFonts w:eastAsia="+mn-ea"/>
        </w:rPr>
        <w:t xml:space="preserve">legislation, standards </w:t>
      </w:r>
      <w:r>
        <w:rPr>
          <w:rFonts w:eastAsia="+mn-ea"/>
        </w:rPr>
        <w:t xml:space="preserve">or </w:t>
      </w:r>
      <w:r w:rsidRPr="00AF6695">
        <w:rPr>
          <w:rFonts w:eastAsia="+mn-ea"/>
        </w:rPr>
        <w:t>policies</w:t>
      </w:r>
      <w:r w:rsidR="006F0D5C">
        <w:rPr>
          <w:rFonts w:eastAsia="+mn-ea"/>
        </w:rPr>
        <w:t xml:space="preserve"> already apply to an A</w:t>
      </w:r>
      <w:r>
        <w:rPr>
          <w:rFonts w:eastAsia="+mn-ea"/>
        </w:rPr>
        <w:t xml:space="preserve">gency. For example, the </w:t>
      </w:r>
      <w:r w:rsidRPr="003E0FBE">
        <w:rPr>
          <w:rFonts w:eastAsia="+mn-ea"/>
          <w:i/>
        </w:rPr>
        <w:t>Privacy and Data Protection Act 2014</w:t>
      </w:r>
      <w:r w:rsidR="00EB3C15">
        <w:rPr>
          <w:rFonts w:eastAsia="+mn-ea"/>
        </w:rPr>
        <w:t xml:space="preserve"> </w:t>
      </w:r>
      <w:r w:rsidR="00453706">
        <w:rPr>
          <w:rFonts w:eastAsia="+mn-ea"/>
        </w:rPr>
        <w:t>specifies the A</w:t>
      </w:r>
      <w:r>
        <w:rPr>
          <w:rFonts w:eastAsia="+mn-ea"/>
        </w:rPr>
        <w:t>gencies</w:t>
      </w:r>
      <w:r w:rsidR="00EB3C15">
        <w:rPr>
          <w:rFonts w:eastAsia="+mn-ea"/>
        </w:rPr>
        <w:t xml:space="preserve"> and bodies</w:t>
      </w:r>
      <w:r>
        <w:rPr>
          <w:rFonts w:eastAsia="+mn-ea"/>
        </w:rPr>
        <w:t xml:space="preserve"> </w:t>
      </w:r>
      <w:r w:rsidR="00453706">
        <w:rPr>
          <w:rFonts w:eastAsia="+mn-ea"/>
        </w:rPr>
        <w:t>to which the Act applies. Only A</w:t>
      </w:r>
      <w:r>
        <w:rPr>
          <w:rFonts w:eastAsia="+mn-ea"/>
        </w:rPr>
        <w:t xml:space="preserve">gencies subject to the </w:t>
      </w:r>
      <w:r w:rsidR="00EB3C15">
        <w:rPr>
          <w:rFonts w:eastAsia="+mn-ea"/>
        </w:rPr>
        <w:t>Act</w:t>
      </w:r>
      <w:r>
        <w:rPr>
          <w:rFonts w:eastAsia="+mn-ea"/>
        </w:rPr>
        <w:t xml:space="preserve"> would apply it under </w:t>
      </w:r>
      <w:hyperlink r:id="rId244" w:anchor="standing-directions-2018" w:history="1">
        <w:r w:rsidRPr="00D4158F">
          <w:rPr>
            <w:rStyle w:val="Hyperlink"/>
            <w:rFonts w:eastAsia="+mn-ea"/>
          </w:rPr>
          <w:t>Direction 3.</w:t>
        </w:r>
        <w:r w:rsidR="00D14A60" w:rsidRPr="00D4158F">
          <w:rPr>
            <w:rStyle w:val="Hyperlink"/>
            <w:rFonts w:eastAsia="+mn-ea"/>
          </w:rPr>
          <w:t>9</w:t>
        </w:r>
      </w:hyperlink>
      <w:r w:rsidRPr="00D4158F">
        <w:rPr>
          <w:rFonts w:eastAsia="+mn-ea"/>
        </w:rPr>
        <w:t>.</w:t>
      </w:r>
      <w:r>
        <w:rPr>
          <w:rFonts w:eastAsia="+mn-ea"/>
        </w:rPr>
        <w:t xml:space="preserve"> </w:t>
      </w:r>
    </w:p>
    <w:p w14:paraId="13EB2E9D" w14:textId="77777777" w:rsidR="00786459" w:rsidRDefault="00786459" w:rsidP="00786459">
      <w:pPr>
        <w:pStyle w:val="Heading1NoNum"/>
        <w:rPr>
          <w:rFonts w:eastAsia="+mn-ea"/>
        </w:rPr>
      </w:pPr>
      <w:r>
        <w:rPr>
          <w:rFonts w:eastAsia="+mn-ea"/>
        </w:rPr>
        <w:t xml:space="preserve">Information management </w:t>
      </w:r>
    </w:p>
    <w:p w14:paraId="406802DE" w14:textId="77777777" w:rsidR="00786459" w:rsidRDefault="00786459" w:rsidP="00786459">
      <w:pPr>
        <w:rPr>
          <w:rFonts w:eastAsia="+mn-ea"/>
        </w:rPr>
      </w:pPr>
      <w:r w:rsidRPr="00593D46">
        <w:rPr>
          <w:rFonts w:eastAsia="+mn-ea"/>
        </w:rPr>
        <w:t>Information management is the way in which an organisation plans, identifies, creates, receives, collects, organises, governs, secures, uses, controls, disseminates, exchanges, maintains, preserves and disposes of its information. It is also the means through which the organisation ensures that the value of that information is identified and exploited.</w:t>
      </w:r>
    </w:p>
    <w:p w14:paraId="7142E393" w14:textId="1EE393F3" w:rsidR="00786459" w:rsidRDefault="00786459" w:rsidP="00786459">
      <w:pPr>
        <w:rPr>
          <w:rFonts w:eastAsia="+mn-ea"/>
        </w:rPr>
      </w:pPr>
      <w:r w:rsidRPr="00593D46">
        <w:rPr>
          <w:rFonts w:eastAsia="+mn-ea"/>
        </w:rPr>
        <w:t xml:space="preserve">The </w:t>
      </w:r>
      <w:hyperlink r:id="rId245" w:history="1">
        <w:r w:rsidRPr="00593D46">
          <w:rPr>
            <w:rStyle w:val="Hyperlink"/>
            <w:rFonts w:eastAsia="+mn-ea"/>
          </w:rPr>
          <w:t>Whole of Victorian Government Information Management Principles</w:t>
        </w:r>
      </w:hyperlink>
      <w:r w:rsidR="00C05769">
        <w:rPr>
          <w:rStyle w:val="FootnoteReference"/>
          <w:rFonts w:eastAsia="+mn-ea"/>
          <w:color w:val="595959" w:themeColor="text1" w:themeTint="A6"/>
        </w:rPr>
        <w:footnoteReference w:id="58"/>
      </w:r>
      <w:r>
        <w:rPr>
          <w:rFonts w:eastAsia="+mn-ea"/>
        </w:rPr>
        <w:t xml:space="preserve"> </w:t>
      </w:r>
      <w:r w:rsidR="006A0869">
        <w:rPr>
          <w:rFonts w:eastAsia="+mn-ea"/>
        </w:rPr>
        <w:t xml:space="preserve"> </w:t>
      </w:r>
      <w:r w:rsidRPr="00593D46">
        <w:rPr>
          <w:rFonts w:eastAsia="+mn-ea"/>
        </w:rPr>
        <w:t>support the long</w:t>
      </w:r>
      <w:r w:rsidR="00D62B6D">
        <w:rPr>
          <w:rFonts w:eastAsia="+mn-ea"/>
        </w:rPr>
        <w:noBreakHyphen/>
      </w:r>
      <w:r w:rsidRPr="00593D46">
        <w:rPr>
          <w:rFonts w:eastAsia="+mn-ea"/>
        </w:rPr>
        <w:t>term vision for information management in the Victorian Government. They describe expected behaviours and best practice and provide high</w:t>
      </w:r>
      <w:r w:rsidR="00D62B6D">
        <w:rPr>
          <w:rFonts w:eastAsia="+mn-ea"/>
        </w:rPr>
        <w:noBreakHyphen/>
      </w:r>
      <w:r w:rsidRPr="00593D46">
        <w:rPr>
          <w:rFonts w:eastAsia="+mn-ea"/>
        </w:rPr>
        <w:t>level guidance on how information should be managed.</w:t>
      </w:r>
      <w:r>
        <w:rPr>
          <w:rFonts w:eastAsia="+mn-ea"/>
        </w:rPr>
        <w:t xml:space="preserve"> They are supported by Standards and Guidelines.</w:t>
      </w:r>
    </w:p>
    <w:p w14:paraId="2E2171F1" w14:textId="77777777" w:rsidR="00786459" w:rsidRDefault="00786459" w:rsidP="00786459">
      <w:pPr>
        <w:rPr>
          <w:rFonts w:eastAsia="+mn-ea"/>
        </w:rPr>
      </w:pPr>
      <w:r>
        <w:rPr>
          <w:rFonts w:eastAsia="+mn-ea"/>
        </w:rPr>
        <w:t>Agencies subject to the Principles must ensure that they are applied in relation to financial information.</w:t>
      </w:r>
    </w:p>
    <w:p w14:paraId="541D07FC" w14:textId="06A711EC" w:rsidR="00786459" w:rsidRPr="00593D46" w:rsidRDefault="00786459" w:rsidP="00786459">
      <w:pPr>
        <w:rPr>
          <w:rFonts w:eastAsia="+mn-ea"/>
        </w:rPr>
      </w:pPr>
      <w:r>
        <w:rPr>
          <w:rFonts w:eastAsia="+mn-ea"/>
        </w:rPr>
        <w:t xml:space="preserve">More information, and copies of the Principles, are available from </w:t>
      </w:r>
      <w:r w:rsidR="005D2676" w:rsidRPr="005D2676">
        <w:rPr>
          <w:rStyle w:val="Hyperlink"/>
          <w:rFonts w:eastAsia="+mn-ea"/>
        </w:rPr>
        <w:t>https://www.enterprisesolutions.vic.gov.au/information-management/</w:t>
      </w:r>
      <w:r w:rsidRPr="003D7DBD">
        <w:rPr>
          <w:rFonts w:eastAsia="+mn-ea"/>
        </w:rPr>
        <w:t>.</w:t>
      </w:r>
      <w:r>
        <w:rPr>
          <w:rFonts w:eastAsia="+mn-ea"/>
        </w:rPr>
        <w:t xml:space="preserve"> </w:t>
      </w:r>
    </w:p>
    <w:p w14:paraId="78C83BCA" w14:textId="306F9DDA" w:rsidR="00786459" w:rsidRDefault="00786459" w:rsidP="00786459">
      <w:pPr>
        <w:pStyle w:val="Heading1NoNum"/>
        <w:rPr>
          <w:rFonts w:eastAsia="+mn-ea"/>
        </w:rPr>
      </w:pPr>
      <w:r>
        <w:rPr>
          <w:rFonts w:eastAsia="+mn-ea"/>
        </w:rPr>
        <w:t>Recordkeeping</w:t>
      </w:r>
    </w:p>
    <w:p w14:paraId="34AAAE24" w14:textId="77777777" w:rsidR="00786459" w:rsidRDefault="00786459" w:rsidP="00786459">
      <w:pPr>
        <w:rPr>
          <w:rFonts w:eastAsia="+mn-ea"/>
        </w:rPr>
      </w:pPr>
      <w:r>
        <w:rPr>
          <w:rFonts w:eastAsia="+mn-ea"/>
        </w:rPr>
        <w:t xml:space="preserve">The </w:t>
      </w:r>
      <w:r w:rsidRPr="000E597D">
        <w:rPr>
          <w:rFonts w:eastAsia="+mn-ea"/>
          <w:i/>
        </w:rPr>
        <w:t>Public Records Act 1973</w:t>
      </w:r>
      <w:r>
        <w:rPr>
          <w:rFonts w:eastAsia="+mn-ea"/>
        </w:rPr>
        <w:t xml:space="preserve"> establishes a framework for the </w:t>
      </w:r>
      <w:r w:rsidRPr="000E597D">
        <w:rPr>
          <w:rFonts w:eastAsia="+mn-ea"/>
        </w:rPr>
        <w:t>preservation</w:t>
      </w:r>
      <w:r>
        <w:rPr>
          <w:rFonts w:eastAsia="+mn-ea"/>
        </w:rPr>
        <w:t>,</w:t>
      </w:r>
      <w:r w:rsidRPr="000E597D">
        <w:rPr>
          <w:rFonts w:eastAsia="+mn-ea"/>
        </w:rPr>
        <w:t xml:space="preserve"> management and utili</w:t>
      </w:r>
      <w:r>
        <w:rPr>
          <w:rFonts w:eastAsia="+mn-ea"/>
        </w:rPr>
        <w:t>s</w:t>
      </w:r>
      <w:r w:rsidRPr="000E597D">
        <w:rPr>
          <w:rFonts w:eastAsia="+mn-ea"/>
        </w:rPr>
        <w:t>ation of public records</w:t>
      </w:r>
      <w:r>
        <w:rPr>
          <w:rFonts w:eastAsia="+mn-ea"/>
        </w:rPr>
        <w:t xml:space="preserve">. The Public Record Office Victoria (PROV) issues and manages more detailed </w:t>
      </w:r>
      <w:r w:rsidRPr="00100277">
        <w:rPr>
          <w:rFonts w:eastAsia="+mn-ea"/>
        </w:rPr>
        <w:t xml:space="preserve">standards for the efficient management of public records under </w:t>
      </w:r>
      <w:r>
        <w:rPr>
          <w:rFonts w:eastAsia="+mn-ea"/>
        </w:rPr>
        <w:t>s</w:t>
      </w:r>
      <w:r w:rsidRPr="00100277">
        <w:rPr>
          <w:rFonts w:eastAsia="+mn-ea"/>
        </w:rPr>
        <w:t xml:space="preserve">ection 12 of the Act. The standards apply to all records created by the Victorian Government and detail requirements for the creation, maintenance and use of these records. </w:t>
      </w:r>
    </w:p>
    <w:p w14:paraId="12E77B5D" w14:textId="77777777" w:rsidR="00786459" w:rsidRDefault="00786459" w:rsidP="00507362">
      <w:pPr>
        <w:keepNext/>
        <w:rPr>
          <w:rFonts w:eastAsia="+mn-ea"/>
        </w:rPr>
      </w:pPr>
      <w:r>
        <w:rPr>
          <w:rFonts w:eastAsia="+mn-ea"/>
        </w:rPr>
        <w:lastRenderedPageBreak/>
        <w:t xml:space="preserve">Agencies subject to PROV’s standards must ensure that they are applied in relation to financial records. Financial records may include minutes of meetings held by the CFO, documents prepared to discharge financial reporting obligations, accounting records, spreadsheets and emails. PROV’s standards impact on access, capture, control, disposal, operations management, storage, and strategic management of financial records. </w:t>
      </w:r>
    </w:p>
    <w:p w14:paraId="557461EC" w14:textId="0A8B863D" w:rsidR="00786459" w:rsidRDefault="00786459" w:rsidP="00786459">
      <w:pPr>
        <w:rPr>
          <w:rFonts w:eastAsia="+mn-ea"/>
        </w:rPr>
      </w:pPr>
      <w:r>
        <w:rPr>
          <w:rFonts w:eastAsia="+mn-ea"/>
        </w:rPr>
        <w:t xml:space="preserve">More information, and copies of the standards, are available from </w:t>
      </w:r>
      <w:r w:rsidR="005D2676" w:rsidRPr="005D2676">
        <w:rPr>
          <w:rStyle w:val="Hyperlink"/>
          <w:rFonts w:eastAsia="+mn-ea"/>
        </w:rPr>
        <w:t>https://prov.vic.gov.au/recordkeeping-government/recordkeeping-standards-framework-policies</w:t>
      </w:r>
      <w:r w:rsidR="005D2676">
        <w:rPr>
          <w:rStyle w:val="Hyperlink"/>
          <w:rFonts w:eastAsia="+mn-ea"/>
        </w:rPr>
        <w:t>.</w:t>
      </w:r>
      <w:r>
        <w:rPr>
          <w:rFonts w:eastAsia="+mn-ea"/>
        </w:rPr>
        <w:t xml:space="preserve"> </w:t>
      </w:r>
    </w:p>
    <w:p w14:paraId="055E0DA2" w14:textId="77777777" w:rsidR="00786459" w:rsidRDefault="00786459" w:rsidP="00786459">
      <w:pPr>
        <w:pStyle w:val="Heading1NoNum"/>
        <w:rPr>
          <w:rFonts w:eastAsia="+mn-ea"/>
        </w:rPr>
      </w:pPr>
      <w:r>
        <w:rPr>
          <w:rFonts w:eastAsia="+mn-ea"/>
        </w:rPr>
        <w:t>Privacy and data protection</w:t>
      </w:r>
    </w:p>
    <w:p w14:paraId="043DA971" w14:textId="77777777" w:rsidR="00EB3C15" w:rsidRPr="00CD79BB" w:rsidRDefault="00786459" w:rsidP="00EB3C15">
      <w:pPr>
        <w:rPr>
          <w:rFonts w:asciiTheme="minorHAnsi" w:eastAsiaTheme="minorHAnsi" w:hAnsiTheme="minorHAnsi" w:cs="Times"/>
          <w:color w:val="272727"/>
          <w:szCs w:val="20"/>
          <w:lang w:val="en-US" w:eastAsia="en-US"/>
        </w:rPr>
      </w:pPr>
      <w:r>
        <w:rPr>
          <w:rFonts w:eastAsia="+mn-ea"/>
        </w:rPr>
        <w:t xml:space="preserve">The </w:t>
      </w:r>
      <w:r w:rsidRPr="00CF2C71">
        <w:rPr>
          <w:rFonts w:eastAsia="+mn-ea"/>
          <w:i/>
        </w:rPr>
        <w:t xml:space="preserve">Privacy and Data Protection Act 2014 </w:t>
      </w:r>
      <w:r w:rsidR="00EB3C15" w:rsidRPr="00EB3C15">
        <w:rPr>
          <w:rFonts w:eastAsia="+mn-ea"/>
        </w:rPr>
        <w:t>(PDPA)</w:t>
      </w:r>
      <w:r w:rsidR="00EB3C15">
        <w:rPr>
          <w:rFonts w:eastAsia="+mn-ea"/>
        </w:rPr>
        <w:t xml:space="preserve"> </w:t>
      </w:r>
      <w:r w:rsidR="00EB3C15" w:rsidRPr="00CD79BB">
        <w:rPr>
          <w:rFonts w:asciiTheme="minorHAnsi" w:eastAsiaTheme="minorHAnsi" w:hAnsiTheme="minorHAnsi" w:cs="Times"/>
          <w:color w:val="272727"/>
          <w:szCs w:val="20"/>
          <w:lang w:val="en-US" w:eastAsia="en-US"/>
        </w:rPr>
        <w:t>regulates three areas of activity:</w:t>
      </w:r>
    </w:p>
    <w:p w14:paraId="4C9A0042" w14:textId="3508D243" w:rsidR="00EB3C15" w:rsidRPr="00CD79BB" w:rsidRDefault="00EB3C15" w:rsidP="00CA6CEE">
      <w:pPr>
        <w:pStyle w:val="GuidanceBullet1"/>
        <w:rPr>
          <w:rFonts w:eastAsiaTheme="minorHAnsi"/>
          <w:lang w:val="en-US" w:eastAsia="en-US"/>
        </w:rPr>
      </w:pPr>
      <w:r>
        <w:rPr>
          <w:rFonts w:eastAsiaTheme="minorHAnsi"/>
          <w:lang w:val="en-US" w:eastAsia="en-US"/>
        </w:rPr>
        <w:t>Part 3</w:t>
      </w:r>
      <w:r w:rsidR="002D61D4">
        <w:rPr>
          <w:rFonts w:eastAsiaTheme="minorHAnsi"/>
          <w:lang w:val="en-US" w:eastAsia="en-US"/>
        </w:rPr>
        <w:t xml:space="preserve"> – </w:t>
      </w:r>
      <w:r w:rsidRPr="00205C93">
        <w:rPr>
          <w:rFonts w:eastAsiaTheme="minorHAnsi"/>
          <w:lang w:val="en-US" w:eastAsia="en-US"/>
        </w:rPr>
        <w:t>I</w:t>
      </w:r>
      <w:r w:rsidRPr="00CD79BB">
        <w:rPr>
          <w:rFonts w:eastAsiaTheme="minorHAnsi"/>
          <w:lang w:val="en-US" w:eastAsia="en-US"/>
        </w:rPr>
        <w:t>nformation privacy</w:t>
      </w:r>
      <w:r w:rsidR="00CD14AF">
        <w:rPr>
          <w:rFonts w:eastAsiaTheme="minorHAnsi"/>
          <w:lang w:val="en-US" w:eastAsia="en-US"/>
        </w:rPr>
        <w:t>;</w:t>
      </w:r>
    </w:p>
    <w:p w14:paraId="4B08C442" w14:textId="2C3957A3" w:rsidR="00EB3C15" w:rsidRPr="00CD79BB" w:rsidRDefault="00EB3C15" w:rsidP="00CA6CEE">
      <w:pPr>
        <w:pStyle w:val="GuidanceBullet1"/>
        <w:rPr>
          <w:rFonts w:eastAsiaTheme="minorHAnsi"/>
          <w:lang w:val="en-US" w:eastAsia="en-US"/>
        </w:rPr>
      </w:pPr>
      <w:r>
        <w:rPr>
          <w:rFonts w:eastAsiaTheme="minorHAnsi"/>
          <w:lang w:val="en-US" w:eastAsia="en-US"/>
        </w:rPr>
        <w:t>Part 4</w:t>
      </w:r>
      <w:r w:rsidR="002D61D4">
        <w:rPr>
          <w:rFonts w:eastAsiaTheme="minorHAnsi"/>
          <w:lang w:val="en-US" w:eastAsia="en-US"/>
        </w:rPr>
        <w:t xml:space="preserve"> – </w:t>
      </w:r>
      <w:r w:rsidRPr="00205C93">
        <w:rPr>
          <w:rFonts w:eastAsiaTheme="minorHAnsi"/>
          <w:lang w:val="en-US" w:eastAsia="en-US"/>
        </w:rPr>
        <w:t>P</w:t>
      </w:r>
      <w:r w:rsidRPr="00CD79BB">
        <w:rPr>
          <w:rFonts w:eastAsiaTheme="minorHAnsi"/>
          <w:lang w:val="en-US" w:eastAsia="en-US"/>
        </w:rPr>
        <w:t>rotective data security</w:t>
      </w:r>
      <w:r w:rsidR="00CD14AF">
        <w:rPr>
          <w:rFonts w:eastAsiaTheme="minorHAnsi"/>
          <w:lang w:val="en-US" w:eastAsia="en-US"/>
        </w:rPr>
        <w:t>; and</w:t>
      </w:r>
    </w:p>
    <w:p w14:paraId="2A5E017A" w14:textId="738FD0DB" w:rsidR="00EB3C15" w:rsidRPr="00CD79BB" w:rsidRDefault="00EB3C15" w:rsidP="00CA6CEE">
      <w:pPr>
        <w:pStyle w:val="GuidanceBullet1"/>
        <w:rPr>
          <w:rFonts w:eastAsia="+mn-ea"/>
        </w:rPr>
      </w:pPr>
      <w:r>
        <w:rPr>
          <w:rFonts w:eastAsiaTheme="minorHAnsi"/>
          <w:lang w:val="en-US" w:eastAsia="en-US"/>
        </w:rPr>
        <w:t>Part 5</w:t>
      </w:r>
      <w:r w:rsidR="002D61D4">
        <w:rPr>
          <w:rFonts w:eastAsiaTheme="minorHAnsi"/>
          <w:lang w:val="en-US" w:eastAsia="en-US"/>
        </w:rPr>
        <w:t xml:space="preserve"> – </w:t>
      </w:r>
      <w:r w:rsidRPr="00205C93">
        <w:rPr>
          <w:rFonts w:eastAsiaTheme="minorHAnsi"/>
          <w:lang w:val="en-US" w:eastAsia="en-US"/>
        </w:rPr>
        <w:t>L</w:t>
      </w:r>
      <w:r w:rsidRPr="00CD79BB">
        <w:rPr>
          <w:rFonts w:eastAsiaTheme="minorHAnsi"/>
          <w:lang w:val="en-US" w:eastAsia="en-US"/>
        </w:rPr>
        <w:t>aw enforcement data security</w:t>
      </w:r>
      <w:r w:rsidR="00CD14AF">
        <w:rPr>
          <w:rFonts w:eastAsia="+mn-ea"/>
        </w:rPr>
        <w:t>.</w:t>
      </w:r>
    </w:p>
    <w:p w14:paraId="736B7591" w14:textId="77777777" w:rsidR="00EB3C15" w:rsidRPr="00CD79BB" w:rsidRDefault="00EB3C15" w:rsidP="00EB3C15">
      <w:pPr>
        <w:widowControl w:val="0"/>
        <w:autoSpaceDE w:val="0"/>
        <w:autoSpaceDN w:val="0"/>
        <w:adjustRightInd w:val="0"/>
        <w:spacing w:before="0" w:after="0"/>
        <w:rPr>
          <w:rFonts w:asciiTheme="minorHAnsi" w:eastAsiaTheme="minorHAnsi" w:hAnsiTheme="minorHAnsi" w:cs="Times"/>
          <w:color w:val="272727"/>
          <w:szCs w:val="20"/>
          <w:lang w:val="en-US" w:eastAsia="en-US"/>
        </w:rPr>
      </w:pPr>
      <w:r w:rsidRPr="00CD79BB">
        <w:rPr>
          <w:rFonts w:asciiTheme="minorHAnsi" w:eastAsiaTheme="minorHAnsi" w:hAnsiTheme="minorHAnsi" w:cs="Times"/>
          <w:color w:val="272727"/>
          <w:szCs w:val="20"/>
          <w:lang w:val="en-US" w:eastAsia="en-US"/>
        </w:rPr>
        <w:t xml:space="preserve">The </w:t>
      </w:r>
      <w:r>
        <w:rPr>
          <w:rFonts w:asciiTheme="minorHAnsi" w:eastAsiaTheme="minorHAnsi" w:hAnsiTheme="minorHAnsi" w:cs="Times"/>
          <w:color w:val="272727"/>
          <w:szCs w:val="20"/>
          <w:lang w:val="en-US" w:eastAsia="en-US"/>
        </w:rPr>
        <w:t xml:space="preserve">PDPA sets out obligations for the </w:t>
      </w:r>
      <w:r w:rsidRPr="00CD79BB">
        <w:rPr>
          <w:rFonts w:asciiTheme="minorHAnsi" w:eastAsiaTheme="minorHAnsi" w:hAnsiTheme="minorHAnsi" w:cs="Times"/>
          <w:color w:val="272727"/>
          <w:szCs w:val="20"/>
          <w:lang w:val="en-US" w:eastAsia="en-US"/>
        </w:rPr>
        <w:t>responsible collection and handling of personal information in the Victorian public sector</w:t>
      </w:r>
      <w:r>
        <w:rPr>
          <w:rFonts w:asciiTheme="minorHAnsi" w:eastAsiaTheme="minorHAnsi" w:hAnsiTheme="minorHAnsi" w:cs="Times"/>
          <w:color w:val="272727"/>
          <w:szCs w:val="20"/>
          <w:lang w:val="en-US" w:eastAsia="en-US"/>
        </w:rPr>
        <w:t xml:space="preserve">, the establishment of a </w:t>
      </w:r>
      <w:r w:rsidRPr="00CD79BB">
        <w:rPr>
          <w:rFonts w:asciiTheme="minorHAnsi" w:eastAsiaTheme="minorHAnsi" w:hAnsiTheme="minorHAnsi" w:cs="Times"/>
          <w:color w:val="272727"/>
          <w:szCs w:val="20"/>
          <w:lang w:val="en-US" w:eastAsia="en-US"/>
        </w:rPr>
        <w:t xml:space="preserve">protective data security regime for the </w:t>
      </w:r>
      <w:r>
        <w:rPr>
          <w:rFonts w:asciiTheme="minorHAnsi" w:eastAsiaTheme="minorHAnsi" w:hAnsiTheme="minorHAnsi" w:cs="Times"/>
          <w:color w:val="272727"/>
          <w:szCs w:val="20"/>
          <w:lang w:val="en-US" w:eastAsia="en-US"/>
        </w:rPr>
        <w:t>protection of Victorian</w:t>
      </w:r>
      <w:r w:rsidRPr="00CD79BB">
        <w:rPr>
          <w:rFonts w:asciiTheme="minorHAnsi" w:eastAsiaTheme="minorHAnsi" w:hAnsiTheme="minorHAnsi" w:cs="Times"/>
          <w:color w:val="272727"/>
          <w:szCs w:val="20"/>
          <w:lang w:val="en-US" w:eastAsia="en-US"/>
        </w:rPr>
        <w:t xml:space="preserve"> public sector</w:t>
      </w:r>
      <w:r>
        <w:rPr>
          <w:rFonts w:asciiTheme="minorHAnsi" w:eastAsiaTheme="minorHAnsi" w:hAnsiTheme="minorHAnsi" w:cs="Times"/>
          <w:color w:val="272727"/>
          <w:szCs w:val="20"/>
          <w:lang w:val="en-US" w:eastAsia="en-US"/>
        </w:rPr>
        <w:t xml:space="preserve"> data, and obligations relating to law enforcement data security. </w:t>
      </w:r>
      <w:r>
        <w:rPr>
          <w:rFonts w:eastAsia="+mn-ea"/>
        </w:rPr>
        <w:t>Parts 3, 4 and 5 of th</w:t>
      </w:r>
      <w:r w:rsidR="00453706">
        <w:rPr>
          <w:rFonts w:eastAsia="+mn-ea"/>
        </w:rPr>
        <w:t>e PDPA identify the respective A</w:t>
      </w:r>
      <w:r>
        <w:rPr>
          <w:rFonts w:eastAsia="+mn-ea"/>
        </w:rPr>
        <w:t xml:space="preserve">gencies or bodies to which each part of the Act applies. </w:t>
      </w:r>
    </w:p>
    <w:p w14:paraId="7C8A2A1E" w14:textId="77777777" w:rsidR="00EB3C15" w:rsidRDefault="00EB3C15" w:rsidP="00EB3C15">
      <w:pPr>
        <w:rPr>
          <w:rFonts w:eastAsia="+mn-ea"/>
        </w:rPr>
      </w:pPr>
      <w:r>
        <w:rPr>
          <w:rFonts w:eastAsia="+mn-ea"/>
        </w:rPr>
        <w:t xml:space="preserve">The PDPA contains measures that address the protection of financial information, </w:t>
      </w:r>
      <w:r w:rsidRPr="00CD79BB">
        <w:t>regardless of media or format (</w:t>
      </w:r>
      <w:r>
        <w:t xml:space="preserve">for example, </w:t>
      </w:r>
      <w:r w:rsidRPr="00CD79BB">
        <w:t>soft or hard copy</w:t>
      </w:r>
      <w:r w:rsidRPr="00205C93">
        <w:rPr>
          <w:rFonts w:eastAsia="+mn-ea"/>
        </w:rPr>
        <w:t>).</w:t>
      </w:r>
    </w:p>
    <w:p w14:paraId="5B7EB735" w14:textId="77777777" w:rsidR="00EB3C15" w:rsidRDefault="00EB3C15" w:rsidP="00EB3C15">
      <w:pPr>
        <w:rPr>
          <w:rFonts w:eastAsia="+mn-ea"/>
        </w:rPr>
      </w:pPr>
      <w:r>
        <w:rPr>
          <w:rFonts w:eastAsia="+mn-ea"/>
        </w:rPr>
        <w:t>Part 3 of the PDPA sets out privacy measures for the protection o</w:t>
      </w:r>
      <w:r w:rsidR="00453706">
        <w:rPr>
          <w:rFonts w:eastAsia="+mn-ea"/>
        </w:rPr>
        <w:t>f personal information held by A</w:t>
      </w:r>
      <w:r>
        <w:rPr>
          <w:rFonts w:eastAsia="+mn-ea"/>
        </w:rPr>
        <w:t xml:space="preserve">gencies or bodies. These </w:t>
      </w:r>
      <w:r w:rsidRPr="00700257">
        <w:rPr>
          <w:rFonts w:eastAsia="+mn-ea"/>
        </w:rPr>
        <w:t xml:space="preserve">privacy protections are embodied in </w:t>
      </w:r>
      <w:r>
        <w:rPr>
          <w:rFonts w:eastAsia="+mn-ea"/>
        </w:rPr>
        <w:t>ten</w:t>
      </w:r>
      <w:r w:rsidRPr="00700257">
        <w:rPr>
          <w:rFonts w:eastAsia="+mn-ea"/>
        </w:rPr>
        <w:t xml:space="preserve"> </w:t>
      </w:r>
      <w:r>
        <w:rPr>
          <w:rFonts w:eastAsia="+mn-ea"/>
        </w:rPr>
        <w:t xml:space="preserve">Information Privacy Principles (IPPs) </w:t>
      </w:r>
      <w:r w:rsidRPr="00700257">
        <w:rPr>
          <w:rFonts w:eastAsia="+mn-ea"/>
        </w:rPr>
        <w:t xml:space="preserve">set out in the </w:t>
      </w:r>
      <w:r>
        <w:rPr>
          <w:rFonts w:eastAsia="+mn-ea"/>
        </w:rPr>
        <w:t xml:space="preserve">Act, which </w:t>
      </w:r>
      <w:r w:rsidRPr="00700257">
        <w:rPr>
          <w:rFonts w:eastAsia="+mn-ea"/>
        </w:rPr>
        <w:t xml:space="preserve">govern the collection, </w:t>
      </w:r>
      <w:r>
        <w:rPr>
          <w:rFonts w:eastAsia="+mn-ea"/>
        </w:rPr>
        <w:t xml:space="preserve">holding, management, use, disclosure or transfer </w:t>
      </w:r>
      <w:r w:rsidRPr="00700257">
        <w:rPr>
          <w:rFonts w:eastAsia="+mn-ea"/>
        </w:rPr>
        <w:t>of personal information by Victorian public sector organisations.</w:t>
      </w:r>
      <w:r>
        <w:rPr>
          <w:rFonts w:eastAsia="+mn-ea"/>
        </w:rPr>
        <w:t xml:space="preserve"> Any projects or programs that involve personal information (including personal financial information) should have a Privacy Impact Assessment undertaken </w:t>
      </w:r>
      <w:r w:rsidRPr="00BE188F">
        <w:rPr>
          <w:rFonts w:eastAsiaTheme="minorHAnsi"/>
          <w:szCs w:val="20"/>
          <w:lang w:val="en-US" w:eastAsia="en-US"/>
        </w:rPr>
        <w:t xml:space="preserve">to evaluate compliance with the IPPs </w:t>
      </w:r>
      <w:r>
        <w:rPr>
          <w:rFonts w:eastAsiaTheme="minorHAnsi"/>
          <w:szCs w:val="20"/>
          <w:lang w:val="en-US" w:eastAsia="en-US"/>
        </w:rPr>
        <w:t>to</w:t>
      </w:r>
      <w:r w:rsidRPr="00BE188F">
        <w:rPr>
          <w:rFonts w:eastAsiaTheme="minorHAnsi"/>
          <w:szCs w:val="20"/>
          <w:lang w:val="en-US" w:eastAsia="en-US"/>
        </w:rPr>
        <w:t xml:space="preserve"> identify potential privacy risks and mitigation strategies. </w:t>
      </w:r>
    </w:p>
    <w:p w14:paraId="27476544" w14:textId="788AC3DA" w:rsidR="00EB3C15" w:rsidRDefault="00EB3C15" w:rsidP="00EB3C15">
      <w:pPr>
        <w:rPr>
          <w:rFonts w:eastAsia="+mn-ea"/>
        </w:rPr>
      </w:pPr>
      <w:r>
        <w:rPr>
          <w:rFonts w:eastAsia="+mn-ea"/>
        </w:rPr>
        <w:t xml:space="preserve">Under Part 4 of the PDPA, the </w:t>
      </w:r>
      <w:r w:rsidR="00B7583E" w:rsidRPr="003D7DBD">
        <w:rPr>
          <w:color w:val="292929"/>
          <w:shd w:val="clear" w:color="auto" w:fill="F8F8F8"/>
        </w:rPr>
        <w:t>Victorian </w:t>
      </w:r>
      <w:r w:rsidR="00B7583E" w:rsidRPr="003D7DBD">
        <w:rPr>
          <w:rStyle w:val="Emphasis"/>
          <w:i w:val="0"/>
          <w:color w:val="292929"/>
          <w:shd w:val="clear" w:color="auto" w:fill="F8F8F8"/>
        </w:rPr>
        <w:t xml:space="preserve">Information </w:t>
      </w:r>
      <w:r w:rsidR="00B7583E" w:rsidRPr="004661D4">
        <w:rPr>
          <w:rStyle w:val="Emphasis"/>
          <w:i w:val="0"/>
          <w:color w:val="292929"/>
          <w:shd w:val="clear" w:color="auto" w:fill="F8F8F8"/>
        </w:rPr>
        <w:t>Commissioner</w:t>
      </w:r>
      <w:r w:rsidR="00B7583E" w:rsidDel="00B7583E">
        <w:rPr>
          <w:rFonts w:eastAsia="+mn-ea"/>
        </w:rPr>
        <w:t xml:space="preserve"> </w:t>
      </w:r>
      <w:r>
        <w:rPr>
          <w:rFonts w:eastAsia="+mn-ea"/>
        </w:rPr>
        <w:t>must develop the</w:t>
      </w:r>
      <w:r w:rsidRPr="00CF2C71">
        <w:rPr>
          <w:rFonts w:eastAsia="+mn-ea"/>
        </w:rPr>
        <w:t xml:space="preserve"> Victori</w:t>
      </w:r>
      <w:r>
        <w:rPr>
          <w:rFonts w:eastAsia="+mn-ea"/>
        </w:rPr>
        <w:t xml:space="preserve">an </w:t>
      </w:r>
      <w:r w:rsidRPr="00CF2C71">
        <w:rPr>
          <w:rFonts w:eastAsia="+mn-ea"/>
        </w:rPr>
        <w:t>Protective Data Security Framework (VPDSF)</w:t>
      </w:r>
      <w:r>
        <w:rPr>
          <w:rFonts w:eastAsia="+mn-ea"/>
        </w:rPr>
        <w:t xml:space="preserve"> for monitoring and assuring the security of public sector data. Public sector data includes all official information (including financial information) that is captured, collecte</w:t>
      </w:r>
      <w:r w:rsidR="006F0D5C">
        <w:rPr>
          <w:rFonts w:eastAsia="+mn-ea"/>
        </w:rPr>
        <w:t>d, recorded or generated by an A</w:t>
      </w:r>
      <w:r>
        <w:rPr>
          <w:rFonts w:eastAsia="+mn-ea"/>
        </w:rPr>
        <w:t>gency or body</w:t>
      </w:r>
      <w:r w:rsidRPr="00D641E5">
        <w:rPr>
          <w:rFonts w:eastAsia="+mn-ea"/>
        </w:rPr>
        <w:t>. The VPDSF, release</w:t>
      </w:r>
      <w:r w:rsidR="00B7583E">
        <w:rPr>
          <w:rFonts w:eastAsia="+mn-ea"/>
        </w:rPr>
        <w:t>d</w:t>
      </w:r>
      <w:r w:rsidRPr="00D641E5">
        <w:rPr>
          <w:rFonts w:eastAsia="+mn-ea"/>
        </w:rPr>
        <w:t xml:space="preserve"> in 2016, establishes d</w:t>
      </w:r>
      <w:r w:rsidR="00453706">
        <w:rPr>
          <w:rFonts w:eastAsia="+mn-ea"/>
        </w:rPr>
        <w:t>ata protection obligations for A</w:t>
      </w:r>
      <w:r w:rsidRPr="00D641E5">
        <w:rPr>
          <w:rFonts w:eastAsia="+mn-ea"/>
        </w:rPr>
        <w:t xml:space="preserve">gencies or bodies, as well as contracted service providers </w:t>
      </w:r>
      <w:r w:rsidRPr="00CD79BB">
        <w:rPr>
          <w:rFonts w:eastAsia="+mn-ea"/>
        </w:rPr>
        <w:t>with</w:t>
      </w:r>
      <w:r w:rsidRPr="00D641E5">
        <w:rPr>
          <w:rFonts w:eastAsia="+mn-ea"/>
        </w:rPr>
        <w:t xml:space="preserve"> direct, or indirect, access to public sector data.</w:t>
      </w:r>
      <w:r>
        <w:rPr>
          <w:rFonts w:eastAsia="+mn-ea"/>
        </w:rPr>
        <w:t xml:space="preserve"> The framework sets out mandatory data protection requirements and provides supporting guidance material with respect to Governance, and the protective security domains of information, personnel, information communications technology (ICT), and physical security.</w:t>
      </w:r>
    </w:p>
    <w:p w14:paraId="7904A296" w14:textId="77777777" w:rsidR="00EB3C15" w:rsidRDefault="00EB3C15" w:rsidP="00EB3C15">
      <w:pPr>
        <w:widowControl w:val="0"/>
        <w:tabs>
          <w:tab w:val="left" w:pos="220"/>
          <w:tab w:val="left" w:pos="720"/>
        </w:tabs>
        <w:autoSpaceDE w:val="0"/>
        <w:autoSpaceDN w:val="0"/>
        <w:adjustRightInd w:val="0"/>
        <w:spacing w:before="0" w:after="240"/>
        <w:rPr>
          <w:rFonts w:eastAsiaTheme="minorHAnsi"/>
          <w:szCs w:val="20"/>
          <w:lang w:val="en-US" w:eastAsia="en-US"/>
        </w:rPr>
      </w:pPr>
      <w:r w:rsidRPr="00CD79BB">
        <w:rPr>
          <w:rFonts w:eastAsiaTheme="minorHAnsi"/>
          <w:szCs w:val="20"/>
          <w:lang w:val="en-US" w:eastAsia="en-US"/>
        </w:rPr>
        <w:t xml:space="preserve">Under the </w:t>
      </w:r>
      <w:r>
        <w:rPr>
          <w:rFonts w:eastAsiaTheme="minorHAnsi"/>
          <w:szCs w:val="20"/>
          <w:lang w:val="en-US" w:eastAsia="en-US"/>
        </w:rPr>
        <w:t>VPDSF</w:t>
      </w:r>
      <w:r w:rsidRPr="00CD79BB">
        <w:rPr>
          <w:rFonts w:eastAsiaTheme="minorHAnsi"/>
          <w:szCs w:val="20"/>
          <w:lang w:val="en-US" w:eastAsia="en-US"/>
        </w:rPr>
        <w:t xml:space="preserve">, </w:t>
      </w:r>
      <w:r w:rsidR="00453706">
        <w:rPr>
          <w:rFonts w:eastAsiaTheme="minorHAnsi"/>
          <w:szCs w:val="20"/>
          <w:lang w:val="en-US" w:eastAsia="en-US"/>
        </w:rPr>
        <w:t>A</w:t>
      </w:r>
      <w:r>
        <w:rPr>
          <w:rFonts w:eastAsiaTheme="minorHAnsi"/>
          <w:szCs w:val="20"/>
          <w:lang w:val="en-US" w:eastAsia="en-US"/>
        </w:rPr>
        <w:t>gencies or bodies</w:t>
      </w:r>
      <w:r w:rsidRPr="00CD79BB">
        <w:rPr>
          <w:rFonts w:eastAsiaTheme="minorHAnsi"/>
          <w:szCs w:val="20"/>
          <w:lang w:val="en-US" w:eastAsia="en-US"/>
        </w:rPr>
        <w:t xml:space="preserve"> will be provided resources to assess th</w:t>
      </w:r>
      <w:r w:rsidRPr="00205C93">
        <w:rPr>
          <w:rFonts w:eastAsiaTheme="minorHAnsi"/>
          <w:szCs w:val="20"/>
          <w:lang w:val="en-US" w:eastAsia="en-US"/>
        </w:rPr>
        <w:t xml:space="preserve">e value of information (including financial </w:t>
      </w:r>
      <w:r>
        <w:rPr>
          <w:rFonts w:eastAsiaTheme="minorHAnsi"/>
          <w:szCs w:val="20"/>
          <w:lang w:val="en-US" w:eastAsia="en-US"/>
        </w:rPr>
        <w:t>information</w:t>
      </w:r>
      <w:r w:rsidRPr="00205C93">
        <w:rPr>
          <w:rFonts w:eastAsiaTheme="minorHAnsi"/>
          <w:szCs w:val="20"/>
          <w:lang w:val="en-US" w:eastAsia="en-US"/>
        </w:rPr>
        <w:t>)</w:t>
      </w:r>
      <w:r w:rsidRPr="00CD79BB">
        <w:rPr>
          <w:rFonts w:eastAsiaTheme="minorHAnsi"/>
          <w:szCs w:val="20"/>
          <w:lang w:val="en-US" w:eastAsia="en-US"/>
        </w:rPr>
        <w:t xml:space="preserve"> against potential compromise to the confidentiality, integrity or availability of public sector data</w:t>
      </w:r>
      <w:r>
        <w:rPr>
          <w:rFonts w:eastAsiaTheme="minorHAnsi"/>
          <w:szCs w:val="20"/>
          <w:lang w:val="en-US" w:eastAsia="en-US"/>
        </w:rPr>
        <w:t>.</w:t>
      </w:r>
      <w:r w:rsidRPr="00CD79BB">
        <w:rPr>
          <w:rFonts w:eastAsiaTheme="minorHAnsi"/>
          <w:szCs w:val="20"/>
          <w:lang w:val="en-US" w:eastAsia="en-US"/>
        </w:rPr>
        <w:t xml:space="preserve"> The output of this assessment will identify the appropriate security measures to protect that information. </w:t>
      </w:r>
    </w:p>
    <w:p w14:paraId="41DE603C" w14:textId="77777777" w:rsidR="00EB3C15" w:rsidRDefault="00EB3C15" w:rsidP="00EB3C15">
      <w:pPr>
        <w:rPr>
          <w:rFonts w:eastAsia="+mn-ea"/>
        </w:rPr>
      </w:pPr>
      <w:r w:rsidRPr="00CD79BB">
        <w:rPr>
          <w:rFonts w:asciiTheme="minorHAnsi" w:eastAsiaTheme="minorHAnsi" w:hAnsiTheme="minorHAnsi"/>
          <w:szCs w:val="20"/>
          <w:lang w:val="en-US" w:eastAsia="en-US"/>
        </w:rPr>
        <w:t xml:space="preserve">Part 5 of the PDPA </w:t>
      </w:r>
      <w:r>
        <w:rPr>
          <w:rFonts w:asciiTheme="minorHAnsi" w:eastAsiaTheme="minorHAnsi" w:hAnsiTheme="minorHAnsi" w:cs="Times"/>
          <w:color w:val="272727"/>
          <w:szCs w:val="20"/>
          <w:lang w:val="en-US" w:eastAsia="en-US"/>
        </w:rPr>
        <w:t>establishes</w:t>
      </w:r>
      <w:r w:rsidRPr="00CD79BB">
        <w:rPr>
          <w:rFonts w:asciiTheme="minorHAnsi" w:eastAsiaTheme="minorHAnsi" w:hAnsiTheme="minorHAnsi" w:cs="Times"/>
          <w:color w:val="272727"/>
          <w:szCs w:val="20"/>
          <w:lang w:val="en-US" w:eastAsia="en-US"/>
        </w:rPr>
        <w:t xml:space="preserve"> law enforcement data security standards for the security and integrity of law enforcement data systems and crime statistics data systems. This extends to the protection of financial information by Victoria Police and the Crime Statistics Agency.</w:t>
      </w:r>
    </w:p>
    <w:p w14:paraId="0B1EAE80" w14:textId="77777777" w:rsidR="00786459" w:rsidRDefault="00786459" w:rsidP="00786459">
      <w:pPr>
        <w:rPr>
          <w:rFonts w:eastAsia="+mn-ea"/>
        </w:rPr>
      </w:pPr>
      <w:r>
        <w:rPr>
          <w:rFonts w:eastAsia="+mn-ea"/>
        </w:rPr>
        <w:t xml:space="preserve">Agencies subject to the </w:t>
      </w:r>
      <w:r w:rsidR="00EB3C15">
        <w:rPr>
          <w:rFonts w:eastAsia="+mn-ea"/>
        </w:rPr>
        <w:t>PDPA</w:t>
      </w:r>
      <w:r w:rsidRPr="00377A7A">
        <w:rPr>
          <w:rFonts w:eastAsia="+mn-ea"/>
          <w:i/>
        </w:rPr>
        <w:t xml:space="preserve"> </w:t>
      </w:r>
      <w:r>
        <w:rPr>
          <w:rFonts w:eastAsia="+mn-ea"/>
        </w:rPr>
        <w:t xml:space="preserve">must ensure that the Act, and relevant Standards and Principles, are applied in relation to financial information. The Act and Standards will particularly impact on the </w:t>
      </w:r>
      <w:r w:rsidRPr="00BC50A0">
        <w:rPr>
          <w:rFonts w:eastAsia="+mn-ea"/>
        </w:rPr>
        <w:t>confidential</w:t>
      </w:r>
      <w:r>
        <w:rPr>
          <w:rFonts w:eastAsia="+mn-ea"/>
        </w:rPr>
        <w:t xml:space="preserve">ity, integrity and availability of financial information to protect data security. </w:t>
      </w:r>
    </w:p>
    <w:p w14:paraId="331909AA" w14:textId="65FB44A0" w:rsidR="00786459" w:rsidRDefault="00786459" w:rsidP="00786459">
      <w:pPr>
        <w:rPr>
          <w:rFonts w:eastAsia="+mn-ea"/>
        </w:rPr>
      </w:pPr>
      <w:r>
        <w:rPr>
          <w:rFonts w:eastAsia="+mn-ea"/>
        </w:rPr>
        <w:t>More information is available from</w:t>
      </w:r>
      <w:r w:rsidR="00FC3FA9">
        <w:rPr>
          <w:rFonts w:eastAsia="+mn-ea"/>
        </w:rPr>
        <w:t xml:space="preserve">: </w:t>
      </w:r>
      <w:hyperlink r:id="rId246" w:history="1">
        <w:r w:rsidR="00B7583E" w:rsidRPr="00CC0CB1">
          <w:rPr>
            <w:rStyle w:val="Hyperlink"/>
            <w:rFonts w:eastAsia="+mn-ea"/>
          </w:rPr>
          <w:t>ovic.vic.gov.au</w:t>
        </w:r>
      </w:hyperlink>
      <w:r w:rsidRPr="003D7DBD">
        <w:rPr>
          <w:rFonts w:eastAsia="+mn-ea"/>
        </w:rPr>
        <w:t>.</w:t>
      </w:r>
      <w:r>
        <w:rPr>
          <w:rFonts w:eastAsia="+mn-ea"/>
        </w:rPr>
        <w:t xml:space="preserve"> </w:t>
      </w:r>
    </w:p>
    <w:p w14:paraId="62949C31" w14:textId="77777777" w:rsidR="00786459" w:rsidRDefault="00786459" w:rsidP="00786459">
      <w:pPr>
        <w:pStyle w:val="Heading1NoNum"/>
        <w:rPr>
          <w:rFonts w:eastAsia="+mn-ea"/>
        </w:rPr>
      </w:pPr>
      <w:r>
        <w:rPr>
          <w:rFonts w:eastAsia="+mn-ea"/>
        </w:rPr>
        <w:t>Intellectual property</w:t>
      </w:r>
    </w:p>
    <w:p w14:paraId="7A38F10B" w14:textId="5BB932BC" w:rsidR="00786459" w:rsidRDefault="00786459" w:rsidP="003A27B8">
      <w:pPr>
        <w:keepNext/>
        <w:rPr>
          <w:rFonts w:eastAsia="+mn-ea"/>
        </w:rPr>
      </w:pPr>
      <w:r>
        <w:rPr>
          <w:rFonts w:eastAsia="+mn-ea"/>
        </w:rPr>
        <w:t xml:space="preserve">The </w:t>
      </w:r>
      <w:r w:rsidRPr="009E3EFD">
        <w:rPr>
          <w:rFonts w:eastAsia="+mn-ea"/>
          <w:i/>
        </w:rPr>
        <w:t>Whole of Victorian Government Intellectual Property Policy</w:t>
      </w:r>
      <w:r>
        <w:rPr>
          <w:rFonts w:eastAsia="+mn-ea"/>
        </w:rPr>
        <w:t xml:space="preserve"> (IP Policy) is the </w:t>
      </w:r>
      <w:r w:rsidRPr="000678DC">
        <w:rPr>
          <w:rFonts w:eastAsia="+mn-ea"/>
        </w:rPr>
        <w:t>State's framework for the ownership and management of its intellectual property (IP), and for its use of IP belonging to other parties.</w:t>
      </w:r>
    </w:p>
    <w:p w14:paraId="75842CC0" w14:textId="77777777" w:rsidR="00786459" w:rsidRDefault="00786459" w:rsidP="00507362">
      <w:pPr>
        <w:rPr>
          <w:rFonts w:eastAsia="+mn-ea"/>
        </w:rPr>
      </w:pPr>
      <w:r>
        <w:rPr>
          <w:rFonts w:eastAsia="+mn-ea"/>
        </w:rPr>
        <w:t>Agencies subject to the IP Policy must ensure that it is applied in relation to financial IP. Financial IP will usually be confined to the copyright in financial works, such as spreadsheets, reports, advices and submissions. The IP Policy impacts on granting rights for re</w:t>
      </w:r>
      <w:r w:rsidR="00D62B6D">
        <w:rPr>
          <w:rFonts w:eastAsia="+mn-ea"/>
        </w:rPr>
        <w:noBreakHyphen/>
      </w:r>
      <w:r>
        <w:rPr>
          <w:rFonts w:eastAsia="+mn-ea"/>
        </w:rPr>
        <w:t xml:space="preserve">use, managing IP, moral rights of creators, licensing IP and commercialisation of IP in financial information. </w:t>
      </w:r>
    </w:p>
    <w:p w14:paraId="5AD5B444" w14:textId="260A2072" w:rsidR="0054418E" w:rsidRDefault="00786459" w:rsidP="008A7B86">
      <w:pPr>
        <w:rPr>
          <w:rFonts w:eastAsia="+mn-ea"/>
          <w:color w:val="404040"/>
          <w:sz w:val="28"/>
          <w:szCs w:val="28"/>
        </w:rPr>
      </w:pPr>
      <w:r>
        <w:rPr>
          <w:rFonts w:eastAsia="+mn-ea"/>
        </w:rPr>
        <w:t xml:space="preserve">More information, and a copy of the IP Policy, is available from </w:t>
      </w:r>
      <w:hyperlink r:id="rId247" w:history="1">
        <w:r w:rsidR="00B7583E" w:rsidRPr="00CC0CB1">
          <w:rPr>
            <w:rStyle w:val="Hyperlink"/>
            <w:rFonts w:eastAsia="+mn-ea"/>
          </w:rPr>
          <w:t>www.dtf.vic.gov.au</w:t>
        </w:r>
      </w:hyperlink>
      <w:r>
        <w:rPr>
          <w:rFonts w:eastAsia="+mn-ea"/>
        </w:rPr>
        <w:t xml:space="preserve">. </w:t>
      </w:r>
    </w:p>
    <w:p w14:paraId="53716BEB" w14:textId="77777777" w:rsidR="00786459" w:rsidRDefault="00786459" w:rsidP="00786459">
      <w:pPr>
        <w:pStyle w:val="Heading1NoNum"/>
        <w:rPr>
          <w:rFonts w:eastAsia="+mn-ea"/>
        </w:rPr>
      </w:pPr>
      <w:r>
        <w:rPr>
          <w:rFonts w:eastAsia="+mn-ea"/>
        </w:rPr>
        <w:lastRenderedPageBreak/>
        <w:t>Data sharing</w:t>
      </w:r>
    </w:p>
    <w:p w14:paraId="414600B2" w14:textId="61373E00" w:rsidR="00786459" w:rsidRDefault="00786459" w:rsidP="00786459">
      <w:pPr>
        <w:rPr>
          <w:rFonts w:eastAsia="+mn-ea"/>
        </w:rPr>
      </w:pPr>
      <w:r>
        <w:rPr>
          <w:rFonts w:eastAsia="+mn-ea"/>
        </w:rPr>
        <w:t xml:space="preserve">The </w:t>
      </w:r>
      <w:proofErr w:type="spellStart"/>
      <w:r w:rsidRPr="009E3EFD">
        <w:rPr>
          <w:rFonts w:eastAsia="+mn-ea"/>
          <w:i/>
        </w:rPr>
        <w:t>DataVic</w:t>
      </w:r>
      <w:proofErr w:type="spellEnd"/>
      <w:r w:rsidRPr="009E3EFD">
        <w:rPr>
          <w:rFonts w:eastAsia="+mn-ea"/>
          <w:i/>
        </w:rPr>
        <w:t xml:space="preserve"> Access Policy</w:t>
      </w:r>
      <w:r w:rsidR="001C3C53">
        <w:rPr>
          <w:rStyle w:val="FootnoteReference"/>
          <w:rFonts w:eastAsia="+mn-ea"/>
          <w:i/>
          <w:color w:val="595959" w:themeColor="text1" w:themeTint="A6"/>
        </w:rPr>
        <w:footnoteReference w:id="59"/>
      </w:r>
      <w:r>
        <w:rPr>
          <w:rFonts w:eastAsia="+mn-ea"/>
          <w:i/>
        </w:rPr>
        <w:t xml:space="preserve"> </w:t>
      </w:r>
      <w:r>
        <w:rPr>
          <w:rFonts w:eastAsia="+mn-ea"/>
        </w:rPr>
        <w:t xml:space="preserve">enables the sharing of government data </w:t>
      </w:r>
      <w:r w:rsidRPr="001D017F">
        <w:rPr>
          <w:rFonts w:eastAsia="+mn-ea"/>
        </w:rPr>
        <w:t>to support research and education, promote innovation, support improvements in productivity and stimulate growth in the Victorian economy</w:t>
      </w:r>
      <w:r>
        <w:rPr>
          <w:rFonts w:eastAsia="+mn-ea"/>
        </w:rPr>
        <w:t xml:space="preserve">. </w:t>
      </w:r>
    </w:p>
    <w:p w14:paraId="35957CD7" w14:textId="77777777" w:rsidR="00786459" w:rsidRDefault="00786459" w:rsidP="00786459">
      <w:pPr>
        <w:rPr>
          <w:rFonts w:eastAsia="+mn-ea"/>
        </w:rPr>
      </w:pPr>
      <w:r>
        <w:rPr>
          <w:rFonts w:eastAsia="+mn-ea"/>
        </w:rPr>
        <w:t>Agencies subject to the DataVic Access Policy must ensure that it is applied in re</w:t>
      </w:r>
      <w:r w:rsidR="00453706">
        <w:rPr>
          <w:rFonts w:eastAsia="+mn-ea"/>
        </w:rPr>
        <w:t>lation to financial data. Many A</w:t>
      </w:r>
      <w:r>
        <w:rPr>
          <w:rFonts w:eastAsia="+mn-ea"/>
        </w:rPr>
        <w:t xml:space="preserve">gencies hold extensive financial data in various forms. The Policy encourages </w:t>
      </w:r>
      <w:r w:rsidR="00453706">
        <w:rPr>
          <w:rFonts w:eastAsia="+mn-ea"/>
        </w:rPr>
        <w:t>A</w:t>
      </w:r>
      <w:r>
        <w:rPr>
          <w:rFonts w:eastAsia="+mn-ea"/>
        </w:rPr>
        <w:t>gencies to publicly release appropriate data online in re</w:t>
      </w:r>
      <w:r w:rsidR="00D62B6D">
        <w:rPr>
          <w:rFonts w:eastAsia="+mn-ea"/>
        </w:rPr>
        <w:noBreakHyphen/>
      </w:r>
      <w:r>
        <w:rPr>
          <w:rFonts w:eastAsia="+mn-ea"/>
        </w:rPr>
        <w:t xml:space="preserve">usable formats. </w:t>
      </w:r>
    </w:p>
    <w:p w14:paraId="42E30538" w14:textId="1224C683" w:rsidR="00786459" w:rsidRPr="001D017F" w:rsidRDefault="00786459" w:rsidP="00786459">
      <w:pPr>
        <w:rPr>
          <w:rFonts w:eastAsia="+mn-ea"/>
        </w:rPr>
      </w:pPr>
      <w:r>
        <w:rPr>
          <w:rFonts w:eastAsia="+mn-ea"/>
        </w:rPr>
        <w:t xml:space="preserve">More information, and a copy of the DataVic Access Policy, is available from </w:t>
      </w:r>
      <w:hyperlink r:id="rId248" w:history="1">
        <w:r w:rsidR="00CC0CB1" w:rsidRPr="00CC0CB1">
          <w:rPr>
            <w:rStyle w:val="Hyperlink"/>
            <w:rFonts w:eastAsia="+mn-ea"/>
          </w:rPr>
          <w:t>www.dtf.vic.gov.au</w:t>
        </w:r>
      </w:hyperlink>
      <w:r w:rsidRPr="003D7DBD">
        <w:rPr>
          <w:rFonts w:eastAsia="+mn-ea"/>
        </w:rPr>
        <w:t>.</w:t>
      </w:r>
    </w:p>
    <w:p w14:paraId="1A4C0944" w14:textId="77777777" w:rsidR="00094F43" w:rsidRDefault="00094F43" w:rsidP="00094F43">
      <w:pPr>
        <w:pStyle w:val="Heading1NoNum"/>
        <w:rPr>
          <w:rFonts w:eastAsia="+mn-ea"/>
        </w:rPr>
      </w:pPr>
      <w:r w:rsidRPr="00094F43">
        <w:rPr>
          <w:rFonts w:eastAsia="+mn-ea"/>
        </w:rPr>
        <w:t>Information systems</w:t>
      </w:r>
    </w:p>
    <w:p w14:paraId="720C39F6" w14:textId="31BEECF9" w:rsidR="00094F43" w:rsidRPr="00094F43" w:rsidRDefault="00094F43" w:rsidP="00094F43">
      <w:pPr>
        <w:rPr>
          <w:rFonts w:eastAsia="+mn-ea"/>
        </w:rPr>
      </w:pPr>
      <w:r>
        <w:rPr>
          <w:rFonts w:eastAsia="+mn-ea"/>
        </w:rPr>
        <w:t xml:space="preserve">The Department of Premier and Cabinet’s </w:t>
      </w:r>
      <w:r w:rsidRPr="00094F43">
        <w:rPr>
          <w:rFonts w:eastAsia="+mn-ea"/>
        </w:rPr>
        <w:t xml:space="preserve">Enterprise Solutions Branch provides strategic guidance, including standards, policies and templates, in relation to VPS management of information systems. Enterprise Solutions defines standards for the procurement of new business systems, plus whole of government policies for ICT and business systems. It develops policies and standards for information management and technology. More information is available from </w:t>
      </w:r>
      <w:hyperlink r:id="rId249" w:history="1">
        <w:r w:rsidRPr="003D7DBD">
          <w:rPr>
            <w:rStyle w:val="Hyperlink"/>
            <w:rFonts w:eastAsia="+mn-ea"/>
          </w:rPr>
          <w:t>www.enterprisesolutions.vic.gov.au</w:t>
        </w:r>
      </w:hyperlink>
      <w:r w:rsidRPr="003D7DBD">
        <w:rPr>
          <w:rFonts w:eastAsia="+mn-ea"/>
        </w:rPr>
        <w:t>.</w:t>
      </w:r>
      <w:r>
        <w:rPr>
          <w:rFonts w:eastAsia="+mn-ea"/>
        </w:rPr>
        <w:t xml:space="preserve"> </w:t>
      </w:r>
    </w:p>
    <w:p w14:paraId="5A187E6A" w14:textId="77777777" w:rsidR="00FF765B" w:rsidRDefault="00094F43" w:rsidP="00094F43">
      <w:pPr>
        <w:rPr>
          <w:rFonts w:eastAsia="+mn-ea"/>
        </w:rPr>
      </w:pPr>
      <w:r w:rsidRPr="00094F43">
        <w:rPr>
          <w:rFonts w:eastAsia="+mn-ea"/>
        </w:rPr>
        <w:t>Agencies should consider the guidance issued by Enterprise Solutions in relation to their</w:t>
      </w:r>
      <w:r>
        <w:rPr>
          <w:rFonts w:eastAsia="+mn-ea"/>
        </w:rPr>
        <w:t xml:space="preserve"> financial information systems.</w:t>
      </w:r>
    </w:p>
    <w:p w14:paraId="78B67FA5" w14:textId="77777777" w:rsidR="009408C9" w:rsidRDefault="009408C9">
      <w:pPr>
        <w:spacing w:before="120" w:after="120" w:line="240" w:lineRule="atLeast"/>
        <w:rPr>
          <w:rFonts w:eastAsia="+mn-ea" w:cstheme="minorHAnsi"/>
          <w:szCs w:val="20"/>
        </w:rPr>
      </w:pPr>
    </w:p>
    <w:p w14:paraId="0C4BE6AA" w14:textId="77777777" w:rsidR="009408C9" w:rsidRDefault="009408C9">
      <w:pPr>
        <w:sectPr w:rsidR="009408C9" w:rsidSect="007F1A5E">
          <w:pgSz w:w="11906" w:h="16838"/>
          <w:pgMar w:top="1440" w:right="1008" w:bottom="1440" w:left="1008" w:header="706" w:footer="389" w:gutter="0"/>
          <w:cols w:space="708"/>
          <w:titlePg/>
          <w:docGrid w:linePitch="360"/>
        </w:sectPr>
      </w:pPr>
    </w:p>
    <w:p w14:paraId="2D19DB43" w14:textId="77777777" w:rsidR="000D55C9" w:rsidRPr="000D55C9" w:rsidRDefault="000D55C9" w:rsidP="000D55C9">
      <w:pPr>
        <w:spacing w:before="0" w:after="200" w:line="276" w:lineRule="auto"/>
        <w:rPr>
          <w:color w:val="7F7F7F"/>
          <w:sz w:val="40"/>
          <w:szCs w:val="40"/>
        </w:rPr>
      </w:pPr>
      <w:bookmarkStart w:id="44" w:name="Guidance_4_1_1"/>
      <w:r w:rsidRPr="000D55C9">
        <w:rPr>
          <w:color w:val="7F7F7F"/>
          <w:sz w:val="40"/>
          <w:szCs w:val="40"/>
        </w:rPr>
        <w:lastRenderedPageBreak/>
        <w:t>Guidance 4.1.1</w:t>
      </w:r>
      <w:bookmarkEnd w:id="44"/>
      <w:r w:rsidRPr="000D55C9">
        <w:rPr>
          <w:color w:val="7F7F7F"/>
          <w:sz w:val="40"/>
          <w:szCs w:val="40"/>
        </w:rPr>
        <w:t xml:space="preserve"> – Planning and managing performance</w:t>
      </w:r>
    </w:p>
    <w:tbl>
      <w:tblPr>
        <w:tblStyle w:val="Table151"/>
        <w:tblW w:w="9900" w:type="dxa"/>
        <w:tblLook w:val="0080" w:firstRow="0" w:lastRow="0" w:firstColumn="1" w:lastColumn="0" w:noHBand="0" w:noVBand="0"/>
      </w:tblPr>
      <w:tblGrid>
        <w:gridCol w:w="3119"/>
        <w:gridCol w:w="6781"/>
      </w:tblGrid>
      <w:tr w:rsidR="000D55C9" w:rsidRPr="000D55C9" w14:paraId="1C6359A7" w14:textId="77777777" w:rsidTr="000D5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3FD56A1" w14:textId="77777777" w:rsidR="000D55C9" w:rsidRPr="00924EDE" w:rsidRDefault="000D55C9" w:rsidP="000D55C9">
            <w:pPr>
              <w:spacing w:before="60" w:after="60" w:line="252" w:lineRule="auto"/>
              <w:rPr>
                <w:sz w:val="18"/>
              </w:rPr>
            </w:pPr>
            <w:r w:rsidRPr="003960F3">
              <w:rPr>
                <w:sz w:val="18"/>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38F14EA8" w14:textId="77777777" w:rsidR="000D55C9" w:rsidRPr="00924EDE" w:rsidRDefault="000D55C9" w:rsidP="000D55C9">
            <w:pPr>
              <w:spacing w:before="60" w:after="60" w:line="252" w:lineRule="auto"/>
              <w:rPr>
                <w:sz w:val="18"/>
              </w:rPr>
            </w:pPr>
            <w:r w:rsidRPr="003960F3">
              <w:rPr>
                <w:sz w:val="18"/>
              </w:rPr>
              <w:t>Provides guidance to all Agencies to support effective planning and performance management practices.</w:t>
            </w:r>
          </w:p>
        </w:tc>
      </w:tr>
      <w:tr w:rsidR="000D55C9" w:rsidRPr="000D55C9" w14:paraId="76A7CB3C" w14:textId="77777777" w:rsidTr="000D55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A730E3F" w14:textId="77777777" w:rsidR="000D55C9" w:rsidRPr="00924EDE" w:rsidRDefault="000D55C9" w:rsidP="000D55C9">
            <w:pPr>
              <w:spacing w:before="60" w:after="60" w:line="252" w:lineRule="auto"/>
              <w:rPr>
                <w:sz w:val="18"/>
              </w:rPr>
            </w:pPr>
            <w:r w:rsidRPr="003960F3">
              <w:rPr>
                <w:sz w:val="18"/>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1AF651AB" w14:textId="77777777" w:rsidR="000D55C9" w:rsidRPr="00924EDE" w:rsidRDefault="000D55C9" w:rsidP="000D55C9">
            <w:pPr>
              <w:spacing w:before="60" w:after="60" w:line="252" w:lineRule="auto"/>
              <w:rPr>
                <w:sz w:val="18"/>
              </w:rPr>
            </w:pPr>
            <w:r w:rsidRPr="003960F3">
              <w:rPr>
                <w:sz w:val="18"/>
              </w:rPr>
              <w:t>1 July 2016</w:t>
            </w:r>
          </w:p>
        </w:tc>
      </w:tr>
      <w:tr w:rsidR="000D55C9" w:rsidRPr="000D55C9" w14:paraId="51D0BB70" w14:textId="77777777" w:rsidTr="000D5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E2CACE4" w14:textId="77777777" w:rsidR="000D55C9" w:rsidRPr="00924EDE" w:rsidRDefault="000D55C9" w:rsidP="000D55C9">
            <w:pPr>
              <w:spacing w:before="60" w:after="60" w:line="252" w:lineRule="auto"/>
              <w:rPr>
                <w:sz w:val="18"/>
              </w:rPr>
            </w:pPr>
            <w:r w:rsidRPr="003960F3">
              <w:rPr>
                <w:sz w:val="18"/>
              </w:rPr>
              <w:t>Relevant Directions</w:t>
            </w:r>
          </w:p>
        </w:tc>
        <w:tc>
          <w:tcPr>
            <w:cnfStyle w:val="000010000000" w:firstRow="0" w:lastRow="0" w:firstColumn="0" w:lastColumn="0" w:oddVBand="1" w:evenVBand="0" w:oddHBand="0" w:evenHBand="0" w:firstRowFirstColumn="0" w:firstRowLastColumn="0" w:lastRowFirstColumn="0" w:lastRowLastColumn="0"/>
            <w:tcW w:w="6781" w:type="dxa"/>
          </w:tcPr>
          <w:p w14:paraId="32F1767A" w14:textId="05E957B5" w:rsidR="000D55C9" w:rsidRPr="00924EDE" w:rsidRDefault="000D55C9" w:rsidP="000D55C9">
            <w:pPr>
              <w:suppressAutoHyphens/>
              <w:autoSpaceDN w:val="0"/>
              <w:spacing w:before="40" w:after="40" w:line="283" w:lineRule="auto"/>
              <w:textAlignment w:val="baseline"/>
              <w:rPr>
                <w:sz w:val="18"/>
              </w:rPr>
            </w:pPr>
            <w:hyperlink r:id="rId250" w:anchor="Direction_2_3" w:history="1">
              <w:r w:rsidRPr="000D55C9">
                <w:rPr>
                  <w:rFonts w:cs="Times New Roman"/>
                  <w:bCs/>
                  <w:color w:val="595959"/>
                  <w:sz w:val="18"/>
                  <w:szCs w:val="20"/>
                </w:rPr>
                <w:t>2.3 Accountable Officer</w:t>
              </w:r>
            </w:hyperlink>
          </w:p>
          <w:p w14:paraId="745B0361" w14:textId="63D667C9" w:rsidR="000D55C9" w:rsidRPr="00924EDE" w:rsidRDefault="000D55C9" w:rsidP="000D55C9">
            <w:pPr>
              <w:suppressAutoHyphens/>
              <w:autoSpaceDN w:val="0"/>
              <w:spacing w:before="40" w:after="40" w:line="283" w:lineRule="auto"/>
              <w:textAlignment w:val="baseline"/>
              <w:rPr>
                <w:sz w:val="18"/>
              </w:rPr>
            </w:pPr>
            <w:hyperlink r:id="rId251" w:anchor="Direction_4_1" w:history="1">
              <w:r w:rsidRPr="000D55C9">
                <w:rPr>
                  <w:rFonts w:cs="Times New Roman"/>
                  <w:bCs/>
                  <w:color w:val="595959"/>
                  <w:sz w:val="18"/>
                  <w:szCs w:val="20"/>
                </w:rPr>
                <w:t>4.1 Planning and managing performance</w:t>
              </w:r>
            </w:hyperlink>
          </w:p>
          <w:p w14:paraId="629D9101" w14:textId="33586A3B" w:rsidR="000D55C9" w:rsidRPr="00924EDE" w:rsidRDefault="000D55C9" w:rsidP="000D55C9">
            <w:pPr>
              <w:spacing w:before="60" w:after="60" w:line="252" w:lineRule="auto"/>
              <w:rPr>
                <w:sz w:val="18"/>
              </w:rPr>
            </w:pPr>
            <w:hyperlink r:id="rId252" w:anchor="Direction_5_3" w:history="1">
              <w:r w:rsidRPr="000D55C9">
                <w:rPr>
                  <w:rFonts w:cs="Times New Roman"/>
                  <w:bCs/>
                  <w:color w:val="595959"/>
                  <w:sz w:val="18"/>
                  <w:szCs w:val="20"/>
                </w:rPr>
                <w:t>5.3 External reporting and information provision</w:t>
              </w:r>
            </w:hyperlink>
          </w:p>
        </w:tc>
      </w:tr>
      <w:tr w:rsidR="000D55C9" w:rsidRPr="000D55C9" w14:paraId="1B10C425" w14:textId="77777777" w:rsidTr="000D55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FB39CFD" w14:textId="77777777" w:rsidR="000D55C9" w:rsidRPr="00924EDE" w:rsidRDefault="000D55C9" w:rsidP="000D55C9">
            <w:pPr>
              <w:spacing w:before="60" w:after="60" w:line="252" w:lineRule="auto"/>
              <w:rPr>
                <w:sz w:val="18"/>
              </w:rPr>
            </w:pPr>
            <w:r w:rsidRPr="003960F3">
              <w:rPr>
                <w:sz w:val="18"/>
              </w:rPr>
              <w:t>Last reviewed date</w:t>
            </w:r>
          </w:p>
        </w:tc>
        <w:tc>
          <w:tcPr>
            <w:cnfStyle w:val="000010000000" w:firstRow="0" w:lastRow="0" w:firstColumn="0" w:lastColumn="0" w:oddVBand="1" w:evenVBand="0" w:oddHBand="0" w:evenHBand="0" w:firstRowFirstColumn="0" w:firstRowLastColumn="0" w:lastRowFirstColumn="0" w:lastRowLastColumn="0"/>
            <w:tcW w:w="6781" w:type="dxa"/>
          </w:tcPr>
          <w:p w14:paraId="389A85EE" w14:textId="0E4A39B9" w:rsidR="000D55C9" w:rsidRPr="00924EDE" w:rsidRDefault="00515507" w:rsidP="000D55C9">
            <w:pPr>
              <w:spacing w:before="60" w:after="60" w:line="252" w:lineRule="auto"/>
              <w:rPr>
                <w:sz w:val="18"/>
              </w:rPr>
            </w:pPr>
            <w:r>
              <w:rPr>
                <w:rFonts w:cs="Times New Roman"/>
                <w:bCs/>
                <w:sz w:val="18"/>
                <w:szCs w:val="20"/>
              </w:rPr>
              <w:t>1 May 2019</w:t>
            </w:r>
          </w:p>
        </w:tc>
      </w:tr>
    </w:tbl>
    <w:p w14:paraId="6D417A42" w14:textId="77777777" w:rsidR="000D55C9" w:rsidRPr="000D55C9" w:rsidRDefault="000D55C9" w:rsidP="000D55C9">
      <w:pPr>
        <w:spacing w:before="0" w:after="0" w:line="120" w:lineRule="atLeast"/>
        <w:rPr>
          <w:sz w:val="12"/>
        </w:rPr>
      </w:pPr>
    </w:p>
    <w:p w14:paraId="03FC265F" w14:textId="77777777" w:rsidR="000D55C9" w:rsidRPr="000D55C9" w:rsidRDefault="000D55C9" w:rsidP="000D55C9">
      <w:pPr>
        <w:keepNext/>
        <w:spacing w:before="120" w:after="120" w:line="216" w:lineRule="auto"/>
        <w:outlineLvl w:val="0"/>
        <w:rPr>
          <w:color w:val="404040"/>
          <w:sz w:val="28"/>
          <w:szCs w:val="28"/>
        </w:rPr>
      </w:pPr>
      <w:r w:rsidRPr="000D55C9">
        <w:rPr>
          <w:color w:val="404040"/>
          <w:sz w:val="28"/>
          <w:szCs w:val="28"/>
        </w:rPr>
        <w:t>Introduction</w:t>
      </w:r>
    </w:p>
    <w:p w14:paraId="7B58CFAB" w14:textId="77777777" w:rsidR="000D55C9" w:rsidRPr="000D55C9" w:rsidRDefault="000D55C9" w:rsidP="000D55C9">
      <w:r w:rsidRPr="000D55C9">
        <w:t xml:space="preserve">Victorians expects the government to deliver services to the community in an efficient and effective manner. Planning and performance management is central to this. </w:t>
      </w:r>
    </w:p>
    <w:p w14:paraId="1923C610" w14:textId="77777777" w:rsidR="000D55C9" w:rsidRPr="000D55C9" w:rsidRDefault="000D55C9" w:rsidP="000D55C9">
      <w:r w:rsidRPr="000D55C9">
        <w:t xml:space="preserve">However, the government is unable to deliver services directly to Victorians. Rather, departments and Agencies have been established to deliver services in line with government </w:t>
      </w:r>
      <w:r w:rsidRPr="000D55C9">
        <w:rPr>
          <w:szCs w:val="20"/>
        </w:rPr>
        <w:t>objectives and priorities.</w:t>
      </w:r>
    </w:p>
    <w:p w14:paraId="0C721FDE" w14:textId="77777777" w:rsidR="000D55C9" w:rsidRPr="000D55C9" w:rsidRDefault="000D55C9" w:rsidP="000D55C9">
      <w:pPr>
        <w:autoSpaceDE w:val="0"/>
        <w:autoSpaceDN w:val="0"/>
        <w:adjustRightInd w:val="0"/>
        <w:rPr>
          <w:szCs w:val="20"/>
        </w:rPr>
      </w:pPr>
      <w:r w:rsidRPr="000D55C9">
        <w:t>This guidance will describe some of the key processes involved in planning and performance management for service delivery</w:t>
      </w:r>
      <w:r w:rsidRPr="000D55C9">
        <w:rPr>
          <w:szCs w:val="20"/>
        </w:rPr>
        <w:t>.</w:t>
      </w:r>
    </w:p>
    <w:p w14:paraId="113D4924" w14:textId="77777777" w:rsidR="000D55C9" w:rsidRPr="000D55C9" w:rsidRDefault="000D55C9" w:rsidP="000D55C9">
      <w:r w:rsidRPr="000D55C9">
        <w:t>In addition to this guidance, Agencies can refer to the Resource Management Framework. This Framework provides further information on planning and performance management within departments. The Resource Management Framework is available at dtf.vic.gov.au.</w:t>
      </w:r>
    </w:p>
    <w:p w14:paraId="5DDDF28D" w14:textId="77777777" w:rsidR="000D55C9" w:rsidRPr="000D55C9" w:rsidRDefault="000D55C9" w:rsidP="000D55C9">
      <w:pPr>
        <w:keepNext/>
        <w:spacing w:before="120" w:after="120" w:line="216" w:lineRule="auto"/>
        <w:outlineLvl w:val="0"/>
        <w:rPr>
          <w:color w:val="404040"/>
          <w:sz w:val="28"/>
          <w:szCs w:val="28"/>
        </w:rPr>
      </w:pPr>
      <w:r w:rsidRPr="000D55C9">
        <w:rPr>
          <w:color w:val="404040"/>
          <w:sz w:val="28"/>
          <w:szCs w:val="28"/>
        </w:rPr>
        <w:t>Plan</w:t>
      </w:r>
    </w:p>
    <w:p w14:paraId="26AEF925" w14:textId="77777777" w:rsidR="000D55C9" w:rsidRPr="000D55C9" w:rsidRDefault="000D55C9" w:rsidP="000D55C9">
      <w:r w:rsidRPr="000D55C9">
        <w:t xml:space="preserve">Planning helps an agency to identify what it wants to achieve over a period and how it will access its performance at the end of the planning period. Planning is a key accountability mechanism. </w:t>
      </w:r>
    </w:p>
    <w:p w14:paraId="2198C5D4" w14:textId="77777777" w:rsidR="000D55C9" w:rsidRPr="000D55C9" w:rsidRDefault="000D55C9" w:rsidP="000D55C9">
      <w:r w:rsidRPr="000D55C9">
        <w:t xml:space="preserve">Planning is about creating a vision, making choices to shape the future, and operating in a financially sustainable way. </w:t>
      </w:r>
    </w:p>
    <w:p w14:paraId="7CEA1121" w14:textId="77777777" w:rsidR="000D55C9" w:rsidRPr="000D55C9" w:rsidRDefault="000D55C9" w:rsidP="004661D4">
      <w:pPr>
        <w:spacing w:before="160" w:line="252" w:lineRule="auto"/>
        <w:rPr>
          <w:rFonts w:cs="Times New Roman"/>
          <w:spacing w:val="2"/>
          <w:szCs w:val="20"/>
        </w:rPr>
      </w:pPr>
      <w:r w:rsidRPr="000D55C9">
        <w:rPr>
          <w:rFonts w:cs="Times New Roman"/>
          <w:spacing w:val="2"/>
          <w:szCs w:val="20"/>
        </w:rPr>
        <w:t xml:space="preserve">Planning enables Government, Ministers and Agencies to prepare for future opportunities and challenges and drive improved service delivery. It helps identify what is required to deliver services and infrastructure to achieve desired results. </w:t>
      </w:r>
    </w:p>
    <w:p w14:paraId="3AA02B41" w14:textId="77777777" w:rsidR="000D55C9" w:rsidRPr="000D55C9" w:rsidRDefault="000D55C9" w:rsidP="004661D4">
      <w:pPr>
        <w:spacing w:before="160" w:line="252" w:lineRule="auto"/>
        <w:rPr>
          <w:rFonts w:cs="Times New Roman"/>
          <w:spacing w:val="2"/>
          <w:szCs w:val="20"/>
        </w:rPr>
      </w:pPr>
      <w:r w:rsidRPr="000D55C9">
        <w:rPr>
          <w:rFonts w:cs="Times New Roman"/>
          <w:spacing w:val="2"/>
          <w:szCs w:val="20"/>
        </w:rPr>
        <w:t>Planning involves:</w:t>
      </w:r>
    </w:p>
    <w:p w14:paraId="2DA837A7" w14:textId="77777777" w:rsidR="000D55C9" w:rsidRPr="000D55C9" w:rsidRDefault="000D55C9" w:rsidP="000B15FD">
      <w:pPr>
        <w:pStyle w:val="ListParagraph"/>
        <w:numPr>
          <w:ilvl w:val="0"/>
          <w:numId w:val="62"/>
        </w:numPr>
        <w:spacing w:before="80" w:after="80"/>
      </w:pPr>
      <w:r w:rsidRPr="000D55C9">
        <w:t>aligning an Agency’s strategic direction with government policy objectives and priorities and/or Parliament’s objectives set out in enabling legislation;</w:t>
      </w:r>
    </w:p>
    <w:p w14:paraId="296BCFBF" w14:textId="77777777" w:rsidR="000D55C9" w:rsidRPr="000D55C9" w:rsidRDefault="000D55C9" w:rsidP="000B15FD">
      <w:pPr>
        <w:pStyle w:val="ListParagraph"/>
        <w:numPr>
          <w:ilvl w:val="0"/>
          <w:numId w:val="62"/>
        </w:numPr>
        <w:spacing w:before="80" w:after="80"/>
      </w:pPr>
      <w:r w:rsidRPr="000D55C9">
        <w:t xml:space="preserve">assessing whether current activities and services efficiently, effectively, and economically contribute towards achieving Government objectives and priorities; and </w:t>
      </w:r>
    </w:p>
    <w:p w14:paraId="280D9034" w14:textId="77777777" w:rsidR="000D55C9" w:rsidRPr="000D55C9" w:rsidRDefault="000D55C9" w:rsidP="000B15FD">
      <w:pPr>
        <w:pStyle w:val="ListParagraph"/>
        <w:numPr>
          <w:ilvl w:val="0"/>
          <w:numId w:val="62"/>
        </w:numPr>
        <w:spacing w:before="80" w:after="80"/>
      </w:pPr>
      <w:r w:rsidRPr="000D55C9">
        <w:t xml:space="preserve">developing strategies to deal with opportunities and risks to improve results for Victorians. </w:t>
      </w:r>
    </w:p>
    <w:p w14:paraId="2B61EF1D" w14:textId="77777777" w:rsidR="000D55C9" w:rsidRPr="000D55C9" w:rsidRDefault="000D55C9" w:rsidP="004661D4">
      <w:pPr>
        <w:spacing w:before="160" w:line="252" w:lineRule="auto"/>
        <w:rPr>
          <w:rFonts w:cs="Times New Roman"/>
          <w:spacing w:val="2"/>
          <w:szCs w:val="20"/>
        </w:rPr>
      </w:pPr>
      <w:r w:rsidRPr="000D55C9">
        <w:rPr>
          <w:rFonts w:cs="Times New Roman"/>
          <w:spacing w:val="2"/>
          <w:szCs w:val="20"/>
        </w:rPr>
        <w:t>For some Agencies, their establishing legislation will outline minimum planning requirements. For others, their establishing legislation is silent. In both cases, Agencies should implement planning activities which best suit their individual needs and circumstances.</w:t>
      </w:r>
    </w:p>
    <w:p w14:paraId="671EE54E" w14:textId="21AD65FE" w:rsidR="000D55C9" w:rsidRDefault="000D55C9" w:rsidP="000D55C9">
      <w:pPr>
        <w:spacing w:before="160" w:line="252" w:lineRule="auto"/>
        <w:rPr>
          <w:rFonts w:cs="Times New Roman"/>
          <w:spacing w:val="2"/>
          <w:szCs w:val="20"/>
        </w:rPr>
      </w:pPr>
      <w:r w:rsidRPr="000D55C9">
        <w:rPr>
          <w:rFonts w:cs="Times New Roman"/>
          <w:spacing w:val="2"/>
          <w:szCs w:val="20"/>
        </w:rPr>
        <w:t>Planning can be conducted for a short, medium or long-term time horizon. It can lead to the development of various plans ranging from short-term operational or business plans, medium-term corporate or strategic plans and various long-term plans.</w:t>
      </w:r>
    </w:p>
    <w:p w14:paraId="142E9772" w14:textId="77777777" w:rsidR="000D55C9" w:rsidRDefault="000D55C9">
      <w:pPr>
        <w:spacing w:before="0" w:after="200" w:line="276" w:lineRule="auto"/>
        <w:rPr>
          <w:rFonts w:cs="Times New Roman"/>
          <w:spacing w:val="2"/>
          <w:szCs w:val="20"/>
        </w:rPr>
      </w:pPr>
      <w:r>
        <w:rPr>
          <w:rFonts w:cs="Times New Roman"/>
          <w:spacing w:val="2"/>
          <w:szCs w:val="20"/>
        </w:rPr>
        <w:br w:type="page"/>
      </w:r>
    </w:p>
    <w:tbl>
      <w:tblPr>
        <w:tblStyle w:val="Table11"/>
        <w:tblW w:w="9540" w:type="dxa"/>
        <w:tblLook w:val="0420" w:firstRow="1" w:lastRow="0" w:firstColumn="0" w:lastColumn="0" w:noHBand="0" w:noVBand="1"/>
      </w:tblPr>
      <w:tblGrid>
        <w:gridCol w:w="2166"/>
        <w:gridCol w:w="7374"/>
      </w:tblGrid>
      <w:tr w:rsidR="000D55C9" w:rsidRPr="000D55C9" w14:paraId="390E9C0C" w14:textId="77777777" w:rsidTr="00507362">
        <w:trPr>
          <w:cnfStyle w:val="100000000000" w:firstRow="1" w:lastRow="0" w:firstColumn="0" w:lastColumn="0" w:oddVBand="0" w:evenVBand="0" w:oddHBand="0" w:evenHBand="0" w:firstRowFirstColumn="0" w:firstRowLastColumn="0" w:lastRowFirstColumn="0" w:lastRowLastColumn="0"/>
          <w:cantSplit/>
        </w:trPr>
        <w:tc>
          <w:tcPr>
            <w:tcW w:w="9540" w:type="dxa"/>
            <w:gridSpan w:val="2"/>
            <w:hideMark/>
          </w:tcPr>
          <w:p w14:paraId="274FBCE6" w14:textId="77777777" w:rsidR="000D55C9" w:rsidRPr="000D55C9" w:rsidRDefault="000D55C9" w:rsidP="000D55C9">
            <w:pPr>
              <w:keepNext/>
              <w:spacing w:before="120" w:after="60" w:line="264" w:lineRule="auto"/>
              <w:rPr>
                <w:rFonts w:eastAsia="Calibri" w:cs="Times New Roman"/>
                <w:b w:val="0"/>
                <w:lang w:eastAsia="en-US"/>
              </w:rPr>
            </w:pPr>
            <w:r w:rsidRPr="003960F3">
              <w:rPr>
                <w:rFonts w:eastAsia="Calibri"/>
              </w:rPr>
              <w:lastRenderedPageBreak/>
              <w:t>Components of a comprehensive planning framework</w:t>
            </w:r>
          </w:p>
        </w:tc>
      </w:tr>
      <w:tr w:rsidR="000D55C9" w:rsidRPr="000D55C9" w14:paraId="194E92ED" w14:textId="77777777" w:rsidTr="00507362">
        <w:trPr>
          <w:cnfStyle w:val="000000100000" w:firstRow="0" w:lastRow="0" w:firstColumn="0" w:lastColumn="0" w:oddVBand="0" w:evenVBand="0" w:oddHBand="1" w:evenHBand="0" w:firstRowFirstColumn="0" w:firstRowLastColumn="0" w:lastRowFirstColumn="0" w:lastRowLastColumn="0"/>
          <w:cantSplit/>
        </w:trPr>
        <w:tc>
          <w:tcPr>
            <w:tcW w:w="2166" w:type="dxa"/>
            <w:hideMark/>
          </w:tcPr>
          <w:p w14:paraId="00853FB2" w14:textId="77777777" w:rsidR="000D55C9" w:rsidRPr="000D55C9" w:rsidRDefault="000D55C9" w:rsidP="000D55C9">
            <w:r w:rsidRPr="000D55C9">
              <w:t>Long</w:t>
            </w:r>
            <w:r w:rsidRPr="000D55C9">
              <w:noBreakHyphen/>
              <w:t>term planning</w:t>
            </w:r>
            <w:r w:rsidRPr="000D55C9">
              <w:br/>
              <w:t>5+ years</w:t>
            </w:r>
          </w:p>
        </w:tc>
        <w:tc>
          <w:tcPr>
            <w:tcW w:w="7374" w:type="dxa"/>
            <w:hideMark/>
          </w:tcPr>
          <w:p w14:paraId="12E94025" w14:textId="77777777" w:rsidR="000D55C9" w:rsidRPr="000D55C9" w:rsidRDefault="000D55C9" w:rsidP="000D55C9">
            <w:r w:rsidRPr="000D55C9">
              <w:t>Process to identify the long-term environment facing the Agency, and formulate the Agency’s high</w:t>
            </w:r>
            <w:r w:rsidRPr="000D55C9">
              <w:noBreakHyphen/>
              <w:t>level, long</w:t>
            </w:r>
            <w:r w:rsidRPr="000D55C9">
              <w:noBreakHyphen/>
              <w:t>term strategy for contributing to achieving Government’s broad objectives and sustainable service delivery.</w:t>
            </w:r>
          </w:p>
        </w:tc>
      </w:tr>
      <w:tr w:rsidR="000D55C9" w:rsidRPr="000D55C9" w14:paraId="575E7295" w14:textId="77777777" w:rsidTr="00507362">
        <w:trPr>
          <w:cnfStyle w:val="000000010000" w:firstRow="0" w:lastRow="0" w:firstColumn="0" w:lastColumn="0" w:oddVBand="0" w:evenVBand="0" w:oddHBand="0" w:evenHBand="1" w:firstRowFirstColumn="0" w:firstRowLastColumn="0" w:lastRowFirstColumn="0" w:lastRowLastColumn="0"/>
          <w:cantSplit/>
        </w:trPr>
        <w:tc>
          <w:tcPr>
            <w:tcW w:w="2166" w:type="dxa"/>
            <w:hideMark/>
          </w:tcPr>
          <w:p w14:paraId="76675803" w14:textId="77777777" w:rsidR="000D55C9" w:rsidRPr="000D55C9" w:rsidRDefault="000D55C9" w:rsidP="000D55C9">
            <w:r w:rsidRPr="000D55C9">
              <w:t>Medium</w:t>
            </w:r>
            <w:r w:rsidRPr="000D55C9">
              <w:noBreakHyphen/>
              <w:t>term planning</w:t>
            </w:r>
            <w:r w:rsidRPr="000D55C9">
              <w:br/>
              <w:t>4 years</w:t>
            </w:r>
          </w:p>
        </w:tc>
        <w:tc>
          <w:tcPr>
            <w:tcW w:w="7374" w:type="dxa"/>
            <w:hideMark/>
          </w:tcPr>
          <w:p w14:paraId="75A85F57" w14:textId="77777777" w:rsidR="000D55C9" w:rsidRPr="000D55C9" w:rsidRDefault="000D55C9" w:rsidP="000D55C9">
            <w:r w:rsidRPr="000D55C9">
              <w:t>Process to formulate the Agency’s strategies to deliver services over the medium term to achieve departmental objectives, guided by Government objectives and priorities.</w:t>
            </w:r>
          </w:p>
        </w:tc>
      </w:tr>
      <w:tr w:rsidR="000D55C9" w:rsidRPr="000D55C9" w14:paraId="17957691" w14:textId="77777777" w:rsidTr="00507362">
        <w:trPr>
          <w:cnfStyle w:val="000000100000" w:firstRow="0" w:lastRow="0" w:firstColumn="0" w:lastColumn="0" w:oddVBand="0" w:evenVBand="0" w:oddHBand="1" w:evenHBand="0" w:firstRowFirstColumn="0" w:firstRowLastColumn="0" w:lastRowFirstColumn="0" w:lastRowLastColumn="0"/>
          <w:cantSplit/>
        </w:trPr>
        <w:tc>
          <w:tcPr>
            <w:tcW w:w="2166" w:type="dxa"/>
            <w:hideMark/>
          </w:tcPr>
          <w:p w14:paraId="5D5EA035" w14:textId="77777777" w:rsidR="000D55C9" w:rsidRPr="000D55C9" w:rsidRDefault="000D55C9" w:rsidP="000D55C9">
            <w:r w:rsidRPr="000D55C9">
              <w:t>Short</w:t>
            </w:r>
            <w:r w:rsidRPr="000D55C9">
              <w:noBreakHyphen/>
              <w:t>term planning</w:t>
            </w:r>
            <w:r w:rsidRPr="000D55C9">
              <w:br/>
              <w:t>1 year</w:t>
            </w:r>
          </w:p>
        </w:tc>
        <w:tc>
          <w:tcPr>
            <w:tcW w:w="7374" w:type="dxa"/>
            <w:hideMark/>
          </w:tcPr>
          <w:p w14:paraId="1235088B" w14:textId="77777777" w:rsidR="000D55C9" w:rsidRPr="000D55C9" w:rsidRDefault="000D55C9" w:rsidP="000D55C9">
            <w:r w:rsidRPr="000D55C9">
              <w:t>Process to formulate how the Agency intends to deliver required services to Victorians.</w:t>
            </w:r>
          </w:p>
        </w:tc>
      </w:tr>
    </w:tbl>
    <w:p w14:paraId="7DCFB2C1" w14:textId="17FEEFAC" w:rsidR="000D55C9" w:rsidRPr="000D55C9" w:rsidRDefault="000D55C9" w:rsidP="00507362">
      <w:r w:rsidRPr="000D55C9">
        <w:t xml:space="preserve">Appendix </w:t>
      </w:r>
      <w:r w:rsidRPr="004661D4">
        <w:t>1</w:t>
      </w:r>
      <w:r w:rsidRPr="000D55C9">
        <w:t xml:space="preserve"> provides some further information on medium-term planning and financial sustainability.</w:t>
      </w:r>
    </w:p>
    <w:p w14:paraId="2409854F" w14:textId="77777777" w:rsidR="000D55C9" w:rsidRPr="000D55C9" w:rsidRDefault="000D55C9" w:rsidP="000D55C9">
      <w:pPr>
        <w:spacing w:before="120" w:after="120" w:line="240" w:lineRule="atLeast"/>
      </w:pPr>
      <w:r w:rsidRPr="000D55C9">
        <w:rPr>
          <w:color w:val="404040"/>
          <w:sz w:val="28"/>
          <w:szCs w:val="28"/>
        </w:rPr>
        <w:t>Allocate resources</w:t>
      </w:r>
    </w:p>
    <w:p w14:paraId="1C4BF075" w14:textId="77777777" w:rsidR="000D55C9" w:rsidRPr="000D55C9" w:rsidRDefault="000D55C9" w:rsidP="000D55C9">
      <w:r w:rsidRPr="000D55C9">
        <w:t>The Responsible Body, Accountable Officer and the CFO have individual responsibilities to ensure public money is safeguarded and appropriately allocated to deliver the Agency’s plans and strategies efficiently and effectively.</w:t>
      </w:r>
    </w:p>
    <w:p w14:paraId="28547A4B" w14:textId="77777777" w:rsidR="000D55C9" w:rsidRPr="000D55C9" w:rsidRDefault="000D55C9" w:rsidP="000D55C9">
      <w:r w:rsidRPr="000D55C9">
        <w:t>Effective internal budgeting processes that underpin effective resource allocation should assist the Agency achieve its goals and objectives when embedded into medium-term planning and aligned to the external budget.</w:t>
      </w:r>
    </w:p>
    <w:p w14:paraId="4BE45527" w14:textId="77777777" w:rsidR="000D55C9" w:rsidRPr="000D55C9" w:rsidRDefault="000D55C9" w:rsidP="000D55C9">
      <w:r w:rsidRPr="000D55C9">
        <w:t>Better practice organisations embed internal budget processes into organisational planning and management by:</w:t>
      </w:r>
    </w:p>
    <w:p w14:paraId="11A3A511" w14:textId="77777777" w:rsidR="000D55C9" w:rsidRPr="000D55C9" w:rsidRDefault="000D55C9" w:rsidP="000B15FD">
      <w:pPr>
        <w:pStyle w:val="ListParagraph"/>
        <w:numPr>
          <w:ilvl w:val="0"/>
          <w:numId w:val="63"/>
        </w:numPr>
        <w:spacing w:before="80" w:after="80"/>
      </w:pPr>
      <w:r w:rsidRPr="000D55C9">
        <w:t>integrating the internal budget into organisational planning;</w:t>
      </w:r>
    </w:p>
    <w:p w14:paraId="4E00463B" w14:textId="77777777" w:rsidR="000D55C9" w:rsidRPr="000D55C9" w:rsidRDefault="000D55C9" w:rsidP="000B15FD">
      <w:pPr>
        <w:pStyle w:val="ListParagraph"/>
        <w:numPr>
          <w:ilvl w:val="0"/>
          <w:numId w:val="63"/>
        </w:numPr>
        <w:spacing w:before="80" w:after="80"/>
      </w:pPr>
      <w:r w:rsidRPr="000D55C9">
        <w:t>aligning the internal budget with organisational roles and responsibilities;</w:t>
      </w:r>
    </w:p>
    <w:p w14:paraId="7B932317" w14:textId="77777777" w:rsidR="000D55C9" w:rsidRPr="000D55C9" w:rsidRDefault="000D55C9" w:rsidP="000B15FD">
      <w:pPr>
        <w:pStyle w:val="ListParagraph"/>
        <w:numPr>
          <w:ilvl w:val="0"/>
          <w:numId w:val="63"/>
        </w:numPr>
        <w:spacing w:before="80" w:after="80"/>
      </w:pPr>
      <w:r w:rsidRPr="000D55C9">
        <w:t>integrating operational and capital budgets;</w:t>
      </w:r>
    </w:p>
    <w:p w14:paraId="56B62B81" w14:textId="77777777" w:rsidR="000D55C9" w:rsidRPr="000D55C9" w:rsidRDefault="000D55C9" w:rsidP="000B15FD">
      <w:pPr>
        <w:pStyle w:val="ListParagraph"/>
        <w:numPr>
          <w:ilvl w:val="0"/>
          <w:numId w:val="63"/>
        </w:numPr>
        <w:spacing w:before="80" w:after="80"/>
      </w:pPr>
      <w:r w:rsidRPr="000D55C9">
        <w:t>aligning internal and external budgets;</w:t>
      </w:r>
    </w:p>
    <w:p w14:paraId="25AFE156" w14:textId="77777777" w:rsidR="000D55C9" w:rsidRPr="000D55C9" w:rsidRDefault="000D55C9" w:rsidP="000B15FD">
      <w:pPr>
        <w:pStyle w:val="ListParagraph"/>
        <w:numPr>
          <w:ilvl w:val="0"/>
          <w:numId w:val="63"/>
        </w:numPr>
        <w:spacing w:before="80" w:after="80"/>
      </w:pPr>
      <w:r w:rsidRPr="000D55C9">
        <w:t>harmonising budgeting and reporting; and</w:t>
      </w:r>
    </w:p>
    <w:p w14:paraId="6764622D" w14:textId="7FCA85B5" w:rsidR="000D55C9" w:rsidRPr="000D55C9" w:rsidRDefault="000D55C9" w:rsidP="000B15FD">
      <w:pPr>
        <w:pStyle w:val="ListParagraph"/>
        <w:numPr>
          <w:ilvl w:val="0"/>
          <w:numId w:val="63"/>
        </w:numPr>
        <w:spacing w:before="80" w:after="80"/>
      </w:pPr>
      <w:r w:rsidRPr="000D55C9">
        <w:t>engaging stakeholders in the internal budget</w:t>
      </w:r>
      <w:r>
        <w:t>.</w:t>
      </w:r>
    </w:p>
    <w:p w14:paraId="1117528F" w14:textId="77777777" w:rsidR="000D55C9" w:rsidRPr="000D55C9" w:rsidRDefault="000D55C9" w:rsidP="000D55C9">
      <w:pPr>
        <w:spacing w:before="80" w:after="80"/>
      </w:pPr>
      <w:r w:rsidRPr="000D55C9">
        <w:t>Developing and implementing an internal budget requires effective:</w:t>
      </w:r>
    </w:p>
    <w:p w14:paraId="46C6F53E" w14:textId="77777777" w:rsidR="000D55C9" w:rsidRPr="000D55C9" w:rsidRDefault="000D55C9" w:rsidP="000B15FD">
      <w:pPr>
        <w:pStyle w:val="ListParagraph"/>
        <w:numPr>
          <w:ilvl w:val="0"/>
          <w:numId w:val="64"/>
        </w:numPr>
        <w:spacing w:before="80" w:after="80"/>
      </w:pPr>
      <w:r w:rsidRPr="000D55C9">
        <w:t>planning and coordination, including clearly defined expectations and assumptions, a coordinated calendar of activity and well</w:t>
      </w:r>
      <w:r w:rsidRPr="000D55C9">
        <w:noBreakHyphen/>
        <w:t>documented and communicated policies and procedures;</w:t>
      </w:r>
    </w:p>
    <w:p w14:paraId="59BB1554" w14:textId="77777777" w:rsidR="000D55C9" w:rsidRPr="000D55C9" w:rsidRDefault="000D55C9" w:rsidP="000B15FD">
      <w:pPr>
        <w:pStyle w:val="ListParagraph"/>
        <w:numPr>
          <w:ilvl w:val="0"/>
          <w:numId w:val="64"/>
        </w:numPr>
        <w:spacing w:before="80" w:after="80"/>
      </w:pPr>
      <w:r w:rsidRPr="000D55C9">
        <w:t>budget construction through implementing established and agreed budget methodologies and automating budget processes; and</w:t>
      </w:r>
    </w:p>
    <w:p w14:paraId="792E0E21" w14:textId="77777777" w:rsidR="000D55C9" w:rsidRPr="000D55C9" w:rsidRDefault="000D55C9" w:rsidP="000B15FD">
      <w:pPr>
        <w:pStyle w:val="ListParagraph"/>
        <w:numPr>
          <w:ilvl w:val="0"/>
          <w:numId w:val="64"/>
        </w:numPr>
        <w:spacing w:before="80" w:after="80"/>
      </w:pPr>
      <w:r w:rsidRPr="000D55C9">
        <w:t>oversight, review and communication through active senior management involvement, rigorous quality assurance processes and structured communication.</w:t>
      </w:r>
    </w:p>
    <w:p w14:paraId="31E1931A" w14:textId="77777777" w:rsidR="000D55C9" w:rsidRPr="000D55C9" w:rsidRDefault="000D55C9" w:rsidP="000D55C9">
      <w:pPr>
        <w:spacing w:before="120" w:after="120" w:line="240" w:lineRule="atLeast"/>
        <w:rPr>
          <w:color w:val="404040"/>
          <w:sz w:val="28"/>
          <w:szCs w:val="28"/>
        </w:rPr>
      </w:pPr>
      <w:r w:rsidRPr="000D55C9">
        <w:rPr>
          <w:color w:val="404040"/>
          <w:sz w:val="28"/>
          <w:szCs w:val="28"/>
        </w:rPr>
        <w:t xml:space="preserve">Manage performance </w:t>
      </w:r>
    </w:p>
    <w:p w14:paraId="35D5119B" w14:textId="77777777" w:rsidR="000D55C9" w:rsidRPr="000D55C9" w:rsidRDefault="000D55C9" w:rsidP="000D55C9">
      <w:pPr>
        <w:spacing w:before="120" w:after="120" w:line="240" w:lineRule="atLeast"/>
        <w:rPr>
          <w:szCs w:val="20"/>
        </w:rPr>
      </w:pPr>
      <w:r w:rsidRPr="000D55C9">
        <w:rPr>
          <w:szCs w:val="20"/>
        </w:rPr>
        <w:t>Performance management is central to the effective and efficient delivery of quality services to Victorians. In planning for and managing performance, Agencies describe what they intend to achieve for the community and how the mix of services and/or programs to be delivered is intended to contribute to the achievement of these objectives. They will also describe how they will measure whether the Agency has met its intended objectives.</w:t>
      </w:r>
    </w:p>
    <w:p w14:paraId="4A1133E3" w14:textId="77777777" w:rsidR="000D55C9" w:rsidRPr="000D55C9" w:rsidRDefault="000D55C9" w:rsidP="000D55C9">
      <w:pPr>
        <w:spacing w:before="120" w:after="120" w:line="240" w:lineRule="atLeast"/>
        <w:rPr>
          <w:szCs w:val="20"/>
        </w:rPr>
      </w:pPr>
      <w:r w:rsidRPr="000D55C9">
        <w:rPr>
          <w:szCs w:val="20"/>
        </w:rPr>
        <w:t>Performance can be measured at two levels:</w:t>
      </w:r>
    </w:p>
    <w:p w14:paraId="1100575F" w14:textId="5056EBF9" w:rsidR="000D55C9" w:rsidRPr="000D55C9" w:rsidRDefault="000D55C9" w:rsidP="00CC0CB1">
      <w:pPr>
        <w:pStyle w:val="Bullet1"/>
      </w:pPr>
      <w:r>
        <w:t>a</w:t>
      </w:r>
      <w:r w:rsidRPr="000D55C9">
        <w:t>gainst overall government or Agency objectives (using indicators); and</w:t>
      </w:r>
    </w:p>
    <w:p w14:paraId="55248B10" w14:textId="6B834892" w:rsidR="000D55C9" w:rsidRPr="000D55C9" w:rsidRDefault="000D55C9" w:rsidP="00CC0CB1">
      <w:pPr>
        <w:pStyle w:val="Bullet1"/>
      </w:pPr>
      <w:r>
        <w:t>a</w:t>
      </w:r>
      <w:r w:rsidRPr="000D55C9">
        <w:t xml:space="preserve">t the program or service delivery level (using performance measures). </w:t>
      </w:r>
    </w:p>
    <w:p w14:paraId="70560060" w14:textId="3ACEA4AA" w:rsidR="005B3911" w:rsidRDefault="005B3911" w:rsidP="005B3911">
      <w:pPr>
        <w:keepNext/>
        <w:spacing w:before="160" w:after="120" w:line="276" w:lineRule="auto"/>
        <w:rPr>
          <w:color w:val="4D4D4D"/>
          <w:sz w:val="24"/>
          <w:szCs w:val="28"/>
        </w:rPr>
      </w:pPr>
      <w:r>
        <w:rPr>
          <w:noProof/>
          <w:color w:val="4D4D4D"/>
          <w:sz w:val="24"/>
          <w:szCs w:val="28"/>
        </w:rPr>
        <w:lastRenderedPageBreak/>
        <mc:AlternateContent>
          <mc:Choice Requires="wpc">
            <w:drawing>
              <wp:inline distT="0" distB="0" distL="0" distR="0" wp14:anchorId="248FDCA9" wp14:editId="1FA53A28">
                <wp:extent cx="5529580" cy="3057896"/>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9" name="Rectangle: Rounded Corners 49">
                          <a:extLst>
                            <a:ext uri="{FF2B5EF4-FFF2-40B4-BE49-F238E27FC236}">
                              <a16:creationId xmlns:a16="http://schemas.microsoft.com/office/drawing/2014/main" id="{5E7FE342-B83E-432B-95BD-99C807C4FEFF}"/>
                            </a:ext>
                          </a:extLst>
                        </wps:cNvPr>
                        <wps:cNvSpPr/>
                        <wps:spPr>
                          <a:xfrm>
                            <a:off x="86364" y="39599"/>
                            <a:ext cx="5123002" cy="467720"/>
                          </a:xfrm>
                          <a:prstGeom prst="roundRect">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8A7C76" w14:textId="77777777" w:rsidR="001E5E02" w:rsidRPr="005007A7" w:rsidRDefault="001E5E02" w:rsidP="005007A7">
                              <w:pPr>
                                <w:spacing w:before="0" w:after="0"/>
                                <w:jc w:val="center"/>
                                <w:rPr>
                                  <w:sz w:val="24"/>
                                  <w:szCs w:val="24"/>
                                </w:rPr>
                              </w:pPr>
                              <w:r w:rsidRPr="005007A7">
                                <w:t>Government objectives and priorities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Rounded Corners 50">
                          <a:extLst>
                            <a:ext uri="{FF2B5EF4-FFF2-40B4-BE49-F238E27FC236}">
                              <a16:creationId xmlns:a16="http://schemas.microsoft.com/office/drawing/2014/main" id="{E62778E0-BF7D-4C7F-8CDD-BEBAEF392D3F}"/>
                            </a:ext>
                          </a:extLst>
                        </wps:cNvPr>
                        <wps:cNvSpPr/>
                        <wps:spPr>
                          <a:xfrm>
                            <a:off x="2237424" y="645725"/>
                            <a:ext cx="820883" cy="46772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0FA87" w14:textId="77777777" w:rsidR="001E5E02" w:rsidRPr="005007A7" w:rsidRDefault="001E5E02" w:rsidP="005007A7">
                              <w:pPr>
                                <w:spacing w:before="0" w:after="0"/>
                                <w:jc w:val="center"/>
                                <w:rPr>
                                  <w:sz w:val="18"/>
                                  <w:szCs w:val="18"/>
                                </w:rPr>
                              </w:pPr>
                              <w:r w:rsidRPr="005007A7">
                                <w:rPr>
                                  <w:sz w:val="18"/>
                                  <w:szCs w:val="18"/>
                                </w:rPr>
                                <w:t>Agency objectives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Rectangle: Rounded Corners 51">
                          <a:extLst>
                            <a:ext uri="{FF2B5EF4-FFF2-40B4-BE49-F238E27FC236}">
                              <a16:creationId xmlns:a16="http://schemas.microsoft.com/office/drawing/2014/main" id="{23629B88-C0AA-414A-BA48-249494E2CA11}"/>
                            </a:ext>
                          </a:extLst>
                        </wps:cNvPr>
                        <wps:cNvSpPr/>
                        <wps:spPr>
                          <a:xfrm>
                            <a:off x="3541542" y="1252881"/>
                            <a:ext cx="820883" cy="46772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F55FD" w14:textId="77777777" w:rsidR="001E5E02" w:rsidRPr="005007A7" w:rsidRDefault="001E5E02" w:rsidP="005007A7">
                              <w:pPr>
                                <w:spacing w:before="0" w:after="0"/>
                                <w:jc w:val="center"/>
                                <w:rPr>
                                  <w:sz w:val="18"/>
                                  <w:szCs w:val="18"/>
                                </w:rPr>
                              </w:pPr>
                              <w:r w:rsidRPr="005007A7">
                                <w:rPr>
                                  <w:sz w:val="18"/>
                                  <w:szCs w:val="18"/>
                                </w:rPr>
                                <w:t>Objective indicator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Rectangle: Rounded Corners 52">
                          <a:extLst>
                            <a:ext uri="{FF2B5EF4-FFF2-40B4-BE49-F238E27FC236}">
                              <a16:creationId xmlns:a16="http://schemas.microsoft.com/office/drawing/2014/main" id="{4506CBDC-01B5-40F7-944B-5009A0C51628}"/>
                            </a:ext>
                          </a:extLst>
                        </wps:cNvPr>
                        <wps:cNvSpPr/>
                        <wps:spPr>
                          <a:xfrm>
                            <a:off x="2237423" y="1252881"/>
                            <a:ext cx="820883" cy="46772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CB905" w14:textId="77777777" w:rsidR="001E5E02" w:rsidRPr="005007A7" w:rsidRDefault="001E5E02" w:rsidP="005007A7">
                              <w:pPr>
                                <w:spacing w:before="0" w:after="0"/>
                                <w:jc w:val="center"/>
                                <w:rPr>
                                  <w:sz w:val="18"/>
                                  <w:szCs w:val="18"/>
                                </w:rPr>
                              </w:pPr>
                              <w:r w:rsidRPr="005007A7">
                                <w:rPr>
                                  <w:sz w:val="18"/>
                                  <w:szCs w:val="18"/>
                                </w:rPr>
                                <w:t>Objective indicator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Rounded Corners 53">
                          <a:extLst>
                            <a:ext uri="{FF2B5EF4-FFF2-40B4-BE49-F238E27FC236}">
                              <a16:creationId xmlns:a16="http://schemas.microsoft.com/office/drawing/2014/main" id="{8D0D5BB6-79B7-4288-8720-942A2D170145}"/>
                            </a:ext>
                          </a:extLst>
                        </wps:cNvPr>
                        <wps:cNvSpPr/>
                        <wps:spPr>
                          <a:xfrm>
                            <a:off x="932460" y="1252881"/>
                            <a:ext cx="820883" cy="46772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F2892" w14:textId="77777777" w:rsidR="001E5E02" w:rsidRPr="005007A7" w:rsidRDefault="001E5E02" w:rsidP="005007A7">
                              <w:pPr>
                                <w:spacing w:before="0" w:after="0"/>
                                <w:jc w:val="center"/>
                                <w:rPr>
                                  <w:sz w:val="18"/>
                                  <w:szCs w:val="18"/>
                                </w:rPr>
                              </w:pPr>
                              <w:r w:rsidRPr="005007A7">
                                <w:rPr>
                                  <w:sz w:val="18"/>
                                  <w:szCs w:val="18"/>
                                </w:rPr>
                                <w:t>Objective indicator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54" name="Group 54">
                          <a:extLst>
                            <a:ext uri="{FF2B5EF4-FFF2-40B4-BE49-F238E27FC236}">
                              <a16:creationId xmlns:a16="http://schemas.microsoft.com/office/drawing/2014/main" id="{7555DE44-FCE4-44C7-BEF0-C44093ECDEF4}"/>
                            </a:ext>
                          </a:extLst>
                        </wpg:cNvPr>
                        <wpg:cNvGrpSpPr/>
                        <wpg:grpSpPr>
                          <a:xfrm>
                            <a:off x="86364" y="1907062"/>
                            <a:ext cx="1110063" cy="1032641"/>
                            <a:chOff x="0" y="1843868"/>
                            <a:chExt cx="945609" cy="879734"/>
                          </a:xfrm>
                        </wpg:grpSpPr>
                        <wps:wsp>
                          <wps:cNvPr id="67" name="Rectangle: Rounded Corners 67">
                            <a:extLst>
                              <a:ext uri="{FF2B5EF4-FFF2-40B4-BE49-F238E27FC236}">
                                <a16:creationId xmlns:a16="http://schemas.microsoft.com/office/drawing/2014/main" id="{15F05560-F936-4EA0-BF32-E6F145BE85EF}"/>
                              </a:ext>
                            </a:extLst>
                          </wps:cNvPr>
                          <wps:cNvSpPr/>
                          <wps:spPr>
                            <a:xfrm>
                              <a:off x="16194" y="1843868"/>
                              <a:ext cx="929415" cy="398463"/>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42FEA" w14:textId="77777777" w:rsidR="001E5E02" w:rsidRPr="005007A7" w:rsidRDefault="001E5E02" w:rsidP="005007A7">
                                <w:pPr>
                                  <w:spacing w:before="0" w:after="0"/>
                                  <w:jc w:val="center"/>
                                  <w:rPr>
                                    <w:color w:val="000000" w:themeColor="text1"/>
                                    <w:sz w:val="18"/>
                                    <w:szCs w:val="18"/>
                                  </w:rPr>
                                </w:pPr>
                                <w:r w:rsidRPr="005007A7">
                                  <w:rPr>
                                    <w:color w:val="000000" w:themeColor="text1"/>
                                    <w:sz w:val="18"/>
                                    <w:szCs w:val="18"/>
                                  </w:rPr>
                                  <w:t>Service/program delivery</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8" name="Rectangle: Rounded Corners 68">
                            <a:extLst>
                              <a:ext uri="{FF2B5EF4-FFF2-40B4-BE49-F238E27FC236}">
                                <a16:creationId xmlns:a16="http://schemas.microsoft.com/office/drawing/2014/main" id="{39E63C9F-B7E3-48B2-96B5-8CAEBDAA2C4D}"/>
                              </a:ext>
                            </a:extLst>
                          </wps:cNvPr>
                          <wps:cNvSpPr/>
                          <wps:spPr>
                            <a:xfrm>
                              <a:off x="0" y="2322072"/>
                              <a:ext cx="453209" cy="399600"/>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45DFB"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9" name="Rectangle: Rounded Corners 69">
                            <a:extLst>
                              <a:ext uri="{FF2B5EF4-FFF2-40B4-BE49-F238E27FC236}">
                                <a16:creationId xmlns:a16="http://schemas.microsoft.com/office/drawing/2014/main" id="{DF891A25-1124-482F-9A96-C45112E66797}"/>
                              </a:ext>
                            </a:extLst>
                          </wps:cNvPr>
                          <wps:cNvSpPr/>
                          <wps:spPr>
                            <a:xfrm>
                              <a:off x="486502" y="2324002"/>
                              <a:ext cx="453209" cy="399600"/>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351224"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wps:txbx>
                          <wps:bodyPr rot="0" spcFirstLastPara="0" vert="horz" wrap="square" lIns="0" tIns="0" rIns="0" bIns="0" numCol="1" spcCol="0" rtlCol="0" fromWordArt="0" anchor="ctr" anchorCtr="0" forceAA="0" compatLnSpc="1">
                            <a:prstTxWarp prst="textNoShape">
                              <a:avLst/>
                            </a:prstTxWarp>
                            <a:noAutofit/>
                          </wps:bodyPr>
                        </wps:wsp>
                      </wpg:wgp>
                      <wpg:wgp>
                        <wpg:cNvPr id="55" name="Group 55">
                          <a:extLst>
                            <a:ext uri="{FF2B5EF4-FFF2-40B4-BE49-F238E27FC236}">
                              <a16:creationId xmlns:a16="http://schemas.microsoft.com/office/drawing/2014/main" id="{8EFBADC4-1BDC-40C6-877A-95160FE175C5}"/>
                            </a:ext>
                          </a:extLst>
                        </wpg:cNvPr>
                        <wpg:cNvGrpSpPr/>
                        <wpg:grpSpPr>
                          <a:xfrm>
                            <a:off x="1421934" y="1907062"/>
                            <a:ext cx="1110063" cy="1032641"/>
                            <a:chOff x="1137708" y="1843868"/>
                            <a:chExt cx="945609" cy="879734"/>
                          </a:xfrm>
                        </wpg:grpSpPr>
                        <wps:wsp>
                          <wps:cNvPr id="64" name="Rectangle: Rounded Corners 64">
                            <a:extLst>
                              <a:ext uri="{FF2B5EF4-FFF2-40B4-BE49-F238E27FC236}">
                                <a16:creationId xmlns:a16="http://schemas.microsoft.com/office/drawing/2014/main" id="{A5B3684B-9094-46CE-9BC6-02A87FCC71DC}"/>
                              </a:ext>
                            </a:extLst>
                          </wps:cNvPr>
                          <wps:cNvSpPr/>
                          <wps:spPr>
                            <a:xfrm>
                              <a:off x="1153902" y="1843868"/>
                              <a:ext cx="929415" cy="398463"/>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F83A7" w14:textId="77777777" w:rsidR="001E5E02" w:rsidRPr="005007A7" w:rsidRDefault="001E5E02" w:rsidP="005007A7">
                                <w:pPr>
                                  <w:spacing w:before="0" w:after="0"/>
                                  <w:jc w:val="center"/>
                                  <w:rPr>
                                    <w:color w:val="000000" w:themeColor="text1"/>
                                    <w:sz w:val="18"/>
                                    <w:szCs w:val="18"/>
                                  </w:rPr>
                                </w:pPr>
                                <w:r w:rsidRPr="005007A7">
                                  <w:rPr>
                                    <w:color w:val="000000" w:themeColor="text1"/>
                                    <w:sz w:val="18"/>
                                    <w:szCs w:val="18"/>
                                  </w:rPr>
                                  <w:t>Service/program delivery</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5" name="Rectangle: Rounded Corners 65">
                            <a:extLst>
                              <a:ext uri="{FF2B5EF4-FFF2-40B4-BE49-F238E27FC236}">
                                <a16:creationId xmlns:a16="http://schemas.microsoft.com/office/drawing/2014/main" id="{F45F1B42-BDBF-4A3B-AD49-092E8B940068}"/>
                              </a:ext>
                            </a:extLst>
                          </wps:cNvPr>
                          <wps:cNvSpPr/>
                          <wps:spPr>
                            <a:xfrm>
                              <a:off x="1137708" y="2322073"/>
                              <a:ext cx="453209" cy="399600"/>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07A1D"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66" name="Rectangle: Rounded Corners 66">
                            <a:extLst>
                              <a:ext uri="{FF2B5EF4-FFF2-40B4-BE49-F238E27FC236}">
                                <a16:creationId xmlns:a16="http://schemas.microsoft.com/office/drawing/2014/main" id="{C6B71A06-D572-47B3-B7D8-175D78572BE1}"/>
                              </a:ext>
                            </a:extLst>
                          </wps:cNvPr>
                          <wps:cNvSpPr/>
                          <wps:spPr>
                            <a:xfrm>
                              <a:off x="1624210" y="2324002"/>
                              <a:ext cx="453209" cy="399600"/>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D7C741"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wps:txbx>
                          <wps:bodyPr rot="0" spcFirstLastPara="0" vert="horz" wrap="square" lIns="0" tIns="45720" rIns="0" bIns="45720" numCol="1" spcCol="0" rtlCol="0" fromWordArt="0" anchor="ctr" anchorCtr="0" forceAA="0" compatLnSpc="1">
                            <a:prstTxWarp prst="textNoShape">
                              <a:avLst/>
                            </a:prstTxWarp>
                            <a:noAutofit/>
                          </wps:bodyPr>
                        </wps:wsp>
                      </wpg:wgp>
                      <wpg:wgp>
                        <wpg:cNvPr id="56" name="Group 56">
                          <a:extLst>
                            <a:ext uri="{FF2B5EF4-FFF2-40B4-BE49-F238E27FC236}">
                              <a16:creationId xmlns:a16="http://schemas.microsoft.com/office/drawing/2014/main" id="{7B3778E3-1468-4E23-A7EA-74DFC7837DBA}"/>
                            </a:ext>
                          </a:extLst>
                        </wpg:cNvPr>
                        <wpg:cNvGrpSpPr/>
                        <wpg:grpSpPr>
                          <a:xfrm>
                            <a:off x="2757505" y="1907062"/>
                            <a:ext cx="1110063" cy="1032641"/>
                            <a:chOff x="2275416" y="1843868"/>
                            <a:chExt cx="945609" cy="879734"/>
                          </a:xfrm>
                        </wpg:grpSpPr>
                        <wps:wsp>
                          <wps:cNvPr id="61" name="Rectangle: Rounded Corners 61">
                            <a:extLst>
                              <a:ext uri="{FF2B5EF4-FFF2-40B4-BE49-F238E27FC236}">
                                <a16:creationId xmlns:a16="http://schemas.microsoft.com/office/drawing/2014/main" id="{72C6AF25-7498-40DF-AC94-F0513C581F1B}"/>
                              </a:ext>
                            </a:extLst>
                          </wps:cNvPr>
                          <wps:cNvSpPr/>
                          <wps:spPr>
                            <a:xfrm>
                              <a:off x="2291610" y="1843868"/>
                              <a:ext cx="929415" cy="398463"/>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51212" w14:textId="77777777" w:rsidR="001E5E02" w:rsidRPr="005007A7" w:rsidRDefault="001E5E02" w:rsidP="005007A7">
                                <w:pPr>
                                  <w:spacing w:before="0" w:after="0"/>
                                  <w:jc w:val="center"/>
                                  <w:rPr>
                                    <w:color w:val="000000" w:themeColor="text1"/>
                                    <w:sz w:val="18"/>
                                    <w:szCs w:val="18"/>
                                  </w:rPr>
                                </w:pPr>
                                <w:r w:rsidRPr="005007A7">
                                  <w:rPr>
                                    <w:color w:val="000000" w:themeColor="text1"/>
                                    <w:sz w:val="18"/>
                                    <w:szCs w:val="18"/>
                                  </w:rPr>
                                  <w:t>Service/program delivery</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2" name="Rectangle: Rounded Corners 62">
                            <a:extLst>
                              <a:ext uri="{FF2B5EF4-FFF2-40B4-BE49-F238E27FC236}">
                                <a16:creationId xmlns:a16="http://schemas.microsoft.com/office/drawing/2014/main" id="{A5ED3408-35C8-4794-AE4F-A7DCC0E236D7}"/>
                              </a:ext>
                            </a:extLst>
                          </wps:cNvPr>
                          <wps:cNvSpPr/>
                          <wps:spPr>
                            <a:xfrm>
                              <a:off x="2275416" y="2322073"/>
                              <a:ext cx="453209" cy="399600"/>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E07D0"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63" name="Rectangle: Rounded Corners 63">
                            <a:extLst>
                              <a:ext uri="{FF2B5EF4-FFF2-40B4-BE49-F238E27FC236}">
                                <a16:creationId xmlns:a16="http://schemas.microsoft.com/office/drawing/2014/main" id="{B6AF9BF2-29A7-4542-8CBE-CBA56622B329}"/>
                              </a:ext>
                            </a:extLst>
                          </wps:cNvPr>
                          <wps:cNvSpPr/>
                          <wps:spPr>
                            <a:xfrm>
                              <a:off x="2761918" y="2324002"/>
                              <a:ext cx="453209" cy="399600"/>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33EAB"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wps:txbx>
                          <wps:bodyPr rot="0" spcFirstLastPara="0" vert="horz" wrap="square" lIns="0" tIns="45720" rIns="0" bIns="45720" numCol="1" spcCol="0" rtlCol="0" fromWordArt="0" anchor="ctr" anchorCtr="0" forceAA="0" compatLnSpc="1">
                            <a:prstTxWarp prst="textNoShape">
                              <a:avLst/>
                            </a:prstTxWarp>
                            <a:noAutofit/>
                          </wps:bodyPr>
                        </wps:wsp>
                      </wpg:wgp>
                      <wpg:wgp>
                        <wpg:cNvPr id="57" name="Group 57">
                          <a:extLst>
                            <a:ext uri="{FF2B5EF4-FFF2-40B4-BE49-F238E27FC236}">
                              <a16:creationId xmlns:a16="http://schemas.microsoft.com/office/drawing/2014/main" id="{C8D10F19-7209-48D1-AC89-2AD2B408F98E}"/>
                            </a:ext>
                          </a:extLst>
                        </wpg:cNvPr>
                        <wpg:cNvGrpSpPr/>
                        <wpg:grpSpPr>
                          <a:xfrm>
                            <a:off x="4093077" y="1907062"/>
                            <a:ext cx="1110063" cy="1032641"/>
                            <a:chOff x="3413125" y="1843868"/>
                            <a:chExt cx="945609" cy="879734"/>
                          </a:xfrm>
                        </wpg:grpSpPr>
                        <wps:wsp>
                          <wps:cNvPr id="58" name="Rectangle: Rounded Corners 58">
                            <a:extLst>
                              <a:ext uri="{FF2B5EF4-FFF2-40B4-BE49-F238E27FC236}">
                                <a16:creationId xmlns:a16="http://schemas.microsoft.com/office/drawing/2014/main" id="{79796607-DAC9-4F31-A68D-56B5EDC505AD}"/>
                              </a:ext>
                            </a:extLst>
                          </wps:cNvPr>
                          <wps:cNvSpPr/>
                          <wps:spPr>
                            <a:xfrm>
                              <a:off x="3429319" y="1843868"/>
                              <a:ext cx="929415" cy="398463"/>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010ED" w14:textId="77777777" w:rsidR="001E5E02" w:rsidRPr="005007A7" w:rsidRDefault="001E5E02" w:rsidP="005007A7">
                                <w:pPr>
                                  <w:spacing w:before="0" w:after="0"/>
                                  <w:jc w:val="center"/>
                                  <w:rPr>
                                    <w:color w:val="000000" w:themeColor="text1"/>
                                    <w:sz w:val="18"/>
                                    <w:szCs w:val="18"/>
                                  </w:rPr>
                                </w:pPr>
                                <w:r w:rsidRPr="005007A7">
                                  <w:rPr>
                                    <w:color w:val="000000" w:themeColor="text1"/>
                                    <w:sz w:val="18"/>
                                    <w:szCs w:val="18"/>
                                  </w:rPr>
                                  <w:t>Service/program delivery</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59" name="Rectangle: Rounded Corners 59">
                            <a:extLst>
                              <a:ext uri="{FF2B5EF4-FFF2-40B4-BE49-F238E27FC236}">
                                <a16:creationId xmlns:a16="http://schemas.microsoft.com/office/drawing/2014/main" id="{B4AC4D47-D0F4-42FF-9012-EF1B3B30EEEE}"/>
                              </a:ext>
                            </a:extLst>
                          </wps:cNvPr>
                          <wps:cNvSpPr/>
                          <wps:spPr>
                            <a:xfrm>
                              <a:off x="3413125" y="2322073"/>
                              <a:ext cx="453209" cy="399600"/>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4F38F"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60" name="Rectangle: Rounded Corners 60">
                            <a:extLst>
                              <a:ext uri="{FF2B5EF4-FFF2-40B4-BE49-F238E27FC236}">
                                <a16:creationId xmlns:a16="http://schemas.microsoft.com/office/drawing/2014/main" id="{42466AE4-5F65-402D-9E2D-D19027C45B4C}"/>
                              </a:ext>
                            </a:extLst>
                          </wps:cNvPr>
                          <wps:cNvSpPr/>
                          <wps:spPr>
                            <a:xfrm>
                              <a:off x="3899627" y="2324002"/>
                              <a:ext cx="453209" cy="399600"/>
                            </a:xfrm>
                            <a:prstGeom prst="round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3430AE"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wps:txbx>
                          <wps:bodyPr rot="0" spcFirstLastPara="0" vert="horz" wrap="square" lIns="0" tIns="45720" rIns="0" bIns="45720" numCol="1" spcCol="0" rtlCol="0" fromWordArt="0" anchor="ctr" anchorCtr="0" forceAA="0" compatLnSpc="1">
                            <a:prstTxWarp prst="textNoShape">
                              <a:avLst/>
                            </a:prstTxWarp>
                            <a:noAutofit/>
                          </wps:bodyPr>
                        </wps:wsp>
                      </wpg:wgp>
                    </wpc:wpc>
                  </a:graphicData>
                </a:graphic>
              </wp:inline>
            </w:drawing>
          </mc:Choice>
          <mc:Fallback>
            <w:pict>
              <v:group w14:anchorId="248FDCA9" id="Canvas 3" o:spid="_x0000_s1026" editas="canvas" style="width:435.4pt;height:240.8pt;mso-position-horizontal-relative:char;mso-position-vertical-relative:line" coordsize="55295,30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295;height:30575;visibility:visible;mso-wrap-style:square">
                  <v:fill o:detectmouseclick="t"/>
                  <v:path o:connecttype="none"/>
                </v:shape>
                <v:roundrect id="Rectangle: Rounded Corners 49" o:spid="_x0000_s1028" style="position:absolute;left:863;top:395;width:51230;height:467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" fillcolor="#5a5a5a [2109]" strokecolor="#5a5a5a [2109]" strokeweight="2pt">
                  <v:textbox>
                    <w:txbxContent>
                      <w:p w14:paraId="138A7C76" w14:textId="77777777" w:rsidR="001E5E02" w:rsidRPr="005007A7" w:rsidRDefault="001E5E02" w:rsidP="005007A7">
                        <w:pPr>
                          <w:spacing w:before="0" w:after="0"/>
                          <w:jc w:val="center"/>
                          <w:rPr>
                            <w:sz w:val="24"/>
                            <w:szCs w:val="24"/>
                          </w:rPr>
                        </w:pPr>
                        <w:r w:rsidRPr="005007A7">
                          <w:t>Government objectives and priorities</w:t>
                        </w:r>
                      </w:p>
                    </w:txbxContent>
                  </v:textbox>
                </v:roundrect>
                <v:roundrect id="Rectangle: Rounded Corners 50" o:spid="_x0000_s1029" style="position:absolute;left:22374;top:6457;width:8209;height:467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" fillcolor="gray [1629]" strokecolor="gray [1629]" strokeweight="2pt">
                  <v:textbox>
                    <w:txbxContent>
                      <w:p w14:paraId="0C90FA87" w14:textId="77777777" w:rsidR="001E5E02" w:rsidRPr="005007A7" w:rsidRDefault="001E5E02" w:rsidP="005007A7">
                        <w:pPr>
                          <w:spacing w:before="0" w:after="0"/>
                          <w:jc w:val="center"/>
                          <w:rPr>
                            <w:sz w:val="18"/>
                            <w:szCs w:val="18"/>
                          </w:rPr>
                        </w:pPr>
                        <w:r w:rsidRPr="005007A7">
                          <w:rPr>
                            <w:sz w:val="18"/>
                            <w:szCs w:val="18"/>
                          </w:rPr>
                          <w:t>Agency objectives</w:t>
                        </w:r>
                      </w:p>
                    </w:txbxContent>
                  </v:textbox>
                </v:roundrect>
                <v:roundrect id="Rectangle: Rounded Corners 51" o:spid="_x0000_s1030" style="position:absolute;left:35415;top:12528;width:8209;height:467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" fillcolor="gray [1629]" strokecolor="gray [1629]" strokeweight="2pt">
                  <v:textbox>
                    <w:txbxContent>
                      <w:p w14:paraId="4E0F55FD" w14:textId="77777777" w:rsidR="001E5E02" w:rsidRPr="005007A7" w:rsidRDefault="001E5E02" w:rsidP="005007A7">
                        <w:pPr>
                          <w:spacing w:before="0" w:after="0"/>
                          <w:jc w:val="center"/>
                          <w:rPr>
                            <w:sz w:val="18"/>
                            <w:szCs w:val="18"/>
                          </w:rPr>
                        </w:pPr>
                        <w:r w:rsidRPr="005007A7">
                          <w:rPr>
                            <w:sz w:val="18"/>
                            <w:szCs w:val="18"/>
                          </w:rPr>
                          <w:t>Objective indicator</w:t>
                        </w:r>
                      </w:p>
                    </w:txbxContent>
                  </v:textbox>
                </v:roundrect>
                <v:roundrect id="Rectangle: Rounded Corners 52" o:spid="_x0000_s1031" style="position:absolute;left:22374;top:12528;width:8209;height:467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" fillcolor="gray [1629]" strokecolor="gray [1629]" strokeweight="2pt">
                  <v:textbox>
                    <w:txbxContent>
                      <w:p w14:paraId="730CB905" w14:textId="77777777" w:rsidR="001E5E02" w:rsidRPr="005007A7" w:rsidRDefault="001E5E02" w:rsidP="005007A7">
                        <w:pPr>
                          <w:spacing w:before="0" w:after="0"/>
                          <w:jc w:val="center"/>
                          <w:rPr>
                            <w:sz w:val="18"/>
                            <w:szCs w:val="18"/>
                          </w:rPr>
                        </w:pPr>
                        <w:r w:rsidRPr="005007A7">
                          <w:rPr>
                            <w:sz w:val="18"/>
                            <w:szCs w:val="18"/>
                          </w:rPr>
                          <w:t>Objective indicator</w:t>
                        </w:r>
                      </w:p>
                    </w:txbxContent>
                  </v:textbox>
                </v:roundrect>
                <v:roundrect id="Rectangle: Rounded Corners 53" o:spid="_x0000_s1032" style="position:absolute;left:9324;top:12528;width:8209;height:467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" fillcolor="gray [1629]" strokecolor="gray [1629]" strokeweight="2pt">
                  <v:textbox>
                    <w:txbxContent>
                      <w:p w14:paraId="7F0F2892" w14:textId="77777777" w:rsidR="001E5E02" w:rsidRPr="005007A7" w:rsidRDefault="001E5E02" w:rsidP="005007A7">
                        <w:pPr>
                          <w:spacing w:before="0" w:after="0"/>
                          <w:jc w:val="center"/>
                          <w:rPr>
                            <w:sz w:val="18"/>
                            <w:szCs w:val="18"/>
                          </w:rPr>
                        </w:pPr>
                        <w:r w:rsidRPr="005007A7">
                          <w:rPr>
                            <w:sz w:val="18"/>
                            <w:szCs w:val="18"/>
                          </w:rPr>
                          <w:t>Objective indicator</w:t>
                        </w:r>
                      </w:p>
                    </w:txbxContent>
                  </v:textbox>
                </v:roundrect>
                <v:group id="Group 54" o:spid="_x0000_s1033" style="position:absolute;left:863;top:19070;width:11101;height:10327" coordorigin=",18438" coordsize="9456,8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1ZW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">
                  <v:roundrect id="Rectangle: Rounded Corners 67" o:spid="_x0000_s1034" style="position:absolute;left:161;top:18438;width:9295;height:398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" fillcolor="#bfbfbf [2412]" strokecolor="#bfbfbf [2412]" strokeweight="2pt">
                    <v:textbox inset="1mm,,1mm">
                      <w:txbxContent>
                        <w:p w14:paraId="53342FEA" w14:textId="77777777" w:rsidR="001E5E02" w:rsidRPr="005007A7" w:rsidRDefault="001E5E02" w:rsidP="005007A7">
                          <w:pPr>
                            <w:spacing w:before="0" w:after="0"/>
                            <w:jc w:val="center"/>
                            <w:rPr>
                              <w:color w:val="000000" w:themeColor="text1"/>
                              <w:sz w:val="18"/>
                              <w:szCs w:val="18"/>
                            </w:rPr>
                          </w:pPr>
                          <w:r w:rsidRPr="005007A7">
                            <w:rPr>
                              <w:color w:val="000000" w:themeColor="text1"/>
                              <w:sz w:val="18"/>
                              <w:szCs w:val="18"/>
                            </w:rPr>
                            <w:t>Service/program delivery</w:t>
                          </w:r>
                        </w:p>
                      </w:txbxContent>
                    </v:textbox>
                  </v:roundrect>
                  <v:roundrect id="Rectangle: Rounded Corners 68" o:spid="_x0000_s1035" style="position:absolute;top:23220;width:4532;height:39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" fillcolor="#bfbfbf [2412]" strokecolor="#bfbfbf [2412]" strokeweight="2pt">
                    <v:textbox inset="0,0,0,0">
                      <w:txbxContent>
                        <w:p w14:paraId="58245DFB"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v:textbox>
                  </v:roundrect>
                  <v:roundrect id="Rectangle: Rounded Corners 69" o:spid="_x0000_s1036" style="position:absolute;left:4865;top:23240;width:4532;height:39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" fillcolor="#bfbfbf [2412]" strokecolor="#bfbfbf [2412]" strokeweight="2pt">
                    <v:textbox inset="0,0,0,0">
                      <w:txbxContent>
                        <w:p w14:paraId="45351224"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v:textbox>
                  </v:roundrect>
                </v:group>
                <v:group id="Group 55" o:spid="_x0000_s1037" style="position:absolute;left:14219;top:19070;width:11100;height:10327" coordorigin="11377,18438" coordsize="9456,8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roundrect id="Rectangle: Rounded Corners 64" o:spid="_x0000_s1038" style="position:absolute;left:11539;top:18438;width:9294;height:398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" fillcolor="#bfbfbf [2412]" strokecolor="#bfbfbf [2412]" strokeweight="2pt">
                    <v:textbox inset="1mm,,1mm">
                      <w:txbxContent>
                        <w:p w14:paraId="527F83A7" w14:textId="77777777" w:rsidR="001E5E02" w:rsidRPr="005007A7" w:rsidRDefault="001E5E02" w:rsidP="005007A7">
                          <w:pPr>
                            <w:spacing w:before="0" w:after="0"/>
                            <w:jc w:val="center"/>
                            <w:rPr>
                              <w:color w:val="000000" w:themeColor="text1"/>
                              <w:sz w:val="18"/>
                              <w:szCs w:val="18"/>
                            </w:rPr>
                          </w:pPr>
                          <w:r w:rsidRPr="005007A7">
                            <w:rPr>
                              <w:color w:val="000000" w:themeColor="text1"/>
                              <w:sz w:val="18"/>
                              <w:szCs w:val="18"/>
                            </w:rPr>
                            <w:t>Service/program delivery</w:t>
                          </w:r>
                        </w:p>
                      </w:txbxContent>
                    </v:textbox>
                  </v:roundrect>
                  <v:roundrect id="Rectangle: Rounded Corners 65" o:spid="_x0000_s1039" style="position:absolute;left:11377;top:23220;width:4532;height:39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" fillcolor="#bfbfbf [2412]" strokecolor="#bfbfbf [2412]" strokeweight="2pt">
                    <v:textbox inset="0,,0">
                      <w:txbxContent>
                        <w:p w14:paraId="67507A1D"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v:textbox>
                  </v:roundrect>
                  <v:roundrect id="Rectangle: Rounded Corners 66" o:spid="_x0000_s1040" style="position:absolute;left:16242;top:23240;width:4532;height:39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" fillcolor="#bfbfbf [2412]" strokecolor="#bfbfbf [2412]" strokeweight="2pt">
                    <v:textbox inset="0,,0">
                      <w:txbxContent>
                        <w:p w14:paraId="64D7C741"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v:textbox>
                  </v:roundrect>
                </v:group>
                <v:group id="Group 56" o:spid="_x0000_s1041" style="position:absolute;left:27575;top:19070;width:11100;height:10327" coordorigin="22754,18438" coordsize="9456,8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W26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">
                  <v:roundrect id="Rectangle: Rounded Corners 61" o:spid="_x0000_s1042" style="position:absolute;left:22916;top:18438;width:9294;height:398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" fillcolor="#bfbfbf [2412]" strokecolor="#bfbfbf [2412]" strokeweight="2pt">
                    <v:textbox inset="1mm,,1mm">
                      <w:txbxContent>
                        <w:p w14:paraId="15E51212" w14:textId="77777777" w:rsidR="001E5E02" w:rsidRPr="005007A7" w:rsidRDefault="001E5E02" w:rsidP="005007A7">
                          <w:pPr>
                            <w:spacing w:before="0" w:after="0"/>
                            <w:jc w:val="center"/>
                            <w:rPr>
                              <w:color w:val="000000" w:themeColor="text1"/>
                              <w:sz w:val="18"/>
                              <w:szCs w:val="18"/>
                            </w:rPr>
                          </w:pPr>
                          <w:r w:rsidRPr="005007A7">
                            <w:rPr>
                              <w:color w:val="000000" w:themeColor="text1"/>
                              <w:sz w:val="18"/>
                              <w:szCs w:val="18"/>
                            </w:rPr>
                            <w:t>Service/program delivery</w:t>
                          </w:r>
                        </w:p>
                      </w:txbxContent>
                    </v:textbox>
                  </v:roundrect>
                  <v:roundrect id="Rectangle: Rounded Corners 62" o:spid="_x0000_s1043" style="position:absolute;left:22754;top:23220;width:4532;height:39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" fillcolor="#bfbfbf [2412]" strokecolor="#bfbfbf [2412]" strokeweight="2pt">
                    <v:textbox inset="0,,0">
                      <w:txbxContent>
                        <w:p w14:paraId="092E07D0"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v:textbox>
                  </v:roundrect>
                  <v:roundrect id="Rectangle: Rounded Corners 63" o:spid="_x0000_s1044" style="position:absolute;left:27619;top:23240;width:4532;height:39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" fillcolor="#bfbfbf [2412]" strokecolor="#bfbfbf [2412]" strokeweight="2pt">
                    <v:textbox inset="0,,0">
                      <w:txbxContent>
                        <w:p w14:paraId="33133EAB"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v:textbox>
                  </v:roundrect>
                </v:group>
                <v:group id="Group 57" o:spid="_x0000_s1045" style="position:absolute;left:40930;top:19070;width:11101;height:10327" coordorigin="34131,18438" coordsize="9456,8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cgh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">
                  <v:roundrect id="Rectangle: Rounded Corners 58" o:spid="_x0000_s1046" style="position:absolute;left:34293;top:18438;width:9294;height:398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" fillcolor="#bfbfbf [2412]" strokecolor="#bfbfbf [2412]" strokeweight="2pt">
                    <v:textbox inset="1mm,,1mm">
                      <w:txbxContent>
                        <w:p w14:paraId="3B2010ED" w14:textId="77777777" w:rsidR="001E5E02" w:rsidRPr="005007A7" w:rsidRDefault="001E5E02" w:rsidP="005007A7">
                          <w:pPr>
                            <w:spacing w:before="0" w:after="0"/>
                            <w:jc w:val="center"/>
                            <w:rPr>
                              <w:color w:val="000000" w:themeColor="text1"/>
                              <w:sz w:val="18"/>
                              <w:szCs w:val="18"/>
                            </w:rPr>
                          </w:pPr>
                          <w:r w:rsidRPr="005007A7">
                            <w:rPr>
                              <w:color w:val="000000" w:themeColor="text1"/>
                              <w:sz w:val="18"/>
                              <w:szCs w:val="18"/>
                            </w:rPr>
                            <w:t>Service/program delivery</w:t>
                          </w:r>
                        </w:p>
                      </w:txbxContent>
                    </v:textbox>
                  </v:roundrect>
                  <v:roundrect id="Rectangle: Rounded Corners 59" o:spid="_x0000_s1047" style="position:absolute;left:34131;top:23220;width:4532;height:39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" fillcolor="#bfbfbf [2412]" strokecolor="#bfbfbf [2412]" strokeweight="2pt">
                    <v:textbox inset="0,,0">
                      <w:txbxContent>
                        <w:p w14:paraId="6124F38F"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v:textbox>
                  </v:roundrect>
                  <v:roundrect id="Rectangle: Rounded Corners 60" o:spid="_x0000_s1048" style="position:absolute;left:38996;top:23240;width:4532;height:39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" fillcolor="#bfbfbf [2412]" strokecolor="#bfbfbf [2412]" strokeweight="2pt">
                    <v:textbox inset="0,,0">
                      <w:txbxContent>
                        <w:p w14:paraId="673430AE" w14:textId="77777777" w:rsidR="001E5E02" w:rsidRPr="005007A7" w:rsidRDefault="001E5E02" w:rsidP="005007A7">
                          <w:pPr>
                            <w:spacing w:before="0" w:after="0"/>
                            <w:jc w:val="center"/>
                            <w:rPr>
                              <w:color w:val="000000" w:themeColor="text1"/>
                              <w:sz w:val="14"/>
                              <w:szCs w:val="14"/>
                            </w:rPr>
                          </w:pPr>
                          <w:r w:rsidRPr="005007A7">
                            <w:rPr>
                              <w:color w:val="000000" w:themeColor="text1"/>
                              <w:sz w:val="14"/>
                              <w:szCs w:val="14"/>
                            </w:rPr>
                            <w:t>Service delivery measure</w:t>
                          </w:r>
                        </w:p>
                      </w:txbxContent>
                    </v:textbox>
                  </v:roundrect>
                </v:group>
                <w10:anchorlock/>
              </v:group>
            </w:pict>
          </mc:Fallback>
        </mc:AlternateContent>
      </w:r>
    </w:p>
    <w:p w14:paraId="5E12AB4C" w14:textId="77777777" w:rsidR="00EC693B" w:rsidRPr="00EC693B" w:rsidRDefault="00EC693B" w:rsidP="00EC693B">
      <w:pPr>
        <w:suppressLineNumbers/>
        <w:spacing w:before="120" w:after="120" w:line="240" w:lineRule="atLeast"/>
        <w:rPr>
          <w:szCs w:val="20"/>
        </w:rPr>
      </w:pPr>
      <w:r w:rsidRPr="00EC693B">
        <w:rPr>
          <w:szCs w:val="20"/>
        </w:rPr>
        <w:t>Performance management requires measuring and monitoring actual results or performance achieved against plans. Evidence from performance measurement enables Government and management to focus on improving results and impact by supporting decision</w:t>
      </w:r>
      <w:r w:rsidRPr="00EC693B">
        <w:rPr>
          <w:szCs w:val="20"/>
        </w:rPr>
        <w:noBreakHyphen/>
        <w:t>making and managing risk. Performance data can be used to:</w:t>
      </w:r>
    </w:p>
    <w:p w14:paraId="0D4279D3" w14:textId="77777777" w:rsidR="00EC693B" w:rsidRPr="00EC693B" w:rsidRDefault="00EC693B" w:rsidP="00CC0CB1">
      <w:pPr>
        <w:pStyle w:val="Bullet1"/>
      </w:pPr>
      <w:r w:rsidRPr="00EC693B">
        <w:t xml:space="preserve">financial and non-financial information; </w:t>
      </w:r>
    </w:p>
    <w:p w14:paraId="4A485DC2" w14:textId="77777777" w:rsidR="00EC693B" w:rsidRPr="00EC693B" w:rsidRDefault="00EC693B" w:rsidP="00CC0CB1">
      <w:pPr>
        <w:pStyle w:val="Bullet1"/>
      </w:pPr>
      <w:r w:rsidRPr="00EC693B">
        <w:t xml:space="preserve">inform planning and ongoing development and implementation of policy; </w:t>
      </w:r>
    </w:p>
    <w:p w14:paraId="5541A79A" w14:textId="77777777" w:rsidR="00EC693B" w:rsidRPr="00EC693B" w:rsidRDefault="00EC693B" w:rsidP="00CC0CB1">
      <w:pPr>
        <w:pStyle w:val="Bullet1"/>
      </w:pPr>
      <w:r w:rsidRPr="00EC693B">
        <w:t xml:space="preserve">inform capability and service development; </w:t>
      </w:r>
    </w:p>
    <w:p w14:paraId="52C7ADC3" w14:textId="77777777" w:rsidR="00EC693B" w:rsidRPr="00EC693B" w:rsidRDefault="00EC693B" w:rsidP="00CC0CB1">
      <w:pPr>
        <w:pStyle w:val="Bullet1"/>
      </w:pPr>
      <w:r w:rsidRPr="00EC693B">
        <w:t>report consistently and concisely on achievements; and</w:t>
      </w:r>
    </w:p>
    <w:p w14:paraId="5162047B" w14:textId="77777777" w:rsidR="00EC693B" w:rsidRPr="00EC693B" w:rsidRDefault="00EC693B" w:rsidP="00CC0CB1">
      <w:pPr>
        <w:pStyle w:val="Bullet1"/>
      </w:pPr>
      <w:r w:rsidRPr="00EC693B">
        <w:t>hold managers accountable for performance.</w:t>
      </w:r>
    </w:p>
    <w:p w14:paraId="3852B914" w14:textId="77777777" w:rsidR="00EC693B" w:rsidRPr="00EC693B" w:rsidRDefault="00EC693B" w:rsidP="00EC693B">
      <w:pPr>
        <w:suppressLineNumbers/>
        <w:spacing w:before="120" w:after="120" w:line="240" w:lineRule="atLeast"/>
        <w:rPr>
          <w:szCs w:val="20"/>
        </w:rPr>
      </w:pPr>
      <w:r w:rsidRPr="00EC693B">
        <w:rPr>
          <w:szCs w:val="20"/>
        </w:rPr>
        <w:t>Performance monitoring should:</w:t>
      </w:r>
    </w:p>
    <w:p w14:paraId="5892F84D" w14:textId="77777777" w:rsidR="00EC693B" w:rsidRPr="00EC693B" w:rsidRDefault="00EC693B" w:rsidP="00CC0CB1">
      <w:pPr>
        <w:pStyle w:val="Bullet1"/>
      </w:pPr>
      <w:r w:rsidRPr="00EC693B">
        <w:t>be conducted for all levels and types of plans;</w:t>
      </w:r>
    </w:p>
    <w:p w14:paraId="194C791E" w14:textId="77777777" w:rsidR="00EC693B" w:rsidRPr="00EC693B" w:rsidRDefault="00EC693B" w:rsidP="00CC0CB1">
      <w:pPr>
        <w:pStyle w:val="Bullet1"/>
      </w:pPr>
      <w:r w:rsidRPr="00EC693B">
        <w:t>identify performance trends, gaps and risks;</w:t>
      </w:r>
    </w:p>
    <w:p w14:paraId="25CF30E4" w14:textId="77777777" w:rsidR="00EC693B" w:rsidRPr="00EC693B" w:rsidRDefault="00EC693B" w:rsidP="00CC0CB1">
      <w:pPr>
        <w:pStyle w:val="Bullet1"/>
      </w:pPr>
      <w:r w:rsidRPr="00EC693B">
        <w:t>enable the implementation of mitigation strategies and corrective actions, if required;</w:t>
      </w:r>
    </w:p>
    <w:p w14:paraId="18936F20" w14:textId="77777777" w:rsidR="00EC693B" w:rsidRPr="00EC693B" w:rsidRDefault="00EC693B" w:rsidP="00CC0CB1">
      <w:pPr>
        <w:pStyle w:val="Bullet1"/>
      </w:pPr>
      <w:r w:rsidRPr="00EC693B">
        <w:t>cover both the financials and non</w:t>
      </w:r>
      <w:r w:rsidRPr="00EC693B">
        <w:noBreakHyphen/>
        <w:t>financials and the interrelationships between them to enable integrated performance information to be reported; and</w:t>
      </w:r>
    </w:p>
    <w:p w14:paraId="6B1ADF5C" w14:textId="77777777" w:rsidR="00EC693B" w:rsidRPr="00EC693B" w:rsidRDefault="00EC693B" w:rsidP="00CC0CB1">
      <w:pPr>
        <w:pStyle w:val="Bullet1"/>
      </w:pPr>
      <w:r w:rsidRPr="00EC693B">
        <w:t>span across multiple years.</w:t>
      </w:r>
    </w:p>
    <w:p w14:paraId="00F7CA3B" w14:textId="77777777" w:rsidR="00EC693B" w:rsidRPr="00EC693B" w:rsidRDefault="00EC693B" w:rsidP="00EC693B">
      <w:pPr>
        <w:suppressLineNumbers/>
        <w:spacing w:before="120" w:after="120" w:line="240" w:lineRule="atLeast"/>
        <w:rPr>
          <w:szCs w:val="20"/>
        </w:rPr>
      </w:pPr>
      <w:r w:rsidRPr="00EC693B">
        <w:rPr>
          <w:szCs w:val="20"/>
        </w:rPr>
        <w:t>Financial and budget monitoring should cover the current year and the medium</w:t>
      </w:r>
      <w:r w:rsidRPr="00EC693B">
        <w:rPr>
          <w:szCs w:val="20"/>
        </w:rPr>
        <w:noBreakHyphen/>
        <w:t>term. This will enable monitoring of the budget for the current year as well as assessing financial sustainability over the medium</w:t>
      </w:r>
      <w:r w:rsidRPr="00EC693B">
        <w:rPr>
          <w:szCs w:val="20"/>
        </w:rPr>
        <w:noBreakHyphen/>
        <w:t>term and the impact on service delivery and results.</w:t>
      </w:r>
    </w:p>
    <w:p w14:paraId="3D15EC03" w14:textId="52798950" w:rsidR="00EC693B" w:rsidRPr="00EC693B" w:rsidRDefault="00EC693B" w:rsidP="00EC693B">
      <w:pPr>
        <w:suppressLineNumbers/>
        <w:spacing w:before="120" w:after="120" w:line="240" w:lineRule="atLeast"/>
        <w:rPr>
          <w:szCs w:val="20"/>
        </w:rPr>
      </w:pPr>
      <w:r w:rsidRPr="00EC693B">
        <w:rPr>
          <w:szCs w:val="20"/>
        </w:rPr>
        <w:t xml:space="preserve">Under </w:t>
      </w:r>
      <w:hyperlink r:id="rId253" w:anchor="Direction_2_3_2" w:history="1">
        <w:r w:rsidRPr="00EC693B">
          <w:rPr>
            <w:color w:val="595959"/>
            <w:szCs w:val="20"/>
          </w:rPr>
          <w:t>Direction 2.3.2</w:t>
        </w:r>
      </w:hyperlink>
      <w:r w:rsidRPr="00EC693B">
        <w:rPr>
          <w:szCs w:val="20"/>
        </w:rPr>
        <w:t>, Agencies are required to inform the Responsible Minister of significant risks. Agencies should consider informing the Responsible Minister when they become aware of:</w:t>
      </w:r>
    </w:p>
    <w:p w14:paraId="0D0BF9DF" w14:textId="77777777" w:rsidR="00EC693B" w:rsidRPr="00EC693B" w:rsidRDefault="00EC693B" w:rsidP="00CC0CB1">
      <w:pPr>
        <w:pStyle w:val="Bullet1"/>
      </w:pPr>
      <w:r w:rsidRPr="00EC693B">
        <w:t>significant variations to strategies compared to plan;</w:t>
      </w:r>
    </w:p>
    <w:p w14:paraId="1F7DA998" w14:textId="6875F68C" w:rsidR="00EC693B" w:rsidRPr="00EC693B" w:rsidRDefault="00EC693B" w:rsidP="00CC0CB1">
      <w:pPr>
        <w:pStyle w:val="Bullet1"/>
      </w:pPr>
      <w:r w:rsidRPr="00EC693B">
        <w:t>significant variations to the total estimated investment or timing of capital investments compared to plan;</w:t>
      </w:r>
    </w:p>
    <w:p w14:paraId="32DFEDEF" w14:textId="77777777" w:rsidR="00EC693B" w:rsidRPr="00EC693B" w:rsidRDefault="00EC693B" w:rsidP="00CC0CB1">
      <w:pPr>
        <w:pStyle w:val="Bullet1"/>
      </w:pPr>
      <w:r w:rsidRPr="00EC693B">
        <w:t>material variation in forecast full year profit or cash flow from operating activities compared to plan;</w:t>
      </w:r>
    </w:p>
    <w:p w14:paraId="53B7A8C3" w14:textId="77777777" w:rsidR="00EC693B" w:rsidRPr="00EC693B" w:rsidRDefault="00EC693B" w:rsidP="00CC0CB1">
      <w:pPr>
        <w:pStyle w:val="Bullet1"/>
      </w:pPr>
      <w:r w:rsidRPr="00EC693B">
        <w:t>significant variations to KPIs compared to plan; and</w:t>
      </w:r>
    </w:p>
    <w:p w14:paraId="47D230DC" w14:textId="77777777" w:rsidR="00EC693B" w:rsidRPr="00EC693B" w:rsidRDefault="00EC693B" w:rsidP="00CC0CB1">
      <w:pPr>
        <w:pStyle w:val="Bullet1"/>
      </w:pPr>
      <w:r w:rsidRPr="00EC693B">
        <w:t>any financial or non</w:t>
      </w:r>
      <w:r w:rsidRPr="00EC693B">
        <w:noBreakHyphen/>
        <w:t>financial (including reputational) developments which may materially impact the Agency or the Government.</w:t>
      </w:r>
    </w:p>
    <w:p w14:paraId="26BA6521" w14:textId="10805625" w:rsidR="00EC693B" w:rsidRPr="004661D4" w:rsidRDefault="00EC693B" w:rsidP="004661D4">
      <w:pPr>
        <w:keepNext/>
        <w:suppressLineNumbers/>
        <w:spacing w:before="120" w:after="120" w:line="240" w:lineRule="atLeast"/>
        <w:rPr>
          <w:color w:val="404040"/>
          <w:sz w:val="28"/>
          <w:szCs w:val="28"/>
        </w:rPr>
      </w:pPr>
      <w:r w:rsidRPr="004661D4">
        <w:rPr>
          <w:color w:val="404040"/>
          <w:sz w:val="28"/>
          <w:szCs w:val="28"/>
        </w:rPr>
        <w:lastRenderedPageBreak/>
        <w:t>Evalua</w:t>
      </w:r>
      <w:r w:rsidRPr="00EC693B">
        <w:rPr>
          <w:color w:val="404040"/>
          <w:sz w:val="28"/>
          <w:szCs w:val="28"/>
        </w:rPr>
        <w:t>te</w:t>
      </w:r>
    </w:p>
    <w:p w14:paraId="57C66D04" w14:textId="77777777" w:rsidR="00EC693B" w:rsidRPr="00EC693B" w:rsidRDefault="00EC693B" w:rsidP="004661D4">
      <w:pPr>
        <w:keepNext/>
        <w:suppressLineNumbers/>
        <w:spacing w:before="120" w:after="120" w:line="240" w:lineRule="atLeast"/>
        <w:rPr>
          <w:szCs w:val="20"/>
        </w:rPr>
      </w:pPr>
      <w:r w:rsidRPr="00EC693B">
        <w:rPr>
          <w:szCs w:val="20"/>
        </w:rPr>
        <w:t>Evaluations are an objective and systematic way of reporting on the contribution a program has made to the achievement of stated goals, outputs and desired objectives. Evaluations seek evidence of the actual performance of a policy or program, during or after its implementation.</w:t>
      </w:r>
    </w:p>
    <w:p w14:paraId="72511DF9" w14:textId="77777777" w:rsidR="00EC693B" w:rsidRPr="00EC693B" w:rsidRDefault="00EC693B" w:rsidP="00EC693B">
      <w:pPr>
        <w:suppressLineNumbers/>
        <w:spacing w:before="120" w:after="120" w:line="240" w:lineRule="atLeast"/>
        <w:rPr>
          <w:szCs w:val="20"/>
        </w:rPr>
      </w:pPr>
      <w:r w:rsidRPr="00EC693B">
        <w:rPr>
          <w:szCs w:val="20"/>
        </w:rPr>
        <w:t>An evaluation should generate information that is credible and useful for decision making and program improvement processes.</w:t>
      </w:r>
    </w:p>
    <w:p w14:paraId="2CF7CC66" w14:textId="77777777" w:rsidR="00EC693B" w:rsidRPr="00EC693B" w:rsidRDefault="00EC693B" w:rsidP="00EC693B">
      <w:pPr>
        <w:suppressLineNumbers/>
        <w:spacing w:before="120" w:after="120" w:line="240" w:lineRule="atLeast"/>
        <w:rPr>
          <w:szCs w:val="20"/>
        </w:rPr>
      </w:pPr>
      <w:r w:rsidRPr="00EC693B">
        <w:rPr>
          <w:szCs w:val="20"/>
        </w:rPr>
        <w:t xml:space="preserve">Evaluations should also recommend appropriate actions, including whether the programs remain the best policy response, or align with Government objectives and priorities. A culture of evaluation and continuous improvement assists in designing future programs. </w:t>
      </w:r>
    </w:p>
    <w:p w14:paraId="3969311C" w14:textId="77777777" w:rsidR="00EC693B" w:rsidRPr="00EC693B" w:rsidRDefault="00EC693B" w:rsidP="00EC693B">
      <w:pPr>
        <w:suppressLineNumbers/>
        <w:spacing w:before="120" w:after="120" w:line="240" w:lineRule="atLeast"/>
        <w:rPr>
          <w:szCs w:val="20"/>
        </w:rPr>
      </w:pPr>
      <w:r w:rsidRPr="00EC693B">
        <w:rPr>
          <w:szCs w:val="20"/>
        </w:rPr>
        <w:t>Agencies should regularly review their expenditure on service delivery to ensure it remains efficient and effective. These reviews should systematically consider the continued relevance of the services delivered to achieve outcomes for Victorians, and the appropriateness of the price paid for these services. Consideration of alternative methods of service delivery should be considered as part of these reviews and provide information for long and medium-term planning.</w:t>
      </w:r>
    </w:p>
    <w:p w14:paraId="4024E3CB" w14:textId="77777777" w:rsidR="00EC693B" w:rsidRPr="00EC693B" w:rsidRDefault="00EC693B" w:rsidP="00EC693B">
      <w:pPr>
        <w:suppressLineNumbers/>
        <w:spacing w:before="160" w:after="120" w:line="216" w:lineRule="auto"/>
        <w:outlineLvl w:val="0"/>
        <w:rPr>
          <w:color w:val="404040"/>
          <w:sz w:val="28"/>
          <w:szCs w:val="28"/>
        </w:rPr>
      </w:pPr>
      <w:r w:rsidRPr="00EC693B">
        <w:rPr>
          <w:color w:val="404040"/>
          <w:sz w:val="28"/>
          <w:szCs w:val="28"/>
        </w:rPr>
        <w:t xml:space="preserve">Report </w:t>
      </w:r>
    </w:p>
    <w:p w14:paraId="6243B8C3" w14:textId="77777777" w:rsidR="00EC693B" w:rsidRPr="00EC693B" w:rsidRDefault="00EC693B" w:rsidP="004661D4">
      <w:pPr>
        <w:suppressLineNumbers/>
      </w:pPr>
      <w:r w:rsidRPr="00EC693B">
        <w:rPr>
          <w:szCs w:val="20"/>
        </w:rPr>
        <w:t>Performance information on past results also informs planning and budgeting activities.</w:t>
      </w:r>
      <w:r w:rsidRPr="00EC693B">
        <w:t xml:space="preserve"> </w:t>
      </w:r>
      <w:r w:rsidRPr="00EC693B">
        <w:rPr>
          <w:szCs w:val="20"/>
        </w:rPr>
        <w:t>Performance reporting provides relevant information to stakeholders and decision</w:t>
      </w:r>
      <w:r w:rsidRPr="00EC693B">
        <w:rPr>
          <w:szCs w:val="20"/>
        </w:rPr>
        <w:noBreakHyphen/>
        <w:t>makers and supports government transparency and accountability.</w:t>
      </w:r>
    </w:p>
    <w:p w14:paraId="5B13FEC2" w14:textId="77777777" w:rsidR="00EC693B" w:rsidRPr="00EC693B" w:rsidRDefault="00EC693B" w:rsidP="00EC693B">
      <w:pPr>
        <w:suppressLineNumbers/>
        <w:spacing w:before="120" w:after="120" w:line="240" w:lineRule="atLeast"/>
        <w:rPr>
          <w:szCs w:val="20"/>
        </w:rPr>
      </w:pPr>
      <w:r w:rsidRPr="00EC693B">
        <w:rPr>
          <w:szCs w:val="20"/>
        </w:rPr>
        <w:t>There are two main streams of performance reporting:</w:t>
      </w:r>
    </w:p>
    <w:p w14:paraId="2921443A" w14:textId="77777777" w:rsidR="00EC693B" w:rsidRPr="00EC693B" w:rsidRDefault="00EC693B" w:rsidP="00EC693B">
      <w:pPr>
        <w:numPr>
          <w:ilvl w:val="0"/>
          <w:numId w:val="1"/>
        </w:numPr>
        <w:suppressLineNumbers/>
        <w:spacing w:before="80" w:after="80"/>
      </w:pPr>
      <w:r w:rsidRPr="00EC693B">
        <w:t>accountability reporting – measuring and reporting performance against targets/plans; and</w:t>
      </w:r>
    </w:p>
    <w:p w14:paraId="7C43202F" w14:textId="77777777" w:rsidR="00EC693B" w:rsidRPr="00EC693B" w:rsidRDefault="00EC693B" w:rsidP="00EC693B">
      <w:pPr>
        <w:numPr>
          <w:ilvl w:val="0"/>
          <w:numId w:val="1"/>
        </w:numPr>
        <w:suppressLineNumbers/>
        <w:spacing w:before="80" w:after="80"/>
      </w:pPr>
      <w:r w:rsidRPr="00EC693B">
        <w:t>internal (organisation) performance management reporting – providing information to help management, stakeholders, and decision</w:t>
      </w:r>
      <w:r w:rsidRPr="00EC693B">
        <w:noBreakHyphen/>
        <w:t>makers better understand the business and respond tactically or strategically to mitigate risks.</w:t>
      </w:r>
    </w:p>
    <w:p w14:paraId="3636B757" w14:textId="77777777" w:rsidR="00EC693B" w:rsidRPr="00EC693B" w:rsidRDefault="00EC693B" w:rsidP="00EC693B">
      <w:pPr>
        <w:suppressLineNumbers/>
        <w:spacing w:before="120" w:after="120" w:line="240" w:lineRule="atLeast"/>
        <w:rPr>
          <w:szCs w:val="20"/>
        </w:rPr>
      </w:pPr>
      <w:r w:rsidRPr="00EC693B">
        <w:rPr>
          <w:szCs w:val="20"/>
        </w:rPr>
        <w:t>Internal performance management reporting should assist with:</w:t>
      </w:r>
    </w:p>
    <w:p w14:paraId="6C245FA4" w14:textId="77777777" w:rsidR="00EC693B" w:rsidRPr="00EC693B" w:rsidRDefault="00EC693B" w:rsidP="00EC693B">
      <w:pPr>
        <w:numPr>
          <w:ilvl w:val="0"/>
          <w:numId w:val="1"/>
        </w:numPr>
        <w:suppressLineNumbers/>
        <w:spacing w:before="80" w:after="80"/>
      </w:pPr>
      <w:r w:rsidRPr="00EC693B">
        <w:t>early identification of potential problems through performance measures, trend analysis, forecasting, benchmarks;</w:t>
      </w:r>
    </w:p>
    <w:p w14:paraId="4A760B04" w14:textId="4F7B7578" w:rsidR="00EC693B" w:rsidRPr="00EC693B" w:rsidRDefault="00EC693B" w:rsidP="00EC693B">
      <w:pPr>
        <w:numPr>
          <w:ilvl w:val="0"/>
          <w:numId w:val="1"/>
        </w:numPr>
        <w:suppressLineNumbers/>
        <w:spacing w:before="80" w:after="80"/>
      </w:pPr>
      <w:r w:rsidRPr="00EC693B">
        <w:t>data</w:t>
      </w:r>
      <w:r w:rsidR="00CC0CB1">
        <w:t>-</w:t>
      </w:r>
      <w:r w:rsidRPr="00EC693B">
        <w:t>driven decision</w:t>
      </w:r>
      <w:r w:rsidR="00CC0CB1">
        <w:t xml:space="preserve"> </w:t>
      </w:r>
      <w:r w:rsidRPr="00EC693B">
        <w:t>making (i.e. information and measures to assist management decision making);</w:t>
      </w:r>
    </w:p>
    <w:p w14:paraId="2D917CC9" w14:textId="77777777" w:rsidR="00EC693B" w:rsidRPr="00EC693B" w:rsidRDefault="00EC693B" w:rsidP="00EC693B">
      <w:pPr>
        <w:numPr>
          <w:ilvl w:val="0"/>
          <w:numId w:val="1"/>
        </w:numPr>
        <w:suppressLineNumbers/>
        <w:spacing w:before="80" w:after="80"/>
      </w:pPr>
      <w:r w:rsidRPr="00EC693B">
        <w:t>quality improvement programs based on clear identification of areas for improvement that align with business plans across the Agency; and</w:t>
      </w:r>
    </w:p>
    <w:p w14:paraId="416CE6D0" w14:textId="77777777" w:rsidR="00EC693B" w:rsidRPr="00EC693B" w:rsidRDefault="00EC693B" w:rsidP="00EC693B">
      <w:pPr>
        <w:numPr>
          <w:ilvl w:val="0"/>
          <w:numId w:val="1"/>
        </w:numPr>
        <w:suppressLineNumbers/>
        <w:spacing w:before="80" w:after="80"/>
      </w:pPr>
      <w:r w:rsidRPr="00EC693B">
        <w:t xml:space="preserve">allocation of responsibilities and accountabilities. </w:t>
      </w:r>
    </w:p>
    <w:p w14:paraId="4F606D12" w14:textId="5892DBAC" w:rsidR="00EC693B" w:rsidRPr="00EC693B" w:rsidRDefault="00EC693B" w:rsidP="00EC693B">
      <w:pPr>
        <w:suppressLineNumbers/>
        <w:rPr>
          <w:szCs w:val="20"/>
        </w:rPr>
      </w:pPr>
      <w:r w:rsidRPr="00EC693B">
        <w:rPr>
          <w:szCs w:val="20"/>
        </w:rPr>
        <w:t xml:space="preserve">Refer to </w:t>
      </w:r>
      <w:hyperlink r:id="rId254" w:anchor="Direction_3_9" w:history="1">
        <w:r w:rsidRPr="00EC693B">
          <w:rPr>
            <w:color w:val="595959"/>
            <w:szCs w:val="20"/>
          </w:rPr>
          <w:t>Direction 3.9</w:t>
        </w:r>
      </w:hyperlink>
      <w:r w:rsidRPr="00EC693B">
        <w:rPr>
          <w:szCs w:val="20"/>
        </w:rPr>
        <w:t xml:space="preserve"> and </w:t>
      </w:r>
      <w:hyperlink r:id="rId255" w:anchor="Direction_5_3" w:history="1">
        <w:r w:rsidRPr="00EC693B">
          <w:rPr>
            <w:color w:val="595959"/>
            <w:szCs w:val="20"/>
          </w:rPr>
          <w:t>Direction 5.3</w:t>
        </w:r>
      </w:hyperlink>
      <w:r w:rsidRPr="00EC693B">
        <w:rPr>
          <w:i/>
          <w:szCs w:val="20"/>
        </w:rPr>
        <w:t xml:space="preserve"> </w:t>
      </w:r>
      <w:r w:rsidRPr="00EC693B">
        <w:rPr>
          <w:szCs w:val="20"/>
        </w:rPr>
        <w:t>for further information on information collection and management and reporting requirements of Agencies and Portfolio Departments.</w:t>
      </w:r>
    </w:p>
    <w:p w14:paraId="7DF5376B" w14:textId="623D5AF9" w:rsidR="00EC693B" w:rsidRPr="00EC693B" w:rsidRDefault="00EC693B" w:rsidP="004661D4">
      <w:pPr>
        <w:suppressLineNumbers/>
      </w:pPr>
      <w:r w:rsidRPr="00EC693B">
        <w:t>Good performance reporting depends on reliable performance information for both external requirements and internal management and review.</w:t>
      </w:r>
    </w:p>
    <w:p w14:paraId="3C43E389" w14:textId="77777777" w:rsidR="00EC693B" w:rsidRDefault="00EC693B">
      <w:pPr>
        <w:spacing w:before="0" w:after="200" w:line="276" w:lineRule="auto"/>
      </w:pPr>
      <w:r>
        <w:br w:type="page"/>
      </w:r>
    </w:p>
    <w:p w14:paraId="59330AC2" w14:textId="256B41CA" w:rsidR="00EC693B" w:rsidRPr="004661D4" w:rsidRDefault="00EC693B" w:rsidP="00EC693B">
      <w:pPr>
        <w:suppressLineNumbers/>
        <w:rPr>
          <w:sz w:val="28"/>
          <w:szCs w:val="28"/>
        </w:rPr>
      </w:pPr>
      <w:bookmarkStart w:id="45" w:name="_Hlk7780844"/>
      <w:r w:rsidRPr="004661D4">
        <w:rPr>
          <w:sz w:val="28"/>
          <w:szCs w:val="28"/>
        </w:rPr>
        <w:lastRenderedPageBreak/>
        <w:t>Appendix 1</w:t>
      </w:r>
      <w:r w:rsidR="00FC3FA9">
        <w:rPr>
          <w:sz w:val="28"/>
          <w:szCs w:val="28"/>
        </w:rPr>
        <w:t xml:space="preserve"> </w:t>
      </w:r>
      <w:r w:rsidRPr="004661D4">
        <w:rPr>
          <w:sz w:val="28"/>
          <w:szCs w:val="28"/>
        </w:rPr>
        <w:t>– Medium-term planning</w:t>
      </w:r>
      <w:r>
        <w:rPr>
          <w:sz w:val="28"/>
          <w:szCs w:val="28"/>
        </w:rPr>
        <w:t xml:space="preserve"> and financial sustainability</w:t>
      </w:r>
    </w:p>
    <w:p w14:paraId="644897A0" w14:textId="6F598C40" w:rsidR="00EC693B" w:rsidRPr="004661D4" w:rsidRDefault="00EC693B" w:rsidP="00EC693B">
      <w:pPr>
        <w:suppressLineNumbers/>
        <w:spacing w:before="0" w:after="0" w:line="120" w:lineRule="atLeast"/>
      </w:pPr>
      <w:r w:rsidRPr="004661D4">
        <w:t>Medium</w:t>
      </w:r>
      <w:r w:rsidRPr="004661D4">
        <w:noBreakHyphen/>
        <w:t>term planning typically covers a four</w:t>
      </w:r>
      <w:r>
        <w:t>-</w:t>
      </w:r>
      <w:r w:rsidRPr="004661D4">
        <w:t>year horizon. It focuses on the strategies, activities and administrative responses to the vision and objectives to meet agreed service levels, asset delivery and corporate priorities, within available resources and at lowest cost, and in addition, a return on investment for public corporations. A planning horizon greater than four years may be appropriate for significant government programs and for capital planning</w:t>
      </w:r>
      <w:r w:rsidRPr="004661D4">
        <w:rPr>
          <w:rFonts w:ascii="HelveticaNeue-Light" w:hAnsi="HelveticaNeue-Light" w:cs="HelveticaNeue-Light"/>
          <w:sz w:val="18"/>
          <w:szCs w:val="18"/>
        </w:rPr>
        <w:t>.</w:t>
      </w:r>
      <w:r w:rsidRPr="004661D4">
        <w:t xml:space="preserve"> The Accountable Officer is responsible for ensuring the proper use and management of the public resources for which the Agency is responsible.</w:t>
      </w:r>
    </w:p>
    <w:p w14:paraId="4FEDB7F4" w14:textId="3F02E5DA" w:rsidR="00EC693B" w:rsidRDefault="00EC693B" w:rsidP="00EC693B">
      <w:pPr>
        <w:suppressLineNumbers/>
      </w:pPr>
      <w:r w:rsidRPr="004661D4">
        <w:t>Strategic planning focuses on establishing and continuously reviewing the Agency’s purpose, vision and business objectives to ensure these align with the Government’s objectives and priorities and the objectives for which the Agency was established. It should drive the Agency’s priorities for each budget cycle.</w:t>
      </w:r>
      <w:r w:rsidRPr="009408C9">
        <w:t xml:space="preserve"> </w:t>
      </w:r>
    </w:p>
    <w:p w14:paraId="6D38BC53" w14:textId="14821C44" w:rsidR="00EC693B" w:rsidRDefault="00EC693B" w:rsidP="00EC693B">
      <w:pPr>
        <w:suppressLineNumbers/>
      </w:pPr>
      <w:r w:rsidRPr="00EC693B">
        <w:rPr>
          <w:noProof/>
        </w:rPr>
        <w:drawing>
          <wp:inline distT="0" distB="0" distL="0" distR="0" wp14:anchorId="3E9CB25E" wp14:editId="1E14EEE9">
            <wp:extent cx="5492750" cy="1164449"/>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6" cstate="print">
                      <a:grayscl/>
                      <a:extLst>
                        <a:ext uri="{28A0092B-C50C-407E-A947-70E740481C1C}">
                          <a14:useLocalDpi xmlns:a14="http://schemas.microsoft.com/office/drawing/2010/main" val="0"/>
                        </a:ext>
                      </a:extLst>
                    </a:blip>
                    <a:srcRect/>
                    <a:stretch>
                      <a:fillRect/>
                    </a:stretch>
                  </pic:blipFill>
                  <pic:spPr bwMode="auto">
                    <a:xfrm>
                      <a:off x="0" y="0"/>
                      <a:ext cx="5501306" cy="1166263"/>
                    </a:xfrm>
                    <a:prstGeom prst="rect">
                      <a:avLst/>
                    </a:prstGeom>
                    <a:noFill/>
                    <a:ln>
                      <a:noFill/>
                    </a:ln>
                  </pic:spPr>
                </pic:pic>
              </a:graphicData>
            </a:graphic>
          </wp:inline>
        </w:drawing>
      </w:r>
    </w:p>
    <w:p w14:paraId="4BDCFF30" w14:textId="77777777" w:rsidR="00EC693B" w:rsidRPr="00CC0CB1" w:rsidRDefault="00EC693B" w:rsidP="00CC0CB1">
      <w:pPr>
        <w:pStyle w:val="Heading2NoNum"/>
      </w:pPr>
      <w:r w:rsidRPr="00CC0CB1">
        <w:t>Corporate Plan</w:t>
      </w:r>
    </w:p>
    <w:bookmarkEnd w:id="45"/>
    <w:p w14:paraId="7A4CEAE4" w14:textId="77777777" w:rsidR="000D55C9" w:rsidRPr="000D55C9" w:rsidRDefault="000D55C9" w:rsidP="000D55C9">
      <w:r w:rsidRPr="000D55C9">
        <w:t>The Corporate Plan provides a clear statement of strategic priority of the Agency and forms the basis for managing and reporting performance. Some Agencies already prepare similar plans through their establishing legislation or under a policy requirement.</w:t>
      </w:r>
      <w:r w:rsidRPr="000D55C9">
        <w:rPr>
          <w:vertAlign w:val="superscript"/>
        </w:rPr>
        <w:footnoteReference w:id="60"/>
      </w:r>
      <w:r w:rsidRPr="000D55C9">
        <w:t xml:space="preserve"> Others may prepare corporate plans to assist in clarifying business goals.</w:t>
      </w:r>
    </w:p>
    <w:p w14:paraId="73DC295B" w14:textId="77777777" w:rsidR="000D55C9" w:rsidRPr="000D55C9" w:rsidRDefault="000D55C9" w:rsidP="000D55C9">
      <w:r w:rsidRPr="000D55C9">
        <w:t>A brief description of the requirements for the Corporate Plan and associated planning activities follows.</w:t>
      </w:r>
    </w:p>
    <w:p w14:paraId="602B8410" w14:textId="77777777" w:rsidR="000D55C9" w:rsidRPr="00CC0CB1" w:rsidRDefault="000D55C9" w:rsidP="000B15FD">
      <w:pPr>
        <w:pStyle w:val="Listnum"/>
        <w:numPr>
          <w:ilvl w:val="0"/>
          <w:numId w:val="72"/>
        </w:numPr>
        <w:rPr>
          <w:b/>
        </w:rPr>
      </w:pPr>
      <w:r w:rsidRPr="00CC0CB1">
        <w:rPr>
          <w:b/>
        </w:rPr>
        <w:t>Purpose, vision, and desired Agency objectives</w:t>
      </w:r>
    </w:p>
    <w:p w14:paraId="00764B55" w14:textId="77777777" w:rsidR="000D55C9" w:rsidRPr="000D55C9" w:rsidRDefault="000D55C9" w:rsidP="00CC0CB1">
      <w:r w:rsidRPr="000D55C9">
        <w:t>In setting the Agency’s business direction, it first needs to describe its purpose, vision, objectives and strategies to deliver on these objectives.</w:t>
      </w:r>
    </w:p>
    <w:p w14:paraId="5534B679" w14:textId="77777777" w:rsidR="000D55C9" w:rsidRPr="000D55C9" w:rsidRDefault="000D55C9" w:rsidP="00CC0CB1">
      <w:r w:rsidRPr="000D55C9">
        <w:rPr>
          <w:i/>
        </w:rPr>
        <w:t>Purpose (Mission)</w:t>
      </w:r>
      <w:r w:rsidRPr="000D55C9">
        <w:t xml:space="preserve"> specifies the overall aim of the Agency. </w:t>
      </w:r>
    </w:p>
    <w:p w14:paraId="62491B72" w14:textId="77777777" w:rsidR="000D55C9" w:rsidRPr="000D55C9" w:rsidRDefault="000D55C9" w:rsidP="00CC0CB1">
      <w:r w:rsidRPr="000D55C9">
        <w:rPr>
          <w:i/>
        </w:rPr>
        <w:t xml:space="preserve">Vision </w:t>
      </w:r>
      <w:r w:rsidRPr="000D55C9">
        <w:t>indicates what the Agency aspires to be.</w:t>
      </w:r>
    </w:p>
    <w:p w14:paraId="29AEC167" w14:textId="77777777" w:rsidR="000D55C9" w:rsidRPr="000D55C9" w:rsidRDefault="000D55C9" w:rsidP="00CC0CB1">
      <w:r w:rsidRPr="000D55C9">
        <w:rPr>
          <w:i/>
        </w:rPr>
        <w:t>Agency objectives</w:t>
      </w:r>
      <w:r w:rsidRPr="000D55C9">
        <w:t xml:space="preserve"> describe the effects or impacts an Agency seeks to have on its clients and the community in contributing to Government’s objectives and priorities and any legislated business objectives and directions. Objectives help the Agency focus on achievable goals and attain the best possible results from its capabilities. Objectives are typically achieved progressively over a number of years.</w:t>
      </w:r>
    </w:p>
    <w:p w14:paraId="303E4FDB" w14:textId="77777777" w:rsidR="000D55C9" w:rsidRPr="00CC0CB1" w:rsidRDefault="000D55C9" w:rsidP="000B15FD">
      <w:pPr>
        <w:pStyle w:val="Listnum"/>
        <w:numPr>
          <w:ilvl w:val="0"/>
          <w:numId w:val="72"/>
        </w:numPr>
        <w:rPr>
          <w:b/>
        </w:rPr>
      </w:pPr>
      <w:r w:rsidRPr="00CC0CB1">
        <w:rPr>
          <w:b/>
        </w:rPr>
        <w:t xml:space="preserve">Future challenges and opportunities from analysis of both external and internal environments  </w:t>
      </w:r>
    </w:p>
    <w:p w14:paraId="618A4A51" w14:textId="77777777" w:rsidR="000D55C9" w:rsidRPr="000D55C9" w:rsidRDefault="000D55C9" w:rsidP="00CC0CB1">
      <w:r w:rsidRPr="000D55C9">
        <w:t>Analysing the external and internal factors that may affect the Agency objectives will inform planning choices.</w:t>
      </w:r>
    </w:p>
    <w:p w14:paraId="1151E364" w14:textId="77777777" w:rsidR="000D55C9" w:rsidRPr="000D55C9" w:rsidRDefault="000D55C9" w:rsidP="00CC0CB1">
      <w:r w:rsidRPr="000D55C9">
        <w:t>External factors can include:</w:t>
      </w:r>
    </w:p>
    <w:p w14:paraId="0D8D1E44" w14:textId="77777777" w:rsidR="000D55C9" w:rsidRPr="000D55C9" w:rsidRDefault="000D55C9" w:rsidP="00CC0CB1">
      <w:pPr>
        <w:pStyle w:val="Bullet1"/>
      </w:pPr>
      <w:r w:rsidRPr="000D55C9">
        <w:t>forecasts of economic conditions;</w:t>
      </w:r>
    </w:p>
    <w:p w14:paraId="79CECD3F" w14:textId="77777777" w:rsidR="000D55C9" w:rsidRPr="000D55C9" w:rsidRDefault="000D55C9" w:rsidP="00CC0CB1">
      <w:pPr>
        <w:pStyle w:val="Bullet1"/>
      </w:pPr>
      <w:r w:rsidRPr="000D55C9">
        <w:t>sector</w:t>
      </w:r>
      <w:r w:rsidRPr="000D55C9">
        <w:noBreakHyphen/>
        <w:t>specific inflationary pressures;</w:t>
      </w:r>
    </w:p>
    <w:p w14:paraId="0DA4F315" w14:textId="77777777" w:rsidR="000D55C9" w:rsidRPr="000D55C9" w:rsidRDefault="000D55C9" w:rsidP="00CC0CB1">
      <w:pPr>
        <w:pStyle w:val="Bullet1"/>
      </w:pPr>
      <w:r w:rsidRPr="000D55C9">
        <w:t>longer</w:t>
      </w:r>
      <w:r w:rsidRPr="000D55C9">
        <w:noBreakHyphen/>
        <w:t>term changes to the drivers of demand;</w:t>
      </w:r>
    </w:p>
    <w:p w14:paraId="0C0E3696" w14:textId="77777777" w:rsidR="000D55C9" w:rsidRPr="000D55C9" w:rsidRDefault="000D55C9" w:rsidP="00CC0CB1">
      <w:pPr>
        <w:pStyle w:val="Bullet1"/>
      </w:pPr>
      <w:r w:rsidRPr="000D55C9">
        <w:t>inconsistent/variable demand for services provided;</w:t>
      </w:r>
    </w:p>
    <w:p w14:paraId="1850D6AF" w14:textId="77777777" w:rsidR="000D55C9" w:rsidRPr="000D55C9" w:rsidRDefault="000D55C9" w:rsidP="00CC0CB1">
      <w:pPr>
        <w:pStyle w:val="Bullet1"/>
      </w:pPr>
      <w:r w:rsidRPr="000D55C9">
        <w:t xml:space="preserve">demographic changes; </w:t>
      </w:r>
    </w:p>
    <w:p w14:paraId="3CF3B776" w14:textId="77777777" w:rsidR="00CC0CB1" w:rsidRDefault="00CC0CB1">
      <w:pPr>
        <w:spacing w:before="0" w:after="200" w:line="276" w:lineRule="auto"/>
      </w:pPr>
      <w:r>
        <w:br w:type="page"/>
      </w:r>
    </w:p>
    <w:p w14:paraId="7048C845" w14:textId="4D25C497" w:rsidR="000D55C9" w:rsidRPr="000D55C9" w:rsidRDefault="000D55C9" w:rsidP="00CC0CB1">
      <w:pPr>
        <w:pStyle w:val="Bullet1"/>
      </w:pPr>
      <w:r w:rsidRPr="000D55C9">
        <w:lastRenderedPageBreak/>
        <w:t>anticipated technological developments;</w:t>
      </w:r>
    </w:p>
    <w:p w14:paraId="3337F0F5" w14:textId="467535FE" w:rsidR="000D55C9" w:rsidRDefault="000D55C9" w:rsidP="00CC0CB1">
      <w:pPr>
        <w:pStyle w:val="Bullet2"/>
      </w:pPr>
      <w:r w:rsidRPr="000D55C9">
        <w:t>actions by other governments; and</w:t>
      </w:r>
    </w:p>
    <w:p w14:paraId="0423C472" w14:textId="77777777" w:rsidR="000D55C9" w:rsidRPr="000D55C9" w:rsidRDefault="000D55C9" w:rsidP="00CC0CB1">
      <w:pPr>
        <w:pStyle w:val="Bullet2"/>
      </w:pPr>
      <w:r w:rsidRPr="000D55C9">
        <w:t>the regulatory environment.</w:t>
      </w:r>
    </w:p>
    <w:p w14:paraId="6B33E9EE" w14:textId="77777777" w:rsidR="000D55C9" w:rsidRPr="000D55C9" w:rsidRDefault="000D55C9" w:rsidP="00CC0CB1">
      <w:r w:rsidRPr="000D55C9">
        <w:t>Internal factors can include:</w:t>
      </w:r>
    </w:p>
    <w:p w14:paraId="41A24938" w14:textId="77777777" w:rsidR="000D55C9" w:rsidRPr="000D55C9" w:rsidRDefault="000D55C9" w:rsidP="00CC0CB1">
      <w:pPr>
        <w:pStyle w:val="Bullet1"/>
      </w:pPr>
      <w:r w:rsidRPr="000D55C9">
        <w:t>the Agency’s culture and structure;</w:t>
      </w:r>
    </w:p>
    <w:p w14:paraId="09DFC9A1" w14:textId="77777777" w:rsidR="000D55C9" w:rsidRPr="000D55C9" w:rsidRDefault="000D55C9" w:rsidP="00CC0CB1">
      <w:pPr>
        <w:pStyle w:val="Bullet1"/>
      </w:pPr>
      <w:r w:rsidRPr="000D55C9">
        <w:t>capacity to deliver;</w:t>
      </w:r>
    </w:p>
    <w:p w14:paraId="6946E89F" w14:textId="77777777" w:rsidR="000D55C9" w:rsidRPr="000D55C9" w:rsidRDefault="000D55C9" w:rsidP="00CC0CB1">
      <w:pPr>
        <w:pStyle w:val="Bullet1"/>
      </w:pPr>
      <w:r w:rsidRPr="000D55C9">
        <w:t xml:space="preserve">resources, including the available technology and condition of assets; </w:t>
      </w:r>
    </w:p>
    <w:p w14:paraId="6057125F" w14:textId="77777777" w:rsidR="000D55C9" w:rsidRPr="000D55C9" w:rsidRDefault="000D55C9" w:rsidP="00CC0CB1">
      <w:pPr>
        <w:pStyle w:val="Bullet1"/>
      </w:pPr>
      <w:r w:rsidRPr="000D55C9">
        <w:t>physical location of service delivery providers;</w:t>
      </w:r>
    </w:p>
    <w:p w14:paraId="0768B4F6" w14:textId="77777777" w:rsidR="000D55C9" w:rsidRPr="000D55C9" w:rsidRDefault="000D55C9" w:rsidP="00CC0CB1">
      <w:pPr>
        <w:pStyle w:val="Bullet1"/>
      </w:pPr>
      <w:r w:rsidRPr="000D55C9">
        <w:t>performance data; and</w:t>
      </w:r>
    </w:p>
    <w:p w14:paraId="56F2EACD" w14:textId="77777777" w:rsidR="000D55C9" w:rsidRPr="000D55C9" w:rsidRDefault="000D55C9" w:rsidP="00CC0CB1">
      <w:pPr>
        <w:pStyle w:val="Bullet1"/>
      </w:pPr>
      <w:r w:rsidRPr="000D55C9">
        <w:t>clients/community, service, asset and operation plans.</w:t>
      </w:r>
    </w:p>
    <w:p w14:paraId="4026A578" w14:textId="77777777" w:rsidR="000D55C9" w:rsidRPr="000D55C9" w:rsidRDefault="000D55C9" w:rsidP="00CC0CB1">
      <w:r w:rsidRPr="000D55C9">
        <w:t>This type of information will allow an Agency to conduct risk and SWOT (strength, weakness, opportunities and threats) assessments.</w:t>
      </w:r>
    </w:p>
    <w:p w14:paraId="25A6D51F" w14:textId="77777777" w:rsidR="000D55C9" w:rsidRPr="00CC0CB1" w:rsidRDefault="000D55C9" w:rsidP="00CC0CB1">
      <w:pPr>
        <w:pStyle w:val="Listnum"/>
        <w:rPr>
          <w:b/>
        </w:rPr>
      </w:pPr>
      <w:r w:rsidRPr="00CC0CB1">
        <w:rPr>
          <w:b/>
        </w:rPr>
        <w:t>Strategies to meet service demands and objectives in the corporate plan period including strategies to deliver high quality/better services to Victorians at minimum cost. For Government Business Enterprises</w:t>
      </w:r>
      <w:r w:rsidRPr="00CC0CB1">
        <w:rPr>
          <w:b/>
          <w:vertAlign w:val="superscript"/>
        </w:rPr>
        <w:footnoteReference w:id="61"/>
      </w:r>
      <w:r w:rsidRPr="00CC0CB1">
        <w:rPr>
          <w:b/>
        </w:rPr>
        <w:t>, these are to include measures to improve return on investment</w:t>
      </w:r>
    </w:p>
    <w:p w14:paraId="0C4AC8A7" w14:textId="77777777" w:rsidR="000D55C9" w:rsidRPr="000D55C9" w:rsidRDefault="000D55C9" w:rsidP="00CC0CB1">
      <w:r w:rsidRPr="000D55C9">
        <w:t>The next phase of planning is formulating strategies and developing implementation plans to deliver high quality/better services at minimum cost and meet Agency objectives over the medium</w:t>
      </w:r>
      <w:r w:rsidRPr="000D55C9">
        <w:noBreakHyphen/>
        <w:t xml:space="preserve">term. Government Business Enterprises are to consider measures to improve return on investment. This should involve the whole business to ensure planning addresses key performance drivers, emerging risks, challenges and opportunities. </w:t>
      </w:r>
    </w:p>
    <w:p w14:paraId="2C005F99" w14:textId="77777777" w:rsidR="000D55C9" w:rsidRPr="000D55C9" w:rsidRDefault="000D55C9" w:rsidP="00CC0CB1">
      <w:r w:rsidRPr="000D55C9">
        <w:t>Some areas for consideration include:</w:t>
      </w:r>
    </w:p>
    <w:p w14:paraId="25603B83" w14:textId="77777777" w:rsidR="000D55C9" w:rsidRPr="000D55C9" w:rsidRDefault="000D55C9" w:rsidP="00CC0CB1">
      <w:pPr>
        <w:pStyle w:val="Bullet1"/>
      </w:pPr>
      <w:r w:rsidRPr="000D55C9">
        <w:t>restructuring activities and products/deliverables;</w:t>
      </w:r>
    </w:p>
    <w:p w14:paraId="77D7DCA4" w14:textId="77777777" w:rsidR="000D55C9" w:rsidRPr="000D55C9" w:rsidRDefault="000D55C9" w:rsidP="00CC0CB1">
      <w:pPr>
        <w:pStyle w:val="Bullet1"/>
      </w:pPr>
      <w:r w:rsidRPr="000D55C9">
        <w:t>addressing demand and supply factors;</w:t>
      </w:r>
    </w:p>
    <w:p w14:paraId="2F38676E" w14:textId="77777777" w:rsidR="000D55C9" w:rsidRPr="000D55C9" w:rsidRDefault="000D55C9" w:rsidP="00CC0CB1">
      <w:pPr>
        <w:pStyle w:val="Bullet1"/>
      </w:pPr>
      <w:r w:rsidRPr="000D55C9">
        <w:t>technology and innovation (e.g. market</w:t>
      </w:r>
      <w:r w:rsidRPr="000D55C9">
        <w:noBreakHyphen/>
        <w:t>based solutions);</w:t>
      </w:r>
    </w:p>
    <w:p w14:paraId="21E4B783" w14:textId="77777777" w:rsidR="000D55C9" w:rsidRPr="000D55C9" w:rsidRDefault="000D55C9" w:rsidP="00CC0CB1">
      <w:pPr>
        <w:pStyle w:val="Bullet1"/>
      </w:pPr>
      <w:r w:rsidRPr="000D55C9">
        <w:t>minimising operating costs and achieving operational efficiency;</w:t>
      </w:r>
    </w:p>
    <w:p w14:paraId="5E60DA2E" w14:textId="77777777" w:rsidR="000D55C9" w:rsidRPr="000D55C9" w:rsidRDefault="000D55C9" w:rsidP="00CC0CB1">
      <w:pPr>
        <w:pStyle w:val="Bullet1"/>
      </w:pPr>
      <w:r w:rsidRPr="000D55C9">
        <w:t>workforce planning and improving capability;</w:t>
      </w:r>
    </w:p>
    <w:p w14:paraId="449EFC64" w14:textId="77777777" w:rsidR="000D55C9" w:rsidRPr="000D55C9" w:rsidRDefault="000D55C9" w:rsidP="00CC0CB1">
      <w:pPr>
        <w:pStyle w:val="Bullet1"/>
      </w:pPr>
      <w:r w:rsidRPr="000D55C9">
        <w:t>asset planning to manage and achieve optimal value from the Agency’s asset base;</w:t>
      </w:r>
    </w:p>
    <w:p w14:paraId="22454E77" w14:textId="77777777" w:rsidR="000D55C9" w:rsidRPr="000D55C9" w:rsidRDefault="000D55C9" w:rsidP="00CC0CB1">
      <w:pPr>
        <w:pStyle w:val="Bullet1"/>
      </w:pPr>
      <w:r w:rsidRPr="000D55C9">
        <w:t>engaging the market in maximising the value from procurement and external service providers; and</w:t>
      </w:r>
    </w:p>
    <w:p w14:paraId="57DFDF4E" w14:textId="77777777" w:rsidR="000D55C9" w:rsidRPr="000D55C9" w:rsidRDefault="000D55C9" w:rsidP="00CC0CB1">
      <w:pPr>
        <w:pStyle w:val="Bullet1"/>
      </w:pPr>
      <w:r w:rsidRPr="000D55C9">
        <w:t>addressing government policies, targets and commitments.</w:t>
      </w:r>
    </w:p>
    <w:p w14:paraId="42869664" w14:textId="77777777" w:rsidR="000D55C9" w:rsidRPr="000D55C9" w:rsidRDefault="000D55C9" w:rsidP="00CC0CB1">
      <w:r w:rsidRPr="000D55C9">
        <w:t>Resource planning (assets, finance, workforce) is an integral part of the corporate planning process through the inclusion of targets for planning purposes.</w:t>
      </w:r>
    </w:p>
    <w:p w14:paraId="4044591D" w14:textId="77777777" w:rsidR="000D55C9" w:rsidRPr="00CC0CB1" w:rsidRDefault="000D55C9" w:rsidP="00CC0CB1">
      <w:pPr>
        <w:pStyle w:val="Listnum"/>
        <w:rPr>
          <w:b/>
        </w:rPr>
      </w:pPr>
      <w:r w:rsidRPr="00CC0CB1">
        <w:rPr>
          <w:b/>
        </w:rPr>
        <w:t>Planned services and infrastructure delivery</w:t>
      </w:r>
    </w:p>
    <w:p w14:paraId="191B7EC3" w14:textId="77777777" w:rsidR="000D55C9" w:rsidRPr="000D55C9" w:rsidRDefault="000D55C9" w:rsidP="00CC0CB1">
      <w:r w:rsidRPr="000D55C9">
        <w:t>Following the analysis and strategy formulation phases, an Agency should identify and/or confirm the strategies, priorities, services, infrastructure and activities to be delivered over the medium</w:t>
      </w:r>
      <w:r w:rsidRPr="000D55C9">
        <w:noBreakHyphen/>
        <w:t>term. These should cover all critical aspects of the business.</w:t>
      </w:r>
    </w:p>
    <w:p w14:paraId="4EDAAE6B" w14:textId="77777777" w:rsidR="000D55C9" w:rsidRPr="00CC0CB1" w:rsidRDefault="000D55C9" w:rsidP="00CC0CB1">
      <w:pPr>
        <w:pStyle w:val="Listnum"/>
        <w:rPr>
          <w:b/>
        </w:rPr>
      </w:pPr>
      <w:r w:rsidRPr="00CC0CB1">
        <w:rPr>
          <w:b/>
        </w:rPr>
        <w:t>Estimates of revenue and expenditure over the corporate plan period</w:t>
      </w:r>
    </w:p>
    <w:p w14:paraId="366225D3" w14:textId="77777777" w:rsidR="000D55C9" w:rsidRPr="000D55C9" w:rsidRDefault="000D55C9" w:rsidP="00CC0CB1">
      <w:r w:rsidRPr="000D55C9">
        <w:t>Planning includes confirming the financial resources available to meet the Agency’s planned services and infrastructure delivery, strategies and priorities, and business objectives usually over the next three to four years. The estimated financial statements are supported by the medium</w:t>
      </w:r>
      <w:r w:rsidRPr="000D55C9">
        <w:noBreakHyphen/>
        <w:t>term financial plans and strategic medium</w:t>
      </w:r>
      <w:r w:rsidRPr="000D55C9">
        <w:noBreakHyphen/>
        <w:t>term cash flow projections (see below for further guidance on these plans).</w:t>
      </w:r>
    </w:p>
    <w:p w14:paraId="6E51D928" w14:textId="77777777" w:rsidR="000D55C9" w:rsidRPr="00CC0CB1" w:rsidRDefault="000D55C9" w:rsidP="00CC0CB1">
      <w:pPr>
        <w:pStyle w:val="Listnum"/>
        <w:rPr>
          <w:b/>
        </w:rPr>
      </w:pPr>
      <w:r w:rsidRPr="00CC0CB1">
        <w:rPr>
          <w:b/>
        </w:rPr>
        <w:lastRenderedPageBreak/>
        <w:t>financial and non</w:t>
      </w:r>
      <w:r w:rsidRPr="00CC0CB1">
        <w:rPr>
          <w:b/>
        </w:rPr>
        <w:noBreakHyphen/>
        <w:t>financial key performance indicators/measures (KPIs) and associated targets covering, at a minimum, the Agency’s operations, assets, the achievement of organisational objectives and the delivery of services</w:t>
      </w:r>
    </w:p>
    <w:p w14:paraId="5504B4A3" w14:textId="77777777" w:rsidR="000D55C9" w:rsidRPr="000D55C9" w:rsidRDefault="000D55C9" w:rsidP="00CC0CB1">
      <w:r w:rsidRPr="000D55C9">
        <w:t>Planning involves identifying relevant KPIs and setting appropriate targets. This will assist in managing performance and for accountability reporting of actual performance against planned.</w:t>
      </w:r>
    </w:p>
    <w:p w14:paraId="3092BAA4" w14:textId="77777777" w:rsidR="000D55C9" w:rsidRPr="000D55C9" w:rsidRDefault="000D55C9" w:rsidP="00CC0CB1">
      <w:pPr>
        <w:pStyle w:val="Heading4"/>
      </w:pPr>
      <w:r w:rsidRPr="000D55C9">
        <w:t>Setting targets</w:t>
      </w:r>
    </w:p>
    <w:p w14:paraId="080EEEDD" w14:textId="77777777" w:rsidR="000D55C9" w:rsidRPr="000D55C9" w:rsidRDefault="000D55C9" w:rsidP="00CC0CB1">
      <w:r w:rsidRPr="000D55C9">
        <w:t>Agencies may use a combination of methods to set targets. Commonly used approaches in setting targets include:</w:t>
      </w:r>
    </w:p>
    <w:p w14:paraId="3FEE3A20" w14:textId="77777777" w:rsidR="000D55C9" w:rsidRPr="000D55C9" w:rsidRDefault="000D55C9" w:rsidP="00CC0CB1">
      <w:pPr>
        <w:pStyle w:val="Bullet1"/>
      </w:pPr>
      <w:r w:rsidRPr="000D55C9">
        <w:t>current performance;</w:t>
      </w:r>
    </w:p>
    <w:p w14:paraId="3138AD0D" w14:textId="77777777" w:rsidR="000D55C9" w:rsidRPr="000D55C9" w:rsidRDefault="000D55C9" w:rsidP="00CC0CB1">
      <w:pPr>
        <w:pStyle w:val="Bullet1"/>
      </w:pPr>
      <w:r w:rsidRPr="000D55C9">
        <w:t>current performance plus/minus a percentage improvement change;</w:t>
      </w:r>
    </w:p>
    <w:p w14:paraId="665393E0" w14:textId="77777777" w:rsidR="000D55C9" w:rsidRPr="000D55C9" w:rsidRDefault="000D55C9" w:rsidP="00CC0CB1">
      <w:pPr>
        <w:pStyle w:val="Bullet1"/>
      </w:pPr>
      <w:r w:rsidRPr="000D55C9">
        <w:t>averaged performance (national, state, or industry);</w:t>
      </w:r>
    </w:p>
    <w:p w14:paraId="2F5CF582" w14:textId="77777777" w:rsidR="000D55C9" w:rsidRPr="000D55C9" w:rsidRDefault="000D55C9" w:rsidP="00CC0CB1">
      <w:pPr>
        <w:pStyle w:val="Bullet1"/>
      </w:pPr>
      <w:r w:rsidRPr="000D55C9">
        <w:t>best practice (benchmarking);</w:t>
      </w:r>
    </w:p>
    <w:p w14:paraId="1C433CBE" w14:textId="77777777" w:rsidR="000D55C9" w:rsidRPr="000D55C9" w:rsidRDefault="000D55C9" w:rsidP="00CC0CB1">
      <w:pPr>
        <w:pStyle w:val="Bullet1"/>
      </w:pPr>
      <w:r w:rsidRPr="000D55C9">
        <w:t>technical targets (external targets established by professional associations); and</w:t>
      </w:r>
    </w:p>
    <w:p w14:paraId="5A7E078F" w14:textId="77777777" w:rsidR="000D55C9" w:rsidRPr="000D55C9" w:rsidRDefault="000D55C9" w:rsidP="00CC0CB1">
      <w:pPr>
        <w:pStyle w:val="Bullet1"/>
      </w:pPr>
      <w:r w:rsidRPr="000D55C9">
        <w:t>management decisions (calculated decisions given resource and staffing parameters).</w:t>
      </w:r>
    </w:p>
    <w:p w14:paraId="2FF4DE2E" w14:textId="77777777" w:rsidR="000D55C9" w:rsidRPr="000D55C9" w:rsidRDefault="000D55C9" w:rsidP="00CC0CB1">
      <w:r w:rsidRPr="000D55C9">
        <w:t>To ensure targets are not unrealistic or create perverse incentives:</w:t>
      </w:r>
    </w:p>
    <w:p w14:paraId="5FFC4D65" w14:textId="77777777" w:rsidR="000D55C9" w:rsidRPr="000D55C9" w:rsidRDefault="000D55C9" w:rsidP="00CC0CB1">
      <w:pPr>
        <w:pStyle w:val="Bullet1"/>
      </w:pPr>
      <w:r w:rsidRPr="000D55C9">
        <w:t>targets should be set through Agency planning processes;</w:t>
      </w:r>
    </w:p>
    <w:p w14:paraId="6D320EDB" w14:textId="77777777" w:rsidR="000D55C9" w:rsidRPr="000D55C9" w:rsidRDefault="000D55C9" w:rsidP="00CC0CB1">
      <w:pPr>
        <w:pStyle w:val="Bullet1"/>
      </w:pPr>
      <w:r w:rsidRPr="000D55C9">
        <w:t>proposed targets should be trialled in parallel with existing targets; and</w:t>
      </w:r>
    </w:p>
    <w:p w14:paraId="3470C85E" w14:textId="77777777" w:rsidR="000D55C9" w:rsidRPr="000D55C9" w:rsidRDefault="000D55C9" w:rsidP="00CC0CB1">
      <w:pPr>
        <w:pStyle w:val="Bullet1"/>
      </w:pPr>
      <w:r w:rsidRPr="000D55C9">
        <w:t xml:space="preserve">targets should be presented in the context of the service being delivered and government funding models used. </w:t>
      </w:r>
    </w:p>
    <w:p w14:paraId="65C38BB2" w14:textId="77777777" w:rsidR="000D55C9" w:rsidRPr="000D55C9" w:rsidRDefault="000D55C9" w:rsidP="00CC0CB1">
      <w:pPr>
        <w:pStyle w:val="Heading4"/>
      </w:pPr>
      <w:r w:rsidRPr="000D55C9">
        <w:t>Performance indicators and service delivery performance measures</w:t>
      </w:r>
    </w:p>
    <w:p w14:paraId="19D32BCB" w14:textId="77777777" w:rsidR="000D55C9" w:rsidRPr="000D55C9" w:rsidRDefault="000D55C9" w:rsidP="00CC0CB1">
      <w:r w:rsidRPr="000D55C9">
        <w:t>Performance indicators demonstrate the impact services and projects have on clients and the community. They are indicators of efficiency and effectiveness and provide evidence in measuring progress towards achieving Agency objectives in the medium</w:t>
      </w:r>
      <w:r w:rsidRPr="000D55C9">
        <w:noBreakHyphen/>
        <w:t>term. When dealing with impacts, direct measures are often difficult and measures can often only ‘indicate’ the outcome. Therefore, an indicator may be supported by multiple data series.</w:t>
      </w:r>
    </w:p>
    <w:p w14:paraId="5543D573" w14:textId="77777777" w:rsidR="000D55C9" w:rsidRPr="000D55C9" w:rsidRDefault="000D55C9" w:rsidP="00CC0CB1">
      <w:r w:rsidRPr="000D55C9">
        <w:t>Performance indicators are results focused. They should:</w:t>
      </w:r>
    </w:p>
    <w:p w14:paraId="26607A4A" w14:textId="77777777" w:rsidR="000D55C9" w:rsidRPr="000D55C9" w:rsidRDefault="000D55C9" w:rsidP="00CC0CB1">
      <w:pPr>
        <w:pStyle w:val="Bullet1"/>
      </w:pPr>
      <w:r w:rsidRPr="000D55C9">
        <w:t>have a logical and consistent relationship to the Agency objectives;</w:t>
      </w:r>
    </w:p>
    <w:p w14:paraId="5E4036BB" w14:textId="77777777" w:rsidR="000D55C9" w:rsidRPr="000D55C9" w:rsidRDefault="000D55C9" w:rsidP="00CC0CB1">
      <w:pPr>
        <w:pStyle w:val="Bullet1"/>
      </w:pPr>
      <w:r w:rsidRPr="000D55C9">
        <w:t>provide links between the objectives and deliverables; and</w:t>
      </w:r>
    </w:p>
    <w:p w14:paraId="60809992" w14:textId="77777777" w:rsidR="000D55C9" w:rsidRPr="000D55C9" w:rsidRDefault="000D55C9" w:rsidP="00CC0CB1">
      <w:pPr>
        <w:pStyle w:val="Bullet1"/>
      </w:pPr>
      <w:r w:rsidRPr="000D55C9">
        <w:t>be set at a level to support performance analysis.</w:t>
      </w:r>
    </w:p>
    <w:p w14:paraId="4090569F" w14:textId="77777777" w:rsidR="000D55C9" w:rsidRPr="000D55C9" w:rsidRDefault="000D55C9" w:rsidP="00CC0CB1">
      <w:r w:rsidRPr="000D55C9">
        <w:t>Service delivery performance measures enable the examination of Agency performance in delivering services and projects. They demonstrate the efficiency and effectiveness of delivery and should not encourage unwanted or wasteful behaviour. Measures should be stretching to reflect the Government’s expectations for improved standards of public services, but be achievable within the Agency’s available resources. Performance measures should have the capacity to measure the extent and standard of service and project delivery. They should seek to measure different attributes of service delivery such as:</w:t>
      </w:r>
    </w:p>
    <w:p w14:paraId="7C57F0C4" w14:textId="77777777" w:rsidR="000D55C9" w:rsidRPr="000D55C9" w:rsidRDefault="000D55C9" w:rsidP="00CC0CB1">
      <w:pPr>
        <w:pStyle w:val="Bullet1"/>
      </w:pPr>
      <w:r w:rsidRPr="000D55C9">
        <w:t>quantity;</w:t>
      </w:r>
    </w:p>
    <w:p w14:paraId="54BC9BB1" w14:textId="77777777" w:rsidR="000D55C9" w:rsidRPr="000D55C9" w:rsidRDefault="000D55C9" w:rsidP="00CC0CB1">
      <w:pPr>
        <w:pStyle w:val="Bullet1"/>
      </w:pPr>
      <w:r w:rsidRPr="000D55C9">
        <w:t>quality;</w:t>
      </w:r>
    </w:p>
    <w:p w14:paraId="62ADC551" w14:textId="77777777" w:rsidR="000D55C9" w:rsidRPr="000D55C9" w:rsidRDefault="000D55C9" w:rsidP="00CC0CB1">
      <w:pPr>
        <w:pStyle w:val="Bullet1"/>
      </w:pPr>
      <w:r w:rsidRPr="000D55C9">
        <w:t xml:space="preserve">timeliness; and </w:t>
      </w:r>
    </w:p>
    <w:p w14:paraId="3F77A378" w14:textId="77777777" w:rsidR="000D55C9" w:rsidRPr="000D55C9" w:rsidRDefault="000D55C9" w:rsidP="00CC0CB1">
      <w:pPr>
        <w:pStyle w:val="Bullet1"/>
      </w:pPr>
      <w:r w:rsidRPr="000D55C9">
        <w:t xml:space="preserve">cost. </w:t>
      </w:r>
    </w:p>
    <w:p w14:paraId="6BC713C6" w14:textId="77777777" w:rsidR="000D55C9" w:rsidRPr="000D55C9" w:rsidRDefault="000D55C9" w:rsidP="00CC0CB1">
      <w:r w:rsidRPr="00CC0CB1">
        <w:t>Effective performance reporting requires consideration of the following factors when developing performance</w:t>
      </w:r>
      <w:r w:rsidRPr="000D55C9">
        <w:t xml:space="preserve"> indicators and measures:</w:t>
      </w:r>
    </w:p>
    <w:p w14:paraId="4F4E8352" w14:textId="77777777" w:rsidR="000D55C9" w:rsidRPr="000D55C9" w:rsidRDefault="000D55C9" w:rsidP="00CC0CB1">
      <w:pPr>
        <w:pStyle w:val="Bullet1"/>
      </w:pPr>
      <w:r w:rsidRPr="000D55C9">
        <w:t>comprehensive – there should be indicators to cover all critical aspects of the Agency objectives and measures to cover services and/or projects and/or activities;</w:t>
      </w:r>
    </w:p>
    <w:p w14:paraId="1210CC50" w14:textId="77777777" w:rsidR="000D55C9" w:rsidRPr="000D55C9" w:rsidRDefault="000D55C9" w:rsidP="00CC0CB1">
      <w:pPr>
        <w:pStyle w:val="Bullet1"/>
      </w:pPr>
      <w:r w:rsidRPr="000D55C9">
        <w:t>fit for purpose – indicators and measures should reflect what the Agency is trying to achieve;</w:t>
      </w:r>
    </w:p>
    <w:p w14:paraId="297AE5A4" w14:textId="77777777" w:rsidR="000D55C9" w:rsidRPr="000D55C9" w:rsidRDefault="000D55C9" w:rsidP="00CC0CB1">
      <w:pPr>
        <w:pStyle w:val="Bullet1"/>
      </w:pPr>
      <w:r w:rsidRPr="000D55C9">
        <w:t>balanced –a balanced set of indicators and measures should be developed;</w:t>
      </w:r>
    </w:p>
    <w:p w14:paraId="6AC8907A" w14:textId="77777777" w:rsidR="000D55C9" w:rsidRPr="000D55C9" w:rsidRDefault="000D55C9" w:rsidP="00CC0CB1">
      <w:pPr>
        <w:pStyle w:val="Bullet1"/>
      </w:pPr>
      <w:r w:rsidRPr="000D55C9">
        <w:t>attributable – indicators should be attributable to the Agency objectives, and measures to services, projects and activities delivered by the Agency;</w:t>
      </w:r>
    </w:p>
    <w:p w14:paraId="2B5B9899" w14:textId="77777777" w:rsidR="000D55C9" w:rsidRPr="000D55C9" w:rsidRDefault="000D55C9" w:rsidP="00CC0CB1">
      <w:pPr>
        <w:pStyle w:val="Bullet1"/>
      </w:pPr>
      <w:r w:rsidRPr="000D55C9">
        <w:lastRenderedPageBreak/>
        <w:t>clear – the definition of the indicator and measure should be clear so that data collected is easy to understand and documentation of measurement processes should be maintained;</w:t>
      </w:r>
    </w:p>
    <w:p w14:paraId="73F9FE38" w14:textId="77777777" w:rsidR="000D55C9" w:rsidRPr="000D55C9" w:rsidRDefault="000D55C9" w:rsidP="00CC0CB1">
      <w:pPr>
        <w:pStyle w:val="Bullet1"/>
      </w:pPr>
      <w:r w:rsidRPr="000D55C9">
        <w:t>measurable – indicators and measures should be able to be measured consistently and be responsive to change. There should be a clear and transparent standard of success and data should be available;</w:t>
      </w:r>
    </w:p>
    <w:p w14:paraId="589AA5F9" w14:textId="77777777" w:rsidR="000D55C9" w:rsidRPr="000D55C9" w:rsidRDefault="000D55C9" w:rsidP="00CC0CB1">
      <w:pPr>
        <w:pStyle w:val="Bullet1"/>
      </w:pPr>
      <w:r w:rsidRPr="000D55C9">
        <w:t>comparable – indicators and measures should remain relevant over the medium</w:t>
      </w:r>
      <w:r w:rsidRPr="000D55C9">
        <w:noBreakHyphen/>
        <w:t>term, allowing comparisons over time and between target groups and across jurisdictions;</w:t>
      </w:r>
    </w:p>
    <w:p w14:paraId="3FDE3692" w14:textId="77777777" w:rsidR="000D55C9" w:rsidRPr="000D55C9" w:rsidRDefault="000D55C9" w:rsidP="00CC0CB1">
      <w:pPr>
        <w:pStyle w:val="Bullet1"/>
      </w:pPr>
      <w:r w:rsidRPr="000D55C9">
        <w:t>interpretable – indicators and measures are able to be reported with appropriate context (e.g. trends, targets) to enable meaningful conclusions to be drawn;</w:t>
      </w:r>
    </w:p>
    <w:p w14:paraId="4AE05535" w14:textId="77777777" w:rsidR="000D55C9" w:rsidRPr="000D55C9" w:rsidRDefault="000D55C9" w:rsidP="00CC0CB1">
      <w:pPr>
        <w:pStyle w:val="Bullet1"/>
      </w:pPr>
      <w:r w:rsidRPr="000D55C9">
        <w:t>cost</w:t>
      </w:r>
      <w:r w:rsidRPr="000D55C9">
        <w:noBreakHyphen/>
        <w:t>effective – cost of data collection and processing does not outweigh the benefits the indicators and measures provide;</w:t>
      </w:r>
    </w:p>
    <w:p w14:paraId="1B31A7C0" w14:textId="77777777" w:rsidR="000D55C9" w:rsidRPr="000D55C9" w:rsidRDefault="000D55C9" w:rsidP="00CC0CB1">
      <w:pPr>
        <w:pStyle w:val="Bullet1"/>
      </w:pPr>
      <w:r w:rsidRPr="000D55C9">
        <w:t>credible – indicators and measures are supported by stakeholders and when appropriate, supported by research and/or established industry standards; and</w:t>
      </w:r>
    </w:p>
    <w:p w14:paraId="5AFD2DE4" w14:textId="77777777" w:rsidR="000D55C9" w:rsidRPr="000D55C9" w:rsidRDefault="000D55C9" w:rsidP="00CC0CB1">
      <w:pPr>
        <w:pStyle w:val="Bullet1"/>
      </w:pPr>
      <w:r w:rsidRPr="000D55C9">
        <w:t>timely – performance data should be produced regularly enough to track progress and, quickly enough for the data to still be of value for decision</w:t>
      </w:r>
      <w:r w:rsidRPr="000D55C9">
        <w:noBreakHyphen/>
        <w:t>making.</w:t>
      </w:r>
    </w:p>
    <w:p w14:paraId="3DD6660F" w14:textId="77777777" w:rsidR="000D55C9" w:rsidRPr="000D55C9" w:rsidRDefault="000D55C9" w:rsidP="00CC0CB1">
      <w:pPr>
        <w:pStyle w:val="Heading4"/>
      </w:pPr>
      <w:r w:rsidRPr="000D55C9">
        <w:t>Financial performance indicators in assessing financial sustainability</w:t>
      </w:r>
    </w:p>
    <w:p w14:paraId="65162C4E" w14:textId="77777777" w:rsidR="000D55C9" w:rsidRPr="000D55C9" w:rsidRDefault="000D55C9" w:rsidP="00CC0CB1">
      <w:r w:rsidRPr="000D55C9">
        <w:t xml:space="preserve">The Directions require the Responsible Body to oversee the Agency’s financial sustainability performance and the Accountable Officer to promote financial sustainability and ensure the availability of performance indicators and targets. </w:t>
      </w:r>
    </w:p>
    <w:p w14:paraId="1EAEAAE4" w14:textId="77777777" w:rsidR="000D55C9" w:rsidRPr="000D55C9" w:rsidRDefault="000D55C9" w:rsidP="00CC0CB1">
      <w:r w:rsidRPr="000D55C9">
        <w:t>Relevant financial information and key financial performance indicators help to provide insight into Agency financial sustainability. Although the medium</w:t>
      </w:r>
      <w:r w:rsidRPr="000D55C9">
        <w:noBreakHyphen/>
        <w:t>term corporate plan should contain financial information, this information, when appropriate, should be based on long</w:t>
      </w:r>
      <w:r w:rsidRPr="000D55C9">
        <w:noBreakHyphen/>
        <w:t xml:space="preserve">term planning (refer to section on financial sustainability expectations). </w:t>
      </w:r>
    </w:p>
    <w:p w14:paraId="2DDEBEA7" w14:textId="77777777" w:rsidR="000D55C9" w:rsidRPr="000D55C9" w:rsidRDefault="000D55C9" w:rsidP="00CC0CB1">
      <w:r w:rsidRPr="000D55C9">
        <w:t xml:space="preserve">In developing suitable indicators and targets, Agencies should consider regulatory, governance, funding and operating arrangements. The same set of indicators will not be appropriate for assessing financial sustainability for all Agencies due to the varied nature of these arrangements across the VPS. </w:t>
      </w:r>
    </w:p>
    <w:p w14:paraId="5544CDA1" w14:textId="77777777" w:rsidR="000D55C9" w:rsidRPr="000D55C9" w:rsidRDefault="000D55C9" w:rsidP="00CC0CB1">
      <w:r w:rsidRPr="000D55C9">
        <w:t>Indicators to assess financial sustainability may include a combination of:</w:t>
      </w:r>
    </w:p>
    <w:p w14:paraId="4B9185D6" w14:textId="77777777" w:rsidR="000D55C9" w:rsidRPr="000D55C9" w:rsidRDefault="000D55C9" w:rsidP="00CC0CB1">
      <w:pPr>
        <w:pStyle w:val="Bullet1"/>
      </w:pPr>
      <w:r w:rsidRPr="000D55C9">
        <w:t>reported net profit;</w:t>
      </w:r>
    </w:p>
    <w:p w14:paraId="28C82F3F" w14:textId="77777777" w:rsidR="000D55C9" w:rsidRPr="000D55C9" w:rsidRDefault="000D55C9" w:rsidP="00CC0CB1">
      <w:pPr>
        <w:pStyle w:val="Bullet1"/>
      </w:pPr>
      <w:r w:rsidRPr="000D55C9">
        <w:t>net cash flows from operations;</w:t>
      </w:r>
    </w:p>
    <w:p w14:paraId="22C948D3" w14:textId="77777777" w:rsidR="000D55C9" w:rsidRPr="000D55C9" w:rsidRDefault="000D55C9" w:rsidP="00CC0CB1">
      <w:pPr>
        <w:pStyle w:val="Bullet1"/>
      </w:pPr>
      <w:r w:rsidRPr="000D55C9">
        <w:t>capital structure and gearing ratios, which show the relative proportion of the assets of the business that are being financed by the owner and external financiers;</w:t>
      </w:r>
    </w:p>
    <w:p w14:paraId="1EFB7E54" w14:textId="77777777" w:rsidR="000D55C9" w:rsidRPr="000D55C9" w:rsidRDefault="000D55C9" w:rsidP="00CC0CB1">
      <w:pPr>
        <w:pStyle w:val="Bullet1"/>
      </w:pPr>
      <w:r w:rsidRPr="000D55C9">
        <w:t>liquidity (current ratio), which expresses, as a ratio, the value of cash and other assets that could reasonably be expected to be monetised during the current financial year relative to the value of liabilities that are due and payable during the current financial year;</w:t>
      </w:r>
    </w:p>
    <w:p w14:paraId="312A0E6B" w14:textId="77777777" w:rsidR="000D55C9" w:rsidRPr="000D55C9" w:rsidRDefault="000D55C9" w:rsidP="00CC0CB1">
      <w:pPr>
        <w:pStyle w:val="Bullet1"/>
      </w:pPr>
      <w:r w:rsidRPr="000D55C9">
        <w:t>debt servicing capacity, interest coverage on earnings before interest and tax (EBIT), earnings before depreciation, interest and tax (EBITDA) (both on a cash and accrual basis) and total debt to EBITDA (on a cash and accrual basis); and</w:t>
      </w:r>
    </w:p>
    <w:p w14:paraId="3577F7A9" w14:textId="77777777" w:rsidR="000D55C9" w:rsidRPr="000D55C9" w:rsidRDefault="000D55C9" w:rsidP="00CC0CB1">
      <w:pPr>
        <w:pStyle w:val="Bullet1"/>
      </w:pPr>
      <w:r w:rsidRPr="000D55C9">
        <w:t>profitability – return on assets, return on equity, and sales margin, which express earnings as a percentage of assets, equity and sales.</w:t>
      </w:r>
    </w:p>
    <w:p w14:paraId="5664F199" w14:textId="4DB77EAF" w:rsidR="000D55C9" w:rsidRPr="000D55C9" w:rsidRDefault="000D55C9" w:rsidP="00CC0CB1">
      <w:r w:rsidRPr="000D55C9">
        <w:t>Monitoring reports should cover both the current year and medium to longer</w:t>
      </w:r>
      <w:r w:rsidRPr="000D55C9">
        <w:noBreakHyphen/>
        <w:t>term period. It is important to consider historical and projected trend data in decision</w:t>
      </w:r>
      <w:r w:rsidRPr="000D55C9">
        <w:noBreakHyphen/>
        <w:t>making and in reviewing financial performance. Medium to longer</w:t>
      </w:r>
      <w:r w:rsidRPr="000D55C9">
        <w:noBreakHyphen/>
        <w:t>term reporting is to address the impact of short</w:t>
      </w:r>
      <w:r w:rsidRPr="000D55C9">
        <w:noBreakHyphen/>
        <w:t>term decisions and/or activities (e.g</w:t>
      </w:r>
      <w:r w:rsidR="00995ED6">
        <w:t xml:space="preserve">. </w:t>
      </w:r>
      <w:r w:rsidRPr="000D55C9">
        <w:t>‘lumpy’ nature of capital expenditure) on financial sustainability. All indicators need to be interpreted in context, such as:</w:t>
      </w:r>
    </w:p>
    <w:p w14:paraId="7995674D" w14:textId="77777777" w:rsidR="000D55C9" w:rsidRPr="000D55C9" w:rsidRDefault="000D55C9" w:rsidP="00CC0CB1">
      <w:pPr>
        <w:pStyle w:val="Bullet1"/>
      </w:pPr>
      <w:r w:rsidRPr="000D55C9">
        <w:t xml:space="preserve">the commercial focus of entities; </w:t>
      </w:r>
    </w:p>
    <w:p w14:paraId="73A8E450" w14:textId="77777777" w:rsidR="000D55C9" w:rsidRPr="000D55C9" w:rsidRDefault="000D55C9" w:rsidP="00CC0CB1">
      <w:pPr>
        <w:pStyle w:val="Bullet1"/>
      </w:pPr>
      <w:r w:rsidRPr="000D55C9">
        <w:t>revenue sources;</w:t>
      </w:r>
    </w:p>
    <w:p w14:paraId="314BCE45" w14:textId="77777777" w:rsidR="000D55C9" w:rsidRPr="000D55C9" w:rsidRDefault="000D55C9" w:rsidP="00CC0CB1">
      <w:pPr>
        <w:pStyle w:val="Bullet1"/>
      </w:pPr>
      <w:r w:rsidRPr="000D55C9">
        <w:t>capital allocation and cash management models used and price determinations by regulators;</w:t>
      </w:r>
    </w:p>
    <w:p w14:paraId="4434F49F" w14:textId="77777777" w:rsidR="000D55C9" w:rsidRPr="000D55C9" w:rsidRDefault="000D55C9" w:rsidP="00CC0CB1">
      <w:pPr>
        <w:pStyle w:val="Bullet1"/>
      </w:pPr>
      <w:r w:rsidRPr="000D55C9">
        <w:t>asset valuations;</w:t>
      </w:r>
    </w:p>
    <w:p w14:paraId="3E996382" w14:textId="77777777" w:rsidR="000D55C9" w:rsidRPr="000D55C9" w:rsidRDefault="000D55C9" w:rsidP="00CC0CB1">
      <w:pPr>
        <w:pStyle w:val="Bullet1"/>
      </w:pPr>
      <w:r w:rsidRPr="000D55C9">
        <w:t>dividend requirements; and</w:t>
      </w:r>
    </w:p>
    <w:p w14:paraId="1D8B53B6" w14:textId="77777777" w:rsidR="000D55C9" w:rsidRPr="000D55C9" w:rsidRDefault="000D55C9" w:rsidP="00CC0CB1">
      <w:pPr>
        <w:pStyle w:val="Bullet1"/>
      </w:pPr>
      <w:r w:rsidRPr="000D55C9">
        <w:t>industry and/or sector features such as volatility.</w:t>
      </w:r>
    </w:p>
    <w:p w14:paraId="4D7D60C4" w14:textId="77777777" w:rsidR="00E82650" w:rsidRDefault="00E82650">
      <w:pPr>
        <w:spacing w:before="0" w:after="200" w:line="276" w:lineRule="auto"/>
        <w:rPr>
          <w:color w:val="4D4D4D"/>
          <w:sz w:val="24"/>
          <w:szCs w:val="28"/>
        </w:rPr>
      </w:pPr>
      <w:r>
        <w:rPr>
          <w:color w:val="4D4D4D"/>
          <w:sz w:val="24"/>
          <w:szCs w:val="28"/>
        </w:rPr>
        <w:br w:type="page"/>
      </w:r>
    </w:p>
    <w:p w14:paraId="05172CA9" w14:textId="05C0B8C7" w:rsidR="000D55C9" w:rsidRPr="000D55C9" w:rsidRDefault="000D55C9" w:rsidP="00CC0CB1">
      <w:pPr>
        <w:pStyle w:val="Heading4"/>
      </w:pPr>
      <w:r w:rsidRPr="000D55C9">
        <w:lastRenderedPageBreak/>
        <w:t>Financial sustainability expectations</w:t>
      </w:r>
    </w:p>
    <w:p w14:paraId="65190411" w14:textId="77777777" w:rsidR="000D55C9" w:rsidRPr="000D55C9" w:rsidRDefault="000D55C9" w:rsidP="000D55C9">
      <w:pPr>
        <w:spacing w:before="120" w:after="120" w:line="240" w:lineRule="atLeast"/>
        <w:rPr>
          <w:szCs w:val="20"/>
        </w:rPr>
      </w:pPr>
      <w:r w:rsidRPr="000D55C9">
        <w:rPr>
          <w:szCs w:val="20"/>
        </w:rPr>
        <w:t xml:space="preserve">Balancing the delivery of government objectives and priorities with finite financial resources is an important responsibility of the Accountable Officer and Responsible Body. </w:t>
      </w:r>
    </w:p>
    <w:p w14:paraId="0BBDF49E" w14:textId="77777777" w:rsidR="000D55C9" w:rsidRPr="000D55C9" w:rsidRDefault="000D55C9" w:rsidP="000D55C9">
      <w:pPr>
        <w:spacing w:before="120" w:after="120" w:line="240" w:lineRule="atLeast"/>
        <w:rPr>
          <w:szCs w:val="20"/>
        </w:rPr>
      </w:pPr>
      <w:r w:rsidRPr="000D55C9">
        <w:rPr>
          <w:szCs w:val="20"/>
        </w:rPr>
        <w:t>Financial sustainability is the ability of an Agency to deliver required services in the medium and longer term, and within its regulatory, governance, funding and operating environment and proposed strategies. To be financially sustainable, an Agency needs to have a sustainable capacity to meet its current and future financial obligations. Effective medium to longer term planning and budgeting (financial projections) is therefore a key consideration for the continued provision of services.</w:t>
      </w:r>
    </w:p>
    <w:p w14:paraId="115E0F38" w14:textId="77777777" w:rsidR="000D55C9" w:rsidRPr="000D55C9" w:rsidRDefault="000D55C9" w:rsidP="000D55C9">
      <w:pPr>
        <w:spacing w:before="120" w:after="120" w:line="240" w:lineRule="atLeast"/>
        <w:rPr>
          <w:szCs w:val="20"/>
        </w:rPr>
      </w:pPr>
      <w:r w:rsidRPr="000D55C9">
        <w:rPr>
          <w:szCs w:val="20"/>
        </w:rPr>
        <w:t>In summary, a financially sustainable Agency should be able to:</w:t>
      </w:r>
    </w:p>
    <w:p w14:paraId="607A8533" w14:textId="77777777" w:rsidR="000D55C9" w:rsidRPr="000D55C9" w:rsidRDefault="000D55C9" w:rsidP="00E82650">
      <w:pPr>
        <w:pStyle w:val="Bullet1"/>
        <w:contextualSpacing/>
      </w:pPr>
      <w:r w:rsidRPr="000D55C9">
        <w:t>deliver agreed services and service levels within available financial resources and at minimum cost;</w:t>
      </w:r>
    </w:p>
    <w:p w14:paraId="5754D5A9" w14:textId="77777777" w:rsidR="000D55C9" w:rsidRPr="000D55C9" w:rsidRDefault="000D55C9" w:rsidP="00E82650">
      <w:pPr>
        <w:pStyle w:val="Bullet1"/>
        <w:contextualSpacing/>
      </w:pPr>
      <w:r w:rsidRPr="000D55C9">
        <w:t>maintain operational viability;</w:t>
      </w:r>
    </w:p>
    <w:p w14:paraId="6C958FF4" w14:textId="1F9C56C0" w:rsidR="000D55C9" w:rsidRPr="000D55C9" w:rsidRDefault="000D55C9" w:rsidP="00E82650">
      <w:pPr>
        <w:pStyle w:val="Bullet1"/>
        <w:ind w:left="288" w:hanging="288"/>
        <w:contextualSpacing/>
      </w:pPr>
      <w:r w:rsidRPr="000D55C9">
        <w:t>ensure fees and charges are set in accordance with the Victorian Government’s</w:t>
      </w:r>
      <w:r w:rsidR="00BA153B">
        <w:rPr>
          <w:color w:val="595959"/>
        </w:rPr>
        <w:t xml:space="preserve"> </w:t>
      </w:r>
      <w:hyperlink r:id="rId257" w:history="1">
        <w:r w:rsidR="00BA153B" w:rsidRPr="00BA5505">
          <w:rPr>
            <w:rStyle w:val="Hyperlink"/>
            <w:i/>
            <w:iCs/>
          </w:rPr>
          <w:t>Pricing for Value Guide</w:t>
        </w:r>
      </w:hyperlink>
      <w:r w:rsidRPr="000D55C9">
        <w:t>;</w:t>
      </w:r>
    </w:p>
    <w:p w14:paraId="40C0827F" w14:textId="77777777" w:rsidR="000D55C9" w:rsidRPr="000D55C9" w:rsidRDefault="000D55C9" w:rsidP="00E82650">
      <w:pPr>
        <w:pStyle w:val="Bullet1"/>
        <w:ind w:left="288" w:hanging="288"/>
        <w:contextualSpacing/>
      </w:pPr>
      <w:r w:rsidRPr="000D55C9">
        <w:t>ensure assets are looked after and maintained;</w:t>
      </w:r>
    </w:p>
    <w:p w14:paraId="345B098B" w14:textId="77777777" w:rsidR="000D55C9" w:rsidRPr="000D55C9" w:rsidRDefault="000D55C9" w:rsidP="00E82650">
      <w:pPr>
        <w:pStyle w:val="Bullet1"/>
        <w:ind w:left="288" w:hanging="288"/>
        <w:contextualSpacing/>
      </w:pPr>
      <w:r w:rsidRPr="000D55C9">
        <w:t>meet any relevant government policies, targets and commitments; and</w:t>
      </w:r>
    </w:p>
    <w:p w14:paraId="2389F74F" w14:textId="77777777" w:rsidR="000D55C9" w:rsidRPr="000D55C9" w:rsidRDefault="000D55C9" w:rsidP="00E82650">
      <w:pPr>
        <w:pStyle w:val="Bullet1"/>
        <w:ind w:left="288" w:hanging="288"/>
        <w:contextualSpacing/>
      </w:pPr>
      <w:r w:rsidRPr="000D55C9">
        <w:t>when relevant, deliver a return on investment for public corporations.</w:t>
      </w:r>
    </w:p>
    <w:p w14:paraId="7EE1550E" w14:textId="77777777" w:rsidR="000D55C9" w:rsidRPr="000D55C9" w:rsidRDefault="000D55C9" w:rsidP="00E82650">
      <w:r w:rsidRPr="000D55C9">
        <w:t>Financial sustainability evaluation involves the assessment of both corporate and financial performance. Corporate performance is about the efficiency and effectiveness of service delivery within financial capacity and cost minimisation. It is assessed by key performance indicators and measures, reviews and audits. Financial performance is the financial result of corporate performance and is measured by financial performance indicators.</w:t>
      </w:r>
    </w:p>
    <w:p w14:paraId="2589059B" w14:textId="77777777" w:rsidR="000D55C9" w:rsidRPr="000D55C9" w:rsidRDefault="000D55C9" w:rsidP="000D55C9">
      <w:pPr>
        <w:spacing w:before="120" w:after="120" w:line="240" w:lineRule="atLeast"/>
        <w:rPr>
          <w:szCs w:val="20"/>
        </w:rPr>
      </w:pPr>
      <w:r w:rsidRPr="000D55C9">
        <w:rPr>
          <w:szCs w:val="20"/>
        </w:rPr>
        <w:t>Financial sustainability is the capacity to fund all operating expenditures from operating revenue. In addition, for most public corporations, it includes the capacity to meet capital replacement requirements. Hence, the management of capital and long</w:t>
      </w:r>
      <w:r w:rsidRPr="000D55C9">
        <w:rPr>
          <w:szCs w:val="20"/>
        </w:rPr>
        <w:noBreakHyphen/>
        <w:t>term assets and liabilities is an important component of financial sustainability, which includes:</w:t>
      </w:r>
    </w:p>
    <w:p w14:paraId="14A8C72E" w14:textId="77777777" w:rsidR="000D55C9" w:rsidRPr="000D55C9" w:rsidRDefault="000D55C9" w:rsidP="00CC0CB1">
      <w:pPr>
        <w:pStyle w:val="Bullet1"/>
      </w:pPr>
      <w:r w:rsidRPr="000D55C9">
        <w:t>the maintenance of existing assets to ensure required service levels are achieved and their expected economic life is maximised unless there is a substantive reason not to; and</w:t>
      </w:r>
    </w:p>
    <w:p w14:paraId="29EDE835" w14:textId="77777777" w:rsidR="000D55C9" w:rsidRPr="000D55C9" w:rsidRDefault="000D55C9" w:rsidP="00CC0CB1">
      <w:pPr>
        <w:pStyle w:val="Bullet1"/>
      </w:pPr>
      <w:r w:rsidRPr="000D55C9">
        <w:t>timely submissions, consistent with the Agency’s long-term plan and strategy, to the appropriate budget funding authority for new or replacement assets to sustain or expand services.</w:t>
      </w:r>
    </w:p>
    <w:p w14:paraId="2F94143D" w14:textId="77777777" w:rsidR="000D55C9" w:rsidRPr="000D55C9" w:rsidRDefault="000D55C9" w:rsidP="000D55C9">
      <w:pPr>
        <w:spacing w:before="120" w:after="120" w:line="240" w:lineRule="atLeast"/>
        <w:rPr>
          <w:szCs w:val="20"/>
        </w:rPr>
      </w:pPr>
      <w:r w:rsidRPr="000D55C9">
        <w:rPr>
          <w:szCs w:val="20"/>
        </w:rPr>
        <w:t>In certain circumstances, the expected economic life of assets cannot be maximised. For example, when the Agency is restructuring and/or its role and functions are changing. Further, for some Agencies with cultural activities or significant community service type obligations, government policy decisions may also limit their ability to fund capital replacement requirements from operating revenues.</w:t>
      </w:r>
    </w:p>
    <w:p w14:paraId="5ED9291F" w14:textId="77777777" w:rsidR="000D55C9" w:rsidRPr="000D55C9" w:rsidRDefault="000D55C9" w:rsidP="000D55C9">
      <w:pPr>
        <w:spacing w:before="120" w:after="120" w:line="240" w:lineRule="atLeast"/>
        <w:rPr>
          <w:szCs w:val="20"/>
        </w:rPr>
      </w:pPr>
      <w:r w:rsidRPr="000D55C9">
        <w:rPr>
          <w:szCs w:val="20"/>
        </w:rPr>
        <w:t xml:space="preserve">Agencies need to consider a range of policy options to attain the optimum revenue and expenditure balance, such as adjusting fees and charges, containing costs, increasing productivity and reshaping product and/or service offerings. </w:t>
      </w:r>
    </w:p>
    <w:p w14:paraId="4C0B769C" w14:textId="77777777" w:rsidR="000D55C9" w:rsidRPr="000D55C9" w:rsidRDefault="000D55C9" w:rsidP="000D55C9">
      <w:pPr>
        <w:spacing w:before="120" w:after="120" w:line="240" w:lineRule="atLeast"/>
        <w:rPr>
          <w:szCs w:val="20"/>
        </w:rPr>
      </w:pPr>
      <w:r w:rsidRPr="000D55C9">
        <w:rPr>
          <w:szCs w:val="20"/>
        </w:rPr>
        <w:t>All Agencies have the ability to minimise cost. Some suggested strategies such as using market</w:t>
      </w:r>
      <w:r w:rsidRPr="000D55C9">
        <w:rPr>
          <w:szCs w:val="20"/>
        </w:rPr>
        <w:noBreakHyphen/>
        <w:t xml:space="preserve">based solutions are included in the ‘Corporate Plan’ section of this guidance. </w:t>
      </w:r>
    </w:p>
    <w:p w14:paraId="6ED20B2C" w14:textId="77777777" w:rsidR="000D55C9" w:rsidRPr="000D55C9" w:rsidRDefault="000D55C9" w:rsidP="000D55C9">
      <w:pPr>
        <w:spacing w:before="120" w:after="120" w:line="240" w:lineRule="atLeast"/>
        <w:rPr>
          <w:szCs w:val="20"/>
        </w:rPr>
      </w:pPr>
      <w:r w:rsidRPr="000D55C9">
        <w:rPr>
          <w:szCs w:val="20"/>
        </w:rPr>
        <w:t>In addition, DTF conducts Cost control and efficiency reviews designed to deliver practical options for improving value for money in the delivery of services, which can further assist Agencies in this area.</w:t>
      </w:r>
    </w:p>
    <w:p w14:paraId="0B038249" w14:textId="77777777" w:rsidR="000D55C9" w:rsidRPr="000D55C9" w:rsidRDefault="000D55C9" w:rsidP="00CC0CB1">
      <w:pPr>
        <w:pStyle w:val="Heading3"/>
      </w:pPr>
      <w:r w:rsidRPr="000D55C9">
        <w:t>Different government sectors</w:t>
      </w:r>
    </w:p>
    <w:p w14:paraId="20A9E232" w14:textId="77777777" w:rsidR="000D55C9" w:rsidRPr="000D55C9" w:rsidRDefault="000D55C9" w:rsidP="000D55C9">
      <w:r w:rsidRPr="000D55C9">
        <w:t>Agencies across the different sectors of Government have differing accountability and funding models, depending on their institutional classification and overall objectives. There are three institutional sectors of Government recognised in relation to financial reporting by Agencies under Australian Accounting Standards: public non</w:t>
      </w:r>
      <w:r w:rsidRPr="000D55C9">
        <w:noBreakHyphen/>
        <w:t>financial corporations (PNFC), public financial corporations (PFC), and general government sector agencies.</w:t>
      </w:r>
      <w:r w:rsidRPr="000D55C9">
        <w:rPr>
          <w:vertAlign w:val="superscript"/>
        </w:rPr>
        <w:footnoteReference w:id="62"/>
      </w:r>
    </w:p>
    <w:p w14:paraId="30574A11" w14:textId="77777777" w:rsidR="000D55C9" w:rsidRPr="000D55C9" w:rsidRDefault="000D55C9" w:rsidP="00E82650">
      <w:r w:rsidRPr="000D55C9">
        <w:lastRenderedPageBreak/>
        <w:t>Given the different functions, objectives and funding arrangements of Agencies in each of the abovementioned sectors, different governance arrangements and accountability models apply. The Government has an arm’s length relationship with public corporations, has expectations for them to operate on a commercial basis, and appoints boards of governance (independent from management) to oversee these Agencies. The Government has a relatively close relationship with general government sector Agencies due to its provision of funding, departmental</w:t>
      </w:r>
      <w:r w:rsidRPr="000D55C9">
        <w:noBreakHyphen/>
        <w:t>portfolio support, and their contribution to the State’s fiscal objectives.</w:t>
      </w:r>
    </w:p>
    <w:p w14:paraId="1FC146F8" w14:textId="30DE5ACD" w:rsidR="000D55C9" w:rsidRPr="000D55C9" w:rsidRDefault="000D55C9" w:rsidP="00CC0CB1">
      <w:pPr>
        <w:pStyle w:val="Heading4"/>
        <w:rPr>
          <w:shd w:val="clear" w:color="auto" w:fill="FFFFFF"/>
        </w:rPr>
      </w:pPr>
      <w:r w:rsidRPr="000D55C9">
        <w:rPr>
          <w:shd w:val="clear" w:color="auto" w:fill="FFFFFF"/>
        </w:rPr>
        <w:t xml:space="preserve">General government sector </w:t>
      </w:r>
      <w:r w:rsidR="00E82650" w:rsidRPr="000D55C9">
        <w:t>agencies</w:t>
      </w:r>
      <w:r w:rsidR="00E82650" w:rsidRPr="000D55C9">
        <w:rPr>
          <w:shd w:val="clear" w:color="auto" w:fill="FFFFFF"/>
        </w:rPr>
        <w:t xml:space="preserve"> </w:t>
      </w:r>
    </w:p>
    <w:p w14:paraId="54CC54EF" w14:textId="1F64FDB3" w:rsidR="000D55C9" w:rsidRPr="000D55C9" w:rsidRDefault="000D55C9" w:rsidP="000D55C9">
      <w:r w:rsidRPr="000D55C9">
        <w:rPr>
          <w:b/>
        </w:rPr>
        <w:t xml:space="preserve">General government sector </w:t>
      </w:r>
      <w:r w:rsidR="00E82650" w:rsidRPr="000D55C9">
        <w:rPr>
          <w:b/>
        </w:rPr>
        <w:t xml:space="preserve">agencies </w:t>
      </w:r>
      <w:r w:rsidRPr="000D55C9">
        <w:t>(refer to glossary for definition) are listed in the Controlled Entities Note in the State’s Annual Financial Report.</w:t>
      </w:r>
    </w:p>
    <w:tbl>
      <w:tblPr>
        <w:tblStyle w:val="Table151"/>
        <w:tblW w:w="0" w:type="auto"/>
        <w:tblLook w:val="04A0" w:firstRow="1" w:lastRow="0" w:firstColumn="1" w:lastColumn="0" w:noHBand="0" w:noVBand="1"/>
      </w:tblPr>
      <w:tblGrid>
        <w:gridCol w:w="9832"/>
      </w:tblGrid>
      <w:tr w:rsidR="000D55C9" w:rsidRPr="000D55C9" w14:paraId="2F27CE7A" w14:textId="77777777" w:rsidTr="00082C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6" w:type="dxa"/>
          </w:tcPr>
          <w:p w14:paraId="3DE3418C" w14:textId="77777777" w:rsidR="000D55C9" w:rsidRPr="00924EDE" w:rsidRDefault="000D55C9" w:rsidP="000D55C9">
            <w:r w:rsidRPr="003960F3">
              <w:t>A financially sustainable general government sector Agency is able to:</w:t>
            </w:r>
          </w:p>
          <w:p w14:paraId="525660D7" w14:textId="77777777" w:rsidR="000D55C9" w:rsidRPr="00924EDE" w:rsidRDefault="000D55C9" w:rsidP="000D55C9">
            <w:pPr>
              <w:numPr>
                <w:ilvl w:val="0"/>
                <w:numId w:val="1"/>
              </w:numPr>
              <w:spacing w:before="80" w:after="80"/>
            </w:pPr>
            <w:r w:rsidRPr="003960F3">
              <w:t>in the short</w:t>
            </w:r>
            <w:r w:rsidRPr="003960F3">
              <w:noBreakHyphen/>
              <w:t>term, finance its operating expenditure obligations; and</w:t>
            </w:r>
          </w:p>
          <w:p w14:paraId="56CDEECC" w14:textId="77777777" w:rsidR="000D55C9" w:rsidRPr="00924EDE" w:rsidRDefault="000D55C9" w:rsidP="000D55C9">
            <w:pPr>
              <w:numPr>
                <w:ilvl w:val="0"/>
                <w:numId w:val="1"/>
              </w:numPr>
              <w:spacing w:before="80" w:after="80"/>
            </w:pPr>
            <w:r w:rsidRPr="003960F3">
              <w:t xml:space="preserve">for the medium to longer term, maintain the existing capital base to a level that ensures their economic life is maximised unless there is substantive or policy reason not to. </w:t>
            </w:r>
          </w:p>
          <w:p w14:paraId="354EE805" w14:textId="77777777" w:rsidR="000D55C9" w:rsidRPr="00924EDE" w:rsidRDefault="000D55C9" w:rsidP="000D55C9">
            <w:r w:rsidRPr="003960F3">
              <w:t xml:space="preserve">For the replacement of capital and the expansion of the capital base, the Accountable Officer provides support to the Portfolio Department to undertake portfolio budgeting and planning based on the capital allocation model, including advice to the Responsible Minister and the Portfolio Department about portfolio specific risks, particularly when they will likely lead to future funding requests. </w:t>
            </w:r>
          </w:p>
        </w:tc>
      </w:tr>
    </w:tbl>
    <w:p w14:paraId="2528DCD0" w14:textId="77777777" w:rsidR="000D55C9" w:rsidRPr="000D55C9" w:rsidRDefault="000D55C9" w:rsidP="000D55C9">
      <w:pPr>
        <w:spacing w:before="0" w:after="0" w:line="120" w:lineRule="atLeast"/>
        <w:rPr>
          <w:sz w:val="12"/>
        </w:rPr>
      </w:pPr>
    </w:p>
    <w:p w14:paraId="2BABDDC6" w14:textId="77777777" w:rsidR="000D55C9" w:rsidRPr="000D55C9" w:rsidRDefault="000D55C9" w:rsidP="00E82650">
      <w:r w:rsidRPr="000D55C9">
        <w:t xml:space="preserve">General government sector Agencies derive the majority of their funding from the Consolidated Fund. The Government approves general government sector asset investment decisions. Funding for these decisions is typically provided through depreciation equivalent revenue (a balance sheet receivable to a Portfolio Department), or through appropriations as a capital contribution to increase its net asset base. Only in exceptional circumstances, for example finance lease arrangements, are general government sector Agencies expected to carry long term borrowings on their balance sheets. In such instances, Agencies are expected to cover ongoing loan repayments and financing costs as part of their budget funding. </w:t>
      </w:r>
    </w:p>
    <w:p w14:paraId="7B67AFF8" w14:textId="77777777" w:rsidR="000D55C9" w:rsidRPr="000D55C9" w:rsidRDefault="000D55C9" w:rsidP="00E82650">
      <w:r w:rsidRPr="000D55C9">
        <w:t>Financial sustainability does not necessarily require a general government sector Agency to set and maintain revenues at a level to cover its non</w:t>
      </w:r>
      <w:r w:rsidRPr="000D55C9">
        <w:noBreakHyphen/>
        <w:t>cash annual depreciation charge (and thereby accumulate capacity to replace non</w:t>
      </w:r>
      <w:r w:rsidRPr="000D55C9">
        <w:noBreakHyphen/>
        <w:t>financial assets), particularly given the high value of many public service delivery assets. A general government sector Agency is expected to manage and maintain its existing assets to deliver the agreed service levels and to maximise their economic life.</w:t>
      </w:r>
    </w:p>
    <w:p w14:paraId="53D6C264" w14:textId="77777777" w:rsidR="000D55C9" w:rsidRPr="000D55C9" w:rsidRDefault="000D55C9" w:rsidP="00E82650">
      <w:pPr>
        <w:rPr>
          <w:u w:val="single"/>
        </w:rPr>
      </w:pPr>
      <w:r w:rsidRPr="000D55C9">
        <w:t>The departmental funding model governs the setting and management of Portfolio Departments’ global appropriations and the circumstances under which Portfolio Departments can potentially receive additional funding. Under the departmental funding model, the Government determines the outputs to be delivered by a Department and portfolio general government sector Agencies and the price for each of the outputs for a given level of quantity, quality and timeliness. Portfolio Departments are responsible for ensuring the delivery of these agreed outputs within the Government’s desired parameters and managing all associated costs.</w:t>
      </w:r>
    </w:p>
    <w:p w14:paraId="70EC558F" w14:textId="77777777" w:rsidR="000D55C9" w:rsidRPr="000D55C9" w:rsidRDefault="000D55C9" w:rsidP="00E82650">
      <w:r w:rsidRPr="000D55C9">
        <w:t>In the context of the departmental funding model and supporting the Portfolio Department to undertake portfolio planning and budgeting, expectations of the Accountable Officer of general government sector Agencies include:</w:t>
      </w:r>
    </w:p>
    <w:p w14:paraId="359B49FC" w14:textId="77777777" w:rsidR="000D55C9" w:rsidRPr="000D55C9" w:rsidRDefault="000D55C9" w:rsidP="00CC0CB1">
      <w:pPr>
        <w:pStyle w:val="Bullet1"/>
      </w:pPr>
      <w:r w:rsidRPr="000D55C9">
        <w:t>input to corporate and long</w:t>
      </w:r>
      <w:r w:rsidRPr="000D55C9">
        <w:noBreakHyphen/>
        <w:t>term portfolio plans;</w:t>
      </w:r>
    </w:p>
    <w:p w14:paraId="217205EA" w14:textId="77777777" w:rsidR="000D55C9" w:rsidRPr="000D55C9" w:rsidRDefault="000D55C9" w:rsidP="00CC0CB1">
      <w:pPr>
        <w:pStyle w:val="Bullet1"/>
      </w:pPr>
      <w:r w:rsidRPr="000D55C9">
        <w:t>submissions to the relevant Cabinet Committee for budget funding, and for reporting on the use of budget funding; and</w:t>
      </w:r>
    </w:p>
    <w:p w14:paraId="2E59B2C8" w14:textId="77777777" w:rsidR="000D55C9" w:rsidRPr="000D55C9" w:rsidRDefault="000D55C9" w:rsidP="00CC0CB1">
      <w:pPr>
        <w:pStyle w:val="Bullet1"/>
      </w:pPr>
      <w:r w:rsidRPr="000D55C9">
        <w:t>advice to the Responsible Minister and the Portfolio Department about portfolio specific risks, particularly when they are likely to lead to future funding requests.</w:t>
      </w:r>
    </w:p>
    <w:p w14:paraId="422C7527" w14:textId="77777777" w:rsidR="000D55C9" w:rsidRPr="000D55C9" w:rsidRDefault="000D55C9" w:rsidP="00E82650">
      <w:r w:rsidRPr="000D55C9">
        <w:t>The Responsible Minister, or the Government more broadly, may make a decision to not fund an Agency to the level requested, and at this time, the Accountable Officer of the general government sector Agency should advise the Minister as to the consequences of this decision.</w:t>
      </w:r>
    </w:p>
    <w:p w14:paraId="5102DC0C" w14:textId="77777777" w:rsidR="00E82650" w:rsidRDefault="00E82650">
      <w:pPr>
        <w:spacing w:before="0" w:after="200" w:line="276" w:lineRule="auto"/>
        <w:rPr>
          <w:rFonts w:cs="Times New Roman"/>
          <w:b/>
          <w:color w:val="595959"/>
          <w:sz w:val="22"/>
          <w:szCs w:val="20"/>
        </w:rPr>
      </w:pPr>
      <w:r>
        <w:rPr>
          <w:rFonts w:cs="Times New Roman"/>
          <w:b/>
          <w:color w:val="595959"/>
          <w:sz w:val="22"/>
          <w:szCs w:val="20"/>
        </w:rPr>
        <w:br w:type="page"/>
      </w:r>
    </w:p>
    <w:p w14:paraId="3E97327C" w14:textId="00658097" w:rsidR="000D55C9" w:rsidRPr="000D55C9" w:rsidRDefault="000D55C9" w:rsidP="00CC0CB1">
      <w:pPr>
        <w:pStyle w:val="Heading4"/>
      </w:pPr>
      <w:r w:rsidRPr="000D55C9">
        <w:lastRenderedPageBreak/>
        <w:t>Public corporations (i.e. public non</w:t>
      </w:r>
      <w:r w:rsidRPr="000D55C9">
        <w:noBreakHyphen/>
        <w:t>financial and public financial corporations)</w:t>
      </w:r>
    </w:p>
    <w:tbl>
      <w:tblPr>
        <w:tblStyle w:val="Table151"/>
        <w:tblW w:w="0" w:type="auto"/>
        <w:tblLook w:val="04A0" w:firstRow="1" w:lastRow="0" w:firstColumn="1" w:lastColumn="0" w:noHBand="0" w:noVBand="1"/>
      </w:tblPr>
      <w:tblGrid>
        <w:gridCol w:w="9832"/>
      </w:tblGrid>
      <w:tr w:rsidR="000D55C9" w:rsidRPr="000D55C9" w14:paraId="6AAA1FFA" w14:textId="77777777" w:rsidTr="00082C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6" w:type="dxa"/>
          </w:tcPr>
          <w:p w14:paraId="4978864E" w14:textId="77777777" w:rsidR="000D55C9" w:rsidRPr="00924EDE" w:rsidRDefault="000D55C9" w:rsidP="000D55C9">
            <w:r w:rsidRPr="003960F3">
              <w:t>A financially sustainable public corporation is able to:</w:t>
            </w:r>
          </w:p>
          <w:p w14:paraId="2FC52E36" w14:textId="77777777" w:rsidR="000D55C9" w:rsidRPr="00924EDE" w:rsidRDefault="000D55C9" w:rsidP="000D55C9">
            <w:pPr>
              <w:numPr>
                <w:ilvl w:val="0"/>
                <w:numId w:val="1"/>
              </w:numPr>
              <w:spacing w:before="80" w:after="80"/>
              <w:ind w:left="288" w:hanging="288"/>
              <w:contextualSpacing/>
            </w:pPr>
            <w:r w:rsidRPr="003960F3">
              <w:t>in the short</w:t>
            </w:r>
            <w:r w:rsidRPr="003960F3">
              <w:noBreakHyphen/>
              <w:t>term, finance its operating and financing expenditure obligations; and</w:t>
            </w:r>
          </w:p>
          <w:p w14:paraId="3A8A9938" w14:textId="77777777" w:rsidR="000D55C9" w:rsidRPr="00924EDE" w:rsidRDefault="000D55C9" w:rsidP="000D55C9">
            <w:pPr>
              <w:numPr>
                <w:ilvl w:val="0"/>
                <w:numId w:val="1"/>
              </w:numPr>
              <w:spacing w:before="80" w:after="80"/>
              <w:ind w:left="288" w:hanging="288"/>
              <w:contextualSpacing/>
            </w:pPr>
            <w:r w:rsidRPr="003960F3">
              <w:t>for the medium to longer term:</w:t>
            </w:r>
          </w:p>
          <w:p w14:paraId="7224DDBF" w14:textId="77777777" w:rsidR="000D55C9" w:rsidRPr="00924EDE" w:rsidRDefault="000D55C9" w:rsidP="000D55C9">
            <w:pPr>
              <w:numPr>
                <w:ilvl w:val="1"/>
                <w:numId w:val="1"/>
              </w:numPr>
              <w:spacing w:before="80" w:after="80"/>
              <w:ind w:left="572"/>
            </w:pPr>
            <w:r w:rsidRPr="003960F3">
              <w:t xml:space="preserve">maintain the existing capital base to a level that ensures their economic life is maximised unless there is substantive or policy reason not to; and </w:t>
            </w:r>
          </w:p>
          <w:p w14:paraId="0B5BD184" w14:textId="77777777" w:rsidR="000D55C9" w:rsidRPr="00924EDE" w:rsidRDefault="000D55C9" w:rsidP="000D55C9">
            <w:pPr>
              <w:numPr>
                <w:ilvl w:val="1"/>
                <w:numId w:val="1"/>
              </w:numPr>
              <w:spacing w:before="80" w:after="80"/>
              <w:ind w:left="572"/>
            </w:pPr>
            <w:r w:rsidRPr="003960F3">
              <w:t xml:space="preserve">replace the existing capital base, when this is the agreed governance and capital arrangements with Government. </w:t>
            </w:r>
          </w:p>
          <w:p w14:paraId="5C81626F" w14:textId="77777777" w:rsidR="000D55C9" w:rsidRPr="00924EDE" w:rsidRDefault="000D55C9" w:rsidP="000D55C9">
            <w:r w:rsidRPr="003960F3">
              <w:t>To expand the existing capital base, the Accountable Officer advises Government through its corporate and strategic planning process of the proposed expansion, financing options and a request for government investment.</w:t>
            </w:r>
          </w:p>
        </w:tc>
      </w:tr>
    </w:tbl>
    <w:p w14:paraId="1B99A9FE" w14:textId="77777777" w:rsidR="000D55C9" w:rsidRPr="000D55C9" w:rsidRDefault="000D55C9" w:rsidP="000D55C9">
      <w:pPr>
        <w:spacing w:before="0" w:after="0" w:line="120" w:lineRule="atLeast"/>
        <w:rPr>
          <w:sz w:val="12"/>
        </w:rPr>
      </w:pPr>
    </w:p>
    <w:p w14:paraId="711B2586" w14:textId="77777777" w:rsidR="000D55C9" w:rsidRPr="000D55C9" w:rsidRDefault="000D55C9" w:rsidP="000D55C9">
      <w:r w:rsidRPr="000D55C9">
        <w:t>Public corporations are typically funded through own</w:t>
      </w:r>
      <w:r w:rsidRPr="000D55C9">
        <w:noBreakHyphen/>
        <w:t xml:space="preserve">sourced revenue, and the boards of these Agencies are responsible for overseeing the Agency’s delivery of services within the available funds. For a PNFC, long term financial sustainability is the capacity to fund all operating expenditures and capital replacement requirements from operating revenues. In the short term, financial sustainability focuses on the capacity to fund operating expenditures and to achieve an appropriate return on investment. </w:t>
      </w:r>
    </w:p>
    <w:p w14:paraId="397B84FC" w14:textId="4219419F" w:rsidR="000D55C9" w:rsidRPr="000D55C9" w:rsidRDefault="000D55C9" w:rsidP="000D55C9">
      <w:r w:rsidRPr="000D55C9">
        <w:t>In the absence of contrary government policy decisions such as regulated pricing or mechanisms that limit an Agency’s ability to raise sufficient revenue, long term financial sustainability includes the</w:t>
      </w:r>
      <w:r w:rsidRPr="000D55C9">
        <w:rPr>
          <w:i/>
        </w:rPr>
        <w:t xml:space="preserve"> maintenance and replacement </w:t>
      </w:r>
      <w:r w:rsidRPr="000D55C9">
        <w:t>of the existing capital base</w:t>
      </w:r>
      <w:r w:rsidR="00995ED6">
        <w:t xml:space="preserve">. </w:t>
      </w:r>
    </w:p>
    <w:p w14:paraId="52A98266" w14:textId="77777777" w:rsidR="000D55C9" w:rsidRPr="000D55C9" w:rsidRDefault="000D55C9" w:rsidP="000D55C9">
      <w:r w:rsidRPr="000D55C9">
        <w:t xml:space="preserve">Regarding the </w:t>
      </w:r>
      <w:r w:rsidRPr="000D55C9">
        <w:rPr>
          <w:i/>
        </w:rPr>
        <w:t xml:space="preserve">expansion </w:t>
      </w:r>
      <w:r w:rsidRPr="000D55C9">
        <w:t>of the existing capital base, the Responsible Body should advise Government through its corporate and strategic plans how this expansion will be financed, along with a request for additional government investment (including equity injection). The Government, as owner of the business, should decide if further investment in the business should be pursued in line with government objectives and priorities. In many cases, additional borrowings are sufficient to allow for an expanded capital base.</w:t>
      </w:r>
    </w:p>
    <w:p w14:paraId="4BFC6E80" w14:textId="77777777" w:rsidR="000D55C9" w:rsidRPr="000D55C9" w:rsidRDefault="000D55C9" w:rsidP="00CC0CB1">
      <w:pPr>
        <w:pStyle w:val="Heading3"/>
      </w:pPr>
      <w:r w:rsidRPr="000D55C9">
        <w:t>Rolling medium</w:t>
      </w:r>
      <w:r w:rsidRPr="000D55C9">
        <w:noBreakHyphen/>
        <w:t>term financial plans</w:t>
      </w:r>
    </w:p>
    <w:p w14:paraId="2E281079" w14:textId="77777777" w:rsidR="000D55C9" w:rsidRPr="000D55C9" w:rsidRDefault="000D55C9" w:rsidP="000D55C9">
      <w:r w:rsidRPr="000D55C9">
        <w:t>The medium</w:t>
      </w:r>
      <w:r w:rsidRPr="000D55C9">
        <w:noBreakHyphen/>
        <w:t>term financial plan sets out the Agency’s approach to managing its finances to meet the agreed business objectives and priorities. The plan is an internal document developed as part of the Agency’s medium</w:t>
      </w:r>
      <w:r w:rsidRPr="000D55C9">
        <w:noBreakHyphen/>
        <w:t>term planning process and aligns with the Corporate Plan. In developing the plan, Agencies should consider governance, regulatory and funding arrangements.</w:t>
      </w:r>
    </w:p>
    <w:p w14:paraId="520CC1FB" w14:textId="77777777" w:rsidR="000D55C9" w:rsidRPr="000D55C9" w:rsidRDefault="000D55C9" w:rsidP="000D55C9">
      <w:r w:rsidRPr="000D55C9">
        <w:t>The main objectives of the medium</w:t>
      </w:r>
      <w:r w:rsidRPr="000D55C9">
        <w:noBreakHyphen/>
        <w:t>term financial plan are to:</w:t>
      </w:r>
    </w:p>
    <w:p w14:paraId="4E7A93B9" w14:textId="77777777" w:rsidR="000D55C9" w:rsidRPr="000D55C9" w:rsidRDefault="000D55C9" w:rsidP="000D55C9">
      <w:pPr>
        <w:numPr>
          <w:ilvl w:val="0"/>
          <w:numId w:val="1"/>
        </w:numPr>
        <w:spacing w:before="80" w:after="80"/>
      </w:pPr>
      <w:r w:rsidRPr="000D55C9">
        <w:t>explain the financial context in which the Agency is to work over the medium</w:t>
      </w:r>
      <w:r w:rsidRPr="000D55C9">
        <w:noBreakHyphen/>
        <w:t>term;</w:t>
      </w:r>
    </w:p>
    <w:p w14:paraId="4F81FC5E" w14:textId="77777777" w:rsidR="000D55C9" w:rsidRPr="000D55C9" w:rsidRDefault="000D55C9" w:rsidP="000D55C9">
      <w:pPr>
        <w:numPr>
          <w:ilvl w:val="0"/>
          <w:numId w:val="1"/>
        </w:numPr>
        <w:spacing w:before="80" w:after="80"/>
      </w:pPr>
      <w:r w:rsidRPr="000D55C9">
        <w:t>identify the financial resources needed to deliver the Agency’s medium to longer term business objectives and priorities;</w:t>
      </w:r>
    </w:p>
    <w:p w14:paraId="48BB8C06" w14:textId="77777777" w:rsidR="000D55C9" w:rsidRPr="000D55C9" w:rsidRDefault="000D55C9" w:rsidP="000D55C9">
      <w:pPr>
        <w:numPr>
          <w:ilvl w:val="0"/>
          <w:numId w:val="1"/>
        </w:numPr>
        <w:spacing w:before="80" w:after="80"/>
      </w:pPr>
      <w:r w:rsidRPr="000D55C9">
        <w:t>provide a medium</w:t>
      </w:r>
      <w:r w:rsidRPr="000D55C9">
        <w:noBreakHyphen/>
        <w:t>term forecast of resources and expenditure; and</w:t>
      </w:r>
    </w:p>
    <w:p w14:paraId="5DF78EE8" w14:textId="77777777" w:rsidR="000D55C9" w:rsidRPr="000D55C9" w:rsidRDefault="000D55C9" w:rsidP="000D55C9">
      <w:pPr>
        <w:numPr>
          <w:ilvl w:val="0"/>
          <w:numId w:val="1"/>
        </w:numPr>
        <w:spacing w:before="80" w:after="80"/>
      </w:pPr>
      <w:r w:rsidRPr="000D55C9">
        <w:t>achieve a stable and sustainable financial position capable of withstanding financial pressures and avoiding deficit spending.</w:t>
      </w:r>
    </w:p>
    <w:p w14:paraId="7D32341E" w14:textId="77777777" w:rsidR="000D55C9" w:rsidRPr="000D55C9" w:rsidRDefault="000D55C9" w:rsidP="000D55C9">
      <w:pPr>
        <w:spacing w:before="120" w:after="120" w:line="240" w:lineRule="atLeast"/>
        <w:rPr>
          <w:szCs w:val="20"/>
        </w:rPr>
      </w:pPr>
      <w:r w:rsidRPr="000D55C9">
        <w:rPr>
          <w:szCs w:val="20"/>
        </w:rPr>
        <w:t xml:space="preserve">The plan attempts to match future predicted resources and expenditure to meet the Agency’s business objectives and priorities, identifies potential gaps, outlines the financing requirements including borrowing limits and whether borrowings are new or refinanced and other financial goals (e.g. capital repayments, dividends), and provides the financial framework for the next three to four years. </w:t>
      </w:r>
    </w:p>
    <w:p w14:paraId="0A065AF0" w14:textId="77777777" w:rsidR="000D55C9" w:rsidRPr="000D55C9" w:rsidRDefault="000D55C9" w:rsidP="000D55C9">
      <w:pPr>
        <w:spacing w:before="120" w:after="120" w:line="240" w:lineRule="atLeast"/>
        <w:rPr>
          <w:szCs w:val="20"/>
        </w:rPr>
      </w:pPr>
      <w:r w:rsidRPr="000D55C9">
        <w:rPr>
          <w:szCs w:val="20"/>
        </w:rPr>
        <w:t>Depending on the nature of the Agency’s business and/or change in function or service delivery, the Agency may need to develop longer</w:t>
      </w:r>
      <w:r w:rsidRPr="000D55C9">
        <w:rPr>
          <w:szCs w:val="20"/>
        </w:rPr>
        <w:noBreakHyphen/>
        <w:t>term financial plans (e.g. if it has long</w:t>
      </w:r>
      <w:r w:rsidRPr="000D55C9">
        <w:rPr>
          <w:szCs w:val="20"/>
        </w:rPr>
        <w:noBreakHyphen/>
        <w:t>lived assets or its service delivery model is changing).</w:t>
      </w:r>
    </w:p>
    <w:p w14:paraId="30DB5C5D" w14:textId="77777777" w:rsidR="000D55C9" w:rsidRPr="000D55C9" w:rsidRDefault="000D55C9" w:rsidP="000D55C9">
      <w:pPr>
        <w:spacing w:before="120" w:after="120" w:line="240" w:lineRule="atLeast"/>
        <w:rPr>
          <w:szCs w:val="20"/>
        </w:rPr>
      </w:pPr>
      <w:r w:rsidRPr="000D55C9">
        <w:rPr>
          <w:szCs w:val="20"/>
        </w:rPr>
        <w:t>The plan is a tool through which an Agency can monitor, manage and resolve issues affecting its financial sustainability. Monitoring the plan requires matching reality against assumptions, evaluating the impact of changes to risk status, and making necessary amendments as more information becomes available or circumstances change.</w:t>
      </w:r>
    </w:p>
    <w:p w14:paraId="6A7337F2" w14:textId="77777777" w:rsidR="000D55C9" w:rsidRPr="000D55C9" w:rsidRDefault="000D55C9" w:rsidP="000D55C9">
      <w:pPr>
        <w:spacing w:before="120" w:after="120" w:line="240" w:lineRule="atLeast"/>
        <w:rPr>
          <w:szCs w:val="20"/>
        </w:rPr>
      </w:pPr>
      <w:r w:rsidRPr="000D55C9">
        <w:rPr>
          <w:szCs w:val="20"/>
        </w:rPr>
        <w:t>For Portfolio Departments and Agencies funded by the State Budget, the plan should reflect the budget and forward estimates articulated in the Budget (i.e. the same assumptions regarding wages, inflation).</w:t>
      </w:r>
    </w:p>
    <w:p w14:paraId="613628C9" w14:textId="77777777" w:rsidR="000D55C9" w:rsidRPr="000D55C9" w:rsidRDefault="000D55C9" w:rsidP="000D55C9">
      <w:pPr>
        <w:spacing w:before="120" w:after="120" w:line="240" w:lineRule="atLeast"/>
        <w:rPr>
          <w:szCs w:val="20"/>
        </w:rPr>
      </w:pPr>
      <w:r w:rsidRPr="000D55C9">
        <w:rPr>
          <w:szCs w:val="20"/>
        </w:rPr>
        <w:lastRenderedPageBreak/>
        <w:t>The governance, regulatory and funding arrangements will dictate the levers available to each Agency in managing its finances. This then determines the scope of the plan. For example, some Agencies may have greater scope to raise revenue than others. The following are suggested areas for inclusion in the plan:</w:t>
      </w:r>
    </w:p>
    <w:p w14:paraId="75C79A1B" w14:textId="77777777" w:rsidR="000D55C9" w:rsidRPr="000D55C9" w:rsidRDefault="000D55C9" w:rsidP="000D55C9">
      <w:pPr>
        <w:numPr>
          <w:ilvl w:val="0"/>
          <w:numId w:val="1"/>
        </w:numPr>
        <w:spacing w:before="80" w:after="80"/>
      </w:pPr>
      <w:r w:rsidRPr="000D55C9">
        <w:rPr>
          <w:b/>
        </w:rPr>
        <w:t>Funding Strategy</w:t>
      </w:r>
      <w:r w:rsidRPr="000D55C9">
        <w:t xml:space="preserve"> – this sets out where funding will come from, when it comes from a specific source, and its use.</w:t>
      </w:r>
    </w:p>
    <w:p w14:paraId="056FFE04" w14:textId="77777777" w:rsidR="000D55C9" w:rsidRPr="000D55C9" w:rsidRDefault="000D55C9" w:rsidP="000D55C9">
      <w:pPr>
        <w:numPr>
          <w:ilvl w:val="0"/>
          <w:numId w:val="1"/>
        </w:numPr>
        <w:spacing w:before="80" w:after="80"/>
      </w:pPr>
      <w:r w:rsidRPr="000D55C9">
        <w:rPr>
          <w:b/>
        </w:rPr>
        <w:t>Capital Strategy</w:t>
      </w:r>
      <w:r w:rsidRPr="000D55C9">
        <w:t xml:space="preserve"> – this sets out the strategic direction for the Agency’s capital management and investment plans, and is integral to the medium</w:t>
      </w:r>
      <w:r w:rsidRPr="000D55C9">
        <w:noBreakHyphen/>
        <w:t xml:space="preserve">long term planning and budget setting process. It sets the principles for prioritising capital investment. Capital expenditure is defined as the purchase or enhancement of assets when the benefits last longer than the year of expenditure. The capital budget should support the overall objectives of the Agency and Government. </w:t>
      </w:r>
    </w:p>
    <w:p w14:paraId="34708AD6" w14:textId="15022EBA" w:rsidR="000D55C9" w:rsidRPr="000D55C9" w:rsidRDefault="000D55C9" w:rsidP="000D55C9">
      <w:pPr>
        <w:numPr>
          <w:ilvl w:val="0"/>
          <w:numId w:val="1"/>
        </w:numPr>
        <w:spacing w:before="80" w:after="80"/>
      </w:pPr>
      <w:r w:rsidRPr="000D55C9">
        <w:rPr>
          <w:b/>
        </w:rPr>
        <w:t>Treasury Management and Investment Management Strategy</w:t>
      </w:r>
      <w:r w:rsidRPr="000D55C9">
        <w:t xml:space="preserve"> – this covers the financing and investment strategy for the forthcoming financial years (refer to </w:t>
      </w:r>
      <w:hyperlink r:id="rId258" w:anchor="Direction_3_7_2" w:history="1">
        <w:r w:rsidRPr="000D55C9">
          <w:rPr>
            <w:color w:val="595959"/>
          </w:rPr>
          <w:t>Direction 3.7.2</w:t>
        </w:r>
      </w:hyperlink>
      <w:r w:rsidRPr="000D55C9">
        <w:t>).</w:t>
      </w:r>
    </w:p>
    <w:p w14:paraId="5C8B1419" w14:textId="0FC755DD" w:rsidR="000D55C9" w:rsidRPr="000D55C9" w:rsidRDefault="000D55C9" w:rsidP="000D55C9">
      <w:pPr>
        <w:numPr>
          <w:ilvl w:val="0"/>
          <w:numId w:val="1"/>
        </w:numPr>
        <w:spacing w:before="0" w:after="200" w:line="276" w:lineRule="auto"/>
        <w:rPr>
          <w:color w:val="4D4D4D"/>
          <w:sz w:val="24"/>
          <w:szCs w:val="28"/>
        </w:rPr>
      </w:pPr>
      <w:r w:rsidRPr="000D55C9">
        <w:rPr>
          <w:b/>
        </w:rPr>
        <w:t>Risk Management Strategy</w:t>
      </w:r>
      <w:r w:rsidRPr="000D55C9">
        <w:t xml:space="preserve"> – this identifies the key risks relating to the financial plan to support the delivery of organisational priorities and objectives (refer to </w:t>
      </w:r>
      <w:hyperlink r:id="rId259" w:anchor="Direction_3_7" w:history="1">
        <w:r w:rsidRPr="000D55C9">
          <w:rPr>
            <w:color w:val="595959"/>
          </w:rPr>
          <w:t>Direction 3.7</w:t>
        </w:r>
      </w:hyperlink>
      <w:r w:rsidRPr="000D55C9">
        <w:t>).</w:t>
      </w:r>
    </w:p>
    <w:p w14:paraId="5E8EF38C" w14:textId="77777777" w:rsidR="000D55C9" w:rsidRPr="000D55C9" w:rsidRDefault="000D55C9" w:rsidP="00CC0CB1">
      <w:pPr>
        <w:pStyle w:val="Heading3"/>
      </w:pPr>
      <w:r w:rsidRPr="000D55C9">
        <w:t>Rolling strategic medium</w:t>
      </w:r>
      <w:r w:rsidRPr="000D55C9">
        <w:noBreakHyphen/>
        <w:t>term cash flow projections</w:t>
      </w:r>
    </w:p>
    <w:p w14:paraId="2D22345A" w14:textId="77777777" w:rsidR="000D55C9" w:rsidRPr="000D55C9" w:rsidRDefault="000D55C9" w:rsidP="000D55C9">
      <w:r w:rsidRPr="000D55C9">
        <w:t>Cash flow projections indicate the likely future movement of cash in and out of an Agency and provide information on upcoming cash surpluses or shortages. For general government sector Agencies, these projections should align with the cash flows in the State Budget.</w:t>
      </w:r>
    </w:p>
    <w:p w14:paraId="143F2927" w14:textId="77777777" w:rsidR="000D55C9" w:rsidRPr="000D55C9" w:rsidRDefault="000D55C9" w:rsidP="000D55C9">
      <w:r w:rsidRPr="000D55C9">
        <w:t>Strategic cash flow projections are used to plan for significant cash flows and any contingencies. For example, new capital acquisitions or to identify the need to secure additional investment. Cash flow projections need to align and complement the medium</w:t>
      </w:r>
      <w:r w:rsidRPr="000D55C9">
        <w:noBreakHyphen/>
        <w:t>term financial plan.</w:t>
      </w:r>
    </w:p>
    <w:p w14:paraId="561A8972" w14:textId="77777777" w:rsidR="000D55C9" w:rsidRPr="000D55C9" w:rsidRDefault="000D55C9" w:rsidP="000D55C9">
      <w:r w:rsidRPr="000D55C9">
        <w:t>Strategic cash flow projections are different to short term tactical forecasts. Short term tactical forecasts are usually prepared monthly to provide detailed estimates of the cash flows expected or weekly operational forecasts to meet cash flow requirements.</w:t>
      </w:r>
    </w:p>
    <w:p w14:paraId="5317B0CE" w14:textId="77777777" w:rsidR="000D55C9" w:rsidRPr="000D55C9" w:rsidRDefault="000D55C9" w:rsidP="000D55C9">
      <w:r w:rsidRPr="000D55C9">
        <w:t>Depending on the nature of the Agency’s business and/or change in function or service delivery, the Agency may need to develop longer</w:t>
      </w:r>
      <w:r w:rsidRPr="000D55C9">
        <w:noBreakHyphen/>
        <w:t>term cash flow projections (e.g. if it has long</w:t>
      </w:r>
      <w:r w:rsidRPr="000D55C9">
        <w:noBreakHyphen/>
        <w:t>lived assets or its service delivery model is changing).</w:t>
      </w:r>
    </w:p>
    <w:p w14:paraId="05AE8554" w14:textId="77777777" w:rsidR="001C3C53" w:rsidRDefault="001C3C53" w:rsidP="003D04DB">
      <w:pPr>
        <w:rPr>
          <w:rFonts w:cstheme="minorHAnsi"/>
          <w:szCs w:val="20"/>
        </w:rPr>
      </w:pPr>
    </w:p>
    <w:p w14:paraId="133D88A3" w14:textId="77777777" w:rsidR="001C3C53" w:rsidRDefault="001C3C53" w:rsidP="003D04DB">
      <w:pPr>
        <w:rPr>
          <w:rFonts w:cstheme="minorHAnsi"/>
          <w:szCs w:val="20"/>
        </w:rPr>
        <w:sectPr w:rsidR="001C3C53" w:rsidSect="007F1A5E">
          <w:headerReference w:type="even" r:id="rId260"/>
          <w:headerReference w:type="default" r:id="rId261"/>
          <w:pgSz w:w="11906" w:h="16838"/>
          <w:pgMar w:top="1440" w:right="1008" w:bottom="1440" w:left="1008" w:header="706" w:footer="389" w:gutter="0"/>
          <w:cols w:space="708"/>
          <w:titlePg/>
          <w:docGrid w:linePitch="360"/>
        </w:sectPr>
      </w:pPr>
    </w:p>
    <w:p w14:paraId="3AAF93A1" w14:textId="77777777" w:rsidR="009408C9" w:rsidRDefault="009408C9" w:rsidP="00957C26">
      <w:pPr>
        <w:pStyle w:val="GuidanceTitle"/>
      </w:pPr>
      <w:bookmarkStart w:id="46" w:name="Guidance_4_2_1"/>
      <w:r>
        <w:lastRenderedPageBreak/>
        <w:t>Guidance</w:t>
      </w:r>
      <w:r w:rsidRPr="00C046C1">
        <w:t xml:space="preserve"> 4.2.</w:t>
      </w:r>
      <w:r>
        <w:t xml:space="preserve">1 </w:t>
      </w:r>
      <w:bookmarkEnd w:id="46"/>
      <w:r>
        <w:t>–</w:t>
      </w:r>
      <w:r w:rsidRPr="00C046C1">
        <w:t xml:space="preserve"> </w:t>
      </w:r>
      <w:r>
        <w:t>Acquisition of assets, goods and services</w:t>
      </w:r>
    </w:p>
    <w:tbl>
      <w:tblPr>
        <w:tblStyle w:val="Table12"/>
        <w:tblW w:w="9900" w:type="dxa"/>
        <w:tblLook w:val="0080" w:firstRow="0" w:lastRow="0" w:firstColumn="1" w:lastColumn="0" w:noHBand="0" w:noVBand="0"/>
      </w:tblPr>
      <w:tblGrid>
        <w:gridCol w:w="3119"/>
        <w:gridCol w:w="6781"/>
      </w:tblGrid>
      <w:tr w:rsidR="009408C9" w:rsidRPr="00DF5B1B" w14:paraId="75CDECBC" w14:textId="77777777" w:rsidTr="00E75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CBF6D16" w14:textId="77777777" w:rsidR="009408C9" w:rsidRPr="00ED02EE" w:rsidRDefault="009408C9" w:rsidP="00E7501B">
            <w:pPr>
              <w:suppressAutoHyphens/>
              <w:autoSpaceDN w:val="0"/>
              <w:spacing w:before="40" w:after="40" w:line="260" w:lineRule="atLeast"/>
              <w:textAlignment w:val="baseline"/>
              <w:rPr>
                <w:b/>
                <w:bCs w:val="0"/>
                <w:sz w:val="18"/>
                <w:szCs w:val="20"/>
              </w:rPr>
            </w:pPr>
            <w:r w:rsidRPr="00ED02EE">
              <w:rPr>
                <w:b/>
                <w:sz w:val="18"/>
                <w:szCs w:val="20"/>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56C8F0E2" w14:textId="3BFD22FA" w:rsidR="009408C9" w:rsidRPr="005921BC" w:rsidRDefault="008F3B76" w:rsidP="002D7674">
            <w:pPr>
              <w:suppressAutoHyphens/>
              <w:autoSpaceDN w:val="0"/>
              <w:spacing w:before="40" w:after="40" w:line="260" w:lineRule="atLeast"/>
              <w:textAlignment w:val="baseline"/>
              <w:rPr>
                <w:sz w:val="18"/>
                <w:szCs w:val="20"/>
              </w:rPr>
            </w:pPr>
            <w:r>
              <w:rPr>
                <w:sz w:val="18"/>
                <w:szCs w:val="20"/>
              </w:rPr>
              <w:t>Provides guidance for contract management and perf</w:t>
            </w:r>
            <w:r w:rsidR="00021760">
              <w:rPr>
                <w:sz w:val="18"/>
                <w:szCs w:val="20"/>
              </w:rPr>
              <w:t xml:space="preserve">ormance (in accordance with </w:t>
            </w:r>
            <w:hyperlink r:id="rId262" w:anchor="instructions" w:history="1">
              <w:r w:rsidR="002D7674" w:rsidRPr="00D4158F">
                <w:rPr>
                  <w:rStyle w:val="Hyperlink"/>
                  <w:sz w:val="18"/>
                  <w:szCs w:val="20"/>
                </w:rPr>
                <w:t>Instruction 4.2.1</w:t>
              </w:r>
            </w:hyperlink>
            <w:r>
              <w:rPr>
                <w:sz w:val="18"/>
                <w:szCs w:val="20"/>
              </w:rPr>
              <w:t xml:space="preserve">) and </w:t>
            </w:r>
            <w:r w:rsidR="009408C9" w:rsidRPr="005921BC">
              <w:rPr>
                <w:sz w:val="18"/>
                <w:szCs w:val="20"/>
              </w:rPr>
              <w:t xml:space="preserve">information on </w:t>
            </w:r>
            <w:r w:rsidR="009408C9">
              <w:rPr>
                <w:sz w:val="18"/>
                <w:szCs w:val="20"/>
              </w:rPr>
              <w:t>whole of state polices and guidance for procuring goods and services and infrastructure investments</w:t>
            </w:r>
            <w:r w:rsidR="0052666D">
              <w:rPr>
                <w:sz w:val="18"/>
                <w:szCs w:val="20"/>
              </w:rPr>
              <w:t>.</w:t>
            </w:r>
          </w:p>
        </w:tc>
      </w:tr>
      <w:tr w:rsidR="009408C9" w:rsidRPr="00DF5B1B" w14:paraId="4B23D81A" w14:textId="77777777" w:rsidTr="00E7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7FFD1F1" w14:textId="77777777" w:rsidR="009408C9" w:rsidRPr="005921BC" w:rsidRDefault="009408C9" w:rsidP="00E7501B">
            <w:pPr>
              <w:suppressAutoHyphens/>
              <w:autoSpaceDN w:val="0"/>
              <w:spacing w:before="40" w:after="40" w:line="260" w:lineRule="atLeast"/>
              <w:textAlignment w:val="baseline"/>
              <w:rPr>
                <w:b/>
                <w:bCs w:val="0"/>
                <w:sz w:val="18"/>
                <w:szCs w:val="20"/>
              </w:rPr>
            </w:pPr>
            <w:r>
              <w:rPr>
                <w:b/>
                <w:sz w:val="18"/>
                <w:szCs w:val="20"/>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2C260F40" w14:textId="77777777" w:rsidR="009408C9" w:rsidRPr="005921BC" w:rsidRDefault="009408C9" w:rsidP="00E7501B">
            <w:pPr>
              <w:suppressAutoHyphens/>
              <w:autoSpaceDN w:val="0"/>
              <w:spacing w:before="40" w:after="40" w:line="260" w:lineRule="atLeast"/>
              <w:textAlignment w:val="baseline"/>
              <w:rPr>
                <w:sz w:val="18"/>
                <w:szCs w:val="20"/>
              </w:rPr>
            </w:pPr>
            <w:r>
              <w:rPr>
                <w:sz w:val="18"/>
                <w:szCs w:val="20"/>
              </w:rPr>
              <w:t>1 July 2016</w:t>
            </w:r>
          </w:p>
        </w:tc>
      </w:tr>
      <w:tr w:rsidR="009408C9" w:rsidRPr="00DF5B1B" w14:paraId="5B55879B" w14:textId="77777777" w:rsidTr="00E75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9262CB8" w14:textId="77777777" w:rsidR="009408C9" w:rsidRPr="005921BC" w:rsidRDefault="009408C9" w:rsidP="000B6691">
            <w:pPr>
              <w:suppressAutoHyphens/>
              <w:autoSpaceDN w:val="0"/>
              <w:spacing w:before="40" w:after="40" w:line="260" w:lineRule="atLeast"/>
              <w:textAlignment w:val="baseline"/>
              <w:rPr>
                <w:b/>
                <w:bCs w:val="0"/>
                <w:sz w:val="18"/>
                <w:szCs w:val="20"/>
              </w:rPr>
            </w:pPr>
            <w:r>
              <w:rPr>
                <w:b/>
                <w:sz w:val="18"/>
                <w:szCs w:val="20"/>
              </w:rPr>
              <w:t xml:space="preserve">Relevant </w:t>
            </w:r>
            <w:r w:rsidR="00F57D75">
              <w:rPr>
                <w:b/>
                <w:sz w:val="18"/>
                <w:szCs w:val="20"/>
              </w:rPr>
              <w:t>Direction</w:t>
            </w:r>
          </w:p>
        </w:tc>
        <w:tc>
          <w:tcPr>
            <w:cnfStyle w:val="000010000000" w:firstRow="0" w:lastRow="0" w:firstColumn="0" w:lastColumn="0" w:oddVBand="1" w:evenVBand="0" w:oddHBand="0" w:evenHBand="0" w:firstRowFirstColumn="0" w:firstRowLastColumn="0" w:lastRowFirstColumn="0" w:lastRowLastColumn="0"/>
            <w:tcW w:w="6781" w:type="dxa"/>
          </w:tcPr>
          <w:p w14:paraId="088E6F6E" w14:textId="3127C108" w:rsidR="009408C9" w:rsidRPr="005921BC" w:rsidRDefault="009408C9" w:rsidP="00E7501B">
            <w:pPr>
              <w:suppressAutoHyphens/>
              <w:autoSpaceDN w:val="0"/>
              <w:spacing w:before="40" w:after="40" w:line="260" w:lineRule="atLeast"/>
              <w:textAlignment w:val="baseline"/>
              <w:rPr>
                <w:sz w:val="18"/>
                <w:szCs w:val="20"/>
              </w:rPr>
            </w:pPr>
            <w:hyperlink r:id="rId263" w:anchor="instructions" w:history="1">
              <w:r w:rsidRPr="00F33336">
                <w:rPr>
                  <w:rStyle w:val="Hyperlink"/>
                  <w:sz w:val="18"/>
                  <w:szCs w:val="20"/>
                </w:rPr>
                <w:t>4.2.1 Acquisition of assets, goods and services</w:t>
              </w:r>
            </w:hyperlink>
          </w:p>
        </w:tc>
      </w:tr>
      <w:tr w:rsidR="009408C9" w:rsidRPr="00DF5B1B" w14:paraId="12A1E5EE" w14:textId="77777777" w:rsidTr="00E7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B402B6F" w14:textId="77777777" w:rsidR="009408C9" w:rsidRPr="005921BC" w:rsidRDefault="009408C9" w:rsidP="00E7501B">
            <w:pPr>
              <w:suppressAutoHyphens/>
              <w:autoSpaceDN w:val="0"/>
              <w:spacing w:before="40" w:after="40" w:line="260" w:lineRule="atLeast"/>
              <w:textAlignment w:val="baseline"/>
              <w:rPr>
                <w:b/>
                <w:bCs w:val="0"/>
                <w:sz w:val="18"/>
                <w:szCs w:val="20"/>
              </w:rPr>
            </w:pPr>
            <w:r w:rsidRPr="005921BC">
              <w:rPr>
                <w:b/>
                <w:sz w:val="18"/>
                <w:szCs w:val="20"/>
              </w:rPr>
              <w:t>Last reviewed date</w:t>
            </w:r>
          </w:p>
        </w:tc>
        <w:tc>
          <w:tcPr>
            <w:cnfStyle w:val="000010000000" w:firstRow="0" w:lastRow="0" w:firstColumn="0" w:lastColumn="0" w:oddVBand="1" w:evenVBand="0" w:oddHBand="0" w:evenHBand="0" w:firstRowFirstColumn="0" w:firstRowLastColumn="0" w:lastRowFirstColumn="0" w:lastRowLastColumn="0"/>
            <w:tcW w:w="6781" w:type="dxa"/>
          </w:tcPr>
          <w:p w14:paraId="67CF3144" w14:textId="58FD459E" w:rsidR="009408C9" w:rsidRPr="005921BC" w:rsidRDefault="00515507" w:rsidP="00E7501B">
            <w:pPr>
              <w:suppressAutoHyphens/>
              <w:autoSpaceDN w:val="0"/>
              <w:spacing w:before="40" w:after="40"/>
              <w:textAlignment w:val="baseline"/>
              <w:rPr>
                <w:rFonts w:cs="Times New Roman"/>
                <w:sz w:val="18"/>
                <w:szCs w:val="20"/>
              </w:rPr>
            </w:pPr>
            <w:r>
              <w:rPr>
                <w:rFonts w:cs="Times New Roman"/>
                <w:bCs/>
                <w:sz w:val="18"/>
                <w:szCs w:val="20"/>
              </w:rPr>
              <w:t>1 May 2019</w:t>
            </w:r>
          </w:p>
        </w:tc>
      </w:tr>
    </w:tbl>
    <w:p w14:paraId="67FEA856" w14:textId="77777777" w:rsidR="009408C9" w:rsidRDefault="009408C9" w:rsidP="009408C9">
      <w:pPr>
        <w:pStyle w:val="Spacer"/>
      </w:pPr>
    </w:p>
    <w:p w14:paraId="2F8CD305" w14:textId="0AA03741" w:rsidR="009408C9" w:rsidRPr="008F3B76" w:rsidRDefault="009408C9" w:rsidP="00F86062">
      <w:pPr>
        <w:pStyle w:val="Heading1NoNum"/>
      </w:pPr>
      <w:r w:rsidRPr="008F3B76">
        <w:t xml:space="preserve">Contract management and performance </w:t>
      </w:r>
      <w:r w:rsidR="008F3B76" w:rsidRPr="008F3B76">
        <w:t xml:space="preserve">(in accordance with </w:t>
      </w:r>
      <w:hyperlink r:id="rId264" w:anchor="instructions" w:history="1">
        <w:r w:rsidR="008F3B76" w:rsidRPr="00D4158F">
          <w:rPr>
            <w:rStyle w:val="Hyperlink"/>
          </w:rPr>
          <w:t>Instruction 4.2.1</w:t>
        </w:r>
      </w:hyperlink>
      <w:r w:rsidR="008F3B76" w:rsidRPr="008F3B76">
        <w:t>)</w:t>
      </w:r>
    </w:p>
    <w:p w14:paraId="4888303F" w14:textId="77777777" w:rsidR="009408C9" w:rsidRPr="0065036C" w:rsidRDefault="009408C9" w:rsidP="009408C9">
      <w:r w:rsidRPr="0065036C">
        <w:t xml:space="preserve">Managing contracts effectively is an important aspect of good governance. It provides assurance to the responsible Agency that the contractor is delivering the agreed services at the required standard, and there is efficient and effective use of public resources. </w:t>
      </w:r>
    </w:p>
    <w:p w14:paraId="2BAFBB07" w14:textId="77777777" w:rsidR="009408C9" w:rsidRPr="0065036C" w:rsidRDefault="009408C9" w:rsidP="009408C9">
      <w:r w:rsidRPr="0065036C">
        <w:t>As more services and projects are delivered outside the public sector robust contract management is becoming increasingly important. Establishing a sound governance framework for effectively managing projects and contracts may include a review of risk management plans and consideration of risk sharing. In many cases ensuring appropriate contract design and management will require appointing an effective contract manager. One of the critical roles the contract manager will play is establishing effective performance management monitoring and evaluation and managing effective commercial relationships to ensure appropriate performance and value for money is obtained from the contract.</w:t>
      </w:r>
    </w:p>
    <w:p w14:paraId="0FA6C2BA" w14:textId="77777777" w:rsidR="009408C9" w:rsidRPr="0065036C" w:rsidRDefault="009408C9" w:rsidP="001A5F13">
      <w:pPr>
        <w:autoSpaceDE w:val="0"/>
        <w:autoSpaceDN w:val="0"/>
        <w:adjustRightInd w:val="0"/>
        <w:rPr>
          <w:rFonts w:cs="Times New Roman"/>
          <w:szCs w:val="20"/>
        </w:rPr>
      </w:pPr>
      <w:r w:rsidRPr="0065036C">
        <w:rPr>
          <w:rFonts w:cs="Times New Roman"/>
          <w:szCs w:val="20"/>
        </w:rPr>
        <w:t>Performance management is an important part of contract design and specification. Without it, not all parties subject to the contract or agreement will have the same expectations. As such, appropriate effort needs to be devoted to this important task. The contract development phase is critical to achieving the outcomes sought by the Agency and sets the basis for the effective management of the contract.</w:t>
      </w:r>
    </w:p>
    <w:p w14:paraId="0B89227B" w14:textId="77777777" w:rsidR="009408C9" w:rsidRDefault="009408C9" w:rsidP="009408C9">
      <w:r>
        <w:t>Performance expectations typically articulated in the contract or service level agreements may include:</w:t>
      </w:r>
    </w:p>
    <w:p w14:paraId="26FC720C" w14:textId="77777777" w:rsidR="009408C9" w:rsidRDefault="009408C9" w:rsidP="00CA6CEE">
      <w:pPr>
        <w:pStyle w:val="Bullet1"/>
      </w:pPr>
      <w:r>
        <w:t>key personnel within an Agency and the provider who will be responsible for delivery;</w:t>
      </w:r>
    </w:p>
    <w:p w14:paraId="3DAFF407" w14:textId="77777777" w:rsidR="009408C9" w:rsidRDefault="009408C9" w:rsidP="00CA6CEE">
      <w:pPr>
        <w:pStyle w:val="Bullet1"/>
      </w:pPr>
      <w:r>
        <w:t>what will be delivered using quality, quantity and timeliness criteria;</w:t>
      </w:r>
    </w:p>
    <w:p w14:paraId="223176D4" w14:textId="77777777" w:rsidR="009408C9" w:rsidRDefault="009408C9" w:rsidP="00CA6CEE">
      <w:pPr>
        <w:pStyle w:val="Bullet1"/>
      </w:pPr>
      <w:r>
        <w:t>key performance indicators and related targets and standards (including quality standards) or goals used to measure delivery. These should be linked to the purpose or objective of the infrastructure or service requirements and be clear, relevant, achievable and readily measurable;</w:t>
      </w:r>
    </w:p>
    <w:p w14:paraId="5EA86507" w14:textId="77777777" w:rsidR="009408C9" w:rsidRDefault="009408C9" w:rsidP="00CA6CEE">
      <w:pPr>
        <w:pStyle w:val="Bullet1"/>
      </w:pPr>
      <w:r>
        <w:t>the type and frequency of performance monitoring and verification arrangements which will be implemented. These arrangements are designed to provide Agencies with comfort that performance is in accordance with the contract and payment should proceed;</w:t>
      </w:r>
    </w:p>
    <w:p w14:paraId="7D38985A" w14:textId="77777777" w:rsidR="009408C9" w:rsidRDefault="009408C9" w:rsidP="00CA6CEE">
      <w:pPr>
        <w:pStyle w:val="Bullet1"/>
      </w:pPr>
      <w:r>
        <w:t xml:space="preserve">the frequency and method of payment when performance measures or targets are met. For example, upon delivery or at agreed intervals; </w:t>
      </w:r>
    </w:p>
    <w:p w14:paraId="7F39BA97" w14:textId="77777777" w:rsidR="009408C9" w:rsidRDefault="009408C9" w:rsidP="00CA6CEE">
      <w:pPr>
        <w:pStyle w:val="Bullet1"/>
      </w:pPr>
      <w:r>
        <w:t>the penalties or other consequences to be applied for any performance shortfall. For example, part of the payment may be withheld until the required performance or delivery standard is met;</w:t>
      </w:r>
    </w:p>
    <w:p w14:paraId="64B82379" w14:textId="77777777" w:rsidR="009408C9" w:rsidRDefault="009408C9" w:rsidP="00CA6CEE">
      <w:pPr>
        <w:pStyle w:val="Bullet1"/>
      </w:pPr>
      <w:r>
        <w:t>the process for resolving disputes when there is a disagreement about performance;</w:t>
      </w:r>
    </w:p>
    <w:p w14:paraId="0735B319" w14:textId="77777777" w:rsidR="009408C9" w:rsidRDefault="009408C9" w:rsidP="00CA6CEE">
      <w:pPr>
        <w:pStyle w:val="Bullet1"/>
      </w:pPr>
      <w:r>
        <w:t>arrangements for monitoring performance and access to documentation, whether by the Agency</w:t>
      </w:r>
      <w:r w:rsidR="003D3293">
        <w:t>,</w:t>
      </w:r>
      <w:r>
        <w:t xml:space="preserve"> its delegate</w:t>
      </w:r>
      <w:r w:rsidR="003D3293">
        <w:t xml:space="preserve"> or the Auditor</w:t>
      </w:r>
      <w:r w:rsidR="00D62B6D">
        <w:noBreakHyphen/>
      </w:r>
      <w:r w:rsidR="003D3293">
        <w:t>General</w:t>
      </w:r>
      <w:r>
        <w:t>;</w:t>
      </w:r>
    </w:p>
    <w:p w14:paraId="32248D44" w14:textId="77777777" w:rsidR="009408C9" w:rsidRDefault="009408C9" w:rsidP="00CA6CEE">
      <w:pPr>
        <w:pStyle w:val="Bullet1"/>
      </w:pPr>
      <w:r>
        <w:t>parameters around the ownership and, sharing of data and records, and protocols for communication and dispute resolution;</w:t>
      </w:r>
    </w:p>
    <w:p w14:paraId="3F4C329C" w14:textId="77777777" w:rsidR="009408C9" w:rsidRDefault="009408C9" w:rsidP="00CA6CEE">
      <w:pPr>
        <w:pStyle w:val="Bullet1"/>
      </w:pPr>
      <w:r>
        <w:t>arrangements for ongoing communication, including dispute resolution protocols; and</w:t>
      </w:r>
    </w:p>
    <w:p w14:paraId="693E5A65" w14:textId="77777777" w:rsidR="009408C9" w:rsidRDefault="009408C9" w:rsidP="00CA6CEE">
      <w:pPr>
        <w:pStyle w:val="Bullet1"/>
      </w:pPr>
      <w:r>
        <w:t xml:space="preserve">the timing of evaluation and reporting expectations. </w:t>
      </w:r>
    </w:p>
    <w:p w14:paraId="181EB8B9" w14:textId="77777777" w:rsidR="009408C9" w:rsidRDefault="009408C9" w:rsidP="009408C9">
      <w:r>
        <w:t xml:space="preserve">This list is not exhaustive and there may be some specific performance expectations an Agency will seek to articulate. </w:t>
      </w:r>
    </w:p>
    <w:p w14:paraId="6DA1577D" w14:textId="77777777" w:rsidR="001C3C53" w:rsidRDefault="001C3C53">
      <w:pPr>
        <w:spacing w:before="0" w:after="200" w:line="276" w:lineRule="auto"/>
      </w:pPr>
      <w:r>
        <w:br w:type="page"/>
      </w:r>
    </w:p>
    <w:p w14:paraId="61A63EC9" w14:textId="77777777" w:rsidR="009408C9" w:rsidRDefault="009408C9" w:rsidP="009408C9">
      <w:r>
        <w:lastRenderedPageBreak/>
        <w:t>An Agency’s Responsible Body is ultimately responsible for the delivery of all infrastructure and services within its control. Therefore, the responsibility of the Accountable Officer needs to ensure the Agency has appropriate performance management arrangements, particularly for those services or infrastructure being delivered by providers external to the Agency. This is particularly important when the Accountable Officer or delegate is not involved in the day</w:t>
      </w:r>
      <w:r w:rsidR="00D62B6D">
        <w:noBreakHyphen/>
      </w:r>
      <w:r>
        <w:t>to</w:t>
      </w:r>
      <w:r w:rsidR="00D62B6D">
        <w:noBreakHyphen/>
      </w:r>
      <w:r>
        <w:t>day management or delivery of the service or infrastructure.</w:t>
      </w:r>
    </w:p>
    <w:p w14:paraId="41C37FE8" w14:textId="77777777" w:rsidR="009408C9" w:rsidRDefault="009408C9" w:rsidP="00FC17D9">
      <w:pPr>
        <w:pStyle w:val="Heading2NoNum"/>
      </w:pPr>
      <w:r>
        <w:t>Monitoring</w:t>
      </w:r>
    </w:p>
    <w:p w14:paraId="040ECDCA" w14:textId="77777777" w:rsidR="009408C9" w:rsidRDefault="009408C9" w:rsidP="009408C9">
      <w:r>
        <w:t>Regular ongoing monitoring and assessment of contract performance throughout the life of the contract is important, as it:</w:t>
      </w:r>
    </w:p>
    <w:p w14:paraId="46F95E14" w14:textId="77777777" w:rsidR="009408C9" w:rsidRDefault="009408C9" w:rsidP="00CA6CEE">
      <w:pPr>
        <w:pStyle w:val="Bullet1"/>
      </w:pPr>
      <w:r>
        <w:t>enables the early identification and resolution of any issues before they become a significant problem;</w:t>
      </w:r>
    </w:p>
    <w:p w14:paraId="679AF8BC" w14:textId="77777777" w:rsidR="009408C9" w:rsidRDefault="009408C9" w:rsidP="00CA6CEE">
      <w:pPr>
        <w:pStyle w:val="Bullet1"/>
      </w:pPr>
      <w:r>
        <w:t>encourages performance measures and targets and helps ensure relevant timelines are met;</w:t>
      </w:r>
    </w:p>
    <w:p w14:paraId="3F452B79" w14:textId="77777777" w:rsidR="009408C9" w:rsidRDefault="009408C9" w:rsidP="00CA6CEE">
      <w:pPr>
        <w:pStyle w:val="Bullet1"/>
      </w:pPr>
      <w:r>
        <w:t>identifies any variation to specification that may be required to address identified issues; and</w:t>
      </w:r>
    </w:p>
    <w:p w14:paraId="5BA19F5E" w14:textId="77777777" w:rsidR="009408C9" w:rsidRDefault="009408C9" w:rsidP="00CA6CEE">
      <w:pPr>
        <w:pStyle w:val="Bullet1"/>
      </w:pPr>
      <w:r>
        <w:t>puts the onus on the provider to ensure that delivery occurs to specification.</w:t>
      </w:r>
    </w:p>
    <w:p w14:paraId="626BADE4" w14:textId="77777777" w:rsidR="009408C9" w:rsidRDefault="009408C9" w:rsidP="009408C9">
      <w:r>
        <w:t>The Accountable Officer is accountable for monitoring contract performance and delivery. The Responsible Body (supported by the Audit Committee through independent assurance and advice) is responsible for overseeing performance of the Agency, in particular contracts which it has specifically made decisions on.</w:t>
      </w:r>
    </w:p>
    <w:p w14:paraId="57FAEE60" w14:textId="77777777" w:rsidR="009408C9" w:rsidRDefault="009408C9" w:rsidP="009408C9">
      <w:r>
        <w:t>Individuals involved in the specification phase of the contract or those responsible for the service or asset post</w:t>
      </w:r>
      <w:r w:rsidR="00D62B6D">
        <w:noBreakHyphen/>
      </w:r>
      <w:r>
        <w:t>delivery may be best placed to be involved in monitoring the provider. However, from time to time, the Accountable Officer may require someone independent of the contract to monitor performance. Internal audit or a specialist advisor may be engaged to provide advice to the Accountable Officer and/or Responsible Body. In order to effectively monitor and assess contract performance, a number of things are required:</w:t>
      </w:r>
    </w:p>
    <w:p w14:paraId="5097BDF4" w14:textId="77777777" w:rsidR="009408C9" w:rsidRDefault="009408C9" w:rsidP="00CA6CEE">
      <w:pPr>
        <w:pStyle w:val="Bullet1"/>
      </w:pPr>
      <w:r>
        <w:t xml:space="preserve">monitoring arrangements the provider will be subject to should be agreed to, documented and actioned; </w:t>
      </w:r>
    </w:p>
    <w:p w14:paraId="685F14C0" w14:textId="77777777" w:rsidR="009408C9" w:rsidRDefault="009408C9" w:rsidP="00CA6CEE">
      <w:pPr>
        <w:pStyle w:val="Bullet1"/>
      </w:pPr>
      <w:r>
        <w:t xml:space="preserve">ongoing access to relevant, reliable and timely data/information from the provider relating to performance is necessary and should extend to other relevant parties in Government who may perform a monitoring or review role, such as Portfolio Departments; </w:t>
      </w:r>
    </w:p>
    <w:p w14:paraId="22AC0529" w14:textId="77777777" w:rsidR="009408C9" w:rsidRDefault="009408C9" w:rsidP="00CA6CEE">
      <w:pPr>
        <w:pStyle w:val="Bullet1"/>
      </w:pPr>
      <w:r>
        <w:t>for longer</w:t>
      </w:r>
      <w:r w:rsidR="00D62B6D">
        <w:noBreakHyphen/>
      </w:r>
      <w:r>
        <w:t>term service delivery contracts, regular independent reviews of performance data prepared by t</w:t>
      </w:r>
      <w:r w:rsidR="006F0D5C">
        <w:t>he contractor will provide the A</w:t>
      </w:r>
      <w:r>
        <w:t>gency with a level of assurance on the accuracy and reliability of data for performance management and payment; and</w:t>
      </w:r>
    </w:p>
    <w:p w14:paraId="3C4EAF97" w14:textId="77777777" w:rsidR="009408C9" w:rsidRDefault="009408C9" w:rsidP="00CA6CEE">
      <w:pPr>
        <w:pStyle w:val="Bullet1"/>
      </w:pPr>
      <w:r>
        <w:t>communication protocols should be agreed and documented, including dispute resolution arrangements.</w:t>
      </w:r>
    </w:p>
    <w:p w14:paraId="31B30873" w14:textId="77777777" w:rsidR="009408C9" w:rsidRDefault="009408C9" w:rsidP="009408C9">
      <w:r>
        <w:t xml:space="preserve">Record retention and information access or sharing arrangements enable an Agency to monitor and verify performance. Such arrangements may need to continue for a period of time after the contract has concluded to allow for independent verification of required delivery standards. </w:t>
      </w:r>
    </w:p>
    <w:p w14:paraId="3C580064" w14:textId="77777777" w:rsidR="009408C9" w:rsidRDefault="009408C9" w:rsidP="009408C9">
      <w:r>
        <w:t xml:space="preserve">Communication is a key component of any monitoring arrangement. Open communication between an Agency’s management and the provider is important to ensure that all parties are aware of any issues before they impact on the service or infrastructure. </w:t>
      </w:r>
    </w:p>
    <w:p w14:paraId="1713C34A" w14:textId="77777777" w:rsidR="009408C9" w:rsidRDefault="009408C9" w:rsidP="009408C9">
      <w:r>
        <w:t xml:space="preserve">Reporting of contractor performance assessment and any shortcomings is provided to the Audit Committee (on behalf of the Responsible Body) to review performance on a regular basis. </w:t>
      </w:r>
    </w:p>
    <w:p w14:paraId="6C37A1E1" w14:textId="77777777" w:rsidR="009408C9" w:rsidRPr="00E843E2" w:rsidRDefault="009408C9" w:rsidP="00FC17D9">
      <w:pPr>
        <w:pStyle w:val="Heading2NoNum"/>
      </w:pPr>
      <w:r w:rsidRPr="00E843E2">
        <w:t>Evaluate and report</w:t>
      </w:r>
    </w:p>
    <w:p w14:paraId="2D4A3731" w14:textId="77777777" w:rsidR="009408C9" w:rsidRDefault="009408C9" w:rsidP="009408C9">
      <w:r>
        <w:t>At the conclusion of the contract engagement, an evaluation should be conducted. This is to review and evaluate the success of the contract against stated goals, and government objectives and priorities, and to recommend appropriate actions. To a large extent, the evaluation should use the success measures established during the business or service need phase and the performance measures outlined in the contract.</w:t>
      </w:r>
    </w:p>
    <w:p w14:paraId="13340F6C" w14:textId="77777777" w:rsidR="009408C9" w:rsidRDefault="009408C9" w:rsidP="009408C9">
      <w:r>
        <w:t>Evaluations are useful to all parties involved in the contract as they can identify successes and lessons learnt. An honest assessment of the contract should provide information that can be used in future contracts or to make recommendations to resolve any outstanding issues with the contract.</w:t>
      </w:r>
    </w:p>
    <w:p w14:paraId="71D75C47" w14:textId="77777777" w:rsidR="009408C9" w:rsidRDefault="009408C9" w:rsidP="009408C9">
      <w:r>
        <w:lastRenderedPageBreak/>
        <w:t>Similar to monitoring arrangements, evaluations can be conducted internally by the Agency or by an external provider such as a specialist advisor. In addition, the Portfolio Department may choose to separately evaluate the contract to identify systemic issues or as part of their ongoing assurance program. Such evaluations would be separate to an internal evaluation undertaken by the Agency. It is important that appropriate access and record retention arrangements are established to ensure such evaluations can be undertaken.</w:t>
      </w:r>
    </w:p>
    <w:p w14:paraId="6DFC0BB9" w14:textId="77777777" w:rsidR="009408C9" w:rsidRDefault="009408C9" w:rsidP="009408C9">
      <w:r>
        <w:t>As it may take time for an evaluation to be conducted or for the full benefits of the contract to be realised, the contract should adequately provide for record retention and information access or sharing arrangements for a period of time after the conclusion of the contract. Access to such information should be provided to the Responsible Body/Accountable Officer or their delegate, internal audit, or the Portfolio Department.</w:t>
      </w:r>
    </w:p>
    <w:p w14:paraId="795AA2D4" w14:textId="77777777" w:rsidR="00231CE8" w:rsidRDefault="009408C9" w:rsidP="009408C9">
      <w:r>
        <w:t>The findings from the evaluation should be documented, considered, actioned and formally endorsed by the Accountable Officer and provided to the Audit Committee (Responsible Body). Further, the evaluation results should be referenced and used by the Accountable Officer in future contracts. It is also useful to provide summarised findings to other Agencies or the Portfolio Department which may be undertaking similar contracts, to enable them to leverage off any lessons learnt.</w:t>
      </w:r>
    </w:p>
    <w:p w14:paraId="25258B24" w14:textId="77777777" w:rsidR="0052666D" w:rsidRDefault="0052666D" w:rsidP="00F97EBD">
      <w:pPr>
        <w:pStyle w:val="Heading1NoNum"/>
      </w:pPr>
      <w:r>
        <w:t>Infrastructure investment</w:t>
      </w:r>
    </w:p>
    <w:p w14:paraId="2C579BC0" w14:textId="77777777" w:rsidR="008F3B76" w:rsidRDefault="000A273E" w:rsidP="00FC17D9">
      <w:pPr>
        <w:pStyle w:val="Heading2NoNum"/>
      </w:pPr>
      <w:r>
        <w:t>Investment lifecycle and High Value/High R</w:t>
      </w:r>
      <w:r w:rsidR="008F3B76">
        <w:t>isk guidelines [Department of Treasury and Finance]</w:t>
      </w:r>
    </w:p>
    <w:p w14:paraId="37FEED04" w14:textId="77777777" w:rsidR="008F3B76" w:rsidRDefault="008F3B76" w:rsidP="00CC0CB1">
      <w:r>
        <w:t>The guidelines provide guidance on processes, documents and other requirements to support robust development and delivery of all investment proposals. At each stage of the investment lifecycle, this guidance helps Agencies to shape, monitor, control and evaluate an investment. The following stages of the Investment Lifecycle are relevant to the contracting of services:</w:t>
      </w:r>
    </w:p>
    <w:p w14:paraId="49D78B3E" w14:textId="77777777" w:rsidR="008F3B76" w:rsidRDefault="008F3B76" w:rsidP="00CA6CEE">
      <w:pPr>
        <w:pStyle w:val="Bullet1"/>
      </w:pPr>
      <w:r w:rsidRPr="00231CE8">
        <w:rPr>
          <w:b/>
        </w:rPr>
        <w:t>Stage 1: The Conceptualise stage</w:t>
      </w:r>
      <w:r>
        <w:t xml:space="preserve"> confirms the need, defines likely benefits and explore</w:t>
      </w:r>
      <w:r w:rsidR="005C7B6D">
        <w:t>s</w:t>
      </w:r>
      <w:r>
        <w:t xml:space="preserve"> strategic interventions. </w:t>
      </w:r>
    </w:p>
    <w:p w14:paraId="6D05ACBA" w14:textId="77777777" w:rsidR="008F3B76" w:rsidRDefault="008F3B76" w:rsidP="00CA6CEE">
      <w:pPr>
        <w:pStyle w:val="Bullet1"/>
      </w:pPr>
      <w:r w:rsidRPr="00231CE8">
        <w:rPr>
          <w:b/>
        </w:rPr>
        <w:t>Stage 2: The Prove stage</w:t>
      </w:r>
      <w:r>
        <w:t xml:space="preserve"> confirms that the recommended project solution offers value</w:t>
      </w:r>
      <w:r w:rsidR="00D62B6D">
        <w:noBreakHyphen/>
      </w:r>
      <w:r>
        <w:t>for</w:t>
      </w:r>
      <w:r w:rsidR="00D62B6D">
        <w:noBreakHyphen/>
      </w:r>
      <w:r>
        <w:t>money and can achieve the benefits sought, and indicates the likely costs and risks to the State. The key deliverable for this stage is a business case.</w:t>
      </w:r>
    </w:p>
    <w:p w14:paraId="0DC0484B" w14:textId="77777777" w:rsidR="008F3B76" w:rsidRDefault="008F3B76" w:rsidP="00CA6CEE">
      <w:pPr>
        <w:pStyle w:val="Bullet1"/>
      </w:pPr>
      <w:r w:rsidRPr="00231CE8">
        <w:rPr>
          <w:b/>
        </w:rPr>
        <w:t>Stage 3: The Procure stage</w:t>
      </w:r>
      <w:r>
        <w:t xml:space="preserve"> processes should align with the procurement strategy developed in the business case. Tendering is a phase of the procurement process in which Agencies seek and select offers from suitable suppliers. The key deliverable for this stage is the awarding of the contract.</w:t>
      </w:r>
    </w:p>
    <w:p w14:paraId="24A22E4E" w14:textId="77777777" w:rsidR="008F3B76" w:rsidRDefault="008F3B76" w:rsidP="00CA6CEE">
      <w:pPr>
        <w:pStyle w:val="Bullet1"/>
      </w:pPr>
      <w:r w:rsidRPr="00231CE8">
        <w:rPr>
          <w:b/>
        </w:rPr>
        <w:t>Stage 4: The Implement stage</w:t>
      </w:r>
      <w:r>
        <w:t xml:space="preserve"> focuses on managing project delivery. The Agency needs to be monitoring not only the schedules and budgets but whether the solution is and remains robust, the effectiveness of contract management arrangements and whether there is a basis for evaluating ongoing performance.</w:t>
      </w:r>
    </w:p>
    <w:p w14:paraId="7CD71DA1" w14:textId="77777777" w:rsidR="008F3B76" w:rsidRDefault="008F3B76" w:rsidP="00CA6CEE">
      <w:pPr>
        <w:pStyle w:val="Bullet1"/>
      </w:pPr>
      <w:r w:rsidRPr="00231CE8">
        <w:rPr>
          <w:b/>
        </w:rPr>
        <w:t>Stage 5: The Realise stage</w:t>
      </w:r>
      <w:r>
        <w:t xml:space="preserve"> measures the success of the investment.</w:t>
      </w:r>
    </w:p>
    <w:p w14:paraId="6398ABA3" w14:textId="77777777" w:rsidR="008F3B76" w:rsidRDefault="008F3B76" w:rsidP="00FC17D9">
      <w:pPr>
        <w:pStyle w:val="Heading2NoNum"/>
      </w:pPr>
      <w:r w:rsidRPr="001E59FF">
        <w:t>High Value/High Risk (HV/HR) projects [Department of Treasury and Finance]</w:t>
      </w:r>
    </w:p>
    <w:p w14:paraId="72FD79AF" w14:textId="77777777" w:rsidR="009408C9" w:rsidRDefault="00453706" w:rsidP="008A5429">
      <w:r>
        <w:t>For general government A</w:t>
      </w:r>
      <w:r w:rsidR="009408C9">
        <w:t>gencies, infrastructure and IC</w:t>
      </w:r>
      <w:r w:rsidR="000A273E">
        <w:t>T projects identified as being high value and/or high r</w:t>
      </w:r>
      <w:r w:rsidR="009408C9">
        <w:t>isk will be subject to more rigorous scrutiny and approval processes.</w:t>
      </w:r>
    </w:p>
    <w:p w14:paraId="013216E1" w14:textId="77777777" w:rsidR="009408C9" w:rsidRDefault="009408C9" w:rsidP="008A5429">
      <w:r>
        <w:t>The process applies to all infrastructure and ICT investments that:</w:t>
      </w:r>
    </w:p>
    <w:p w14:paraId="79A46337" w14:textId="77777777" w:rsidR="009408C9" w:rsidRPr="00231CE8" w:rsidRDefault="009408C9" w:rsidP="00CA6CEE">
      <w:pPr>
        <w:pStyle w:val="Bullet1"/>
      </w:pPr>
      <w:r w:rsidRPr="00231CE8">
        <w:t xml:space="preserve">have a total estimated investment (TEI) greater than $100 million (regardless of funding source); </w:t>
      </w:r>
    </w:p>
    <w:p w14:paraId="327F3F00" w14:textId="77777777" w:rsidR="009408C9" w:rsidRPr="00231CE8" w:rsidRDefault="009408C9" w:rsidP="00CA6CEE">
      <w:pPr>
        <w:pStyle w:val="Bullet1"/>
      </w:pPr>
      <w:r w:rsidRPr="00231CE8">
        <w:t xml:space="preserve">are identified as high risk using an approved risk assessment tool; or </w:t>
      </w:r>
    </w:p>
    <w:p w14:paraId="56A0B858" w14:textId="77777777" w:rsidR="009408C9" w:rsidRPr="00231CE8" w:rsidRDefault="009408C9" w:rsidP="00CA6CEE">
      <w:pPr>
        <w:pStyle w:val="Bullet1"/>
      </w:pPr>
      <w:r w:rsidRPr="00231CE8">
        <w:t xml:space="preserve">are determined by the Government as warranting the rigour of increased oversight. </w:t>
      </w:r>
    </w:p>
    <w:p w14:paraId="6ECCDD89" w14:textId="77777777" w:rsidR="009408C9" w:rsidRDefault="009408C9" w:rsidP="00CC0CB1">
      <w:r>
        <w:t>The Government may also nominate projects to be part of this process.</w:t>
      </w:r>
    </w:p>
    <w:p w14:paraId="78615630" w14:textId="77777777" w:rsidR="00CC0CB1" w:rsidRDefault="00CC0CB1">
      <w:pPr>
        <w:spacing w:before="0" w:after="200" w:line="276" w:lineRule="auto"/>
        <w:rPr>
          <w:color w:val="4D4D4D"/>
          <w:sz w:val="24"/>
          <w:szCs w:val="28"/>
        </w:rPr>
      </w:pPr>
      <w:r>
        <w:br w:type="page"/>
      </w:r>
    </w:p>
    <w:p w14:paraId="445BBB3E" w14:textId="036FF046" w:rsidR="009408C9" w:rsidRDefault="009408C9" w:rsidP="00FC17D9">
      <w:pPr>
        <w:pStyle w:val="Heading2NoNum"/>
      </w:pPr>
      <w:r>
        <w:lastRenderedPageBreak/>
        <w:t>Gateway reviews [Department of Treasury and Finance]</w:t>
      </w:r>
    </w:p>
    <w:p w14:paraId="0E2B17B6" w14:textId="77777777" w:rsidR="009408C9" w:rsidRDefault="00453706" w:rsidP="008A5429">
      <w:r>
        <w:t>For general government A</w:t>
      </w:r>
      <w:r w:rsidR="009408C9">
        <w:t>gencies, Gateway reviews are mandatory for infrastructure and ICT projects identified as being high value and/or high risk.</w:t>
      </w:r>
    </w:p>
    <w:p w14:paraId="0249678E" w14:textId="77777777" w:rsidR="009408C9" w:rsidRDefault="009408C9" w:rsidP="008A5429">
      <w:r>
        <w:t>The Gateway review process examines projects and programs at key decision points throughout their lifecycle regarding progress and likelihood of delivery success.</w:t>
      </w:r>
    </w:p>
    <w:p w14:paraId="5516702D" w14:textId="77777777" w:rsidR="009408C9" w:rsidRDefault="009408C9" w:rsidP="00CA6CEE">
      <w:pPr>
        <w:pStyle w:val="Bullet1"/>
      </w:pPr>
      <w:r w:rsidRPr="00231CE8">
        <w:rPr>
          <w:b/>
        </w:rPr>
        <w:t>Gate 1: Concept and feasibility</w:t>
      </w:r>
      <w:r>
        <w:t xml:space="preserve"> – investigates the strategic direction and concept development.</w:t>
      </w:r>
    </w:p>
    <w:p w14:paraId="58DA5407" w14:textId="77777777" w:rsidR="009408C9" w:rsidRDefault="009408C9" w:rsidP="00CA6CEE">
      <w:pPr>
        <w:pStyle w:val="Bullet1"/>
      </w:pPr>
      <w:r w:rsidRPr="00231CE8">
        <w:rPr>
          <w:b/>
        </w:rPr>
        <w:t>Gate 2: Business case</w:t>
      </w:r>
      <w:r>
        <w:t xml:space="preserve"> – confirms the business is robust, i.e. it meets the business need, is affordable, achievable and is likely to obtain value for money.</w:t>
      </w:r>
    </w:p>
    <w:p w14:paraId="4AD66DAE" w14:textId="77777777" w:rsidR="009408C9" w:rsidRDefault="009408C9" w:rsidP="00CA6CEE">
      <w:pPr>
        <w:pStyle w:val="Bullet1"/>
      </w:pPr>
      <w:r w:rsidRPr="00231CE8">
        <w:rPr>
          <w:b/>
        </w:rPr>
        <w:t>Gate 3: Readiness for market</w:t>
      </w:r>
      <w:r>
        <w:t xml:space="preserve"> – confirms the business case once the project is fully defined, confirms the objectives and desired outputs remain aligned and ensures the procurement approach is robust, appropriate and approved.</w:t>
      </w:r>
    </w:p>
    <w:p w14:paraId="1F3A7D96" w14:textId="77777777" w:rsidR="009408C9" w:rsidRDefault="009408C9" w:rsidP="00CA6CEE">
      <w:pPr>
        <w:pStyle w:val="Bullet1"/>
      </w:pPr>
      <w:r w:rsidRPr="00231CE8">
        <w:rPr>
          <w:b/>
        </w:rPr>
        <w:t>Gate 4: Tender decision</w:t>
      </w:r>
      <w:r>
        <w:t xml:space="preserve"> – confirms the business case including benefits plan once the bid information is confirmed and checks the required statutory and procedural requirements were followed and that the recommended contract decision is likely to deliver the specified outcomes on time, within budget and provide value for money.</w:t>
      </w:r>
    </w:p>
    <w:p w14:paraId="21F0A103" w14:textId="77777777" w:rsidR="009408C9" w:rsidRDefault="009408C9" w:rsidP="00CA6CEE">
      <w:pPr>
        <w:pStyle w:val="Bullet1"/>
      </w:pPr>
      <w:r w:rsidRPr="00231CE8">
        <w:rPr>
          <w:b/>
        </w:rPr>
        <w:t>Gate 5: Readiness for service</w:t>
      </w:r>
      <w:r>
        <w:t xml:space="preserve"> – tests the projects readiness to provide the required service by confirming the current phase of the contract is complete and documented, the contract management arrangements are in place and current, and the business case remains valid.</w:t>
      </w:r>
    </w:p>
    <w:p w14:paraId="275DA870" w14:textId="77777777" w:rsidR="009408C9" w:rsidRDefault="009408C9" w:rsidP="00CA6CEE">
      <w:pPr>
        <w:pStyle w:val="Bullet1"/>
      </w:pPr>
      <w:r w:rsidRPr="00F97EBD">
        <w:rPr>
          <w:b/>
        </w:rPr>
        <w:t>Gate 6: Benefits realisation</w:t>
      </w:r>
      <w:r>
        <w:t xml:space="preserve"> – examines whether the benefits as defined in the business case are being delivered, typically occurs 6</w:t>
      </w:r>
      <w:r w:rsidR="00D62B6D">
        <w:noBreakHyphen/>
      </w:r>
      <w:r>
        <w:t>18 months after project completion.</w:t>
      </w:r>
    </w:p>
    <w:p w14:paraId="4F139AF1" w14:textId="77777777" w:rsidR="0052666D" w:rsidRDefault="0052666D" w:rsidP="00FC17D9">
      <w:pPr>
        <w:pStyle w:val="Heading2NoNum"/>
      </w:pPr>
      <w:r>
        <w:t>Investment Management Standard [Department of Treasury and Finance]</w:t>
      </w:r>
    </w:p>
    <w:p w14:paraId="3E2BE99D" w14:textId="77777777" w:rsidR="0052666D" w:rsidRDefault="0052666D" w:rsidP="008A5429">
      <w:r>
        <w:t>The Investment Management Standard (IMS) is a collection of simple ideas and practices to help organisations direct resources to deliver the best outcomes. Investment Management can be used to undertake the following seven practices:</w:t>
      </w:r>
    </w:p>
    <w:p w14:paraId="35AE129D" w14:textId="77777777" w:rsidR="0052666D" w:rsidRDefault="0052666D" w:rsidP="00CA6CEE">
      <w:pPr>
        <w:pStyle w:val="Bullet1"/>
      </w:pPr>
      <w:r>
        <w:t xml:space="preserve">shape a new investment; </w:t>
      </w:r>
    </w:p>
    <w:p w14:paraId="720CDE0F" w14:textId="77777777" w:rsidR="0052666D" w:rsidRDefault="0052666D" w:rsidP="00CA6CEE">
      <w:pPr>
        <w:pStyle w:val="Bullet1"/>
      </w:pPr>
      <w:r>
        <w:t xml:space="preserve">prioritise investment proposals; </w:t>
      </w:r>
    </w:p>
    <w:p w14:paraId="72AFDB29" w14:textId="77777777" w:rsidR="0052666D" w:rsidRDefault="0052666D" w:rsidP="00CA6CEE">
      <w:pPr>
        <w:pStyle w:val="Bullet1"/>
      </w:pPr>
      <w:r>
        <w:t xml:space="preserve">develop new policy; </w:t>
      </w:r>
    </w:p>
    <w:p w14:paraId="5F779B85" w14:textId="77777777" w:rsidR="0052666D" w:rsidRDefault="0052666D" w:rsidP="00CA6CEE">
      <w:pPr>
        <w:pStyle w:val="Bullet1"/>
      </w:pPr>
      <w:r>
        <w:t xml:space="preserve">monitor and measure the delivery of benefits; </w:t>
      </w:r>
    </w:p>
    <w:p w14:paraId="0A961F40" w14:textId="77777777" w:rsidR="0052666D" w:rsidRDefault="0052666D" w:rsidP="00CA6CEE">
      <w:pPr>
        <w:pStyle w:val="Bullet1"/>
      </w:pPr>
      <w:r>
        <w:t xml:space="preserve">evaluate a program of investment; </w:t>
      </w:r>
    </w:p>
    <w:p w14:paraId="3C399D3D" w14:textId="77777777" w:rsidR="0052666D" w:rsidRDefault="0052666D" w:rsidP="00CA6CEE">
      <w:pPr>
        <w:pStyle w:val="Bullet1"/>
      </w:pPr>
      <w:r>
        <w:t xml:space="preserve">refocus an organisation to improve its effectiveness; and </w:t>
      </w:r>
    </w:p>
    <w:p w14:paraId="0951EF7A" w14:textId="77777777" w:rsidR="0052666D" w:rsidRDefault="0052666D" w:rsidP="00CA6CEE">
      <w:pPr>
        <w:pStyle w:val="Bullet1"/>
      </w:pPr>
      <w:r>
        <w:t xml:space="preserve">monitor an organisation’s outcomes. </w:t>
      </w:r>
    </w:p>
    <w:p w14:paraId="275CC548" w14:textId="77777777" w:rsidR="0052666D" w:rsidRDefault="0052666D" w:rsidP="00F97EBD">
      <w:pPr>
        <w:pStyle w:val="Heading1NoNum"/>
      </w:pPr>
      <w:r>
        <w:t>Procurement</w:t>
      </w:r>
    </w:p>
    <w:p w14:paraId="2D092A35" w14:textId="77777777" w:rsidR="0052666D" w:rsidRDefault="0052666D" w:rsidP="00FC17D9">
      <w:pPr>
        <w:pStyle w:val="Heading2NoNum"/>
      </w:pPr>
      <w:r>
        <w:t xml:space="preserve">Victorian Government Purchasing Board (VGPB) policies </w:t>
      </w:r>
    </w:p>
    <w:p w14:paraId="53A4FEEE" w14:textId="2B40573B" w:rsidR="0052666D" w:rsidRDefault="0052666D" w:rsidP="008A5429">
      <w:r>
        <w:t xml:space="preserve">The VGPB </w:t>
      </w:r>
      <w:r w:rsidR="00465158">
        <w:t>policies are mandatory for all D</w:t>
      </w:r>
      <w:r>
        <w:t xml:space="preserve">epartments </w:t>
      </w:r>
      <w:r w:rsidR="00CF537E">
        <w:t xml:space="preserve">and specified Agencies </w:t>
      </w:r>
      <w:r>
        <w:t xml:space="preserve">(FMA section 54L) in procuring goods and services for the </w:t>
      </w:r>
      <w:r w:rsidR="006F0D5C">
        <w:t>A</w:t>
      </w:r>
      <w:r>
        <w:t>gency’s own use</w:t>
      </w:r>
      <w:r w:rsidR="00453706">
        <w:t>. It is recommended that other A</w:t>
      </w:r>
      <w:r>
        <w:t>gencies apply similar procurement policies.</w:t>
      </w:r>
    </w:p>
    <w:p w14:paraId="7BD4DBD4" w14:textId="77777777" w:rsidR="0052666D" w:rsidRDefault="0052666D" w:rsidP="008A5429">
      <w:r>
        <w:t>There are five policies covering the end</w:t>
      </w:r>
      <w:r w:rsidR="00D62B6D">
        <w:noBreakHyphen/>
      </w:r>
      <w:r>
        <w:t>to</w:t>
      </w:r>
      <w:r w:rsidR="00D62B6D">
        <w:noBreakHyphen/>
      </w:r>
      <w:r>
        <w:t>end procurement activities, together with supporting guides, tools and templates:</w:t>
      </w:r>
    </w:p>
    <w:p w14:paraId="30025F62" w14:textId="6FD7905A" w:rsidR="0052666D" w:rsidRDefault="00E41EAD" w:rsidP="00CA6CEE">
      <w:pPr>
        <w:pStyle w:val="Bullet1"/>
      </w:pPr>
      <w:hyperlink r:id="rId265" w:history="1">
        <w:r w:rsidRPr="00E41EAD">
          <w:rPr>
            <w:rStyle w:val="Hyperlink"/>
          </w:rPr>
          <w:t>Governance policy</w:t>
        </w:r>
      </w:hyperlink>
      <w:r w:rsidR="001C3C53">
        <w:rPr>
          <w:rStyle w:val="FootnoteReference"/>
          <w:color w:val="595959" w:themeColor="text1" w:themeTint="A6"/>
        </w:rPr>
        <w:footnoteReference w:id="63"/>
      </w:r>
      <w:r>
        <w:t xml:space="preserve"> specifies </w:t>
      </w:r>
      <w:r w:rsidR="0052666D">
        <w:t>the requirements for your procurement governance framework, assessment to manage procurement activity and complaints management.</w:t>
      </w:r>
    </w:p>
    <w:p w14:paraId="661206BE" w14:textId="3BC9CF4C" w:rsidR="0052666D" w:rsidRDefault="0052666D" w:rsidP="00CA6CEE">
      <w:pPr>
        <w:pStyle w:val="Bullet1"/>
      </w:pPr>
      <w:hyperlink r:id="rId266" w:history="1">
        <w:r w:rsidRPr="00421E99">
          <w:rPr>
            <w:rStyle w:val="Hyperlink"/>
          </w:rPr>
          <w:t>Complexity and capability assessment policy</w:t>
        </w:r>
      </w:hyperlink>
      <w:r w:rsidR="001C3C53">
        <w:rPr>
          <w:rStyle w:val="FootnoteReference"/>
          <w:color w:val="595959" w:themeColor="text1" w:themeTint="A6"/>
        </w:rPr>
        <w:footnoteReference w:id="64"/>
      </w:r>
      <w:r>
        <w:t xml:space="preserve"> specifies the requirements to conduct an assessment of the complexity of the procurement and the capability required to carry out the procurement successfully.</w:t>
      </w:r>
    </w:p>
    <w:p w14:paraId="5C99A68D" w14:textId="4822612A" w:rsidR="0052666D" w:rsidRDefault="0052666D" w:rsidP="00CA6CEE">
      <w:pPr>
        <w:pStyle w:val="Bullet1"/>
      </w:pPr>
      <w:hyperlink r:id="rId267" w:history="1">
        <w:r w:rsidRPr="00421E99">
          <w:rPr>
            <w:rStyle w:val="Hyperlink"/>
          </w:rPr>
          <w:t>Market analysis and review policy</w:t>
        </w:r>
      </w:hyperlink>
      <w:r w:rsidR="001C3C53">
        <w:rPr>
          <w:rStyle w:val="FootnoteReference"/>
          <w:color w:val="595959" w:themeColor="text1" w:themeTint="A6"/>
        </w:rPr>
        <w:footnoteReference w:id="65"/>
      </w:r>
      <w:r w:rsidRPr="00E41EAD">
        <w:t xml:space="preserve"> </w:t>
      </w:r>
      <w:r>
        <w:t>specifies requirements for market analysis, aggregated purchasing and disposal of assets.</w:t>
      </w:r>
    </w:p>
    <w:p w14:paraId="0D974EE9" w14:textId="69F657D4" w:rsidR="0052666D" w:rsidRDefault="0052666D" w:rsidP="00CA6CEE">
      <w:pPr>
        <w:pStyle w:val="Bullet1"/>
      </w:pPr>
      <w:hyperlink r:id="rId268" w:history="1">
        <w:r w:rsidRPr="00421E99">
          <w:rPr>
            <w:rStyle w:val="Hyperlink"/>
          </w:rPr>
          <w:t>Market approach policy</w:t>
        </w:r>
      </w:hyperlink>
      <w:r w:rsidR="00C05769">
        <w:rPr>
          <w:rStyle w:val="FootnoteReference"/>
          <w:color w:val="595959" w:themeColor="text1" w:themeTint="A6"/>
        </w:rPr>
        <w:footnoteReference w:id="66"/>
      </w:r>
      <w:r>
        <w:t xml:space="preserve"> specifies the requirements for market approach, critical incidents, and evaluation, negotiation and selection.</w:t>
      </w:r>
    </w:p>
    <w:p w14:paraId="00BAF267" w14:textId="2A945C79" w:rsidR="0052666D" w:rsidRDefault="0052666D" w:rsidP="00CC0CB1">
      <w:pPr>
        <w:pStyle w:val="Bullet1"/>
      </w:pPr>
      <w:hyperlink r:id="rId269" w:history="1">
        <w:r w:rsidRPr="00421E99">
          <w:rPr>
            <w:rStyle w:val="Hyperlink"/>
          </w:rPr>
          <w:t>Contract management and contract disclosure policy</w:t>
        </w:r>
      </w:hyperlink>
      <w:r w:rsidR="001C3C53">
        <w:rPr>
          <w:rStyle w:val="FootnoteReference"/>
          <w:color w:val="595959" w:themeColor="text1" w:themeTint="A6"/>
        </w:rPr>
        <w:footnoteReference w:id="67"/>
      </w:r>
      <w:r>
        <w:t xml:space="preserve"> specifies </w:t>
      </w:r>
      <w:r w:rsidRPr="00CC0CB1">
        <w:t>requirements</w:t>
      </w:r>
      <w:r>
        <w:t xml:space="preserve"> for managing and disclosing contracts.</w:t>
      </w:r>
    </w:p>
    <w:p w14:paraId="1EF1FDE9" w14:textId="18AC5C7C" w:rsidR="0052666D" w:rsidRDefault="0052666D" w:rsidP="00613E42">
      <w:pPr>
        <w:pStyle w:val="NormalIndent"/>
        <w:ind w:left="283"/>
      </w:pPr>
      <w:hyperlink r:id="rId270" w:history="1">
        <w:r w:rsidRPr="00E41EAD">
          <w:rPr>
            <w:rStyle w:val="Hyperlink"/>
          </w:rPr>
          <w:t>State Purchase Contracts</w:t>
        </w:r>
      </w:hyperlink>
      <w:r w:rsidR="001C3C53">
        <w:rPr>
          <w:rStyle w:val="FootnoteReference"/>
          <w:color w:val="595959" w:themeColor="text1" w:themeTint="A6"/>
        </w:rPr>
        <w:footnoteReference w:id="68"/>
      </w:r>
      <w:r>
        <w:t xml:space="preserve"> (SPC) are standing offer agreements for Victorian government common use goods and services. They are established when value for money in procurement can best be achieved through aggregating demand. S</w:t>
      </w:r>
      <w:r w:rsidR="00465158">
        <w:t>PCs are established for use by D</w:t>
      </w:r>
      <w:r>
        <w:t>epartments and are mandatory, however these contracts can be used by other public bodies.</w:t>
      </w:r>
    </w:p>
    <w:p w14:paraId="44A698BB" w14:textId="77777777" w:rsidR="009408C9" w:rsidRDefault="009408C9" w:rsidP="00FC17D9">
      <w:pPr>
        <w:pStyle w:val="Heading2NoNum"/>
      </w:pPr>
      <w:r>
        <w:t>Public Private Partnerships Policy [Department of Treasury and Finance]</w:t>
      </w:r>
    </w:p>
    <w:p w14:paraId="463E0F0B" w14:textId="77777777" w:rsidR="009408C9" w:rsidRDefault="009408C9" w:rsidP="008A5429">
      <w:r>
        <w:t xml:space="preserve">The </w:t>
      </w:r>
      <w:r w:rsidRPr="00CC6D14">
        <w:rPr>
          <w:i/>
        </w:rPr>
        <w:t>Partnerships Victoria</w:t>
      </w:r>
      <w:r>
        <w:t xml:space="preserve"> policy provides the framework for a whole</w:t>
      </w:r>
      <w:r w:rsidR="00D62B6D">
        <w:noBreakHyphen/>
      </w:r>
      <w:r>
        <w:t>of</w:t>
      </w:r>
      <w:r w:rsidR="00D62B6D">
        <w:noBreakHyphen/>
      </w:r>
      <w:r>
        <w:t>government approach to the provision of public infrastructure and related ancillary services through long term public</w:t>
      </w:r>
      <w:r w:rsidR="00D62B6D">
        <w:noBreakHyphen/>
      </w:r>
      <w:r>
        <w:t>private partnership contracts.</w:t>
      </w:r>
    </w:p>
    <w:p w14:paraId="55D3F7B4" w14:textId="77777777" w:rsidR="009408C9" w:rsidRDefault="009408C9" w:rsidP="008A5429">
      <w:r>
        <w:t xml:space="preserve">The </w:t>
      </w:r>
      <w:r w:rsidRPr="00CC6D14">
        <w:rPr>
          <w:i/>
        </w:rPr>
        <w:t>Partnerships Victoria</w:t>
      </w:r>
      <w:r>
        <w:t xml:space="preserve"> Framework requires compliance with both the National Public Private Partnerships Policy and Guidelines and the </w:t>
      </w:r>
      <w:r w:rsidRPr="00CC6D14">
        <w:rPr>
          <w:i/>
        </w:rPr>
        <w:t>Partnerships Victoria</w:t>
      </w:r>
      <w:r>
        <w:t xml:space="preserve"> requirements and annexures.</w:t>
      </w:r>
    </w:p>
    <w:p w14:paraId="3FD2A502" w14:textId="77777777" w:rsidR="009408C9" w:rsidRDefault="009408C9" w:rsidP="00FC17D9">
      <w:pPr>
        <w:pStyle w:val="Heading2NoNum"/>
      </w:pPr>
      <w:r>
        <w:t>Alliance Contracting Policy [Department of Treasury and Finance]</w:t>
      </w:r>
    </w:p>
    <w:p w14:paraId="0F1117CB" w14:textId="77777777" w:rsidR="009408C9" w:rsidRDefault="009408C9" w:rsidP="008A5429">
      <w:r>
        <w:t>Alliancing is a method of procuring, and sometimes managing, major capital assets. Under</w:t>
      </w:r>
      <w:r w:rsidR="006F0D5C">
        <w:t xml:space="preserve"> an alliance contract, a state A</w:t>
      </w:r>
      <w:r>
        <w:t xml:space="preserve">gency contractually works collaboratively with private sector parties to deliver the project. </w:t>
      </w:r>
    </w:p>
    <w:p w14:paraId="1DCA86F6" w14:textId="2764C250" w:rsidR="009408C9" w:rsidRDefault="009408C9" w:rsidP="008A5429">
      <w:r>
        <w:t xml:space="preserve">The Victorian Government policy and </w:t>
      </w:r>
      <w:r w:rsidR="00465158">
        <w:t>guidance material are aimed at Departments and A</w:t>
      </w:r>
      <w:r>
        <w:t xml:space="preserve">gencies undertaking alliancing contracts and other collaborative contracting models such as Early Contractor Involvement (ECI). The </w:t>
      </w:r>
      <w:hyperlink r:id="rId271" w:history="1">
        <w:r w:rsidRPr="00B04B3D">
          <w:rPr>
            <w:rStyle w:val="Hyperlink"/>
          </w:rPr>
          <w:t>National Alliance Contracting</w:t>
        </w:r>
        <w:r w:rsidR="006D6AFE">
          <w:rPr>
            <w:rStyle w:val="Hyperlink"/>
          </w:rPr>
          <w:t xml:space="preserve"> Guidelines</w:t>
        </w:r>
        <w:r w:rsidRPr="00B04B3D">
          <w:rPr>
            <w:rStyle w:val="Hyperlink"/>
          </w:rPr>
          <w:t>: Policy Principles</w:t>
        </w:r>
      </w:hyperlink>
      <w:r w:rsidR="00B75AAF">
        <w:rPr>
          <w:rStyle w:val="FootnoteReference"/>
          <w:color w:val="595959" w:themeColor="text1" w:themeTint="A6"/>
        </w:rPr>
        <w:footnoteReference w:id="69"/>
      </w:r>
      <w:r>
        <w:t xml:space="preserve"> sets out the Victorian Government’s minimum requirements for alliance contracting and other collaborative contracting models.</w:t>
      </w:r>
    </w:p>
    <w:p w14:paraId="7DA85864" w14:textId="47B6301D" w:rsidR="009408C9" w:rsidRDefault="009408C9" w:rsidP="008A5429">
      <w:r>
        <w:t>Normally, alliancing is used to deliver the larger, more complex and high</w:t>
      </w:r>
      <w:r w:rsidR="006E4A67">
        <w:t>er</w:t>
      </w:r>
      <w:r w:rsidR="00D62B6D">
        <w:noBreakHyphen/>
      </w:r>
      <w:r>
        <w:t>risk infrastructure projects (with capital costs exceeding $50 million) and where the owner has particular capability to contribute its skills and expertise to deliver the project.</w:t>
      </w:r>
    </w:p>
    <w:p w14:paraId="3E53EA0A" w14:textId="0CF6D101" w:rsidR="009408C9" w:rsidRPr="00E843E2" w:rsidRDefault="009408C9" w:rsidP="00FC17D9">
      <w:pPr>
        <w:pStyle w:val="Heading2NoNum"/>
      </w:pPr>
      <w:r>
        <w:t xml:space="preserve">Public </w:t>
      </w:r>
      <w:r w:rsidR="004575D9">
        <w:t>C</w:t>
      </w:r>
      <w:r>
        <w:t xml:space="preserve">onstruction </w:t>
      </w:r>
      <w:r w:rsidR="004575D9">
        <w:t>P</w:t>
      </w:r>
      <w:r>
        <w:t xml:space="preserve">olicy (Ministerial Directions) and guide [Department of </w:t>
      </w:r>
      <w:r w:rsidRPr="00E843E2">
        <w:t>Treasury and Finance]</w:t>
      </w:r>
    </w:p>
    <w:p w14:paraId="34466942" w14:textId="076492B2" w:rsidR="009408C9" w:rsidRDefault="009408C9" w:rsidP="008A5429">
      <w:r>
        <w:t>The policy prescribes procurement, tendering and contracting procedures and practices for public construction in Victoria (</w:t>
      </w:r>
      <w:r w:rsidRPr="00233FDB">
        <w:rPr>
          <w:i/>
        </w:rPr>
        <w:t>Project Development and Construction Management Act 1994</w:t>
      </w:r>
      <w:r>
        <w:t xml:space="preserve"> and Ministerial Directions</w:t>
      </w:r>
      <w:r w:rsidR="007527BD">
        <w:t xml:space="preserve"> and Instructions</w:t>
      </w:r>
      <w:r>
        <w:t>).</w:t>
      </w:r>
      <w:r w:rsidR="007527BD">
        <w:t xml:space="preserve"> The Ministerial Directions and Instructions and Guidance materials are available at</w:t>
      </w:r>
      <w:r w:rsidR="00DA3D92">
        <w:t xml:space="preserve">: </w:t>
      </w:r>
      <w:r w:rsidR="00DA3D92" w:rsidRPr="00DA3D92">
        <w:t>https://www.dtf.vic.gov.au/infrastructure-investment/public-construction-policy-and-resources</w:t>
      </w:r>
      <w:r w:rsidR="00DA3D92">
        <w:t>.</w:t>
      </w:r>
    </w:p>
    <w:p w14:paraId="0C40EAD6" w14:textId="744BADC9" w:rsidR="009408C9" w:rsidRDefault="009408C9" w:rsidP="00FC17D9">
      <w:pPr>
        <w:pStyle w:val="Heading2NoNum"/>
      </w:pPr>
      <w:r>
        <w:t xml:space="preserve">Victorian Industry Participation Policy [Department of </w:t>
      </w:r>
      <w:r w:rsidR="00F62D52">
        <w:t>Jobs, Precincts and Regions</w:t>
      </w:r>
      <w:r>
        <w:t>]</w:t>
      </w:r>
    </w:p>
    <w:p w14:paraId="317DCFC3" w14:textId="77777777" w:rsidR="009408C9" w:rsidRDefault="00465158" w:rsidP="008A5429">
      <w:r>
        <w:t>The policy requires government Departments and A</w:t>
      </w:r>
      <w:r w:rsidR="009408C9">
        <w:t>gencies to consider competitive local suppliers, including SMEs, when awarding contracts valued at:</w:t>
      </w:r>
    </w:p>
    <w:p w14:paraId="42983246" w14:textId="77777777" w:rsidR="009408C9" w:rsidRDefault="009408C9" w:rsidP="00CA6CEE">
      <w:pPr>
        <w:pStyle w:val="Bullet1"/>
      </w:pPr>
      <w:r>
        <w:t>$1 million or more in regional Victoria, or</w:t>
      </w:r>
    </w:p>
    <w:p w14:paraId="63CD7760" w14:textId="77777777" w:rsidR="009408C9" w:rsidRDefault="009408C9" w:rsidP="00CA6CEE">
      <w:pPr>
        <w:pStyle w:val="Bullet1"/>
      </w:pPr>
      <w:r>
        <w:t>$3 million or more in metropolitan Melbourne or for state</w:t>
      </w:r>
      <w:r w:rsidR="00D62B6D">
        <w:noBreakHyphen/>
      </w:r>
      <w:r>
        <w:t>wide activities.</w:t>
      </w:r>
    </w:p>
    <w:p w14:paraId="5C6996CF" w14:textId="77777777" w:rsidR="00646899" w:rsidRDefault="00646899" w:rsidP="008A5429">
      <w:r>
        <w:t xml:space="preserve">Procurements that have a total project value of $50 million or more are considered Strategic Projects under the </w:t>
      </w:r>
      <w:r w:rsidR="005E64E0">
        <w:t>policy</w:t>
      </w:r>
      <w:r>
        <w:t xml:space="preserve"> and will have minimum local content requirements set to help drive additional economic activity and jobs. </w:t>
      </w:r>
    </w:p>
    <w:p w14:paraId="59CB637B" w14:textId="77777777" w:rsidR="009408C9" w:rsidRDefault="009408C9" w:rsidP="008A5429">
      <w:r>
        <w:t>The Department of Economic Development, Jobs, Transport and Resources website provides helpful information.</w:t>
      </w:r>
    </w:p>
    <w:p w14:paraId="673053F6" w14:textId="77777777" w:rsidR="00CC0CB1" w:rsidRDefault="00CC0CB1">
      <w:pPr>
        <w:spacing w:before="0" w:after="200" w:line="276" w:lineRule="auto"/>
        <w:rPr>
          <w:color w:val="4D4D4D"/>
          <w:sz w:val="24"/>
          <w:szCs w:val="28"/>
        </w:rPr>
      </w:pPr>
      <w:r>
        <w:br w:type="page"/>
      </w:r>
    </w:p>
    <w:p w14:paraId="6AB44F2E" w14:textId="2A8FBC1C" w:rsidR="002E08A3" w:rsidRPr="002E08A3" w:rsidRDefault="002E08A3" w:rsidP="002E08A3">
      <w:pPr>
        <w:pStyle w:val="Heading2NoNum"/>
      </w:pPr>
      <w:r w:rsidRPr="002E08A3">
        <w:lastRenderedPageBreak/>
        <w:t>Social Procurement Framework</w:t>
      </w:r>
      <w:r w:rsidR="00F62D52">
        <w:t xml:space="preserve"> </w:t>
      </w:r>
      <w:r w:rsidR="00F01367">
        <w:t>[</w:t>
      </w:r>
      <w:r w:rsidR="00F62D52">
        <w:t>Department of Treasury and Finance</w:t>
      </w:r>
      <w:r w:rsidR="00F01367">
        <w:t>]</w:t>
      </w:r>
    </w:p>
    <w:p w14:paraId="224E8E53" w14:textId="77777777" w:rsidR="002E08A3" w:rsidRDefault="002E08A3" w:rsidP="008A5429">
      <w:r>
        <w:t xml:space="preserve">The Social Procurement Framework (SPF) – and accompanying guidance materials – applies to the procurement of all goods, services and construction undertaken by, or on behalf of, departments and agencies subject to the Standing Directions issued pursuant to the </w:t>
      </w:r>
      <w:r>
        <w:rPr>
          <w:i/>
        </w:rPr>
        <w:t xml:space="preserve">Financial Management Act 1994 </w:t>
      </w:r>
      <w:r>
        <w:t>(Vic)</w:t>
      </w:r>
      <w:r>
        <w:rPr>
          <w:i/>
        </w:rPr>
        <w:t xml:space="preserve"> </w:t>
      </w:r>
      <w:r>
        <w:t xml:space="preserve">(the Act) from 1 September 2018. Other Victorian public bodies are encouraged to adopt the framework. </w:t>
      </w:r>
    </w:p>
    <w:p w14:paraId="3AB6CE3C" w14:textId="77777777" w:rsidR="002E08A3" w:rsidRDefault="002E08A3" w:rsidP="002E08A3">
      <w:r>
        <w:t>The mandatory requirements established by the SPF apply to both departments and agencies and to government buyers</w:t>
      </w:r>
      <w:r>
        <w:rPr>
          <w:rStyle w:val="FootnoteReference"/>
        </w:rPr>
        <w:footnoteReference w:id="70"/>
      </w:r>
      <w:r>
        <w:t>. The SPF provides the authorising environment and sets a clear expectation to make social procurement business-as-usual.</w:t>
      </w:r>
    </w:p>
    <w:p w14:paraId="1212A399" w14:textId="77777777" w:rsidR="002E08A3" w:rsidRDefault="002E08A3" w:rsidP="002E08A3">
      <w:r>
        <w:t>The SPF is designed to embed social procurement throughout the procurement process and implement a consistent and streamlined approach to achieving social and sustainable outcomes through procurement. The framework establishes:</w:t>
      </w:r>
    </w:p>
    <w:p w14:paraId="701AE937" w14:textId="77777777" w:rsidR="002E08A3" w:rsidRDefault="002E08A3" w:rsidP="008A5429">
      <w:pPr>
        <w:pStyle w:val="Bullet1"/>
      </w:pPr>
      <w:r>
        <w:t xml:space="preserve">social and sustainable procurement objectives, and corresponding outcomes, which are discussed in detail in the </w:t>
      </w:r>
      <w:r>
        <w:rPr>
          <w:i/>
        </w:rPr>
        <w:t>Victoria’s</w:t>
      </w:r>
      <w:r>
        <w:t xml:space="preserve"> </w:t>
      </w:r>
      <w:r>
        <w:rPr>
          <w:i/>
        </w:rPr>
        <w:t>Social Procurement Framework</w:t>
      </w:r>
      <w:r>
        <w:t>;</w:t>
      </w:r>
    </w:p>
    <w:p w14:paraId="5371CB81" w14:textId="77777777" w:rsidR="002E08A3" w:rsidRDefault="002E08A3" w:rsidP="008A5429">
      <w:pPr>
        <w:pStyle w:val="Bullet1"/>
      </w:pPr>
      <w:r>
        <w:t xml:space="preserve">mandatory agency planning requirements for implementing the SPF, which are discussed in the </w:t>
      </w:r>
      <w:r>
        <w:rPr>
          <w:i/>
        </w:rPr>
        <w:t>Buyer Guidance – Guide to planning requirements</w:t>
      </w:r>
      <w:r>
        <w:t>;</w:t>
      </w:r>
    </w:p>
    <w:p w14:paraId="4F98FCB0" w14:textId="77777777" w:rsidR="002E08A3" w:rsidRDefault="002E08A3" w:rsidP="008A5429">
      <w:pPr>
        <w:pStyle w:val="Bullet1"/>
      </w:pPr>
      <w:r>
        <w:t xml:space="preserve">mandatory individual procurement activity requirements in the </w:t>
      </w:r>
      <w:r>
        <w:rPr>
          <w:i/>
        </w:rPr>
        <w:t>Buyer Guidance – Guide to individual procurement activity requirements</w:t>
      </w:r>
      <w:r>
        <w:t>, which apply based on the following four value thresholds:</w:t>
      </w:r>
    </w:p>
    <w:p w14:paraId="3B22CA33" w14:textId="77777777" w:rsidR="002E08A3" w:rsidRDefault="002E08A3" w:rsidP="008A5429">
      <w:pPr>
        <w:pStyle w:val="Bullet2"/>
        <w:ind w:left="576" w:hanging="288"/>
        <w:contextualSpacing/>
      </w:pPr>
      <w:r>
        <w:t>Below threshold: regional under $1 million/metro or state-wide under $3 million;</w:t>
      </w:r>
    </w:p>
    <w:p w14:paraId="40B3CD56" w14:textId="77777777" w:rsidR="002E08A3" w:rsidRDefault="002E08A3" w:rsidP="008A5429">
      <w:pPr>
        <w:pStyle w:val="Bullet2"/>
        <w:ind w:left="576" w:hanging="288"/>
        <w:contextualSpacing/>
      </w:pPr>
      <w:r>
        <w:t>Lower band: regional $1 to $20 million/metro or state-wide $3 million to $20 million</w:t>
      </w:r>
    </w:p>
    <w:p w14:paraId="4CD928AB" w14:textId="77777777" w:rsidR="002E08A3" w:rsidRDefault="002E08A3" w:rsidP="008A5429">
      <w:pPr>
        <w:pStyle w:val="Bullet2"/>
        <w:ind w:left="576" w:hanging="288"/>
        <w:contextualSpacing/>
      </w:pPr>
      <w:r>
        <w:t>Middle band: $20 to $50 million; and</w:t>
      </w:r>
    </w:p>
    <w:p w14:paraId="41FA0C73" w14:textId="77777777" w:rsidR="002E08A3" w:rsidRDefault="002E08A3" w:rsidP="008A5429">
      <w:pPr>
        <w:pStyle w:val="Bullet2"/>
        <w:ind w:left="576" w:hanging="288"/>
        <w:contextualSpacing/>
      </w:pPr>
      <w:r>
        <w:t>Upper band:  Over $50 million; and</w:t>
      </w:r>
    </w:p>
    <w:p w14:paraId="30BC79EF" w14:textId="77777777" w:rsidR="002E08A3" w:rsidRDefault="002E08A3" w:rsidP="008A5429">
      <w:pPr>
        <w:pStyle w:val="Bullet1"/>
      </w:pPr>
      <w:r>
        <w:t>mandatory measurement and reporting requirements, which are expounded in the SPF measurement and reporting guidance materials.</w:t>
      </w:r>
    </w:p>
    <w:p w14:paraId="499E9DB7" w14:textId="77777777" w:rsidR="002E08A3" w:rsidRDefault="002E08A3" w:rsidP="008A5429">
      <w:pPr>
        <w:rPr>
          <w:i/>
        </w:rPr>
      </w:pPr>
      <w:r>
        <w:t>The SPF and the accompanying guidance materials are available at: https://buyingfor.vic.gov.au/social-procurement-framework.</w:t>
      </w:r>
    </w:p>
    <w:p w14:paraId="651551CA" w14:textId="77777777" w:rsidR="009408C9" w:rsidRDefault="009408C9" w:rsidP="00FC17D9">
      <w:pPr>
        <w:pStyle w:val="Heading2NoNum"/>
      </w:pPr>
      <w:r>
        <w:t xml:space="preserve">ICT </w:t>
      </w:r>
      <w:r w:rsidRPr="00480429">
        <w:t>Procurement</w:t>
      </w:r>
      <w:r>
        <w:t xml:space="preserve"> Policy and Standards</w:t>
      </w:r>
      <w:r w:rsidR="006A6DD2">
        <w:t xml:space="preserve"> (Department of Premier and Cabinet)</w:t>
      </w:r>
    </w:p>
    <w:p w14:paraId="7DEFAA31" w14:textId="5F7F328E" w:rsidR="009408C9" w:rsidRDefault="0071312A" w:rsidP="008A5429">
      <w:hyperlink r:id="rId272" w:history="1">
        <w:r w:rsidRPr="00F97EBD">
          <w:rPr>
            <w:rStyle w:val="Hyperlink"/>
          </w:rPr>
          <w:t>Enterprise Solutions</w:t>
        </w:r>
      </w:hyperlink>
      <w:r w:rsidRPr="00F97EBD">
        <w:t xml:space="preserve"> produces standards, policies and governance frameworks for whole of Victorian government shared services and information </w:t>
      </w:r>
      <w:r w:rsidR="006A6DD2">
        <w:t xml:space="preserve">and communications technology. </w:t>
      </w:r>
    </w:p>
    <w:p w14:paraId="6E6104A5" w14:textId="77777777" w:rsidR="009408C9" w:rsidRDefault="009408C9" w:rsidP="00FC17D9">
      <w:pPr>
        <w:pStyle w:val="Heading2NoNum"/>
      </w:pPr>
      <w:r>
        <w:t>Traditional Contracting of infrastructure [Department of Treasury and Finance]</w:t>
      </w:r>
    </w:p>
    <w:p w14:paraId="1AFC2F0C" w14:textId="77777777" w:rsidR="009408C9" w:rsidRDefault="009408C9" w:rsidP="008A5429">
      <w:r>
        <w:t>The National framework for traditional contracting of infrastructure documents best practice to promote productivity improvements in the planning and contracting phase of major projects.</w:t>
      </w:r>
    </w:p>
    <w:p w14:paraId="57A591A3" w14:textId="77777777" w:rsidR="009408C9" w:rsidRDefault="009408C9" w:rsidP="008A5429">
      <w:r>
        <w:t>In the context of the framework, traditional contracting refers to those contracts that to varying degrees allocate construction and design risk to the suppliers (but are not alliances or PPPs).</w:t>
      </w:r>
    </w:p>
    <w:p w14:paraId="05D0EF7D" w14:textId="77777777" w:rsidR="009408C9" w:rsidRDefault="009408C9" w:rsidP="008A5429">
      <w:r>
        <w:t>The two primary categories of traditional contracting are:</w:t>
      </w:r>
    </w:p>
    <w:p w14:paraId="3B8036A6" w14:textId="77777777" w:rsidR="009408C9" w:rsidRDefault="009408C9" w:rsidP="00CA6CEE">
      <w:pPr>
        <w:pStyle w:val="Bullet1"/>
      </w:pPr>
      <w:r>
        <w:t xml:space="preserve">construct only (CO): the design has been undertaken by the client, and the supplier is responsible for constructing the works to the client’s design; and </w:t>
      </w:r>
    </w:p>
    <w:p w14:paraId="40BD4689" w14:textId="77777777" w:rsidR="009408C9" w:rsidRDefault="009408C9" w:rsidP="00CA6CEE">
      <w:pPr>
        <w:pStyle w:val="Bullet1"/>
      </w:pPr>
      <w:r>
        <w:t xml:space="preserve">design and construct (D&amp;C): generally a limited design has been undertaken by the client who then invites potential suppliers to tender on the basis of completing the client’s design and constructing to that design. </w:t>
      </w:r>
    </w:p>
    <w:p w14:paraId="02268823" w14:textId="77777777" w:rsidR="00CC0CB1" w:rsidRDefault="00CC0CB1">
      <w:pPr>
        <w:spacing w:before="0" w:after="200" w:line="276" w:lineRule="auto"/>
        <w:rPr>
          <w:color w:val="4D4D4D"/>
          <w:sz w:val="24"/>
          <w:szCs w:val="28"/>
        </w:rPr>
      </w:pPr>
      <w:r>
        <w:br w:type="page"/>
      </w:r>
    </w:p>
    <w:p w14:paraId="3847D381" w14:textId="441203BF" w:rsidR="0052666D" w:rsidRPr="00734E21" w:rsidRDefault="0052666D" w:rsidP="00FC17D9">
      <w:pPr>
        <w:pStyle w:val="Heading2NoNum"/>
      </w:pPr>
      <w:r>
        <w:lastRenderedPageBreak/>
        <w:t>Market</w:t>
      </w:r>
      <w:r w:rsidR="00D62B6D">
        <w:noBreakHyphen/>
      </w:r>
      <w:r>
        <w:t>led Proposals Guideline</w:t>
      </w:r>
      <w:r w:rsidR="006A6DD2">
        <w:t xml:space="preserve"> </w:t>
      </w:r>
      <w:r w:rsidRPr="00734E21">
        <w:t>[Department of Treasury and Finance]</w:t>
      </w:r>
    </w:p>
    <w:p w14:paraId="3689DE9F" w14:textId="1E85D638" w:rsidR="0052666D" w:rsidRPr="00734E21" w:rsidRDefault="0052666D" w:rsidP="008A5429">
      <w:r>
        <w:t xml:space="preserve">The </w:t>
      </w:r>
      <w:r w:rsidRPr="009E3EFD">
        <w:t>Market</w:t>
      </w:r>
      <w:r w:rsidR="00D62B6D" w:rsidRPr="009E3EFD">
        <w:noBreakHyphen/>
      </w:r>
      <w:r w:rsidRPr="009E3EFD">
        <w:t>led Proposal</w:t>
      </w:r>
      <w:r w:rsidR="00C374FA" w:rsidRPr="009E3EFD">
        <w:t>s</w:t>
      </w:r>
      <w:r w:rsidRPr="009E3EFD">
        <w:t xml:space="preserve"> </w:t>
      </w:r>
      <w:r w:rsidR="009E3EFD">
        <w:t>G</w:t>
      </w:r>
      <w:r w:rsidRPr="009E3EFD">
        <w:t>uideline</w:t>
      </w:r>
      <w:r w:rsidRPr="00734E21">
        <w:t xml:space="preserve"> documents a transparent and consistent process where private parties can directly approach Government seeking support and approval to provide a project or service. </w:t>
      </w:r>
    </w:p>
    <w:p w14:paraId="622E3CAC" w14:textId="5037CA2B" w:rsidR="0052666D" w:rsidRDefault="0052666D" w:rsidP="008A5429">
      <w:r w:rsidRPr="00734E21">
        <w:t>The Guideline does not apply to the routine procurement of goods and services as covered under Part 7A of the</w:t>
      </w:r>
      <w:r w:rsidR="00C726FA">
        <w:t xml:space="preserve"> FMA</w:t>
      </w:r>
      <w:r w:rsidRPr="00734E21">
        <w:t xml:space="preserve"> (i.e. goods and services covered by VGPB policies).</w:t>
      </w:r>
      <w:r>
        <w:t xml:space="preserve"> Further information can be found on DTF’s website – </w:t>
      </w:r>
      <w:r w:rsidRPr="009E3EFD">
        <w:t>Market</w:t>
      </w:r>
      <w:r w:rsidR="00D62B6D" w:rsidRPr="009E3EFD">
        <w:noBreakHyphen/>
      </w:r>
      <w:r w:rsidRPr="009E3EFD">
        <w:t>led proposals</w:t>
      </w:r>
      <w:r>
        <w:t>.</w:t>
      </w:r>
    </w:p>
    <w:p w14:paraId="31A8503F" w14:textId="77777777" w:rsidR="0052666D" w:rsidRDefault="0052666D" w:rsidP="00F97EBD">
      <w:pPr>
        <w:pStyle w:val="Heading1NoNum"/>
      </w:pPr>
      <w:r>
        <w:t xml:space="preserve">Other </w:t>
      </w:r>
      <w:r w:rsidR="00B75AAF">
        <w:t>guidance</w:t>
      </w:r>
    </w:p>
    <w:p w14:paraId="211B4F90" w14:textId="77777777" w:rsidR="00F86062" w:rsidRDefault="00F86062" w:rsidP="00F86062">
      <w:r>
        <w:t>The following provides further information on each of the policies and guidance. Guidance material is generally accessible via the following websites:</w:t>
      </w:r>
    </w:p>
    <w:p w14:paraId="2FC81683" w14:textId="2343D79C" w:rsidR="00F86062" w:rsidRPr="007D4DED" w:rsidRDefault="00F86062" w:rsidP="000B15FD">
      <w:pPr>
        <w:pStyle w:val="ListParagraph"/>
        <w:numPr>
          <w:ilvl w:val="0"/>
          <w:numId w:val="11"/>
        </w:numPr>
        <w:rPr>
          <w:rStyle w:val="Hyperlink"/>
          <w:color w:val="auto"/>
        </w:rPr>
      </w:pPr>
      <w:hyperlink r:id="rId273" w:history="1">
        <w:r w:rsidRPr="0071312A">
          <w:rPr>
            <w:rStyle w:val="Hyperlink"/>
          </w:rPr>
          <w:t>Department of Treasury and Finance</w:t>
        </w:r>
      </w:hyperlink>
      <w:r w:rsidR="00B75AAF">
        <w:rPr>
          <w:rStyle w:val="FootnoteReference"/>
          <w:color w:val="595959" w:themeColor="text1" w:themeTint="A6"/>
        </w:rPr>
        <w:footnoteReference w:id="71"/>
      </w:r>
    </w:p>
    <w:p w14:paraId="2A147935" w14:textId="0CBD93D9" w:rsidR="007D4DED" w:rsidRDefault="007D4DED" w:rsidP="000B15FD">
      <w:pPr>
        <w:pStyle w:val="ListParagraph"/>
        <w:numPr>
          <w:ilvl w:val="0"/>
          <w:numId w:val="11"/>
        </w:numPr>
      </w:pPr>
      <w:hyperlink r:id="rId274" w:history="1">
        <w:r w:rsidRPr="0035257D">
          <w:rPr>
            <w:rStyle w:val="Hyperlink"/>
          </w:rPr>
          <w:t>Enterprise Solutions</w:t>
        </w:r>
      </w:hyperlink>
      <w:r w:rsidR="00B75AAF">
        <w:rPr>
          <w:rStyle w:val="FootnoteReference"/>
          <w:color w:val="595959" w:themeColor="text1" w:themeTint="A6"/>
        </w:rPr>
        <w:footnoteReference w:id="72"/>
      </w:r>
    </w:p>
    <w:p w14:paraId="6E7AA305" w14:textId="5FDDA5E6" w:rsidR="00F86062" w:rsidRDefault="00F86062" w:rsidP="000B15FD">
      <w:pPr>
        <w:pStyle w:val="ListParagraph"/>
        <w:numPr>
          <w:ilvl w:val="0"/>
          <w:numId w:val="11"/>
        </w:numPr>
      </w:pPr>
      <w:hyperlink r:id="rId275" w:history="1">
        <w:r w:rsidRPr="0071312A">
          <w:rPr>
            <w:rStyle w:val="Hyperlink"/>
          </w:rPr>
          <w:t>Victorian Auditor</w:t>
        </w:r>
        <w:r w:rsidR="00D62B6D">
          <w:rPr>
            <w:rStyle w:val="Hyperlink"/>
          </w:rPr>
          <w:noBreakHyphen/>
        </w:r>
        <w:r w:rsidRPr="0071312A">
          <w:rPr>
            <w:rStyle w:val="Hyperlink"/>
          </w:rPr>
          <w:t>General’s Office</w:t>
        </w:r>
      </w:hyperlink>
      <w:r w:rsidR="00B75AAF">
        <w:rPr>
          <w:rStyle w:val="FootnoteReference"/>
          <w:color w:val="595959" w:themeColor="text1" w:themeTint="A6"/>
        </w:rPr>
        <w:footnoteReference w:id="73"/>
      </w:r>
      <w:r>
        <w:t xml:space="preserve"> </w:t>
      </w:r>
    </w:p>
    <w:p w14:paraId="71CCDC91" w14:textId="55325FFD" w:rsidR="00F86062" w:rsidRDefault="00F86062" w:rsidP="000B15FD">
      <w:pPr>
        <w:pStyle w:val="ListParagraph"/>
        <w:numPr>
          <w:ilvl w:val="0"/>
          <w:numId w:val="11"/>
        </w:numPr>
      </w:pPr>
      <w:hyperlink r:id="rId276" w:history="1">
        <w:r w:rsidRPr="0071312A">
          <w:rPr>
            <w:rStyle w:val="Hyperlink"/>
          </w:rPr>
          <w:t>Australian National Audit Office</w:t>
        </w:r>
      </w:hyperlink>
      <w:r w:rsidR="00B75AAF">
        <w:rPr>
          <w:rStyle w:val="FootnoteReference"/>
          <w:color w:val="595959" w:themeColor="text1" w:themeTint="A6"/>
        </w:rPr>
        <w:footnoteReference w:id="74"/>
      </w:r>
    </w:p>
    <w:p w14:paraId="5B369A4A" w14:textId="08995B49" w:rsidR="00F86062" w:rsidRDefault="00F86062" w:rsidP="000B15FD">
      <w:pPr>
        <w:pStyle w:val="ListParagraph"/>
        <w:numPr>
          <w:ilvl w:val="0"/>
          <w:numId w:val="11"/>
        </w:numPr>
      </w:pPr>
      <w:hyperlink r:id="rId277" w:history="1">
        <w:r w:rsidRPr="0071312A">
          <w:rPr>
            <w:rStyle w:val="Hyperlink"/>
          </w:rPr>
          <w:t xml:space="preserve">Department of Jobs, </w:t>
        </w:r>
        <w:r w:rsidR="00780F7A">
          <w:rPr>
            <w:rStyle w:val="Hyperlink"/>
          </w:rPr>
          <w:t>Precincts</w:t>
        </w:r>
      </w:hyperlink>
      <w:r w:rsidR="00780F7A">
        <w:rPr>
          <w:rStyle w:val="Hyperlink"/>
        </w:rPr>
        <w:t xml:space="preserve"> and Regions</w:t>
      </w:r>
      <w:r w:rsidR="00B75AAF">
        <w:rPr>
          <w:rStyle w:val="FootnoteReference"/>
          <w:color w:val="595959" w:themeColor="text1" w:themeTint="A6"/>
        </w:rPr>
        <w:footnoteReference w:id="75"/>
      </w:r>
    </w:p>
    <w:p w14:paraId="58C9ED36" w14:textId="7E4FA1FC" w:rsidR="00F86062" w:rsidRPr="004661D4" w:rsidRDefault="00F86062" w:rsidP="000B15FD">
      <w:pPr>
        <w:pStyle w:val="ListParagraph"/>
        <w:numPr>
          <w:ilvl w:val="0"/>
          <w:numId w:val="11"/>
        </w:numPr>
        <w:rPr>
          <w:rStyle w:val="Hyperlink"/>
          <w:color w:val="auto"/>
        </w:rPr>
      </w:pPr>
      <w:hyperlink r:id="rId278" w:history="1">
        <w:r w:rsidRPr="0071312A">
          <w:rPr>
            <w:rStyle w:val="Hyperlink"/>
          </w:rPr>
          <w:t>Victorian Government Purchasing Board</w:t>
        </w:r>
      </w:hyperlink>
      <w:r w:rsidR="00B75AAF">
        <w:rPr>
          <w:rStyle w:val="FootnoteReference"/>
          <w:color w:val="595959" w:themeColor="text1" w:themeTint="A6"/>
        </w:rPr>
        <w:footnoteReference w:id="76"/>
      </w:r>
    </w:p>
    <w:p w14:paraId="5A122640" w14:textId="15CD95E5" w:rsidR="00B07654" w:rsidRDefault="00B07654" w:rsidP="000B15FD">
      <w:pPr>
        <w:pStyle w:val="ListParagraph"/>
        <w:numPr>
          <w:ilvl w:val="0"/>
          <w:numId w:val="11"/>
        </w:numPr>
      </w:pPr>
      <w:r>
        <w:t>Buying for Victoria</w:t>
      </w:r>
      <w:r>
        <w:rPr>
          <w:rStyle w:val="FootnoteReference"/>
        </w:rPr>
        <w:footnoteReference w:id="77"/>
      </w:r>
    </w:p>
    <w:p w14:paraId="559E12C6" w14:textId="11B3E78F" w:rsidR="009408C9" w:rsidRDefault="009408C9" w:rsidP="00FC17D9">
      <w:pPr>
        <w:pStyle w:val="Heading2NoNum"/>
      </w:pPr>
      <w:r w:rsidRPr="00E843E2">
        <w:t>Investing smarter in public sector ICT: Turning principles into practice</w:t>
      </w:r>
      <w:r w:rsidR="00C374FA" w:rsidRPr="004661D4">
        <w:rPr>
          <w:rStyle w:val="FootnoteReference"/>
          <w:sz w:val="20"/>
          <w:szCs w:val="20"/>
        </w:rPr>
        <w:footnoteReference w:id="78"/>
      </w:r>
      <w:r w:rsidRPr="00E843E2">
        <w:t xml:space="preserve"> [Victorian</w:t>
      </w:r>
      <w:r>
        <w:t xml:space="preserve"> Auditor</w:t>
      </w:r>
      <w:r w:rsidR="00D62B6D">
        <w:noBreakHyphen/>
      </w:r>
      <w:r>
        <w:t>General’s Office]</w:t>
      </w:r>
    </w:p>
    <w:p w14:paraId="2C430DD2" w14:textId="77777777" w:rsidR="009408C9" w:rsidRDefault="009408C9" w:rsidP="008A5429">
      <w:r>
        <w:t>The guidance is designed to assist public sector chief executive officers and senior responsible officers to question and assess whether their investments are delivering their intended benefits, resulting in better business and financial value for government and the public.</w:t>
      </w:r>
    </w:p>
    <w:p w14:paraId="7D6D4D2C" w14:textId="77777777" w:rsidR="00B75AAF" w:rsidRDefault="00B75AAF" w:rsidP="003A27B8">
      <w:pPr>
        <w:pStyle w:val="NormalIndent2"/>
      </w:pPr>
    </w:p>
    <w:p w14:paraId="653691F0" w14:textId="77777777" w:rsidR="00B75AAF" w:rsidRDefault="00B75AAF" w:rsidP="003A27B8">
      <w:pPr>
        <w:pStyle w:val="NormalIndent2"/>
        <w:sectPr w:rsidR="00B75AAF" w:rsidSect="007F1A5E">
          <w:pgSz w:w="11906" w:h="16838"/>
          <w:pgMar w:top="1440" w:right="1008" w:bottom="1440" w:left="1008" w:header="706" w:footer="389" w:gutter="0"/>
          <w:cols w:space="708"/>
          <w:titlePg/>
          <w:docGrid w:linePitch="360"/>
        </w:sectPr>
      </w:pPr>
    </w:p>
    <w:p w14:paraId="798985D1" w14:textId="77777777" w:rsidR="009408C9" w:rsidRPr="00DF5BBA" w:rsidRDefault="009408C9" w:rsidP="009408C9">
      <w:pPr>
        <w:pStyle w:val="GuidanceTitle"/>
      </w:pPr>
      <w:bookmarkStart w:id="47" w:name="Guidance_4_2_2"/>
      <w:bookmarkStart w:id="48" w:name="_Toc441672091"/>
      <w:r w:rsidRPr="00C046C1">
        <w:lastRenderedPageBreak/>
        <w:t>Guidance 4.2.</w:t>
      </w:r>
      <w:r>
        <w:t>2</w:t>
      </w:r>
      <w:r w:rsidRPr="00C046C1">
        <w:t xml:space="preserve"> </w:t>
      </w:r>
      <w:bookmarkEnd w:id="47"/>
      <w:r w:rsidRPr="00C046C1">
        <w:t xml:space="preserve">– </w:t>
      </w:r>
      <w:r>
        <w:t>Discretionary financial benefits – g</w:t>
      </w:r>
      <w:r w:rsidRPr="00C046C1">
        <w:t>rants, sponsorships and donations</w:t>
      </w:r>
      <w:bookmarkEnd w:id="48"/>
    </w:p>
    <w:tbl>
      <w:tblPr>
        <w:tblStyle w:val="LightShading"/>
        <w:tblW w:w="9900" w:type="dxa"/>
        <w:tblLook w:val="0080" w:firstRow="0" w:lastRow="0" w:firstColumn="1" w:lastColumn="0" w:noHBand="0" w:noVBand="0"/>
      </w:tblPr>
      <w:tblGrid>
        <w:gridCol w:w="3119"/>
        <w:gridCol w:w="6781"/>
      </w:tblGrid>
      <w:tr w:rsidR="009408C9" w:rsidRPr="00DC6A03" w14:paraId="2B1D7E91" w14:textId="77777777" w:rsidTr="00E75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BDF96C4" w14:textId="77777777" w:rsidR="009408C9" w:rsidRPr="00F569EA" w:rsidRDefault="009408C9" w:rsidP="00E7501B">
            <w:pPr>
              <w:spacing w:before="40" w:after="40" w:line="285" w:lineRule="auto"/>
              <w:rPr>
                <w:b/>
                <w:sz w:val="18"/>
              </w:rPr>
            </w:pPr>
            <w:r w:rsidRPr="00F569EA">
              <w:rPr>
                <w:b/>
                <w:sz w:val="18"/>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3BA7B026" w14:textId="77777777" w:rsidR="009408C9" w:rsidRPr="00F569EA" w:rsidRDefault="009408C9" w:rsidP="00E7501B">
            <w:pPr>
              <w:spacing w:before="80" w:after="80"/>
              <w:rPr>
                <w:sz w:val="18"/>
              </w:rPr>
            </w:pPr>
            <w:r w:rsidRPr="00F569EA">
              <w:rPr>
                <w:sz w:val="18"/>
              </w:rPr>
              <w:t>Provides guidance on financial management control considerations in administering</w:t>
            </w:r>
            <w:r>
              <w:rPr>
                <w:sz w:val="18"/>
              </w:rPr>
              <w:t xml:space="preserve"> discretionary</w:t>
            </w:r>
            <w:r w:rsidRPr="00F569EA">
              <w:rPr>
                <w:sz w:val="18"/>
              </w:rPr>
              <w:t xml:space="preserve"> grants, sponsorships and donations.</w:t>
            </w:r>
          </w:p>
        </w:tc>
      </w:tr>
      <w:tr w:rsidR="009408C9" w:rsidRPr="005921BC" w14:paraId="5BF8C5BB" w14:textId="77777777" w:rsidTr="00E7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58D5592" w14:textId="77777777" w:rsidR="009408C9" w:rsidRPr="00F569EA" w:rsidRDefault="009408C9" w:rsidP="00E7501B">
            <w:pPr>
              <w:tabs>
                <w:tab w:val="left" w:pos="1524"/>
              </w:tabs>
              <w:spacing w:before="40" w:after="40" w:line="285" w:lineRule="auto"/>
              <w:rPr>
                <w:b/>
                <w:sz w:val="18"/>
              </w:rPr>
            </w:pPr>
            <w:r w:rsidRPr="00F569EA">
              <w:rPr>
                <w:b/>
                <w:sz w:val="18"/>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3A189429" w14:textId="77777777" w:rsidR="009408C9" w:rsidRPr="00F569EA" w:rsidRDefault="009408C9" w:rsidP="00E7501B">
            <w:pPr>
              <w:spacing w:before="40" w:after="40" w:line="285" w:lineRule="auto"/>
              <w:rPr>
                <w:sz w:val="18"/>
              </w:rPr>
            </w:pPr>
            <w:r>
              <w:rPr>
                <w:sz w:val="18"/>
              </w:rPr>
              <w:t>1 July 2016</w:t>
            </w:r>
          </w:p>
        </w:tc>
      </w:tr>
      <w:tr w:rsidR="009408C9" w:rsidRPr="005B0C7B" w14:paraId="2B6974D0" w14:textId="77777777" w:rsidTr="00E75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1C672CB" w14:textId="77777777" w:rsidR="009408C9" w:rsidRPr="00F569EA" w:rsidRDefault="009408C9" w:rsidP="000B6691">
            <w:pPr>
              <w:spacing w:before="40" w:after="40" w:line="285" w:lineRule="auto"/>
              <w:rPr>
                <w:b/>
                <w:sz w:val="18"/>
              </w:rPr>
            </w:pPr>
            <w:r>
              <w:rPr>
                <w:b/>
                <w:sz w:val="18"/>
              </w:rPr>
              <w:t>Relevant Direction</w:t>
            </w:r>
          </w:p>
        </w:tc>
        <w:tc>
          <w:tcPr>
            <w:cnfStyle w:val="000010000000" w:firstRow="0" w:lastRow="0" w:firstColumn="0" w:lastColumn="0" w:oddVBand="1" w:evenVBand="0" w:oddHBand="0" w:evenHBand="0" w:firstRowFirstColumn="0" w:firstRowLastColumn="0" w:lastRowFirstColumn="0" w:lastRowLastColumn="0"/>
            <w:tcW w:w="6781" w:type="dxa"/>
          </w:tcPr>
          <w:p w14:paraId="652ECA1C" w14:textId="2475D284" w:rsidR="009408C9" w:rsidRDefault="009408C9" w:rsidP="00E7501B">
            <w:pPr>
              <w:spacing w:before="40" w:after="40" w:line="285" w:lineRule="auto"/>
              <w:rPr>
                <w:sz w:val="18"/>
              </w:rPr>
            </w:pPr>
            <w:hyperlink r:id="rId279" w:anchor="standing-directions-2018" w:history="1">
              <w:r w:rsidRPr="00F33336">
                <w:rPr>
                  <w:rStyle w:val="Hyperlink"/>
                  <w:sz w:val="18"/>
                </w:rPr>
                <w:t>4.2 Using and managing public resources</w:t>
              </w:r>
            </w:hyperlink>
            <w:r>
              <w:rPr>
                <w:sz w:val="18"/>
              </w:rPr>
              <w:t xml:space="preserve"> </w:t>
            </w:r>
          </w:p>
          <w:p w14:paraId="4F0C7175" w14:textId="00BA7D6C" w:rsidR="009408C9" w:rsidRPr="00F569EA" w:rsidRDefault="009408C9" w:rsidP="00B9048F">
            <w:pPr>
              <w:spacing w:before="40" w:after="40" w:line="285" w:lineRule="auto"/>
              <w:rPr>
                <w:sz w:val="18"/>
              </w:rPr>
            </w:pPr>
            <w:hyperlink r:id="rId280" w:anchor="standing-directions-2018" w:history="1">
              <w:r w:rsidRPr="00F33336">
                <w:rPr>
                  <w:rStyle w:val="Hyperlink"/>
                  <w:sz w:val="18"/>
                </w:rPr>
                <w:t xml:space="preserve">4.2.2 Discretionary financial benefits – </w:t>
              </w:r>
              <w:r w:rsidR="00B9048F" w:rsidRPr="00F33336">
                <w:rPr>
                  <w:rStyle w:val="Hyperlink"/>
                  <w:sz w:val="18"/>
                </w:rPr>
                <w:t>g</w:t>
              </w:r>
              <w:r w:rsidRPr="00F33336">
                <w:rPr>
                  <w:rStyle w:val="Hyperlink"/>
                  <w:sz w:val="18"/>
                </w:rPr>
                <w:t>rants, sponsorships and donations</w:t>
              </w:r>
            </w:hyperlink>
          </w:p>
        </w:tc>
      </w:tr>
      <w:tr w:rsidR="009408C9" w:rsidRPr="005921BC" w14:paraId="6484071E" w14:textId="77777777" w:rsidTr="00E7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7B32B34" w14:textId="77777777" w:rsidR="009408C9" w:rsidRPr="00F569EA" w:rsidRDefault="009408C9" w:rsidP="00E7501B">
            <w:pPr>
              <w:spacing w:before="40" w:after="40" w:line="285" w:lineRule="auto"/>
              <w:rPr>
                <w:b/>
                <w:sz w:val="18"/>
              </w:rPr>
            </w:pPr>
            <w:r w:rsidRPr="00F569EA">
              <w:rPr>
                <w:b/>
                <w:sz w:val="18"/>
              </w:rPr>
              <w:t>Last reviewed</w:t>
            </w:r>
          </w:p>
        </w:tc>
        <w:tc>
          <w:tcPr>
            <w:cnfStyle w:val="000010000000" w:firstRow="0" w:lastRow="0" w:firstColumn="0" w:lastColumn="0" w:oddVBand="1" w:evenVBand="0" w:oddHBand="0" w:evenHBand="0" w:firstRowFirstColumn="0" w:firstRowLastColumn="0" w:lastRowFirstColumn="0" w:lastRowLastColumn="0"/>
            <w:tcW w:w="6781" w:type="dxa"/>
          </w:tcPr>
          <w:p w14:paraId="7F8D22FC" w14:textId="2A1A7289" w:rsidR="009408C9" w:rsidRPr="00F569EA" w:rsidRDefault="00515507" w:rsidP="00E7501B">
            <w:pPr>
              <w:spacing w:before="40" w:after="40" w:line="285" w:lineRule="auto"/>
              <w:rPr>
                <w:sz w:val="18"/>
              </w:rPr>
            </w:pPr>
            <w:r>
              <w:rPr>
                <w:rFonts w:cs="Times New Roman"/>
                <w:bCs/>
                <w:sz w:val="18"/>
                <w:szCs w:val="20"/>
              </w:rPr>
              <w:t>1 May 2019</w:t>
            </w:r>
          </w:p>
        </w:tc>
      </w:tr>
    </w:tbl>
    <w:p w14:paraId="26B89D84" w14:textId="77777777" w:rsidR="009408C9" w:rsidRPr="001A5F13" w:rsidRDefault="009408C9" w:rsidP="001A5F13">
      <w:pPr>
        <w:pStyle w:val="Heading1NoNum"/>
      </w:pPr>
      <w:r w:rsidRPr="001A5F13">
        <w:t>Discretionary financial benefits – grants, sponsorships and donations</w:t>
      </w:r>
    </w:p>
    <w:p w14:paraId="137F9D02" w14:textId="77777777" w:rsidR="009408C9" w:rsidRPr="00F505A3" w:rsidRDefault="009408C9" w:rsidP="009408C9">
      <w:r w:rsidRPr="00F505A3">
        <w:t>Discretionary financial benefits include discretionary grants, sponsorships and donations. These forms of discretionary financial benefits are given to a person or body (including community groups, statutory bodies or commercial enterprises) to achieve results sought by government policy. Such discretionary financial benefits do not include financial benefits as consideration for goods or services provided under a commercial agreement (e.g. contracts), or transfer of funds to a government entity for funding non</w:t>
      </w:r>
      <w:r w:rsidR="00D62B6D">
        <w:noBreakHyphen/>
      </w:r>
      <w:r w:rsidRPr="00F505A3">
        <w:t xml:space="preserve">contestable output delivery. </w:t>
      </w:r>
    </w:p>
    <w:p w14:paraId="21B71737" w14:textId="77777777" w:rsidR="009408C9" w:rsidRPr="00F505A3" w:rsidRDefault="009408C9" w:rsidP="009408C9">
      <w:r w:rsidRPr="00F505A3">
        <w:t xml:space="preserve">Discretionary financial benefits typically have the following characteristics: </w:t>
      </w:r>
    </w:p>
    <w:p w14:paraId="08026962" w14:textId="77777777" w:rsidR="009408C9" w:rsidRPr="00F505A3" w:rsidRDefault="009408C9" w:rsidP="00613E42">
      <w:pPr>
        <w:pStyle w:val="Bullet1"/>
        <w:ind w:left="288" w:hanging="288"/>
        <w:contextualSpacing/>
      </w:pPr>
      <w:r w:rsidRPr="00F505A3">
        <w:t>a transfer to a recipient which may be in return for compliance with certain terms and conditions;</w:t>
      </w:r>
    </w:p>
    <w:p w14:paraId="5F918441" w14:textId="77777777" w:rsidR="009408C9" w:rsidRPr="00F505A3" w:rsidRDefault="009408C9" w:rsidP="00613E42">
      <w:pPr>
        <w:pStyle w:val="Bullet1"/>
        <w:ind w:left="288" w:hanging="288"/>
        <w:contextualSpacing/>
      </w:pPr>
      <w:r w:rsidRPr="00F505A3">
        <w:t>a transfer which may not directly give approximately equal value in return to the Government (that is, there is a non</w:t>
      </w:r>
      <w:r w:rsidR="00D62B6D">
        <w:noBreakHyphen/>
      </w:r>
      <w:r w:rsidRPr="00F505A3">
        <w:t xml:space="preserve">exchange transaction or subsidisation so there may not be exact dollar for dollar value); </w:t>
      </w:r>
      <w:r w:rsidR="001B0BB7">
        <w:t>and</w:t>
      </w:r>
    </w:p>
    <w:p w14:paraId="6C8B9F88" w14:textId="77777777" w:rsidR="009408C9" w:rsidRPr="00F505A3" w:rsidRDefault="009408C9" w:rsidP="00613E42">
      <w:pPr>
        <w:pStyle w:val="Bullet1"/>
        <w:ind w:left="288" w:hanging="288"/>
        <w:contextualSpacing/>
      </w:pPr>
      <w:r w:rsidRPr="00F505A3">
        <w:t>a recipient may have been selected on merit against a set of program</w:t>
      </w:r>
      <w:r w:rsidR="00D62B6D">
        <w:noBreakHyphen/>
      </w:r>
      <w:r w:rsidRPr="00F505A3">
        <w:t>specific criteria.</w:t>
      </w:r>
    </w:p>
    <w:p w14:paraId="43741027" w14:textId="77777777" w:rsidR="009408C9" w:rsidRPr="001A5F13" w:rsidRDefault="009408C9" w:rsidP="001A5F13">
      <w:pPr>
        <w:pStyle w:val="Heading1NoNum"/>
      </w:pPr>
      <w:r w:rsidRPr="001A5F13">
        <w:t>Discretionary grants</w:t>
      </w:r>
    </w:p>
    <w:p w14:paraId="569C89CC" w14:textId="77777777" w:rsidR="009408C9" w:rsidRDefault="009408C9" w:rsidP="009408C9">
      <w:r w:rsidRPr="00F505A3">
        <w:t xml:space="preserve">A discretionary grant is money given to organisations or individuals for a specified purpose directed at achieving goals and objectives consistent with government policy. </w:t>
      </w:r>
      <w:r w:rsidRPr="002F70DD">
        <w:rPr>
          <w:rFonts w:ascii="Trebuchet MS" w:hAnsi="Trebuchet MS"/>
          <w:sz w:val="18"/>
          <w:szCs w:val="18"/>
          <w:lang w:val="en"/>
        </w:rPr>
        <w:t>Th</w:t>
      </w:r>
      <w:r w:rsidR="006F0D5C">
        <w:rPr>
          <w:rFonts w:ascii="Trebuchet MS" w:hAnsi="Trebuchet MS"/>
          <w:sz w:val="18"/>
          <w:szCs w:val="18"/>
          <w:lang w:val="en"/>
        </w:rPr>
        <w:t>e portfolio minister or paying A</w:t>
      </w:r>
      <w:r w:rsidRPr="002F70DD">
        <w:rPr>
          <w:rFonts w:ascii="Trebuchet MS" w:hAnsi="Trebuchet MS"/>
          <w:sz w:val="18"/>
          <w:szCs w:val="18"/>
          <w:lang w:val="en"/>
        </w:rPr>
        <w:t xml:space="preserve">gency has discretion in determining whether or not an applicant receives funding and may or may not impose conditions in return for the grant. </w:t>
      </w:r>
      <w:r w:rsidRPr="00F505A3">
        <w:t>Funds transferred to a government entity for non</w:t>
      </w:r>
      <w:r w:rsidR="00D62B6D">
        <w:noBreakHyphen/>
      </w:r>
      <w:r w:rsidRPr="00F505A3">
        <w:t>contestable output delivery is not considered a discretionary grant.</w:t>
      </w:r>
    </w:p>
    <w:p w14:paraId="4E5F4AF3" w14:textId="77777777" w:rsidR="009408C9" w:rsidRPr="002F70DD" w:rsidRDefault="009408C9" w:rsidP="00FC17D9">
      <w:pPr>
        <w:pStyle w:val="Heading2NoNum"/>
      </w:pPr>
      <w:r w:rsidRPr="002F70DD">
        <w:t>Investment principles for discretionary grants</w:t>
      </w:r>
    </w:p>
    <w:p w14:paraId="38CB1F13" w14:textId="34ACAC9B" w:rsidR="009408C9" w:rsidRPr="00F505A3" w:rsidRDefault="009408C9" w:rsidP="009408C9">
      <w:r w:rsidRPr="00F505A3">
        <w:t xml:space="preserve">The following </w:t>
      </w:r>
      <w:hyperlink r:id="rId281" w:anchor="standing-directions-2018" w:history="1">
        <w:r w:rsidRPr="002F70DD">
          <w:rPr>
            <w:rStyle w:val="Hyperlink"/>
          </w:rPr>
          <w:t>investment principles</w:t>
        </w:r>
      </w:hyperlink>
      <w:r w:rsidR="00BB0D15">
        <w:rPr>
          <w:rStyle w:val="FootnoteReference"/>
          <w:color w:val="595959" w:themeColor="text1" w:themeTint="A6"/>
        </w:rPr>
        <w:footnoteReference w:id="79"/>
      </w:r>
      <w:r w:rsidRPr="00F505A3">
        <w:t xml:space="preserve"> have been endorsed by the Victorian Government to guide the development of discretionary grants programs: </w:t>
      </w:r>
    </w:p>
    <w:p w14:paraId="6373EABA" w14:textId="77777777" w:rsidR="009408C9" w:rsidRPr="00BB0D15" w:rsidRDefault="009408C9" w:rsidP="000B15FD">
      <w:pPr>
        <w:pStyle w:val="GuidanceBullet1"/>
        <w:numPr>
          <w:ilvl w:val="0"/>
          <w:numId w:val="61"/>
        </w:numPr>
        <w:contextualSpacing/>
      </w:pPr>
      <w:r w:rsidRPr="00BB0D15">
        <w:t>grants should only be used when they secure a government policy outcome;</w:t>
      </w:r>
    </w:p>
    <w:p w14:paraId="7100BEB4" w14:textId="77777777" w:rsidR="009408C9" w:rsidRPr="00BB0D15" w:rsidRDefault="009408C9" w:rsidP="000B15FD">
      <w:pPr>
        <w:pStyle w:val="GuidanceBullet1"/>
        <w:numPr>
          <w:ilvl w:val="0"/>
          <w:numId w:val="61"/>
        </w:numPr>
        <w:contextualSpacing/>
      </w:pPr>
      <w:r w:rsidRPr="00BB0D15">
        <w:t>discretionary grants should not be used without first considering alternative policy mechanisms or existing grant programs;</w:t>
      </w:r>
    </w:p>
    <w:p w14:paraId="44A0F720" w14:textId="77777777" w:rsidR="009408C9" w:rsidRPr="00BB0D15" w:rsidRDefault="009408C9" w:rsidP="000B15FD">
      <w:pPr>
        <w:pStyle w:val="GuidanceBullet1"/>
        <w:numPr>
          <w:ilvl w:val="0"/>
          <w:numId w:val="61"/>
        </w:numPr>
        <w:contextualSpacing/>
      </w:pPr>
      <w:r w:rsidRPr="00BB0D15">
        <w:t>grants should not be used with the princip</w:t>
      </w:r>
      <w:r w:rsidR="005D25DD" w:rsidRPr="00BB0D15">
        <w:t>al</w:t>
      </w:r>
      <w:r w:rsidRPr="00BB0D15">
        <w:t xml:space="preserve"> objective of transferring revenue to local government;</w:t>
      </w:r>
    </w:p>
    <w:p w14:paraId="6E356AA7" w14:textId="77777777" w:rsidR="009408C9" w:rsidRPr="00BB0D15" w:rsidRDefault="009408C9" w:rsidP="000B15FD">
      <w:pPr>
        <w:pStyle w:val="GuidanceBullet1"/>
        <w:numPr>
          <w:ilvl w:val="0"/>
          <w:numId w:val="61"/>
        </w:numPr>
        <w:contextualSpacing/>
      </w:pPr>
      <w:r w:rsidRPr="00BB0D15">
        <w:t>care should be taken to ensure grants do not lead to State Government overreach into Local Government’s areas of responsibility, nor create an ongoing need for funding;</w:t>
      </w:r>
    </w:p>
    <w:p w14:paraId="12497551" w14:textId="77777777" w:rsidR="009408C9" w:rsidRPr="00BB0D15" w:rsidRDefault="009408C9" w:rsidP="000B15FD">
      <w:pPr>
        <w:pStyle w:val="GuidanceBullet1"/>
        <w:numPr>
          <w:ilvl w:val="0"/>
          <w:numId w:val="61"/>
        </w:numPr>
        <w:contextualSpacing/>
      </w:pPr>
      <w:r w:rsidRPr="00BB0D15">
        <w:t>grants programs should be designed to minimise administration costs;</w:t>
      </w:r>
    </w:p>
    <w:p w14:paraId="27266697" w14:textId="77777777" w:rsidR="009408C9" w:rsidRPr="00BB0D15" w:rsidRDefault="009408C9" w:rsidP="000B15FD">
      <w:pPr>
        <w:pStyle w:val="GuidanceBullet1"/>
        <w:numPr>
          <w:ilvl w:val="0"/>
          <w:numId w:val="61"/>
        </w:numPr>
        <w:contextualSpacing/>
      </w:pPr>
      <w:r w:rsidRPr="00BB0D15">
        <w:t>when small grants are used, they should be administered by the organisation that is able to do so most efficiently;</w:t>
      </w:r>
    </w:p>
    <w:p w14:paraId="68172ED0" w14:textId="77777777" w:rsidR="009408C9" w:rsidRPr="00F505A3" w:rsidRDefault="009408C9" w:rsidP="000B15FD">
      <w:pPr>
        <w:pStyle w:val="GuidanceBullet1"/>
        <w:numPr>
          <w:ilvl w:val="0"/>
          <w:numId w:val="61"/>
        </w:numPr>
        <w:contextualSpacing/>
      </w:pPr>
      <w:r w:rsidRPr="00BB0D15">
        <w:t>accountability</w:t>
      </w:r>
      <w:r w:rsidRPr="00F505A3">
        <w:t xml:space="preserve"> requirements imposed on grant recipients should be proportionate to risk;</w:t>
      </w:r>
    </w:p>
    <w:p w14:paraId="5C6BD2DA" w14:textId="77777777" w:rsidR="009408C9" w:rsidRPr="00F505A3" w:rsidRDefault="009408C9" w:rsidP="000B15FD">
      <w:pPr>
        <w:pStyle w:val="GuidanceBullet1"/>
        <w:numPr>
          <w:ilvl w:val="0"/>
          <w:numId w:val="61"/>
        </w:numPr>
        <w:contextualSpacing/>
      </w:pPr>
      <w:r w:rsidRPr="00F505A3">
        <w:t>grants can be disbursed by competitive, negotiated or allocated mechanisms; and</w:t>
      </w:r>
    </w:p>
    <w:p w14:paraId="2F84E79D" w14:textId="25717B03" w:rsidR="009408C9" w:rsidRPr="00F505A3" w:rsidRDefault="009408C9" w:rsidP="000B15FD">
      <w:pPr>
        <w:pStyle w:val="GuidanceBullet1"/>
        <w:numPr>
          <w:ilvl w:val="0"/>
          <w:numId w:val="61"/>
        </w:numPr>
        <w:contextualSpacing/>
      </w:pPr>
      <w:hyperlink r:id="rId282" w:history="1">
        <w:r w:rsidRPr="00E325E1">
          <w:rPr>
            <w:rStyle w:val="Hyperlink"/>
          </w:rPr>
          <w:t>Better Grants by Design</w:t>
        </w:r>
      </w:hyperlink>
      <w:bookmarkStart w:id="49" w:name="_Ref443468101"/>
      <w:r w:rsidR="00BB0D15">
        <w:rPr>
          <w:rStyle w:val="FootnoteReference"/>
          <w:color w:val="595959" w:themeColor="text1" w:themeTint="A6"/>
        </w:rPr>
        <w:footnoteReference w:id="80"/>
      </w:r>
      <w:bookmarkEnd w:id="49"/>
      <w:r w:rsidR="00BB0D15" w:rsidRPr="00F505A3">
        <w:t xml:space="preserve"> </w:t>
      </w:r>
      <w:r w:rsidRPr="00F505A3">
        <w:t xml:space="preserve">should be used to provide further guidance when designing and developing new grant programs. </w:t>
      </w:r>
    </w:p>
    <w:p w14:paraId="18B63386" w14:textId="34DEAAA6" w:rsidR="009408C9" w:rsidRPr="00F505A3" w:rsidRDefault="009408C9" w:rsidP="009408C9">
      <w:pPr>
        <w:rPr>
          <w:highlight w:val="yellow"/>
        </w:rPr>
      </w:pPr>
      <w:hyperlink r:id="rId283" w:history="1">
        <w:r w:rsidRPr="00E325E1">
          <w:rPr>
            <w:rStyle w:val="Hyperlink"/>
          </w:rPr>
          <w:t>Better Grants by Design</w:t>
        </w:r>
      </w:hyperlink>
      <w:r w:rsidR="00FC3FA9">
        <w:rPr>
          <w:rStyle w:val="Hyperlink"/>
        </w:rPr>
        <w:t xml:space="preserve"> </w:t>
      </w:r>
      <w:r w:rsidRPr="00F505A3">
        <w:t>may also assist in considering, making and managing other discretionary financial benefits to achieve program objectives.</w:t>
      </w:r>
    </w:p>
    <w:p w14:paraId="20E36C14" w14:textId="77777777" w:rsidR="009408C9" w:rsidRPr="00F505A3" w:rsidRDefault="009408C9" w:rsidP="009408C9">
      <w:pPr>
        <w:pStyle w:val="Heading1NoNum"/>
        <w:rPr>
          <w:sz w:val="20"/>
        </w:rPr>
      </w:pPr>
      <w:r w:rsidRPr="00F505A3">
        <w:lastRenderedPageBreak/>
        <w:t>Sponsorships</w:t>
      </w:r>
      <w:r w:rsidRPr="00F505A3">
        <w:rPr>
          <w:sz w:val="20"/>
        </w:rPr>
        <w:t xml:space="preserve"> </w:t>
      </w:r>
    </w:p>
    <w:p w14:paraId="4FB61148" w14:textId="77777777" w:rsidR="009408C9" w:rsidRPr="00F505A3" w:rsidRDefault="009408C9" w:rsidP="009408C9">
      <w:pPr>
        <w:spacing w:before="120" w:after="120" w:line="240" w:lineRule="atLeast"/>
      </w:pPr>
      <w:r w:rsidRPr="00F505A3">
        <w:t>Sponsorship is the purchase or receipt of rights or benefits, including naming rights, delivered through association with an organisation's products, services or activities. The rights or benefits typically relate to the sponsor's reputation management or communication objectives.</w:t>
      </w:r>
    </w:p>
    <w:p w14:paraId="16C1E514" w14:textId="2CB09DD6" w:rsidR="009408C9" w:rsidRPr="00F505A3" w:rsidRDefault="009408C9" w:rsidP="009408C9">
      <w:pPr>
        <w:spacing w:before="120" w:after="120" w:line="240" w:lineRule="atLeast"/>
      </w:pPr>
      <w:r w:rsidRPr="00F505A3">
        <w:t xml:space="preserve">Sponsorship includes partnership arrangements, except when the arrangement is governed by the </w:t>
      </w:r>
      <w:hyperlink r:id="rId284" w:history="1">
        <w:r w:rsidRPr="002F70DD">
          <w:rPr>
            <w:rStyle w:val="Hyperlink"/>
          </w:rPr>
          <w:t xml:space="preserve">Partnerships Victoria Requirements </w:t>
        </w:r>
      </w:hyperlink>
      <w:r w:rsidR="00BB0D15">
        <w:rPr>
          <w:rStyle w:val="FootnoteReference"/>
          <w:color w:val="595959" w:themeColor="text1" w:themeTint="A6"/>
        </w:rPr>
        <w:footnoteReference w:id="81"/>
      </w:r>
      <w:r w:rsidRPr="00F505A3">
        <w:t xml:space="preserve"> or otherwise involves the development or management of infrastructure.</w:t>
      </w:r>
    </w:p>
    <w:p w14:paraId="277DF5A7" w14:textId="4985597B" w:rsidR="009408C9" w:rsidRPr="00F505A3" w:rsidRDefault="009408C9" w:rsidP="009408C9">
      <w:pPr>
        <w:spacing w:before="120" w:after="120" w:line="240" w:lineRule="atLeast"/>
      </w:pPr>
      <w:r w:rsidRPr="00F505A3">
        <w:t>Departments are</w:t>
      </w:r>
      <w:r w:rsidR="006F0D5C">
        <w:t xml:space="preserve"> required to develop their own A</w:t>
      </w:r>
      <w:r w:rsidRPr="00F505A3">
        <w:t>gency</w:t>
      </w:r>
      <w:r w:rsidR="00D62B6D">
        <w:noBreakHyphen/>
      </w:r>
      <w:r w:rsidRPr="00F505A3">
        <w:t xml:space="preserve">specific sponsorship procedures based on, and consistent with, the principles identified in the </w:t>
      </w:r>
      <w:hyperlink r:id="rId285" w:history="1">
        <w:r w:rsidRPr="00DF5BBA">
          <w:rPr>
            <w:rStyle w:val="Hyperlink"/>
          </w:rPr>
          <w:t>Victorian Government Sponsorship Policy</w:t>
        </w:r>
      </w:hyperlink>
      <w:r w:rsidR="00BB0D15">
        <w:rPr>
          <w:rStyle w:val="FootnoteReference"/>
          <w:color w:val="595959" w:themeColor="text1" w:themeTint="A6"/>
        </w:rPr>
        <w:footnoteReference w:id="82"/>
      </w:r>
      <w:r w:rsidRPr="00DF5BBA">
        <w:t>.</w:t>
      </w:r>
    </w:p>
    <w:p w14:paraId="2645C2CA" w14:textId="77777777" w:rsidR="009408C9" w:rsidRPr="00F505A3" w:rsidRDefault="009408C9" w:rsidP="009408C9">
      <w:pPr>
        <w:pStyle w:val="Heading1NoNum"/>
        <w:rPr>
          <w:sz w:val="20"/>
        </w:rPr>
      </w:pPr>
      <w:r w:rsidRPr="00F505A3">
        <w:t>Donations</w:t>
      </w:r>
    </w:p>
    <w:p w14:paraId="5D4E7EEC" w14:textId="7FB6438A" w:rsidR="009408C9" w:rsidRDefault="009408C9" w:rsidP="009408C9">
      <w:r w:rsidRPr="00F505A3">
        <w:t xml:space="preserve">Donations or bequests are </w:t>
      </w:r>
      <w:hyperlink r:id="rId286" w:history="1">
        <w:r w:rsidRPr="00AD2F19">
          <w:rPr>
            <w:rStyle w:val="Hyperlink"/>
          </w:rPr>
          <w:t>gifts</w:t>
        </w:r>
      </w:hyperlink>
      <w:r w:rsidRPr="00F505A3">
        <w:t xml:space="preserve"> given, typically for </w:t>
      </w:r>
      <w:hyperlink r:id="rId287" w:history="1">
        <w:r w:rsidRPr="00AD2F19">
          <w:rPr>
            <w:rStyle w:val="Hyperlink"/>
          </w:rPr>
          <w:t>charitable</w:t>
        </w:r>
      </w:hyperlink>
      <w:r w:rsidRPr="00F505A3">
        <w:t xml:space="preserve"> purposes and/or to benefit a cause. They impose no obligations on the recipient and offer little or no rights or benefits to the provider.</w:t>
      </w:r>
      <w:r w:rsidR="00B42574">
        <w:t xml:space="preserve"> Most Agencies will rarely give or receive a donation. </w:t>
      </w:r>
    </w:p>
    <w:p w14:paraId="2767FEC6" w14:textId="014C5484" w:rsidR="00712DEA" w:rsidRDefault="00712DEA" w:rsidP="009408C9">
      <w:r>
        <w:t xml:space="preserve">Under </w:t>
      </w:r>
      <w:hyperlink r:id="rId288" w:anchor="standing-directions-2018" w:history="1">
        <w:r w:rsidRPr="00D4158F">
          <w:rPr>
            <w:rStyle w:val="Hyperlink"/>
          </w:rPr>
          <w:t>Direction 4.2.2</w:t>
        </w:r>
        <w:r w:rsidRPr="00FB599D">
          <w:rPr>
            <w:rStyle w:val="Hyperlink"/>
          </w:rPr>
          <w:t>(b)</w:t>
        </w:r>
      </w:hyperlink>
      <w:r>
        <w:t>, donations must be subject to effective and efficient administrative controls.</w:t>
      </w:r>
      <w:r w:rsidR="00DF672B">
        <w:t xml:space="preserve"> More broadly, donations must be subject to proper financial management, such as </w:t>
      </w:r>
      <w:hyperlink r:id="rId289" w:anchor="standing-directions-2018" w:history="1">
        <w:r w:rsidR="00DF672B" w:rsidRPr="00D4158F">
          <w:rPr>
            <w:rStyle w:val="Hyperlink"/>
          </w:rPr>
          <w:t>Direction 3.2</w:t>
        </w:r>
      </w:hyperlink>
      <w:r w:rsidR="00DF672B" w:rsidRPr="00D4158F">
        <w:t>,</w:t>
      </w:r>
      <w:r w:rsidR="00DF672B">
        <w:t xml:space="preserve"> requiring an effective internal control system to </w:t>
      </w:r>
      <w:r w:rsidR="00DF672B">
        <w:rPr>
          <w:rFonts w:eastAsiaTheme="minorHAnsi"/>
          <w:color w:val="000000"/>
          <w:szCs w:val="20"/>
          <w:lang w:eastAsia="en-US"/>
        </w:rPr>
        <w:t>ensure efficient operations and safeguard resources</w:t>
      </w:r>
      <w:r w:rsidR="00DF672B">
        <w:t>.</w:t>
      </w:r>
      <w:r>
        <w:t xml:space="preserve"> Due to the nature of donations,</w:t>
      </w:r>
      <w:r w:rsidR="004038E5">
        <w:t xml:space="preserve"> giving or receiving a donation </w:t>
      </w:r>
      <w:r>
        <w:t xml:space="preserve">would normally require a strong rationale and a high level of approval within an Agency. </w:t>
      </w:r>
      <w:r w:rsidR="00B42574">
        <w:t>Agencies that more regularly deal with donations, such as</w:t>
      </w:r>
      <w:r w:rsidR="00DF672B">
        <w:t xml:space="preserve"> some</w:t>
      </w:r>
      <w:r w:rsidR="00B42574">
        <w:t xml:space="preserve"> arts agencies, should have more detailed policies and procedures in place</w:t>
      </w:r>
      <w:r w:rsidR="00995ED6">
        <w:t xml:space="preserve">. </w:t>
      </w:r>
    </w:p>
    <w:p w14:paraId="5BA5C001" w14:textId="77777777" w:rsidR="00565CAB" w:rsidRPr="00F505A3" w:rsidRDefault="00565CAB" w:rsidP="00565CAB">
      <w:pPr>
        <w:pStyle w:val="Heading1NoNum"/>
        <w:rPr>
          <w:sz w:val="20"/>
        </w:rPr>
      </w:pPr>
      <w:r>
        <w:t>Gifts</w:t>
      </w:r>
      <w:r w:rsidR="00712DEA">
        <w:t>, benefits and hospitality</w:t>
      </w:r>
    </w:p>
    <w:p w14:paraId="00C3CA8C" w14:textId="5B39E9B3" w:rsidR="009408C9" w:rsidRDefault="00B42574" w:rsidP="009408C9">
      <w:r>
        <w:t xml:space="preserve">Gifts, benefits and hospitality are not forms of discretionary financial benefits. </w:t>
      </w:r>
      <w:r w:rsidR="00565CAB">
        <w:t xml:space="preserve">The </w:t>
      </w:r>
      <w:hyperlink r:id="rId290" w:history="1">
        <w:r w:rsidR="00712DEA" w:rsidRPr="00DF5BBA">
          <w:rPr>
            <w:rStyle w:val="Hyperlink"/>
          </w:rPr>
          <w:t>Gifts, Benefits and Hospitality Policy Framework</w:t>
        </w:r>
      </w:hyperlink>
      <w:r w:rsidR="00BB0D15">
        <w:rPr>
          <w:rStyle w:val="FootnoteReference"/>
          <w:color w:val="595959" w:themeColor="text1" w:themeTint="A6"/>
        </w:rPr>
        <w:footnoteReference w:id="83"/>
      </w:r>
      <w:r w:rsidR="00712DEA">
        <w:t xml:space="preserve"> sets out the S</w:t>
      </w:r>
      <w:r w:rsidR="00565CAB">
        <w:t xml:space="preserve">tate’s framework for </w:t>
      </w:r>
      <w:r w:rsidR="00712DEA">
        <w:t xml:space="preserve">gifts, benefits and hospitality </w:t>
      </w:r>
      <w:r w:rsidR="009408C9" w:rsidRPr="00F505A3">
        <w:t xml:space="preserve">given or received by Agencies </w:t>
      </w:r>
      <w:r w:rsidR="00712DEA">
        <w:t>and their</w:t>
      </w:r>
      <w:r w:rsidR="00613E42">
        <w:t> </w:t>
      </w:r>
      <w:r w:rsidR="00712DEA">
        <w:t>staff.</w:t>
      </w:r>
    </w:p>
    <w:p w14:paraId="723E0AB6" w14:textId="77777777" w:rsidR="00BB0D15" w:rsidRPr="00F505A3" w:rsidRDefault="00BB0D15" w:rsidP="009408C9"/>
    <w:p w14:paraId="512DEE9D" w14:textId="77777777" w:rsidR="009408C9" w:rsidRDefault="009408C9" w:rsidP="00A0077C">
      <w:pPr>
        <w:sectPr w:rsidR="009408C9" w:rsidSect="007F1A5E">
          <w:pgSz w:w="11906" w:h="16838"/>
          <w:pgMar w:top="1440" w:right="1008" w:bottom="1440" w:left="1008" w:header="706" w:footer="389" w:gutter="0"/>
          <w:cols w:space="708"/>
          <w:titlePg/>
          <w:docGrid w:linePitch="360"/>
        </w:sectPr>
      </w:pPr>
    </w:p>
    <w:p w14:paraId="6A27E436" w14:textId="77777777" w:rsidR="009408C9" w:rsidRPr="009408C9" w:rsidRDefault="009408C9" w:rsidP="007F577D">
      <w:pPr>
        <w:pStyle w:val="GuidanceTitle"/>
      </w:pPr>
      <w:bookmarkStart w:id="50" w:name="Guidance_5_1"/>
      <w:r w:rsidRPr="009408C9">
        <w:lastRenderedPageBreak/>
        <w:t xml:space="preserve">Guidance 5.1 </w:t>
      </w:r>
      <w:bookmarkEnd w:id="50"/>
      <w:r w:rsidRPr="009408C9">
        <w:t>– Financial management compliance</w:t>
      </w:r>
    </w:p>
    <w:tbl>
      <w:tblPr>
        <w:tblStyle w:val="LightShading"/>
        <w:tblW w:w="9900" w:type="dxa"/>
        <w:tblLook w:val="0080" w:firstRow="0" w:lastRow="0" w:firstColumn="1" w:lastColumn="0" w:noHBand="0" w:noVBand="0"/>
      </w:tblPr>
      <w:tblGrid>
        <w:gridCol w:w="3119"/>
        <w:gridCol w:w="6781"/>
      </w:tblGrid>
      <w:tr w:rsidR="009408C9" w:rsidRPr="009408C9" w14:paraId="6E833211" w14:textId="77777777" w:rsidTr="00E75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76ACA08" w14:textId="77777777" w:rsidR="009408C9" w:rsidRPr="009408C9" w:rsidRDefault="009408C9" w:rsidP="009408C9">
            <w:pPr>
              <w:suppressAutoHyphens/>
              <w:autoSpaceDN w:val="0"/>
              <w:spacing w:before="40" w:after="40" w:line="260" w:lineRule="atLeast"/>
              <w:textAlignment w:val="baseline"/>
              <w:rPr>
                <w:b/>
                <w:bCs w:val="0"/>
                <w:sz w:val="18"/>
              </w:rPr>
            </w:pPr>
            <w:r w:rsidRPr="009408C9">
              <w:rPr>
                <w:b/>
                <w:sz w:val="18"/>
              </w:rPr>
              <w:t>Objective</w:t>
            </w:r>
          </w:p>
        </w:tc>
        <w:tc>
          <w:tcPr>
            <w:cnfStyle w:val="000010000000" w:firstRow="0" w:lastRow="0" w:firstColumn="0" w:lastColumn="0" w:oddVBand="1" w:evenVBand="0" w:oddHBand="0" w:evenHBand="0" w:firstRowFirstColumn="0" w:firstRowLastColumn="0" w:lastRowFirstColumn="0" w:lastRowLastColumn="0"/>
            <w:tcW w:w="6781" w:type="dxa"/>
          </w:tcPr>
          <w:p w14:paraId="76D54349" w14:textId="77777777" w:rsidR="009408C9" w:rsidRPr="009408C9" w:rsidRDefault="009408C9" w:rsidP="009408C9">
            <w:pPr>
              <w:suppressAutoHyphens/>
              <w:autoSpaceDN w:val="0"/>
              <w:spacing w:before="40" w:after="40" w:line="260" w:lineRule="atLeast"/>
              <w:textAlignment w:val="baseline"/>
              <w:rPr>
                <w:sz w:val="18"/>
              </w:rPr>
            </w:pPr>
            <w:r w:rsidRPr="009408C9">
              <w:rPr>
                <w:sz w:val="18"/>
              </w:rPr>
              <w:t>Provides guidance on the financial management compliance framework requirements and the review and reporting of compliance including transitional arrangements</w:t>
            </w:r>
          </w:p>
        </w:tc>
      </w:tr>
      <w:tr w:rsidR="009408C9" w:rsidRPr="009408C9" w14:paraId="7BAA5343" w14:textId="77777777" w:rsidTr="00E7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A249B68" w14:textId="77777777" w:rsidR="009408C9" w:rsidRPr="009408C9" w:rsidRDefault="009408C9" w:rsidP="009408C9">
            <w:pPr>
              <w:suppressAutoHyphens/>
              <w:autoSpaceDN w:val="0"/>
              <w:spacing w:before="40" w:after="40" w:line="260" w:lineRule="atLeast"/>
              <w:textAlignment w:val="baseline"/>
              <w:rPr>
                <w:b/>
                <w:bCs w:val="0"/>
                <w:sz w:val="18"/>
              </w:rPr>
            </w:pPr>
            <w:r w:rsidRPr="009408C9">
              <w:rPr>
                <w:b/>
                <w:sz w:val="18"/>
              </w:rPr>
              <w:t>Effective date</w:t>
            </w:r>
          </w:p>
        </w:tc>
        <w:tc>
          <w:tcPr>
            <w:cnfStyle w:val="000010000000" w:firstRow="0" w:lastRow="0" w:firstColumn="0" w:lastColumn="0" w:oddVBand="1" w:evenVBand="0" w:oddHBand="0" w:evenHBand="0" w:firstRowFirstColumn="0" w:firstRowLastColumn="0" w:lastRowFirstColumn="0" w:lastRowLastColumn="0"/>
            <w:tcW w:w="6781" w:type="dxa"/>
          </w:tcPr>
          <w:p w14:paraId="296AA78B" w14:textId="77777777" w:rsidR="009408C9" w:rsidRPr="009408C9" w:rsidRDefault="009408C9" w:rsidP="009408C9">
            <w:pPr>
              <w:suppressAutoHyphens/>
              <w:autoSpaceDN w:val="0"/>
              <w:spacing w:before="40" w:after="40" w:line="260" w:lineRule="atLeast"/>
              <w:textAlignment w:val="baseline"/>
              <w:rPr>
                <w:sz w:val="18"/>
              </w:rPr>
            </w:pPr>
            <w:r w:rsidRPr="009408C9">
              <w:rPr>
                <w:sz w:val="18"/>
              </w:rPr>
              <w:t>1 July 2016</w:t>
            </w:r>
          </w:p>
        </w:tc>
      </w:tr>
      <w:tr w:rsidR="009408C9" w:rsidRPr="009408C9" w14:paraId="750BA9B9" w14:textId="77777777" w:rsidTr="00E75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0493464" w14:textId="77777777" w:rsidR="009408C9" w:rsidRPr="009408C9" w:rsidRDefault="009408C9" w:rsidP="000B6691">
            <w:pPr>
              <w:suppressAutoHyphens/>
              <w:autoSpaceDN w:val="0"/>
              <w:spacing w:before="40" w:after="40" w:line="260" w:lineRule="atLeast"/>
              <w:textAlignment w:val="baseline"/>
              <w:rPr>
                <w:b/>
                <w:bCs w:val="0"/>
                <w:sz w:val="18"/>
              </w:rPr>
            </w:pPr>
            <w:r w:rsidRPr="009408C9">
              <w:rPr>
                <w:b/>
                <w:sz w:val="18"/>
              </w:rPr>
              <w:t xml:space="preserve">Relevant </w:t>
            </w:r>
            <w:r w:rsidR="000B6691">
              <w:rPr>
                <w:b/>
                <w:sz w:val="18"/>
              </w:rPr>
              <w:t>Direction</w:t>
            </w:r>
          </w:p>
        </w:tc>
        <w:tc>
          <w:tcPr>
            <w:cnfStyle w:val="000010000000" w:firstRow="0" w:lastRow="0" w:firstColumn="0" w:lastColumn="0" w:oddVBand="1" w:evenVBand="0" w:oddHBand="0" w:evenHBand="0" w:firstRowFirstColumn="0" w:firstRowLastColumn="0" w:lastRowFirstColumn="0" w:lastRowLastColumn="0"/>
            <w:tcW w:w="6781" w:type="dxa"/>
          </w:tcPr>
          <w:p w14:paraId="236BAE55" w14:textId="1F3B5467" w:rsidR="009408C9" w:rsidRPr="009408C9" w:rsidRDefault="009408C9" w:rsidP="009408C9">
            <w:pPr>
              <w:suppressAutoHyphens/>
              <w:autoSpaceDN w:val="0"/>
              <w:spacing w:before="40" w:after="40" w:line="260" w:lineRule="atLeast"/>
              <w:contextualSpacing/>
              <w:textAlignment w:val="baseline"/>
              <w:rPr>
                <w:sz w:val="18"/>
              </w:rPr>
            </w:pPr>
            <w:hyperlink r:id="rId291" w:anchor="Direction_5_1" w:history="1">
              <w:r w:rsidRPr="0046791A">
                <w:rPr>
                  <w:rStyle w:val="Hyperlink"/>
                  <w:rFonts w:cs="Times New Roman"/>
                  <w:sz w:val="18"/>
                  <w:szCs w:val="18"/>
                </w:rPr>
                <w:t>5.1 Financial management compliance</w:t>
              </w:r>
            </w:hyperlink>
          </w:p>
        </w:tc>
      </w:tr>
      <w:tr w:rsidR="009408C9" w:rsidRPr="009408C9" w14:paraId="2ECC8C60" w14:textId="77777777" w:rsidTr="00E750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B7B1CE9" w14:textId="77777777" w:rsidR="009408C9" w:rsidRPr="009408C9" w:rsidRDefault="009408C9" w:rsidP="009408C9">
            <w:pPr>
              <w:suppressAutoHyphens/>
              <w:autoSpaceDN w:val="0"/>
              <w:spacing w:before="40" w:after="40" w:line="260" w:lineRule="atLeast"/>
              <w:textAlignment w:val="baseline"/>
              <w:rPr>
                <w:b/>
                <w:bCs w:val="0"/>
                <w:sz w:val="18"/>
              </w:rPr>
            </w:pPr>
            <w:r w:rsidRPr="009408C9">
              <w:rPr>
                <w:b/>
                <w:sz w:val="18"/>
              </w:rPr>
              <w:t>Last reviewed date</w:t>
            </w:r>
          </w:p>
        </w:tc>
        <w:tc>
          <w:tcPr>
            <w:cnfStyle w:val="000010000000" w:firstRow="0" w:lastRow="0" w:firstColumn="0" w:lastColumn="0" w:oddVBand="1" w:evenVBand="0" w:oddHBand="0" w:evenHBand="0" w:firstRowFirstColumn="0" w:firstRowLastColumn="0" w:lastRowFirstColumn="0" w:lastRowLastColumn="0"/>
            <w:tcW w:w="6781" w:type="dxa"/>
          </w:tcPr>
          <w:p w14:paraId="1D10F67B" w14:textId="2D43E0FC" w:rsidR="009408C9" w:rsidRPr="009408C9" w:rsidRDefault="00515507" w:rsidP="009408C9">
            <w:pPr>
              <w:suppressAutoHyphens/>
              <w:autoSpaceDN w:val="0"/>
              <w:spacing w:before="40" w:after="40" w:line="260" w:lineRule="atLeast"/>
              <w:textAlignment w:val="baseline"/>
              <w:rPr>
                <w:sz w:val="18"/>
              </w:rPr>
            </w:pPr>
            <w:r>
              <w:rPr>
                <w:rFonts w:cs="Times New Roman"/>
                <w:bCs/>
                <w:sz w:val="18"/>
                <w:szCs w:val="20"/>
              </w:rPr>
              <w:t>1 May 2019</w:t>
            </w:r>
          </w:p>
        </w:tc>
      </w:tr>
    </w:tbl>
    <w:p w14:paraId="7832017C" w14:textId="77777777" w:rsidR="009408C9" w:rsidRPr="009408C9" w:rsidRDefault="009408C9" w:rsidP="009408C9">
      <w:pPr>
        <w:spacing w:before="0" w:after="0" w:line="120" w:lineRule="atLeast"/>
        <w:rPr>
          <w:sz w:val="12"/>
        </w:rPr>
      </w:pPr>
    </w:p>
    <w:p w14:paraId="316FDE3F" w14:textId="77777777" w:rsidR="00B55437" w:rsidRPr="00E06045" w:rsidRDefault="00B55437" w:rsidP="00B55437">
      <w:pPr>
        <w:pStyle w:val="Heading1NoNum"/>
      </w:pPr>
      <w:r w:rsidRPr="00E06045">
        <w:t>Financial management compliance framework</w:t>
      </w:r>
    </w:p>
    <w:p w14:paraId="2BADD574" w14:textId="77777777" w:rsidR="00B55437" w:rsidRPr="003D3293" w:rsidRDefault="00B55437" w:rsidP="00B55437">
      <w:pPr>
        <w:pStyle w:val="Heading2NoNum"/>
      </w:pPr>
      <w:r w:rsidRPr="00E06045">
        <w:t>Australian standard on compliance</w:t>
      </w:r>
    </w:p>
    <w:p w14:paraId="46E29051" w14:textId="77777777" w:rsidR="00B55437" w:rsidRPr="003D3293" w:rsidRDefault="00B55437" w:rsidP="00B55437">
      <w:pPr>
        <w:spacing w:before="120" w:after="120" w:line="240" w:lineRule="atLeast"/>
        <w:rPr>
          <w:bCs/>
          <w:szCs w:val="20"/>
        </w:rPr>
      </w:pPr>
      <w:r w:rsidRPr="003D3293">
        <w:rPr>
          <w:bCs/>
          <w:szCs w:val="20"/>
        </w:rPr>
        <w:t xml:space="preserve">Agencies are encouraged to adopt Australian Standard ISO 19600:2015 </w:t>
      </w:r>
      <w:r w:rsidRPr="003D3293">
        <w:rPr>
          <w:bCs/>
          <w:i/>
          <w:szCs w:val="20"/>
        </w:rPr>
        <w:t>Compliance Management Systems – Guidelines</w:t>
      </w:r>
      <w:r w:rsidRPr="003D3293">
        <w:rPr>
          <w:bCs/>
          <w:szCs w:val="20"/>
        </w:rPr>
        <w:t xml:space="preserve"> (the Standard) in establishing a financial management </w:t>
      </w:r>
      <w:r>
        <w:rPr>
          <w:bCs/>
          <w:szCs w:val="20"/>
        </w:rPr>
        <w:t xml:space="preserve">compliance </w:t>
      </w:r>
      <w:r w:rsidRPr="003D3293">
        <w:rPr>
          <w:bCs/>
          <w:szCs w:val="20"/>
        </w:rPr>
        <w:t xml:space="preserve">framework. </w:t>
      </w:r>
    </w:p>
    <w:p w14:paraId="7CC750B5" w14:textId="77777777" w:rsidR="00B55437" w:rsidRPr="003D3293" w:rsidRDefault="00B55437" w:rsidP="00B55437">
      <w:pPr>
        <w:spacing w:before="120" w:after="120" w:line="240" w:lineRule="atLeast"/>
        <w:rPr>
          <w:bCs/>
          <w:szCs w:val="20"/>
        </w:rPr>
      </w:pPr>
      <w:r w:rsidRPr="003D3293">
        <w:rPr>
          <w:bCs/>
          <w:szCs w:val="20"/>
        </w:rPr>
        <w:t>The objective of the Standard is to provide guidance for establishing, developing, implementing, evaluating, maintaining and improving an effective and responsive complian</w:t>
      </w:r>
      <w:r>
        <w:rPr>
          <w:bCs/>
          <w:szCs w:val="20"/>
        </w:rPr>
        <w:t>ce management system within an A</w:t>
      </w:r>
      <w:r w:rsidRPr="003D3293">
        <w:rPr>
          <w:bCs/>
          <w:szCs w:val="20"/>
        </w:rPr>
        <w:t xml:space="preserve">gency. </w:t>
      </w:r>
    </w:p>
    <w:p w14:paraId="0570356E" w14:textId="77777777" w:rsidR="00B55437" w:rsidRDefault="00B55437" w:rsidP="00B55437">
      <w:pPr>
        <w:spacing w:before="120" w:after="120" w:line="240" w:lineRule="atLeast"/>
        <w:rPr>
          <w:bCs/>
          <w:szCs w:val="20"/>
        </w:rPr>
      </w:pPr>
      <w:r w:rsidRPr="003D3293">
        <w:rPr>
          <w:bCs/>
          <w:szCs w:val="20"/>
        </w:rPr>
        <w:t xml:space="preserve">The Standard does not specify requirements, </w:t>
      </w:r>
      <w:r>
        <w:rPr>
          <w:bCs/>
          <w:szCs w:val="20"/>
        </w:rPr>
        <w:t xml:space="preserve">and </w:t>
      </w:r>
      <w:r w:rsidRPr="003D3293">
        <w:rPr>
          <w:bCs/>
          <w:szCs w:val="20"/>
        </w:rPr>
        <w:t>i</w:t>
      </w:r>
      <w:r w:rsidRPr="000A7511">
        <w:rPr>
          <w:bCs/>
          <w:szCs w:val="20"/>
        </w:rPr>
        <w:t>s intended to be adaptable</w:t>
      </w:r>
      <w:r>
        <w:rPr>
          <w:bCs/>
          <w:szCs w:val="20"/>
        </w:rPr>
        <w:t>. I</w:t>
      </w:r>
      <w:r w:rsidRPr="003D3293">
        <w:rPr>
          <w:bCs/>
          <w:szCs w:val="20"/>
        </w:rPr>
        <w:t>ts use may differ depending on the si</w:t>
      </w:r>
      <w:r>
        <w:rPr>
          <w:bCs/>
          <w:szCs w:val="20"/>
        </w:rPr>
        <w:t>ze and level of maturity of an A</w:t>
      </w:r>
      <w:r w:rsidRPr="003D3293">
        <w:rPr>
          <w:bCs/>
          <w:szCs w:val="20"/>
        </w:rPr>
        <w:t>gency’s compliance managements system and on the context</w:t>
      </w:r>
      <w:r>
        <w:rPr>
          <w:bCs/>
          <w:szCs w:val="20"/>
        </w:rPr>
        <w:t>, nature and complexity of the A</w:t>
      </w:r>
      <w:r w:rsidRPr="003D3293">
        <w:rPr>
          <w:bCs/>
          <w:szCs w:val="20"/>
        </w:rPr>
        <w:t>gency’s activities, including its compliance policy and objectives.</w:t>
      </w:r>
    </w:p>
    <w:p w14:paraId="3CBE723C" w14:textId="77777777" w:rsidR="00B55437" w:rsidRPr="003D3293" w:rsidRDefault="00B55437" w:rsidP="00B55437">
      <w:pPr>
        <w:spacing w:before="120" w:after="120" w:line="240" w:lineRule="atLeast"/>
        <w:rPr>
          <w:bCs/>
          <w:szCs w:val="20"/>
        </w:rPr>
      </w:pPr>
      <w:r>
        <w:rPr>
          <w:bCs/>
          <w:szCs w:val="20"/>
        </w:rPr>
        <w:t>ISO 19600:2015 references seven key themes:</w:t>
      </w:r>
    </w:p>
    <w:p w14:paraId="71314741" w14:textId="77777777" w:rsidR="00B55437" w:rsidRDefault="00B55437" w:rsidP="00B55437">
      <w:pPr>
        <w:pStyle w:val="Bullet1"/>
        <w:ind w:left="288" w:hanging="288"/>
        <w:contextualSpacing/>
      </w:pPr>
      <w:r w:rsidRPr="00F57D75">
        <w:t>context of the organisation;</w:t>
      </w:r>
    </w:p>
    <w:p w14:paraId="0A877231" w14:textId="77777777" w:rsidR="00B55437" w:rsidRDefault="00B55437" w:rsidP="00B55437">
      <w:pPr>
        <w:pStyle w:val="Bullet1"/>
        <w:ind w:left="288" w:hanging="288"/>
        <w:contextualSpacing/>
      </w:pPr>
      <w:r w:rsidRPr="003D3293">
        <w:rPr>
          <w:rFonts w:cs="Times New Roman"/>
          <w:szCs w:val="20"/>
          <w:lang w:val="en"/>
        </w:rPr>
        <w:t>leadership;</w:t>
      </w:r>
    </w:p>
    <w:p w14:paraId="093472BC" w14:textId="77777777" w:rsidR="00B55437" w:rsidRDefault="00B55437" w:rsidP="00B55437">
      <w:pPr>
        <w:pStyle w:val="Bullet1"/>
        <w:ind w:left="288" w:hanging="288"/>
        <w:contextualSpacing/>
      </w:pPr>
      <w:r w:rsidRPr="003D3293">
        <w:rPr>
          <w:rFonts w:cs="Times New Roman"/>
          <w:szCs w:val="20"/>
          <w:lang w:val="en"/>
        </w:rPr>
        <w:t>planning;</w:t>
      </w:r>
    </w:p>
    <w:p w14:paraId="3C223ADD" w14:textId="77777777" w:rsidR="00B55437" w:rsidRDefault="00B55437" w:rsidP="00B55437">
      <w:pPr>
        <w:pStyle w:val="Bullet1"/>
        <w:ind w:left="288" w:hanging="288"/>
        <w:contextualSpacing/>
      </w:pPr>
      <w:r w:rsidRPr="003D3293">
        <w:rPr>
          <w:rFonts w:cs="Times New Roman"/>
          <w:szCs w:val="20"/>
          <w:lang w:val="en"/>
        </w:rPr>
        <w:t>support;</w:t>
      </w:r>
    </w:p>
    <w:p w14:paraId="0838FC57" w14:textId="77777777" w:rsidR="00B55437" w:rsidRDefault="00B55437" w:rsidP="00B55437">
      <w:pPr>
        <w:pStyle w:val="Bullet1"/>
        <w:ind w:left="288" w:hanging="288"/>
        <w:contextualSpacing/>
      </w:pPr>
      <w:r w:rsidRPr="003D3293">
        <w:rPr>
          <w:rFonts w:cs="Times New Roman"/>
          <w:szCs w:val="20"/>
          <w:lang w:val="en"/>
        </w:rPr>
        <w:t>operation;</w:t>
      </w:r>
    </w:p>
    <w:p w14:paraId="0D355719" w14:textId="77777777" w:rsidR="00B55437" w:rsidRDefault="00B55437" w:rsidP="00B55437">
      <w:pPr>
        <w:pStyle w:val="Bullet1"/>
        <w:ind w:left="288" w:hanging="288"/>
        <w:contextualSpacing/>
      </w:pPr>
      <w:r w:rsidRPr="003D3293">
        <w:rPr>
          <w:rFonts w:cs="Times New Roman"/>
          <w:szCs w:val="20"/>
          <w:lang w:val="en"/>
        </w:rPr>
        <w:t>performance evaluation; and</w:t>
      </w:r>
    </w:p>
    <w:p w14:paraId="525B041E" w14:textId="77777777" w:rsidR="00B55437" w:rsidRPr="00F57D75" w:rsidRDefault="00B55437" w:rsidP="00B55437">
      <w:pPr>
        <w:pStyle w:val="Bullet1"/>
        <w:ind w:left="288" w:hanging="288"/>
        <w:contextualSpacing/>
      </w:pPr>
      <w:r w:rsidRPr="003D3293">
        <w:rPr>
          <w:rFonts w:cs="Times New Roman"/>
          <w:szCs w:val="20"/>
          <w:lang w:val="en"/>
        </w:rPr>
        <w:t>improvement</w:t>
      </w:r>
      <w:r w:rsidRPr="00B359CE">
        <w:rPr>
          <w:rFonts w:cs="Times New Roman"/>
          <w:szCs w:val="20"/>
          <w:lang w:val="en"/>
        </w:rPr>
        <w:t>.</w:t>
      </w:r>
    </w:p>
    <w:p w14:paraId="08B9C8EB" w14:textId="77777777" w:rsidR="00B55437" w:rsidRPr="009408C9" w:rsidRDefault="00B55437" w:rsidP="00B55437">
      <w:pPr>
        <w:pStyle w:val="Heading1NoNum"/>
      </w:pPr>
      <w:r w:rsidRPr="009408C9">
        <w:t>Detailed review of all obligations</w:t>
      </w:r>
    </w:p>
    <w:p w14:paraId="5A5DA6ED" w14:textId="4221B4D5" w:rsidR="00B55437" w:rsidRPr="009408C9" w:rsidRDefault="00B55437" w:rsidP="00B55437">
      <w:r w:rsidRPr="009408C9">
        <w:t xml:space="preserve">Many Agencies </w:t>
      </w:r>
      <w:r>
        <w:t xml:space="preserve">have historically </w:t>
      </w:r>
      <w:r w:rsidRPr="009408C9">
        <w:t>involve</w:t>
      </w:r>
      <w:r>
        <w:t>d</w:t>
      </w:r>
      <w:r w:rsidRPr="009408C9">
        <w:t xml:space="preserve"> their Internal Audit function in reviewing financial management compliance. </w:t>
      </w:r>
      <w:hyperlink r:id="rId292" w:anchor="Direction_5_1_3" w:history="1">
        <w:r w:rsidRPr="00D4158F">
          <w:rPr>
            <w:rStyle w:val="Hyperlink"/>
          </w:rPr>
          <w:t>Direction 5.1.3</w:t>
        </w:r>
      </w:hyperlink>
      <w:r>
        <w:t xml:space="preserve"> </w:t>
      </w:r>
      <w:r w:rsidRPr="009408C9">
        <w:t xml:space="preserve">makes this a mandatory requirement. </w:t>
      </w:r>
    </w:p>
    <w:p w14:paraId="55D9BDD8" w14:textId="201AF393" w:rsidR="00B55437" w:rsidRPr="009408C9" w:rsidRDefault="00B55437" w:rsidP="00B55437">
      <w:r w:rsidRPr="009408C9">
        <w:t xml:space="preserve">A detailed review of individual obligations is required, at minimum, once </w:t>
      </w:r>
      <w:r w:rsidRPr="003D3293">
        <w:t>every three or four y</w:t>
      </w:r>
      <w:r w:rsidRPr="009408C9">
        <w:t>ears. A detailed review involves an in</w:t>
      </w:r>
      <w:r w:rsidR="008D70A3">
        <w:t>-</w:t>
      </w:r>
      <w:r w:rsidRPr="009408C9">
        <w:t xml:space="preserve">depth analysis and testing of sample documents, transactions and the gathering of evidence and substantiation to support conclusions on compliance levels. </w:t>
      </w:r>
    </w:p>
    <w:p w14:paraId="1D54E8F4" w14:textId="77777777" w:rsidR="00B55437" w:rsidRPr="009408C9" w:rsidRDefault="00B55437" w:rsidP="00B55437">
      <w:r w:rsidRPr="009408C9">
        <w:t>The internal auditor is to prepare and maintain a</w:t>
      </w:r>
      <w:r>
        <w:t xml:space="preserve"> </w:t>
      </w:r>
      <w:r w:rsidRPr="009408C9">
        <w:t xml:space="preserve">strategic internal audit plan and an annual audit work program based on the risks and controls of the </w:t>
      </w:r>
      <w:r>
        <w:t>A</w:t>
      </w:r>
      <w:r w:rsidRPr="009408C9">
        <w:t>gency</w:t>
      </w:r>
      <w:r>
        <w:t xml:space="preserve"> (refer to Guidance 3.2.2</w:t>
      </w:r>
      <w:r w:rsidRPr="00AA2354">
        <w:t xml:space="preserve"> </w:t>
      </w:r>
      <w:r w:rsidRPr="00AA2354">
        <w:rPr>
          <w:i/>
        </w:rPr>
        <w:t>Internal Audit</w:t>
      </w:r>
      <w:r w:rsidRPr="009408C9">
        <w:t xml:space="preserve"> on information about the strategic internal audit plan). This provides for an independent objective assessment of compliance. </w:t>
      </w:r>
    </w:p>
    <w:p w14:paraId="5D79982E" w14:textId="44FF0194" w:rsidR="00B55437" w:rsidRPr="00D50FD5" w:rsidRDefault="00B55437" w:rsidP="00B55437">
      <w:r w:rsidRPr="00D50FD5">
        <w:rPr>
          <w:b/>
        </w:rPr>
        <w:t>From 2016</w:t>
      </w:r>
      <w:r>
        <w:rPr>
          <w:b/>
        </w:rPr>
        <w:noBreakHyphen/>
      </w:r>
      <w:r w:rsidRPr="00D50FD5">
        <w:rPr>
          <w:b/>
        </w:rPr>
        <w:t>17</w:t>
      </w:r>
      <w:r w:rsidRPr="00D50FD5">
        <w:t>, as part of the strategic internal audit plan, Internal Audit is to develop a detailed financial management requirement review schedule based on a high</w:t>
      </w:r>
      <w:r w:rsidR="008D70A3">
        <w:t>-</w:t>
      </w:r>
      <w:r w:rsidRPr="00D50FD5">
        <w:t xml:space="preserve">level assessment of compliance gaps and risks. The detailed review schedule is to be reviewed and refined during each subsequent year based on a reassessment of any compliance gaps and/or risks. </w:t>
      </w:r>
    </w:p>
    <w:p w14:paraId="1CCFF7C0" w14:textId="222318D0" w:rsidR="00B55437" w:rsidRPr="00D50FD5" w:rsidRDefault="00B55437" w:rsidP="00B55437">
      <w:r w:rsidRPr="00D50FD5">
        <w:lastRenderedPageBreak/>
        <w:t>A risk</w:t>
      </w:r>
      <w:r>
        <w:noBreakHyphen/>
      </w:r>
      <w:r w:rsidRPr="00D50FD5">
        <w:t>based approach</w:t>
      </w:r>
      <w:r w:rsidR="00A54B19">
        <w:rPr>
          <w:rStyle w:val="FootnoteReference"/>
        </w:rPr>
        <w:footnoteReference w:id="84"/>
      </w:r>
      <w:r w:rsidRPr="00D50FD5">
        <w:t xml:space="preserve"> to prioritising and planning the detailed review of compliance should occur when preparing and refreshing the strategic internal audit plan and annual audit work program (refer to </w:t>
      </w:r>
      <w:hyperlink r:id="rId293" w:anchor="Direction_3_2_2" w:history="1">
        <w:r w:rsidRPr="00D4158F">
          <w:rPr>
            <w:rStyle w:val="Hyperlink"/>
          </w:rPr>
          <w:t>Direction 3.2.2</w:t>
        </w:r>
      </w:hyperlink>
      <w:r w:rsidRPr="00D50FD5">
        <w:t xml:space="preserve"> </w:t>
      </w:r>
      <w:r w:rsidRPr="00D50FD5">
        <w:rPr>
          <w:i/>
        </w:rPr>
        <w:t>Internal Audit</w:t>
      </w:r>
      <w:r w:rsidRPr="00D50FD5">
        <w:t>). The resulting plan and program should outline the type and frequency of detailed reviews and any targeted assessments. High compliance risk areas for the Agency should be given higher priority for audits including greater frequency. For example, areas assessed as high compliance risk require more frequent reviews than areas of lower compliance risk, which should be reviewed at least once every three to four years. By adopting risk</w:t>
      </w:r>
      <w:r>
        <w:noBreakHyphen/>
      </w:r>
      <w:r w:rsidRPr="00D50FD5">
        <w:t>based audits</w:t>
      </w:r>
      <w:r w:rsidR="000855D7">
        <w:rPr>
          <w:rStyle w:val="FootnoteReference"/>
        </w:rPr>
        <w:footnoteReference w:id="85"/>
      </w:r>
      <w:r w:rsidRPr="00D50FD5">
        <w:t xml:space="preserve"> covering multiple obligations from a single audit event can further remove duplicating effort. </w:t>
      </w:r>
    </w:p>
    <w:p w14:paraId="71604ED3" w14:textId="377B9757" w:rsidR="00B55437" w:rsidRPr="00D50FD5" w:rsidRDefault="00B55437" w:rsidP="00B55437">
      <w:r w:rsidRPr="00D50FD5">
        <w:t xml:space="preserve">Reports from detailed reviews should be provided to the Audit Committee for review and monitoring of agreed rectification and remedial actions. For further information on the role, refer to </w:t>
      </w:r>
      <w:hyperlink r:id="rId294" w:anchor="Direction_3_2_1" w:history="1">
        <w:r w:rsidRPr="00D4158F">
          <w:rPr>
            <w:rStyle w:val="Hyperlink"/>
          </w:rPr>
          <w:t>Direction 3.2.1</w:t>
        </w:r>
      </w:hyperlink>
      <w:r w:rsidRPr="00D50FD5">
        <w:t xml:space="preserve"> </w:t>
      </w:r>
      <w:r w:rsidRPr="00D50FD5">
        <w:rPr>
          <w:i/>
        </w:rPr>
        <w:t>Audit Committee</w:t>
      </w:r>
      <w:r w:rsidRPr="00D50FD5">
        <w:t xml:space="preserve">. The findings of detailed reviews should be used to inform the annual assessment of compliance (further information provided below). </w:t>
      </w:r>
    </w:p>
    <w:p w14:paraId="16BCD8D6" w14:textId="77777777" w:rsidR="00B55437" w:rsidRPr="009408C9" w:rsidRDefault="00B55437" w:rsidP="00B55437">
      <w:r w:rsidRPr="00D50FD5">
        <w:t>Agenc</w:t>
      </w:r>
      <w:r>
        <w:t>ies are to submit a summary of their internal a</w:t>
      </w:r>
      <w:r w:rsidRPr="00D50FD5">
        <w:t xml:space="preserve">udit detailed </w:t>
      </w:r>
      <w:r>
        <w:t>financial management requirement</w:t>
      </w:r>
      <w:r w:rsidRPr="00D50FD5">
        <w:t xml:space="preserve"> review </w:t>
      </w:r>
      <w:r>
        <w:t>plan</w:t>
      </w:r>
      <w:r w:rsidRPr="00D50FD5">
        <w:t xml:space="preserve"> to their Portfolio Department and Audit Committee.</w:t>
      </w:r>
    </w:p>
    <w:p w14:paraId="65D737AC" w14:textId="77777777" w:rsidR="00B55437" w:rsidRPr="009408C9" w:rsidRDefault="00B55437" w:rsidP="00B55437">
      <w:pPr>
        <w:pStyle w:val="Heading1NoNum"/>
      </w:pPr>
      <w:r w:rsidRPr="009408C9">
        <w:t>Annual assessment and attestation of compliance</w:t>
      </w:r>
    </w:p>
    <w:p w14:paraId="0C7FA897" w14:textId="05EC66EE" w:rsidR="00B55437" w:rsidRPr="009408C9" w:rsidRDefault="00B55437" w:rsidP="00B55437">
      <w:r w:rsidRPr="009408C9">
        <w:t xml:space="preserve">Under the 2003 Directions, Agencies </w:t>
      </w:r>
      <w:r>
        <w:t>prepared</w:t>
      </w:r>
      <w:r w:rsidRPr="009408C9">
        <w:t xml:space="preserve"> an internal attestation of compliance within Government. A key change is that all Agencies will be required to make a public attestation in their annual report on compliance with the financial management obligations. This new requirement will be introduced over a two</w:t>
      </w:r>
      <w:r w:rsidR="00515507">
        <w:t>-</w:t>
      </w:r>
      <w:r w:rsidRPr="009408C9">
        <w:t>year period to ensure Agencies have systems in place to support public attestation in 2018 for the 2017</w:t>
      </w:r>
      <w:r>
        <w:noBreakHyphen/>
      </w:r>
      <w:r w:rsidRPr="009408C9">
        <w:t xml:space="preserve">18 financial year. </w:t>
      </w:r>
    </w:p>
    <w:p w14:paraId="187359F0" w14:textId="77777777" w:rsidR="00B55437" w:rsidRPr="009408C9" w:rsidRDefault="00B55437" w:rsidP="00B55437">
      <w:pPr>
        <w:pStyle w:val="Heading2NoNum"/>
      </w:pPr>
      <w:r>
        <w:t>What is a Compliance Deficiency?</w:t>
      </w:r>
    </w:p>
    <w:p w14:paraId="1C4DFEB1" w14:textId="77777777" w:rsidR="00B55437" w:rsidRDefault="00B55437" w:rsidP="00B55437">
      <w:r>
        <w:t>The Directions and Instructions include two concepts in relation to a failure to fully comply with a requirement in the FMA, Directions or Instructions:</w:t>
      </w:r>
    </w:p>
    <w:tbl>
      <w:tblPr>
        <w:tblStyle w:val="LightShading"/>
        <w:tblW w:w="0" w:type="auto"/>
        <w:tblLayout w:type="fixed"/>
        <w:tblLook w:val="04A0" w:firstRow="1" w:lastRow="0" w:firstColumn="1" w:lastColumn="0" w:noHBand="0" w:noVBand="1"/>
      </w:tblPr>
      <w:tblGrid>
        <w:gridCol w:w="1134"/>
        <w:gridCol w:w="3969"/>
        <w:gridCol w:w="4845"/>
      </w:tblGrid>
      <w:tr w:rsidR="00B55437" w14:paraId="01F47EB2" w14:textId="77777777" w:rsidTr="00B554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730901C" w14:textId="77777777" w:rsidR="00B55437" w:rsidRDefault="00B55437" w:rsidP="00B55437">
            <w:r>
              <w:t>Concept</w:t>
            </w:r>
          </w:p>
        </w:tc>
        <w:tc>
          <w:tcPr>
            <w:tcW w:w="3969" w:type="dxa"/>
          </w:tcPr>
          <w:p w14:paraId="1D156AC6" w14:textId="77777777" w:rsidR="00B55437" w:rsidRDefault="00B55437" w:rsidP="00B55437">
            <w:pPr>
              <w:cnfStyle w:val="100000000000" w:firstRow="1" w:lastRow="0" w:firstColumn="0" w:lastColumn="0" w:oddVBand="0" w:evenVBand="0" w:oddHBand="0" w:evenHBand="0" w:firstRowFirstColumn="0" w:firstRowLastColumn="0" w:lastRowFirstColumn="0" w:lastRowLastColumn="0"/>
            </w:pPr>
            <w:r>
              <w:t>Definition</w:t>
            </w:r>
          </w:p>
        </w:tc>
        <w:tc>
          <w:tcPr>
            <w:tcW w:w="4845" w:type="dxa"/>
          </w:tcPr>
          <w:p w14:paraId="59ADF749" w14:textId="77777777" w:rsidR="00B55437" w:rsidRDefault="00B55437" w:rsidP="00B55437">
            <w:pPr>
              <w:cnfStyle w:val="100000000000" w:firstRow="1" w:lastRow="0" w:firstColumn="0" w:lastColumn="0" w:oddVBand="0" w:evenVBand="0" w:oddHBand="0" w:evenHBand="0" w:firstRowFirstColumn="0" w:firstRowLastColumn="0" w:lastRowFirstColumn="0" w:lastRowLastColumn="0"/>
            </w:pPr>
            <w:r>
              <w:t>Requirements</w:t>
            </w:r>
          </w:p>
        </w:tc>
      </w:tr>
      <w:tr w:rsidR="00B55437" w14:paraId="4C2B0E9A" w14:textId="77777777" w:rsidTr="00B55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BAD179B" w14:textId="77777777" w:rsidR="00B55437" w:rsidRDefault="00B55437" w:rsidP="00B55437">
            <w:r>
              <w:t>Compliance Deficiency</w:t>
            </w:r>
          </w:p>
        </w:tc>
        <w:tc>
          <w:tcPr>
            <w:tcW w:w="3969" w:type="dxa"/>
          </w:tcPr>
          <w:p w14:paraId="5A6F5DD7" w14:textId="1B69ABCA" w:rsidR="00B55437" w:rsidRDefault="00B55437" w:rsidP="00B55437">
            <w:pPr>
              <w:cnfStyle w:val="000000100000" w:firstRow="0" w:lastRow="0" w:firstColumn="0" w:lastColumn="0" w:oddVBand="0" w:evenVBand="0" w:oddHBand="1" w:evenHBand="0" w:firstRowFirstColumn="0" w:firstRowLastColumn="0" w:lastRowFirstColumn="0" w:lastRowLastColumn="0"/>
            </w:pPr>
            <w:r>
              <w:t xml:space="preserve">An </w:t>
            </w:r>
            <w:r w:rsidRPr="0023753D">
              <w:t xml:space="preserve">attribute, condition, action or omission </w:t>
            </w:r>
            <w:r>
              <w:t xml:space="preserve">that </w:t>
            </w:r>
            <w:r w:rsidRPr="0023753D">
              <w:t xml:space="preserve">is not fully </w:t>
            </w:r>
            <w:r>
              <w:t>compliant</w:t>
            </w:r>
            <w:r w:rsidRPr="0023753D">
              <w:t xml:space="preserve"> with a requirement in the FMA, Directions and</w:t>
            </w:r>
            <w:r>
              <w:t>/or</w:t>
            </w:r>
            <w:r w:rsidRPr="0023753D">
              <w:t xml:space="preserve"> Instructions</w:t>
            </w:r>
            <w:r>
              <w:t xml:space="preserve"> (</w:t>
            </w:r>
            <w:hyperlink r:id="rId295" w:anchor="Direction_1_6" w:history="1">
              <w:r w:rsidRPr="00D4158F">
                <w:rPr>
                  <w:rStyle w:val="Hyperlink"/>
                </w:rPr>
                <w:t>Direction 1.6</w:t>
              </w:r>
            </w:hyperlink>
            <w:r>
              <w:t>).</w:t>
            </w:r>
          </w:p>
        </w:tc>
        <w:tc>
          <w:tcPr>
            <w:tcW w:w="4845" w:type="dxa"/>
          </w:tcPr>
          <w:p w14:paraId="7D6FEB5A" w14:textId="3FF02D4A" w:rsidR="00B55437" w:rsidRDefault="00B55437" w:rsidP="000B15FD">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rsidRPr="003065F3">
              <w:t>Must be addressed (</w:t>
            </w:r>
            <w:hyperlink r:id="rId296" w:anchor="Direction_5_1_5" w:history="1">
              <w:r w:rsidRPr="00D4158F">
                <w:rPr>
                  <w:rStyle w:val="Hyperlink"/>
                </w:rPr>
                <w:t>Direction 5.1.5</w:t>
              </w:r>
            </w:hyperlink>
            <w:r w:rsidRPr="00D4158F">
              <w:t>)</w:t>
            </w:r>
            <w:r w:rsidRPr="003065F3">
              <w:t>.</w:t>
            </w:r>
          </w:p>
          <w:p w14:paraId="49A4CB43" w14:textId="7C063F9A" w:rsidR="00B55437" w:rsidRDefault="00B55437" w:rsidP="000B15FD">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 xml:space="preserve">Must be reported to Portfolio Department in compliance report </w:t>
            </w:r>
            <w:r w:rsidRPr="00D4158F">
              <w:t>(</w:t>
            </w:r>
            <w:hyperlink r:id="rId297" w:anchor="Instruction_5_1" w:history="1">
              <w:r w:rsidRPr="00D4158F">
                <w:rPr>
                  <w:rStyle w:val="Hyperlink"/>
                </w:rPr>
                <w:t>Instruction 5.1</w:t>
              </w:r>
            </w:hyperlink>
            <w:r w:rsidRPr="00D4158F">
              <w:t>, clause</w:t>
            </w:r>
            <w:r>
              <w:t xml:space="preserve"> 1.2).</w:t>
            </w:r>
          </w:p>
          <w:p w14:paraId="5216B503" w14:textId="16C30157" w:rsidR="00B55437" w:rsidRPr="003065F3" w:rsidRDefault="00B55437" w:rsidP="000B15FD">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Key areas of Compliance Deficiency must be reported by Portfolio Department to DTF in portfolio compliance summary (</w:t>
            </w:r>
            <w:hyperlink r:id="rId298" w:anchor="Instruction_5_1" w:history="1">
              <w:r w:rsidRPr="00D4158F">
                <w:rPr>
                  <w:rStyle w:val="Hyperlink"/>
                </w:rPr>
                <w:t>Instruction 5.1</w:t>
              </w:r>
            </w:hyperlink>
            <w:r w:rsidRPr="00D4158F">
              <w:t>,</w:t>
            </w:r>
            <w:r>
              <w:t xml:space="preserve"> clause 1.4).</w:t>
            </w:r>
          </w:p>
        </w:tc>
      </w:tr>
      <w:tr w:rsidR="00B55437" w14:paraId="4FB985E1" w14:textId="77777777" w:rsidTr="00B554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ADC13F8" w14:textId="77777777" w:rsidR="00B55437" w:rsidRDefault="00B55437" w:rsidP="00B55437">
            <w:r>
              <w:t>Material Compliance Deficiency</w:t>
            </w:r>
          </w:p>
        </w:tc>
        <w:tc>
          <w:tcPr>
            <w:tcW w:w="3969" w:type="dxa"/>
          </w:tcPr>
          <w:p w14:paraId="57F6EBC1" w14:textId="52172CF6" w:rsidR="00B55437" w:rsidRDefault="00B55437" w:rsidP="00B55437">
            <w:pPr>
              <w:cnfStyle w:val="000000010000" w:firstRow="0" w:lastRow="0" w:firstColumn="0" w:lastColumn="0" w:oddVBand="0" w:evenVBand="0" w:oddHBand="0" w:evenHBand="1" w:firstRowFirstColumn="0" w:firstRowLastColumn="0" w:lastRowFirstColumn="0" w:lastRowLastColumn="0"/>
            </w:pPr>
            <w:r>
              <w:t>A Compliance D</w:t>
            </w:r>
            <w:r w:rsidRPr="00D47058">
              <w:t>eficiency that a reasonable person would consider has a material impact on the Agency or the State's reputation, financial position or financial management</w:t>
            </w:r>
            <w:r>
              <w:t xml:space="preserve"> (</w:t>
            </w:r>
            <w:hyperlink r:id="rId299" w:anchor="Direction_1_6" w:history="1">
              <w:r w:rsidRPr="00D4158F">
                <w:rPr>
                  <w:rStyle w:val="Hyperlink"/>
                </w:rPr>
                <w:t>Direction 1.6</w:t>
              </w:r>
            </w:hyperlink>
            <w:r>
              <w:t>).</w:t>
            </w:r>
          </w:p>
        </w:tc>
        <w:tc>
          <w:tcPr>
            <w:tcW w:w="4845" w:type="dxa"/>
          </w:tcPr>
          <w:p w14:paraId="36BF4313" w14:textId="77777777" w:rsidR="00B55437" w:rsidRPr="00AE0687" w:rsidRDefault="00B55437" w:rsidP="00B55437">
            <w:pPr>
              <w:cnfStyle w:val="000000010000" w:firstRow="0" w:lastRow="0" w:firstColumn="0" w:lastColumn="0" w:oddVBand="0" w:evenVBand="0" w:oddHBand="0" w:evenHBand="1" w:firstRowFirstColumn="0" w:firstRowLastColumn="0" w:lastRowFirstColumn="0" w:lastRowLastColumn="0"/>
            </w:pPr>
            <w:r>
              <w:t>A</w:t>
            </w:r>
            <w:r w:rsidRPr="00AE0687">
              <w:t xml:space="preserve">ll requirements </w:t>
            </w:r>
            <w:r>
              <w:t xml:space="preserve">in relation to </w:t>
            </w:r>
            <w:r w:rsidRPr="00AE0687">
              <w:t>compliance deficiencies set out above</w:t>
            </w:r>
            <w:r>
              <w:t xml:space="preserve"> apply</w:t>
            </w:r>
            <w:r w:rsidRPr="00AE0687">
              <w:t>, and additionally:</w:t>
            </w:r>
          </w:p>
          <w:p w14:paraId="627D0252" w14:textId="5E24C8B6" w:rsidR="00B55437" w:rsidRDefault="00B55437" w:rsidP="000B15FD">
            <w:pPr>
              <w:pStyle w:val="ListParagraph"/>
              <w:numPr>
                <w:ilvl w:val="0"/>
                <w:numId w:val="18"/>
              </w:numPr>
              <w:cnfStyle w:val="000000010000" w:firstRow="0" w:lastRow="0" w:firstColumn="0" w:lastColumn="0" w:oddVBand="0" w:evenVBand="0" w:oddHBand="0" w:evenHBand="1" w:firstRowFirstColumn="0" w:firstRowLastColumn="0" w:lastRowFirstColumn="0" w:lastRowLastColumn="0"/>
            </w:pPr>
            <w:r w:rsidRPr="003065F3">
              <w:t xml:space="preserve">Must be </w:t>
            </w:r>
            <w:r>
              <w:t>notified to Responsible Minister and Portfolio Department. Independen</w:t>
            </w:r>
            <w:r w:rsidRPr="00D4158F">
              <w:t>t Offices must discuss with DTF (</w:t>
            </w:r>
            <w:hyperlink r:id="rId300" w:anchor="Direction_5_1_6" w:history="1">
              <w:r w:rsidRPr="00D4158F">
                <w:rPr>
                  <w:rStyle w:val="Hyperlink"/>
                </w:rPr>
                <w:t>Direction 5.1.6</w:t>
              </w:r>
            </w:hyperlink>
            <w:r w:rsidRPr="003065F3">
              <w:t>).</w:t>
            </w:r>
          </w:p>
          <w:p w14:paraId="70CEFC7F" w14:textId="4434C4CF" w:rsidR="00B55437" w:rsidRPr="003065F3" w:rsidRDefault="00B55437" w:rsidP="000B15FD">
            <w:pPr>
              <w:pStyle w:val="ListParagraph"/>
              <w:numPr>
                <w:ilvl w:val="0"/>
                <w:numId w:val="18"/>
              </w:numPr>
              <w:cnfStyle w:val="000000010000" w:firstRow="0" w:lastRow="0" w:firstColumn="0" w:lastColumn="0" w:oddVBand="0" w:evenVBand="0" w:oddHBand="0" w:evenHBand="1" w:firstRowFirstColumn="0" w:firstRowLastColumn="0" w:lastRowFirstColumn="0" w:lastRowLastColumn="0"/>
            </w:pPr>
            <w:r>
              <w:t xml:space="preserve">Must be included in financial management compliance attestation in Annual Report </w:t>
            </w:r>
            <w:r w:rsidRPr="00D4158F">
              <w:t>(</w:t>
            </w:r>
            <w:hyperlink r:id="rId301" w:anchor="Direction_5_1_4" w:history="1">
              <w:r w:rsidRPr="00D4158F">
                <w:rPr>
                  <w:rStyle w:val="Hyperlink"/>
                </w:rPr>
                <w:t>Direction 5.1.4</w:t>
              </w:r>
            </w:hyperlink>
            <w:r>
              <w:t xml:space="preserve">). </w:t>
            </w:r>
          </w:p>
        </w:tc>
      </w:tr>
    </w:tbl>
    <w:p w14:paraId="1B51D864" w14:textId="0F0719CE" w:rsidR="00B55437" w:rsidRDefault="00B55437" w:rsidP="00B55437">
      <w:r>
        <w:t xml:space="preserve">In preparing their Annual Report attestation, an Agency must identify which of its Compliance Deficiencies are ‘Material Compliance Deficiencies’. The definition, set out in the table above, involves an objective ‘reasonable person’ test. The question is whether a reasonable person would consider the deficiency to be material to the State or Agency’s </w:t>
      </w:r>
      <w:r w:rsidRPr="00D47058">
        <w:t>reputation, financial position or financial management</w:t>
      </w:r>
      <w:r>
        <w:t xml:space="preserve">. For example, a very small number of missing taxi receipts in the course of a year is unlikely to constitute a Material Compliance Deficiency. But the absence or failure of a system or control, or a systemic failure in relation to a certain system, is likely to be material. </w:t>
      </w:r>
    </w:p>
    <w:p w14:paraId="5C8C2FC2" w14:textId="77777777" w:rsidR="003D3B15" w:rsidRPr="00811D00" w:rsidRDefault="003D3B15" w:rsidP="00ED0BF3">
      <w:pPr>
        <w:keepNext/>
        <w:rPr>
          <w:b/>
          <w:i/>
        </w:rPr>
      </w:pPr>
      <w:r w:rsidRPr="00811D00">
        <w:rPr>
          <w:b/>
          <w:i/>
        </w:rPr>
        <w:lastRenderedPageBreak/>
        <w:t xml:space="preserve">Materiality </w:t>
      </w:r>
      <w:r>
        <w:rPr>
          <w:b/>
          <w:i/>
        </w:rPr>
        <w:t xml:space="preserve">assessment </w:t>
      </w:r>
      <w:r w:rsidRPr="00811D00">
        <w:rPr>
          <w:b/>
          <w:i/>
        </w:rPr>
        <w:t>concepts</w:t>
      </w:r>
    </w:p>
    <w:p w14:paraId="091102FE" w14:textId="77777777" w:rsidR="003D3B15" w:rsidRPr="003F300E" w:rsidRDefault="003D3B15" w:rsidP="003D3B15">
      <w:r w:rsidRPr="003F300E">
        <w:t xml:space="preserve">Materiality </w:t>
      </w:r>
      <w:r>
        <w:t>must</w:t>
      </w:r>
      <w:r w:rsidRPr="003F300E">
        <w:t xml:space="preserve"> be considered in assessing the requirements of the Directions as applicable to a particular Agency. Materiality will need to reflect the risk profile, size and complexity of the Agency. </w:t>
      </w:r>
    </w:p>
    <w:p w14:paraId="6CAC71C2" w14:textId="77777777" w:rsidR="003D3B15" w:rsidRPr="003F300E" w:rsidRDefault="003D3B15" w:rsidP="003D3B15">
      <w:r w:rsidRPr="003F300E">
        <w:t>In assessing materiality in a broader financial management context, Agencies can refer to the Australian Accounting Standards Board (AASB) definition of ‘</w:t>
      </w:r>
      <w:r w:rsidRPr="003F300E">
        <w:rPr>
          <w:b/>
        </w:rPr>
        <w:t>Materiality</w:t>
      </w:r>
      <w:r w:rsidRPr="003F300E">
        <w:t xml:space="preserve">’. It provides that information is material if ‘its omission, misstatement or non-disclosure has the potential to adversely affect decisions about the allocation of scarce resources made by users of the financial report, or the discharge of accountability by the management or </w:t>
      </w:r>
      <w:r>
        <w:t xml:space="preserve">governing body of the entity’. </w:t>
      </w:r>
    </w:p>
    <w:p w14:paraId="2E95151E" w14:textId="237F1F99" w:rsidR="003D3B15" w:rsidRPr="003F300E" w:rsidRDefault="003D3B15" w:rsidP="003D3B15">
      <w:pPr>
        <w:rPr>
          <w:rFonts w:cs="Helvetica"/>
          <w:lang w:val="en"/>
        </w:rPr>
      </w:pPr>
      <w:r w:rsidRPr="003F300E">
        <w:rPr>
          <w:rFonts w:cs="Helvetica"/>
          <w:lang w:val="en"/>
        </w:rPr>
        <w:t>The following</w:t>
      </w:r>
      <w:r>
        <w:rPr>
          <w:rFonts w:cs="Helvetica"/>
          <w:lang w:val="en"/>
        </w:rPr>
        <w:t xml:space="preserve"> considerations have been developed</w:t>
      </w:r>
      <w:r w:rsidRPr="003F300E">
        <w:rPr>
          <w:rFonts w:cs="Helvetica"/>
          <w:lang w:val="en"/>
        </w:rPr>
        <w:t xml:space="preserve"> </w:t>
      </w:r>
      <w:r>
        <w:rPr>
          <w:rFonts w:cs="Helvetica"/>
          <w:lang w:val="en"/>
        </w:rPr>
        <w:t>utilising</w:t>
      </w:r>
      <w:r w:rsidRPr="003F300E">
        <w:rPr>
          <w:rFonts w:cs="Helvetica"/>
          <w:lang w:val="en"/>
        </w:rPr>
        <w:t xml:space="preserve"> key factors from Accounting and Auditing publications that may assist in assessing materiality in relation to Compliance Deficiencies.</w:t>
      </w:r>
    </w:p>
    <w:p w14:paraId="2857DA45" w14:textId="77777777" w:rsidR="003D3B15" w:rsidRPr="003F300E" w:rsidRDefault="003D3B15" w:rsidP="003D3B15">
      <w:pPr>
        <w:rPr>
          <w:lang w:val="en"/>
        </w:rPr>
      </w:pPr>
      <w:r w:rsidRPr="003F300E">
        <w:rPr>
          <w:lang w:val="en"/>
        </w:rPr>
        <w:t>Materiality i</w:t>
      </w:r>
      <w:r>
        <w:rPr>
          <w:lang w:val="en"/>
        </w:rPr>
        <w:t>s a matter of professional judg</w:t>
      </w:r>
      <w:r w:rsidRPr="003F300E">
        <w:rPr>
          <w:lang w:val="en"/>
        </w:rPr>
        <w:t>ment influenced by the characteristics of the entity/agency and the perceptions as to who are, or are likely to be, the users of the financial management information, and their info</w:t>
      </w:r>
      <w:r>
        <w:rPr>
          <w:lang w:val="en"/>
        </w:rPr>
        <w:t>rmation needs. Materiality judg</w:t>
      </w:r>
      <w:r w:rsidRPr="003F300E">
        <w:rPr>
          <w:lang w:val="en"/>
        </w:rPr>
        <w:t>ments can only be properly made by those who have access to the relevant facts.</w:t>
      </w:r>
    </w:p>
    <w:p w14:paraId="4D5D4FA6" w14:textId="77777777" w:rsidR="003D3B15" w:rsidRPr="00B61392" w:rsidRDefault="003D3B15" w:rsidP="008A5429">
      <w:pPr>
        <w:rPr>
          <w:lang w:val="en"/>
        </w:rPr>
      </w:pPr>
      <w:r w:rsidRPr="003F300E">
        <w:rPr>
          <w:lang w:val="en"/>
        </w:rPr>
        <w:t>Therefore, an Agency must assess the materiality of a Compliance Deficiency itself, taking into account all relevant factors, including</w:t>
      </w:r>
      <w:r>
        <w:rPr>
          <w:lang w:val="en"/>
        </w:rPr>
        <w:t xml:space="preserve"> the</w:t>
      </w:r>
      <w:r w:rsidRPr="003F300E">
        <w:t>:</w:t>
      </w:r>
    </w:p>
    <w:p w14:paraId="0FC57131" w14:textId="77777777" w:rsidR="003D3B15" w:rsidRPr="006936DC" w:rsidRDefault="003D3B15" w:rsidP="00CA6CEE">
      <w:pPr>
        <w:pStyle w:val="Bullet1"/>
      </w:pPr>
      <w:r w:rsidRPr="006936DC">
        <w:t>detriment or risk of detriment to stakeholders/clients;</w:t>
      </w:r>
    </w:p>
    <w:p w14:paraId="24942F22" w14:textId="77777777" w:rsidR="003D3B15" w:rsidRPr="006936DC" w:rsidRDefault="003D3B15" w:rsidP="00CA6CEE">
      <w:pPr>
        <w:pStyle w:val="Bullet1"/>
      </w:pPr>
      <w:r w:rsidRPr="006936DC">
        <w:t>scale of the issue;</w:t>
      </w:r>
    </w:p>
    <w:p w14:paraId="63E0E605" w14:textId="77777777" w:rsidR="003D3B15" w:rsidRPr="006936DC" w:rsidRDefault="003D3B15" w:rsidP="00CA6CEE">
      <w:pPr>
        <w:pStyle w:val="Bullet1"/>
      </w:pPr>
      <w:r w:rsidRPr="006936DC">
        <w:t>overall impact on the Agency, its stakeholders, clients and third parties; and</w:t>
      </w:r>
    </w:p>
    <w:p w14:paraId="45E53046" w14:textId="77777777" w:rsidR="003D3B15" w:rsidRPr="006936DC" w:rsidRDefault="003D3B15" w:rsidP="00CA6CEE">
      <w:pPr>
        <w:pStyle w:val="Bullet1"/>
      </w:pPr>
      <w:r w:rsidRPr="006936DC">
        <w:t>extent of any risk of loss of confidence in the Agency or the wider reputation of Government.</w:t>
      </w:r>
    </w:p>
    <w:p w14:paraId="0479BAD6" w14:textId="65F11C89" w:rsidR="003D3B15" w:rsidRPr="003F300E" w:rsidRDefault="003D3B15" w:rsidP="008A5429">
      <w:pPr>
        <w:rPr>
          <w:lang w:val="en"/>
        </w:rPr>
      </w:pPr>
      <w:r>
        <w:rPr>
          <w:lang w:val="en"/>
        </w:rPr>
        <w:t>It is important to r</w:t>
      </w:r>
      <w:r w:rsidRPr="003F300E">
        <w:rPr>
          <w:lang w:val="en"/>
        </w:rPr>
        <w:t>emember that a Compliance Deficiency can be material either taken on its own, or as part of a pattern of compliance failures.</w:t>
      </w:r>
    </w:p>
    <w:p w14:paraId="4D014935" w14:textId="73E1CC2E" w:rsidR="003D3B15" w:rsidRDefault="003D3B15" w:rsidP="008A5429">
      <w:r>
        <w:t xml:space="preserve">An assurance practitioner </w:t>
      </w:r>
      <w:r w:rsidR="00001E72">
        <w:t xml:space="preserve">may </w:t>
      </w:r>
      <w:r>
        <w:t>consider</w:t>
      </w:r>
      <w:r w:rsidR="00001E72">
        <w:t xml:space="preserve"> </w:t>
      </w:r>
      <w:r>
        <w:t>the following factors in evaluating whether an Agency’s Compliance Deficiency against relevant requirements, is material:</w:t>
      </w:r>
    </w:p>
    <w:p w14:paraId="45624933" w14:textId="77777777" w:rsidR="003D3B15" w:rsidRPr="006936DC" w:rsidRDefault="003D3B15" w:rsidP="000B15FD">
      <w:pPr>
        <w:pStyle w:val="ListParagraph"/>
        <w:numPr>
          <w:ilvl w:val="0"/>
          <w:numId w:val="27"/>
        </w:numPr>
        <w:spacing w:before="160" w:line="276" w:lineRule="auto"/>
      </w:pPr>
      <w:r w:rsidRPr="006936DC">
        <w:t>the size, complexity and nature of the Agency’s activities;</w:t>
      </w:r>
    </w:p>
    <w:p w14:paraId="669F0649" w14:textId="77777777" w:rsidR="003D3B15" w:rsidRPr="006936DC" w:rsidRDefault="003D3B15" w:rsidP="000B15FD">
      <w:pPr>
        <w:pStyle w:val="ListParagraph"/>
        <w:numPr>
          <w:ilvl w:val="0"/>
          <w:numId w:val="27"/>
        </w:numPr>
        <w:spacing w:before="160" w:line="276" w:lineRule="auto"/>
      </w:pPr>
      <w:r w:rsidRPr="006936DC">
        <w:t>the nature of the deficiency – omission or absence of a key requirement or a significant one off or systemic failure in governance or control systems etc.;</w:t>
      </w:r>
    </w:p>
    <w:p w14:paraId="7DC119C6" w14:textId="77777777" w:rsidR="003D3B15" w:rsidRPr="006936DC" w:rsidRDefault="003D3B15" w:rsidP="000B15FD">
      <w:pPr>
        <w:pStyle w:val="ListParagraph"/>
        <w:numPr>
          <w:ilvl w:val="0"/>
          <w:numId w:val="27"/>
        </w:numPr>
        <w:spacing w:before="160" w:line="276" w:lineRule="auto"/>
      </w:pPr>
      <w:r w:rsidRPr="006936DC">
        <w:t>evidence of a robust compliance framework in place to detect, rectify and report Compliance Deficiencies;</w:t>
      </w:r>
    </w:p>
    <w:p w14:paraId="7406B969" w14:textId="77777777" w:rsidR="003D3B15" w:rsidRPr="006936DC" w:rsidRDefault="003D3B15" w:rsidP="000B15FD">
      <w:pPr>
        <w:pStyle w:val="ListParagraph"/>
        <w:numPr>
          <w:ilvl w:val="0"/>
          <w:numId w:val="27"/>
        </w:numPr>
        <w:spacing w:before="160" w:line="276" w:lineRule="auto"/>
      </w:pPr>
      <w:r w:rsidRPr="006936DC">
        <w:t>commonly accepted practice within government Agencies;</w:t>
      </w:r>
    </w:p>
    <w:p w14:paraId="4103F458" w14:textId="77777777" w:rsidR="003D3B15" w:rsidRPr="006936DC" w:rsidRDefault="003D3B15" w:rsidP="000B15FD">
      <w:pPr>
        <w:pStyle w:val="ListParagraph"/>
        <w:numPr>
          <w:ilvl w:val="0"/>
          <w:numId w:val="27"/>
        </w:numPr>
        <w:spacing w:before="160" w:line="276" w:lineRule="auto"/>
      </w:pPr>
      <w:r w:rsidRPr="006936DC">
        <w:t>the regulatory, legislative or contractual requirements applicable to the Agency;</w:t>
      </w:r>
    </w:p>
    <w:p w14:paraId="4FC1AFE8" w14:textId="77777777" w:rsidR="003D3B15" w:rsidRPr="006936DC" w:rsidRDefault="003D3B15" w:rsidP="000B15FD">
      <w:pPr>
        <w:pStyle w:val="ListParagraph"/>
        <w:numPr>
          <w:ilvl w:val="0"/>
          <w:numId w:val="27"/>
        </w:numPr>
        <w:spacing w:before="160" w:line="276" w:lineRule="auto"/>
      </w:pPr>
      <w:r w:rsidRPr="006936DC">
        <w:t>the impact or potential impact on the decisions of the intended users/clients and stakeholders of the Agency; and</w:t>
      </w:r>
    </w:p>
    <w:p w14:paraId="54862C40" w14:textId="77777777" w:rsidR="003D3B15" w:rsidRPr="006936DC" w:rsidRDefault="003D3B15" w:rsidP="000B15FD">
      <w:pPr>
        <w:pStyle w:val="ListParagraph"/>
        <w:numPr>
          <w:ilvl w:val="0"/>
          <w:numId w:val="27"/>
        </w:numPr>
        <w:spacing w:before="160" w:line="276" w:lineRule="auto"/>
      </w:pPr>
      <w:r w:rsidRPr="006936DC">
        <w:t>the specific terms of the compliance engagement.</w:t>
      </w:r>
    </w:p>
    <w:p w14:paraId="3A5C6C57" w14:textId="77777777" w:rsidR="003D3B15" w:rsidRPr="00811D00" w:rsidRDefault="003D3B15" w:rsidP="003D3B15">
      <w:pPr>
        <w:rPr>
          <w:b/>
          <w:i/>
        </w:rPr>
      </w:pPr>
      <w:r w:rsidRPr="00811D00">
        <w:rPr>
          <w:b/>
          <w:i/>
        </w:rPr>
        <w:t>Audit committee role</w:t>
      </w:r>
    </w:p>
    <w:p w14:paraId="06B51E53" w14:textId="77777777" w:rsidR="003D3B15" w:rsidRDefault="003D3B15" w:rsidP="008A5429">
      <w:r w:rsidRPr="000149C4">
        <w:t xml:space="preserve">Materiality is an aspect of the </w:t>
      </w:r>
      <w:r>
        <w:t>annual a</w:t>
      </w:r>
      <w:r w:rsidRPr="000149C4">
        <w:t>ttestation</w:t>
      </w:r>
      <w:r>
        <w:t xml:space="preserve">/compliance assessment and </w:t>
      </w:r>
      <w:r w:rsidRPr="000149C4">
        <w:t>report</w:t>
      </w:r>
      <w:r>
        <w:t xml:space="preserve">ing process </w:t>
      </w:r>
      <w:r w:rsidRPr="000149C4">
        <w:t xml:space="preserve">that the </w:t>
      </w:r>
      <w:r>
        <w:t xml:space="preserve">Agency </w:t>
      </w:r>
      <w:r w:rsidRPr="000149C4">
        <w:t xml:space="preserve">Audit Committee </w:t>
      </w:r>
      <w:r>
        <w:t>should</w:t>
      </w:r>
      <w:r w:rsidRPr="000149C4">
        <w:t xml:space="preserve"> consider</w:t>
      </w:r>
      <w:r>
        <w:t xml:space="preserve"> in its:</w:t>
      </w:r>
    </w:p>
    <w:p w14:paraId="6D590C06" w14:textId="77777777" w:rsidR="003D3B15" w:rsidRDefault="003D3B15" w:rsidP="000B15FD">
      <w:pPr>
        <w:pStyle w:val="ListParagraph"/>
        <w:numPr>
          <w:ilvl w:val="0"/>
          <w:numId w:val="27"/>
        </w:numPr>
        <w:spacing w:before="160" w:line="276" w:lineRule="auto"/>
      </w:pPr>
      <w:r w:rsidRPr="00BA5067">
        <w:t>review of the annual assessment of financial management compliance (Direction 5.1.2 (b))</w:t>
      </w:r>
      <w:r>
        <w:t>;</w:t>
      </w:r>
      <w:r w:rsidRPr="00BA5067">
        <w:t xml:space="preserve"> </w:t>
      </w:r>
    </w:p>
    <w:p w14:paraId="0C2F3306" w14:textId="77777777" w:rsidR="003D3B15" w:rsidRDefault="003D3B15" w:rsidP="000B15FD">
      <w:pPr>
        <w:pStyle w:val="ListParagraph"/>
        <w:numPr>
          <w:ilvl w:val="0"/>
          <w:numId w:val="27"/>
        </w:numPr>
        <w:spacing w:before="160" w:line="276" w:lineRule="auto"/>
      </w:pPr>
      <w:r w:rsidRPr="00BA5067">
        <w:t>review of the public at</w:t>
      </w:r>
      <w:r>
        <w:t xml:space="preserve">testation statement (Direction 5.1.4 (c)); </w:t>
      </w:r>
      <w:r w:rsidRPr="00BA5067">
        <w:t xml:space="preserve">and </w:t>
      </w:r>
    </w:p>
    <w:p w14:paraId="09C535F0" w14:textId="77777777" w:rsidR="003D3B15" w:rsidRPr="00BA5067" w:rsidRDefault="003D3B15" w:rsidP="000B15FD">
      <w:pPr>
        <w:pStyle w:val="ListParagraph"/>
        <w:numPr>
          <w:ilvl w:val="0"/>
          <w:numId w:val="27"/>
        </w:numPr>
        <w:spacing w:before="160" w:line="276" w:lineRule="auto"/>
      </w:pPr>
      <w:r w:rsidRPr="00BA5067">
        <w:t>review and approval of the compliance report provided to the Portfolio Department (Instruction 5.1, Clause 1.3).</w:t>
      </w:r>
    </w:p>
    <w:p w14:paraId="7AB1DA3E" w14:textId="77777777" w:rsidR="00ED0BF3" w:rsidRDefault="00ED0BF3">
      <w:pPr>
        <w:spacing w:before="0" w:after="200" w:line="276" w:lineRule="auto"/>
        <w:rPr>
          <w:color w:val="4D4D4D"/>
          <w:sz w:val="24"/>
          <w:szCs w:val="28"/>
        </w:rPr>
      </w:pPr>
      <w:r>
        <w:rPr>
          <w:color w:val="4D4D4D"/>
          <w:sz w:val="24"/>
          <w:szCs w:val="28"/>
        </w:rPr>
        <w:br w:type="page"/>
      </w:r>
    </w:p>
    <w:p w14:paraId="2DE72B07" w14:textId="1CF1936F" w:rsidR="00B55437" w:rsidRPr="009408C9" w:rsidRDefault="00B55437" w:rsidP="00B55437">
      <w:pPr>
        <w:keepNext/>
        <w:spacing w:before="120" w:after="120" w:line="276" w:lineRule="auto"/>
        <w:rPr>
          <w:color w:val="4D4D4D"/>
          <w:sz w:val="24"/>
          <w:szCs w:val="28"/>
        </w:rPr>
      </w:pPr>
      <w:r w:rsidRPr="009408C9">
        <w:rPr>
          <w:color w:val="4D4D4D"/>
          <w:sz w:val="24"/>
          <w:szCs w:val="28"/>
        </w:rPr>
        <w:lastRenderedPageBreak/>
        <w:t xml:space="preserve">Annual assessment </w:t>
      </w:r>
      <w:r>
        <w:rPr>
          <w:color w:val="4D4D4D"/>
          <w:sz w:val="24"/>
          <w:szCs w:val="28"/>
        </w:rPr>
        <w:t>and attestation processes and timelines</w:t>
      </w:r>
    </w:p>
    <w:p w14:paraId="186A75F3" w14:textId="77777777" w:rsidR="00B55437" w:rsidRPr="009408C9" w:rsidRDefault="00B55437" w:rsidP="008A5429">
      <w:r w:rsidRPr="009408C9">
        <w:t>The annual assessment of compliance with the Directions takes into consideration information from various sources. These could include:</w:t>
      </w:r>
    </w:p>
    <w:p w14:paraId="473BACEA" w14:textId="77777777" w:rsidR="00B55437" w:rsidRPr="009408C9" w:rsidRDefault="00B55437" w:rsidP="00B55437">
      <w:pPr>
        <w:numPr>
          <w:ilvl w:val="0"/>
          <w:numId w:val="1"/>
        </w:numPr>
        <w:tabs>
          <w:tab w:val="num" w:pos="1291"/>
        </w:tabs>
        <w:spacing w:before="80" w:after="80"/>
      </w:pPr>
      <w:r w:rsidRPr="009408C9">
        <w:t>current and previous detailed reviews of obligations conducted and actions taken since to rectify any failure or deficiency, when appropriate;</w:t>
      </w:r>
    </w:p>
    <w:p w14:paraId="57656B57" w14:textId="77777777" w:rsidR="00B55437" w:rsidRPr="009408C9" w:rsidRDefault="00B55437" w:rsidP="00B55437">
      <w:pPr>
        <w:numPr>
          <w:ilvl w:val="0"/>
          <w:numId w:val="1"/>
        </w:numPr>
        <w:tabs>
          <w:tab w:val="num" w:pos="1291"/>
        </w:tabs>
        <w:spacing w:before="80" w:after="80"/>
      </w:pPr>
      <w:r w:rsidRPr="009408C9">
        <w:t>any targeted assessments which may be conducted as a result of:</w:t>
      </w:r>
    </w:p>
    <w:p w14:paraId="68D3DCBE" w14:textId="77777777" w:rsidR="00B55437" w:rsidRPr="009408C9" w:rsidRDefault="00B55437" w:rsidP="00B55437">
      <w:pPr>
        <w:numPr>
          <w:ilvl w:val="1"/>
          <w:numId w:val="1"/>
        </w:numPr>
        <w:tabs>
          <w:tab w:val="num" w:pos="1575"/>
        </w:tabs>
        <w:spacing w:before="80" w:after="80"/>
      </w:pPr>
      <w:r w:rsidRPr="009408C9">
        <w:t>changes to requirements or operating environment considered high risk to complement previous detailed reviews (for example, a change to GST legislation on appropriations or an organisation change of the finance function), and</w:t>
      </w:r>
    </w:p>
    <w:p w14:paraId="22C853B2" w14:textId="77777777" w:rsidR="00B55437" w:rsidRPr="009408C9" w:rsidRDefault="00B55437" w:rsidP="00B55437">
      <w:pPr>
        <w:numPr>
          <w:ilvl w:val="1"/>
          <w:numId w:val="1"/>
        </w:numPr>
        <w:tabs>
          <w:tab w:val="num" w:pos="1575"/>
        </w:tabs>
        <w:spacing w:before="80" w:after="80"/>
      </w:pPr>
      <w:r>
        <w:t>Material Compliance Deficiencies</w:t>
      </w:r>
      <w:r w:rsidRPr="009408C9">
        <w:t xml:space="preserve"> identified during the year;</w:t>
      </w:r>
    </w:p>
    <w:p w14:paraId="73D10EFF" w14:textId="1B2F8EFE" w:rsidR="00B55437" w:rsidRPr="009408C9" w:rsidRDefault="00B55437" w:rsidP="00FF63D7">
      <w:pPr>
        <w:pStyle w:val="Bullet1"/>
      </w:pPr>
      <w:r w:rsidRPr="009408C9">
        <w:t>outcomes from monitoring and analysing planned and unexpected changes to the business and operating environments and the impact on compliance with obligations since last annual assessment;</w:t>
      </w:r>
    </w:p>
    <w:p w14:paraId="3639365D" w14:textId="77777777" w:rsidR="00B55437" w:rsidRPr="009408C9" w:rsidRDefault="00B55437" w:rsidP="00B55437">
      <w:pPr>
        <w:numPr>
          <w:ilvl w:val="0"/>
          <w:numId w:val="1"/>
        </w:numPr>
        <w:tabs>
          <w:tab w:val="num" w:pos="1291"/>
        </w:tabs>
        <w:spacing w:before="80" w:after="80"/>
      </w:pPr>
      <w:r w:rsidRPr="009408C9">
        <w:t xml:space="preserve">any </w:t>
      </w:r>
      <w:r>
        <w:t>compliance deficiencies</w:t>
      </w:r>
      <w:r w:rsidRPr="009408C9">
        <w:t xml:space="preserve"> reported during the year;</w:t>
      </w:r>
    </w:p>
    <w:p w14:paraId="4BE74CA6" w14:textId="376F191C" w:rsidR="00B55437" w:rsidRPr="009408C9" w:rsidRDefault="00B55437" w:rsidP="00B55437">
      <w:pPr>
        <w:numPr>
          <w:ilvl w:val="0"/>
          <w:numId w:val="1"/>
        </w:numPr>
        <w:tabs>
          <w:tab w:val="num" w:pos="1291"/>
        </w:tabs>
        <w:spacing w:before="80" w:after="80"/>
      </w:pPr>
      <w:r w:rsidRPr="009408C9">
        <w:t xml:space="preserve">information from regular reviews of risk during the year (refer to </w:t>
      </w:r>
      <w:hyperlink r:id="rId302" w:anchor="Direction_3_7_1" w:history="1">
        <w:r w:rsidRPr="00D4158F">
          <w:rPr>
            <w:rStyle w:val="Hyperlink"/>
          </w:rPr>
          <w:t>Direction 3.7.1</w:t>
        </w:r>
      </w:hyperlink>
      <w:r>
        <w:t>, dealing with risk management</w:t>
      </w:r>
      <w:r w:rsidRPr="009408C9">
        <w:t xml:space="preserve">); and </w:t>
      </w:r>
    </w:p>
    <w:p w14:paraId="0374655C" w14:textId="7CABFAC0" w:rsidR="00B55437" w:rsidRDefault="00B55437" w:rsidP="00B55437">
      <w:pPr>
        <w:numPr>
          <w:ilvl w:val="0"/>
          <w:numId w:val="1"/>
        </w:numPr>
        <w:tabs>
          <w:tab w:val="num" w:pos="1291"/>
        </w:tabs>
        <w:spacing w:before="80" w:after="80"/>
      </w:pPr>
      <w:r w:rsidRPr="009408C9">
        <w:t>issues, queries and feedback from the Audit Committee throughout the year.</w:t>
      </w:r>
    </w:p>
    <w:p w14:paraId="236120DD" w14:textId="3C230DD4" w:rsidR="00B55437" w:rsidRPr="00FF63D7" w:rsidRDefault="00B55437" w:rsidP="00B55437">
      <w:pPr>
        <w:pStyle w:val="Bullet1"/>
        <w:numPr>
          <w:ilvl w:val="0"/>
          <w:numId w:val="0"/>
        </w:numPr>
      </w:pPr>
      <w:r w:rsidRPr="00FF63D7">
        <w:t>It is expected that Agencies will take a practical, risk</w:t>
      </w:r>
      <w:r w:rsidRPr="00FF63D7">
        <w:noBreakHyphen/>
        <w:t>based approach</w:t>
      </w:r>
      <w:r w:rsidR="000855D7">
        <w:rPr>
          <w:rStyle w:val="FootnoteReference"/>
        </w:rPr>
        <w:footnoteReference w:id="86"/>
      </w:r>
      <w:r w:rsidRPr="00FF63D7">
        <w:t xml:space="preserve"> to </w:t>
      </w:r>
      <w:r w:rsidR="00FF63D7">
        <w:t xml:space="preserve">achieving and </w:t>
      </w:r>
      <w:r w:rsidRPr="00FF63D7">
        <w:t xml:space="preserve">demonstrating compliance. </w:t>
      </w:r>
      <w:r w:rsidR="00FF63D7" w:rsidRPr="00FF63D7">
        <w:rPr>
          <w:szCs w:val="20"/>
        </w:rPr>
        <w:t xml:space="preserve">Agencies are expected to do this based on the nature, size and complexity of their business. This enables each Agency to tailor its systems, procedures and practices to its individual circumstances. </w:t>
      </w:r>
      <w:r w:rsidRPr="00FF63D7">
        <w:t xml:space="preserve">This is particularly relevant to those Directions that require Agencies to achieve broad principles of good financial management. An example is </w:t>
      </w:r>
      <w:hyperlink r:id="rId303" w:anchor="Direction_2_2" w:history="1">
        <w:r w:rsidRPr="00FF63D7">
          <w:rPr>
            <w:rStyle w:val="Hyperlink"/>
            <w:color w:val="auto"/>
          </w:rPr>
          <w:t>Direction 2.2(a)</w:t>
        </w:r>
      </w:hyperlink>
      <w:r w:rsidRPr="00FF63D7">
        <w:t>, which requires the Responsible Body to ensure that the Agency furthers government objectives and priorities. Reasonable evidence for compliance with such a requirement could include a brief summary of significant Government priorities that the Agency has pursued in the relevant year. It would usually be unnecessary to undertake a detailed analysis of all actions taken under such requirements.</w:t>
      </w:r>
    </w:p>
    <w:p w14:paraId="603678BA" w14:textId="27D662DF" w:rsidR="00B55437" w:rsidRPr="00D25478" w:rsidRDefault="00B55437" w:rsidP="00B55437">
      <w:pPr>
        <w:pStyle w:val="FootnoteText"/>
        <w:rPr>
          <w:rFonts w:ascii="Calibri" w:eastAsia="Times New Roman" w:hAnsi="Calibri" w:cs="Calibri"/>
          <w:sz w:val="20"/>
          <w:lang w:eastAsia="en-AU"/>
        </w:rPr>
      </w:pPr>
      <w:r w:rsidRPr="00D25478">
        <w:rPr>
          <w:rFonts w:ascii="Calibri" w:eastAsia="Times New Roman" w:hAnsi="Calibri" w:cs="Calibri"/>
          <w:sz w:val="20"/>
          <w:lang w:eastAsia="en-AU"/>
        </w:rPr>
        <w:t xml:space="preserve">The annual assessment is then provided to the Audit Committee whose responsibility is to review and monitor agency compliance. Information on compliance levels will support analysis to be contained in the assessment report and submitted to the Accountable Officer of Portfolio Departments by </w:t>
      </w:r>
      <w:r w:rsidRPr="003F40EC">
        <w:rPr>
          <w:rFonts w:ascii="Calibri" w:eastAsia="Times New Roman" w:hAnsi="Calibri" w:cs="Calibri"/>
          <w:b/>
          <w:sz w:val="20"/>
          <w:lang w:eastAsia="en-AU"/>
        </w:rPr>
        <w:t>15 September</w:t>
      </w:r>
      <w:r w:rsidRPr="00F21AF5">
        <w:rPr>
          <w:rFonts w:ascii="Calibri" w:eastAsia="Times New Roman" w:hAnsi="Calibri" w:cs="Calibri"/>
          <w:sz w:val="20"/>
          <w:lang w:eastAsia="en-AU"/>
        </w:rPr>
        <w:t xml:space="preserve"> for agencies for with an annual reporting period ending 30 June (</w:t>
      </w:r>
      <w:r w:rsidRPr="00F21AF5">
        <w:rPr>
          <w:rFonts w:ascii="Calibri" w:eastAsia="Times New Roman" w:hAnsi="Calibri" w:cs="Calibri"/>
          <w:b/>
          <w:sz w:val="20"/>
          <w:lang w:eastAsia="en-AU"/>
        </w:rPr>
        <w:t>15 March</w:t>
      </w:r>
      <w:r w:rsidRPr="00F21AF5">
        <w:rPr>
          <w:rFonts w:ascii="Calibri" w:eastAsia="Times New Roman" w:hAnsi="Calibri" w:cs="Calibri"/>
          <w:sz w:val="20"/>
          <w:lang w:eastAsia="en-AU"/>
        </w:rPr>
        <w:t xml:space="preserve"> for agencies with an annual reporting period ending 31 December).</w:t>
      </w:r>
      <w:r w:rsidR="00240727" w:rsidRPr="00D25478">
        <w:rPr>
          <w:sz w:val="20"/>
        </w:rPr>
        <w:t xml:space="preserve"> If an agency has an annual reporting balance date other than 30 June or 31 December, compliance assessment and reporting obligations must occur within </w:t>
      </w:r>
      <w:r w:rsidR="00240727" w:rsidRPr="00D25478">
        <w:rPr>
          <w:b/>
          <w:sz w:val="20"/>
        </w:rPr>
        <w:t>75 days</w:t>
      </w:r>
      <w:r w:rsidR="00240727" w:rsidRPr="00D25478">
        <w:rPr>
          <w:sz w:val="20"/>
        </w:rPr>
        <w:t xml:space="preserve"> of the balance date, under </w:t>
      </w:r>
      <w:hyperlink r:id="rId304" w:anchor="Instruction_5_1" w:history="1">
        <w:r w:rsidR="00240727" w:rsidRPr="00D25478">
          <w:rPr>
            <w:rStyle w:val="Hyperlink"/>
            <w:sz w:val="20"/>
          </w:rPr>
          <w:t>Instruction 5.1, clause 1.1 (c)</w:t>
        </w:r>
      </w:hyperlink>
      <w:r w:rsidR="00240727" w:rsidRPr="00D25478">
        <w:rPr>
          <w:sz w:val="20"/>
        </w:rPr>
        <w:t>.</w:t>
      </w:r>
    </w:p>
    <w:p w14:paraId="24C26B7D" w14:textId="77777777" w:rsidR="00B55437" w:rsidRPr="00F21AF5" w:rsidRDefault="00B55437" w:rsidP="00B55437">
      <w:pPr>
        <w:rPr>
          <w:szCs w:val="20"/>
        </w:rPr>
      </w:pPr>
      <w:r w:rsidRPr="003F40EC">
        <w:rPr>
          <w:szCs w:val="20"/>
        </w:rPr>
        <w:t xml:space="preserve">In preparing their assessment, Agencies should document </w:t>
      </w:r>
      <w:r w:rsidRPr="00F21AF5">
        <w:rPr>
          <w:szCs w:val="20"/>
        </w:rPr>
        <w:t>a summary of the:</w:t>
      </w:r>
    </w:p>
    <w:p w14:paraId="51A24DCF" w14:textId="77777777" w:rsidR="00B55437" w:rsidRPr="009408C9" w:rsidRDefault="00B55437" w:rsidP="00B55437">
      <w:pPr>
        <w:numPr>
          <w:ilvl w:val="0"/>
          <w:numId w:val="1"/>
        </w:numPr>
        <w:tabs>
          <w:tab w:val="num" w:pos="1291"/>
        </w:tabs>
        <w:spacing w:before="80" w:after="80"/>
      </w:pPr>
      <w:r w:rsidRPr="009408C9">
        <w:t>the levels of compliance achieved;</w:t>
      </w:r>
    </w:p>
    <w:p w14:paraId="5A8FEF44" w14:textId="77777777" w:rsidR="00B55437" w:rsidRPr="009408C9" w:rsidRDefault="00B55437" w:rsidP="00B55437">
      <w:pPr>
        <w:numPr>
          <w:ilvl w:val="0"/>
          <w:numId w:val="1"/>
        </w:numPr>
        <w:tabs>
          <w:tab w:val="num" w:pos="1291"/>
        </w:tabs>
        <w:spacing w:before="80" w:after="80"/>
      </w:pPr>
      <w:r>
        <w:t>Compliance Deficiencies</w:t>
      </w:r>
      <w:r w:rsidRPr="009408C9">
        <w:t>;</w:t>
      </w:r>
    </w:p>
    <w:p w14:paraId="5EDAE136" w14:textId="77777777" w:rsidR="00B55437" w:rsidRPr="009408C9" w:rsidRDefault="00B55437" w:rsidP="00B55437">
      <w:pPr>
        <w:numPr>
          <w:ilvl w:val="0"/>
          <w:numId w:val="1"/>
        </w:numPr>
        <w:tabs>
          <w:tab w:val="num" w:pos="1291"/>
        </w:tabs>
        <w:spacing w:before="80" w:after="80"/>
      </w:pPr>
      <w:r w:rsidRPr="009408C9">
        <w:t>action to be taken to remedy compliance deficiencies and timeframes;</w:t>
      </w:r>
    </w:p>
    <w:p w14:paraId="0DFEC8D6" w14:textId="77777777" w:rsidR="00B55437" w:rsidRDefault="00B55437" w:rsidP="00B55437">
      <w:pPr>
        <w:numPr>
          <w:ilvl w:val="0"/>
          <w:numId w:val="1"/>
        </w:numPr>
        <w:tabs>
          <w:tab w:val="num" w:pos="1291"/>
        </w:tabs>
        <w:spacing w:before="80" w:after="80"/>
      </w:pPr>
      <w:r w:rsidRPr="009408C9">
        <w:t>an assessment of the most significant comp</w:t>
      </w:r>
      <w:r>
        <w:t>liance risks for the Agency; and</w:t>
      </w:r>
    </w:p>
    <w:p w14:paraId="026B62A8" w14:textId="77777777" w:rsidR="00B55437" w:rsidRPr="00D50FD5" w:rsidRDefault="00B55437" w:rsidP="00B55437">
      <w:pPr>
        <w:numPr>
          <w:ilvl w:val="0"/>
          <w:numId w:val="1"/>
        </w:numPr>
        <w:tabs>
          <w:tab w:val="num" w:pos="1291"/>
        </w:tabs>
        <w:spacing w:before="80" w:after="80"/>
      </w:pPr>
      <w:r w:rsidRPr="00D50FD5">
        <w:t xml:space="preserve">proposed </w:t>
      </w:r>
      <w:r>
        <w:t>plan/</w:t>
      </w:r>
      <w:r w:rsidRPr="00D50FD5">
        <w:t>schedule of internal audit detailed financial management requirement reviews over the next three to four years.</w:t>
      </w:r>
    </w:p>
    <w:p w14:paraId="6CB48140" w14:textId="669BCB38" w:rsidR="00B55437" w:rsidRPr="00067D87" w:rsidRDefault="00B55437" w:rsidP="00B55437">
      <w:pPr>
        <w:rPr>
          <w:rFonts w:asciiTheme="minorHAnsi" w:hAnsiTheme="minorHAnsi"/>
          <w:szCs w:val="20"/>
        </w:rPr>
      </w:pPr>
      <w:r w:rsidRPr="009408C9">
        <w:t xml:space="preserve">The Committee then recommends to the Responsible Body the proposed compliance levels and mitigation strategies. </w:t>
      </w:r>
      <w:r w:rsidRPr="00067D87">
        <w:rPr>
          <w:rFonts w:asciiTheme="minorHAnsi" w:hAnsiTheme="minorHAnsi"/>
          <w:szCs w:val="20"/>
        </w:rPr>
        <w:t xml:space="preserve">Further information on the role of the Audit Committee is provided in </w:t>
      </w:r>
      <w:hyperlink r:id="rId305" w:anchor="Direction_3_2_1" w:history="1">
        <w:r w:rsidRPr="00067D87">
          <w:rPr>
            <w:rStyle w:val="Hyperlink"/>
            <w:rFonts w:asciiTheme="minorHAnsi" w:hAnsiTheme="minorHAnsi"/>
            <w:szCs w:val="20"/>
          </w:rPr>
          <w:t>Direction 3.2.1</w:t>
        </w:r>
      </w:hyperlink>
      <w:r w:rsidRPr="00067D87">
        <w:rPr>
          <w:rFonts w:asciiTheme="minorHAnsi" w:hAnsiTheme="minorHAnsi"/>
          <w:szCs w:val="20"/>
        </w:rPr>
        <w:t>.</w:t>
      </w:r>
    </w:p>
    <w:p w14:paraId="4495204B" w14:textId="01D004C1" w:rsidR="00B55437" w:rsidRPr="009408C9" w:rsidRDefault="006147E3" w:rsidP="00613E42">
      <w:pPr>
        <w:keepNext/>
      </w:pPr>
      <w:r>
        <w:t>The ongoing compl</w:t>
      </w:r>
      <w:r w:rsidR="00A54B19">
        <w:t>iance assessment</w:t>
      </w:r>
      <w:r w:rsidR="00A54B19" w:rsidRPr="00824690">
        <w:t xml:space="preserve"> </w:t>
      </w:r>
      <w:r w:rsidRPr="00824690">
        <w:t xml:space="preserve">and </w:t>
      </w:r>
      <w:r>
        <w:t xml:space="preserve">attestation timeframe is </w:t>
      </w:r>
      <w:r w:rsidRPr="00824690">
        <w:t xml:space="preserve">set out </w:t>
      </w:r>
      <w:r>
        <w:t xml:space="preserve">in Instruction 5.1. However, care </w:t>
      </w:r>
      <w:r w:rsidR="00A54B19">
        <w:t xml:space="preserve">needs to </w:t>
      </w:r>
      <w:r>
        <w:t xml:space="preserve">be </w:t>
      </w:r>
      <w:r w:rsidR="00A54B19">
        <w:t>take</w:t>
      </w:r>
      <w:r>
        <w:t>n to</w:t>
      </w:r>
      <w:r w:rsidR="00A54B19">
        <w:t xml:space="preserve"> appl</w:t>
      </w:r>
      <w:r>
        <w:t>y relevant</w:t>
      </w:r>
      <w:r w:rsidR="00A54B19">
        <w:t xml:space="preserve"> </w:t>
      </w:r>
      <w:r w:rsidR="00A54B19" w:rsidRPr="00824690">
        <w:t xml:space="preserve">transitional arrangements </w:t>
      </w:r>
      <w:r w:rsidR="00A54B19">
        <w:t>set out</w:t>
      </w:r>
      <w:r w:rsidR="00A54B19" w:rsidRPr="00824690">
        <w:t xml:space="preserve"> in </w:t>
      </w:r>
      <w:r w:rsidRPr="00824690">
        <w:t xml:space="preserve">the </w:t>
      </w:r>
      <w:r w:rsidR="00A54B19">
        <w:t xml:space="preserve">Directions and Instructions </w:t>
      </w:r>
      <w:r>
        <w:t>(</w:t>
      </w:r>
      <w:r w:rsidR="00A54B19">
        <w:t xml:space="preserve">particularly </w:t>
      </w:r>
      <w:hyperlink r:id="rId306" w:anchor="Direction_1_4_5" w:history="1">
        <w:r w:rsidR="00B55437" w:rsidRPr="00067D87">
          <w:rPr>
            <w:rStyle w:val="Hyperlink"/>
            <w:rFonts w:asciiTheme="minorHAnsi" w:hAnsiTheme="minorHAnsi"/>
            <w:szCs w:val="20"/>
          </w:rPr>
          <w:t>Direction 1.4.5</w:t>
        </w:r>
      </w:hyperlink>
      <w:r>
        <w:rPr>
          <w:rStyle w:val="Hyperlink"/>
          <w:rFonts w:asciiTheme="minorHAnsi" w:hAnsiTheme="minorHAnsi"/>
          <w:szCs w:val="20"/>
        </w:rPr>
        <w:t>).</w:t>
      </w:r>
      <w:r w:rsidR="00B55437" w:rsidRPr="009408C9">
        <w:t xml:space="preserve">The </w:t>
      </w:r>
      <w:hyperlink r:id="rId307" w:history="1">
        <w:r w:rsidR="00B55437" w:rsidRPr="009408C9">
          <w:rPr>
            <w:color w:val="595959" w:themeColor="text1" w:themeTint="A6"/>
            <w:szCs w:val="20"/>
          </w:rPr>
          <w:t>Victorian Management Insurance Authority</w:t>
        </w:r>
      </w:hyperlink>
      <w:r w:rsidR="00B55437">
        <w:rPr>
          <w:rStyle w:val="FootnoteReference"/>
          <w:color w:val="595959" w:themeColor="text1" w:themeTint="A6"/>
          <w:szCs w:val="20"/>
        </w:rPr>
        <w:footnoteReference w:id="87"/>
      </w:r>
      <w:r w:rsidR="00B55437" w:rsidRPr="009408C9">
        <w:t xml:space="preserve"> (VMIA) has developed a number of overarching principles and a range of guidance material in support of </w:t>
      </w:r>
      <w:r w:rsidR="00B55437">
        <w:t>risk attestation processes for A</w:t>
      </w:r>
      <w:r w:rsidR="00B55437" w:rsidRPr="009408C9">
        <w:t>gencies. Some of these key principles also apply to compliance attestation and include:</w:t>
      </w:r>
    </w:p>
    <w:p w14:paraId="2804B6F0" w14:textId="77777777" w:rsidR="00B55437" w:rsidRPr="009408C9" w:rsidRDefault="00B55437" w:rsidP="00613E42">
      <w:pPr>
        <w:pStyle w:val="Bullet1"/>
        <w:keepNext/>
        <w:ind w:left="288" w:hanging="288"/>
        <w:contextualSpacing/>
      </w:pPr>
      <w:r w:rsidRPr="009408C9">
        <w:t>attestation is intended to provide ‘assurance’ or demonstrate ‘performance’ – it should not be merely a box</w:t>
      </w:r>
      <w:r>
        <w:noBreakHyphen/>
      </w:r>
      <w:r w:rsidRPr="009408C9">
        <w:t>ticking exercise;</w:t>
      </w:r>
    </w:p>
    <w:p w14:paraId="57EAD8EC" w14:textId="77777777" w:rsidR="00B55437" w:rsidRPr="009408C9" w:rsidRDefault="00B55437" w:rsidP="008A5429">
      <w:pPr>
        <w:pStyle w:val="Bullet1"/>
        <w:ind w:left="288" w:hanging="288"/>
        <w:contextualSpacing/>
      </w:pPr>
      <w:r w:rsidRPr="009408C9">
        <w:t xml:space="preserve">keep the attestation framework and process as pragmatic and relevant as possible; </w:t>
      </w:r>
      <w:r>
        <w:t>and</w:t>
      </w:r>
    </w:p>
    <w:p w14:paraId="6790B75D" w14:textId="77777777" w:rsidR="00B55437" w:rsidRPr="00AE0687" w:rsidRDefault="00B55437" w:rsidP="008A5429">
      <w:pPr>
        <w:pStyle w:val="Bullet1"/>
        <w:ind w:left="288" w:hanging="288"/>
        <w:contextualSpacing/>
        <w:rPr>
          <w:color w:val="4D4D4D"/>
          <w:sz w:val="24"/>
          <w:szCs w:val="28"/>
        </w:rPr>
      </w:pPr>
      <w:r w:rsidRPr="009408C9">
        <w:lastRenderedPageBreak/>
        <w:t>the Agency’s risk maturity, size, complexity and risk appetite needs to be considered, because ‘attestation is relative to maturity.’</w:t>
      </w:r>
    </w:p>
    <w:p w14:paraId="35D75EA0" w14:textId="77777777" w:rsidR="00B55437" w:rsidRPr="009408C9" w:rsidRDefault="00B55437" w:rsidP="00B55437">
      <w:pPr>
        <w:pStyle w:val="Heading1NoNum"/>
      </w:pPr>
      <w:r w:rsidRPr="009408C9">
        <w:t xml:space="preserve">Portfolio Department compliance role </w:t>
      </w:r>
    </w:p>
    <w:p w14:paraId="2255F2EC" w14:textId="0BE2A101" w:rsidR="00B55437" w:rsidRPr="009408C9" w:rsidRDefault="00B55437" w:rsidP="00B55437">
      <w:r w:rsidRPr="009408C9">
        <w:t xml:space="preserve">As is currently the case, Portfolio Departments have a significant role in supporting the portfolio Ministers in their </w:t>
      </w:r>
      <w:r w:rsidRPr="003E0CD4">
        <w:t xml:space="preserve">oversight of the portfolio as a whole, and of Agencies individually (see </w:t>
      </w:r>
      <w:hyperlink r:id="rId308" w:anchor="Direction_2_3_4" w:history="1">
        <w:r w:rsidRPr="00D4158F">
          <w:rPr>
            <w:rStyle w:val="Hyperlink"/>
          </w:rPr>
          <w:t>Directions 2.3.4</w:t>
        </w:r>
      </w:hyperlink>
      <w:r w:rsidRPr="00D4158F">
        <w:t xml:space="preserve"> a</w:t>
      </w:r>
      <w:r>
        <w:t xml:space="preserve">nd </w:t>
      </w:r>
      <w:hyperlink r:id="rId309" w:anchor="Direction_2_4_4" w:history="1">
        <w:r w:rsidRPr="00D4158F">
          <w:rPr>
            <w:rStyle w:val="Hyperlink"/>
          </w:rPr>
          <w:t>2.4.4</w:t>
        </w:r>
      </w:hyperlink>
      <w:r w:rsidRPr="00D4158F">
        <w:t xml:space="preserve">, and </w:t>
      </w:r>
      <w:hyperlink r:id="rId310" w:anchor="Instruction_2_3_4" w:history="1">
        <w:r w:rsidRPr="00D4158F">
          <w:rPr>
            <w:rStyle w:val="Hyperlink"/>
          </w:rPr>
          <w:t>Instruction 2.3.4</w:t>
        </w:r>
      </w:hyperlink>
      <w:r w:rsidRPr="003E0CD4">
        <w:t xml:space="preserve"> </w:t>
      </w:r>
      <w:r w:rsidRPr="009408C9">
        <w:t xml:space="preserve">for more details on this role). This role is consistent with the Responsibility of Department Heads (Accountable Officer) in section 13A of the </w:t>
      </w:r>
      <w:r w:rsidRPr="009408C9">
        <w:rPr>
          <w:i/>
        </w:rPr>
        <w:t>Public Administration Act 2004</w:t>
      </w:r>
      <w:r w:rsidRPr="009408C9">
        <w:t xml:space="preserve">, introduced in 2014. </w:t>
      </w:r>
    </w:p>
    <w:p w14:paraId="5655168F" w14:textId="10475BA3" w:rsidR="00B55437" w:rsidRPr="009408C9" w:rsidRDefault="00B55437" w:rsidP="00B55437">
      <w:r w:rsidRPr="009408C9">
        <w:t xml:space="preserve">As a key part of this role, Portfolio Departments are to monitor </w:t>
      </w:r>
      <w:r>
        <w:t>the</w:t>
      </w:r>
      <w:r w:rsidRPr="009408C9">
        <w:t xml:space="preserve"> compliance</w:t>
      </w:r>
      <w:r>
        <w:t xml:space="preserve"> of their Portfolio Agencies</w:t>
      </w:r>
      <w:r w:rsidRPr="009408C9">
        <w:t xml:space="preserve"> and provide advice on the level of assurance with financial management requirements (includi</w:t>
      </w:r>
      <w:r>
        <w:t>ng the FMA, Directions and</w:t>
      </w:r>
      <w:r w:rsidRPr="009408C9">
        <w:t xml:space="preserve"> Instructions) to their Ministers and DTF including the identification of</w:t>
      </w:r>
      <w:r>
        <w:t xml:space="preserve"> key portfolio Compliance Deficiency</w:t>
      </w:r>
      <w:r w:rsidRPr="009408C9">
        <w:t xml:space="preserve"> risk issues and remedial actions proposed</w:t>
      </w:r>
      <w:r>
        <w:t xml:space="preserve"> (</w:t>
      </w:r>
      <w:r w:rsidRPr="00D4158F">
        <w:t xml:space="preserve">see </w:t>
      </w:r>
      <w:hyperlink r:id="rId311" w:anchor="Instruction_5_1" w:history="1">
        <w:r w:rsidRPr="00D4158F">
          <w:rPr>
            <w:rStyle w:val="Hyperlink"/>
          </w:rPr>
          <w:t>Instruction 5.1</w:t>
        </w:r>
      </w:hyperlink>
      <w:r>
        <w:t>, clause 1.4)</w:t>
      </w:r>
      <w:r w:rsidRPr="009408C9">
        <w:t xml:space="preserve">. This </w:t>
      </w:r>
      <w:r>
        <w:t>may</w:t>
      </w:r>
      <w:r w:rsidRPr="009408C9">
        <w:t xml:space="preserve"> also involve a departmental</w:t>
      </w:r>
      <w:r>
        <w:t xml:space="preserve"> review of portfolio Agencies’ internal a</w:t>
      </w:r>
      <w:r w:rsidRPr="009408C9">
        <w:t xml:space="preserve">udit detailed </w:t>
      </w:r>
      <w:r>
        <w:t xml:space="preserve">financial management requirement </w:t>
      </w:r>
      <w:r w:rsidRPr="009408C9">
        <w:t xml:space="preserve">review </w:t>
      </w:r>
      <w:r>
        <w:t>plans/</w:t>
      </w:r>
      <w:r w:rsidRPr="009408C9">
        <w:t>schedule</w:t>
      </w:r>
      <w:r>
        <w:t>s</w:t>
      </w:r>
      <w:r w:rsidRPr="009408C9">
        <w:t xml:space="preserve"> to ensure appropriate coverage and to identify areas of potential compliance risk, particularly during the transition period.</w:t>
      </w:r>
    </w:p>
    <w:p w14:paraId="194F4916" w14:textId="77777777" w:rsidR="00B55437" w:rsidRPr="009408C9" w:rsidRDefault="00B55437" w:rsidP="00B55437">
      <w:r w:rsidRPr="009408C9">
        <w:t xml:space="preserve">A Portfolio </w:t>
      </w:r>
      <w:r>
        <w:t>Department is to review annual A</w:t>
      </w:r>
      <w:r w:rsidRPr="009408C9">
        <w:t xml:space="preserve">gency compliance assessment reports and </w:t>
      </w:r>
      <w:r>
        <w:t xml:space="preserve">to </w:t>
      </w:r>
      <w:r w:rsidRPr="009408C9">
        <w:t xml:space="preserve">work with Agencies to improve compliance performance and manage </w:t>
      </w:r>
      <w:r>
        <w:t>C</w:t>
      </w:r>
      <w:r w:rsidRPr="009408C9">
        <w:t>ompliance</w:t>
      </w:r>
      <w:r>
        <w:t xml:space="preserve"> Deficiency</w:t>
      </w:r>
      <w:r w:rsidRPr="009408C9">
        <w:t xml:space="preserve"> risks. This process will help inform the portfolio summary compliance report to Minsters and DTF.</w:t>
      </w:r>
    </w:p>
    <w:p w14:paraId="11B3A25E" w14:textId="5066F83C" w:rsidR="00B55437" w:rsidRPr="009408C9" w:rsidRDefault="00784454" w:rsidP="00B55437">
      <w:r w:rsidRPr="005E4E01">
        <w:t>A</w:t>
      </w:r>
      <w:r w:rsidR="00B55437" w:rsidRPr="00784454">
        <w:t>n</w:t>
      </w:r>
      <w:r w:rsidR="00B55437" w:rsidRPr="009408C9">
        <w:t xml:space="preserve">nual portfolio summary reports are to be provided to DTF </w:t>
      </w:r>
      <w:r w:rsidR="00B55437">
        <w:rPr>
          <w:b/>
        </w:rPr>
        <w:t>by 31</w:t>
      </w:r>
      <w:r w:rsidR="00B55437" w:rsidRPr="009408C9">
        <w:rPr>
          <w:b/>
        </w:rPr>
        <w:t xml:space="preserve"> October</w:t>
      </w:r>
      <w:r w:rsidR="00B55437" w:rsidRPr="009408C9">
        <w:t xml:space="preserve"> following the year reviewed. </w:t>
      </w:r>
      <w:r>
        <w:t>A</w:t>
      </w:r>
      <w:r w:rsidRPr="009408C9">
        <w:t xml:space="preserve">s </w:t>
      </w:r>
      <w:r w:rsidRPr="00D4158F">
        <w:t xml:space="preserve">per </w:t>
      </w:r>
      <w:hyperlink r:id="rId312" w:anchor="Instruction_5_1" w:history="1">
        <w:r w:rsidRPr="00D4158F">
          <w:rPr>
            <w:rStyle w:val="Hyperlink"/>
          </w:rPr>
          <w:t>Instruction 5.1</w:t>
        </w:r>
      </w:hyperlink>
      <w:r w:rsidRPr="009408C9">
        <w:t>,</w:t>
      </w:r>
      <w:r w:rsidR="00E43990">
        <w:t xml:space="preserve"> </w:t>
      </w:r>
      <w:r>
        <w:t>t</w:t>
      </w:r>
      <w:r w:rsidRPr="009408C9">
        <w:t xml:space="preserve">he </w:t>
      </w:r>
      <w:r w:rsidR="00B55437" w:rsidRPr="009408C9">
        <w:t xml:space="preserve">contents </w:t>
      </w:r>
      <w:r>
        <w:t xml:space="preserve"> </w:t>
      </w:r>
      <w:r w:rsidR="00B55437" w:rsidRPr="009408C9">
        <w:t xml:space="preserve">should </w:t>
      </w:r>
      <w:r w:rsidRPr="009408C9">
        <w:t xml:space="preserve">include </w:t>
      </w:r>
      <w:r w:rsidR="00B55437" w:rsidRPr="009408C9">
        <w:t>at a minimum:</w:t>
      </w:r>
    </w:p>
    <w:p w14:paraId="3368ADAA" w14:textId="77777777" w:rsidR="00B55437" w:rsidRPr="009408C9" w:rsidRDefault="00B55437" w:rsidP="00B55437">
      <w:pPr>
        <w:numPr>
          <w:ilvl w:val="0"/>
          <w:numId w:val="1"/>
        </w:numPr>
        <w:tabs>
          <w:tab w:val="num" w:pos="1291"/>
        </w:tabs>
        <w:spacing w:before="80" w:after="80"/>
      </w:pPr>
      <w:r>
        <w:t>the levels of compliance achieved across the portfolio (including within the Portfolio Department as an Agency, and all Portfolio Agencies);</w:t>
      </w:r>
      <w:r w:rsidRPr="00635D84">
        <w:t xml:space="preserve"> </w:t>
      </w:r>
    </w:p>
    <w:p w14:paraId="51DB3177" w14:textId="77777777" w:rsidR="00B55437" w:rsidRPr="009408C9" w:rsidRDefault="00B55437" w:rsidP="00B55437">
      <w:pPr>
        <w:numPr>
          <w:ilvl w:val="0"/>
          <w:numId w:val="1"/>
        </w:numPr>
        <w:tabs>
          <w:tab w:val="num" w:pos="1291"/>
        </w:tabs>
        <w:spacing w:before="80" w:after="80"/>
      </w:pPr>
      <w:r>
        <w:t>key areas of Compliance Deficiency across the portfolio, including planned and completed remedial actions and timeframes of the Agencies and Portfolio Department; and</w:t>
      </w:r>
    </w:p>
    <w:p w14:paraId="610592D9" w14:textId="77777777" w:rsidR="00B55437" w:rsidRPr="009408C9" w:rsidRDefault="00B55437" w:rsidP="00B55437">
      <w:pPr>
        <w:numPr>
          <w:ilvl w:val="0"/>
          <w:numId w:val="1"/>
        </w:numPr>
        <w:tabs>
          <w:tab w:val="num" w:pos="1291"/>
        </w:tabs>
        <w:spacing w:before="80" w:after="80"/>
      </w:pPr>
      <w:r>
        <w:t>an assessment of the significant compliance risks facing the portfolio, including key strategies of the Agencies and the Portfolio Department to mitigate these risks.</w:t>
      </w:r>
      <w:r w:rsidRPr="00635D84">
        <w:t xml:space="preserve"> </w:t>
      </w:r>
    </w:p>
    <w:p w14:paraId="2DDF68E6" w14:textId="51C91DEF" w:rsidR="00B55437" w:rsidRPr="009408C9" w:rsidRDefault="00B55437" w:rsidP="00B55437">
      <w:r w:rsidRPr="009408C9">
        <w:t>Portfolio Departments should also review the annual attestation statement in Agencies</w:t>
      </w:r>
      <w:r>
        <w:t>’</w:t>
      </w:r>
      <w:r w:rsidRPr="009408C9">
        <w:t xml:space="preserve"> annual reports to ascertain whether they are an accurate assessment of their level of compliance.</w:t>
      </w:r>
    </w:p>
    <w:p w14:paraId="6EC7FFC4" w14:textId="77777777" w:rsidR="00B55437" w:rsidRPr="009408C9" w:rsidRDefault="00B55437" w:rsidP="00B55437">
      <w:pPr>
        <w:pStyle w:val="Heading1NoNum"/>
      </w:pPr>
      <w:r w:rsidRPr="009408C9">
        <w:t>Department of Treasury and Finance whole of State role</w:t>
      </w:r>
    </w:p>
    <w:p w14:paraId="09ABF599" w14:textId="37E58C68" w:rsidR="00B55437" w:rsidRPr="009408C9" w:rsidRDefault="00B55437" w:rsidP="008A5429">
      <w:pPr>
        <w:spacing w:before="80" w:after="80"/>
        <w:ind w:left="288" w:hanging="288"/>
        <w:contextualSpacing/>
      </w:pPr>
      <w:r w:rsidRPr="003E0CD4">
        <w:t>DTF</w:t>
      </w:r>
      <w:r w:rsidR="00784454">
        <w:t xml:space="preserve">’s ongoing </w:t>
      </w:r>
      <w:r w:rsidR="003F40EC">
        <w:t>activ</w:t>
      </w:r>
      <w:r w:rsidR="00784454">
        <w:t>ities</w:t>
      </w:r>
      <w:r w:rsidRPr="003E0CD4">
        <w:t xml:space="preserve"> </w:t>
      </w:r>
      <w:r w:rsidR="00784454">
        <w:t>in respect of</w:t>
      </w:r>
      <w:r w:rsidRPr="003E0CD4">
        <w:t xml:space="preserve"> oversight arrangements </w:t>
      </w:r>
      <w:r w:rsidR="00B07654">
        <w:t xml:space="preserve">may </w:t>
      </w:r>
      <w:r w:rsidRPr="003E0CD4">
        <w:t>includ</w:t>
      </w:r>
      <w:r w:rsidR="00B07654">
        <w:t>e the following</w:t>
      </w:r>
      <w:r w:rsidRPr="003E0CD4">
        <w:t>:</w:t>
      </w:r>
    </w:p>
    <w:p w14:paraId="24F99792" w14:textId="77777777" w:rsidR="00B55437" w:rsidRPr="009408C9" w:rsidRDefault="00B55437" w:rsidP="008A5429">
      <w:pPr>
        <w:numPr>
          <w:ilvl w:val="0"/>
          <w:numId w:val="1"/>
        </w:numPr>
        <w:tabs>
          <w:tab w:val="num" w:pos="1291"/>
        </w:tabs>
        <w:spacing w:before="80" w:after="80"/>
        <w:ind w:left="288" w:hanging="288"/>
        <w:contextualSpacing/>
      </w:pPr>
      <w:r w:rsidRPr="009408C9">
        <w:t>face to face meetings with Portfolio Departments;</w:t>
      </w:r>
    </w:p>
    <w:p w14:paraId="16387D3B" w14:textId="77777777" w:rsidR="00B55437" w:rsidRPr="009408C9" w:rsidRDefault="00B55437" w:rsidP="008A5429">
      <w:pPr>
        <w:numPr>
          <w:ilvl w:val="0"/>
          <w:numId w:val="1"/>
        </w:numPr>
        <w:tabs>
          <w:tab w:val="num" w:pos="1291"/>
        </w:tabs>
        <w:spacing w:before="80" w:after="80"/>
        <w:ind w:left="288" w:hanging="288"/>
        <w:contextualSpacing/>
      </w:pPr>
      <w:r w:rsidRPr="009408C9">
        <w:t>review</w:t>
      </w:r>
      <w:r>
        <w:t>ing</w:t>
      </w:r>
      <w:r w:rsidRPr="009408C9">
        <w:t xml:space="preserve"> of whole of state compliance and identify strategies to improve levels of compliance;</w:t>
      </w:r>
    </w:p>
    <w:p w14:paraId="1028F4F6" w14:textId="467DCBC4" w:rsidR="00B55437" w:rsidRPr="009408C9" w:rsidRDefault="00B55437" w:rsidP="008A5429">
      <w:pPr>
        <w:numPr>
          <w:ilvl w:val="0"/>
          <w:numId w:val="1"/>
        </w:numPr>
        <w:tabs>
          <w:tab w:val="num" w:pos="1291"/>
        </w:tabs>
        <w:spacing w:before="80" w:after="80"/>
        <w:ind w:left="288" w:hanging="288"/>
        <w:contextualSpacing/>
      </w:pPr>
      <w:r>
        <w:t>a</w:t>
      </w:r>
      <w:r w:rsidR="00FC3FA9">
        <w:t xml:space="preserve"> periodic effectiveness review</w:t>
      </w:r>
      <w:r w:rsidRPr="009408C9">
        <w:t>, either on site or desktop based;</w:t>
      </w:r>
    </w:p>
    <w:p w14:paraId="0E4A4182" w14:textId="77777777" w:rsidR="00B55437" w:rsidRPr="009408C9" w:rsidRDefault="00B55437" w:rsidP="008A5429">
      <w:pPr>
        <w:numPr>
          <w:ilvl w:val="0"/>
          <w:numId w:val="1"/>
        </w:numPr>
        <w:tabs>
          <w:tab w:val="num" w:pos="1291"/>
        </w:tabs>
        <w:spacing w:before="80" w:after="80"/>
        <w:ind w:left="288" w:hanging="288"/>
        <w:contextualSpacing/>
      </w:pPr>
      <w:r w:rsidRPr="009408C9">
        <w:t>analys</w:t>
      </w:r>
      <w:r>
        <w:t>ing</w:t>
      </w:r>
      <w:r w:rsidRPr="009408C9">
        <w:t xml:space="preserve"> portfolio compliance summary reports and other data to identify improvements;</w:t>
      </w:r>
    </w:p>
    <w:p w14:paraId="48BF69FD" w14:textId="62FEF0D9" w:rsidR="00B55437" w:rsidRPr="009408C9" w:rsidRDefault="00B55437" w:rsidP="008A5429">
      <w:pPr>
        <w:numPr>
          <w:ilvl w:val="0"/>
          <w:numId w:val="1"/>
        </w:numPr>
        <w:tabs>
          <w:tab w:val="num" w:pos="1291"/>
        </w:tabs>
        <w:spacing w:before="80" w:after="80"/>
        <w:ind w:left="288" w:hanging="288"/>
        <w:contextualSpacing/>
      </w:pPr>
      <w:r w:rsidRPr="009408C9">
        <w:t>report</w:t>
      </w:r>
      <w:r>
        <w:t>ing</w:t>
      </w:r>
      <w:r w:rsidRPr="009408C9">
        <w:t xml:space="preserve"> to the </w:t>
      </w:r>
      <w:r w:rsidR="00780F7A">
        <w:t>Assistant Treasurer</w:t>
      </w:r>
      <w:r w:rsidRPr="009408C9">
        <w:t xml:space="preserve"> on whole of state progress on achieving compliance with the new Directions by </w:t>
      </w:r>
      <w:r>
        <w:rPr>
          <w:b/>
        </w:rPr>
        <w:t>15 </w:t>
      </w:r>
      <w:r w:rsidRPr="00E1415F">
        <w:rPr>
          <w:b/>
        </w:rPr>
        <w:t>December</w:t>
      </w:r>
      <w:r w:rsidRPr="009408C9">
        <w:t xml:space="preserve"> each year;</w:t>
      </w:r>
    </w:p>
    <w:p w14:paraId="7251F615" w14:textId="24C19873" w:rsidR="00B55437" w:rsidRPr="009408C9" w:rsidRDefault="00B55437" w:rsidP="008A5429">
      <w:pPr>
        <w:numPr>
          <w:ilvl w:val="0"/>
          <w:numId w:val="1"/>
        </w:numPr>
        <w:tabs>
          <w:tab w:val="num" w:pos="1291"/>
        </w:tabs>
        <w:spacing w:before="80" w:after="80"/>
        <w:ind w:left="288" w:hanging="288"/>
        <w:contextualSpacing/>
      </w:pPr>
      <w:r w:rsidRPr="009408C9">
        <w:t>publish</w:t>
      </w:r>
      <w:r>
        <w:t>ing</w:t>
      </w:r>
      <w:r w:rsidRPr="009408C9">
        <w:t xml:space="preserve"> a summary whole of state compliance report on the DTF website subsequent to</w:t>
      </w:r>
      <w:r>
        <w:t xml:space="preserve"> the </w:t>
      </w:r>
      <w:r w:rsidR="00784454">
        <w:t xml:space="preserve">Assistant Treasurer’s </w:t>
      </w:r>
      <w:r>
        <w:t>review</w:t>
      </w:r>
      <w:r w:rsidR="007527BD">
        <w:t xml:space="preserve"> and approval</w:t>
      </w:r>
      <w:r w:rsidRPr="009408C9">
        <w:t>; and</w:t>
      </w:r>
    </w:p>
    <w:p w14:paraId="4D5A8867" w14:textId="4A0512C4" w:rsidR="00B55437" w:rsidRPr="009408C9" w:rsidRDefault="00B55437" w:rsidP="008A5429">
      <w:pPr>
        <w:numPr>
          <w:ilvl w:val="0"/>
          <w:numId w:val="1"/>
        </w:numPr>
        <w:tabs>
          <w:tab w:val="num" w:pos="1291"/>
        </w:tabs>
        <w:spacing w:before="80" w:after="80"/>
        <w:ind w:left="288" w:hanging="288"/>
        <w:contextualSpacing/>
      </w:pPr>
      <w:r>
        <w:t>proposing</w:t>
      </w:r>
      <w:r w:rsidRPr="009408C9">
        <w:t xml:space="preserve"> changes to the Directions, Instructions and Guidance to the </w:t>
      </w:r>
      <w:r w:rsidR="00780F7A">
        <w:t>Assistant Treasurer</w:t>
      </w:r>
      <w:r w:rsidR="00FC3FA9">
        <w:t>,</w:t>
      </w:r>
      <w:r w:rsidRPr="009408C9">
        <w:t xml:space="preserve"> when required</w:t>
      </w:r>
      <w:r w:rsidR="00FC3FA9">
        <w:t>,</w:t>
      </w:r>
      <w:r w:rsidRPr="009408C9">
        <w:t xml:space="preserve"> from improved practices identified,</w:t>
      </w:r>
      <w:r>
        <w:t xml:space="preserve"> mitigating risks or improving A</w:t>
      </w:r>
      <w:r w:rsidRPr="009408C9">
        <w:t>gency understanding of requirements.</w:t>
      </w:r>
    </w:p>
    <w:p w14:paraId="1C70C5E0" w14:textId="565C55E5" w:rsidR="00A0077C" w:rsidRDefault="00A0077C" w:rsidP="00A0077C"/>
    <w:p w14:paraId="2D63ECA1" w14:textId="77777777" w:rsidR="00A42A9B" w:rsidRDefault="00A42A9B" w:rsidP="00A0077C">
      <w:pPr>
        <w:sectPr w:rsidR="00A42A9B" w:rsidSect="007F1A5E">
          <w:pgSz w:w="11906" w:h="16838"/>
          <w:pgMar w:top="1440" w:right="1008" w:bottom="1440" w:left="1008" w:header="706" w:footer="389" w:gutter="0"/>
          <w:cols w:space="708"/>
          <w:titlePg/>
          <w:docGrid w:linePitch="360"/>
        </w:sectPr>
      </w:pPr>
    </w:p>
    <w:p w14:paraId="6D79B68D" w14:textId="79203540" w:rsidR="00A42A9B" w:rsidRDefault="00B76C17" w:rsidP="00A0077C">
      <w:r>
        <w:rPr>
          <w:noProof/>
        </w:rPr>
        <w:lastRenderedPageBreak/>
        <mc:AlternateContent>
          <mc:Choice Requires="wpg">
            <w:drawing>
              <wp:anchor distT="0" distB="0" distL="114300" distR="114300" simplePos="0" relativeHeight="251658244" behindDoc="0" locked="0" layoutInCell="1" allowOverlap="1" wp14:anchorId="0BAFC071" wp14:editId="78B81451">
                <wp:simplePos x="0" y="0"/>
                <wp:positionH relativeFrom="column">
                  <wp:posOffset>-678180</wp:posOffset>
                </wp:positionH>
                <wp:positionV relativeFrom="paragraph">
                  <wp:posOffset>-908050</wp:posOffset>
                </wp:positionV>
                <wp:extent cx="8599881" cy="10689336"/>
                <wp:effectExtent l="0" t="0" r="0" b="0"/>
                <wp:wrapNone/>
                <wp:docPr id="233" name="Group 233"/>
                <wp:cNvGraphicFramePr/>
                <a:graphic xmlns:a="http://schemas.openxmlformats.org/drawingml/2006/main">
                  <a:graphicData uri="http://schemas.microsoft.com/office/word/2010/wordprocessingGroup">
                    <wpg:wgp>
                      <wpg:cNvGrpSpPr/>
                      <wpg:grpSpPr>
                        <a:xfrm>
                          <a:off x="0" y="0"/>
                          <a:ext cx="8599881" cy="10689336"/>
                          <a:chOff x="0" y="0"/>
                          <a:chExt cx="8599881" cy="10689336"/>
                        </a:xfrm>
                      </wpg:grpSpPr>
                      <wps:wsp>
                        <wps:cNvPr id="229" name="Rectangle 229"/>
                        <wps:cNvSpPr/>
                        <wps:spPr>
                          <a:xfrm>
                            <a:off x="0" y="0"/>
                            <a:ext cx="7635240" cy="10689336"/>
                          </a:xfrm>
                          <a:prstGeom prst="rect">
                            <a:avLst/>
                          </a:prstGeom>
                          <a:solidFill>
                            <a:srgbClr val="6B6E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Freeform 5"/>
                        <wps:cNvSpPr>
                          <a:spLocks/>
                        </wps:cNvSpPr>
                        <wps:spPr bwMode="auto">
                          <a:xfrm rot="10800000">
                            <a:off x="5268036" y="3825827"/>
                            <a:ext cx="3331845" cy="6851650"/>
                          </a:xfrm>
                          <a:custGeom>
                            <a:avLst/>
                            <a:gdLst>
                              <a:gd name="T0" fmla="*/ 0 w 5630"/>
                              <a:gd name="T1" fmla="*/ 0 h 11575"/>
                              <a:gd name="T2" fmla="*/ 0 w 5630"/>
                              <a:gd name="T3" fmla="*/ 11575 h 11575"/>
                              <a:gd name="T4" fmla="*/ 5630 w 5630"/>
                              <a:gd name="T5" fmla="*/ 0 h 11575"/>
                              <a:gd name="T6" fmla="*/ 0 w 5630"/>
                              <a:gd name="T7" fmla="*/ 0 h 11575"/>
                            </a:gdLst>
                            <a:ahLst/>
                            <a:cxnLst>
                              <a:cxn ang="0">
                                <a:pos x="T0" y="T1"/>
                              </a:cxn>
                              <a:cxn ang="0">
                                <a:pos x="T2" y="T3"/>
                              </a:cxn>
                              <a:cxn ang="0">
                                <a:pos x="T4" y="T5"/>
                              </a:cxn>
                              <a:cxn ang="0">
                                <a:pos x="T6" y="T7"/>
                              </a:cxn>
                            </a:cxnLst>
                            <a:rect l="0" t="0" r="r" b="b"/>
                            <a:pathLst>
                              <a:path w="5630" h="11575">
                                <a:moveTo>
                                  <a:pt x="0" y="0"/>
                                </a:moveTo>
                                <a:lnTo>
                                  <a:pt x="0" y="11575"/>
                                </a:lnTo>
                                <a:lnTo>
                                  <a:pt x="5630" y="0"/>
                                </a:lnTo>
                                <a:lnTo>
                                  <a:pt x="0" y="0"/>
                                </a:lnTo>
                                <a:close/>
                              </a:path>
                            </a:pathLst>
                          </a:custGeom>
                          <a:solidFill>
                            <a:srgbClr val="53565A"/>
                          </a:solidFill>
                          <a:ln>
                            <a:noFill/>
                          </a:ln>
                        </wps:spPr>
                        <wps:bodyPr rot="0" vert="horz" wrap="square" lIns="91440" tIns="45720" rIns="91440" bIns="45720" anchor="t" anchorCtr="0" upright="1">
                          <a:noAutofit/>
                        </wps:bodyPr>
                      </wps:wsp>
                      <wps:wsp>
                        <wps:cNvPr id="231" name="Freeform 9"/>
                        <wps:cNvSpPr>
                          <a:spLocks/>
                        </wps:cNvSpPr>
                        <wps:spPr bwMode="auto">
                          <a:xfrm rot="10800000">
                            <a:off x="40943" y="13647"/>
                            <a:ext cx="1480820" cy="3099435"/>
                          </a:xfrm>
                          <a:custGeom>
                            <a:avLst/>
                            <a:gdLst>
                              <a:gd name="T0" fmla="*/ 0 w 2326"/>
                              <a:gd name="T1" fmla="*/ 4887 h 4887"/>
                              <a:gd name="T2" fmla="*/ 2326 w 2326"/>
                              <a:gd name="T3" fmla="*/ 4887 h 4887"/>
                              <a:gd name="T4" fmla="*/ 2326 w 2326"/>
                              <a:gd name="T5" fmla="*/ 0 h 4887"/>
                              <a:gd name="T6" fmla="*/ 0 w 2326"/>
                              <a:gd name="T7" fmla="*/ 4887 h 4887"/>
                            </a:gdLst>
                            <a:ahLst/>
                            <a:cxnLst>
                              <a:cxn ang="0">
                                <a:pos x="T0" y="T1"/>
                              </a:cxn>
                              <a:cxn ang="0">
                                <a:pos x="T2" y="T3"/>
                              </a:cxn>
                              <a:cxn ang="0">
                                <a:pos x="T4" y="T5"/>
                              </a:cxn>
                              <a:cxn ang="0">
                                <a:pos x="T6" y="T7"/>
                              </a:cxn>
                            </a:cxnLst>
                            <a:rect l="0" t="0" r="r" b="b"/>
                            <a:pathLst>
                              <a:path w="2326" h="4887">
                                <a:moveTo>
                                  <a:pt x="0" y="4887"/>
                                </a:moveTo>
                                <a:lnTo>
                                  <a:pt x="2326" y="4887"/>
                                </a:lnTo>
                                <a:lnTo>
                                  <a:pt x="2326" y="0"/>
                                </a:lnTo>
                                <a:lnTo>
                                  <a:pt x="0" y="4887"/>
                                </a:lnTo>
                                <a:close/>
                              </a:path>
                            </a:pathLst>
                          </a:custGeom>
                          <a:solidFill>
                            <a:srgbClr val="53565A"/>
                          </a:solidFill>
                          <a:ln>
                            <a:noFill/>
                          </a:ln>
                        </wps:spPr>
                        <wps:bodyPr rot="0" vert="horz" wrap="square" lIns="91440" tIns="45720" rIns="91440" bIns="45720" anchor="t" anchorCtr="0" upright="1">
                          <a:noAutofit/>
                        </wps:bodyPr>
                      </wps:wsp>
                      <pic:pic xmlns:pic="http://schemas.openxmlformats.org/drawingml/2006/picture">
                        <pic:nvPicPr>
                          <pic:cNvPr id="232" name="Picture 232"/>
                          <pic:cNvPicPr>
                            <a:picLocks noChangeAspect="1"/>
                          </pic:cNvPicPr>
                        </pic:nvPicPr>
                        <pic:blipFill>
                          <a:blip r:embed="rId313" cstate="print">
                            <a:extLst>
                              <a:ext uri="{28A0092B-C50C-407E-A947-70E740481C1C}">
                                <a14:useLocalDpi xmlns:a14="http://schemas.microsoft.com/office/drawing/2010/main" val="0"/>
                              </a:ext>
                            </a:extLst>
                          </a:blip>
                          <a:stretch>
                            <a:fillRect/>
                          </a:stretch>
                        </pic:blipFill>
                        <pic:spPr>
                          <a:xfrm>
                            <a:off x="5240740" y="9926376"/>
                            <a:ext cx="1378424" cy="409433"/>
                          </a:xfrm>
                          <a:prstGeom prst="rect">
                            <a:avLst/>
                          </a:prstGeom>
                          <a:ln>
                            <a:noFill/>
                          </a:ln>
                        </pic:spPr>
                      </pic:pic>
                    </wpg:wgp>
                  </a:graphicData>
                </a:graphic>
              </wp:anchor>
            </w:drawing>
          </mc:Choice>
          <mc:Fallback>
            <w:pict>
              <v:group w14:anchorId="27202A35" id="Group 233" o:spid="_x0000_s1026" style="position:absolute;margin-left:-53.4pt;margin-top:-71.5pt;width:677.15pt;height:841.7pt;z-index:251658244" coordsize="85998,106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">
                <v:rect id="Rectangle 229" o:spid="_x0000_s1027" style="position:absolute;width:76352;height:106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" fillcolor="#6b6e73" stroked="f" strokeweight="2pt"/>
                <v:shape id="Freeform 5" o:spid="_x0000_s1028" style="position:absolute;left:52680;top:38258;width:33318;height:68516;rotation:180;visibility:visible;mso-wrap-style:square;v-text-anchor:top" coordsize="5630,1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" path="m,l,11575,5630,,,xe" fillcolor="#53565a" stroked="f">
                  <v:path arrowok="t" o:connecttype="custom" o:connectlocs="0,0;0,6851650;3331845,0;0,0" o:connectangles="0,0,0,0"/>
                </v:shape>
                <v:shape id="Freeform 9" o:spid="_x0000_s1029" style="position:absolute;left:409;top:136;width:14808;height:30994;rotation:180;visibility:visible;mso-wrap-style:square;v-text-anchor:top" coordsize="2326,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" path="m,4887r2326,l2326,,,4887xe" fillcolor="#53565a" stroked="f">
                  <v:path arrowok="t" o:connecttype="custom" o:connectlocs="0,3099435;1480820,3099435;1480820,0;0,3099435" o:connectangles="0,0,0,0"/>
                </v:shape>
                <v:shape id="Picture 232" o:spid="_x0000_s1030" type="#_x0000_t75" style="position:absolute;left:52407;top:99263;width:13784;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">
                  <v:imagedata r:id="rId327" o:title=""/>
                </v:shape>
              </v:group>
            </w:pict>
          </mc:Fallback>
        </mc:AlternateContent>
      </w:r>
    </w:p>
    <w:sectPr w:rsidR="00A42A9B" w:rsidSect="00A42A9B">
      <w:headerReference w:type="default" r:id="rId328"/>
      <w:footerReference w:type="default" r:id="rId329"/>
      <w:headerReference w:type="first" r:id="rId330"/>
      <w:type w:val="evenPage"/>
      <w:pgSz w:w="11906" w:h="16838"/>
      <w:pgMar w:top="1440" w:right="1008" w:bottom="1440" w:left="1008" w:header="706"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B13F3" w14:textId="77777777" w:rsidR="00760E50" w:rsidRDefault="00760E50" w:rsidP="00F91121">
      <w:pPr>
        <w:spacing w:before="0" w:after="0"/>
      </w:pPr>
      <w:r>
        <w:separator/>
      </w:r>
    </w:p>
  </w:endnote>
  <w:endnote w:type="continuationSeparator" w:id="0">
    <w:p w14:paraId="01ED47BE" w14:textId="77777777" w:rsidR="00760E50" w:rsidRDefault="00760E50" w:rsidP="00F91121">
      <w:pPr>
        <w:spacing w:before="0" w:after="0"/>
      </w:pPr>
      <w:r>
        <w:continuationSeparator/>
      </w:r>
    </w:p>
  </w:endnote>
  <w:endnote w:type="continuationNotice" w:id="1">
    <w:p w14:paraId="3EC501A4" w14:textId="77777777" w:rsidR="00760E50" w:rsidRDefault="00760E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panose1 w:val="020B0604020202020204"/>
    <w:charset w:val="00"/>
    <w:family w:val="roman"/>
    <w:notTrueType/>
    <w:pitch w:val="default"/>
  </w:font>
  <w:font w:name="Helv">
    <w:panose1 w:val="00000000000000000000"/>
    <w:charset w:val="00"/>
    <w:family w:val="swiss"/>
    <w:notTrueType/>
    <w:pitch w:val="variable"/>
    <w:sig w:usb0="00000003" w:usb1="00000000" w:usb2="00000000" w:usb3="00000000" w:csb0="00000001" w:csb1="00000000"/>
  </w:font>
  <w:font w:name="HelveticaNeueLT Std Lt">
    <w:altName w:val="HelveticaNeueLT Std Lt"/>
    <w:panose1 w:val="020B0604020202020204"/>
    <w:charset w:val="00"/>
    <w:family w:val="swiss"/>
    <w:notTrueType/>
    <w:pitch w:val="default"/>
    <w:sig w:usb0="00000003" w:usb1="00000000" w:usb2="00000000" w:usb3="00000000" w:csb0="00000001" w:csb1="00000000"/>
  </w:font>
  <w:font w:name="Times">
    <w:altName w:val="Sylfaen"/>
    <w:panose1 w:val="020B0604020202020204"/>
    <w:charset w:val="00"/>
    <w:family w:val="roman"/>
    <w:pitch w:val="variable"/>
    <w:sig w:usb0="E0002EFF" w:usb1="C000785B" w:usb2="00000009" w:usb3="00000000" w:csb0="000001FF" w:csb1="00000000"/>
  </w:font>
  <w:font w:name="HelveticaNeue-Light">
    <w:altName w:val="Arial"/>
    <w:panose1 w:val="02000403000000020004"/>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67200" w14:textId="77777777" w:rsidR="001E5E02" w:rsidRDefault="001E5E02" w:rsidP="00FB728C">
    <w:pPr>
      <w:pStyle w:val="Footer"/>
      <w:jc w:val="left"/>
      <w:rPr>
        <w:rFonts w:ascii="Arial" w:hAnsi="Arial" w:cs="Arial"/>
        <w:b/>
        <w:color w:val="3F3F3F"/>
      </w:rPr>
    </w:pPr>
  </w:p>
  <w:p w14:paraId="69202D6F" w14:textId="77777777" w:rsidR="001E5E02" w:rsidRDefault="001E5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33297" w14:textId="3FB6E7A3" w:rsidR="001E5E02" w:rsidRDefault="001E5E02">
    <w:pPr>
      <w:pStyle w:val="Footer"/>
    </w:pPr>
    <w:r>
      <mc:AlternateContent>
        <mc:Choice Requires="wps">
          <w:drawing>
            <wp:anchor distT="0" distB="0" distL="114300" distR="114300" simplePos="0" relativeHeight="251678720" behindDoc="0" locked="0" layoutInCell="1" allowOverlap="1" wp14:anchorId="44A2EF56" wp14:editId="56C372CD">
              <wp:simplePos x="0" y="0"/>
              <wp:positionH relativeFrom="column">
                <wp:posOffset>-473738</wp:posOffset>
              </wp:positionH>
              <wp:positionV relativeFrom="paragraph">
                <wp:posOffset>15985</wp:posOffset>
              </wp:positionV>
              <wp:extent cx="739472" cy="238540"/>
              <wp:effectExtent l="0" t="0" r="3810" b="9525"/>
              <wp:wrapNone/>
              <wp:docPr id="14" name="Rectangle 14"/>
              <wp:cNvGraphicFramePr/>
              <a:graphic xmlns:a="http://schemas.openxmlformats.org/drawingml/2006/main">
                <a:graphicData uri="http://schemas.microsoft.com/office/word/2010/wordprocessingShape">
                  <wps:wsp>
                    <wps:cNvSpPr/>
                    <wps:spPr>
                      <a:xfrm>
                        <a:off x="0" y="0"/>
                        <a:ext cx="739472" cy="2385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32573" id="Rectangle 14" o:spid="_x0000_s1026" style="position:absolute;margin-left:-37.3pt;margin-top:1.25pt;width:58.25pt;height:18.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" fillcolor="white [3212]"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EEA0E" w14:textId="72444278" w:rsidR="001E5E02" w:rsidRDefault="001E5E02" w:rsidP="00FB728C">
    <w:pPr>
      <w:pStyle w:val="Footer"/>
      <w:jc w:val="left"/>
      <w:rPr>
        <w:rFonts w:ascii="Arial" w:hAnsi="Arial" w:cs="Arial"/>
        <w:b/>
        <w:color w:val="3F3F3F"/>
      </w:rPr>
    </w:pPr>
  </w:p>
  <w:p w14:paraId="1DB61F09" w14:textId="77777777" w:rsidR="001E5E02" w:rsidRDefault="001E5E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40724" w14:textId="2CA99C49" w:rsidR="001E5E02" w:rsidRDefault="001E5E02" w:rsidP="00B009A5">
    <w:pPr>
      <w:pStyle w:val="Footer"/>
    </w:pPr>
    <w:r w:rsidRPr="00F23C8E">
      <w:drawing>
        <wp:anchor distT="0" distB="0" distL="114300" distR="114300" simplePos="0" relativeHeight="251658248" behindDoc="0" locked="0" layoutInCell="0" allowOverlap="1" wp14:anchorId="72C784E6" wp14:editId="294A2941">
          <wp:simplePos x="0" y="0"/>
          <wp:positionH relativeFrom="column">
            <wp:posOffset>-124571</wp:posOffset>
          </wp:positionH>
          <wp:positionV relativeFrom="page">
            <wp:posOffset>10073005</wp:posOffset>
          </wp:positionV>
          <wp:extent cx="1600200" cy="411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TREASURY_LOGO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411480"/>
                  </a:xfrm>
                  <a:prstGeom prst="rect">
                    <a:avLst/>
                  </a:prstGeom>
                </pic:spPr>
              </pic:pic>
            </a:graphicData>
          </a:graphic>
          <wp14:sizeRelH relativeFrom="margin">
            <wp14:pctWidth>0</wp14:pctWidth>
          </wp14:sizeRelH>
          <wp14:sizeRelV relativeFrom="margin">
            <wp14:pctHeight>0</wp14:pctHeight>
          </wp14:sizeRelV>
        </wp:anchor>
      </w:drawing>
    </w:r>
    <w:r w:rsidRPr="00F23C8E">
      <mc:AlternateContent>
        <mc:Choice Requires="wps">
          <w:drawing>
            <wp:anchor distT="0" distB="0" distL="114300" distR="114300" simplePos="0" relativeHeight="251658243" behindDoc="1" locked="0" layoutInCell="1" allowOverlap="1" wp14:anchorId="6E7D3F9A" wp14:editId="59AACF44">
              <wp:simplePos x="0" y="0"/>
              <wp:positionH relativeFrom="page">
                <wp:posOffset>-18415</wp:posOffset>
              </wp:positionH>
              <wp:positionV relativeFrom="page">
                <wp:posOffset>9866630</wp:posOffset>
              </wp:positionV>
              <wp:extent cx="7589520" cy="832104"/>
              <wp:effectExtent l="0" t="0" r="0" b="6350"/>
              <wp:wrapNone/>
              <wp:docPr id="18" name="Rectangle 14" descr="FactSheet Foot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9520" cy="832104"/>
                      </a:xfrm>
                      <a:prstGeom prst="rect">
                        <a:avLst/>
                      </a:prstGeom>
                      <a:solidFill>
                        <a:srgbClr val="53565A"/>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401013F" id="Rectangle 14" o:spid="_x0000_s1026" alt="FactSheet Footer" style="position:absolute;margin-left:-1.45pt;margin-top:776.9pt;width:597.6pt;height:6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" fillcolor="#53565a" stroked="f">
              <w10:wrap anchorx="page" anchory="page"/>
            </v:rect>
          </w:pict>
        </mc:Fallback>
      </mc:AlternateContent>
    </w:r>
    <w:r>
      <w:t>Guidance (Non</w:t>
    </w:r>
    <w:r>
      <w:noBreakHyphen/>
      <w:t>mandatory)</w:t>
    </w:r>
  </w:p>
  <w:p w14:paraId="22C2D6BB" w14:textId="4A9B4049" w:rsidR="001E5E02" w:rsidRPr="00EB7747" w:rsidRDefault="001E5E02" w:rsidP="00EB7747">
    <w:pPr>
      <w:pStyle w:val="Footer"/>
    </w:pPr>
    <w:r w:rsidRPr="00ED4EF8">
      <w:t xml:space="preserve">Page </w:t>
    </w:r>
    <w:r w:rsidRPr="00ED4EF8">
      <w:fldChar w:fldCharType="begin"/>
    </w:r>
    <w:r w:rsidRPr="00ED4EF8">
      <w:instrText xml:space="preserve"> page </w:instrText>
    </w:r>
    <w:r w:rsidRPr="00ED4EF8">
      <w:fldChar w:fldCharType="separate"/>
    </w:r>
    <w:r>
      <w:t>107</w:t>
    </w:r>
    <w:r w:rsidRPr="00ED4EF8">
      <w:fldChar w:fldCharType="end"/>
    </w:r>
    <w:r>
      <w:t xml:space="preserve"> of 1</w:t>
    </w:r>
    <w:r w:rsidR="004D552F">
      <w:t>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310F" w14:textId="49601A98" w:rsidR="001E5E02" w:rsidRDefault="001E5E02" w:rsidP="00B009A5">
    <w:pPr>
      <w:pStyle w:val="Footer"/>
    </w:pPr>
    <w:r w:rsidRPr="00F23C8E">
      <w:drawing>
        <wp:anchor distT="0" distB="0" distL="114300" distR="114300" simplePos="0" relativeHeight="251658250" behindDoc="0" locked="0" layoutInCell="0" allowOverlap="1" wp14:anchorId="793F9CFE" wp14:editId="243BF0D9">
          <wp:simplePos x="0" y="0"/>
          <wp:positionH relativeFrom="column">
            <wp:posOffset>-128270</wp:posOffset>
          </wp:positionH>
          <wp:positionV relativeFrom="page">
            <wp:posOffset>10076815</wp:posOffset>
          </wp:positionV>
          <wp:extent cx="1600200" cy="4114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TREASURY_LOGO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411480"/>
                  </a:xfrm>
                  <a:prstGeom prst="rect">
                    <a:avLst/>
                  </a:prstGeom>
                </pic:spPr>
              </pic:pic>
            </a:graphicData>
          </a:graphic>
          <wp14:sizeRelH relativeFrom="margin">
            <wp14:pctWidth>0</wp14:pctWidth>
          </wp14:sizeRelH>
          <wp14:sizeRelV relativeFrom="margin">
            <wp14:pctHeight>0</wp14:pctHeight>
          </wp14:sizeRelV>
        </wp:anchor>
      </w:drawing>
    </w:r>
    <w:r w:rsidRPr="00F23C8E">
      <mc:AlternateContent>
        <mc:Choice Requires="wps">
          <w:drawing>
            <wp:anchor distT="0" distB="0" distL="114300" distR="114300" simplePos="0" relativeHeight="251658241" behindDoc="1" locked="0" layoutInCell="1" allowOverlap="1" wp14:anchorId="1AE20BD5" wp14:editId="1272DE08">
              <wp:simplePos x="0" y="0"/>
              <wp:positionH relativeFrom="page">
                <wp:posOffset>-29210</wp:posOffset>
              </wp:positionH>
              <wp:positionV relativeFrom="page">
                <wp:posOffset>9874664</wp:posOffset>
              </wp:positionV>
              <wp:extent cx="7589520" cy="832104"/>
              <wp:effectExtent l="0" t="0" r="0" b="6350"/>
              <wp:wrapNone/>
              <wp:docPr id="22" name="Rectangle 14" descr="FactSheet Foot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9520" cy="832104"/>
                      </a:xfrm>
                      <a:prstGeom prst="rect">
                        <a:avLst/>
                      </a:prstGeom>
                      <a:solidFill>
                        <a:srgbClr val="53565A"/>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BCCE75" id="Rectangle 14" o:spid="_x0000_s1026" alt="FactSheet Footer" style="position:absolute;margin-left:-2.3pt;margin-top:777.55pt;width:597.6pt;height:6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" fillcolor="#53565a" stroked="f">
              <w10:wrap anchorx="page" anchory="page"/>
            </v:rect>
          </w:pict>
        </mc:Fallback>
      </mc:AlternateContent>
    </w:r>
    <w:r>
      <w:t>Guidance (Non</w:t>
    </w:r>
    <w:r>
      <w:noBreakHyphen/>
      <w:t>mandatory)</w:t>
    </w:r>
  </w:p>
  <w:p w14:paraId="6A43D74D" w14:textId="2E9AD6C9" w:rsidR="001E5E02" w:rsidRDefault="001E5E02">
    <w:pPr>
      <w:pStyle w:val="Footer"/>
    </w:pPr>
    <w:r w:rsidRPr="00ED4EF8">
      <w:t xml:space="preserve">Page </w:t>
    </w:r>
    <w:r w:rsidRPr="00ED4EF8">
      <w:fldChar w:fldCharType="begin"/>
    </w:r>
    <w:r w:rsidRPr="00ED4EF8">
      <w:instrText xml:space="preserve"> page </w:instrText>
    </w:r>
    <w:r w:rsidRPr="00ED4EF8">
      <w:fldChar w:fldCharType="separate"/>
    </w:r>
    <w:r>
      <w:t>2</w:t>
    </w:r>
    <w:r w:rsidRPr="00ED4EF8">
      <w:fldChar w:fldCharType="end"/>
    </w:r>
    <w:r>
      <w:t xml:space="preserve"> of 1</w:t>
    </w:r>
    <w:r w:rsidR="004D552F">
      <w:t>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7AFA5" w14:textId="4CA1B25C" w:rsidR="001E5E02" w:rsidRPr="00A42A9B" w:rsidRDefault="001E5E02" w:rsidP="00A42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D8B4E" w14:textId="77777777" w:rsidR="00760E50" w:rsidRDefault="00760E50" w:rsidP="00F91121">
      <w:pPr>
        <w:spacing w:before="0" w:after="0"/>
      </w:pPr>
      <w:r>
        <w:separator/>
      </w:r>
    </w:p>
  </w:footnote>
  <w:footnote w:type="continuationSeparator" w:id="0">
    <w:p w14:paraId="404E3145" w14:textId="77777777" w:rsidR="00760E50" w:rsidRDefault="00760E50" w:rsidP="00F91121">
      <w:pPr>
        <w:spacing w:before="0" w:after="0"/>
      </w:pPr>
      <w:r>
        <w:continuationSeparator/>
      </w:r>
    </w:p>
  </w:footnote>
  <w:footnote w:type="continuationNotice" w:id="1">
    <w:p w14:paraId="2992A75C" w14:textId="77777777" w:rsidR="00760E50" w:rsidRDefault="00760E50">
      <w:pPr>
        <w:spacing w:before="0" w:after="0"/>
      </w:pPr>
    </w:p>
  </w:footnote>
  <w:footnote w:id="2">
    <w:p w14:paraId="715D25CC" w14:textId="18E5E6ED" w:rsidR="001E5E02" w:rsidRDefault="001E5E02">
      <w:pPr>
        <w:pStyle w:val="FootnoteText"/>
      </w:pPr>
      <w:r w:rsidRPr="00E862D1">
        <w:rPr>
          <w:rStyle w:val="FootnoteReference"/>
        </w:rPr>
        <w:footnoteRef/>
      </w:r>
      <w:r w:rsidRPr="00E862D1">
        <w:t xml:space="preserve"> Note that the Directions provide that </w:t>
      </w:r>
      <w:r w:rsidRPr="00E862D1">
        <w:rPr>
          <w:rFonts w:eastAsia="+mn-ea"/>
        </w:rPr>
        <w:t xml:space="preserve">the </w:t>
      </w:r>
      <w:r>
        <w:rPr>
          <w:rFonts w:eastAsia="+mn-ea"/>
        </w:rPr>
        <w:t xml:space="preserve">DTF </w:t>
      </w:r>
      <w:r w:rsidRPr="00E862D1">
        <w:rPr>
          <w:rFonts w:eastAsia="+mn-ea"/>
        </w:rPr>
        <w:t>Deputy Secretary may grant exemptions from Instructions. See discussion</w:t>
      </w:r>
      <w:r>
        <w:rPr>
          <w:rFonts w:eastAsia="+mn-ea"/>
        </w:rPr>
        <w:t xml:space="preserve"> under ‘Exemptions from Instructions’ below. </w:t>
      </w:r>
    </w:p>
  </w:footnote>
  <w:footnote w:id="3">
    <w:p w14:paraId="1D7FF694" w14:textId="6DF5B3CE" w:rsidR="001E5E02" w:rsidRDefault="001E5E02">
      <w:pPr>
        <w:pStyle w:val="FootnoteText"/>
      </w:pPr>
      <w:r>
        <w:rPr>
          <w:rStyle w:val="FootnoteReference"/>
        </w:rPr>
        <w:footnoteRef/>
      </w:r>
      <w:r>
        <w:t xml:space="preserve"> </w:t>
      </w:r>
      <w:hyperlink r:id="rId1" w:history="1">
        <w:r w:rsidRPr="00C73D82">
          <w:rPr>
            <w:rStyle w:val="Hyperlink"/>
          </w:rPr>
          <w:t>vpsc.vic.gov.au/html-resources/guidance-for-managers-engaging-contractors-and-consultants</w:t>
        </w:r>
      </w:hyperlink>
    </w:p>
  </w:footnote>
  <w:footnote w:id="4">
    <w:p w14:paraId="51233BCB" w14:textId="77777777" w:rsidR="001E5E02" w:rsidRDefault="001E5E02" w:rsidP="00973C6F">
      <w:pPr>
        <w:pStyle w:val="FootnoteText"/>
      </w:pPr>
      <w:r>
        <w:rPr>
          <w:rStyle w:val="FootnoteReference"/>
        </w:rPr>
        <w:footnoteRef/>
      </w:r>
      <w:r>
        <w:t xml:space="preserve"> This is a summary of section 13A of the PAA. See the PAA for the full details.</w:t>
      </w:r>
    </w:p>
  </w:footnote>
  <w:footnote w:id="5">
    <w:p w14:paraId="4FB9C525" w14:textId="5EC229A3" w:rsidR="001E5E02" w:rsidRDefault="001E5E02" w:rsidP="007A23FF">
      <w:pPr>
        <w:pStyle w:val="FootnoteText"/>
      </w:pPr>
      <w:r>
        <w:rPr>
          <w:rStyle w:val="FootnoteReference"/>
        </w:rPr>
        <w:footnoteRef/>
      </w:r>
      <w:r>
        <w:t xml:space="preserve"> </w:t>
      </w:r>
      <w:hyperlink r:id="rId2" w:history="1">
        <w:r w:rsidRPr="003D7DBD">
          <w:rPr>
            <w:rStyle w:val="Hyperlink"/>
          </w:rPr>
          <w:t>vpsc.vic.gov.au/resources/serving-victoria</w:t>
        </w:r>
      </w:hyperlink>
    </w:p>
  </w:footnote>
  <w:footnote w:id="6">
    <w:p w14:paraId="24CCF396" w14:textId="77777777" w:rsidR="001E5E02" w:rsidRDefault="001E5E02">
      <w:pPr>
        <w:pStyle w:val="FootnoteText"/>
      </w:pPr>
      <w:r>
        <w:rPr>
          <w:rStyle w:val="FootnoteReference"/>
        </w:rPr>
        <w:footnoteRef/>
      </w:r>
      <w:r>
        <w:t xml:space="preserve"> The following is the relevant Portfolio Departments as at the date of issue of this Guidance. Note that actual responsibility within the Agency falls on the Accountable Officer. </w:t>
      </w:r>
    </w:p>
  </w:footnote>
  <w:footnote w:id="7">
    <w:p w14:paraId="65A97E7B" w14:textId="3DC510F3" w:rsidR="001E5E02" w:rsidRDefault="001E5E02">
      <w:pPr>
        <w:pStyle w:val="FootnoteText"/>
      </w:pPr>
      <w:r>
        <w:rPr>
          <w:rStyle w:val="FootnoteReference"/>
        </w:rPr>
        <w:footnoteRef/>
      </w:r>
      <w:r>
        <w:t xml:space="preserve"> In addition to the compliance accountabilities required under </w:t>
      </w:r>
      <w:hyperlink r:id="rId3" w:anchor="standing-directions-2018" w:history="1">
        <w:r w:rsidRPr="0051115B">
          <w:rPr>
            <w:rStyle w:val="Hyperlink"/>
          </w:rPr>
          <w:t>Direction 2.3.5</w:t>
        </w:r>
        <w:r w:rsidRPr="00BE0C8F">
          <w:rPr>
            <w:rStyle w:val="Hyperlink"/>
          </w:rPr>
          <w:t>(c)</w:t>
        </w:r>
      </w:hyperlink>
      <w:r>
        <w:t>.</w:t>
      </w:r>
    </w:p>
  </w:footnote>
  <w:footnote w:id="8">
    <w:p w14:paraId="32662F58" w14:textId="581293B4" w:rsidR="001E5E02" w:rsidRDefault="001E5E02">
      <w:pPr>
        <w:pStyle w:val="FootnoteText"/>
      </w:pPr>
      <w:r w:rsidRPr="008D52D2">
        <w:rPr>
          <w:rStyle w:val="FootnoteReference"/>
        </w:rPr>
        <w:footnoteRef/>
      </w:r>
      <w:r w:rsidRPr="008D52D2">
        <w:t xml:space="preserve"> </w:t>
      </w:r>
      <w:r w:rsidR="00092B7C" w:rsidRPr="00092B7C">
        <w:t>http://www.vic.gov.au/victorian-risk-management-framework-and-insurance-management-policy</w:t>
      </w:r>
    </w:p>
  </w:footnote>
  <w:footnote w:id="9">
    <w:p w14:paraId="2CE9506C" w14:textId="465BF59D" w:rsidR="001E5E02" w:rsidRPr="003D7DBD" w:rsidRDefault="001E5E02" w:rsidP="00653FB1">
      <w:pPr>
        <w:pStyle w:val="FootnoteText"/>
      </w:pPr>
      <w:r w:rsidRPr="006C3A55">
        <w:rPr>
          <w:rStyle w:val="FootnoteReference"/>
        </w:rPr>
        <w:footnoteRef/>
      </w:r>
      <w:r w:rsidRPr="006C3A55">
        <w:t xml:space="preserve"> </w:t>
      </w:r>
      <w:hyperlink r:id="rId4" w:history="1">
        <w:r w:rsidRPr="003D7DBD">
          <w:rPr>
            <w:rStyle w:val="Hyperlink"/>
          </w:rPr>
          <w:t>vpsc.vic.gov.au/html</w:t>
        </w:r>
        <w:r w:rsidRPr="003D7DBD">
          <w:rPr>
            <w:rStyle w:val="Hyperlink"/>
          </w:rPr>
          <w:noBreakHyphen/>
          <w:t>resources/guidance</w:t>
        </w:r>
        <w:r w:rsidRPr="003D7DBD">
          <w:rPr>
            <w:rStyle w:val="Hyperlink"/>
          </w:rPr>
          <w:noBreakHyphen/>
          <w:t>for</w:t>
        </w:r>
        <w:r w:rsidRPr="003D7DBD">
          <w:rPr>
            <w:rStyle w:val="Hyperlink"/>
          </w:rPr>
          <w:noBreakHyphen/>
          <w:t>managers</w:t>
        </w:r>
        <w:r w:rsidRPr="003D7DBD">
          <w:rPr>
            <w:rStyle w:val="Hyperlink"/>
          </w:rPr>
          <w:noBreakHyphen/>
          <w:t>engaging</w:t>
        </w:r>
        <w:r w:rsidRPr="003D7DBD">
          <w:rPr>
            <w:rStyle w:val="Hyperlink"/>
          </w:rPr>
          <w:noBreakHyphen/>
          <w:t>contractors</w:t>
        </w:r>
        <w:r w:rsidRPr="003D7DBD">
          <w:rPr>
            <w:rStyle w:val="Hyperlink"/>
          </w:rPr>
          <w:noBreakHyphen/>
          <w:t>and</w:t>
        </w:r>
        <w:r w:rsidRPr="003D7DBD">
          <w:rPr>
            <w:rStyle w:val="Hyperlink"/>
          </w:rPr>
          <w:noBreakHyphen/>
          <w:t>consultants</w:t>
        </w:r>
      </w:hyperlink>
    </w:p>
  </w:footnote>
  <w:footnote w:id="10">
    <w:p w14:paraId="0DBEF99B" w14:textId="2FC226EC" w:rsidR="001E5E02" w:rsidRDefault="001E5E02" w:rsidP="00653FB1">
      <w:pPr>
        <w:pStyle w:val="FootnoteText"/>
      </w:pPr>
      <w:r w:rsidRPr="003D7DBD">
        <w:rPr>
          <w:rStyle w:val="FootnoteReference"/>
        </w:rPr>
        <w:footnoteRef/>
      </w:r>
      <w:r w:rsidRPr="003D7DBD">
        <w:t xml:space="preserve"> </w:t>
      </w:r>
      <w:hyperlink r:id="rId5" w:history="1">
        <w:r w:rsidRPr="003D7DBD">
          <w:rPr>
            <w:rStyle w:val="Hyperlink"/>
          </w:rPr>
          <w:t>vpsc.vic.gov.au/governance/governance</w:t>
        </w:r>
        <w:r w:rsidRPr="003D7DBD">
          <w:rPr>
            <w:rStyle w:val="Hyperlink"/>
          </w:rPr>
          <w:noBreakHyphen/>
          <w:t>structure</w:t>
        </w:r>
        <w:r w:rsidRPr="003D7DBD">
          <w:rPr>
            <w:rStyle w:val="Hyperlink"/>
          </w:rPr>
          <w:noBreakHyphen/>
          <w:t>and</w:t>
        </w:r>
        <w:r w:rsidRPr="003D7DBD">
          <w:rPr>
            <w:rStyle w:val="Hyperlink"/>
          </w:rPr>
          <w:noBreakHyphen/>
          <w:t>roles/governance</w:t>
        </w:r>
        <w:r w:rsidRPr="003D7DBD">
          <w:rPr>
            <w:rStyle w:val="Hyperlink"/>
          </w:rPr>
          <w:noBreakHyphen/>
          <w:t>structure</w:t>
        </w:r>
      </w:hyperlink>
    </w:p>
  </w:footnote>
  <w:footnote w:id="11">
    <w:p w14:paraId="153303B6" w14:textId="1A790504" w:rsidR="001E5E02" w:rsidRDefault="001E5E02" w:rsidP="007A23FF">
      <w:pPr>
        <w:pStyle w:val="FootnoteText"/>
      </w:pPr>
      <w:r w:rsidRPr="0056748D">
        <w:rPr>
          <w:rStyle w:val="FootnoteReference"/>
        </w:rPr>
        <w:footnoteRef/>
      </w:r>
      <w:r w:rsidRPr="0056748D">
        <w:t xml:space="preserve"> </w:t>
      </w:r>
      <w:r w:rsidRPr="00675947">
        <w:rPr>
          <w:rStyle w:val="Hyperlink"/>
        </w:rPr>
        <w:t>www.anao.gov.au/work/better-practice-guide/review-anao-better-practice-guides</w:t>
      </w:r>
    </w:p>
  </w:footnote>
  <w:footnote w:id="12">
    <w:p w14:paraId="61220E32" w14:textId="7885A484" w:rsidR="001E5E02" w:rsidRPr="004661D4" w:rsidRDefault="001E5E02">
      <w:pPr>
        <w:pStyle w:val="FootnoteText"/>
        <w:rPr>
          <w:highlight w:val="yellow"/>
        </w:rPr>
      </w:pPr>
      <w:r w:rsidRPr="00675947">
        <w:rPr>
          <w:rStyle w:val="FootnoteReference"/>
        </w:rPr>
        <w:footnoteRef/>
      </w:r>
      <w:r w:rsidRPr="00675947">
        <w:t xml:space="preserve"> </w:t>
      </w:r>
      <w:hyperlink r:id="rId6" w:history="1">
        <w:r w:rsidRPr="008D52D2">
          <w:rPr>
            <w:rStyle w:val="Hyperlink"/>
          </w:rPr>
          <w:t>na.theiia.org/services/quality/Public_Documents/Forms/AllItems.aspx</w:t>
        </w:r>
      </w:hyperlink>
    </w:p>
  </w:footnote>
  <w:footnote w:id="13">
    <w:p w14:paraId="3961602A" w14:textId="6F7E9E63" w:rsidR="001E5E02" w:rsidRDefault="001E5E02">
      <w:pPr>
        <w:pStyle w:val="FootnoteText"/>
      </w:pPr>
      <w:r>
        <w:rPr>
          <w:rStyle w:val="FootnoteReference"/>
        </w:rPr>
        <w:footnoteRef/>
      </w:r>
      <w:r>
        <w:t xml:space="preserve"> </w:t>
      </w:r>
      <w:r w:rsidRPr="00F21AF5">
        <w:t xml:space="preserve">For an example of a risk-based approach to compliance auditing, refer </w:t>
      </w:r>
      <w:hyperlink r:id="rId7" w:history="1">
        <w:r w:rsidRPr="00F21AF5">
          <w:rPr>
            <w:rStyle w:val="Hyperlink"/>
          </w:rPr>
          <w:t>global.theiia.org/standards-guidance/topics/Documents/201501GuidetoRBIA.pdf</w:t>
        </w:r>
      </w:hyperlink>
    </w:p>
  </w:footnote>
  <w:footnote w:id="14">
    <w:p w14:paraId="72876D07" w14:textId="6BE16D9E" w:rsidR="001E5E02" w:rsidRDefault="001E5E02">
      <w:pPr>
        <w:pStyle w:val="FootnoteText"/>
      </w:pPr>
      <w:r w:rsidRPr="008D52D2">
        <w:rPr>
          <w:rStyle w:val="FootnoteReference"/>
        </w:rPr>
        <w:footnoteRef/>
      </w:r>
      <w:r w:rsidRPr="008D52D2">
        <w:t xml:space="preserve"> </w:t>
      </w:r>
      <w:r w:rsidRPr="00675947">
        <w:rPr>
          <w:rStyle w:val="Hyperlink"/>
        </w:rPr>
        <w:t>www.audit.vic.gov.au/report/audit-committee-governance</w:t>
      </w:r>
    </w:p>
  </w:footnote>
  <w:footnote w:id="15">
    <w:p w14:paraId="54BB037B" w14:textId="511F8184" w:rsidR="001E5E02" w:rsidRDefault="001E5E02">
      <w:pPr>
        <w:pStyle w:val="FootnoteText"/>
      </w:pPr>
      <w:r>
        <w:rPr>
          <w:rStyle w:val="FootnoteReference"/>
        </w:rPr>
        <w:footnoteRef/>
      </w:r>
      <w:r>
        <w:t xml:space="preserve"> </w:t>
      </w:r>
      <w:r w:rsidRPr="000855D7">
        <w:t xml:space="preserve">For an example of a risk-based approach to compliance auditing, refer </w:t>
      </w:r>
      <w:hyperlink r:id="rId8" w:history="1">
        <w:r w:rsidRPr="000855D7">
          <w:rPr>
            <w:rStyle w:val="Hyperlink"/>
          </w:rPr>
          <w:t>global.theiia.org/standards-guidance/topics/Documents/201501GuidetoRBIA.pdf</w:t>
        </w:r>
      </w:hyperlink>
    </w:p>
  </w:footnote>
  <w:footnote w:id="16">
    <w:p w14:paraId="506E8FB7" w14:textId="255900F0" w:rsidR="001E5E02" w:rsidRPr="008D52D2" w:rsidRDefault="001E5E02">
      <w:pPr>
        <w:pStyle w:val="FootnoteText"/>
      </w:pPr>
      <w:r w:rsidRPr="00675947">
        <w:rPr>
          <w:rStyle w:val="FootnoteReference"/>
        </w:rPr>
        <w:footnoteRef/>
      </w:r>
      <w:r w:rsidRPr="00675947">
        <w:t xml:space="preserve"> </w:t>
      </w:r>
      <w:hyperlink r:id="rId9" w:history="1">
        <w:r w:rsidRPr="008D52D2">
          <w:rPr>
            <w:rStyle w:val="Hyperlink"/>
          </w:rPr>
          <w:t>vpsc.vic.gov.au</w:t>
        </w:r>
      </w:hyperlink>
    </w:p>
  </w:footnote>
  <w:footnote w:id="17">
    <w:p w14:paraId="3C8C4828" w14:textId="5C71B55D" w:rsidR="001E5E02" w:rsidRDefault="001E5E02">
      <w:pPr>
        <w:pStyle w:val="FootnoteText"/>
      </w:pPr>
      <w:r w:rsidRPr="008D52D2">
        <w:rPr>
          <w:rStyle w:val="FootnoteReference"/>
        </w:rPr>
        <w:footnoteRef/>
      </w:r>
      <w:r w:rsidRPr="008D52D2">
        <w:t xml:space="preserve"> </w:t>
      </w:r>
      <w:hyperlink r:id="rId10" w:history="1">
        <w:r w:rsidRPr="008D52D2">
          <w:rPr>
            <w:rStyle w:val="Hyperlink"/>
          </w:rPr>
          <w:t>www.anao.gov.au</w:t>
        </w:r>
      </w:hyperlink>
    </w:p>
  </w:footnote>
  <w:footnote w:id="18">
    <w:p w14:paraId="6CB8F6DA" w14:textId="1A38EB4F" w:rsidR="001E5E02" w:rsidRPr="008D52D2" w:rsidRDefault="001E5E02">
      <w:pPr>
        <w:pStyle w:val="FootnoteText"/>
      </w:pPr>
      <w:r w:rsidRPr="008D52D2">
        <w:rPr>
          <w:rStyle w:val="FootnoteReference"/>
        </w:rPr>
        <w:footnoteRef/>
      </w:r>
      <w:r w:rsidRPr="008D52D2">
        <w:t xml:space="preserve"> </w:t>
      </w:r>
      <w:r w:rsidRPr="00BE00CF">
        <w:rPr>
          <w:rStyle w:val="Hyperlink"/>
        </w:rPr>
        <w:t>www.anao.gov.au/work/better-practice-guide/review-anao-better-practice-guides</w:t>
      </w:r>
    </w:p>
  </w:footnote>
  <w:footnote w:id="19">
    <w:p w14:paraId="0EE2FE9C" w14:textId="1054AD20" w:rsidR="001E5E02" w:rsidRDefault="001E5E02">
      <w:pPr>
        <w:pStyle w:val="FootnoteText"/>
      </w:pPr>
      <w:r w:rsidRPr="008D52D2">
        <w:rPr>
          <w:rStyle w:val="FootnoteReference"/>
        </w:rPr>
        <w:footnoteRef/>
      </w:r>
      <w:r w:rsidRPr="008D52D2">
        <w:t xml:space="preserve"> </w:t>
      </w:r>
      <w:r w:rsidRPr="00BE00CF">
        <w:rPr>
          <w:rStyle w:val="Hyperlink"/>
        </w:rPr>
        <w:t>www.asx.com.au/documents/regulation/cgc-principles-and-recommendations-fourth-edn.pdf</w:t>
      </w:r>
    </w:p>
  </w:footnote>
  <w:footnote w:id="20">
    <w:p w14:paraId="354E726D" w14:textId="33927145" w:rsidR="001E5E02" w:rsidRPr="008D52D2" w:rsidRDefault="001E5E02">
      <w:pPr>
        <w:pStyle w:val="FootnoteText"/>
      </w:pPr>
      <w:r>
        <w:rPr>
          <w:rStyle w:val="FootnoteReference"/>
        </w:rPr>
        <w:footnoteRef/>
      </w:r>
      <w:r>
        <w:t xml:space="preserve"> </w:t>
      </w:r>
      <w:r w:rsidRPr="00675947">
        <w:rPr>
          <w:rStyle w:val="Hyperlink"/>
        </w:rPr>
        <w:t>www.iia.org.au/technical-resources/knowledgeCentre.aspx</w:t>
      </w:r>
    </w:p>
  </w:footnote>
  <w:footnote w:id="21">
    <w:p w14:paraId="1D888B94" w14:textId="59381632" w:rsidR="001E5E02" w:rsidRPr="008D52D2" w:rsidRDefault="001E5E02">
      <w:pPr>
        <w:pStyle w:val="FootnoteText"/>
      </w:pPr>
      <w:r w:rsidRPr="008D52D2">
        <w:rPr>
          <w:rStyle w:val="FootnoteReference"/>
        </w:rPr>
        <w:footnoteRef/>
      </w:r>
      <w:r w:rsidRPr="008D52D2">
        <w:t xml:space="preserve"> </w:t>
      </w:r>
      <w:r w:rsidRPr="00675947">
        <w:rPr>
          <w:rStyle w:val="Hyperlink"/>
        </w:rPr>
        <w:t>www.audit.vic.gov.au/report/water-entities-results-2013-14-audits?section=31406--6-audit-committees-</w:t>
      </w:r>
    </w:p>
  </w:footnote>
  <w:footnote w:id="22">
    <w:p w14:paraId="1A5F674A" w14:textId="429EDB2E" w:rsidR="001E5E02" w:rsidRDefault="001E5E02">
      <w:pPr>
        <w:pStyle w:val="FootnoteText"/>
      </w:pPr>
      <w:r w:rsidRPr="008D52D2">
        <w:rPr>
          <w:rStyle w:val="FootnoteReference"/>
        </w:rPr>
        <w:footnoteRef/>
      </w:r>
      <w:r w:rsidRPr="008D52D2">
        <w:t xml:space="preserve"> </w:t>
      </w:r>
      <w:r w:rsidRPr="00675947">
        <w:rPr>
          <w:rStyle w:val="Hyperlink"/>
        </w:rPr>
        <w:t>www.audit.vic.gov.au/report/audit-committee-governance</w:t>
      </w:r>
    </w:p>
  </w:footnote>
  <w:footnote w:id="23">
    <w:p w14:paraId="590A300A" w14:textId="38CE4E65" w:rsidR="001E5E02" w:rsidRPr="008D52D2" w:rsidRDefault="001E5E02">
      <w:pPr>
        <w:pStyle w:val="FootnoteText"/>
      </w:pPr>
      <w:r w:rsidRPr="00675947">
        <w:rPr>
          <w:rStyle w:val="FootnoteReference"/>
        </w:rPr>
        <w:footnoteRef/>
      </w:r>
      <w:r w:rsidRPr="00675947">
        <w:t xml:space="preserve"> </w:t>
      </w:r>
      <w:hyperlink r:id="rId11" w:history="1">
        <w:r w:rsidRPr="008D52D2">
          <w:rPr>
            <w:rStyle w:val="Hyperlink"/>
          </w:rPr>
          <w:t>www.iia.org.au/sf_docs/default-source/quality/internal-audit-charter-review-checklist8E790F548D4A.pdf?sfvrsn=2</w:t>
        </w:r>
      </w:hyperlink>
    </w:p>
  </w:footnote>
  <w:footnote w:id="24">
    <w:p w14:paraId="76E1C546" w14:textId="6974126F" w:rsidR="001E5E02" w:rsidRDefault="001E5E02">
      <w:pPr>
        <w:pStyle w:val="FootnoteText"/>
      </w:pPr>
      <w:r w:rsidRPr="008D52D2">
        <w:rPr>
          <w:rStyle w:val="FootnoteReference"/>
        </w:rPr>
        <w:footnoteRef/>
      </w:r>
      <w:r w:rsidRPr="008D52D2">
        <w:t xml:space="preserve"> </w:t>
      </w:r>
      <w:r w:rsidRPr="00675947">
        <w:rPr>
          <w:rStyle w:val="Hyperlink"/>
        </w:rPr>
        <w:t>www.anao.gov.au/work/better-practice-guide/review-anao-better-practice-guides</w:t>
      </w:r>
    </w:p>
  </w:footnote>
  <w:footnote w:id="25">
    <w:p w14:paraId="326BF60B" w14:textId="3DE418F2" w:rsidR="001E5E02" w:rsidRDefault="001E5E02">
      <w:pPr>
        <w:pStyle w:val="FootnoteText"/>
      </w:pPr>
      <w:r>
        <w:rPr>
          <w:rStyle w:val="FootnoteReference"/>
        </w:rPr>
        <w:footnoteRef/>
      </w:r>
      <w:r>
        <w:t xml:space="preserve"> </w:t>
      </w:r>
      <w:r w:rsidRPr="000855D7">
        <w:t xml:space="preserve">For an example of a risk-based approach to compliance auditing, refer </w:t>
      </w:r>
      <w:hyperlink r:id="rId12" w:history="1">
        <w:r w:rsidRPr="000855D7">
          <w:rPr>
            <w:rStyle w:val="Hyperlink"/>
          </w:rPr>
          <w:t>global.theiia.org/standards-guidance/topics/Documents/201501GuidetoRBIA.pdf</w:t>
        </w:r>
      </w:hyperlink>
    </w:p>
  </w:footnote>
  <w:footnote w:id="26">
    <w:p w14:paraId="4E59FFDF" w14:textId="0A22EE56" w:rsidR="001E5E02" w:rsidRPr="00B810CC" w:rsidRDefault="001E5E02">
      <w:pPr>
        <w:pStyle w:val="FootnoteText"/>
      </w:pPr>
      <w:r w:rsidRPr="00B810CC">
        <w:rPr>
          <w:rStyle w:val="FootnoteReference"/>
        </w:rPr>
        <w:footnoteRef/>
      </w:r>
      <w:r w:rsidRPr="00B810CC">
        <w:t xml:space="preserve"> </w:t>
      </w:r>
      <w:r w:rsidRPr="00BE00CF">
        <w:rPr>
          <w:rStyle w:val="Hyperlink"/>
        </w:rPr>
        <w:t>www.iia.org.au/technical-resources/professionalGuidance/practiceGuides.aspx</w:t>
      </w:r>
    </w:p>
  </w:footnote>
  <w:footnote w:id="27">
    <w:p w14:paraId="6DB9E826" w14:textId="7D57ACD5" w:rsidR="001E5E02" w:rsidRPr="004661D4" w:rsidRDefault="001E5E02">
      <w:pPr>
        <w:pStyle w:val="FootnoteText"/>
      </w:pPr>
      <w:r w:rsidRPr="00B810CC">
        <w:rPr>
          <w:rStyle w:val="FootnoteReference"/>
        </w:rPr>
        <w:footnoteRef/>
      </w:r>
      <w:r w:rsidRPr="00B810CC">
        <w:t xml:space="preserve"> </w:t>
      </w:r>
      <w:r w:rsidRPr="00BE00CF">
        <w:rPr>
          <w:rStyle w:val="Hyperlink"/>
        </w:rPr>
        <w:t>www.anao.gov.au/work/better-practice-guide/review-anao-better-practice-guides</w:t>
      </w:r>
    </w:p>
  </w:footnote>
  <w:footnote w:id="28">
    <w:p w14:paraId="100BE75A" w14:textId="6B57E71C" w:rsidR="001E5E02" w:rsidRPr="00B810CC" w:rsidRDefault="001E5E02">
      <w:pPr>
        <w:pStyle w:val="FootnoteText"/>
      </w:pPr>
      <w:r w:rsidRPr="00B810CC">
        <w:rPr>
          <w:rStyle w:val="FootnoteReference"/>
        </w:rPr>
        <w:footnoteRef/>
      </w:r>
      <w:r w:rsidRPr="00B810CC">
        <w:t xml:space="preserve"> </w:t>
      </w:r>
      <w:r w:rsidRPr="00BE00CF">
        <w:rPr>
          <w:rStyle w:val="Hyperlink"/>
        </w:rPr>
        <w:t>www.anao.gov.au/work/better-practice-guide/review-anao-better-practice-guides</w:t>
      </w:r>
    </w:p>
  </w:footnote>
  <w:footnote w:id="29">
    <w:p w14:paraId="33B730C0" w14:textId="017157E1" w:rsidR="001E5E02" w:rsidRDefault="001E5E02">
      <w:pPr>
        <w:pStyle w:val="FootnoteText"/>
      </w:pPr>
      <w:r w:rsidRPr="00B810CC">
        <w:rPr>
          <w:rStyle w:val="FootnoteReference"/>
        </w:rPr>
        <w:footnoteRef/>
      </w:r>
      <w:r w:rsidRPr="00B810CC">
        <w:t xml:space="preserve"> </w:t>
      </w:r>
      <w:r w:rsidRPr="00BE00CF">
        <w:rPr>
          <w:rStyle w:val="Hyperlink"/>
        </w:rPr>
        <w:t>www.anao.gov.au/work/better-practice-guide/review-anao-better-practice-guides</w:t>
      </w:r>
    </w:p>
  </w:footnote>
  <w:footnote w:id="30">
    <w:p w14:paraId="15D6136A" w14:textId="0967F711" w:rsidR="001E5E02" w:rsidRPr="00B810CC" w:rsidRDefault="001E5E02">
      <w:pPr>
        <w:pStyle w:val="FootnoteText"/>
      </w:pPr>
      <w:r w:rsidRPr="002D0BEA">
        <w:rPr>
          <w:rStyle w:val="FootnoteReference"/>
        </w:rPr>
        <w:footnoteRef/>
      </w:r>
      <w:r w:rsidRPr="002D0BEA">
        <w:t xml:space="preserve"> </w:t>
      </w:r>
      <w:hyperlink r:id="rId13" w:history="1">
        <w:r w:rsidRPr="002D0BEA">
          <w:rPr>
            <w:rStyle w:val="Hyperlink"/>
          </w:rPr>
          <w:t>www.iia.org.au/technical-resources/professionalGuidance/standards.aspx</w:t>
        </w:r>
      </w:hyperlink>
    </w:p>
  </w:footnote>
  <w:footnote w:id="31">
    <w:p w14:paraId="50B37EEE" w14:textId="3F75118B" w:rsidR="001E5E02" w:rsidRPr="00B810CC" w:rsidRDefault="001E5E02">
      <w:pPr>
        <w:pStyle w:val="FootnoteText"/>
      </w:pPr>
      <w:r w:rsidRPr="00B810CC">
        <w:rPr>
          <w:rStyle w:val="FootnoteReference"/>
        </w:rPr>
        <w:footnoteRef/>
      </w:r>
      <w:r w:rsidRPr="00B810CC">
        <w:t xml:space="preserve"> </w:t>
      </w:r>
      <w:r w:rsidRPr="002D0BEA">
        <w:rPr>
          <w:rStyle w:val="Hyperlink"/>
        </w:rPr>
        <w:t>www.iia.org.au/technical-resources/professionalGuidance.aspx</w:t>
      </w:r>
    </w:p>
  </w:footnote>
  <w:footnote w:id="32">
    <w:p w14:paraId="11195DDC" w14:textId="6003DF98" w:rsidR="001E5E02" w:rsidRPr="00B810CC" w:rsidRDefault="001E5E02">
      <w:pPr>
        <w:pStyle w:val="FootnoteText"/>
      </w:pPr>
      <w:r w:rsidRPr="00B810CC">
        <w:rPr>
          <w:rStyle w:val="FootnoteReference"/>
        </w:rPr>
        <w:footnoteRef/>
      </w:r>
      <w:r w:rsidRPr="00B810CC">
        <w:t xml:space="preserve"> </w:t>
      </w:r>
      <w:hyperlink r:id="rId14" w:history="1">
        <w:r w:rsidRPr="002C2C64">
          <w:rPr>
            <w:rStyle w:val="Hyperlink"/>
          </w:rPr>
          <w:t>www.iia.org.au/technical-resources/professionalGuidance/practiceGuides.aspx</w:t>
        </w:r>
      </w:hyperlink>
    </w:p>
  </w:footnote>
  <w:footnote w:id="33">
    <w:p w14:paraId="66A3F3FF" w14:textId="5464BA11" w:rsidR="001E5E02" w:rsidRDefault="001E5E02">
      <w:pPr>
        <w:pStyle w:val="FootnoteText"/>
      </w:pPr>
      <w:r>
        <w:rPr>
          <w:rStyle w:val="FootnoteReference"/>
        </w:rPr>
        <w:footnoteRef/>
      </w:r>
      <w:r>
        <w:t xml:space="preserve"> </w:t>
      </w:r>
      <w:hyperlink r:id="rId15" w:history="1">
        <w:r w:rsidRPr="002C2C64">
          <w:rPr>
            <w:rStyle w:val="Hyperlink"/>
          </w:rPr>
          <w:t>www.iia.org.au/technical-resources/professionalGuidance/practiceGuides.aspx</w:t>
        </w:r>
      </w:hyperlink>
    </w:p>
  </w:footnote>
  <w:footnote w:id="34">
    <w:p w14:paraId="5675B937" w14:textId="29D3D016" w:rsidR="001E5E02" w:rsidRDefault="001E5E02">
      <w:pPr>
        <w:pStyle w:val="FootnoteText"/>
      </w:pPr>
      <w:r>
        <w:rPr>
          <w:rStyle w:val="FootnoteReference"/>
        </w:rPr>
        <w:footnoteRef/>
      </w:r>
      <w:r>
        <w:t xml:space="preserve"> </w:t>
      </w:r>
      <w:hyperlink r:id="rId16" w:history="1">
        <w:r w:rsidRPr="002C2C64">
          <w:rPr>
            <w:rStyle w:val="Hyperlink"/>
          </w:rPr>
          <w:t>www.iia.org.au/technical-resources/professionalGuidance/practiceGuides.aspx</w:t>
        </w:r>
      </w:hyperlink>
    </w:p>
  </w:footnote>
  <w:footnote w:id="35">
    <w:p w14:paraId="3E7D4C33" w14:textId="417D074E" w:rsidR="001E5E02" w:rsidRDefault="001E5E02" w:rsidP="00BE00CF">
      <w:pPr>
        <w:pStyle w:val="FootnoteText"/>
      </w:pPr>
      <w:r>
        <w:rPr>
          <w:rStyle w:val="FootnoteReference"/>
        </w:rPr>
        <w:footnoteRef/>
      </w:r>
      <w:r>
        <w:t xml:space="preserve"> </w:t>
      </w:r>
      <w:hyperlink r:id="rId17" w:history="1">
        <w:r w:rsidRPr="00F652A7">
          <w:rPr>
            <w:rStyle w:val="Hyperlink"/>
          </w:rPr>
          <w:t>www.audit.vic.gov.au/report/internal-audit-performance</w:t>
        </w:r>
      </w:hyperlink>
    </w:p>
  </w:footnote>
  <w:footnote w:id="36">
    <w:p w14:paraId="205FD0AF" w14:textId="4DC661AF" w:rsidR="001E5E02" w:rsidRDefault="001E5E02">
      <w:pPr>
        <w:pStyle w:val="FootnoteText"/>
      </w:pPr>
      <w:r>
        <w:rPr>
          <w:rStyle w:val="FootnoteReference"/>
        </w:rPr>
        <w:footnoteRef/>
      </w:r>
      <w:r>
        <w:t xml:space="preserve"> </w:t>
      </w:r>
      <w:hyperlink r:id="rId18" w:anchor="4-internal-audit" w:history="1">
        <w:r w:rsidRPr="00F652A7">
          <w:rPr>
            <w:rStyle w:val="Hyperlink"/>
          </w:rPr>
          <w:t>www.audit.vic.gov.au/report/public-hospitals-results-2013-14-audits?section=32320--4-internal-audit&amp;show-sections=1#4-internal-audit</w:t>
        </w:r>
      </w:hyperlink>
    </w:p>
  </w:footnote>
  <w:footnote w:id="37">
    <w:p w14:paraId="2F87C916" w14:textId="5C5B21ED" w:rsidR="001E5E02" w:rsidRDefault="001E5E02">
      <w:pPr>
        <w:pStyle w:val="FootnoteText"/>
      </w:pPr>
      <w:r>
        <w:rPr>
          <w:rStyle w:val="FootnoteReference"/>
        </w:rPr>
        <w:footnoteRef/>
      </w:r>
      <w:r>
        <w:t xml:space="preserve"> </w:t>
      </w:r>
      <w:hyperlink r:id="rId19" w:anchor="4-internal-audit-" w:history="1">
        <w:r w:rsidRPr="003955C6">
          <w:rPr>
            <w:rStyle w:val="Hyperlink"/>
          </w:rPr>
          <w:t>www.audit.vic.gov.au/report/portfolio-departments-and-associated-entities-results-2013-14-audits?section=31422--4-internal-audit-&amp;show-sections=1#4-internal-audit-</w:t>
        </w:r>
      </w:hyperlink>
    </w:p>
  </w:footnote>
  <w:footnote w:id="38">
    <w:p w14:paraId="2CFA85DF" w14:textId="18F29CF8" w:rsidR="001E5E02" w:rsidRPr="004661D4" w:rsidRDefault="001E5E02" w:rsidP="00CA6CEE">
      <w:pPr>
        <w:rPr>
          <w:highlight w:val="yellow"/>
        </w:rPr>
      </w:pPr>
      <w:r>
        <w:rPr>
          <w:rStyle w:val="FootnoteReference"/>
        </w:rPr>
        <w:footnoteRef/>
      </w:r>
      <w:r>
        <w:t xml:space="preserve"> </w:t>
      </w:r>
      <w:hyperlink r:id="rId20" w:history="1">
        <w:r w:rsidRPr="003955C6">
          <w:rPr>
            <w:rStyle w:val="Hyperlink"/>
          </w:rPr>
          <w:t>vpsc.vic.gov.au/html-resources/guidance-for-managers-engaging-contractors-and-consultants</w:t>
        </w:r>
      </w:hyperlink>
    </w:p>
  </w:footnote>
  <w:footnote w:id="39">
    <w:p w14:paraId="21EE80DF" w14:textId="00A604B1" w:rsidR="001E5E02" w:rsidRDefault="001E5E02">
      <w:pPr>
        <w:pStyle w:val="FootnoteText"/>
      </w:pPr>
      <w:r w:rsidRPr="004661D4">
        <w:rPr>
          <w:rStyle w:val="FootnoteReference"/>
          <w:rFonts w:ascii="Calibri" w:eastAsia="Times New Roman" w:hAnsi="Calibri" w:cs="Calibri"/>
          <w:sz w:val="20"/>
          <w:szCs w:val="22"/>
          <w:lang w:eastAsia="en-AU"/>
        </w:rPr>
        <w:footnoteRef/>
      </w:r>
      <w:r>
        <w:t xml:space="preserve"> </w:t>
      </w:r>
      <w:hyperlink r:id="rId21" w:history="1">
        <w:r w:rsidRPr="003955C6">
          <w:rPr>
            <w:rStyle w:val="Hyperlink"/>
          </w:rPr>
          <w:t>vpsc.vic.gov.au</w:t>
        </w:r>
      </w:hyperlink>
    </w:p>
  </w:footnote>
  <w:footnote w:id="40">
    <w:p w14:paraId="55D2C214" w14:textId="2BFF4E92" w:rsidR="001E5E02" w:rsidRDefault="001E5E02">
      <w:pPr>
        <w:pStyle w:val="FootnoteText"/>
      </w:pPr>
      <w:r>
        <w:rPr>
          <w:rStyle w:val="FootnoteReference"/>
        </w:rPr>
        <w:footnoteRef/>
      </w:r>
      <w:r>
        <w:t xml:space="preserve"> </w:t>
      </w:r>
      <w:hyperlink r:id="rId22" w:history="1">
        <w:r w:rsidRPr="003955C6">
          <w:rPr>
            <w:rStyle w:val="Hyperlink"/>
          </w:rPr>
          <w:t>na.theiia.org/standards-guidance/topics/documents/executive_summary.pdf</w:t>
        </w:r>
      </w:hyperlink>
    </w:p>
  </w:footnote>
  <w:footnote w:id="41">
    <w:p w14:paraId="116C55A8" w14:textId="1882A980" w:rsidR="001E5E02" w:rsidRPr="003D7DBD" w:rsidRDefault="001E5E02">
      <w:pPr>
        <w:pStyle w:val="FootnoteText"/>
      </w:pPr>
      <w:r w:rsidRPr="003D7DBD">
        <w:rPr>
          <w:rStyle w:val="FootnoteReference"/>
        </w:rPr>
        <w:footnoteRef/>
      </w:r>
      <w:r w:rsidRPr="002A6637">
        <w:t xml:space="preserve"> </w:t>
      </w:r>
      <w:hyperlink r:id="rId23" w:history="1">
        <w:r w:rsidRPr="003D7DBD">
          <w:rPr>
            <w:rStyle w:val="Hyperlink"/>
          </w:rPr>
          <w:t>www.pcisecuritystandards.org/pci_security</w:t>
        </w:r>
      </w:hyperlink>
    </w:p>
  </w:footnote>
  <w:footnote w:id="42">
    <w:p w14:paraId="041EC016" w14:textId="3ACAFE18" w:rsidR="001E5E02" w:rsidRPr="003D7DBD" w:rsidRDefault="001E5E02">
      <w:pPr>
        <w:pStyle w:val="FootnoteText"/>
      </w:pPr>
      <w:r w:rsidRPr="003D7DBD">
        <w:rPr>
          <w:rStyle w:val="FootnoteReference"/>
        </w:rPr>
        <w:footnoteRef/>
      </w:r>
      <w:r w:rsidRPr="003D7DBD">
        <w:t xml:space="preserve"> </w:t>
      </w:r>
      <w:r w:rsidRPr="002A6637">
        <w:rPr>
          <w:rStyle w:val="Hyperlink"/>
        </w:rPr>
        <w:t>vpsc.vic.gov.au/html-resources/vpsc-gifts-benefits-hospitality-policy</w:t>
      </w:r>
    </w:p>
  </w:footnote>
  <w:footnote w:id="43">
    <w:p w14:paraId="2ABBCC5B" w14:textId="72710190" w:rsidR="001E5E02" w:rsidRPr="003D7DBD" w:rsidRDefault="001E5E02">
      <w:pPr>
        <w:pStyle w:val="FootnoteText"/>
      </w:pPr>
      <w:r w:rsidRPr="003D7DBD">
        <w:rPr>
          <w:rStyle w:val="FootnoteReference"/>
        </w:rPr>
        <w:footnoteRef/>
      </w:r>
      <w:r w:rsidRPr="003D7DBD">
        <w:t xml:space="preserve"> </w:t>
      </w:r>
      <w:r w:rsidRPr="002A6637">
        <w:rPr>
          <w:rStyle w:val="Hyperlink"/>
        </w:rPr>
        <w:t>buyingfor.vic.gov.au/sites/default/files/2018-10/VPS-Travel-Policy%20%281%29.pdf</w:t>
      </w:r>
    </w:p>
  </w:footnote>
  <w:footnote w:id="44">
    <w:p w14:paraId="019B9A07" w14:textId="35623135" w:rsidR="001E5E02" w:rsidRPr="003D7DBD" w:rsidRDefault="001E5E02">
      <w:pPr>
        <w:pStyle w:val="FootnoteText"/>
      </w:pPr>
      <w:r w:rsidRPr="003D7DBD">
        <w:rPr>
          <w:rStyle w:val="FootnoteReference"/>
        </w:rPr>
        <w:footnoteRef/>
      </w:r>
      <w:r w:rsidRPr="003D7DBD">
        <w:t xml:space="preserve"> </w:t>
      </w:r>
      <w:r w:rsidRPr="00A16FEC">
        <w:rPr>
          <w:rStyle w:val="Hyperlink"/>
        </w:rPr>
        <w:t>www.vic.gov.au/advertising-government-communications</w:t>
      </w:r>
    </w:p>
  </w:footnote>
  <w:footnote w:id="45">
    <w:p w14:paraId="49709F49" w14:textId="6B3F37F9" w:rsidR="001E5E02" w:rsidRPr="003D7DBD" w:rsidRDefault="001E5E02">
      <w:pPr>
        <w:pStyle w:val="FootnoteText"/>
      </w:pPr>
      <w:r w:rsidRPr="003D7DBD">
        <w:rPr>
          <w:rStyle w:val="FootnoteReference"/>
        </w:rPr>
        <w:footnoteRef/>
      </w:r>
      <w:r w:rsidRPr="003D7DBD">
        <w:t xml:space="preserve"> </w:t>
      </w:r>
      <w:r w:rsidRPr="00A16FEC">
        <w:rPr>
          <w:rStyle w:val="Hyperlink"/>
        </w:rPr>
        <w:t>www.vic.gov.au/guidelines-appointment-remuneration</w:t>
      </w:r>
    </w:p>
  </w:footnote>
  <w:footnote w:id="46">
    <w:p w14:paraId="009B9BD3" w14:textId="67AD519D" w:rsidR="001E5E02" w:rsidRDefault="001E5E02">
      <w:pPr>
        <w:pStyle w:val="FootnoteText"/>
      </w:pPr>
      <w:r w:rsidRPr="003D7DBD">
        <w:rPr>
          <w:rStyle w:val="FootnoteReference"/>
        </w:rPr>
        <w:footnoteRef/>
      </w:r>
      <w:r w:rsidRPr="003D7DBD">
        <w:t xml:space="preserve"> </w:t>
      </w:r>
      <w:hyperlink r:id="rId24" w:history="1">
        <w:r w:rsidRPr="003D7DBD">
          <w:rPr>
            <w:rStyle w:val="Hyperlink"/>
          </w:rPr>
          <w:t>www.ato.gov.au</w:t>
        </w:r>
      </w:hyperlink>
    </w:p>
  </w:footnote>
  <w:footnote w:id="47">
    <w:p w14:paraId="6CB5A698" w14:textId="4E35AFA7" w:rsidR="001E5E02" w:rsidRPr="003D7DBD" w:rsidRDefault="001E5E02">
      <w:pPr>
        <w:pStyle w:val="FootnoteText"/>
      </w:pPr>
      <w:r w:rsidRPr="003D7DBD">
        <w:rPr>
          <w:rStyle w:val="FootnoteReference"/>
        </w:rPr>
        <w:footnoteRef/>
      </w:r>
      <w:r w:rsidRPr="003D7DBD">
        <w:t xml:space="preserve"> </w:t>
      </w:r>
      <w:hyperlink r:id="rId25" w:history="1">
        <w:r w:rsidRPr="003D7DBD">
          <w:rPr>
            <w:rStyle w:val="Hyperlink"/>
          </w:rPr>
          <w:t>www.ato.gov.au</w:t>
        </w:r>
      </w:hyperlink>
    </w:p>
  </w:footnote>
  <w:footnote w:id="48">
    <w:p w14:paraId="0FC51739" w14:textId="3547D3B2" w:rsidR="001E5E02" w:rsidRPr="003D7DBD" w:rsidRDefault="001E5E02">
      <w:pPr>
        <w:pStyle w:val="FootnoteText"/>
      </w:pPr>
      <w:r w:rsidRPr="003D7DBD">
        <w:rPr>
          <w:rStyle w:val="FootnoteReference"/>
        </w:rPr>
        <w:footnoteRef/>
      </w:r>
      <w:r w:rsidRPr="003D7DBD">
        <w:t xml:space="preserve"> </w:t>
      </w:r>
      <w:r w:rsidRPr="004F032C">
        <w:rPr>
          <w:rStyle w:val="Hyperlink"/>
        </w:rPr>
        <w:t>www.ato.gov.au/Business/Government-entities</w:t>
      </w:r>
    </w:p>
  </w:footnote>
  <w:footnote w:id="49">
    <w:p w14:paraId="1718AA6B" w14:textId="1F9136CC" w:rsidR="001E5E02" w:rsidRPr="003D7DBD" w:rsidRDefault="001E5E02">
      <w:pPr>
        <w:pStyle w:val="FootnoteText"/>
      </w:pPr>
      <w:r w:rsidRPr="003D7DBD">
        <w:rPr>
          <w:rStyle w:val="FootnoteReference"/>
        </w:rPr>
        <w:footnoteRef/>
      </w:r>
      <w:r w:rsidRPr="003D7DBD">
        <w:t xml:space="preserve"> </w:t>
      </w:r>
      <w:r w:rsidRPr="00A16FEC">
        <w:rPr>
          <w:rStyle w:val="Hyperlink"/>
        </w:rPr>
        <w:t>www.ato.gov.au/business/government-entities/fbt-for-government</w:t>
      </w:r>
    </w:p>
  </w:footnote>
  <w:footnote w:id="50">
    <w:p w14:paraId="6990A8A0" w14:textId="41C0FF7E" w:rsidR="001E5E02" w:rsidRPr="00933036" w:rsidRDefault="001E5E02" w:rsidP="00933036">
      <w:pPr>
        <w:pStyle w:val="FootnoteText"/>
        <w:rPr>
          <w:rFonts w:eastAsia="+mn-ea" w:cstheme="minorHAnsi"/>
          <w:szCs w:val="18"/>
          <w:lang w:eastAsia="en-AU"/>
        </w:rPr>
      </w:pPr>
      <w:r w:rsidRPr="003D7DBD">
        <w:rPr>
          <w:rStyle w:val="FootnoteReference"/>
        </w:rPr>
        <w:footnoteRef/>
      </w:r>
      <w:r w:rsidRPr="003D7DBD">
        <w:t xml:space="preserve"> Australian Standard on Assurance Engagements ASAE 3402 Assurance Reports on Controls at a Service Organisation or Auditing Standard AUS 810 Special purpose reports on the effectiveness of control procedures</w:t>
      </w:r>
      <w:r w:rsidRPr="004F032C">
        <w:rPr>
          <w:rFonts w:eastAsia="+mn-ea" w:cstheme="minorHAnsi"/>
          <w:szCs w:val="18"/>
          <w:lang w:eastAsia="en-AU"/>
        </w:rPr>
        <w:t xml:space="preserve">. </w:t>
      </w:r>
      <w:hyperlink r:id="rId26" w:history="1">
        <w:r w:rsidRPr="003955C6">
          <w:rPr>
            <w:rStyle w:val="Hyperlink"/>
            <w:rFonts w:eastAsia="+mn-ea" w:cstheme="minorHAnsi"/>
            <w:szCs w:val="18"/>
            <w:lang w:eastAsia="en-AU"/>
          </w:rPr>
          <w:t>www.auasb.gov.au/admin/file/content102/c3/Jan15_ASAE_3150_Assurance_Engagements_on_Controls.pdf</w:t>
        </w:r>
      </w:hyperlink>
    </w:p>
  </w:footnote>
  <w:footnote w:id="51">
    <w:p w14:paraId="6DA20027" w14:textId="305ADA8B" w:rsidR="001E5E02" w:rsidRDefault="001E5E02">
      <w:pPr>
        <w:pStyle w:val="FootnoteText"/>
      </w:pPr>
      <w:r>
        <w:rPr>
          <w:rStyle w:val="FootnoteReference"/>
        </w:rPr>
        <w:footnoteRef/>
      </w:r>
      <w:r>
        <w:t xml:space="preserve"> </w:t>
      </w:r>
      <w:r w:rsidRPr="004F032C">
        <w:rPr>
          <w:rStyle w:val="Hyperlink"/>
        </w:rPr>
        <w:t>vpsc.vic.gov.au/resources/code-of-conduct-for-employees</w:t>
      </w:r>
    </w:p>
  </w:footnote>
  <w:footnote w:id="52">
    <w:p w14:paraId="7AECC5EF" w14:textId="6D272B33" w:rsidR="001E5E02" w:rsidRDefault="001E5E02">
      <w:pPr>
        <w:pStyle w:val="FootnoteText"/>
      </w:pPr>
      <w:r>
        <w:rPr>
          <w:rStyle w:val="FootnoteReference"/>
        </w:rPr>
        <w:footnoteRef/>
      </w:r>
      <w:r>
        <w:t xml:space="preserve"> </w:t>
      </w:r>
      <w:r w:rsidRPr="004F032C">
        <w:rPr>
          <w:rStyle w:val="Hyperlink"/>
        </w:rPr>
        <w:t>vpsc.vic.gov.au/html-resources/integrity-in-recruitment-guidance-note</w:t>
      </w:r>
    </w:p>
  </w:footnote>
  <w:footnote w:id="53">
    <w:p w14:paraId="217610E8" w14:textId="77777777" w:rsidR="001E5E02" w:rsidRPr="008027F3" w:rsidRDefault="001E5E02" w:rsidP="007B7B74">
      <w:pPr>
        <w:pStyle w:val="FootnoteText"/>
        <w:rPr>
          <w:color w:val="000000" w:themeColor="text1"/>
        </w:rPr>
      </w:pPr>
      <w:r w:rsidRPr="008027F3">
        <w:rPr>
          <w:rStyle w:val="FootnoteReference"/>
          <w:color w:val="000000" w:themeColor="text1"/>
        </w:rPr>
        <w:footnoteRef/>
      </w:r>
      <w:r w:rsidRPr="008027F3">
        <w:rPr>
          <w:color w:val="000000" w:themeColor="text1"/>
        </w:rPr>
        <w:t xml:space="preserve"> https://www.standards.org.au/standards-catalogue/sa-snz/other/mb-025/as--iso--22313-colon-2020</w:t>
      </w:r>
    </w:p>
  </w:footnote>
  <w:footnote w:id="54">
    <w:p w14:paraId="4819A5F9" w14:textId="3BEB693E" w:rsidR="001E5E02" w:rsidRPr="008027F3" w:rsidRDefault="001E5E02">
      <w:pPr>
        <w:pStyle w:val="FootnoteText"/>
        <w:rPr>
          <w:color w:val="000000" w:themeColor="text1"/>
        </w:rPr>
      </w:pPr>
      <w:r w:rsidRPr="008027F3">
        <w:rPr>
          <w:rStyle w:val="FootnoteReference"/>
          <w:color w:val="000000" w:themeColor="text1"/>
        </w:rPr>
        <w:footnoteRef/>
      </w:r>
      <w:r w:rsidRPr="008027F3">
        <w:rPr>
          <w:color w:val="000000" w:themeColor="text1"/>
        </w:rPr>
        <w:t xml:space="preserve"> </w:t>
      </w:r>
      <w:r w:rsidRPr="008027F3">
        <w:rPr>
          <w:rStyle w:val="Hyperlink"/>
          <w:color w:val="000000" w:themeColor="text1"/>
        </w:rPr>
        <w:t>https://www.thebci.org/group/australia-victoria-tasmania.html</w:t>
      </w:r>
    </w:p>
  </w:footnote>
  <w:footnote w:id="55">
    <w:p w14:paraId="4757FA85" w14:textId="5D1B2294" w:rsidR="001E5E02" w:rsidRPr="008027F3" w:rsidRDefault="001E5E02">
      <w:pPr>
        <w:pStyle w:val="FootnoteText"/>
        <w:rPr>
          <w:color w:val="000000" w:themeColor="text1"/>
        </w:rPr>
      </w:pPr>
      <w:r w:rsidRPr="008027F3">
        <w:rPr>
          <w:rStyle w:val="FootnoteReference"/>
          <w:color w:val="000000" w:themeColor="text1"/>
        </w:rPr>
        <w:footnoteRef/>
      </w:r>
      <w:r w:rsidRPr="008027F3">
        <w:rPr>
          <w:color w:val="000000" w:themeColor="text1"/>
        </w:rPr>
        <w:t xml:space="preserve"> https://www.business.gov.au/new-to-business-essentials/series-two/when-things-dont-go-to-plan</w:t>
      </w:r>
    </w:p>
  </w:footnote>
  <w:footnote w:id="56">
    <w:p w14:paraId="7FC35123" w14:textId="6CCB08CD" w:rsidR="005A4304" w:rsidRDefault="005A4304">
      <w:pPr>
        <w:pStyle w:val="FootnoteText"/>
      </w:pPr>
      <w:r>
        <w:rPr>
          <w:rStyle w:val="FootnoteReference"/>
        </w:rPr>
        <w:footnoteRef/>
      </w:r>
      <w:r>
        <w:t xml:space="preserve"> </w:t>
      </w:r>
      <w:r w:rsidR="001A51FD">
        <w:t>A CBS bank account is an account held with u</w:t>
      </w:r>
      <w:r w:rsidRPr="004B6593">
        <w:t>nder the Banking and Financial Services S</w:t>
      </w:r>
      <w:r>
        <w:t xml:space="preserve">tate Purchase </w:t>
      </w:r>
      <w:r w:rsidRPr="004B6593">
        <w:t>C</w:t>
      </w:r>
      <w:r>
        <w:t>ontract (Banking Services SPC)</w:t>
      </w:r>
      <w:r w:rsidRPr="004B6593">
        <w:t>,</w:t>
      </w:r>
    </w:p>
  </w:footnote>
  <w:footnote w:id="57">
    <w:p w14:paraId="7A17D389" w14:textId="77777777" w:rsidR="001E5E02" w:rsidRDefault="001E5E02" w:rsidP="00FF4D93">
      <w:pPr>
        <w:pStyle w:val="FootnoteText"/>
      </w:pPr>
      <w:r>
        <w:rPr>
          <w:rStyle w:val="FootnoteReference"/>
        </w:rPr>
        <w:footnoteRef/>
      </w:r>
      <w:r>
        <w:t xml:space="preserve"> </w:t>
      </w:r>
      <w:r w:rsidRPr="009F5E41">
        <w:rPr>
          <w:sz w:val="16"/>
          <w:szCs w:val="16"/>
        </w:rPr>
        <w:t>From Australian dictionary of investment terms</w:t>
      </w:r>
      <w:r>
        <w:rPr>
          <w:sz w:val="16"/>
          <w:szCs w:val="16"/>
        </w:rPr>
        <w:t>.</w:t>
      </w:r>
    </w:p>
  </w:footnote>
  <w:footnote w:id="58">
    <w:p w14:paraId="7D22F293" w14:textId="4424A506" w:rsidR="001E5E02" w:rsidRDefault="001E5E02">
      <w:pPr>
        <w:pStyle w:val="FootnoteText"/>
      </w:pPr>
      <w:r w:rsidRPr="003D7DBD">
        <w:rPr>
          <w:rStyle w:val="FootnoteReference"/>
        </w:rPr>
        <w:footnoteRef/>
      </w:r>
      <w:r w:rsidRPr="003D7DBD">
        <w:t xml:space="preserve"> </w:t>
      </w:r>
      <w:r w:rsidRPr="005D2676">
        <w:rPr>
          <w:rStyle w:val="Hyperlink"/>
          <w:rFonts w:eastAsia="+mn-ea"/>
        </w:rPr>
        <w:t>www.enterprisesolutions.vic.gov.au/information-management</w:t>
      </w:r>
    </w:p>
  </w:footnote>
  <w:footnote w:id="59">
    <w:p w14:paraId="4332CDF4" w14:textId="30AC266B" w:rsidR="001E5E02" w:rsidRDefault="001E5E02">
      <w:pPr>
        <w:pStyle w:val="FootnoteText"/>
      </w:pPr>
      <w:r>
        <w:rPr>
          <w:rStyle w:val="FootnoteReference"/>
        </w:rPr>
        <w:footnoteRef/>
      </w:r>
      <w:r>
        <w:t xml:space="preserve"> </w:t>
      </w:r>
      <w:r w:rsidRPr="00B7583E">
        <w:rPr>
          <w:rStyle w:val="Hyperlink"/>
        </w:rPr>
        <w:t>www.data.vic.gov.au/policy-and-standards-</w:t>
      </w:r>
    </w:p>
  </w:footnote>
  <w:footnote w:id="60">
    <w:p w14:paraId="0FEDEBCB" w14:textId="77777777" w:rsidR="001E5E02" w:rsidRPr="00421E99" w:rsidRDefault="001E5E02" w:rsidP="000D55C9">
      <w:pPr>
        <w:pStyle w:val="FootnoteText"/>
        <w:rPr>
          <w:i/>
        </w:rPr>
      </w:pPr>
      <w:r>
        <w:rPr>
          <w:rStyle w:val="FootnoteReference"/>
        </w:rPr>
        <w:footnoteRef/>
      </w:r>
      <w:r>
        <w:t xml:space="preserve"> Government Business Enterprises are subject to corporate planning requirements contained in the </w:t>
      </w:r>
      <w:r w:rsidRPr="00421E99">
        <w:rPr>
          <w:i/>
        </w:rPr>
        <w:t>Corporate planning and performance reporting requirements Government Business Enterprises, October 2009.</w:t>
      </w:r>
    </w:p>
  </w:footnote>
  <w:footnote w:id="61">
    <w:p w14:paraId="357B8B7D" w14:textId="77777777" w:rsidR="001E5E02" w:rsidRDefault="001E5E02" w:rsidP="003955C6">
      <w:pPr>
        <w:pStyle w:val="FootnoteText"/>
      </w:pPr>
      <w:r w:rsidRPr="003955C6">
        <w:rPr>
          <w:vertAlign w:val="superscript"/>
        </w:rPr>
        <w:footnoteRef/>
      </w:r>
      <w:r>
        <w:t xml:space="preserve"> </w:t>
      </w:r>
      <w:r w:rsidRPr="00F97EBD">
        <w:t xml:space="preserve">Bodies that are subject to the </w:t>
      </w:r>
      <w:r w:rsidRPr="00F97EBD">
        <w:rPr>
          <w:i/>
        </w:rPr>
        <w:t>Corporate planning and performance reporting requirements Government Business Enterprises, October 2009</w:t>
      </w:r>
      <w:r w:rsidRPr="00F97EBD">
        <w:t xml:space="preserve"> are: those GBEs that are accountable to the portfolio Minister and/or the Treasurer where the Treasurer has a legislated role to receive corporate planning or other financial documents.</w:t>
      </w:r>
    </w:p>
  </w:footnote>
  <w:footnote w:id="62">
    <w:p w14:paraId="5FA2F9DB" w14:textId="7D671973" w:rsidR="001E5E02" w:rsidRDefault="001E5E02" w:rsidP="000D55C9">
      <w:pPr>
        <w:pStyle w:val="FootnoteText"/>
      </w:pPr>
      <w:r>
        <w:rPr>
          <w:rStyle w:val="FootnoteReference"/>
        </w:rPr>
        <w:footnoteRef/>
      </w:r>
      <w:r>
        <w:t xml:space="preserve"> </w:t>
      </w:r>
      <w:r w:rsidRPr="00155F97">
        <w:rPr>
          <w:sz w:val="16"/>
          <w:szCs w:val="16"/>
        </w:rPr>
        <w:t>Australian System of Government Finance Statistics: Concepts, Sources and Methods</w:t>
      </w:r>
      <w:r>
        <w:rPr>
          <w:sz w:val="16"/>
          <w:szCs w:val="16"/>
        </w:rPr>
        <w:t xml:space="preserve">. </w:t>
      </w:r>
      <w:r w:rsidRPr="00155F97">
        <w:rPr>
          <w:sz w:val="16"/>
          <w:szCs w:val="16"/>
        </w:rPr>
        <w:t>Australian Bureau of Statistics Cat 5514.0</w:t>
      </w:r>
      <w:r>
        <w:rPr>
          <w:sz w:val="16"/>
          <w:szCs w:val="16"/>
        </w:rPr>
        <w:t>. See glossary for definitions.</w:t>
      </w:r>
    </w:p>
  </w:footnote>
  <w:footnote w:id="63">
    <w:p w14:paraId="7AD3535F" w14:textId="60006191" w:rsidR="001E5E02" w:rsidRPr="00CF537E" w:rsidRDefault="001E5E02">
      <w:pPr>
        <w:pStyle w:val="FootnoteText"/>
      </w:pPr>
      <w:r>
        <w:rPr>
          <w:rStyle w:val="FootnoteReference"/>
        </w:rPr>
        <w:footnoteRef/>
      </w:r>
      <w:r>
        <w:t xml:space="preserve"> </w:t>
      </w:r>
      <w:r w:rsidRPr="00CF537E">
        <w:rPr>
          <w:rStyle w:val="Hyperlink"/>
        </w:rPr>
        <w:t>www.procurement.vic.gov.au/Buyers/Policies-Guides-and-Tools/Governance-Policy</w:t>
      </w:r>
    </w:p>
  </w:footnote>
  <w:footnote w:id="64">
    <w:p w14:paraId="1832684A" w14:textId="0F3096F7" w:rsidR="001E5E02" w:rsidRPr="00CF537E" w:rsidRDefault="001E5E02">
      <w:pPr>
        <w:pStyle w:val="FootnoteText"/>
      </w:pPr>
      <w:r w:rsidRPr="00CF537E">
        <w:rPr>
          <w:rStyle w:val="FootnoteReference"/>
        </w:rPr>
        <w:footnoteRef/>
      </w:r>
      <w:r w:rsidRPr="00CF537E">
        <w:t xml:space="preserve"> </w:t>
      </w:r>
      <w:r w:rsidRPr="00CF537E">
        <w:rPr>
          <w:rStyle w:val="Hyperlink"/>
        </w:rPr>
        <w:t>www.procurement.vic.gov.au/Buyers/Policies-Guides-and-Tools/Complexity-and-Capability-Assessment-Policy</w:t>
      </w:r>
    </w:p>
  </w:footnote>
  <w:footnote w:id="65">
    <w:p w14:paraId="60D78D43" w14:textId="6625D8C5" w:rsidR="001E5E02" w:rsidRPr="00CF537E" w:rsidRDefault="001E5E02">
      <w:pPr>
        <w:pStyle w:val="FootnoteText"/>
      </w:pPr>
      <w:r w:rsidRPr="00CF537E">
        <w:rPr>
          <w:rStyle w:val="FootnoteReference"/>
        </w:rPr>
        <w:footnoteRef/>
      </w:r>
      <w:r w:rsidRPr="00CF537E">
        <w:t xml:space="preserve"> </w:t>
      </w:r>
      <w:r w:rsidRPr="00CF537E">
        <w:rPr>
          <w:rStyle w:val="Hyperlink"/>
        </w:rPr>
        <w:t>www.procurement.vic.gov.au/Buyers/Policies-Guides-and-Tools/Market-Analysis-and-Review-Policy</w:t>
      </w:r>
    </w:p>
  </w:footnote>
  <w:footnote w:id="66">
    <w:p w14:paraId="48532DE3" w14:textId="0A4331A5" w:rsidR="001E5E02" w:rsidRPr="004661D4" w:rsidRDefault="001E5E02">
      <w:pPr>
        <w:pStyle w:val="FootnoteText"/>
        <w:rPr>
          <w:highlight w:val="yellow"/>
        </w:rPr>
      </w:pPr>
      <w:r w:rsidRPr="00CF537E">
        <w:rPr>
          <w:rStyle w:val="FootnoteReference"/>
        </w:rPr>
        <w:footnoteRef/>
      </w:r>
      <w:r w:rsidRPr="00CF537E">
        <w:t xml:space="preserve"> </w:t>
      </w:r>
      <w:r w:rsidRPr="00CF537E">
        <w:rPr>
          <w:rStyle w:val="Hyperlink"/>
        </w:rPr>
        <w:t>www.procurement.vic.gov.au/Buyers/Policies-Guides-and-Tools/Market-Approach-Policy</w:t>
      </w:r>
    </w:p>
  </w:footnote>
  <w:footnote w:id="67">
    <w:p w14:paraId="3A14428B" w14:textId="11334D18" w:rsidR="001E5E02" w:rsidRPr="00515507" w:rsidRDefault="001E5E02">
      <w:pPr>
        <w:pStyle w:val="FootnoteText"/>
      </w:pPr>
      <w:r w:rsidRPr="00CF537E">
        <w:rPr>
          <w:rStyle w:val="FootnoteReference"/>
        </w:rPr>
        <w:footnoteRef/>
      </w:r>
      <w:r>
        <w:t xml:space="preserve"> </w:t>
      </w:r>
      <w:hyperlink r:id="rId27" w:history="1">
        <w:r w:rsidRPr="003955C6">
          <w:rPr>
            <w:rStyle w:val="Hyperlink"/>
          </w:rPr>
          <w:t>www.procurement.vic.gov.au/Buyers/Policies-Guides-and-Tools/Contract-Management-and-Contract-Disclosure-Policy</w:t>
        </w:r>
      </w:hyperlink>
    </w:p>
  </w:footnote>
  <w:footnote w:id="68">
    <w:p w14:paraId="3649A99C" w14:textId="1735CF8F" w:rsidR="001E5E02" w:rsidRPr="00CF537E" w:rsidRDefault="001E5E02">
      <w:pPr>
        <w:pStyle w:val="FootnoteText"/>
      </w:pPr>
      <w:r w:rsidRPr="00CF537E">
        <w:rPr>
          <w:rStyle w:val="FootnoteReference"/>
        </w:rPr>
        <w:footnoteRef/>
      </w:r>
      <w:r>
        <w:t xml:space="preserve"> </w:t>
      </w:r>
      <w:r w:rsidRPr="006D6AFE">
        <w:rPr>
          <w:rStyle w:val="Hyperlink"/>
        </w:rPr>
        <w:t>buyingfor.vic.gov.au/browse-government-contracts</w:t>
      </w:r>
    </w:p>
  </w:footnote>
  <w:footnote w:id="69">
    <w:p w14:paraId="42FC9AB7" w14:textId="2F41C7E0" w:rsidR="001E5E02" w:rsidRDefault="001E5E02">
      <w:pPr>
        <w:pStyle w:val="FootnoteText"/>
      </w:pPr>
      <w:r w:rsidRPr="00CF537E">
        <w:rPr>
          <w:rStyle w:val="FootnoteReference"/>
        </w:rPr>
        <w:footnoteRef/>
      </w:r>
      <w:r w:rsidRPr="00CF537E">
        <w:t xml:space="preserve"> </w:t>
      </w:r>
      <w:r w:rsidRPr="006D6AFE">
        <w:rPr>
          <w:rStyle w:val="Hyperlink"/>
        </w:rPr>
        <w:t>infrastructure.gov.au/infrastructure/ngpd/files/NACG_Policy_Principles.pdf</w:t>
      </w:r>
    </w:p>
  </w:footnote>
  <w:footnote w:id="70">
    <w:p w14:paraId="6FC83E89" w14:textId="2D5D133D" w:rsidR="001E5E02" w:rsidRPr="002E08A3" w:rsidRDefault="001E5E02" w:rsidP="002E08A3">
      <w:pPr>
        <w:pStyle w:val="Default"/>
        <w:rPr>
          <w:sz w:val="16"/>
          <w:szCs w:val="16"/>
        </w:rPr>
      </w:pPr>
      <w:r w:rsidRPr="002E08A3">
        <w:rPr>
          <w:rStyle w:val="FootnoteReference"/>
          <w:sz w:val="16"/>
          <w:szCs w:val="16"/>
        </w:rPr>
        <w:footnoteRef/>
      </w:r>
      <w:r w:rsidRPr="002E08A3">
        <w:rPr>
          <w:sz w:val="16"/>
          <w:szCs w:val="16"/>
        </w:rPr>
        <w:t xml:space="preserve"> Government buyers is defined as individual(s) responsible for planning, sourcing and/or approving the goods, services or construction being procured by, or on behalf of, a department or agency. Note that the definition of government buyers includes end users, project control boards and financial delegates</w:t>
      </w:r>
      <w:r>
        <w:rPr>
          <w:sz w:val="16"/>
          <w:szCs w:val="16"/>
        </w:rPr>
        <w:t xml:space="preserve">. </w:t>
      </w:r>
    </w:p>
  </w:footnote>
  <w:footnote w:id="71">
    <w:p w14:paraId="466D45FA" w14:textId="0E3B8D3F" w:rsidR="001E5E02" w:rsidRPr="00BC31AB" w:rsidRDefault="001E5E02">
      <w:pPr>
        <w:pStyle w:val="FootnoteText"/>
      </w:pPr>
      <w:r w:rsidRPr="00BC31AB">
        <w:rPr>
          <w:rStyle w:val="FootnoteReference"/>
        </w:rPr>
        <w:footnoteRef/>
      </w:r>
      <w:r w:rsidRPr="00BC31AB">
        <w:t xml:space="preserve"> </w:t>
      </w:r>
      <w:hyperlink r:id="rId28" w:history="1">
        <w:r w:rsidRPr="00BC31AB">
          <w:rPr>
            <w:rStyle w:val="Hyperlink"/>
          </w:rPr>
          <w:t>www.dtf.vic.gov.au</w:t>
        </w:r>
      </w:hyperlink>
    </w:p>
  </w:footnote>
  <w:footnote w:id="72">
    <w:p w14:paraId="69226507" w14:textId="791227C1" w:rsidR="001E5E02" w:rsidRPr="00BC31AB" w:rsidRDefault="001E5E02">
      <w:pPr>
        <w:pStyle w:val="FootnoteText"/>
      </w:pPr>
      <w:r w:rsidRPr="00BC31AB">
        <w:rPr>
          <w:rStyle w:val="FootnoteReference"/>
        </w:rPr>
        <w:footnoteRef/>
      </w:r>
      <w:r w:rsidRPr="00BC31AB">
        <w:t xml:space="preserve"> </w:t>
      </w:r>
      <w:hyperlink r:id="rId29" w:history="1">
        <w:r w:rsidRPr="00BC31AB">
          <w:rPr>
            <w:rStyle w:val="Hyperlink"/>
          </w:rPr>
          <w:t>www.enterprisesolutions.vic.gov.au</w:t>
        </w:r>
      </w:hyperlink>
    </w:p>
  </w:footnote>
  <w:footnote w:id="73">
    <w:p w14:paraId="678ABC3F" w14:textId="488C03D6" w:rsidR="001E5E02" w:rsidRPr="00BC31AB" w:rsidRDefault="001E5E02">
      <w:pPr>
        <w:pStyle w:val="FootnoteText"/>
      </w:pPr>
      <w:r w:rsidRPr="00BC31AB">
        <w:rPr>
          <w:rStyle w:val="FootnoteReference"/>
        </w:rPr>
        <w:footnoteRef/>
      </w:r>
      <w:r w:rsidRPr="00BC31AB">
        <w:t xml:space="preserve"> </w:t>
      </w:r>
      <w:hyperlink r:id="rId30" w:history="1">
        <w:r w:rsidRPr="00BC31AB">
          <w:rPr>
            <w:rStyle w:val="Hyperlink"/>
          </w:rPr>
          <w:t>www.audit.vic.gov.au</w:t>
        </w:r>
      </w:hyperlink>
    </w:p>
  </w:footnote>
  <w:footnote w:id="74">
    <w:p w14:paraId="50649CA5" w14:textId="3E7BF1CC" w:rsidR="001E5E02" w:rsidRPr="00BC31AB" w:rsidRDefault="001E5E02">
      <w:pPr>
        <w:pStyle w:val="FootnoteText"/>
      </w:pPr>
      <w:r w:rsidRPr="00BC31AB">
        <w:rPr>
          <w:rStyle w:val="FootnoteReference"/>
        </w:rPr>
        <w:footnoteRef/>
      </w:r>
      <w:r w:rsidRPr="00BC31AB">
        <w:t xml:space="preserve"> </w:t>
      </w:r>
      <w:hyperlink r:id="rId31" w:history="1">
        <w:r w:rsidRPr="00BC31AB">
          <w:rPr>
            <w:rStyle w:val="Hyperlink"/>
          </w:rPr>
          <w:t>www.anao.gov.au</w:t>
        </w:r>
      </w:hyperlink>
    </w:p>
  </w:footnote>
  <w:footnote w:id="75">
    <w:p w14:paraId="3EDA4507" w14:textId="6D476A40" w:rsidR="001E5E02" w:rsidRPr="00BC31AB" w:rsidRDefault="001E5E02">
      <w:pPr>
        <w:pStyle w:val="FootnoteText"/>
      </w:pPr>
      <w:r w:rsidRPr="00BC31AB">
        <w:rPr>
          <w:rStyle w:val="FootnoteReference"/>
        </w:rPr>
        <w:footnoteRef/>
      </w:r>
      <w:r w:rsidRPr="00BC31AB">
        <w:t xml:space="preserve"> </w:t>
      </w:r>
      <w:hyperlink r:id="rId32" w:history="1">
        <w:r w:rsidRPr="002939CB">
          <w:rPr>
            <w:rStyle w:val="Hyperlink"/>
          </w:rPr>
          <w:t>djpr.vic.gov.au</w:t>
        </w:r>
      </w:hyperlink>
    </w:p>
  </w:footnote>
  <w:footnote w:id="76">
    <w:p w14:paraId="5696E446" w14:textId="78AF552B" w:rsidR="001E5E02" w:rsidRPr="00BC31AB" w:rsidRDefault="001E5E02">
      <w:pPr>
        <w:pStyle w:val="FootnoteText"/>
      </w:pPr>
      <w:r w:rsidRPr="00BC31AB">
        <w:rPr>
          <w:rStyle w:val="FootnoteReference"/>
        </w:rPr>
        <w:footnoteRef/>
      </w:r>
      <w:r w:rsidRPr="00BC31AB">
        <w:t xml:space="preserve"> </w:t>
      </w:r>
      <w:hyperlink r:id="rId33" w:history="1">
        <w:r w:rsidRPr="00BC31AB">
          <w:rPr>
            <w:rStyle w:val="Hyperlink"/>
          </w:rPr>
          <w:t>www.procurement.vic.gov.au</w:t>
        </w:r>
      </w:hyperlink>
    </w:p>
  </w:footnote>
  <w:footnote w:id="77">
    <w:p w14:paraId="0AFC3E3F" w14:textId="6BA890B1" w:rsidR="001E5E02" w:rsidRPr="00BC31AB" w:rsidRDefault="001E5E02">
      <w:pPr>
        <w:pStyle w:val="FootnoteText"/>
      </w:pPr>
      <w:r w:rsidRPr="00BC31AB">
        <w:rPr>
          <w:rStyle w:val="FootnoteReference"/>
        </w:rPr>
        <w:footnoteRef/>
      </w:r>
      <w:r w:rsidRPr="00BC31AB">
        <w:t xml:space="preserve"> </w:t>
      </w:r>
      <w:hyperlink r:id="rId34" w:history="1">
        <w:r w:rsidRPr="002939CB">
          <w:rPr>
            <w:rStyle w:val="Hyperlink"/>
          </w:rPr>
          <w:t>buyingfor.vic.gov.au</w:t>
        </w:r>
      </w:hyperlink>
    </w:p>
  </w:footnote>
  <w:footnote w:id="78">
    <w:p w14:paraId="3DC72108" w14:textId="346B91DE" w:rsidR="001E5E02" w:rsidRPr="00BC31AB" w:rsidRDefault="001E5E02">
      <w:pPr>
        <w:pStyle w:val="FootnoteText"/>
      </w:pPr>
      <w:r w:rsidRPr="00BC31AB">
        <w:rPr>
          <w:rStyle w:val="FootnoteReference"/>
        </w:rPr>
        <w:footnoteRef/>
      </w:r>
      <w:r w:rsidRPr="00BC31AB">
        <w:t xml:space="preserve"> </w:t>
      </w:r>
      <w:hyperlink r:id="rId35" w:history="1">
        <w:r w:rsidRPr="002939CB">
          <w:rPr>
            <w:rStyle w:val="Hyperlink"/>
          </w:rPr>
          <w:t>www.audit.vic.gov.au/sites/default/files/20080730-ICT-BPG.pdf</w:t>
        </w:r>
      </w:hyperlink>
    </w:p>
  </w:footnote>
  <w:footnote w:id="79">
    <w:p w14:paraId="6AFAA8B3" w14:textId="306958A7" w:rsidR="001E5E02" w:rsidRDefault="001E5E02">
      <w:pPr>
        <w:pStyle w:val="FootnoteText"/>
      </w:pPr>
      <w:r w:rsidRPr="00BC31AB">
        <w:rPr>
          <w:rStyle w:val="FootnoteReference"/>
        </w:rPr>
        <w:footnoteRef/>
      </w:r>
      <w:r w:rsidRPr="00BC31AB">
        <w:t xml:space="preserve"> </w:t>
      </w:r>
      <w:hyperlink r:id="rId36" w:history="1">
        <w:r w:rsidR="009E3EFD" w:rsidRPr="005C3C4C">
          <w:rPr>
            <w:rStyle w:val="Hyperlink"/>
          </w:rPr>
          <w:t>https://www.dtf.vic.gov.au/standing-directions-2018-under-financial-management-act-1994</w:t>
        </w:r>
      </w:hyperlink>
    </w:p>
  </w:footnote>
  <w:footnote w:id="80">
    <w:p w14:paraId="2D26BCF6" w14:textId="53795C93" w:rsidR="001E5E02" w:rsidRPr="00ED05FC" w:rsidRDefault="001E5E02" w:rsidP="00BB0D15">
      <w:pPr>
        <w:pStyle w:val="FootnoteText"/>
      </w:pPr>
      <w:r w:rsidRPr="00ED05FC">
        <w:rPr>
          <w:rStyle w:val="FootnoteReference"/>
        </w:rPr>
        <w:footnoteRef/>
      </w:r>
      <w:r w:rsidRPr="00ED05FC">
        <w:t xml:space="preserve"> </w:t>
      </w:r>
      <w:hyperlink r:id="rId37" w:history="1">
        <w:r w:rsidRPr="00ED0BF3">
          <w:rPr>
            <w:rStyle w:val="Hyperlink"/>
          </w:rPr>
          <w:t>www.intranet.vic.gov.au/connect/better-grants-design</w:t>
        </w:r>
      </w:hyperlink>
    </w:p>
  </w:footnote>
  <w:footnote w:id="81">
    <w:p w14:paraId="422BEC6E" w14:textId="532D52D7" w:rsidR="001E5E02" w:rsidRPr="00ED05FC" w:rsidRDefault="001E5E02">
      <w:pPr>
        <w:pStyle w:val="FootnoteText"/>
      </w:pPr>
      <w:r w:rsidRPr="00ED05FC">
        <w:rPr>
          <w:rStyle w:val="FootnoteReference"/>
        </w:rPr>
        <w:footnoteRef/>
      </w:r>
      <w:r w:rsidRPr="00ED05FC">
        <w:t xml:space="preserve"> </w:t>
      </w:r>
      <w:hyperlink r:id="rId38" w:history="1">
        <w:r w:rsidR="009E3EFD" w:rsidRPr="005C3C4C">
          <w:rPr>
            <w:rStyle w:val="Hyperlink"/>
          </w:rPr>
          <w:t>www.dtf.vic.gov.au/partnerships</w:t>
        </w:r>
      </w:hyperlink>
      <w:r w:rsidR="009E3EFD">
        <w:rPr>
          <w:rStyle w:val="Hyperlink"/>
        </w:rPr>
        <w:t>-victoria</w:t>
      </w:r>
    </w:p>
  </w:footnote>
  <w:footnote w:id="82">
    <w:p w14:paraId="2A1A013E" w14:textId="6EA415CD" w:rsidR="001E5E02" w:rsidRPr="00ED05FC" w:rsidRDefault="001E5E02" w:rsidP="00ED0BF3">
      <w:pPr>
        <w:pStyle w:val="FootnoteText"/>
        <w:jc w:val="both"/>
      </w:pPr>
      <w:r w:rsidRPr="00ED05FC">
        <w:rPr>
          <w:rStyle w:val="FootnoteReference"/>
        </w:rPr>
        <w:footnoteRef/>
      </w:r>
      <w:r w:rsidRPr="00ED05FC">
        <w:t xml:space="preserve"> </w:t>
      </w:r>
      <w:hyperlink r:id="rId39" w:history="1">
        <w:r w:rsidRPr="00ED0BF3">
          <w:rPr>
            <w:rStyle w:val="Hyperlink"/>
          </w:rPr>
          <w:t>www.vic.gov.au/sponsorship</w:t>
        </w:r>
      </w:hyperlink>
    </w:p>
  </w:footnote>
  <w:footnote w:id="83">
    <w:p w14:paraId="42AE73BA" w14:textId="1A3F6B11" w:rsidR="001E5E02" w:rsidRDefault="001E5E02">
      <w:pPr>
        <w:pStyle w:val="FootnoteText"/>
      </w:pPr>
      <w:r w:rsidRPr="00ED05FC">
        <w:rPr>
          <w:rStyle w:val="FootnoteReference"/>
        </w:rPr>
        <w:footnoteRef/>
      </w:r>
      <w:r w:rsidRPr="00ED05FC">
        <w:t xml:space="preserve"> </w:t>
      </w:r>
      <w:hyperlink r:id="rId40" w:history="1">
        <w:r w:rsidRPr="00ED0BF3">
          <w:rPr>
            <w:rStyle w:val="Hyperlink"/>
          </w:rPr>
          <w:t>vpsc.vic.gov.au/about-vpsc/vpsc-gifts-benefits-hospitality-policy-declaration-register</w:t>
        </w:r>
      </w:hyperlink>
    </w:p>
  </w:footnote>
  <w:footnote w:id="84">
    <w:p w14:paraId="07E3201D" w14:textId="605E6A4B" w:rsidR="001E5E02" w:rsidRDefault="001E5E02">
      <w:pPr>
        <w:pStyle w:val="FootnoteText"/>
      </w:pPr>
      <w:r>
        <w:rPr>
          <w:rStyle w:val="FootnoteReference"/>
        </w:rPr>
        <w:footnoteRef/>
      </w:r>
      <w:r>
        <w:t xml:space="preserve"> For an example of a risk-based approach to compliance auditing, refer </w:t>
      </w:r>
      <w:hyperlink r:id="rId41" w:history="1">
        <w:r w:rsidRPr="00A54B19">
          <w:rPr>
            <w:rStyle w:val="Hyperlink"/>
          </w:rPr>
          <w:t>global.theiia.org/standards-guidance/topics/Documents/201501Gu</w:t>
        </w:r>
        <w:r w:rsidRPr="006147E3">
          <w:rPr>
            <w:rStyle w:val="Hyperlink"/>
          </w:rPr>
          <w:t>idetoRBIA.pdf</w:t>
        </w:r>
      </w:hyperlink>
    </w:p>
  </w:footnote>
  <w:footnote w:id="85">
    <w:p w14:paraId="265D97C9" w14:textId="5170E6D4" w:rsidR="001E5E02" w:rsidRDefault="001E5E02">
      <w:pPr>
        <w:pStyle w:val="FootnoteText"/>
      </w:pPr>
      <w:r>
        <w:rPr>
          <w:rStyle w:val="FootnoteReference"/>
        </w:rPr>
        <w:footnoteRef/>
      </w:r>
      <w:r>
        <w:t xml:space="preserve"> </w:t>
      </w:r>
      <w:r w:rsidRPr="000855D7">
        <w:t xml:space="preserve">For an example of a risk-based approach to compliance auditing, refer </w:t>
      </w:r>
      <w:hyperlink r:id="rId42" w:history="1">
        <w:r w:rsidRPr="000855D7">
          <w:rPr>
            <w:rStyle w:val="Hyperlink"/>
          </w:rPr>
          <w:t>global.theiia.org/standards-guidance/topics/Documents/201501GuidetoRBIA.pdf</w:t>
        </w:r>
      </w:hyperlink>
    </w:p>
  </w:footnote>
  <w:footnote w:id="86">
    <w:p w14:paraId="3C5DADA4" w14:textId="6DBB3147" w:rsidR="001E5E02" w:rsidRDefault="001E5E02">
      <w:pPr>
        <w:pStyle w:val="FootnoteText"/>
      </w:pPr>
      <w:r>
        <w:rPr>
          <w:rStyle w:val="FootnoteReference"/>
        </w:rPr>
        <w:footnoteRef/>
      </w:r>
      <w:r>
        <w:t xml:space="preserve"> </w:t>
      </w:r>
      <w:r w:rsidRPr="000855D7">
        <w:t xml:space="preserve">For an example of a risk-based approach to compliance auditing, refer </w:t>
      </w:r>
      <w:hyperlink r:id="rId43" w:history="1">
        <w:r w:rsidRPr="000855D7">
          <w:rPr>
            <w:rStyle w:val="Hyperlink"/>
          </w:rPr>
          <w:t>global.theiia.org/standards-guidance/topics/Documents/201501GuidetoRBIA.pdf</w:t>
        </w:r>
      </w:hyperlink>
    </w:p>
  </w:footnote>
  <w:footnote w:id="87">
    <w:p w14:paraId="399A75FF" w14:textId="06FB6842" w:rsidR="001E5E02" w:rsidRDefault="001E5E02" w:rsidP="00B55437">
      <w:pPr>
        <w:pStyle w:val="FootnoteText"/>
      </w:pPr>
      <w:r w:rsidRPr="00515507">
        <w:rPr>
          <w:rStyle w:val="FootnoteReference"/>
        </w:rPr>
        <w:footnoteRef/>
      </w:r>
      <w:r>
        <w:t xml:space="preserve"> </w:t>
      </w:r>
      <w:hyperlink r:id="rId44" w:history="1">
        <w:r w:rsidRPr="00ED0BF3">
          <w:rPr>
            <w:rStyle w:val="Hyperlink"/>
          </w:rPr>
          <w:t>www.vmia.vic.gov.au/insure/insurance-attestation/resources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CB7B4" w14:textId="77777777" w:rsidR="004D552F" w:rsidRDefault="004D552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B050" w14:textId="78DFF9A7" w:rsidR="001E5E02" w:rsidRDefault="001E5E02" w:rsidP="001356A0">
    <w:pPr>
      <w:pStyle w:val="Header"/>
      <w:jc w:val="right"/>
    </w:pPr>
    <w:r w:rsidRPr="00025F6A">
      <w:rPr>
        <w:noProof/>
      </w:rPr>
      <w:drawing>
        <wp:anchor distT="0" distB="0" distL="114300" distR="114300" simplePos="0" relativeHeight="251658245" behindDoc="0" locked="0" layoutInCell="1" allowOverlap="1" wp14:anchorId="0E493A24" wp14:editId="183F4643">
          <wp:simplePos x="0" y="0"/>
          <wp:positionH relativeFrom="column">
            <wp:posOffset>-737540</wp:posOffset>
          </wp:positionH>
          <wp:positionV relativeFrom="page">
            <wp:posOffset>0</wp:posOffset>
          </wp:positionV>
          <wp:extent cx="7686040" cy="7315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79" t="40788" r="5560" b="27027"/>
                  <a:stretch/>
                </pic:blipFill>
                <pic:spPr bwMode="auto">
                  <a:xfrm>
                    <a:off x="0" y="0"/>
                    <a:ext cx="7686040" cy="731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399E" w14:textId="58D7D073" w:rsidR="001E5E02" w:rsidRDefault="001E5E02" w:rsidP="00F9112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A6E5" w14:textId="1914BA5E" w:rsidR="001E5E02" w:rsidRDefault="001E5E02" w:rsidP="001356A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F2A60" w14:textId="77777777" w:rsidR="001E5E02" w:rsidRDefault="001E5E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1BCD6" w14:textId="2A13E8D4" w:rsidR="001E5E02" w:rsidRDefault="001E5E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106E" w14:textId="71914C85" w:rsidR="001E5E02" w:rsidRDefault="001E5E02" w:rsidP="001356A0">
    <w:pPr>
      <w:pStyle w:val="Header"/>
      <w:jc w:val="right"/>
    </w:pPr>
    <w:r w:rsidRPr="00025F6A">
      <w:rPr>
        <w:noProof/>
      </w:rPr>
      <w:drawing>
        <wp:anchor distT="0" distB="0" distL="114300" distR="114300" simplePos="0" relativeHeight="251658244" behindDoc="0" locked="0" layoutInCell="1" allowOverlap="1" wp14:anchorId="6F592140" wp14:editId="3E05BC27">
          <wp:simplePos x="0" y="0"/>
          <wp:positionH relativeFrom="column">
            <wp:posOffset>-737540</wp:posOffset>
          </wp:positionH>
          <wp:positionV relativeFrom="page">
            <wp:posOffset>0</wp:posOffset>
          </wp:positionV>
          <wp:extent cx="7686040" cy="731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79" t="40788" r="5560" b="27027"/>
                  <a:stretch/>
                </pic:blipFill>
                <pic:spPr bwMode="auto">
                  <a:xfrm>
                    <a:off x="0" y="0"/>
                    <a:ext cx="7686040" cy="731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C44D9" w14:textId="77777777" w:rsidR="001E5E02" w:rsidRDefault="001E5E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2D550" w14:textId="13EDEFC4" w:rsidR="001E5E02" w:rsidRDefault="001E5E02" w:rsidP="00F91121">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EFEE1" w14:textId="057FD3D3" w:rsidR="001E5E02" w:rsidRDefault="001E5E02" w:rsidP="00F911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2EDA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E728C"/>
    <w:multiLevelType w:val="hybridMultilevel"/>
    <w:tmpl w:val="7B9E04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C62350"/>
    <w:multiLevelType w:val="hybridMultilevel"/>
    <w:tmpl w:val="E244E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4F6AAB"/>
    <w:multiLevelType w:val="hybridMultilevel"/>
    <w:tmpl w:val="DF86956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07740C09"/>
    <w:multiLevelType w:val="hybridMultilevel"/>
    <w:tmpl w:val="C3C041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0D1E32"/>
    <w:multiLevelType w:val="hybridMultilevel"/>
    <w:tmpl w:val="17683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95D1F"/>
    <w:multiLevelType w:val="hybridMultilevel"/>
    <w:tmpl w:val="B66A88F0"/>
    <w:lvl w:ilvl="0" w:tplc="EE42F58C">
      <w:start w:val="1"/>
      <w:numFmt w:val="decimal"/>
      <w:pStyle w:val="Heading3number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9B63EE0"/>
    <w:multiLevelType w:val="hybridMultilevel"/>
    <w:tmpl w:val="A55409B8"/>
    <w:lvl w:ilvl="0" w:tplc="61F8F6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9DE4199"/>
    <w:multiLevelType w:val="hybridMultilevel"/>
    <w:tmpl w:val="82B02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FE56FD"/>
    <w:multiLevelType w:val="hybridMultilevel"/>
    <w:tmpl w:val="DFC05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66790D"/>
    <w:multiLevelType w:val="hybridMultilevel"/>
    <w:tmpl w:val="4FC242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23981"/>
    <w:multiLevelType w:val="hybridMultilevel"/>
    <w:tmpl w:val="7FC8AB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8D7EA2"/>
    <w:multiLevelType w:val="hybridMultilevel"/>
    <w:tmpl w:val="E5CA16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7F43B7"/>
    <w:multiLevelType w:val="hybridMultilevel"/>
    <w:tmpl w:val="214CD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C91318"/>
    <w:multiLevelType w:val="multilevel"/>
    <w:tmpl w:val="612AF49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2A56624"/>
    <w:multiLevelType w:val="hybridMultilevel"/>
    <w:tmpl w:val="99B2C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3D34911"/>
    <w:multiLevelType w:val="hybridMultilevel"/>
    <w:tmpl w:val="A3F43D66"/>
    <w:lvl w:ilvl="0" w:tplc="0C090001">
      <w:start w:val="1"/>
      <w:numFmt w:val="bullet"/>
      <w:lvlText w:val=""/>
      <w:lvlJc w:val="left"/>
      <w:pPr>
        <w:ind w:left="591" w:hanging="360"/>
      </w:pPr>
      <w:rPr>
        <w:rFonts w:ascii="Symbol" w:hAnsi="Symbol" w:hint="default"/>
      </w:rPr>
    </w:lvl>
    <w:lvl w:ilvl="1" w:tplc="0C090003" w:tentative="1">
      <w:start w:val="1"/>
      <w:numFmt w:val="bullet"/>
      <w:lvlText w:val="o"/>
      <w:lvlJc w:val="left"/>
      <w:pPr>
        <w:ind w:left="1311" w:hanging="360"/>
      </w:pPr>
      <w:rPr>
        <w:rFonts w:ascii="Courier New" w:hAnsi="Courier New" w:cs="Courier New" w:hint="default"/>
      </w:rPr>
    </w:lvl>
    <w:lvl w:ilvl="2" w:tplc="0C090005" w:tentative="1">
      <w:start w:val="1"/>
      <w:numFmt w:val="bullet"/>
      <w:lvlText w:val=""/>
      <w:lvlJc w:val="left"/>
      <w:pPr>
        <w:ind w:left="2031" w:hanging="360"/>
      </w:pPr>
      <w:rPr>
        <w:rFonts w:ascii="Wingdings" w:hAnsi="Wingdings" w:hint="default"/>
      </w:rPr>
    </w:lvl>
    <w:lvl w:ilvl="3" w:tplc="0C090001" w:tentative="1">
      <w:start w:val="1"/>
      <w:numFmt w:val="bullet"/>
      <w:lvlText w:val=""/>
      <w:lvlJc w:val="left"/>
      <w:pPr>
        <w:ind w:left="2751" w:hanging="360"/>
      </w:pPr>
      <w:rPr>
        <w:rFonts w:ascii="Symbol" w:hAnsi="Symbol" w:hint="default"/>
      </w:rPr>
    </w:lvl>
    <w:lvl w:ilvl="4" w:tplc="0C090003" w:tentative="1">
      <w:start w:val="1"/>
      <w:numFmt w:val="bullet"/>
      <w:lvlText w:val="o"/>
      <w:lvlJc w:val="left"/>
      <w:pPr>
        <w:ind w:left="3471" w:hanging="360"/>
      </w:pPr>
      <w:rPr>
        <w:rFonts w:ascii="Courier New" w:hAnsi="Courier New" w:cs="Courier New" w:hint="default"/>
      </w:rPr>
    </w:lvl>
    <w:lvl w:ilvl="5" w:tplc="0C090005" w:tentative="1">
      <w:start w:val="1"/>
      <w:numFmt w:val="bullet"/>
      <w:lvlText w:val=""/>
      <w:lvlJc w:val="left"/>
      <w:pPr>
        <w:ind w:left="4191" w:hanging="360"/>
      </w:pPr>
      <w:rPr>
        <w:rFonts w:ascii="Wingdings" w:hAnsi="Wingdings" w:hint="default"/>
      </w:rPr>
    </w:lvl>
    <w:lvl w:ilvl="6" w:tplc="0C090001" w:tentative="1">
      <w:start w:val="1"/>
      <w:numFmt w:val="bullet"/>
      <w:lvlText w:val=""/>
      <w:lvlJc w:val="left"/>
      <w:pPr>
        <w:ind w:left="4911" w:hanging="360"/>
      </w:pPr>
      <w:rPr>
        <w:rFonts w:ascii="Symbol" w:hAnsi="Symbol" w:hint="default"/>
      </w:rPr>
    </w:lvl>
    <w:lvl w:ilvl="7" w:tplc="0C090003" w:tentative="1">
      <w:start w:val="1"/>
      <w:numFmt w:val="bullet"/>
      <w:lvlText w:val="o"/>
      <w:lvlJc w:val="left"/>
      <w:pPr>
        <w:ind w:left="5631" w:hanging="360"/>
      </w:pPr>
      <w:rPr>
        <w:rFonts w:ascii="Courier New" w:hAnsi="Courier New" w:cs="Courier New" w:hint="default"/>
      </w:rPr>
    </w:lvl>
    <w:lvl w:ilvl="8" w:tplc="0C090005" w:tentative="1">
      <w:start w:val="1"/>
      <w:numFmt w:val="bullet"/>
      <w:lvlText w:val=""/>
      <w:lvlJc w:val="left"/>
      <w:pPr>
        <w:ind w:left="6351" w:hanging="360"/>
      </w:pPr>
      <w:rPr>
        <w:rFonts w:ascii="Wingdings" w:hAnsi="Wingdings" w:hint="default"/>
      </w:rPr>
    </w:lvl>
  </w:abstractNum>
  <w:abstractNum w:abstractNumId="17" w15:restartNumberingAfterBreak="0">
    <w:nsid w:val="13FB421E"/>
    <w:multiLevelType w:val="hybridMultilevel"/>
    <w:tmpl w:val="6E204F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C97808"/>
    <w:multiLevelType w:val="hybridMultilevel"/>
    <w:tmpl w:val="4E6033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61C752B"/>
    <w:multiLevelType w:val="multilevel"/>
    <w:tmpl w:val="EB3C13D6"/>
    <w:lvl w:ilvl="0">
      <w:start w:val="1"/>
      <w:numFmt w:val="decimal"/>
      <w:lvlText w:val="%1."/>
      <w:lvlJc w:val="left"/>
      <w:pPr>
        <w:tabs>
          <w:tab w:val="num" w:pos="504"/>
        </w:tabs>
        <w:ind w:left="504" w:hanging="504"/>
      </w:pPr>
      <w:rPr>
        <w:rFonts w:ascii="Calibri" w:hAnsi="Calibri" w:hint="default"/>
        <w:b w:val="0"/>
        <w:i w:val="0"/>
        <w:vanish w:val="0"/>
        <w:color w:val="404040"/>
        <w:sz w:val="28"/>
        <w:szCs w:val="28"/>
      </w:rPr>
    </w:lvl>
    <w:lvl w:ilvl="1">
      <w:start w:val="1"/>
      <w:numFmt w:val="decimal"/>
      <w:lvlText w:val="%1.%2"/>
      <w:lvlJc w:val="left"/>
      <w:pPr>
        <w:tabs>
          <w:tab w:val="num" w:pos="504"/>
        </w:tabs>
        <w:ind w:left="504" w:hanging="504"/>
      </w:pPr>
      <w:rPr>
        <w:rFonts w:ascii="Calibri" w:hAnsi="Calibri" w:hint="default"/>
        <w:b w:val="0"/>
        <w:i w:val="0"/>
        <w:vanish w:val="0"/>
        <w:color w:val="4D4D4D"/>
        <w:sz w:val="22"/>
        <w:szCs w:val="22"/>
      </w:rPr>
    </w:lvl>
    <w:lvl w:ilvl="2">
      <w:start w:val="1"/>
      <w:numFmt w:val="none"/>
      <w:suff w:val="nothing"/>
      <w:lvlText w:val=""/>
      <w:lvlJc w:val="left"/>
      <w:pPr>
        <w:ind w:left="0" w:firstLine="0"/>
      </w:pPr>
      <w:rPr>
        <w:rFonts w:ascii="Calibri" w:hAnsi="Calibri" w:hint="default"/>
        <w:b/>
        <w:i w:val="0"/>
        <w:vanish w:val="0"/>
        <w:color w:val="4D4D4D"/>
        <w:sz w:val="26"/>
      </w:rPr>
    </w:lvl>
    <w:lvl w:ilvl="3">
      <w:start w:val="1"/>
      <w:numFmt w:val="lowerLetter"/>
      <w:lvlRestart w:val="2"/>
      <w:lvlText w:val="(%4)"/>
      <w:lvlJc w:val="left"/>
      <w:pPr>
        <w:tabs>
          <w:tab w:val="num" w:pos="1008"/>
        </w:tabs>
        <w:ind w:left="1008" w:hanging="504"/>
      </w:pPr>
      <w:rPr>
        <w:rFonts w:ascii="Calibri" w:hAnsi="Calibri" w:hint="default"/>
        <w:b w:val="0"/>
        <w:i w:val="0"/>
        <w:vanish w:val="0"/>
        <w:color w:val="4D4D4D"/>
        <w:sz w:val="20"/>
        <w:szCs w:val="20"/>
      </w:rPr>
    </w:lvl>
    <w:lvl w:ilvl="4">
      <w:start w:val="1"/>
      <w:numFmt w:val="lowerRoman"/>
      <w:lvlText w:val="(%5)"/>
      <w:lvlJc w:val="left"/>
      <w:pPr>
        <w:tabs>
          <w:tab w:val="num" w:pos="1440"/>
        </w:tabs>
        <w:ind w:left="1440" w:hanging="432"/>
      </w:pPr>
      <w:rPr>
        <w:rFonts w:ascii="Calibri" w:hAnsi="Calibri" w:hint="default"/>
        <w:b w:val="0"/>
        <w:i w:val="0"/>
        <w:vanish w:val="0"/>
        <w:color w:val="404040"/>
        <w:sz w:val="20"/>
      </w:rPr>
    </w:lvl>
    <w:lvl w:ilvl="5">
      <w:start w:val="1"/>
      <w:numFmt w:val="decimal"/>
      <w:lvlText w:val="%6."/>
      <w:lvlJc w:val="left"/>
      <w:pPr>
        <w:ind w:left="794" w:firstLine="0"/>
      </w:pPr>
      <w:rPr>
        <w:rFonts w:hint="default"/>
        <w:b w:val="0"/>
        <w:i w:val="0"/>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20" w15:restartNumberingAfterBreak="0">
    <w:nsid w:val="186044DB"/>
    <w:multiLevelType w:val="hybridMultilevel"/>
    <w:tmpl w:val="A6FCC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8A23E70"/>
    <w:multiLevelType w:val="hybridMultilevel"/>
    <w:tmpl w:val="826E56F4"/>
    <w:lvl w:ilvl="0" w:tplc="35EE6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8C74697"/>
    <w:multiLevelType w:val="multilevel"/>
    <w:tmpl w:val="C160FF00"/>
    <w:lvl w:ilvl="0">
      <w:start w:val="1"/>
      <w:numFmt w:val="bullet"/>
      <w:lvlText w:val=""/>
      <w:lvlJc w:val="left"/>
      <w:pPr>
        <w:tabs>
          <w:tab w:val="num" w:pos="227"/>
        </w:tabs>
        <w:ind w:left="227" w:hanging="227"/>
      </w:pPr>
      <w:rPr>
        <w:rFonts w:ascii="Symbol" w:hAnsi="Symbol" w:hint="default"/>
        <w:b w:val="0"/>
        <w:i w:val="0"/>
        <w:sz w:val="18"/>
      </w:rPr>
    </w:lvl>
    <w:lvl w:ilvl="1">
      <w:start w:val="1"/>
      <w:numFmt w:val="bullet"/>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3" w15:restartNumberingAfterBreak="0">
    <w:nsid w:val="19C8342B"/>
    <w:multiLevelType w:val="hybridMultilevel"/>
    <w:tmpl w:val="4816CF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B7B718A"/>
    <w:multiLevelType w:val="hybridMultilevel"/>
    <w:tmpl w:val="1BE0A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DAF07E9"/>
    <w:multiLevelType w:val="hybridMultilevel"/>
    <w:tmpl w:val="4D38CB42"/>
    <w:styleLink w:val="ArticleSection1"/>
    <w:lvl w:ilvl="0" w:tplc="0C090001">
      <w:start w:val="1"/>
      <w:numFmt w:val="bullet"/>
      <w:lvlText w:val=""/>
      <w:lvlJc w:val="left"/>
      <w:pPr>
        <w:ind w:left="770" w:hanging="360"/>
      </w:pPr>
      <w:rPr>
        <w:rFonts w:ascii="Symbol" w:hAnsi="Symbol" w:hint="default"/>
      </w:rPr>
    </w:lvl>
    <w:lvl w:ilvl="1" w:tplc="0C090005">
      <w:start w:val="1"/>
      <w:numFmt w:val="lowerRoman"/>
      <w:lvlText w:val="%2."/>
      <w:lvlJc w:val="right"/>
      <w:pPr>
        <w:ind w:left="1490" w:hanging="360"/>
      </w:pPr>
      <w:rPr>
        <w:rFonts w:cs="Times New Roman"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1E8937E4"/>
    <w:multiLevelType w:val="hybridMultilevel"/>
    <w:tmpl w:val="6082AEE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FD853EA"/>
    <w:multiLevelType w:val="hybridMultilevel"/>
    <w:tmpl w:val="F6C0E4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0366DB4"/>
    <w:multiLevelType w:val="hybridMultilevel"/>
    <w:tmpl w:val="BDFE3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13C3439"/>
    <w:multiLevelType w:val="hybridMultilevel"/>
    <w:tmpl w:val="4538C0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2D03E26"/>
    <w:multiLevelType w:val="hybridMultilevel"/>
    <w:tmpl w:val="109CA6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43955CA"/>
    <w:multiLevelType w:val="hybridMultilevel"/>
    <w:tmpl w:val="FE7228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8C00322"/>
    <w:multiLevelType w:val="hybridMultilevel"/>
    <w:tmpl w:val="C03EA65C"/>
    <w:lvl w:ilvl="0" w:tplc="79E823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9CF1801"/>
    <w:multiLevelType w:val="hybridMultilevel"/>
    <w:tmpl w:val="9BAE02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86"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C0042B1"/>
    <w:multiLevelType w:val="multilevel"/>
    <w:tmpl w:val="293080C0"/>
    <w:styleLink w:val="AttachmentNumberedList"/>
    <w:lvl w:ilvl="0">
      <w:start w:val="1"/>
      <w:numFmt w:val="decimal"/>
      <w:pStyle w:val="AttachmentList1"/>
      <w:lvlText w:val="%1."/>
      <w:lvlJc w:val="left"/>
      <w:pPr>
        <w:ind w:left="680" w:hanging="255"/>
      </w:pPr>
      <w:rPr>
        <w:rFonts w:hint="default"/>
      </w:rPr>
    </w:lvl>
    <w:lvl w:ilvl="1">
      <w:start w:val="1"/>
      <w:numFmt w:val="decimal"/>
      <w:pStyle w:val="AttachmentList2"/>
      <w:lvlText w:val="%1.%2."/>
      <w:lvlJc w:val="left"/>
      <w:pPr>
        <w:ind w:left="936" w:hanging="25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C5A36EE"/>
    <w:multiLevelType w:val="hybridMultilevel"/>
    <w:tmpl w:val="A644215C"/>
    <w:lvl w:ilvl="0" w:tplc="6E5890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CAF68AD"/>
    <w:multiLevelType w:val="hybridMultilevel"/>
    <w:tmpl w:val="F5E4E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E687AD5"/>
    <w:multiLevelType w:val="multilevel"/>
    <w:tmpl w:val="586A6350"/>
    <w:styleLink w:val="AttachmentHeading"/>
    <w:lvl w:ilvl="0">
      <w:start w:val="1"/>
      <w:numFmt w:val="decimal"/>
      <w:pStyle w:val="AttachmentHeading1"/>
      <w:lvlText w:val="%1."/>
      <w:lvlJc w:val="left"/>
      <w:pPr>
        <w:ind w:left="425" w:hanging="425"/>
      </w:pPr>
      <w:rPr>
        <w:rFonts w:ascii="Calibri" w:hAnsi="Calibri" w:hint="default"/>
        <w:b/>
        <w:i w:val="0"/>
        <w:vanish w:val="0"/>
        <w:color w:val="404040"/>
        <w:sz w:val="22"/>
        <w:szCs w:val="22"/>
      </w:rPr>
    </w:lvl>
    <w:lvl w:ilvl="1">
      <w:start w:val="1"/>
      <w:numFmt w:val="decimal"/>
      <w:pStyle w:val="AttachmentHeading2"/>
      <w:lvlText w:val="%1.%2"/>
      <w:lvlJc w:val="left"/>
      <w:pPr>
        <w:ind w:left="425" w:hanging="425"/>
      </w:pPr>
      <w:rPr>
        <w:rFonts w:ascii="Calibri" w:hAnsi="Calibri" w:hint="default"/>
        <w:b/>
        <w:i w:val="0"/>
        <w:vanish w:val="0"/>
        <w:color w:val="4D4D4D"/>
        <w:sz w:val="20"/>
        <w:szCs w:val="20"/>
      </w:rPr>
    </w:lvl>
    <w:lvl w:ilvl="2">
      <w:start w:val="1"/>
      <w:numFmt w:val="none"/>
      <w:suff w:val="nothing"/>
      <w:lvlText w:val=""/>
      <w:lvlJc w:val="left"/>
      <w:pPr>
        <w:ind w:left="0" w:firstLine="0"/>
      </w:pPr>
      <w:rPr>
        <w:rFonts w:ascii="Calibri" w:hAnsi="Calibri" w:hint="default"/>
        <w:b/>
        <w:i w:val="0"/>
        <w:vanish w:val="0"/>
        <w:color w:val="4D4D4D"/>
        <w:sz w:val="26"/>
      </w:rPr>
    </w:lvl>
    <w:lvl w:ilvl="3">
      <w:start w:val="1"/>
      <w:numFmt w:val="lowerLetter"/>
      <w:lvlRestart w:val="2"/>
      <w:lvlText w:val="(%4)"/>
      <w:lvlJc w:val="left"/>
      <w:pPr>
        <w:tabs>
          <w:tab w:val="num" w:pos="1008"/>
        </w:tabs>
        <w:ind w:left="1008" w:hanging="504"/>
      </w:pPr>
      <w:rPr>
        <w:rFonts w:ascii="Calibri" w:hAnsi="Calibri" w:hint="default"/>
        <w:b w:val="0"/>
        <w:i w:val="0"/>
        <w:vanish w:val="0"/>
        <w:color w:val="4D4D4D"/>
        <w:sz w:val="20"/>
        <w:szCs w:val="20"/>
      </w:rPr>
    </w:lvl>
    <w:lvl w:ilvl="4">
      <w:start w:val="1"/>
      <w:numFmt w:val="lowerRoman"/>
      <w:lvlText w:val="(%5)"/>
      <w:lvlJc w:val="left"/>
      <w:pPr>
        <w:tabs>
          <w:tab w:val="num" w:pos="1440"/>
        </w:tabs>
        <w:ind w:left="1440" w:hanging="432"/>
      </w:pPr>
      <w:rPr>
        <w:rFonts w:ascii="Calibri" w:hAnsi="Calibri" w:hint="default"/>
        <w:b w:val="0"/>
        <w:i w:val="0"/>
        <w:vanish w:val="0"/>
        <w:color w:val="404040"/>
        <w:sz w:val="20"/>
      </w:rPr>
    </w:lvl>
    <w:lvl w:ilvl="5">
      <w:start w:val="1"/>
      <w:numFmt w:val="decimal"/>
      <w:lvlText w:val="%6."/>
      <w:lvlJc w:val="left"/>
      <w:pPr>
        <w:ind w:left="794" w:firstLine="0"/>
      </w:pPr>
      <w:rPr>
        <w:rFonts w:hint="default"/>
        <w:b w:val="0"/>
        <w:i w:val="0"/>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38" w15:restartNumberingAfterBreak="0">
    <w:nsid w:val="2EAE061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00D0E14"/>
    <w:multiLevelType w:val="hybridMultilevel"/>
    <w:tmpl w:val="AC165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03217CA"/>
    <w:multiLevelType w:val="hybridMultilevel"/>
    <w:tmpl w:val="A21A6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08D5411"/>
    <w:multiLevelType w:val="hybridMultilevel"/>
    <w:tmpl w:val="0616ED80"/>
    <w:lvl w:ilvl="0" w:tplc="6E5890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0DF21DE"/>
    <w:multiLevelType w:val="hybridMultilevel"/>
    <w:tmpl w:val="F4C6E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2192747"/>
    <w:multiLevelType w:val="hybridMultilevel"/>
    <w:tmpl w:val="12A46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614524D"/>
    <w:multiLevelType w:val="hybridMultilevel"/>
    <w:tmpl w:val="A55409B8"/>
    <w:lvl w:ilvl="0" w:tplc="61F8F6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6907E0A"/>
    <w:multiLevelType w:val="hybridMultilevel"/>
    <w:tmpl w:val="1AD85AC0"/>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46" w15:restartNumberingAfterBreak="0">
    <w:nsid w:val="38C9310E"/>
    <w:multiLevelType w:val="hybridMultilevel"/>
    <w:tmpl w:val="2B56E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92F7767"/>
    <w:multiLevelType w:val="hybridMultilevel"/>
    <w:tmpl w:val="F84AB5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B8B09D9"/>
    <w:multiLevelType w:val="hybridMultilevel"/>
    <w:tmpl w:val="3288F78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C8E579D"/>
    <w:multiLevelType w:val="hybridMultilevel"/>
    <w:tmpl w:val="EBD62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D995C8C"/>
    <w:multiLevelType w:val="hybridMultilevel"/>
    <w:tmpl w:val="788C2EC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1" w15:restartNumberingAfterBreak="0">
    <w:nsid w:val="3E015C2C"/>
    <w:multiLevelType w:val="hybridMultilevel"/>
    <w:tmpl w:val="B18CB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E9C38AB"/>
    <w:multiLevelType w:val="hybridMultilevel"/>
    <w:tmpl w:val="551EE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F1E159C"/>
    <w:multiLevelType w:val="hybridMultilevel"/>
    <w:tmpl w:val="52A63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F82213F"/>
    <w:multiLevelType w:val="hybridMultilevel"/>
    <w:tmpl w:val="715C52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02B7DE4"/>
    <w:multiLevelType w:val="hybridMultilevel"/>
    <w:tmpl w:val="B7B8945A"/>
    <w:lvl w:ilvl="0" w:tplc="218E8E5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0A11C86"/>
    <w:multiLevelType w:val="multilevel"/>
    <w:tmpl w:val="2368C758"/>
    <w:lvl w:ilvl="0">
      <w:start w:val="1"/>
      <w:numFmt w:val="bullet"/>
      <w:pStyle w:val="GuidanceBullet1"/>
      <w:lvlText w:val=""/>
      <w:lvlJc w:val="left"/>
      <w:pPr>
        <w:tabs>
          <w:tab w:val="num" w:pos="643"/>
        </w:tabs>
        <w:ind w:left="643" w:hanging="283"/>
      </w:pPr>
      <w:rPr>
        <w:rFonts w:ascii="Symbol" w:hAnsi="Symbol" w:hint="default"/>
        <w:b w:val="0"/>
        <w:i w:val="0"/>
        <w:vanish w:val="0"/>
        <w:color w:val="auto"/>
        <w:sz w:val="20"/>
        <w:szCs w:val="20"/>
      </w:rPr>
    </w:lvl>
    <w:lvl w:ilvl="1">
      <w:start w:val="1"/>
      <w:numFmt w:val="bullet"/>
      <w:lvlText w:val="–"/>
      <w:lvlJc w:val="left"/>
      <w:pPr>
        <w:tabs>
          <w:tab w:val="num" w:pos="927"/>
        </w:tabs>
        <w:ind w:left="927" w:hanging="284"/>
      </w:pPr>
      <w:rPr>
        <w:rFonts w:ascii="Calibri" w:hAnsi="Calibri" w:hint="default"/>
        <w:b w:val="0"/>
        <w:i w:val="0"/>
        <w:vanish w:val="0"/>
        <w:color w:val="auto"/>
        <w:sz w:val="22"/>
      </w:rPr>
    </w:lvl>
    <w:lvl w:ilvl="2">
      <w:start w:val="1"/>
      <w:numFmt w:val="bullet"/>
      <w:lvlText w:val=""/>
      <w:lvlJc w:val="left"/>
      <w:pPr>
        <w:tabs>
          <w:tab w:val="num" w:pos="1210"/>
        </w:tabs>
        <w:ind w:left="1210" w:hanging="283"/>
      </w:pPr>
      <w:rPr>
        <w:rFonts w:ascii="Symbol" w:hAnsi="Symbol" w:hint="default"/>
        <w:b w:val="0"/>
        <w:i w:val="0"/>
        <w:vanish w:val="0"/>
        <w:color w:val="auto"/>
        <w:sz w:val="20"/>
        <w:szCs w:val="20"/>
      </w:rPr>
    </w:lvl>
    <w:lvl w:ilvl="3">
      <w:start w:val="1"/>
      <w:numFmt w:val="bullet"/>
      <w:lvlText w:val=""/>
      <w:lvlJc w:val="left"/>
      <w:pPr>
        <w:tabs>
          <w:tab w:val="num" w:pos="1494"/>
        </w:tabs>
        <w:ind w:left="1494" w:hanging="284"/>
      </w:pPr>
      <w:rPr>
        <w:rFonts w:ascii="Symbol" w:hAnsi="Symbol" w:hint="default"/>
        <w:b w:val="0"/>
        <w:i w:val="0"/>
        <w:vanish w:val="0"/>
        <w:color w:val="auto"/>
        <w:sz w:val="22"/>
      </w:rPr>
    </w:lvl>
    <w:lvl w:ilvl="4">
      <w:start w:val="1"/>
      <w:numFmt w:val="bullet"/>
      <w:lvlText w:val=""/>
      <w:lvlJc w:val="left"/>
      <w:pPr>
        <w:tabs>
          <w:tab w:val="num" w:pos="1777"/>
        </w:tabs>
        <w:ind w:left="1777" w:hanging="283"/>
      </w:pPr>
      <w:rPr>
        <w:rFonts w:ascii="Symbol" w:hAnsi="Symbol" w:hint="default"/>
        <w:b w:val="0"/>
        <w:i w:val="0"/>
        <w:vanish w:val="0"/>
        <w:color w:val="auto"/>
        <w:sz w:val="22"/>
      </w:rPr>
    </w:lvl>
    <w:lvl w:ilvl="5">
      <w:start w:val="1"/>
      <w:numFmt w:val="bullet"/>
      <w:lvlText w:val=""/>
      <w:lvlJc w:val="left"/>
      <w:pPr>
        <w:tabs>
          <w:tab w:val="num" w:pos="2061"/>
        </w:tabs>
        <w:ind w:left="2061" w:hanging="284"/>
      </w:pPr>
      <w:rPr>
        <w:rFonts w:ascii="Symbol" w:hAnsi="Symbol" w:hint="default"/>
        <w:b w:val="0"/>
        <w:i w:val="0"/>
        <w:vanish w:val="0"/>
        <w:color w:val="auto"/>
        <w:sz w:val="22"/>
      </w:rPr>
    </w:lvl>
    <w:lvl w:ilvl="6">
      <w:start w:val="1"/>
      <w:numFmt w:val="bullet"/>
      <w:lvlText w:val=""/>
      <w:lvlJc w:val="left"/>
      <w:pPr>
        <w:tabs>
          <w:tab w:val="num" w:pos="2344"/>
        </w:tabs>
        <w:ind w:left="2344" w:hanging="283"/>
      </w:pPr>
      <w:rPr>
        <w:rFonts w:ascii="Symbol" w:hAnsi="Symbol" w:hint="default"/>
        <w:b w:val="0"/>
        <w:i w:val="0"/>
        <w:vanish w:val="0"/>
        <w:color w:val="auto"/>
        <w:sz w:val="22"/>
      </w:rPr>
    </w:lvl>
    <w:lvl w:ilvl="7">
      <w:start w:val="1"/>
      <w:numFmt w:val="bullet"/>
      <w:lvlText w:val=""/>
      <w:lvlJc w:val="left"/>
      <w:pPr>
        <w:tabs>
          <w:tab w:val="num" w:pos="2628"/>
        </w:tabs>
        <w:ind w:left="2628" w:hanging="284"/>
      </w:pPr>
      <w:rPr>
        <w:rFonts w:ascii="Symbol" w:hAnsi="Symbol" w:hint="default"/>
        <w:b w:val="0"/>
        <w:i w:val="0"/>
        <w:vanish w:val="0"/>
        <w:color w:val="auto"/>
        <w:sz w:val="22"/>
      </w:rPr>
    </w:lvl>
    <w:lvl w:ilvl="8">
      <w:start w:val="1"/>
      <w:numFmt w:val="bullet"/>
      <w:lvlText w:val=""/>
      <w:lvlJc w:val="left"/>
      <w:pPr>
        <w:tabs>
          <w:tab w:val="num" w:pos="2911"/>
        </w:tabs>
        <w:ind w:left="2911" w:hanging="283"/>
      </w:pPr>
      <w:rPr>
        <w:rFonts w:ascii="Symbol" w:hAnsi="Symbol" w:hint="default"/>
        <w:b w:val="0"/>
        <w:i w:val="0"/>
        <w:vanish w:val="0"/>
        <w:color w:val="auto"/>
        <w:sz w:val="22"/>
      </w:rPr>
    </w:lvl>
  </w:abstractNum>
  <w:abstractNum w:abstractNumId="57" w15:restartNumberingAfterBreak="0">
    <w:nsid w:val="41AC2E16"/>
    <w:multiLevelType w:val="hybridMultilevel"/>
    <w:tmpl w:val="867E0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42DE6EE2"/>
    <w:multiLevelType w:val="hybridMultilevel"/>
    <w:tmpl w:val="4816CF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31116AE"/>
    <w:multiLevelType w:val="hybridMultilevel"/>
    <w:tmpl w:val="6E505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46D3A6A"/>
    <w:multiLevelType w:val="multilevel"/>
    <w:tmpl w:val="0098486A"/>
    <w:lvl w:ilvl="0">
      <w:start w:val="1"/>
      <w:numFmt w:val="bullet"/>
      <w:pStyle w:val="Bullet1"/>
      <w:lvlText w:val=""/>
      <w:lvlJc w:val="left"/>
      <w:pPr>
        <w:tabs>
          <w:tab w:val="num" w:pos="283"/>
        </w:tabs>
        <w:ind w:left="283" w:hanging="283"/>
      </w:pPr>
      <w:rPr>
        <w:rFonts w:ascii="Symbol" w:hAnsi="Symbol" w:hint="default"/>
        <w:b w:val="0"/>
        <w:i w:val="0"/>
        <w:vanish w:val="0"/>
        <w:color w:val="auto"/>
        <w:sz w:val="20"/>
        <w:szCs w:val="20"/>
      </w:rPr>
    </w:lvl>
    <w:lvl w:ilvl="1">
      <w:start w:val="1"/>
      <w:numFmt w:val="bullet"/>
      <w:pStyle w:val="Bullet2"/>
      <w:lvlText w:val="–"/>
      <w:lvlJc w:val="left"/>
      <w:pPr>
        <w:tabs>
          <w:tab w:val="num" w:pos="567"/>
        </w:tabs>
        <w:ind w:left="567" w:hanging="284"/>
      </w:pPr>
      <w:rPr>
        <w:rFonts w:ascii="Calibri" w:hAnsi="Calibri" w:hint="default"/>
        <w:b w:val="0"/>
        <w:i w:val="0"/>
        <w:vanish w:val="0"/>
        <w:color w:val="auto"/>
        <w:sz w:val="22"/>
      </w:rPr>
    </w:lvl>
    <w:lvl w:ilvl="2">
      <w:start w:val="1"/>
      <w:numFmt w:val="bullet"/>
      <w:pStyle w:val="Bullet3"/>
      <w:lvlText w:val=""/>
      <w:lvlJc w:val="left"/>
      <w:pPr>
        <w:tabs>
          <w:tab w:val="num" w:pos="850"/>
        </w:tabs>
        <w:ind w:left="850" w:hanging="283"/>
      </w:pPr>
      <w:rPr>
        <w:rFonts w:ascii="Symbol" w:hAnsi="Symbol" w:hint="default"/>
        <w:b w:val="0"/>
        <w:i w:val="0"/>
        <w:vanish w:val="0"/>
        <w:color w:val="auto"/>
        <w:sz w:val="20"/>
        <w:szCs w:val="20"/>
      </w:rPr>
    </w:lvl>
    <w:lvl w:ilvl="3">
      <w:start w:val="1"/>
      <w:numFmt w:val="bullet"/>
      <w:lvlText w:val=""/>
      <w:lvlJc w:val="left"/>
      <w:pPr>
        <w:tabs>
          <w:tab w:val="num" w:pos="1134"/>
        </w:tabs>
        <w:ind w:left="1134" w:hanging="284"/>
      </w:pPr>
      <w:rPr>
        <w:rFonts w:ascii="Symbol" w:hAnsi="Symbol" w:hint="default"/>
        <w:b w:val="0"/>
        <w:i w:val="0"/>
        <w:vanish w:val="0"/>
        <w:color w:val="auto"/>
        <w:sz w:val="22"/>
      </w:rPr>
    </w:lvl>
    <w:lvl w:ilvl="4">
      <w:start w:val="1"/>
      <w:numFmt w:val="bullet"/>
      <w:pStyle w:val="Heading5"/>
      <w:lvlText w:val=""/>
      <w:lvlJc w:val="left"/>
      <w:pPr>
        <w:tabs>
          <w:tab w:val="num" w:pos="1417"/>
        </w:tabs>
        <w:ind w:left="1417" w:hanging="283"/>
      </w:pPr>
      <w:rPr>
        <w:rFonts w:ascii="Symbol" w:hAnsi="Symbol" w:hint="default"/>
        <w:b w:val="0"/>
        <w:i w:val="0"/>
        <w:vanish w:val="0"/>
        <w:color w:val="auto"/>
        <w:sz w:val="22"/>
      </w:rPr>
    </w:lvl>
    <w:lvl w:ilvl="5">
      <w:start w:val="1"/>
      <w:numFmt w:val="bullet"/>
      <w:pStyle w:val="Heading6"/>
      <w:lvlText w:val=""/>
      <w:lvlJc w:val="left"/>
      <w:pPr>
        <w:tabs>
          <w:tab w:val="num" w:pos="1701"/>
        </w:tabs>
        <w:ind w:left="1701" w:hanging="284"/>
      </w:pPr>
      <w:rPr>
        <w:rFonts w:ascii="Symbol" w:hAnsi="Symbol" w:hint="default"/>
        <w:b w:val="0"/>
        <w:i w:val="0"/>
        <w:vanish w:val="0"/>
        <w:color w:val="auto"/>
        <w:sz w:val="22"/>
      </w:rPr>
    </w:lvl>
    <w:lvl w:ilvl="6">
      <w:start w:val="1"/>
      <w:numFmt w:val="bullet"/>
      <w:pStyle w:val="Heading7"/>
      <w:lvlText w:val=""/>
      <w:lvlJc w:val="left"/>
      <w:pPr>
        <w:tabs>
          <w:tab w:val="num" w:pos="1984"/>
        </w:tabs>
        <w:ind w:left="1984" w:hanging="283"/>
      </w:pPr>
      <w:rPr>
        <w:rFonts w:ascii="Symbol" w:hAnsi="Symbol" w:hint="default"/>
        <w:b w:val="0"/>
        <w:i w:val="0"/>
        <w:vanish w:val="0"/>
        <w:color w:val="auto"/>
        <w:sz w:val="22"/>
      </w:rPr>
    </w:lvl>
    <w:lvl w:ilvl="7">
      <w:start w:val="1"/>
      <w:numFmt w:val="bullet"/>
      <w:pStyle w:val="Heading8"/>
      <w:lvlText w:val=""/>
      <w:lvlJc w:val="left"/>
      <w:pPr>
        <w:tabs>
          <w:tab w:val="num" w:pos="2268"/>
        </w:tabs>
        <w:ind w:left="2268" w:hanging="284"/>
      </w:pPr>
      <w:rPr>
        <w:rFonts w:ascii="Symbol" w:hAnsi="Symbol" w:hint="default"/>
        <w:b w:val="0"/>
        <w:i w:val="0"/>
        <w:vanish w:val="0"/>
        <w:color w:val="auto"/>
        <w:sz w:val="22"/>
      </w:rPr>
    </w:lvl>
    <w:lvl w:ilvl="8">
      <w:start w:val="1"/>
      <w:numFmt w:val="bullet"/>
      <w:pStyle w:val="Heading9"/>
      <w:lvlText w:val=""/>
      <w:lvlJc w:val="left"/>
      <w:pPr>
        <w:tabs>
          <w:tab w:val="num" w:pos="2551"/>
        </w:tabs>
        <w:ind w:left="2551" w:hanging="283"/>
      </w:pPr>
      <w:rPr>
        <w:rFonts w:ascii="Symbol" w:hAnsi="Symbol" w:hint="default"/>
        <w:b w:val="0"/>
        <w:i w:val="0"/>
        <w:vanish w:val="0"/>
        <w:color w:val="auto"/>
        <w:sz w:val="22"/>
      </w:rPr>
    </w:lvl>
  </w:abstractNum>
  <w:abstractNum w:abstractNumId="61" w15:restartNumberingAfterBreak="0">
    <w:nsid w:val="45173960"/>
    <w:multiLevelType w:val="hybridMultilevel"/>
    <w:tmpl w:val="B3682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5533969"/>
    <w:multiLevelType w:val="hybridMultilevel"/>
    <w:tmpl w:val="5A1C7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7641C7A"/>
    <w:multiLevelType w:val="hybridMultilevel"/>
    <w:tmpl w:val="54387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91D19C0"/>
    <w:multiLevelType w:val="hybridMultilevel"/>
    <w:tmpl w:val="2B0A9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C6A556F"/>
    <w:multiLevelType w:val="multilevel"/>
    <w:tmpl w:val="19D45AF6"/>
    <w:lvl w:ilvl="0">
      <w:start w:val="1"/>
      <w:numFmt w:val="decimal"/>
      <w:lvlText w:val="%1."/>
      <w:lvlJc w:val="left"/>
      <w:pPr>
        <w:tabs>
          <w:tab w:val="num" w:pos="504"/>
        </w:tabs>
        <w:ind w:left="504" w:hanging="504"/>
      </w:pPr>
      <w:rPr>
        <w:rFonts w:ascii="Calibri" w:hAnsi="Calibri" w:hint="default"/>
        <w:b/>
        <w:i w:val="0"/>
        <w:vanish w:val="0"/>
        <w:color w:val="404040"/>
        <w:sz w:val="22"/>
        <w:szCs w:val="22"/>
      </w:rPr>
    </w:lvl>
    <w:lvl w:ilvl="1">
      <w:start w:val="1"/>
      <w:numFmt w:val="decimal"/>
      <w:lvlText w:val="%1.%2"/>
      <w:lvlJc w:val="left"/>
      <w:pPr>
        <w:tabs>
          <w:tab w:val="num" w:pos="504"/>
        </w:tabs>
        <w:ind w:left="504" w:hanging="504"/>
      </w:pPr>
      <w:rPr>
        <w:rFonts w:ascii="Calibri" w:hAnsi="Calibri" w:hint="default"/>
        <w:b/>
        <w:i w:val="0"/>
        <w:vanish w:val="0"/>
        <w:color w:val="4D4D4D"/>
        <w:sz w:val="20"/>
        <w:szCs w:val="20"/>
      </w:rPr>
    </w:lvl>
    <w:lvl w:ilvl="2">
      <w:start w:val="1"/>
      <w:numFmt w:val="none"/>
      <w:suff w:val="nothing"/>
      <w:lvlText w:val=""/>
      <w:lvlJc w:val="left"/>
      <w:pPr>
        <w:ind w:left="0" w:firstLine="0"/>
      </w:pPr>
      <w:rPr>
        <w:rFonts w:ascii="Calibri" w:hAnsi="Calibri" w:hint="default"/>
        <w:b/>
        <w:i w:val="0"/>
        <w:vanish w:val="0"/>
        <w:color w:val="4D4D4D"/>
        <w:sz w:val="26"/>
      </w:rPr>
    </w:lvl>
    <w:lvl w:ilvl="3">
      <w:start w:val="1"/>
      <w:numFmt w:val="lowerLetter"/>
      <w:lvlRestart w:val="2"/>
      <w:lvlText w:val="(%4)"/>
      <w:lvlJc w:val="left"/>
      <w:pPr>
        <w:tabs>
          <w:tab w:val="num" w:pos="1008"/>
        </w:tabs>
        <w:ind w:left="1008" w:hanging="504"/>
      </w:pPr>
      <w:rPr>
        <w:rFonts w:ascii="Calibri" w:hAnsi="Calibri" w:hint="default"/>
        <w:b w:val="0"/>
        <w:i w:val="0"/>
        <w:vanish w:val="0"/>
        <w:color w:val="4D4D4D"/>
        <w:sz w:val="20"/>
        <w:szCs w:val="20"/>
      </w:rPr>
    </w:lvl>
    <w:lvl w:ilvl="4">
      <w:start w:val="1"/>
      <w:numFmt w:val="lowerRoman"/>
      <w:lvlText w:val="(%5)"/>
      <w:lvlJc w:val="left"/>
      <w:pPr>
        <w:tabs>
          <w:tab w:val="num" w:pos="1440"/>
        </w:tabs>
        <w:ind w:left="1440" w:hanging="432"/>
      </w:pPr>
      <w:rPr>
        <w:rFonts w:ascii="Calibri" w:hAnsi="Calibri" w:hint="default"/>
        <w:b w:val="0"/>
        <w:i w:val="0"/>
        <w:vanish w:val="0"/>
        <w:color w:val="404040"/>
        <w:sz w:val="20"/>
      </w:rPr>
    </w:lvl>
    <w:lvl w:ilvl="5">
      <w:start w:val="1"/>
      <w:numFmt w:val="decimal"/>
      <w:lvlText w:val="%6."/>
      <w:lvlJc w:val="left"/>
      <w:pPr>
        <w:ind w:left="794" w:firstLine="0"/>
      </w:pPr>
      <w:rPr>
        <w:rFonts w:hint="default"/>
        <w:b w:val="0"/>
        <w:i w:val="0"/>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66" w15:restartNumberingAfterBreak="0">
    <w:nsid w:val="4D587FEC"/>
    <w:multiLevelType w:val="multilevel"/>
    <w:tmpl w:val="95485BCA"/>
    <w:styleLink w:val="AttachmentBullets"/>
    <w:lvl w:ilvl="0">
      <w:start w:val="1"/>
      <w:numFmt w:val="bullet"/>
      <w:pStyle w:val="AttachmentBullet1"/>
      <w:lvlText w:val=""/>
      <w:lvlJc w:val="left"/>
      <w:pPr>
        <w:ind w:left="680" w:hanging="255"/>
      </w:pPr>
      <w:rPr>
        <w:rFonts w:ascii="Symbol" w:hAnsi="Symbol" w:hint="default"/>
      </w:rPr>
    </w:lvl>
    <w:lvl w:ilvl="1">
      <w:start w:val="1"/>
      <w:numFmt w:val="bullet"/>
      <w:pStyle w:val="AttachmentBullet2"/>
      <w:lvlText w:val="–"/>
      <w:lvlJc w:val="left"/>
      <w:pPr>
        <w:ind w:left="936" w:hanging="256"/>
      </w:pPr>
      <w:rPr>
        <w:rFonts w:ascii="Arial" w:hAnsi="Arial" w:hint="default"/>
        <w:color w:val="1F497D" w:themeColor="text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D712FE7"/>
    <w:multiLevelType w:val="hybridMultilevel"/>
    <w:tmpl w:val="C9402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DAD1AF3"/>
    <w:multiLevelType w:val="hybridMultilevel"/>
    <w:tmpl w:val="3154A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E5F5F75"/>
    <w:multiLevelType w:val="hybridMultilevel"/>
    <w:tmpl w:val="952C6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4F960184"/>
    <w:multiLevelType w:val="hybridMultilevel"/>
    <w:tmpl w:val="6E38D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FE709D2"/>
    <w:multiLevelType w:val="hybridMultilevel"/>
    <w:tmpl w:val="F74A8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1ED2971"/>
    <w:multiLevelType w:val="hybridMultilevel"/>
    <w:tmpl w:val="4378D3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3D25892"/>
    <w:multiLevelType w:val="multilevel"/>
    <w:tmpl w:val="21286310"/>
    <w:lvl w:ilvl="0">
      <w:start w:val="8"/>
      <w:numFmt w:val="decimal"/>
      <w:lvlText w:val="%1"/>
      <w:lvlJc w:val="left"/>
      <w:pPr>
        <w:tabs>
          <w:tab w:val="num" w:pos="720"/>
        </w:tabs>
        <w:ind w:left="720" w:hanging="720"/>
      </w:pPr>
      <w:rPr>
        <w:rFonts w:hint="default"/>
        <w:b/>
      </w:rPr>
    </w:lvl>
    <w:lvl w:ilvl="1">
      <w:start w:val="2"/>
      <w:numFmt w:val="decimal"/>
      <w:lvlText w:val="8.%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4" w15:restartNumberingAfterBreak="0">
    <w:nsid w:val="54B560DA"/>
    <w:multiLevelType w:val="hybridMultilevel"/>
    <w:tmpl w:val="A644215C"/>
    <w:lvl w:ilvl="0" w:tplc="6E5890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6320C0C"/>
    <w:multiLevelType w:val="hybridMultilevel"/>
    <w:tmpl w:val="A1B66FD6"/>
    <w:lvl w:ilvl="0" w:tplc="6E5890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8433C12"/>
    <w:multiLevelType w:val="multilevel"/>
    <w:tmpl w:val="A2CCDC7C"/>
    <w:lvl w:ilvl="0">
      <w:start w:val="1"/>
      <w:numFmt w:val="bullet"/>
      <w:lvlText w:val=""/>
      <w:lvlJc w:val="left"/>
      <w:pPr>
        <w:tabs>
          <w:tab w:val="num" w:pos="1077"/>
        </w:tabs>
        <w:ind w:left="1077" w:hanging="283"/>
      </w:pPr>
      <w:rPr>
        <w:rFonts w:ascii="Symbol" w:hAnsi="Symbol" w:hint="default"/>
        <w:b w:val="0"/>
        <w:i w:val="0"/>
        <w:vanish w:val="0"/>
        <w:color w:val="auto"/>
        <w:sz w:val="20"/>
        <w:szCs w:val="20"/>
      </w:rPr>
    </w:lvl>
    <w:lvl w:ilvl="1">
      <w:start w:val="1"/>
      <w:numFmt w:val="bullet"/>
      <w:lvlText w:val=""/>
      <w:lvlJc w:val="left"/>
      <w:pPr>
        <w:tabs>
          <w:tab w:val="num" w:pos="1361"/>
        </w:tabs>
        <w:ind w:left="1361" w:hanging="284"/>
      </w:pPr>
      <w:rPr>
        <w:rFonts w:ascii="Symbol" w:hAnsi="Symbol" w:hint="default"/>
        <w:b w:val="0"/>
        <w:i w:val="0"/>
        <w:vanish w:val="0"/>
        <w:color w:val="auto"/>
        <w:sz w:val="22"/>
      </w:rPr>
    </w:lvl>
    <w:lvl w:ilvl="2">
      <w:start w:val="1"/>
      <w:numFmt w:val="bullet"/>
      <w:lvlText w:val=""/>
      <w:lvlJc w:val="left"/>
      <w:pPr>
        <w:tabs>
          <w:tab w:val="num" w:pos="1644"/>
        </w:tabs>
        <w:ind w:left="1644" w:hanging="283"/>
      </w:pPr>
      <w:rPr>
        <w:rFonts w:ascii="Symbol" w:hAnsi="Symbol" w:hint="default"/>
        <w:b w:val="0"/>
        <w:i w:val="0"/>
        <w:vanish w:val="0"/>
        <w:color w:val="auto"/>
        <w:sz w:val="20"/>
        <w:szCs w:val="20"/>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7" w15:restartNumberingAfterBreak="0">
    <w:nsid w:val="596C5559"/>
    <w:multiLevelType w:val="hybridMultilevel"/>
    <w:tmpl w:val="11C4D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B022714"/>
    <w:multiLevelType w:val="hybridMultilevel"/>
    <w:tmpl w:val="D9A2C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5B075336"/>
    <w:multiLevelType w:val="hybridMultilevel"/>
    <w:tmpl w:val="2B8E4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5E010D71"/>
    <w:multiLevelType w:val="hybridMultilevel"/>
    <w:tmpl w:val="96269A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5F87088B"/>
    <w:multiLevelType w:val="hybridMultilevel"/>
    <w:tmpl w:val="D2209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FB72E0A"/>
    <w:multiLevelType w:val="hybridMultilevel"/>
    <w:tmpl w:val="AE5A323E"/>
    <w:lvl w:ilvl="0" w:tplc="E4E848BA">
      <w:start w:val="1"/>
      <w:numFmt w:val="lowerLetter"/>
      <w:pStyle w:val="NoteNumbered"/>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84" w15:restartNumberingAfterBreak="0">
    <w:nsid w:val="604C7E29"/>
    <w:multiLevelType w:val="hybridMultilevel"/>
    <w:tmpl w:val="64B03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1182AA8"/>
    <w:multiLevelType w:val="hybridMultilevel"/>
    <w:tmpl w:val="37BC8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16366A9"/>
    <w:multiLevelType w:val="hybridMultilevel"/>
    <w:tmpl w:val="78EEE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33C36C0"/>
    <w:multiLevelType w:val="hybridMultilevel"/>
    <w:tmpl w:val="4984CA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3C54D6A"/>
    <w:multiLevelType w:val="hybridMultilevel"/>
    <w:tmpl w:val="5C2CA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3E22135"/>
    <w:multiLevelType w:val="hybridMultilevel"/>
    <w:tmpl w:val="3D3CB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6410152B"/>
    <w:multiLevelType w:val="hybridMultilevel"/>
    <w:tmpl w:val="A4189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58E42C2"/>
    <w:multiLevelType w:val="hybridMultilevel"/>
    <w:tmpl w:val="9920E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93" w15:restartNumberingAfterBreak="0">
    <w:nsid w:val="66A34936"/>
    <w:multiLevelType w:val="hybridMultilevel"/>
    <w:tmpl w:val="AF664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67EE6493"/>
    <w:multiLevelType w:val="hybridMultilevel"/>
    <w:tmpl w:val="38E072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6BB37C66"/>
    <w:multiLevelType w:val="hybridMultilevel"/>
    <w:tmpl w:val="2E7EFF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6" w15:restartNumberingAfterBreak="0">
    <w:nsid w:val="6C01340A"/>
    <w:multiLevelType w:val="hybridMultilevel"/>
    <w:tmpl w:val="2FB23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6CFA0A41"/>
    <w:multiLevelType w:val="hybridMultilevel"/>
    <w:tmpl w:val="0616ED80"/>
    <w:lvl w:ilvl="0" w:tplc="6E5890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6D6A4C0A"/>
    <w:multiLevelType w:val="multilevel"/>
    <w:tmpl w:val="F07EA44C"/>
    <w:lvl w:ilvl="0">
      <w:start w:val="1"/>
      <w:numFmt w:val="decimal"/>
      <w:lvlText w:val="%1.2"/>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6D727CED"/>
    <w:multiLevelType w:val="hybridMultilevel"/>
    <w:tmpl w:val="C572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DF239C7"/>
    <w:multiLevelType w:val="multilevel"/>
    <w:tmpl w:val="337446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E155D01"/>
    <w:multiLevelType w:val="hybridMultilevel"/>
    <w:tmpl w:val="98A21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E6B4D74"/>
    <w:multiLevelType w:val="hybridMultilevel"/>
    <w:tmpl w:val="5B5643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F0C710F"/>
    <w:multiLevelType w:val="hybridMultilevel"/>
    <w:tmpl w:val="3E664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70EE3326"/>
    <w:multiLevelType w:val="multilevel"/>
    <w:tmpl w:val="9A4838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71174C7A"/>
    <w:multiLevelType w:val="hybridMultilevel"/>
    <w:tmpl w:val="3814C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72767B23"/>
    <w:multiLevelType w:val="hybridMultilevel"/>
    <w:tmpl w:val="6512C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7419411F"/>
    <w:multiLevelType w:val="hybridMultilevel"/>
    <w:tmpl w:val="05E205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59B10D8"/>
    <w:multiLevelType w:val="hybridMultilevel"/>
    <w:tmpl w:val="CADC1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779E4798"/>
    <w:multiLevelType w:val="hybridMultilevel"/>
    <w:tmpl w:val="A5AAE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78F8226B"/>
    <w:multiLevelType w:val="hybridMultilevel"/>
    <w:tmpl w:val="50425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7A6E22BC"/>
    <w:multiLevelType w:val="hybridMultilevel"/>
    <w:tmpl w:val="3B50E364"/>
    <w:lvl w:ilvl="0" w:tplc="79E823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B634A86"/>
    <w:multiLevelType w:val="hybridMultilevel"/>
    <w:tmpl w:val="76D42C14"/>
    <w:lvl w:ilvl="0" w:tplc="F0B2A282">
      <w:start w:val="1"/>
      <w:numFmt w:val="lowerLetter"/>
      <w:pStyle w:val="Tablenum"/>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7B814C07"/>
    <w:multiLevelType w:val="hybridMultilevel"/>
    <w:tmpl w:val="B664A4CC"/>
    <w:lvl w:ilvl="0" w:tplc="B88EC01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CCE4282"/>
    <w:multiLevelType w:val="hybridMultilevel"/>
    <w:tmpl w:val="5F9071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7CD54730"/>
    <w:multiLevelType w:val="hybridMultilevel"/>
    <w:tmpl w:val="5F6627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7DB142ED"/>
    <w:multiLevelType w:val="hybridMultilevel"/>
    <w:tmpl w:val="9F785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F03660F"/>
    <w:multiLevelType w:val="hybridMultilevel"/>
    <w:tmpl w:val="F036CE2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FD44514"/>
    <w:multiLevelType w:val="multilevel"/>
    <w:tmpl w:val="0252461C"/>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864"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294480235">
    <w:abstractNumId w:val="60"/>
  </w:num>
  <w:num w:numId="2" w16cid:durableId="421294325">
    <w:abstractNumId w:val="19"/>
  </w:num>
  <w:num w:numId="3" w16cid:durableId="1969824052">
    <w:abstractNumId w:val="92"/>
  </w:num>
  <w:num w:numId="4" w16cid:durableId="981349336">
    <w:abstractNumId w:val="92"/>
  </w:num>
  <w:num w:numId="5" w16cid:durableId="1465849641">
    <w:abstractNumId w:val="83"/>
  </w:num>
  <w:num w:numId="6" w16cid:durableId="917714957">
    <w:abstractNumId w:val="25"/>
  </w:num>
  <w:num w:numId="7" w16cid:durableId="1954238780">
    <w:abstractNumId w:val="6"/>
  </w:num>
  <w:num w:numId="8" w16cid:durableId="995229772">
    <w:abstractNumId w:val="112"/>
  </w:num>
  <w:num w:numId="9" w16cid:durableId="291987839">
    <w:abstractNumId w:val="35"/>
  </w:num>
  <w:num w:numId="10" w16cid:durableId="569730029">
    <w:abstractNumId w:val="74"/>
  </w:num>
  <w:num w:numId="11" w16cid:durableId="799766155">
    <w:abstractNumId w:val="84"/>
  </w:num>
  <w:num w:numId="12" w16cid:durableId="426462672">
    <w:abstractNumId w:val="81"/>
  </w:num>
  <w:num w:numId="13" w16cid:durableId="968710560">
    <w:abstractNumId w:val="16"/>
  </w:num>
  <w:num w:numId="14" w16cid:durableId="1472478876">
    <w:abstractNumId w:val="59"/>
  </w:num>
  <w:num w:numId="15" w16cid:durableId="982463169">
    <w:abstractNumId w:val="49"/>
  </w:num>
  <w:num w:numId="16" w16cid:durableId="796027551">
    <w:abstractNumId w:val="111"/>
  </w:num>
  <w:num w:numId="17" w16cid:durableId="931207525">
    <w:abstractNumId w:val="32"/>
  </w:num>
  <w:num w:numId="18" w16cid:durableId="606083832">
    <w:abstractNumId w:val="64"/>
  </w:num>
  <w:num w:numId="19" w16cid:durableId="920717907">
    <w:abstractNumId w:val="97"/>
  </w:num>
  <w:num w:numId="20" w16cid:durableId="1602301528">
    <w:abstractNumId w:val="41"/>
  </w:num>
  <w:num w:numId="21" w16cid:durableId="2071415191">
    <w:abstractNumId w:val="22"/>
  </w:num>
  <w:num w:numId="22" w16cid:durableId="325130458">
    <w:abstractNumId w:val="78"/>
  </w:num>
  <w:num w:numId="23" w16cid:durableId="1211921170">
    <w:abstractNumId w:val="0"/>
  </w:num>
  <w:num w:numId="24" w16cid:durableId="1327438965">
    <w:abstractNumId w:val="12"/>
  </w:num>
  <w:num w:numId="25" w16cid:durableId="2030640451">
    <w:abstractNumId w:val="113"/>
  </w:num>
  <w:num w:numId="26" w16cid:durableId="953252062">
    <w:abstractNumId w:val="118"/>
  </w:num>
  <w:num w:numId="27" w16cid:durableId="1343629716">
    <w:abstractNumId w:val="89"/>
  </w:num>
  <w:num w:numId="28" w16cid:durableId="1883328235">
    <w:abstractNumId w:val="52"/>
  </w:num>
  <w:num w:numId="29" w16cid:durableId="944077837">
    <w:abstractNumId w:val="72"/>
  </w:num>
  <w:num w:numId="30" w16cid:durableId="305402276">
    <w:abstractNumId w:val="15"/>
  </w:num>
  <w:num w:numId="31" w16cid:durableId="2059358202">
    <w:abstractNumId w:val="77"/>
  </w:num>
  <w:num w:numId="32" w16cid:durableId="2026440856">
    <w:abstractNumId w:val="114"/>
  </w:num>
  <w:num w:numId="33" w16cid:durableId="2098475228">
    <w:abstractNumId w:val="71"/>
  </w:num>
  <w:num w:numId="34" w16cid:durableId="589389614">
    <w:abstractNumId w:val="69"/>
  </w:num>
  <w:num w:numId="35" w16cid:durableId="713113458">
    <w:abstractNumId w:val="103"/>
  </w:num>
  <w:num w:numId="36" w16cid:durableId="1475289928">
    <w:abstractNumId w:val="53"/>
  </w:num>
  <w:num w:numId="37" w16cid:durableId="91554857">
    <w:abstractNumId w:val="28"/>
  </w:num>
  <w:num w:numId="38" w16cid:durableId="1468006446">
    <w:abstractNumId w:val="86"/>
  </w:num>
  <w:num w:numId="39" w16cid:durableId="1549949985">
    <w:abstractNumId w:val="106"/>
  </w:num>
  <w:num w:numId="40" w16cid:durableId="586504769">
    <w:abstractNumId w:val="18"/>
  </w:num>
  <w:num w:numId="41" w16cid:durableId="72630608">
    <w:abstractNumId w:val="108"/>
  </w:num>
  <w:num w:numId="42" w16cid:durableId="766660152">
    <w:abstractNumId w:val="4"/>
  </w:num>
  <w:num w:numId="43" w16cid:durableId="2134134269">
    <w:abstractNumId w:val="85"/>
  </w:num>
  <w:num w:numId="44" w16cid:durableId="1719746724">
    <w:abstractNumId w:val="109"/>
  </w:num>
  <w:num w:numId="45" w16cid:durableId="48310569">
    <w:abstractNumId w:val="62"/>
  </w:num>
  <w:num w:numId="46" w16cid:durableId="669060176">
    <w:abstractNumId w:val="1"/>
  </w:num>
  <w:num w:numId="47" w16cid:durableId="1103695281">
    <w:abstractNumId w:val="79"/>
  </w:num>
  <w:num w:numId="48" w16cid:durableId="80378083">
    <w:abstractNumId w:val="46"/>
  </w:num>
  <w:num w:numId="49" w16cid:durableId="1334841224">
    <w:abstractNumId w:val="88"/>
  </w:num>
  <w:num w:numId="50" w16cid:durableId="132911571">
    <w:abstractNumId w:val="2"/>
  </w:num>
  <w:num w:numId="51" w16cid:durableId="58138568">
    <w:abstractNumId w:val="43"/>
  </w:num>
  <w:num w:numId="52" w16cid:durableId="711535384">
    <w:abstractNumId w:val="82"/>
  </w:num>
  <w:num w:numId="53" w16cid:durableId="2127190026">
    <w:abstractNumId w:val="68"/>
  </w:num>
  <w:num w:numId="54" w16cid:durableId="1689329254">
    <w:abstractNumId w:val="56"/>
  </w:num>
  <w:num w:numId="55" w16cid:durableId="81266504">
    <w:abstractNumId w:val="13"/>
  </w:num>
  <w:num w:numId="56" w16cid:durableId="673186882">
    <w:abstractNumId w:val="30"/>
  </w:num>
  <w:num w:numId="57" w16cid:durableId="1371109727">
    <w:abstractNumId w:val="24"/>
  </w:num>
  <w:num w:numId="58" w16cid:durableId="739984258">
    <w:abstractNumId w:val="70"/>
  </w:num>
  <w:num w:numId="59" w16cid:durableId="1925142063">
    <w:abstractNumId w:val="94"/>
  </w:num>
  <w:num w:numId="60" w16cid:durableId="402263687">
    <w:abstractNumId w:val="36"/>
  </w:num>
  <w:num w:numId="61" w16cid:durableId="599798249">
    <w:abstractNumId w:val="8"/>
  </w:num>
  <w:num w:numId="62" w16cid:durableId="386992843">
    <w:abstractNumId w:val="80"/>
  </w:num>
  <w:num w:numId="63" w16cid:durableId="1204945754">
    <w:abstractNumId w:val="96"/>
  </w:num>
  <w:num w:numId="64" w16cid:durableId="1643466008">
    <w:abstractNumId w:val="105"/>
  </w:num>
  <w:num w:numId="65" w16cid:durableId="71501183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71992340">
    <w:abstractNumId w:val="37"/>
  </w:num>
  <w:num w:numId="67" w16cid:durableId="791704886">
    <w:abstractNumId w:val="66"/>
  </w:num>
  <w:num w:numId="68" w16cid:durableId="1091971470">
    <w:abstractNumId w:val="34"/>
  </w:num>
  <w:num w:numId="69" w16cid:durableId="12263755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639372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806588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6908294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85429572">
    <w:abstractNumId w:val="101"/>
  </w:num>
  <w:num w:numId="74" w16cid:durableId="400368261">
    <w:abstractNumId w:val="95"/>
  </w:num>
  <w:num w:numId="75" w16cid:durableId="1967544036">
    <w:abstractNumId w:val="38"/>
  </w:num>
  <w:num w:numId="76" w16cid:durableId="35664216">
    <w:abstractNumId w:val="37"/>
  </w:num>
  <w:num w:numId="77" w16cid:durableId="1170365269">
    <w:abstractNumId w:val="50"/>
  </w:num>
  <w:num w:numId="78" w16cid:durableId="112022491">
    <w:abstractNumId w:val="26"/>
  </w:num>
  <w:num w:numId="79" w16cid:durableId="1682930813">
    <w:abstractNumId w:val="117"/>
  </w:num>
  <w:num w:numId="80" w16cid:durableId="1184124345">
    <w:abstractNumId w:val="33"/>
  </w:num>
  <w:num w:numId="81" w16cid:durableId="254244099">
    <w:abstractNumId w:val="76"/>
  </w:num>
  <w:num w:numId="82" w16cid:durableId="1375351013">
    <w:abstractNumId w:val="75"/>
  </w:num>
  <w:num w:numId="83" w16cid:durableId="212887758">
    <w:abstractNumId w:val="65"/>
  </w:num>
  <w:num w:numId="84" w16cid:durableId="895237159">
    <w:abstractNumId w:val="27"/>
  </w:num>
  <w:num w:numId="85" w16cid:durableId="549800883">
    <w:abstractNumId w:val="7"/>
  </w:num>
  <w:num w:numId="86" w16cid:durableId="153223553">
    <w:abstractNumId w:val="44"/>
  </w:num>
  <w:num w:numId="87" w16cid:durableId="321813871">
    <w:abstractNumId w:val="115"/>
  </w:num>
  <w:num w:numId="88" w16cid:durableId="73864312">
    <w:abstractNumId w:val="87"/>
  </w:num>
  <w:num w:numId="89" w16cid:durableId="1958019757">
    <w:abstractNumId w:val="104"/>
  </w:num>
  <w:num w:numId="90" w16cid:durableId="1139961059">
    <w:abstractNumId w:val="73"/>
  </w:num>
  <w:num w:numId="91" w16cid:durableId="1830823908">
    <w:abstractNumId w:val="102"/>
  </w:num>
  <w:num w:numId="92" w16cid:durableId="815495221">
    <w:abstractNumId w:val="47"/>
  </w:num>
  <w:num w:numId="93" w16cid:durableId="1191455774">
    <w:abstractNumId w:val="31"/>
  </w:num>
  <w:num w:numId="94" w16cid:durableId="19622994">
    <w:abstractNumId w:val="10"/>
  </w:num>
  <w:num w:numId="95" w16cid:durableId="1848329551">
    <w:abstractNumId w:val="98"/>
  </w:num>
  <w:num w:numId="96" w16cid:durableId="1636328396">
    <w:abstractNumId w:val="17"/>
  </w:num>
  <w:num w:numId="97" w16cid:durableId="1979607247">
    <w:abstractNumId w:val="107"/>
  </w:num>
  <w:num w:numId="98" w16cid:durableId="384332302">
    <w:abstractNumId w:val="29"/>
  </w:num>
  <w:num w:numId="99" w16cid:durableId="74061850">
    <w:abstractNumId w:val="5"/>
  </w:num>
  <w:num w:numId="100" w16cid:durableId="2084141486">
    <w:abstractNumId w:val="11"/>
  </w:num>
  <w:num w:numId="101" w16cid:durableId="170145691">
    <w:abstractNumId w:val="116"/>
  </w:num>
  <w:num w:numId="102" w16cid:durableId="710351036">
    <w:abstractNumId w:val="54"/>
  </w:num>
  <w:num w:numId="103" w16cid:durableId="1478571602">
    <w:abstractNumId w:val="23"/>
  </w:num>
  <w:num w:numId="104" w16cid:durableId="1030375455">
    <w:abstractNumId w:val="58"/>
  </w:num>
  <w:num w:numId="105" w16cid:durableId="453211755">
    <w:abstractNumId w:val="100"/>
  </w:num>
  <w:num w:numId="106" w16cid:durableId="508830551">
    <w:abstractNumId w:val="14"/>
  </w:num>
  <w:num w:numId="107" w16cid:durableId="1579824890">
    <w:abstractNumId w:val="61"/>
  </w:num>
  <w:num w:numId="108" w16cid:durableId="224923711">
    <w:abstractNumId w:val="9"/>
  </w:num>
  <w:num w:numId="109" w16cid:durableId="69932228">
    <w:abstractNumId w:val="48"/>
  </w:num>
  <w:num w:numId="110" w16cid:durableId="1035543411">
    <w:abstractNumId w:val="57"/>
  </w:num>
  <w:num w:numId="111" w16cid:durableId="1141996902">
    <w:abstractNumId w:val="40"/>
  </w:num>
  <w:num w:numId="112" w16cid:durableId="1380278657">
    <w:abstractNumId w:val="39"/>
  </w:num>
  <w:num w:numId="113" w16cid:durableId="509950479">
    <w:abstractNumId w:val="20"/>
  </w:num>
  <w:num w:numId="114" w16cid:durableId="1545484263">
    <w:abstractNumId w:val="63"/>
  </w:num>
  <w:num w:numId="115" w16cid:durableId="431558085">
    <w:abstractNumId w:val="91"/>
  </w:num>
  <w:num w:numId="116" w16cid:durableId="1089035644">
    <w:abstractNumId w:val="51"/>
  </w:num>
  <w:num w:numId="117" w16cid:durableId="77144691">
    <w:abstractNumId w:val="90"/>
  </w:num>
  <w:num w:numId="118" w16cid:durableId="1098066949">
    <w:abstractNumId w:val="93"/>
  </w:num>
  <w:num w:numId="119" w16cid:durableId="861867934">
    <w:abstractNumId w:val="110"/>
  </w:num>
  <w:num w:numId="120" w16cid:durableId="1876038475">
    <w:abstractNumId w:val="99"/>
  </w:num>
  <w:num w:numId="121" w16cid:durableId="57287283">
    <w:abstractNumId w:val="45"/>
  </w:num>
  <w:num w:numId="122" w16cid:durableId="697631227">
    <w:abstractNumId w:val="66"/>
  </w:num>
  <w:num w:numId="123" w16cid:durableId="537739094">
    <w:abstractNumId w:val="67"/>
  </w:num>
  <w:num w:numId="124" w16cid:durableId="233048082">
    <w:abstractNumId w:val="42"/>
  </w:num>
  <w:num w:numId="125" w16cid:durableId="394009948">
    <w:abstractNumId w:val="55"/>
  </w:num>
  <w:num w:numId="126" w16cid:durableId="914318320">
    <w:abstractNumId w:val="3"/>
  </w:num>
  <w:num w:numId="127" w16cid:durableId="1663191343">
    <w:abstractNumId w:val="2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removePersonalInformation/>
  <w:removeDateAndTime/>
  <w:proofState w:spelling="clean" w:grammar="clean"/>
  <w:stylePaneSortMethod w:val="0000"/>
  <w:defaultTabStop w:val="720"/>
  <w:defaultTableStyle w:val="LightShad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21"/>
    <w:rsid w:val="0000199A"/>
    <w:rsid w:val="00001E72"/>
    <w:rsid w:val="00003572"/>
    <w:rsid w:val="00003C2A"/>
    <w:rsid w:val="00004340"/>
    <w:rsid w:val="000060F5"/>
    <w:rsid w:val="000071DD"/>
    <w:rsid w:val="00007322"/>
    <w:rsid w:val="0000774C"/>
    <w:rsid w:val="00007F24"/>
    <w:rsid w:val="00011FE1"/>
    <w:rsid w:val="0001256C"/>
    <w:rsid w:val="00014BA3"/>
    <w:rsid w:val="00016272"/>
    <w:rsid w:val="00016767"/>
    <w:rsid w:val="00017037"/>
    <w:rsid w:val="0001721E"/>
    <w:rsid w:val="000172A8"/>
    <w:rsid w:val="000216B9"/>
    <w:rsid w:val="00021760"/>
    <w:rsid w:val="000224D6"/>
    <w:rsid w:val="0002317F"/>
    <w:rsid w:val="00023D2C"/>
    <w:rsid w:val="000257E5"/>
    <w:rsid w:val="00026DFC"/>
    <w:rsid w:val="0002720B"/>
    <w:rsid w:val="0002738C"/>
    <w:rsid w:val="000274F1"/>
    <w:rsid w:val="00027A56"/>
    <w:rsid w:val="00027C18"/>
    <w:rsid w:val="00027E22"/>
    <w:rsid w:val="00031304"/>
    <w:rsid w:val="0003333A"/>
    <w:rsid w:val="00034005"/>
    <w:rsid w:val="0003572B"/>
    <w:rsid w:val="00035A0E"/>
    <w:rsid w:val="0003712B"/>
    <w:rsid w:val="000405F3"/>
    <w:rsid w:val="000409E0"/>
    <w:rsid w:val="00043472"/>
    <w:rsid w:val="00043FF7"/>
    <w:rsid w:val="000442BA"/>
    <w:rsid w:val="00044EC1"/>
    <w:rsid w:val="000456AD"/>
    <w:rsid w:val="000462C9"/>
    <w:rsid w:val="00046688"/>
    <w:rsid w:val="000469DC"/>
    <w:rsid w:val="00047052"/>
    <w:rsid w:val="00047D3B"/>
    <w:rsid w:val="00047EED"/>
    <w:rsid w:val="000501DE"/>
    <w:rsid w:val="000528EC"/>
    <w:rsid w:val="0005294E"/>
    <w:rsid w:val="00052F93"/>
    <w:rsid w:val="00053D2D"/>
    <w:rsid w:val="00053EF9"/>
    <w:rsid w:val="0005459F"/>
    <w:rsid w:val="000562D7"/>
    <w:rsid w:val="000566C9"/>
    <w:rsid w:val="00057D21"/>
    <w:rsid w:val="00062312"/>
    <w:rsid w:val="000626E9"/>
    <w:rsid w:val="00062AE2"/>
    <w:rsid w:val="00065890"/>
    <w:rsid w:val="00065AFE"/>
    <w:rsid w:val="000666E1"/>
    <w:rsid w:val="000673EB"/>
    <w:rsid w:val="000678DC"/>
    <w:rsid w:val="00067D87"/>
    <w:rsid w:val="0007151D"/>
    <w:rsid w:val="00071A87"/>
    <w:rsid w:val="00072A73"/>
    <w:rsid w:val="00072E57"/>
    <w:rsid w:val="00073531"/>
    <w:rsid w:val="0007409B"/>
    <w:rsid w:val="0007422D"/>
    <w:rsid w:val="00074363"/>
    <w:rsid w:val="00074656"/>
    <w:rsid w:val="00076A20"/>
    <w:rsid w:val="00077AC0"/>
    <w:rsid w:val="00081824"/>
    <w:rsid w:val="000826FD"/>
    <w:rsid w:val="00082B9F"/>
    <w:rsid w:val="00082CAC"/>
    <w:rsid w:val="00082EF7"/>
    <w:rsid w:val="000850BF"/>
    <w:rsid w:val="00085197"/>
    <w:rsid w:val="000855D7"/>
    <w:rsid w:val="000858B4"/>
    <w:rsid w:val="00085A3A"/>
    <w:rsid w:val="00086FB5"/>
    <w:rsid w:val="00087DF0"/>
    <w:rsid w:val="00092B7C"/>
    <w:rsid w:val="00092FB9"/>
    <w:rsid w:val="00093198"/>
    <w:rsid w:val="00094F43"/>
    <w:rsid w:val="0009610F"/>
    <w:rsid w:val="00096C23"/>
    <w:rsid w:val="0009722D"/>
    <w:rsid w:val="000A07BD"/>
    <w:rsid w:val="000A1C58"/>
    <w:rsid w:val="000A273E"/>
    <w:rsid w:val="000A396C"/>
    <w:rsid w:val="000A3C5C"/>
    <w:rsid w:val="000A447C"/>
    <w:rsid w:val="000A53F8"/>
    <w:rsid w:val="000A63BE"/>
    <w:rsid w:val="000A746E"/>
    <w:rsid w:val="000A7511"/>
    <w:rsid w:val="000B1572"/>
    <w:rsid w:val="000B15FD"/>
    <w:rsid w:val="000B1A58"/>
    <w:rsid w:val="000B1FFE"/>
    <w:rsid w:val="000B2663"/>
    <w:rsid w:val="000B2AB0"/>
    <w:rsid w:val="000B3803"/>
    <w:rsid w:val="000B42AC"/>
    <w:rsid w:val="000B4E8F"/>
    <w:rsid w:val="000B6691"/>
    <w:rsid w:val="000B6A2D"/>
    <w:rsid w:val="000C0FE0"/>
    <w:rsid w:val="000C22E3"/>
    <w:rsid w:val="000C2D78"/>
    <w:rsid w:val="000C3392"/>
    <w:rsid w:val="000C35ED"/>
    <w:rsid w:val="000C6B26"/>
    <w:rsid w:val="000C79E8"/>
    <w:rsid w:val="000D0F22"/>
    <w:rsid w:val="000D2075"/>
    <w:rsid w:val="000D3050"/>
    <w:rsid w:val="000D38CF"/>
    <w:rsid w:val="000D3B2E"/>
    <w:rsid w:val="000D4993"/>
    <w:rsid w:val="000D4CE3"/>
    <w:rsid w:val="000D55C9"/>
    <w:rsid w:val="000D6042"/>
    <w:rsid w:val="000D64DD"/>
    <w:rsid w:val="000D6BE8"/>
    <w:rsid w:val="000D6C6C"/>
    <w:rsid w:val="000D6D49"/>
    <w:rsid w:val="000E127F"/>
    <w:rsid w:val="000E136F"/>
    <w:rsid w:val="000E1CC9"/>
    <w:rsid w:val="000E2358"/>
    <w:rsid w:val="000E3A45"/>
    <w:rsid w:val="000E46AE"/>
    <w:rsid w:val="000E596A"/>
    <w:rsid w:val="000E597D"/>
    <w:rsid w:val="000E60FA"/>
    <w:rsid w:val="000E6A67"/>
    <w:rsid w:val="000E7BFC"/>
    <w:rsid w:val="000F102A"/>
    <w:rsid w:val="000F1EC8"/>
    <w:rsid w:val="000F46AA"/>
    <w:rsid w:val="000F4942"/>
    <w:rsid w:val="000F4C77"/>
    <w:rsid w:val="000F5847"/>
    <w:rsid w:val="000F586B"/>
    <w:rsid w:val="000F7376"/>
    <w:rsid w:val="000F78AE"/>
    <w:rsid w:val="000F7989"/>
    <w:rsid w:val="00100277"/>
    <w:rsid w:val="00101288"/>
    <w:rsid w:val="0010273F"/>
    <w:rsid w:val="0010395E"/>
    <w:rsid w:val="0010417D"/>
    <w:rsid w:val="001044CD"/>
    <w:rsid w:val="00104DD2"/>
    <w:rsid w:val="00104FFB"/>
    <w:rsid w:val="001051AF"/>
    <w:rsid w:val="0010673D"/>
    <w:rsid w:val="00106AA5"/>
    <w:rsid w:val="001076C2"/>
    <w:rsid w:val="00107DA3"/>
    <w:rsid w:val="00107E2C"/>
    <w:rsid w:val="0011128D"/>
    <w:rsid w:val="0011642B"/>
    <w:rsid w:val="00116562"/>
    <w:rsid w:val="00117282"/>
    <w:rsid w:val="00120B89"/>
    <w:rsid w:val="001214D7"/>
    <w:rsid w:val="00121E28"/>
    <w:rsid w:val="0012349E"/>
    <w:rsid w:val="00123800"/>
    <w:rsid w:val="00124142"/>
    <w:rsid w:val="00126D66"/>
    <w:rsid w:val="00127331"/>
    <w:rsid w:val="001301D5"/>
    <w:rsid w:val="00131136"/>
    <w:rsid w:val="001326A1"/>
    <w:rsid w:val="0013299D"/>
    <w:rsid w:val="001356A0"/>
    <w:rsid w:val="00136F16"/>
    <w:rsid w:val="00137171"/>
    <w:rsid w:val="00137C72"/>
    <w:rsid w:val="00137DD6"/>
    <w:rsid w:val="00142DB4"/>
    <w:rsid w:val="00144A40"/>
    <w:rsid w:val="00145605"/>
    <w:rsid w:val="001457FE"/>
    <w:rsid w:val="00145BE5"/>
    <w:rsid w:val="0015006E"/>
    <w:rsid w:val="00150C55"/>
    <w:rsid w:val="001531DF"/>
    <w:rsid w:val="001531EA"/>
    <w:rsid w:val="00153642"/>
    <w:rsid w:val="00156430"/>
    <w:rsid w:val="00157631"/>
    <w:rsid w:val="00160910"/>
    <w:rsid w:val="00160FFB"/>
    <w:rsid w:val="00162E42"/>
    <w:rsid w:val="00164183"/>
    <w:rsid w:val="00164665"/>
    <w:rsid w:val="00164D44"/>
    <w:rsid w:val="00166459"/>
    <w:rsid w:val="00166592"/>
    <w:rsid w:val="001667DD"/>
    <w:rsid w:val="00166BAF"/>
    <w:rsid w:val="00170BC6"/>
    <w:rsid w:val="00171798"/>
    <w:rsid w:val="00171A1F"/>
    <w:rsid w:val="00172B96"/>
    <w:rsid w:val="001731AF"/>
    <w:rsid w:val="00173607"/>
    <w:rsid w:val="00174B00"/>
    <w:rsid w:val="001753CE"/>
    <w:rsid w:val="00176BC3"/>
    <w:rsid w:val="00176BD1"/>
    <w:rsid w:val="00176D57"/>
    <w:rsid w:val="00182FE7"/>
    <w:rsid w:val="00183117"/>
    <w:rsid w:val="00183E33"/>
    <w:rsid w:val="00184417"/>
    <w:rsid w:val="00184D86"/>
    <w:rsid w:val="00185173"/>
    <w:rsid w:val="0018579B"/>
    <w:rsid w:val="00185CB7"/>
    <w:rsid w:val="001907FC"/>
    <w:rsid w:val="00191D7D"/>
    <w:rsid w:val="00192E20"/>
    <w:rsid w:val="00195F7B"/>
    <w:rsid w:val="001966F9"/>
    <w:rsid w:val="00197EE4"/>
    <w:rsid w:val="001A0656"/>
    <w:rsid w:val="001A0A64"/>
    <w:rsid w:val="001A12C2"/>
    <w:rsid w:val="001A2FD5"/>
    <w:rsid w:val="001A4A48"/>
    <w:rsid w:val="001A4ADC"/>
    <w:rsid w:val="001A51FD"/>
    <w:rsid w:val="001A5787"/>
    <w:rsid w:val="001A5F13"/>
    <w:rsid w:val="001A63AC"/>
    <w:rsid w:val="001A672F"/>
    <w:rsid w:val="001A6B0C"/>
    <w:rsid w:val="001A6B13"/>
    <w:rsid w:val="001B05D7"/>
    <w:rsid w:val="001B0BB7"/>
    <w:rsid w:val="001B0C03"/>
    <w:rsid w:val="001B3F0A"/>
    <w:rsid w:val="001B470F"/>
    <w:rsid w:val="001B5654"/>
    <w:rsid w:val="001B5BBA"/>
    <w:rsid w:val="001B5CA3"/>
    <w:rsid w:val="001C05C7"/>
    <w:rsid w:val="001C1366"/>
    <w:rsid w:val="001C138D"/>
    <w:rsid w:val="001C23C2"/>
    <w:rsid w:val="001C2725"/>
    <w:rsid w:val="001C2BA4"/>
    <w:rsid w:val="001C2FFB"/>
    <w:rsid w:val="001C37F8"/>
    <w:rsid w:val="001C3C53"/>
    <w:rsid w:val="001C41B6"/>
    <w:rsid w:val="001C458C"/>
    <w:rsid w:val="001C4D7D"/>
    <w:rsid w:val="001C4F10"/>
    <w:rsid w:val="001C666D"/>
    <w:rsid w:val="001C6EA2"/>
    <w:rsid w:val="001C74A4"/>
    <w:rsid w:val="001C74AF"/>
    <w:rsid w:val="001C7A64"/>
    <w:rsid w:val="001D017F"/>
    <w:rsid w:val="001D0AED"/>
    <w:rsid w:val="001D1814"/>
    <w:rsid w:val="001D3CD2"/>
    <w:rsid w:val="001D4267"/>
    <w:rsid w:val="001D53D7"/>
    <w:rsid w:val="001D5416"/>
    <w:rsid w:val="001D6846"/>
    <w:rsid w:val="001D7E53"/>
    <w:rsid w:val="001E0771"/>
    <w:rsid w:val="001E0A50"/>
    <w:rsid w:val="001E0D5E"/>
    <w:rsid w:val="001E1801"/>
    <w:rsid w:val="001E1AA0"/>
    <w:rsid w:val="001E54F7"/>
    <w:rsid w:val="001E5E02"/>
    <w:rsid w:val="001E5E0E"/>
    <w:rsid w:val="001E65D9"/>
    <w:rsid w:val="001E6ACF"/>
    <w:rsid w:val="001E7361"/>
    <w:rsid w:val="001E74DE"/>
    <w:rsid w:val="001E7DFE"/>
    <w:rsid w:val="001F0D7C"/>
    <w:rsid w:val="001F22B1"/>
    <w:rsid w:val="001F2801"/>
    <w:rsid w:val="001F353E"/>
    <w:rsid w:val="001F5D8D"/>
    <w:rsid w:val="001F5E2E"/>
    <w:rsid w:val="001F66C1"/>
    <w:rsid w:val="00200032"/>
    <w:rsid w:val="00200B22"/>
    <w:rsid w:val="002015DF"/>
    <w:rsid w:val="00201A1F"/>
    <w:rsid w:val="00202E86"/>
    <w:rsid w:val="002104F5"/>
    <w:rsid w:val="00210E0A"/>
    <w:rsid w:val="0021229C"/>
    <w:rsid w:val="0021254A"/>
    <w:rsid w:val="00212A37"/>
    <w:rsid w:val="002157D3"/>
    <w:rsid w:val="0021634C"/>
    <w:rsid w:val="002167FF"/>
    <w:rsid w:val="0021689F"/>
    <w:rsid w:val="00216DA7"/>
    <w:rsid w:val="00221B45"/>
    <w:rsid w:val="00221C32"/>
    <w:rsid w:val="002230C1"/>
    <w:rsid w:val="0022311F"/>
    <w:rsid w:val="00223C95"/>
    <w:rsid w:val="00224B86"/>
    <w:rsid w:val="00224E9F"/>
    <w:rsid w:val="00226EE6"/>
    <w:rsid w:val="00230E3C"/>
    <w:rsid w:val="00231CE8"/>
    <w:rsid w:val="002327A4"/>
    <w:rsid w:val="002348DC"/>
    <w:rsid w:val="00234B61"/>
    <w:rsid w:val="00234B96"/>
    <w:rsid w:val="00236C85"/>
    <w:rsid w:val="00237148"/>
    <w:rsid w:val="00240157"/>
    <w:rsid w:val="00240727"/>
    <w:rsid w:val="00240E83"/>
    <w:rsid w:val="0024194F"/>
    <w:rsid w:val="00242316"/>
    <w:rsid w:val="0024348B"/>
    <w:rsid w:val="00243952"/>
    <w:rsid w:val="00243CF7"/>
    <w:rsid w:val="002455B0"/>
    <w:rsid w:val="002463A1"/>
    <w:rsid w:val="00246C1B"/>
    <w:rsid w:val="00247912"/>
    <w:rsid w:val="00247D44"/>
    <w:rsid w:val="00247F2F"/>
    <w:rsid w:val="00250778"/>
    <w:rsid w:val="00251041"/>
    <w:rsid w:val="002528A6"/>
    <w:rsid w:val="002534C0"/>
    <w:rsid w:val="0025486E"/>
    <w:rsid w:val="00254CE3"/>
    <w:rsid w:val="00255190"/>
    <w:rsid w:val="00257E27"/>
    <w:rsid w:val="00261078"/>
    <w:rsid w:val="00263992"/>
    <w:rsid w:val="0026530B"/>
    <w:rsid w:val="00265481"/>
    <w:rsid w:val="0026618B"/>
    <w:rsid w:val="00266511"/>
    <w:rsid w:val="0026669C"/>
    <w:rsid w:val="0027235F"/>
    <w:rsid w:val="002724BA"/>
    <w:rsid w:val="0027338E"/>
    <w:rsid w:val="0027351E"/>
    <w:rsid w:val="002745EF"/>
    <w:rsid w:val="00274C2F"/>
    <w:rsid w:val="00274CC3"/>
    <w:rsid w:val="00275A14"/>
    <w:rsid w:val="00276A28"/>
    <w:rsid w:val="002838D0"/>
    <w:rsid w:val="00284865"/>
    <w:rsid w:val="00284B6C"/>
    <w:rsid w:val="00285248"/>
    <w:rsid w:val="002861B2"/>
    <w:rsid w:val="002862E8"/>
    <w:rsid w:val="00287373"/>
    <w:rsid w:val="00291BCC"/>
    <w:rsid w:val="00292A4C"/>
    <w:rsid w:val="00292AAB"/>
    <w:rsid w:val="00292CC3"/>
    <w:rsid w:val="002939CB"/>
    <w:rsid w:val="0029658E"/>
    <w:rsid w:val="00296808"/>
    <w:rsid w:val="002970B5"/>
    <w:rsid w:val="002A083F"/>
    <w:rsid w:val="002A1E36"/>
    <w:rsid w:val="002A1EFF"/>
    <w:rsid w:val="002A3487"/>
    <w:rsid w:val="002A4D76"/>
    <w:rsid w:val="002A5009"/>
    <w:rsid w:val="002A589A"/>
    <w:rsid w:val="002A6304"/>
    <w:rsid w:val="002A6637"/>
    <w:rsid w:val="002A68B8"/>
    <w:rsid w:val="002A7DE1"/>
    <w:rsid w:val="002B03EA"/>
    <w:rsid w:val="002B0DC1"/>
    <w:rsid w:val="002B1515"/>
    <w:rsid w:val="002B16DA"/>
    <w:rsid w:val="002B1E2A"/>
    <w:rsid w:val="002B2149"/>
    <w:rsid w:val="002C08CE"/>
    <w:rsid w:val="002C0C7B"/>
    <w:rsid w:val="002C13A6"/>
    <w:rsid w:val="002C14D6"/>
    <w:rsid w:val="002C15B0"/>
    <w:rsid w:val="002C4406"/>
    <w:rsid w:val="002C4BAD"/>
    <w:rsid w:val="002C5BAC"/>
    <w:rsid w:val="002C5D0D"/>
    <w:rsid w:val="002C6AAB"/>
    <w:rsid w:val="002C7C75"/>
    <w:rsid w:val="002C7EF4"/>
    <w:rsid w:val="002D0BEA"/>
    <w:rsid w:val="002D0DC1"/>
    <w:rsid w:val="002D5358"/>
    <w:rsid w:val="002D5578"/>
    <w:rsid w:val="002D5D00"/>
    <w:rsid w:val="002D61D4"/>
    <w:rsid w:val="002D64CE"/>
    <w:rsid w:val="002D75C0"/>
    <w:rsid w:val="002D7674"/>
    <w:rsid w:val="002D771B"/>
    <w:rsid w:val="002E08A3"/>
    <w:rsid w:val="002E08D5"/>
    <w:rsid w:val="002E1330"/>
    <w:rsid w:val="002E18F5"/>
    <w:rsid w:val="002E3008"/>
    <w:rsid w:val="002E577C"/>
    <w:rsid w:val="002E6604"/>
    <w:rsid w:val="002E7BD7"/>
    <w:rsid w:val="002E7E92"/>
    <w:rsid w:val="002F0EFD"/>
    <w:rsid w:val="002F1E62"/>
    <w:rsid w:val="002F1FE6"/>
    <w:rsid w:val="002F2943"/>
    <w:rsid w:val="002F483F"/>
    <w:rsid w:val="002F49A6"/>
    <w:rsid w:val="002F4A3F"/>
    <w:rsid w:val="002F4F6F"/>
    <w:rsid w:val="002F52C6"/>
    <w:rsid w:val="002F6191"/>
    <w:rsid w:val="002F6C25"/>
    <w:rsid w:val="003022D8"/>
    <w:rsid w:val="003023EF"/>
    <w:rsid w:val="003065F3"/>
    <w:rsid w:val="00307549"/>
    <w:rsid w:val="003100B4"/>
    <w:rsid w:val="003106F7"/>
    <w:rsid w:val="003114C6"/>
    <w:rsid w:val="00311574"/>
    <w:rsid w:val="00311C48"/>
    <w:rsid w:val="00311CE9"/>
    <w:rsid w:val="00312232"/>
    <w:rsid w:val="003145CA"/>
    <w:rsid w:val="00314B4D"/>
    <w:rsid w:val="00315AF0"/>
    <w:rsid w:val="00317410"/>
    <w:rsid w:val="00317474"/>
    <w:rsid w:val="00317C27"/>
    <w:rsid w:val="003208BA"/>
    <w:rsid w:val="00321C40"/>
    <w:rsid w:val="00322470"/>
    <w:rsid w:val="00322AA3"/>
    <w:rsid w:val="00322B5B"/>
    <w:rsid w:val="00322BAB"/>
    <w:rsid w:val="00324D97"/>
    <w:rsid w:val="003316AF"/>
    <w:rsid w:val="00331E5E"/>
    <w:rsid w:val="003345DD"/>
    <w:rsid w:val="00336B96"/>
    <w:rsid w:val="00336D59"/>
    <w:rsid w:val="00340199"/>
    <w:rsid w:val="00341BA1"/>
    <w:rsid w:val="00342AE8"/>
    <w:rsid w:val="003446A8"/>
    <w:rsid w:val="00344F2D"/>
    <w:rsid w:val="00345975"/>
    <w:rsid w:val="00345B1B"/>
    <w:rsid w:val="00347024"/>
    <w:rsid w:val="003471B0"/>
    <w:rsid w:val="003474DD"/>
    <w:rsid w:val="0034787A"/>
    <w:rsid w:val="00350E0D"/>
    <w:rsid w:val="00350E42"/>
    <w:rsid w:val="00350EFE"/>
    <w:rsid w:val="00350F54"/>
    <w:rsid w:val="00351220"/>
    <w:rsid w:val="0035257D"/>
    <w:rsid w:val="00352839"/>
    <w:rsid w:val="0035283C"/>
    <w:rsid w:val="003528BB"/>
    <w:rsid w:val="00353537"/>
    <w:rsid w:val="00355541"/>
    <w:rsid w:val="00356951"/>
    <w:rsid w:val="00362285"/>
    <w:rsid w:val="00363CE1"/>
    <w:rsid w:val="00363FF8"/>
    <w:rsid w:val="003652A6"/>
    <w:rsid w:val="0036785A"/>
    <w:rsid w:val="003724CF"/>
    <w:rsid w:val="00372C74"/>
    <w:rsid w:val="00374017"/>
    <w:rsid w:val="00375EE3"/>
    <w:rsid w:val="00376AF6"/>
    <w:rsid w:val="00377A7A"/>
    <w:rsid w:val="00377DE0"/>
    <w:rsid w:val="00377E8C"/>
    <w:rsid w:val="00377FFB"/>
    <w:rsid w:val="00381042"/>
    <w:rsid w:val="00381F1E"/>
    <w:rsid w:val="00382E24"/>
    <w:rsid w:val="003855E2"/>
    <w:rsid w:val="00385769"/>
    <w:rsid w:val="003863F2"/>
    <w:rsid w:val="00386A70"/>
    <w:rsid w:val="0038716D"/>
    <w:rsid w:val="003871A7"/>
    <w:rsid w:val="003871C4"/>
    <w:rsid w:val="00387C89"/>
    <w:rsid w:val="00392090"/>
    <w:rsid w:val="0039220A"/>
    <w:rsid w:val="00394A16"/>
    <w:rsid w:val="003955C6"/>
    <w:rsid w:val="003960F3"/>
    <w:rsid w:val="003972FE"/>
    <w:rsid w:val="003A0991"/>
    <w:rsid w:val="003A27B8"/>
    <w:rsid w:val="003A435D"/>
    <w:rsid w:val="003A445C"/>
    <w:rsid w:val="003A489D"/>
    <w:rsid w:val="003A48C8"/>
    <w:rsid w:val="003A4A3F"/>
    <w:rsid w:val="003A4AF1"/>
    <w:rsid w:val="003A5BD1"/>
    <w:rsid w:val="003A62F6"/>
    <w:rsid w:val="003A6780"/>
    <w:rsid w:val="003A6E06"/>
    <w:rsid w:val="003B137B"/>
    <w:rsid w:val="003B322C"/>
    <w:rsid w:val="003B3B46"/>
    <w:rsid w:val="003B484C"/>
    <w:rsid w:val="003B4859"/>
    <w:rsid w:val="003B4AFB"/>
    <w:rsid w:val="003B5408"/>
    <w:rsid w:val="003B5CC8"/>
    <w:rsid w:val="003B660B"/>
    <w:rsid w:val="003B7392"/>
    <w:rsid w:val="003B7B66"/>
    <w:rsid w:val="003C01D4"/>
    <w:rsid w:val="003C023A"/>
    <w:rsid w:val="003C03F9"/>
    <w:rsid w:val="003C10A5"/>
    <w:rsid w:val="003C1D77"/>
    <w:rsid w:val="003C30E3"/>
    <w:rsid w:val="003C3576"/>
    <w:rsid w:val="003C4217"/>
    <w:rsid w:val="003C5128"/>
    <w:rsid w:val="003C55CF"/>
    <w:rsid w:val="003C55ED"/>
    <w:rsid w:val="003C5D74"/>
    <w:rsid w:val="003C70FA"/>
    <w:rsid w:val="003C7149"/>
    <w:rsid w:val="003C7400"/>
    <w:rsid w:val="003D04DB"/>
    <w:rsid w:val="003D16D7"/>
    <w:rsid w:val="003D1953"/>
    <w:rsid w:val="003D2688"/>
    <w:rsid w:val="003D3293"/>
    <w:rsid w:val="003D3B15"/>
    <w:rsid w:val="003D3D25"/>
    <w:rsid w:val="003D3ED7"/>
    <w:rsid w:val="003D50FD"/>
    <w:rsid w:val="003D6A25"/>
    <w:rsid w:val="003D7DBD"/>
    <w:rsid w:val="003E0CD4"/>
    <w:rsid w:val="003E0FBE"/>
    <w:rsid w:val="003E2635"/>
    <w:rsid w:val="003E2F46"/>
    <w:rsid w:val="003E3295"/>
    <w:rsid w:val="003E451F"/>
    <w:rsid w:val="003E50F8"/>
    <w:rsid w:val="003E5F5F"/>
    <w:rsid w:val="003F1C57"/>
    <w:rsid w:val="003F40EC"/>
    <w:rsid w:val="003F4CD7"/>
    <w:rsid w:val="003F5127"/>
    <w:rsid w:val="003F52A2"/>
    <w:rsid w:val="003F6C2B"/>
    <w:rsid w:val="003F7162"/>
    <w:rsid w:val="0040011E"/>
    <w:rsid w:val="00400845"/>
    <w:rsid w:val="00401CB3"/>
    <w:rsid w:val="00401CBB"/>
    <w:rsid w:val="00403216"/>
    <w:rsid w:val="0040332D"/>
    <w:rsid w:val="0040334E"/>
    <w:rsid w:val="004038E5"/>
    <w:rsid w:val="00403D4F"/>
    <w:rsid w:val="00403F82"/>
    <w:rsid w:val="00405C8F"/>
    <w:rsid w:val="00406581"/>
    <w:rsid w:val="004071FE"/>
    <w:rsid w:val="004077F9"/>
    <w:rsid w:val="0041047A"/>
    <w:rsid w:val="00410673"/>
    <w:rsid w:val="00410CB8"/>
    <w:rsid w:val="0041167B"/>
    <w:rsid w:val="00411A1B"/>
    <w:rsid w:val="00413773"/>
    <w:rsid w:val="00413961"/>
    <w:rsid w:val="00413DBD"/>
    <w:rsid w:val="00414A21"/>
    <w:rsid w:val="00414D50"/>
    <w:rsid w:val="004157C7"/>
    <w:rsid w:val="004164C2"/>
    <w:rsid w:val="00416ABD"/>
    <w:rsid w:val="00416B31"/>
    <w:rsid w:val="004205F2"/>
    <w:rsid w:val="00421593"/>
    <w:rsid w:val="004217C5"/>
    <w:rsid w:val="00421E99"/>
    <w:rsid w:val="004237F9"/>
    <w:rsid w:val="00423E20"/>
    <w:rsid w:val="004242DF"/>
    <w:rsid w:val="00424AB4"/>
    <w:rsid w:val="00424E6A"/>
    <w:rsid w:val="00425E3F"/>
    <w:rsid w:val="00427C86"/>
    <w:rsid w:val="00430147"/>
    <w:rsid w:val="00431FED"/>
    <w:rsid w:val="00437978"/>
    <w:rsid w:val="00440338"/>
    <w:rsid w:val="00440AFD"/>
    <w:rsid w:val="00440D09"/>
    <w:rsid w:val="00443F0E"/>
    <w:rsid w:val="004444DD"/>
    <w:rsid w:val="00444749"/>
    <w:rsid w:val="00444817"/>
    <w:rsid w:val="00444A60"/>
    <w:rsid w:val="00444B96"/>
    <w:rsid w:val="00445558"/>
    <w:rsid w:val="004458FC"/>
    <w:rsid w:val="004464FE"/>
    <w:rsid w:val="0044655D"/>
    <w:rsid w:val="00446F09"/>
    <w:rsid w:val="00450A77"/>
    <w:rsid w:val="00450E9C"/>
    <w:rsid w:val="00453706"/>
    <w:rsid w:val="0045400F"/>
    <w:rsid w:val="0045433D"/>
    <w:rsid w:val="004561D4"/>
    <w:rsid w:val="00456F09"/>
    <w:rsid w:val="0045745C"/>
    <w:rsid w:val="004575D9"/>
    <w:rsid w:val="00457C28"/>
    <w:rsid w:val="00461CFC"/>
    <w:rsid w:val="00461E30"/>
    <w:rsid w:val="00463A02"/>
    <w:rsid w:val="00465158"/>
    <w:rsid w:val="00465C6F"/>
    <w:rsid w:val="004661D4"/>
    <w:rsid w:val="00466F4C"/>
    <w:rsid w:val="0046791A"/>
    <w:rsid w:val="00471543"/>
    <w:rsid w:val="00471AAB"/>
    <w:rsid w:val="00471BF0"/>
    <w:rsid w:val="00471F93"/>
    <w:rsid w:val="00472DF8"/>
    <w:rsid w:val="00472EE0"/>
    <w:rsid w:val="00474FDF"/>
    <w:rsid w:val="004753C0"/>
    <w:rsid w:val="00475D26"/>
    <w:rsid w:val="0047618D"/>
    <w:rsid w:val="00477650"/>
    <w:rsid w:val="00477BD5"/>
    <w:rsid w:val="0048031F"/>
    <w:rsid w:val="00481228"/>
    <w:rsid w:val="004815FD"/>
    <w:rsid w:val="00481A90"/>
    <w:rsid w:val="0048431F"/>
    <w:rsid w:val="00484ACD"/>
    <w:rsid w:val="00486A67"/>
    <w:rsid w:val="004871D3"/>
    <w:rsid w:val="00487AF5"/>
    <w:rsid w:val="00490100"/>
    <w:rsid w:val="004913C7"/>
    <w:rsid w:val="004921FF"/>
    <w:rsid w:val="00492552"/>
    <w:rsid w:val="0049270C"/>
    <w:rsid w:val="00492B9A"/>
    <w:rsid w:val="004934E8"/>
    <w:rsid w:val="004962A7"/>
    <w:rsid w:val="00496917"/>
    <w:rsid w:val="00497C4A"/>
    <w:rsid w:val="004A018E"/>
    <w:rsid w:val="004A409E"/>
    <w:rsid w:val="004A7391"/>
    <w:rsid w:val="004B03E7"/>
    <w:rsid w:val="004B065F"/>
    <w:rsid w:val="004B1EC7"/>
    <w:rsid w:val="004B33D3"/>
    <w:rsid w:val="004B4ED2"/>
    <w:rsid w:val="004B61FB"/>
    <w:rsid w:val="004B6593"/>
    <w:rsid w:val="004B6A71"/>
    <w:rsid w:val="004B74E0"/>
    <w:rsid w:val="004C0CB9"/>
    <w:rsid w:val="004C160D"/>
    <w:rsid w:val="004C19DE"/>
    <w:rsid w:val="004C22F9"/>
    <w:rsid w:val="004C3488"/>
    <w:rsid w:val="004C3A10"/>
    <w:rsid w:val="004C5488"/>
    <w:rsid w:val="004C7AB4"/>
    <w:rsid w:val="004D1156"/>
    <w:rsid w:val="004D19CE"/>
    <w:rsid w:val="004D552F"/>
    <w:rsid w:val="004D7231"/>
    <w:rsid w:val="004D7DBE"/>
    <w:rsid w:val="004E3172"/>
    <w:rsid w:val="004E3C50"/>
    <w:rsid w:val="004E517D"/>
    <w:rsid w:val="004E6DB6"/>
    <w:rsid w:val="004F032C"/>
    <w:rsid w:val="004F0815"/>
    <w:rsid w:val="004F1308"/>
    <w:rsid w:val="004F167B"/>
    <w:rsid w:val="004F1DD0"/>
    <w:rsid w:val="004F26E9"/>
    <w:rsid w:val="004F3B83"/>
    <w:rsid w:val="004F3E3C"/>
    <w:rsid w:val="004F5440"/>
    <w:rsid w:val="004F5F65"/>
    <w:rsid w:val="005003F6"/>
    <w:rsid w:val="0050067E"/>
    <w:rsid w:val="005007A7"/>
    <w:rsid w:val="00502809"/>
    <w:rsid w:val="005034F9"/>
    <w:rsid w:val="0050365C"/>
    <w:rsid w:val="005059F5"/>
    <w:rsid w:val="00506B59"/>
    <w:rsid w:val="00507362"/>
    <w:rsid w:val="0051115B"/>
    <w:rsid w:val="005114AF"/>
    <w:rsid w:val="0051154F"/>
    <w:rsid w:val="005123FE"/>
    <w:rsid w:val="00513D07"/>
    <w:rsid w:val="005150B1"/>
    <w:rsid w:val="00515507"/>
    <w:rsid w:val="00516072"/>
    <w:rsid w:val="00517A57"/>
    <w:rsid w:val="00517B1C"/>
    <w:rsid w:val="005201DF"/>
    <w:rsid w:val="00521117"/>
    <w:rsid w:val="005214FF"/>
    <w:rsid w:val="00521AAC"/>
    <w:rsid w:val="0052225A"/>
    <w:rsid w:val="005247E7"/>
    <w:rsid w:val="0052666D"/>
    <w:rsid w:val="00526B6A"/>
    <w:rsid w:val="00526C74"/>
    <w:rsid w:val="00527D6D"/>
    <w:rsid w:val="00527EE5"/>
    <w:rsid w:val="0053201D"/>
    <w:rsid w:val="005324A7"/>
    <w:rsid w:val="00533DFD"/>
    <w:rsid w:val="00535C11"/>
    <w:rsid w:val="00537726"/>
    <w:rsid w:val="0054035E"/>
    <w:rsid w:val="00541835"/>
    <w:rsid w:val="00542807"/>
    <w:rsid w:val="005434CD"/>
    <w:rsid w:val="00543979"/>
    <w:rsid w:val="0054405A"/>
    <w:rsid w:val="0054418E"/>
    <w:rsid w:val="005444CD"/>
    <w:rsid w:val="00544990"/>
    <w:rsid w:val="0054521F"/>
    <w:rsid w:val="005459FF"/>
    <w:rsid w:val="00546111"/>
    <w:rsid w:val="0054615B"/>
    <w:rsid w:val="00547B20"/>
    <w:rsid w:val="00547FE2"/>
    <w:rsid w:val="0055146E"/>
    <w:rsid w:val="00553A21"/>
    <w:rsid w:val="00553B06"/>
    <w:rsid w:val="00554328"/>
    <w:rsid w:val="00554398"/>
    <w:rsid w:val="005547C1"/>
    <w:rsid w:val="00554FC8"/>
    <w:rsid w:val="00557B0A"/>
    <w:rsid w:val="005608AF"/>
    <w:rsid w:val="0056180D"/>
    <w:rsid w:val="00562899"/>
    <w:rsid w:val="005639F0"/>
    <w:rsid w:val="005648BA"/>
    <w:rsid w:val="005650E5"/>
    <w:rsid w:val="005654AD"/>
    <w:rsid w:val="00565CAB"/>
    <w:rsid w:val="00565E6F"/>
    <w:rsid w:val="00566250"/>
    <w:rsid w:val="0056748D"/>
    <w:rsid w:val="00567933"/>
    <w:rsid w:val="0057026F"/>
    <w:rsid w:val="0057072A"/>
    <w:rsid w:val="00570C1C"/>
    <w:rsid w:val="005710EF"/>
    <w:rsid w:val="005722EB"/>
    <w:rsid w:val="005729C3"/>
    <w:rsid w:val="00573B36"/>
    <w:rsid w:val="00573DFE"/>
    <w:rsid w:val="005760BE"/>
    <w:rsid w:val="00576240"/>
    <w:rsid w:val="00576F73"/>
    <w:rsid w:val="00577618"/>
    <w:rsid w:val="00580606"/>
    <w:rsid w:val="00581F22"/>
    <w:rsid w:val="00582068"/>
    <w:rsid w:val="0058259D"/>
    <w:rsid w:val="00584536"/>
    <w:rsid w:val="00586776"/>
    <w:rsid w:val="0058781C"/>
    <w:rsid w:val="00587B2A"/>
    <w:rsid w:val="00590446"/>
    <w:rsid w:val="005907A2"/>
    <w:rsid w:val="00592A3C"/>
    <w:rsid w:val="0059367F"/>
    <w:rsid w:val="00593D46"/>
    <w:rsid w:val="00594787"/>
    <w:rsid w:val="0059517B"/>
    <w:rsid w:val="00596E6A"/>
    <w:rsid w:val="005A09B6"/>
    <w:rsid w:val="005A1539"/>
    <w:rsid w:val="005A1A7F"/>
    <w:rsid w:val="005A268A"/>
    <w:rsid w:val="005A4304"/>
    <w:rsid w:val="005A45CA"/>
    <w:rsid w:val="005A4EA9"/>
    <w:rsid w:val="005A556B"/>
    <w:rsid w:val="005B0161"/>
    <w:rsid w:val="005B1395"/>
    <w:rsid w:val="005B1941"/>
    <w:rsid w:val="005B27F0"/>
    <w:rsid w:val="005B36FC"/>
    <w:rsid w:val="005B3911"/>
    <w:rsid w:val="005B49F6"/>
    <w:rsid w:val="005B6A91"/>
    <w:rsid w:val="005B6E54"/>
    <w:rsid w:val="005B6EBE"/>
    <w:rsid w:val="005C00E0"/>
    <w:rsid w:val="005C0711"/>
    <w:rsid w:val="005C0DAB"/>
    <w:rsid w:val="005C0E3A"/>
    <w:rsid w:val="005C3559"/>
    <w:rsid w:val="005C41E6"/>
    <w:rsid w:val="005C623D"/>
    <w:rsid w:val="005C69BB"/>
    <w:rsid w:val="005C72BC"/>
    <w:rsid w:val="005C7B6D"/>
    <w:rsid w:val="005D158B"/>
    <w:rsid w:val="005D1959"/>
    <w:rsid w:val="005D1BFB"/>
    <w:rsid w:val="005D25B5"/>
    <w:rsid w:val="005D25DD"/>
    <w:rsid w:val="005D2676"/>
    <w:rsid w:val="005D497B"/>
    <w:rsid w:val="005D5F2F"/>
    <w:rsid w:val="005D63A6"/>
    <w:rsid w:val="005D6978"/>
    <w:rsid w:val="005D6B95"/>
    <w:rsid w:val="005D7B93"/>
    <w:rsid w:val="005E0B13"/>
    <w:rsid w:val="005E15A0"/>
    <w:rsid w:val="005E2368"/>
    <w:rsid w:val="005E27A6"/>
    <w:rsid w:val="005E3BDF"/>
    <w:rsid w:val="005E4E01"/>
    <w:rsid w:val="005E5169"/>
    <w:rsid w:val="005E51E5"/>
    <w:rsid w:val="005E64E0"/>
    <w:rsid w:val="005E7BF8"/>
    <w:rsid w:val="005E7D55"/>
    <w:rsid w:val="005F1E44"/>
    <w:rsid w:val="005F2E39"/>
    <w:rsid w:val="005F37D8"/>
    <w:rsid w:val="005F3AA2"/>
    <w:rsid w:val="005F46C7"/>
    <w:rsid w:val="005F5DE9"/>
    <w:rsid w:val="005F72BA"/>
    <w:rsid w:val="005F760F"/>
    <w:rsid w:val="005F7C8F"/>
    <w:rsid w:val="00600C02"/>
    <w:rsid w:val="00600CBD"/>
    <w:rsid w:val="00603B2C"/>
    <w:rsid w:val="006107EF"/>
    <w:rsid w:val="006122C9"/>
    <w:rsid w:val="00612891"/>
    <w:rsid w:val="00613B7F"/>
    <w:rsid w:val="00613E42"/>
    <w:rsid w:val="006147E3"/>
    <w:rsid w:val="00615589"/>
    <w:rsid w:val="00615CEF"/>
    <w:rsid w:val="00615E74"/>
    <w:rsid w:val="00616058"/>
    <w:rsid w:val="00616483"/>
    <w:rsid w:val="006218F1"/>
    <w:rsid w:val="006236A9"/>
    <w:rsid w:val="00623B18"/>
    <w:rsid w:val="00623FA4"/>
    <w:rsid w:val="006245BB"/>
    <w:rsid w:val="00625C13"/>
    <w:rsid w:val="00627DF2"/>
    <w:rsid w:val="00630217"/>
    <w:rsid w:val="00630429"/>
    <w:rsid w:val="006308D9"/>
    <w:rsid w:val="00631750"/>
    <w:rsid w:val="006319C6"/>
    <w:rsid w:val="00632BBB"/>
    <w:rsid w:val="00632E28"/>
    <w:rsid w:val="006332E3"/>
    <w:rsid w:val="00633FB8"/>
    <w:rsid w:val="006350DC"/>
    <w:rsid w:val="0063538B"/>
    <w:rsid w:val="00635CEF"/>
    <w:rsid w:val="00635D84"/>
    <w:rsid w:val="00636152"/>
    <w:rsid w:val="006421B6"/>
    <w:rsid w:val="006423F0"/>
    <w:rsid w:val="006432AF"/>
    <w:rsid w:val="006441AC"/>
    <w:rsid w:val="006442CC"/>
    <w:rsid w:val="006450D8"/>
    <w:rsid w:val="006456CD"/>
    <w:rsid w:val="00645B91"/>
    <w:rsid w:val="00646899"/>
    <w:rsid w:val="0065068B"/>
    <w:rsid w:val="00650EFA"/>
    <w:rsid w:val="00651B28"/>
    <w:rsid w:val="00651B51"/>
    <w:rsid w:val="00653FB1"/>
    <w:rsid w:val="006543B6"/>
    <w:rsid w:val="0065620A"/>
    <w:rsid w:val="006563CF"/>
    <w:rsid w:val="00656622"/>
    <w:rsid w:val="0065721F"/>
    <w:rsid w:val="00657907"/>
    <w:rsid w:val="00664D05"/>
    <w:rsid w:val="00665445"/>
    <w:rsid w:val="00667783"/>
    <w:rsid w:val="00667FD5"/>
    <w:rsid w:val="00670C25"/>
    <w:rsid w:val="00671024"/>
    <w:rsid w:val="00673107"/>
    <w:rsid w:val="006739AF"/>
    <w:rsid w:val="00673E9D"/>
    <w:rsid w:val="00674704"/>
    <w:rsid w:val="00675947"/>
    <w:rsid w:val="006764FA"/>
    <w:rsid w:val="00676551"/>
    <w:rsid w:val="00680432"/>
    <w:rsid w:val="006829A1"/>
    <w:rsid w:val="00683B9E"/>
    <w:rsid w:val="006848D2"/>
    <w:rsid w:val="006862FE"/>
    <w:rsid w:val="006875F3"/>
    <w:rsid w:val="00691CE2"/>
    <w:rsid w:val="00692FA7"/>
    <w:rsid w:val="00693946"/>
    <w:rsid w:val="00695AC1"/>
    <w:rsid w:val="00696473"/>
    <w:rsid w:val="00697217"/>
    <w:rsid w:val="006A0869"/>
    <w:rsid w:val="006A1132"/>
    <w:rsid w:val="006A23BE"/>
    <w:rsid w:val="006A252A"/>
    <w:rsid w:val="006A320B"/>
    <w:rsid w:val="006A3E50"/>
    <w:rsid w:val="006A3F40"/>
    <w:rsid w:val="006A4A52"/>
    <w:rsid w:val="006A5770"/>
    <w:rsid w:val="006A6DD2"/>
    <w:rsid w:val="006A7F8E"/>
    <w:rsid w:val="006B148B"/>
    <w:rsid w:val="006B18AF"/>
    <w:rsid w:val="006B4738"/>
    <w:rsid w:val="006B5509"/>
    <w:rsid w:val="006B716C"/>
    <w:rsid w:val="006C0029"/>
    <w:rsid w:val="006C0089"/>
    <w:rsid w:val="006C16B8"/>
    <w:rsid w:val="006C196A"/>
    <w:rsid w:val="006C1BC5"/>
    <w:rsid w:val="006C23A1"/>
    <w:rsid w:val="006C3A55"/>
    <w:rsid w:val="006C3EE4"/>
    <w:rsid w:val="006C63EA"/>
    <w:rsid w:val="006C64FE"/>
    <w:rsid w:val="006C66DB"/>
    <w:rsid w:val="006C7B93"/>
    <w:rsid w:val="006C7C18"/>
    <w:rsid w:val="006D1665"/>
    <w:rsid w:val="006D18D6"/>
    <w:rsid w:val="006D23BA"/>
    <w:rsid w:val="006D2A95"/>
    <w:rsid w:val="006D3068"/>
    <w:rsid w:val="006D43B4"/>
    <w:rsid w:val="006D6AFE"/>
    <w:rsid w:val="006D7B62"/>
    <w:rsid w:val="006E1E5A"/>
    <w:rsid w:val="006E3176"/>
    <w:rsid w:val="006E4440"/>
    <w:rsid w:val="006E4A67"/>
    <w:rsid w:val="006E5823"/>
    <w:rsid w:val="006E5BF3"/>
    <w:rsid w:val="006E71ED"/>
    <w:rsid w:val="006E76B0"/>
    <w:rsid w:val="006F0D04"/>
    <w:rsid w:val="006F0D5C"/>
    <w:rsid w:val="006F14F3"/>
    <w:rsid w:val="006F2033"/>
    <w:rsid w:val="006F24EA"/>
    <w:rsid w:val="006F2B28"/>
    <w:rsid w:val="006F348B"/>
    <w:rsid w:val="006F4638"/>
    <w:rsid w:val="006F76B2"/>
    <w:rsid w:val="006F77DB"/>
    <w:rsid w:val="006F7897"/>
    <w:rsid w:val="00700257"/>
    <w:rsid w:val="0070031C"/>
    <w:rsid w:val="00700535"/>
    <w:rsid w:val="00701704"/>
    <w:rsid w:val="007031B1"/>
    <w:rsid w:val="007039BD"/>
    <w:rsid w:val="007054D2"/>
    <w:rsid w:val="0070660C"/>
    <w:rsid w:val="007117E6"/>
    <w:rsid w:val="0071194F"/>
    <w:rsid w:val="007119B2"/>
    <w:rsid w:val="00712158"/>
    <w:rsid w:val="00712DEA"/>
    <w:rsid w:val="00712F18"/>
    <w:rsid w:val="0071312A"/>
    <w:rsid w:val="00714047"/>
    <w:rsid w:val="007153A4"/>
    <w:rsid w:val="007176A7"/>
    <w:rsid w:val="00717E2F"/>
    <w:rsid w:val="00721E2E"/>
    <w:rsid w:val="007220E1"/>
    <w:rsid w:val="00722BE3"/>
    <w:rsid w:val="00723343"/>
    <w:rsid w:val="00727BBF"/>
    <w:rsid w:val="00727CD4"/>
    <w:rsid w:val="00727DB4"/>
    <w:rsid w:val="00727E2D"/>
    <w:rsid w:val="00731D9F"/>
    <w:rsid w:val="00731E92"/>
    <w:rsid w:val="0073201E"/>
    <w:rsid w:val="0073245A"/>
    <w:rsid w:val="007329EB"/>
    <w:rsid w:val="00734143"/>
    <w:rsid w:val="00734723"/>
    <w:rsid w:val="00734B88"/>
    <w:rsid w:val="0073530C"/>
    <w:rsid w:val="00735694"/>
    <w:rsid w:val="007356AB"/>
    <w:rsid w:val="00737755"/>
    <w:rsid w:val="0074117D"/>
    <w:rsid w:val="007414C7"/>
    <w:rsid w:val="0074236D"/>
    <w:rsid w:val="00743117"/>
    <w:rsid w:val="00743D27"/>
    <w:rsid w:val="00743F11"/>
    <w:rsid w:val="00744764"/>
    <w:rsid w:val="0074500F"/>
    <w:rsid w:val="007459EA"/>
    <w:rsid w:val="00746CEA"/>
    <w:rsid w:val="007471BA"/>
    <w:rsid w:val="007479F0"/>
    <w:rsid w:val="00747E6F"/>
    <w:rsid w:val="00750B41"/>
    <w:rsid w:val="00751BC4"/>
    <w:rsid w:val="007521B4"/>
    <w:rsid w:val="007527BD"/>
    <w:rsid w:val="0075358C"/>
    <w:rsid w:val="007553BE"/>
    <w:rsid w:val="00756448"/>
    <w:rsid w:val="00757A6F"/>
    <w:rsid w:val="00757CB0"/>
    <w:rsid w:val="00760CC3"/>
    <w:rsid w:val="00760E50"/>
    <w:rsid w:val="00763B4B"/>
    <w:rsid w:val="0076439F"/>
    <w:rsid w:val="00764EE3"/>
    <w:rsid w:val="00765DB7"/>
    <w:rsid w:val="007666E7"/>
    <w:rsid w:val="007678F7"/>
    <w:rsid w:val="00767BBB"/>
    <w:rsid w:val="00770497"/>
    <w:rsid w:val="00770875"/>
    <w:rsid w:val="00770981"/>
    <w:rsid w:val="00770CBB"/>
    <w:rsid w:val="00771240"/>
    <w:rsid w:val="0077130D"/>
    <w:rsid w:val="00771D71"/>
    <w:rsid w:val="00773101"/>
    <w:rsid w:val="00773CA5"/>
    <w:rsid w:val="00774397"/>
    <w:rsid w:val="0077566D"/>
    <w:rsid w:val="00777C63"/>
    <w:rsid w:val="00780F7A"/>
    <w:rsid w:val="00781FE7"/>
    <w:rsid w:val="00783E19"/>
    <w:rsid w:val="007842D1"/>
    <w:rsid w:val="00784454"/>
    <w:rsid w:val="00786459"/>
    <w:rsid w:val="007865F2"/>
    <w:rsid w:val="00786854"/>
    <w:rsid w:val="007906A9"/>
    <w:rsid w:val="00790C6D"/>
    <w:rsid w:val="0079135D"/>
    <w:rsid w:val="00791A16"/>
    <w:rsid w:val="0079200B"/>
    <w:rsid w:val="00792470"/>
    <w:rsid w:val="00793BA6"/>
    <w:rsid w:val="007941C6"/>
    <w:rsid w:val="00795F4C"/>
    <w:rsid w:val="00796857"/>
    <w:rsid w:val="0079716D"/>
    <w:rsid w:val="00797F6C"/>
    <w:rsid w:val="007A00E9"/>
    <w:rsid w:val="007A0429"/>
    <w:rsid w:val="007A11C1"/>
    <w:rsid w:val="007A23FF"/>
    <w:rsid w:val="007A77E3"/>
    <w:rsid w:val="007A7E88"/>
    <w:rsid w:val="007B0FE1"/>
    <w:rsid w:val="007B37B8"/>
    <w:rsid w:val="007B3DA0"/>
    <w:rsid w:val="007B47C8"/>
    <w:rsid w:val="007B7B74"/>
    <w:rsid w:val="007C0F7F"/>
    <w:rsid w:val="007C1450"/>
    <w:rsid w:val="007C3016"/>
    <w:rsid w:val="007C34E1"/>
    <w:rsid w:val="007C3775"/>
    <w:rsid w:val="007C5854"/>
    <w:rsid w:val="007C5C04"/>
    <w:rsid w:val="007C5DB0"/>
    <w:rsid w:val="007C5E25"/>
    <w:rsid w:val="007C74C8"/>
    <w:rsid w:val="007D0672"/>
    <w:rsid w:val="007D2C80"/>
    <w:rsid w:val="007D2C8E"/>
    <w:rsid w:val="007D2CDD"/>
    <w:rsid w:val="007D4DED"/>
    <w:rsid w:val="007D4FB9"/>
    <w:rsid w:val="007D61CD"/>
    <w:rsid w:val="007E08CA"/>
    <w:rsid w:val="007E0EE2"/>
    <w:rsid w:val="007E26A6"/>
    <w:rsid w:val="007E29D8"/>
    <w:rsid w:val="007E330E"/>
    <w:rsid w:val="007E339D"/>
    <w:rsid w:val="007E41F3"/>
    <w:rsid w:val="007E6056"/>
    <w:rsid w:val="007E60DD"/>
    <w:rsid w:val="007E61B8"/>
    <w:rsid w:val="007E7BBF"/>
    <w:rsid w:val="007F0E6F"/>
    <w:rsid w:val="007F1121"/>
    <w:rsid w:val="007F1A5E"/>
    <w:rsid w:val="007F2499"/>
    <w:rsid w:val="007F3C3C"/>
    <w:rsid w:val="007F4876"/>
    <w:rsid w:val="007F54C0"/>
    <w:rsid w:val="007F577D"/>
    <w:rsid w:val="007F57F5"/>
    <w:rsid w:val="007F5BE8"/>
    <w:rsid w:val="007F5DFC"/>
    <w:rsid w:val="007F67D8"/>
    <w:rsid w:val="008027F3"/>
    <w:rsid w:val="00803396"/>
    <w:rsid w:val="0080482F"/>
    <w:rsid w:val="00805C2B"/>
    <w:rsid w:val="00806050"/>
    <w:rsid w:val="00807DBC"/>
    <w:rsid w:val="00812CFD"/>
    <w:rsid w:val="00812D5C"/>
    <w:rsid w:val="008152D2"/>
    <w:rsid w:val="008153DF"/>
    <w:rsid w:val="00815C86"/>
    <w:rsid w:val="00817B42"/>
    <w:rsid w:val="00817E58"/>
    <w:rsid w:val="00820ADE"/>
    <w:rsid w:val="008210B6"/>
    <w:rsid w:val="008215FE"/>
    <w:rsid w:val="00822B61"/>
    <w:rsid w:val="00823E88"/>
    <w:rsid w:val="00824690"/>
    <w:rsid w:val="00824C6F"/>
    <w:rsid w:val="008251FF"/>
    <w:rsid w:val="00826320"/>
    <w:rsid w:val="00827752"/>
    <w:rsid w:val="00827C30"/>
    <w:rsid w:val="00831520"/>
    <w:rsid w:val="0083191E"/>
    <w:rsid w:val="008322DE"/>
    <w:rsid w:val="00832363"/>
    <w:rsid w:val="00832630"/>
    <w:rsid w:val="008327D1"/>
    <w:rsid w:val="00832A9B"/>
    <w:rsid w:val="00833051"/>
    <w:rsid w:val="00833614"/>
    <w:rsid w:val="00834A16"/>
    <w:rsid w:val="00834A24"/>
    <w:rsid w:val="008402D2"/>
    <w:rsid w:val="008404E1"/>
    <w:rsid w:val="00841393"/>
    <w:rsid w:val="00842CCB"/>
    <w:rsid w:val="00847B21"/>
    <w:rsid w:val="0085057E"/>
    <w:rsid w:val="00850EF0"/>
    <w:rsid w:val="0085168A"/>
    <w:rsid w:val="0085210B"/>
    <w:rsid w:val="00853074"/>
    <w:rsid w:val="008533D9"/>
    <w:rsid w:val="00853576"/>
    <w:rsid w:val="00853B19"/>
    <w:rsid w:val="00855DF6"/>
    <w:rsid w:val="00857296"/>
    <w:rsid w:val="00860F17"/>
    <w:rsid w:val="00864247"/>
    <w:rsid w:val="008644AA"/>
    <w:rsid w:val="00864D99"/>
    <w:rsid w:val="00866667"/>
    <w:rsid w:val="00866D64"/>
    <w:rsid w:val="008708C0"/>
    <w:rsid w:val="00871C36"/>
    <w:rsid w:val="00871E64"/>
    <w:rsid w:val="00872DE8"/>
    <w:rsid w:val="00872EBA"/>
    <w:rsid w:val="00873E1B"/>
    <w:rsid w:val="00874105"/>
    <w:rsid w:val="00875D60"/>
    <w:rsid w:val="0088159A"/>
    <w:rsid w:val="008823FB"/>
    <w:rsid w:val="00882855"/>
    <w:rsid w:val="00882B89"/>
    <w:rsid w:val="0088403D"/>
    <w:rsid w:val="0088430E"/>
    <w:rsid w:val="00884804"/>
    <w:rsid w:val="00885C29"/>
    <w:rsid w:val="00885FEB"/>
    <w:rsid w:val="00887221"/>
    <w:rsid w:val="0089071A"/>
    <w:rsid w:val="008907CB"/>
    <w:rsid w:val="0089196D"/>
    <w:rsid w:val="0089252E"/>
    <w:rsid w:val="00892EC6"/>
    <w:rsid w:val="00893491"/>
    <w:rsid w:val="00893579"/>
    <w:rsid w:val="008937C3"/>
    <w:rsid w:val="008944B1"/>
    <w:rsid w:val="00894EB3"/>
    <w:rsid w:val="008959CA"/>
    <w:rsid w:val="00896CDA"/>
    <w:rsid w:val="0089733D"/>
    <w:rsid w:val="00897B77"/>
    <w:rsid w:val="008A10E9"/>
    <w:rsid w:val="008A18BD"/>
    <w:rsid w:val="008A28FC"/>
    <w:rsid w:val="008A36C7"/>
    <w:rsid w:val="008A37A5"/>
    <w:rsid w:val="008A3FE5"/>
    <w:rsid w:val="008A5151"/>
    <w:rsid w:val="008A5429"/>
    <w:rsid w:val="008A70DA"/>
    <w:rsid w:val="008A72E1"/>
    <w:rsid w:val="008A7638"/>
    <w:rsid w:val="008A7B86"/>
    <w:rsid w:val="008A7BB2"/>
    <w:rsid w:val="008B0B94"/>
    <w:rsid w:val="008B1F58"/>
    <w:rsid w:val="008B24EF"/>
    <w:rsid w:val="008B2CA7"/>
    <w:rsid w:val="008B3AE1"/>
    <w:rsid w:val="008B7943"/>
    <w:rsid w:val="008B7DFB"/>
    <w:rsid w:val="008C0B1D"/>
    <w:rsid w:val="008C0D74"/>
    <w:rsid w:val="008C1B78"/>
    <w:rsid w:val="008C1C9D"/>
    <w:rsid w:val="008C268A"/>
    <w:rsid w:val="008C2E2B"/>
    <w:rsid w:val="008C35EC"/>
    <w:rsid w:val="008C424A"/>
    <w:rsid w:val="008C4270"/>
    <w:rsid w:val="008C6206"/>
    <w:rsid w:val="008C6B70"/>
    <w:rsid w:val="008C72B5"/>
    <w:rsid w:val="008D0A54"/>
    <w:rsid w:val="008D2D05"/>
    <w:rsid w:val="008D4E78"/>
    <w:rsid w:val="008D52D2"/>
    <w:rsid w:val="008D61B3"/>
    <w:rsid w:val="008D70A3"/>
    <w:rsid w:val="008D7A49"/>
    <w:rsid w:val="008D7D80"/>
    <w:rsid w:val="008E0C1D"/>
    <w:rsid w:val="008E1161"/>
    <w:rsid w:val="008E306C"/>
    <w:rsid w:val="008E30A1"/>
    <w:rsid w:val="008E3ED7"/>
    <w:rsid w:val="008E41BA"/>
    <w:rsid w:val="008E43DE"/>
    <w:rsid w:val="008E44F5"/>
    <w:rsid w:val="008E4F31"/>
    <w:rsid w:val="008F09AE"/>
    <w:rsid w:val="008F1D2F"/>
    <w:rsid w:val="008F252F"/>
    <w:rsid w:val="008F3975"/>
    <w:rsid w:val="008F3B76"/>
    <w:rsid w:val="008F3D04"/>
    <w:rsid w:val="008F45D0"/>
    <w:rsid w:val="008F473E"/>
    <w:rsid w:val="008F5C04"/>
    <w:rsid w:val="008F5DB9"/>
    <w:rsid w:val="008F6C9C"/>
    <w:rsid w:val="008F775C"/>
    <w:rsid w:val="008F7D27"/>
    <w:rsid w:val="009004B0"/>
    <w:rsid w:val="00905082"/>
    <w:rsid w:val="00906818"/>
    <w:rsid w:val="0091102A"/>
    <w:rsid w:val="00911198"/>
    <w:rsid w:val="0091274C"/>
    <w:rsid w:val="00912D79"/>
    <w:rsid w:val="00912F1F"/>
    <w:rsid w:val="00913A2E"/>
    <w:rsid w:val="00914439"/>
    <w:rsid w:val="00917145"/>
    <w:rsid w:val="00920067"/>
    <w:rsid w:val="00921074"/>
    <w:rsid w:val="009211DF"/>
    <w:rsid w:val="00921419"/>
    <w:rsid w:val="0092216D"/>
    <w:rsid w:val="009225B6"/>
    <w:rsid w:val="00922B56"/>
    <w:rsid w:val="00922BC3"/>
    <w:rsid w:val="00922F31"/>
    <w:rsid w:val="00923894"/>
    <w:rsid w:val="00924E62"/>
    <w:rsid w:val="00924EDE"/>
    <w:rsid w:val="00925225"/>
    <w:rsid w:val="00925C38"/>
    <w:rsid w:val="00926C83"/>
    <w:rsid w:val="009303FE"/>
    <w:rsid w:val="00930796"/>
    <w:rsid w:val="00930E4A"/>
    <w:rsid w:val="00931B21"/>
    <w:rsid w:val="009320B1"/>
    <w:rsid w:val="00932768"/>
    <w:rsid w:val="00932774"/>
    <w:rsid w:val="00933036"/>
    <w:rsid w:val="00933BCC"/>
    <w:rsid w:val="009361A2"/>
    <w:rsid w:val="00936F20"/>
    <w:rsid w:val="00936F76"/>
    <w:rsid w:val="009402E8"/>
    <w:rsid w:val="00940368"/>
    <w:rsid w:val="009408C9"/>
    <w:rsid w:val="009419B7"/>
    <w:rsid w:val="00941B86"/>
    <w:rsid w:val="009423E1"/>
    <w:rsid w:val="00942711"/>
    <w:rsid w:val="00945556"/>
    <w:rsid w:val="0094625E"/>
    <w:rsid w:val="00946B5B"/>
    <w:rsid w:val="0094707A"/>
    <w:rsid w:val="00947917"/>
    <w:rsid w:val="00947A0F"/>
    <w:rsid w:val="00947D6E"/>
    <w:rsid w:val="00947F14"/>
    <w:rsid w:val="00947F1E"/>
    <w:rsid w:val="00951F0B"/>
    <w:rsid w:val="00954804"/>
    <w:rsid w:val="00955644"/>
    <w:rsid w:val="00957C26"/>
    <w:rsid w:val="00960E51"/>
    <w:rsid w:val="00961833"/>
    <w:rsid w:val="0096203A"/>
    <w:rsid w:val="0096254F"/>
    <w:rsid w:val="0096284D"/>
    <w:rsid w:val="00962FB8"/>
    <w:rsid w:val="009638EE"/>
    <w:rsid w:val="00963C37"/>
    <w:rsid w:val="00965292"/>
    <w:rsid w:val="009667D8"/>
    <w:rsid w:val="0096719A"/>
    <w:rsid w:val="00967942"/>
    <w:rsid w:val="00971E8E"/>
    <w:rsid w:val="00972B46"/>
    <w:rsid w:val="00973C6F"/>
    <w:rsid w:val="00974349"/>
    <w:rsid w:val="0097481C"/>
    <w:rsid w:val="00974859"/>
    <w:rsid w:val="00975E2F"/>
    <w:rsid w:val="00976618"/>
    <w:rsid w:val="009770A8"/>
    <w:rsid w:val="00977E84"/>
    <w:rsid w:val="009802E6"/>
    <w:rsid w:val="00980C37"/>
    <w:rsid w:val="00981819"/>
    <w:rsid w:val="00982416"/>
    <w:rsid w:val="00982430"/>
    <w:rsid w:val="00983199"/>
    <w:rsid w:val="00984337"/>
    <w:rsid w:val="00985720"/>
    <w:rsid w:val="00986FED"/>
    <w:rsid w:val="00987DC4"/>
    <w:rsid w:val="00987FD6"/>
    <w:rsid w:val="00990A40"/>
    <w:rsid w:val="009916CC"/>
    <w:rsid w:val="009921CE"/>
    <w:rsid w:val="009925A4"/>
    <w:rsid w:val="009945B6"/>
    <w:rsid w:val="00995ED6"/>
    <w:rsid w:val="00996D2F"/>
    <w:rsid w:val="009A01C5"/>
    <w:rsid w:val="009A1944"/>
    <w:rsid w:val="009A3D40"/>
    <w:rsid w:val="009A4A5C"/>
    <w:rsid w:val="009A4D8B"/>
    <w:rsid w:val="009A520E"/>
    <w:rsid w:val="009A6B3B"/>
    <w:rsid w:val="009B3170"/>
    <w:rsid w:val="009B42B8"/>
    <w:rsid w:val="009B440C"/>
    <w:rsid w:val="009B4724"/>
    <w:rsid w:val="009B5DD6"/>
    <w:rsid w:val="009B602B"/>
    <w:rsid w:val="009B63FD"/>
    <w:rsid w:val="009B7D8D"/>
    <w:rsid w:val="009C40D4"/>
    <w:rsid w:val="009C4407"/>
    <w:rsid w:val="009C48A2"/>
    <w:rsid w:val="009C5FBA"/>
    <w:rsid w:val="009C6302"/>
    <w:rsid w:val="009C7BBE"/>
    <w:rsid w:val="009C7C6B"/>
    <w:rsid w:val="009D123B"/>
    <w:rsid w:val="009D1FD1"/>
    <w:rsid w:val="009D33EB"/>
    <w:rsid w:val="009D3ACF"/>
    <w:rsid w:val="009D500F"/>
    <w:rsid w:val="009D5CE5"/>
    <w:rsid w:val="009D5E75"/>
    <w:rsid w:val="009D5EDF"/>
    <w:rsid w:val="009D7425"/>
    <w:rsid w:val="009D7FE3"/>
    <w:rsid w:val="009E23AE"/>
    <w:rsid w:val="009E32A6"/>
    <w:rsid w:val="009E364A"/>
    <w:rsid w:val="009E3727"/>
    <w:rsid w:val="009E38E3"/>
    <w:rsid w:val="009E3EFD"/>
    <w:rsid w:val="009E6AA0"/>
    <w:rsid w:val="009E7377"/>
    <w:rsid w:val="009E7519"/>
    <w:rsid w:val="009E75B1"/>
    <w:rsid w:val="009E7959"/>
    <w:rsid w:val="009F0ED0"/>
    <w:rsid w:val="009F0F92"/>
    <w:rsid w:val="009F28AE"/>
    <w:rsid w:val="009F53DD"/>
    <w:rsid w:val="009F57CB"/>
    <w:rsid w:val="009F5C80"/>
    <w:rsid w:val="009F5D17"/>
    <w:rsid w:val="009F5EAF"/>
    <w:rsid w:val="009F61C7"/>
    <w:rsid w:val="009F7802"/>
    <w:rsid w:val="00A0020F"/>
    <w:rsid w:val="00A004C4"/>
    <w:rsid w:val="00A0077C"/>
    <w:rsid w:val="00A021EB"/>
    <w:rsid w:val="00A049AB"/>
    <w:rsid w:val="00A04F09"/>
    <w:rsid w:val="00A053FA"/>
    <w:rsid w:val="00A05E9F"/>
    <w:rsid w:val="00A07E7A"/>
    <w:rsid w:val="00A11F8B"/>
    <w:rsid w:val="00A135A3"/>
    <w:rsid w:val="00A16FEC"/>
    <w:rsid w:val="00A20B73"/>
    <w:rsid w:val="00A20D32"/>
    <w:rsid w:val="00A2297C"/>
    <w:rsid w:val="00A24413"/>
    <w:rsid w:val="00A248F2"/>
    <w:rsid w:val="00A250FE"/>
    <w:rsid w:val="00A26955"/>
    <w:rsid w:val="00A26DEC"/>
    <w:rsid w:val="00A2768C"/>
    <w:rsid w:val="00A31469"/>
    <w:rsid w:val="00A32086"/>
    <w:rsid w:val="00A325EB"/>
    <w:rsid w:val="00A343B7"/>
    <w:rsid w:val="00A34696"/>
    <w:rsid w:val="00A402D9"/>
    <w:rsid w:val="00A42576"/>
    <w:rsid w:val="00A42A9B"/>
    <w:rsid w:val="00A44C87"/>
    <w:rsid w:val="00A45FE9"/>
    <w:rsid w:val="00A473BD"/>
    <w:rsid w:val="00A47506"/>
    <w:rsid w:val="00A477D0"/>
    <w:rsid w:val="00A47D5C"/>
    <w:rsid w:val="00A503B2"/>
    <w:rsid w:val="00A50662"/>
    <w:rsid w:val="00A50958"/>
    <w:rsid w:val="00A51847"/>
    <w:rsid w:val="00A52645"/>
    <w:rsid w:val="00A528D9"/>
    <w:rsid w:val="00A53069"/>
    <w:rsid w:val="00A53DFD"/>
    <w:rsid w:val="00A54B19"/>
    <w:rsid w:val="00A54B3A"/>
    <w:rsid w:val="00A54DC1"/>
    <w:rsid w:val="00A56C69"/>
    <w:rsid w:val="00A56E75"/>
    <w:rsid w:val="00A57CBD"/>
    <w:rsid w:val="00A620EB"/>
    <w:rsid w:val="00A625EB"/>
    <w:rsid w:val="00A63B66"/>
    <w:rsid w:val="00A64039"/>
    <w:rsid w:val="00A662E8"/>
    <w:rsid w:val="00A66487"/>
    <w:rsid w:val="00A66CD3"/>
    <w:rsid w:val="00A706FB"/>
    <w:rsid w:val="00A70D58"/>
    <w:rsid w:val="00A70E0A"/>
    <w:rsid w:val="00A719EB"/>
    <w:rsid w:val="00A72443"/>
    <w:rsid w:val="00A72678"/>
    <w:rsid w:val="00A72D4E"/>
    <w:rsid w:val="00A739F5"/>
    <w:rsid w:val="00A7464C"/>
    <w:rsid w:val="00A75B34"/>
    <w:rsid w:val="00A772DD"/>
    <w:rsid w:val="00A77613"/>
    <w:rsid w:val="00A7785F"/>
    <w:rsid w:val="00A80812"/>
    <w:rsid w:val="00A81948"/>
    <w:rsid w:val="00A83DE6"/>
    <w:rsid w:val="00A845CC"/>
    <w:rsid w:val="00A849FF"/>
    <w:rsid w:val="00A84E0A"/>
    <w:rsid w:val="00A85F76"/>
    <w:rsid w:val="00A867DF"/>
    <w:rsid w:val="00A86FE9"/>
    <w:rsid w:val="00A8794C"/>
    <w:rsid w:val="00A87BDB"/>
    <w:rsid w:val="00A93A16"/>
    <w:rsid w:val="00A94001"/>
    <w:rsid w:val="00A945AF"/>
    <w:rsid w:val="00A976A6"/>
    <w:rsid w:val="00AA08BE"/>
    <w:rsid w:val="00AA0ED6"/>
    <w:rsid w:val="00AA1747"/>
    <w:rsid w:val="00AA1D75"/>
    <w:rsid w:val="00AA2354"/>
    <w:rsid w:val="00AA30EA"/>
    <w:rsid w:val="00AA38B1"/>
    <w:rsid w:val="00AA4C93"/>
    <w:rsid w:val="00AA70F6"/>
    <w:rsid w:val="00AA78C4"/>
    <w:rsid w:val="00AB06DB"/>
    <w:rsid w:val="00AB08A2"/>
    <w:rsid w:val="00AB376E"/>
    <w:rsid w:val="00AB4AD7"/>
    <w:rsid w:val="00AB4F23"/>
    <w:rsid w:val="00AB5FE0"/>
    <w:rsid w:val="00AB7771"/>
    <w:rsid w:val="00AB7C2E"/>
    <w:rsid w:val="00AB7F32"/>
    <w:rsid w:val="00AC21B5"/>
    <w:rsid w:val="00AC28F0"/>
    <w:rsid w:val="00AC5786"/>
    <w:rsid w:val="00AC7075"/>
    <w:rsid w:val="00AC7759"/>
    <w:rsid w:val="00AD0FA8"/>
    <w:rsid w:val="00AD2B17"/>
    <w:rsid w:val="00AD2F19"/>
    <w:rsid w:val="00AD477E"/>
    <w:rsid w:val="00AD4808"/>
    <w:rsid w:val="00AD653D"/>
    <w:rsid w:val="00AD6B70"/>
    <w:rsid w:val="00AD734B"/>
    <w:rsid w:val="00AE0687"/>
    <w:rsid w:val="00AE191A"/>
    <w:rsid w:val="00AE208E"/>
    <w:rsid w:val="00AE28EE"/>
    <w:rsid w:val="00AE2966"/>
    <w:rsid w:val="00AE3354"/>
    <w:rsid w:val="00AE3FC4"/>
    <w:rsid w:val="00AE4F35"/>
    <w:rsid w:val="00AE5087"/>
    <w:rsid w:val="00AE629D"/>
    <w:rsid w:val="00AE69C7"/>
    <w:rsid w:val="00AE77B1"/>
    <w:rsid w:val="00AF0FE1"/>
    <w:rsid w:val="00AF3665"/>
    <w:rsid w:val="00AF42FD"/>
    <w:rsid w:val="00AF4A42"/>
    <w:rsid w:val="00AF4C48"/>
    <w:rsid w:val="00AF4C9D"/>
    <w:rsid w:val="00AF6695"/>
    <w:rsid w:val="00AF7030"/>
    <w:rsid w:val="00AF72C9"/>
    <w:rsid w:val="00AF7E02"/>
    <w:rsid w:val="00B00075"/>
    <w:rsid w:val="00B00577"/>
    <w:rsid w:val="00B009A5"/>
    <w:rsid w:val="00B01976"/>
    <w:rsid w:val="00B0400D"/>
    <w:rsid w:val="00B04B3D"/>
    <w:rsid w:val="00B0520D"/>
    <w:rsid w:val="00B074BC"/>
    <w:rsid w:val="00B07654"/>
    <w:rsid w:val="00B106BE"/>
    <w:rsid w:val="00B11060"/>
    <w:rsid w:val="00B1144E"/>
    <w:rsid w:val="00B114EA"/>
    <w:rsid w:val="00B11A4F"/>
    <w:rsid w:val="00B11EAB"/>
    <w:rsid w:val="00B135AC"/>
    <w:rsid w:val="00B14F11"/>
    <w:rsid w:val="00B15151"/>
    <w:rsid w:val="00B20728"/>
    <w:rsid w:val="00B20806"/>
    <w:rsid w:val="00B22709"/>
    <w:rsid w:val="00B229EE"/>
    <w:rsid w:val="00B23769"/>
    <w:rsid w:val="00B23C08"/>
    <w:rsid w:val="00B23C53"/>
    <w:rsid w:val="00B244A0"/>
    <w:rsid w:val="00B257A5"/>
    <w:rsid w:val="00B261F0"/>
    <w:rsid w:val="00B30BA4"/>
    <w:rsid w:val="00B30DB2"/>
    <w:rsid w:val="00B33D89"/>
    <w:rsid w:val="00B359CE"/>
    <w:rsid w:val="00B37638"/>
    <w:rsid w:val="00B400C5"/>
    <w:rsid w:val="00B402A9"/>
    <w:rsid w:val="00B41699"/>
    <w:rsid w:val="00B42574"/>
    <w:rsid w:val="00B42E1F"/>
    <w:rsid w:val="00B4430D"/>
    <w:rsid w:val="00B44431"/>
    <w:rsid w:val="00B4463C"/>
    <w:rsid w:val="00B4485F"/>
    <w:rsid w:val="00B46A7C"/>
    <w:rsid w:val="00B5067C"/>
    <w:rsid w:val="00B511A0"/>
    <w:rsid w:val="00B5374B"/>
    <w:rsid w:val="00B53A80"/>
    <w:rsid w:val="00B54B1D"/>
    <w:rsid w:val="00B55437"/>
    <w:rsid w:val="00B56959"/>
    <w:rsid w:val="00B5742F"/>
    <w:rsid w:val="00B6012C"/>
    <w:rsid w:val="00B61114"/>
    <w:rsid w:val="00B6124D"/>
    <w:rsid w:val="00B61875"/>
    <w:rsid w:val="00B62F8F"/>
    <w:rsid w:val="00B65229"/>
    <w:rsid w:val="00B66114"/>
    <w:rsid w:val="00B66B90"/>
    <w:rsid w:val="00B7409A"/>
    <w:rsid w:val="00B75005"/>
    <w:rsid w:val="00B7583E"/>
    <w:rsid w:val="00B75AAF"/>
    <w:rsid w:val="00B76375"/>
    <w:rsid w:val="00B767C3"/>
    <w:rsid w:val="00B76C17"/>
    <w:rsid w:val="00B810CC"/>
    <w:rsid w:val="00B828D9"/>
    <w:rsid w:val="00B84452"/>
    <w:rsid w:val="00B855DA"/>
    <w:rsid w:val="00B85F99"/>
    <w:rsid w:val="00B86677"/>
    <w:rsid w:val="00B9048F"/>
    <w:rsid w:val="00B90E49"/>
    <w:rsid w:val="00B912B2"/>
    <w:rsid w:val="00B91FAC"/>
    <w:rsid w:val="00B9212B"/>
    <w:rsid w:val="00B942D1"/>
    <w:rsid w:val="00B94F92"/>
    <w:rsid w:val="00B95D74"/>
    <w:rsid w:val="00B96A10"/>
    <w:rsid w:val="00B97D58"/>
    <w:rsid w:val="00BA0499"/>
    <w:rsid w:val="00BA04DC"/>
    <w:rsid w:val="00BA0E11"/>
    <w:rsid w:val="00BA153B"/>
    <w:rsid w:val="00BA2121"/>
    <w:rsid w:val="00BA22E4"/>
    <w:rsid w:val="00BA36F3"/>
    <w:rsid w:val="00BA5505"/>
    <w:rsid w:val="00BA5FF2"/>
    <w:rsid w:val="00BA73DB"/>
    <w:rsid w:val="00BA7A5D"/>
    <w:rsid w:val="00BA7D41"/>
    <w:rsid w:val="00BB0D15"/>
    <w:rsid w:val="00BB244F"/>
    <w:rsid w:val="00BB2F5A"/>
    <w:rsid w:val="00BB499D"/>
    <w:rsid w:val="00BB5904"/>
    <w:rsid w:val="00BB5CDC"/>
    <w:rsid w:val="00BB7A8C"/>
    <w:rsid w:val="00BC165F"/>
    <w:rsid w:val="00BC2D69"/>
    <w:rsid w:val="00BC31AB"/>
    <w:rsid w:val="00BC35A1"/>
    <w:rsid w:val="00BC37D5"/>
    <w:rsid w:val="00BC45C8"/>
    <w:rsid w:val="00BC46EA"/>
    <w:rsid w:val="00BC50A0"/>
    <w:rsid w:val="00BC6180"/>
    <w:rsid w:val="00BC7AD9"/>
    <w:rsid w:val="00BD1308"/>
    <w:rsid w:val="00BD1721"/>
    <w:rsid w:val="00BD20CC"/>
    <w:rsid w:val="00BD2123"/>
    <w:rsid w:val="00BD234A"/>
    <w:rsid w:val="00BD3239"/>
    <w:rsid w:val="00BD397B"/>
    <w:rsid w:val="00BD43FF"/>
    <w:rsid w:val="00BD5232"/>
    <w:rsid w:val="00BD54B7"/>
    <w:rsid w:val="00BD69C4"/>
    <w:rsid w:val="00BE00CF"/>
    <w:rsid w:val="00BE023A"/>
    <w:rsid w:val="00BE0C8F"/>
    <w:rsid w:val="00BE1C6D"/>
    <w:rsid w:val="00BE268A"/>
    <w:rsid w:val="00BE390A"/>
    <w:rsid w:val="00BE4796"/>
    <w:rsid w:val="00BE5E1B"/>
    <w:rsid w:val="00BE6955"/>
    <w:rsid w:val="00BE7CEB"/>
    <w:rsid w:val="00BF1A7F"/>
    <w:rsid w:val="00BF35CC"/>
    <w:rsid w:val="00BF367C"/>
    <w:rsid w:val="00BF40A7"/>
    <w:rsid w:val="00BF4AA4"/>
    <w:rsid w:val="00BF5CCF"/>
    <w:rsid w:val="00BF7494"/>
    <w:rsid w:val="00C015C4"/>
    <w:rsid w:val="00C01810"/>
    <w:rsid w:val="00C01D67"/>
    <w:rsid w:val="00C02E49"/>
    <w:rsid w:val="00C031A0"/>
    <w:rsid w:val="00C046EE"/>
    <w:rsid w:val="00C04E22"/>
    <w:rsid w:val="00C04E7C"/>
    <w:rsid w:val="00C04F3C"/>
    <w:rsid w:val="00C05769"/>
    <w:rsid w:val="00C05A06"/>
    <w:rsid w:val="00C06375"/>
    <w:rsid w:val="00C06E37"/>
    <w:rsid w:val="00C07605"/>
    <w:rsid w:val="00C1102B"/>
    <w:rsid w:val="00C11318"/>
    <w:rsid w:val="00C11799"/>
    <w:rsid w:val="00C11979"/>
    <w:rsid w:val="00C12877"/>
    <w:rsid w:val="00C132D6"/>
    <w:rsid w:val="00C13A2D"/>
    <w:rsid w:val="00C160CD"/>
    <w:rsid w:val="00C178EB"/>
    <w:rsid w:val="00C205A0"/>
    <w:rsid w:val="00C20E84"/>
    <w:rsid w:val="00C24611"/>
    <w:rsid w:val="00C268CC"/>
    <w:rsid w:val="00C30121"/>
    <w:rsid w:val="00C326A9"/>
    <w:rsid w:val="00C34FA6"/>
    <w:rsid w:val="00C34FCC"/>
    <w:rsid w:val="00C3502B"/>
    <w:rsid w:val="00C35098"/>
    <w:rsid w:val="00C36846"/>
    <w:rsid w:val="00C3721F"/>
    <w:rsid w:val="00C373A5"/>
    <w:rsid w:val="00C374FA"/>
    <w:rsid w:val="00C40A73"/>
    <w:rsid w:val="00C412BD"/>
    <w:rsid w:val="00C42127"/>
    <w:rsid w:val="00C423F6"/>
    <w:rsid w:val="00C426D3"/>
    <w:rsid w:val="00C42813"/>
    <w:rsid w:val="00C443E9"/>
    <w:rsid w:val="00C454FB"/>
    <w:rsid w:val="00C47A2C"/>
    <w:rsid w:val="00C47CE2"/>
    <w:rsid w:val="00C51872"/>
    <w:rsid w:val="00C549C5"/>
    <w:rsid w:val="00C549FA"/>
    <w:rsid w:val="00C604A8"/>
    <w:rsid w:val="00C6181F"/>
    <w:rsid w:val="00C6265C"/>
    <w:rsid w:val="00C64E88"/>
    <w:rsid w:val="00C65448"/>
    <w:rsid w:val="00C65469"/>
    <w:rsid w:val="00C65CDC"/>
    <w:rsid w:val="00C675FA"/>
    <w:rsid w:val="00C714ED"/>
    <w:rsid w:val="00C726FA"/>
    <w:rsid w:val="00C7275E"/>
    <w:rsid w:val="00C72BD4"/>
    <w:rsid w:val="00C73342"/>
    <w:rsid w:val="00C73D82"/>
    <w:rsid w:val="00C7562B"/>
    <w:rsid w:val="00C758A6"/>
    <w:rsid w:val="00C76988"/>
    <w:rsid w:val="00C769E9"/>
    <w:rsid w:val="00C76FF4"/>
    <w:rsid w:val="00C77CA1"/>
    <w:rsid w:val="00C80514"/>
    <w:rsid w:val="00C80E29"/>
    <w:rsid w:val="00C81A2A"/>
    <w:rsid w:val="00C8227F"/>
    <w:rsid w:val="00C827BC"/>
    <w:rsid w:val="00C83374"/>
    <w:rsid w:val="00C843B6"/>
    <w:rsid w:val="00C84C9D"/>
    <w:rsid w:val="00C86B59"/>
    <w:rsid w:val="00C9007A"/>
    <w:rsid w:val="00C91DDF"/>
    <w:rsid w:val="00C9343F"/>
    <w:rsid w:val="00C93D5F"/>
    <w:rsid w:val="00C93DE6"/>
    <w:rsid w:val="00C949F0"/>
    <w:rsid w:val="00C94B77"/>
    <w:rsid w:val="00C94BF4"/>
    <w:rsid w:val="00C94CB1"/>
    <w:rsid w:val="00C96702"/>
    <w:rsid w:val="00C96C39"/>
    <w:rsid w:val="00C97DE7"/>
    <w:rsid w:val="00CA0199"/>
    <w:rsid w:val="00CA027C"/>
    <w:rsid w:val="00CA40FD"/>
    <w:rsid w:val="00CA441B"/>
    <w:rsid w:val="00CA567F"/>
    <w:rsid w:val="00CA6002"/>
    <w:rsid w:val="00CA6CEE"/>
    <w:rsid w:val="00CA6D34"/>
    <w:rsid w:val="00CA7824"/>
    <w:rsid w:val="00CB1248"/>
    <w:rsid w:val="00CB13C1"/>
    <w:rsid w:val="00CB1687"/>
    <w:rsid w:val="00CB2561"/>
    <w:rsid w:val="00CB3EE2"/>
    <w:rsid w:val="00CB407A"/>
    <w:rsid w:val="00CB4D46"/>
    <w:rsid w:val="00CB6AC6"/>
    <w:rsid w:val="00CC0CB1"/>
    <w:rsid w:val="00CC25F5"/>
    <w:rsid w:val="00CC2BA9"/>
    <w:rsid w:val="00CC2E66"/>
    <w:rsid w:val="00CC5414"/>
    <w:rsid w:val="00CC58EF"/>
    <w:rsid w:val="00CC7012"/>
    <w:rsid w:val="00CC7A61"/>
    <w:rsid w:val="00CC7C39"/>
    <w:rsid w:val="00CC7F24"/>
    <w:rsid w:val="00CD0472"/>
    <w:rsid w:val="00CD14AF"/>
    <w:rsid w:val="00CD3338"/>
    <w:rsid w:val="00CD388B"/>
    <w:rsid w:val="00CD3A87"/>
    <w:rsid w:val="00CD3AB8"/>
    <w:rsid w:val="00CD45E9"/>
    <w:rsid w:val="00CD510D"/>
    <w:rsid w:val="00CD5F5F"/>
    <w:rsid w:val="00CD6807"/>
    <w:rsid w:val="00CD7613"/>
    <w:rsid w:val="00CE15DA"/>
    <w:rsid w:val="00CE2175"/>
    <w:rsid w:val="00CE2C9B"/>
    <w:rsid w:val="00CE46C1"/>
    <w:rsid w:val="00CE47E6"/>
    <w:rsid w:val="00CE499E"/>
    <w:rsid w:val="00CE4C9B"/>
    <w:rsid w:val="00CE4EBD"/>
    <w:rsid w:val="00CE63E0"/>
    <w:rsid w:val="00CE6C62"/>
    <w:rsid w:val="00CE6D7B"/>
    <w:rsid w:val="00CF169F"/>
    <w:rsid w:val="00CF18CB"/>
    <w:rsid w:val="00CF1983"/>
    <w:rsid w:val="00CF1FF3"/>
    <w:rsid w:val="00CF20CD"/>
    <w:rsid w:val="00CF229B"/>
    <w:rsid w:val="00CF2C71"/>
    <w:rsid w:val="00CF40A4"/>
    <w:rsid w:val="00CF45FC"/>
    <w:rsid w:val="00CF4C12"/>
    <w:rsid w:val="00CF537E"/>
    <w:rsid w:val="00CF5F9B"/>
    <w:rsid w:val="00CF7F2F"/>
    <w:rsid w:val="00D0098A"/>
    <w:rsid w:val="00D015A4"/>
    <w:rsid w:val="00D02F39"/>
    <w:rsid w:val="00D0308F"/>
    <w:rsid w:val="00D0380E"/>
    <w:rsid w:val="00D03D75"/>
    <w:rsid w:val="00D0428B"/>
    <w:rsid w:val="00D053D9"/>
    <w:rsid w:val="00D067C8"/>
    <w:rsid w:val="00D06F68"/>
    <w:rsid w:val="00D0A262"/>
    <w:rsid w:val="00D10561"/>
    <w:rsid w:val="00D10C52"/>
    <w:rsid w:val="00D12695"/>
    <w:rsid w:val="00D12BBF"/>
    <w:rsid w:val="00D14A60"/>
    <w:rsid w:val="00D15292"/>
    <w:rsid w:val="00D15485"/>
    <w:rsid w:val="00D1705F"/>
    <w:rsid w:val="00D170DF"/>
    <w:rsid w:val="00D21005"/>
    <w:rsid w:val="00D2182B"/>
    <w:rsid w:val="00D2282A"/>
    <w:rsid w:val="00D22E56"/>
    <w:rsid w:val="00D23058"/>
    <w:rsid w:val="00D23291"/>
    <w:rsid w:val="00D2368E"/>
    <w:rsid w:val="00D23B30"/>
    <w:rsid w:val="00D23C13"/>
    <w:rsid w:val="00D24E32"/>
    <w:rsid w:val="00D24E4C"/>
    <w:rsid w:val="00D25478"/>
    <w:rsid w:val="00D268FB"/>
    <w:rsid w:val="00D273B6"/>
    <w:rsid w:val="00D30049"/>
    <w:rsid w:val="00D3159B"/>
    <w:rsid w:val="00D31B52"/>
    <w:rsid w:val="00D337BE"/>
    <w:rsid w:val="00D33FDC"/>
    <w:rsid w:val="00D3610E"/>
    <w:rsid w:val="00D36D41"/>
    <w:rsid w:val="00D40AE8"/>
    <w:rsid w:val="00D40DDE"/>
    <w:rsid w:val="00D4158F"/>
    <w:rsid w:val="00D41EF0"/>
    <w:rsid w:val="00D43142"/>
    <w:rsid w:val="00D435AE"/>
    <w:rsid w:val="00D44155"/>
    <w:rsid w:val="00D445FC"/>
    <w:rsid w:val="00D4506E"/>
    <w:rsid w:val="00D458F4"/>
    <w:rsid w:val="00D45AA9"/>
    <w:rsid w:val="00D460C6"/>
    <w:rsid w:val="00D46432"/>
    <w:rsid w:val="00D46A79"/>
    <w:rsid w:val="00D46AD3"/>
    <w:rsid w:val="00D47058"/>
    <w:rsid w:val="00D47073"/>
    <w:rsid w:val="00D506A0"/>
    <w:rsid w:val="00D50BF0"/>
    <w:rsid w:val="00D50E56"/>
    <w:rsid w:val="00D50F58"/>
    <w:rsid w:val="00D510C8"/>
    <w:rsid w:val="00D5278D"/>
    <w:rsid w:val="00D537A3"/>
    <w:rsid w:val="00D54197"/>
    <w:rsid w:val="00D5641F"/>
    <w:rsid w:val="00D5712A"/>
    <w:rsid w:val="00D579DE"/>
    <w:rsid w:val="00D60115"/>
    <w:rsid w:val="00D61013"/>
    <w:rsid w:val="00D61695"/>
    <w:rsid w:val="00D62B6D"/>
    <w:rsid w:val="00D6394C"/>
    <w:rsid w:val="00D63DE7"/>
    <w:rsid w:val="00D63FE7"/>
    <w:rsid w:val="00D64424"/>
    <w:rsid w:val="00D654CF"/>
    <w:rsid w:val="00D65F08"/>
    <w:rsid w:val="00D66B83"/>
    <w:rsid w:val="00D6731A"/>
    <w:rsid w:val="00D67CF0"/>
    <w:rsid w:val="00D74F64"/>
    <w:rsid w:val="00D754D9"/>
    <w:rsid w:val="00D76921"/>
    <w:rsid w:val="00D76AA1"/>
    <w:rsid w:val="00D76E18"/>
    <w:rsid w:val="00D77009"/>
    <w:rsid w:val="00D772B4"/>
    <w:rsid w:val="00D778F3"/>
    <w:rsid w:val="00D77A97"/>
    <w:rsid w:val="00D81140"/>
    <w:rsid w:val="00D82954"/>
    <w:rsid w:val="00D831F7"/>
    <w:rsid w:val="00D8394C"/>
    <w:rsid w:val="00D842CE"/>
    <w:rsid w:val="00D8719C"/>
    <w:rsid w:val="00D87A7C"/>
    <w:rsid w:val="00D904F9"/>
    <w:rsid w:val="00D91E8C"/>
    <w:rsid w:val="00D925E9"/>
    <w:rsid w:val="00D933ED"/>
    <w:rsid w:val="00D93A1B"/>
    <w:rsid w:val="00D946C9"/>
    <w:rsid w:val="00D94C7A"/>
    <w:rsid w:val="00D953BE"/>
    <w:rsid w:val="00D964BC"/>
    <w:rsid w:val="00DA1C96"/>
    <w:rsid w:val="00DA35FD"/>
    <w:rsid w:val="00DA3A69"/>
    <w:rsid w:val="00DA3D92"/>
    <w:rsid w:val="00DA3F8B"/>
    <w:rsid w:val="00DA4C47"/>
    <w:rsid w:val="00DA5E96"/>
    <w:rsid w:val="00DA633E"/>
    <w:rsid w:val="00DA7B57"/>
    <w:rsid w:val="00DB0318"/>
    <w:rsid w:val="00DB07D0"/>
    <w:rsid w:val="00DB0885"/>
    <w:rsid w:val="00DB1AF0"/>
    <w:rsid w:val="00DB2C10"/>
    <w:rsid w:val="00DB2DF1"/>
    <w:rsid w:val="00DB370F"/>
    <w:rsid w:val="00DB41F5"/>
    <w:rsid w:val="00DB49DB"/>
    <w:rsid w:val="00DB4FBA"/>
    <w:rsid w:val="00DB5566"/>
    <w:rsid w:val="00DB6BF4"/>
    <w:rsid w:val="00DB7494"/>
    <w:rsid w:val="00DB7A0E"/>
    <w:rsid w:val="00DB7AB4"/>
    <w:rsid w:val="00DC03F0"/>
    <w:rsid w:val="00DC26F6"/>
    <w:rsid w:val="00DC270D"/>
    <w:rsid w:val="00DC2C8E"/>
    <w:rsid w:val="00DC445D"/>
    <w:rsid w:val="00DC498D"/>
    <w:rsid w:val="00DC4AF4"/>
    <w:rsid w:val="00DC4B38"/>
    <w:rsid w:val="00DC4E0B"/>
    <w:rsid w:val="00DC5BC0"/>
    <w:rsid w:val="00DC6C6D"/>
    <w:rsid w:val="00DC6D17"/>
    <w:rsid w:val="00DC740B"/>
    <w:rsid w:val="00DC799A"/>
    <w:rsid w:val="00DD11AF"/>
    <w:rsid w:val="00DD3B76"/>
    <w:rsid w:val="00DD3F32"/>
    <w:rsid w:val="00DD3F76"/>
    <w:rsid w:val="00DD6B52"/>
    <w:rsid w:val="00DD766F"/>
    <w:rsid w:val="00DD7A93"/>
    <w:rsid w:val="00DE071A"/>
    <w:rsid w:val="00DE14B5"/>
    <w:rsid w:val="00DE4733"/>
    <w:rsid w:val="00DE50D0"/>
    <w:rsid w:val="00DE5E9E"/>
    <w:rsid w:val="00DE72AB"/>
    <w:rsid w:val="00DF1B5E"/>
    <w:rsid w:val="00DF1F24"/>
    <w:rsid w:val="00DF4201"/>
    <w:rsid w:val="00DF5B1B"/>
    <w:rsid w:val="00DF672B"/>
    <w:rsid w:val="00DF753B"/>
    <w:rsid w:val="00DF77BF"/>
    <w:rsid w:val="00E00727"/>
    <w:rsid w:val="00E0094E"/>
    <w:rsid w:val="00E00FBA"/>
    <w:rsid w:val="00E01588"/>
    <w:rsid w:val="00E023E4"/>
    <w:rsid w:val="00E02D1D"/>
    <w:rsid w:val="00E03B87"/>
    <w:rsid w:val="00E06045"/>
    <w:rsid w:val="00E06ECC"/>
    <w:rsid w:val="00E07117"/>
    <w:rsid w:val="00E0751D"/>
    <w:rsid w:val="00E07A55"/>
    <w:rsid w:val="00E108F2"/>
    <w:rsid w:val="00E10F4D"/>
    <w:rsid w:val="00E1109A"/>
    <w:rsid w:val="00E1182B"/>
    <w:rsid w:val="00E1190C"/>
    <w:rsid w:val="00E11FD9"/>
    <w:rsid w:val="00E1415F"/>
    <w:rsid w:val="00E14673"/>
    <w:rsid w:val="00E1557A"/>
    <w:rsid w:val="00E20891"/>
    <w:rsid w:val="00E21203"/>
    <w:rsid w:val="00E2219B"/>
    <w:rsid w:val="00E23BCD"/>
    <w:rsid w:val="00E2554B"/>
    <w:rsid w:val="00E26288"/>
    <w:rsid w:val="00E27193"/>
    <w:rsid w:val="00E30394"/>
    <w:rsid w:val="00E30C26"/>
    <w:rsid w:val="00E30FD1"/>
    <w:rsid w:val="00E312A7"/>
    <w:rsid w:val="00E321EE"/>
    <w:rsid w:val="00E325C0"/>
    <w:rsid w:val="00E325E1"/>
    <w:rsid w:val="00E32A5E"/>
    <w:rsid w:val="00E338E1"/>
    <w:rsid w:val="00E3487E"/>
    <w:rsid w:val="00E363ED"/>
    <w:rsid w:val="00E37488"/>
    <w:rsid w:val="00E4046C"/>
    <w:rsid w:val="00E41431"/>
    <w:rsid w:val="00E41EAD"/>
    <w:rsid w:val="00E426A9"/>
    <w:rsid w:val="00E43175"/>
    <w:rsid w:val="00E43990"/>
    <w:rsid w:val="00E43A08"/>
    <w:rsid w:val="00E44500"/>
    <w:rsid w:val="00E4489A"/>
    <w:rsid w:val="00E454F8"/>
    <w:rsid w:val="00E4735E"/>
    <w:rsid w:val="00E47553"/>
    <w:rsid w:val="00E505E3"/>
    <w:rsid w:val="00E507DC"/>
    <w:rsid w:val="00E50A3A"/>
    <w:rsid w:val="00E50DBA"/>
    <w:rsid w:val="00E5288B"/>
    <w:rsid w:val="00E5381F"/>
    <w:rsid w:val="00E557D5"/>
    <w:rsid w:val="00E55C87"/>
    <w:rsid w:val="00E606B1"/>
    <w:rsid w:val="00E60C14"/>
    <w:rsid w:val="00E60C46"/>
    <w:rsid w:val="00E60CD7"/>
    <w:rsid w:val="00E620ED"/>
    <w:rsid w:val="00E63856"/>
    <w:rsid w:val="00E64CD2"/>
    <w:rsid w:val="00E6772F"/>
    <w:rsid w:val="00E71DE5"/>
    <w:rsid w:val="00E72EA7"/>
    <w:rsid w:val="00E734D6"/>
    <w:rsid w:val="00E736C8"/>
    <w:rsid w:val="00E73847"/>
    <w:rsid w:val="00E74068"/>
    <w:rsid w:val="00E742C5"/>
    <w:rsid w:val="00E7441E"/>
    <w:rsid w:val="00E7501B"/>
    <w:rsid w:val="00E757E2"/>
    <w:rsid w:val="00E75883"/>
    <w:rsid w:val="00E763E8"/>
    <w:rsid w:val="00E77E92"/>
    <w:rsid w:val="00E813A3"/>
    <w:rsid w:val="00E81C67"/>
    <w:rsid w:val="00E82650"/>
    <w:rsid w:val="00E832CF"/>
    <w:rsid w:val="00E85D6B"/>
    <w:rsid w:val="00E862D1"/>
    <w:rsid w:val="00E86816"/>
    <w:rsid w:val="00E86C4B"/>
    <w:rsid w:val="00E87F3A"/>
    <w:rsid w:val="00E907F5"/>
    <w:rsid w:val="00E90928"/>
    <w:rsid w:val="00E9143F"/>
    <w:rsid w:val="00E9151D"/>
    <w:rsid w:val="00E91D64"/>
    <w:rsid w:val="00E938BE"/>
    <w:rsid w:val="00E93E7A"/>
    <w:rsid w:val="00E94F30"/>
    <w:rsid w:val="00E960EC"/>
    <w:rsid w:val="00E97C2E"/>
    <w:rsid w:val="00EA0D95"/>
    <w:rsid w:val="00EA134A"/>
    <w:rsid w:val="00EA1EB3"/>
    <w:rsid w:val="00EA1EB6"/>
    <w:rsid w:val="00EA20B1"/>
    <w:rsid w:val="00EA44E1"/>
    <w:rsid w:val="00EA5E02"/>
    <w:rsid w:val="00EA7FAB"/>
    <w:rsid w:val="00EB0166"/>
    <w:rsid w:val="00EB14E5"/>
    <w:rsid w:val="00EB2E2A"/>
    <w:rsid w:val="00EB384C"/>
    <w:rsid w:val="00EB3C15"/>
    <w:rsid w:val="00EB4A99"/>
    <w:rsid w:val="00EB60A9"/>
    <w:rsid w:val="00EB617F"/>
    <w:rsid w:val="00EB7747"/>
    <w:rsid w:val="00EC081A"/>
    <w:rsid w:val="00EC09BF"/>
    <w:rsid w:val="00EC1775"/>
    <w:rsid w:val="00EC1E9C"/>
    <w:rsid w:val="00EC26A3"/>
    <w:rsid w:val="00EC2AAF"/>
    <w:rsid w:val="00EC31ED"/>
    <w:rsid w:val="00EC3B5B"/>
    <w:rsid w:val="00EC4FCD"/>
    <w:rsid w:val="00EC52E9"/>
    <w:rsid w:val="00EC589F"/>
    <w:rsid w:val="00EC636B"/>
    <w:rsid w:val="00EC6725"/>
    <w:rsid w:val="00EC693B"/>
    <w:rsid w:val="00EC6FD0"/>
    <w:rsid w:val="00EC731B"/>
    <w:rsid w:val="00EC7387"/>
    <w:rsid w:val="00EC7DBB"/>
    <w:rsid w:val="00ED05FC"/>
    <w:rsid w:val="00ED0BF3"/>
    <w:rsid w:val="00ED0DF2"/>
    <w:rsid w:val="00ED1006"/>
    <w:rsid w:val="00ED1266"/>
    <w:rsid w:val="00ED1326"/>
    <w:rsid w:val="00ED202C"/>
    <w:rsid w:val="00ED28D0"/>
    <w:rsid w:val="00ED2A53"/>
    <w:rsid w:val="00ED2F6A"/>
    <w:rsid w:val="00ED330F"/>
    <w:rsid w:val="00ED45F2"/>
    <w:rsid w:val="00ED4B57"/>
    <w:rsid w:val="00ED5388"/>
    <w:rsid w:val="00ED54EB"/>
    <w:rsid w:val="00ED60AE"/>
    <w:rsid w:val="00ED7104"/>
    <w:rsid w:val="00EE07BA"/>
    <w:rsid w:val="00EE0856"/>
    <w:rsid w:val="00EE17F4"/>
    <w:rsid w:val="00EE420C"/>
    <w:rsid w:val="00EE523A"/>
    <w:rsid w:val="00EE5890"/>
    <w:rsid w:val="00EE5AC7"/>
    <w:rsid w:val="00EE61A4"/>
    <w:rsid w:val="00EF12F2"/>
    <w:rsid w:val="00EF2800"/>
    <w:rsid w:val="00EF42AE"/>
    <w:rsid w:val="00EF4F43"/>
    <w:rsid w:val="00EF54A2"/>
    <w:rsid w:val="00EF6CB5"/>
    <w:rsid w:val="00EF6FE5"/>
    <w:rsid w:val="00EF73FE"/>
    <w:rsid w:val="00EF7635"/>
    <w:rsid w:val="00F01367"/>
    <w:rsid w:val="00F02E94"/>
    <w:rsid w:val="00F0323F"/>
    <w:rsid w:val="00F0586A"/>
    <w:rsid w:val="00F05FA1"/>
    <w:rsid w:val="00F06497"/>
    <w:rsid w:val="00F06DC1"/>
    <w:rsid w:val="00F077B7"/>
    <w:rsid w:val="00F10C23"/>
    <w:rsid w:val="00F10DCD"/>
    <w:rsid w:val="00F12D4E"/>
    <w:rsid w:val="00F1306B"/>
    <w:rsid w:val="00F1307E"/>
    <w:rsid w:val="00F15198"/>
    <w:rsid w:val="00F15B23"/>
    <w:rsid w:val="00F1798B"/>
    <w:rsid w:val="00F17DE9"/>
    <w:rsid w:val="00F21AF5"/>
    <w:rsid w:val="00F22336"/>
    <w:rsid w:val="00F23C8E"/>
    <w:rsid w:val="00F23C97"/>
    <w:rsid w:val="00F24E5D"/>
    <w:rsid w:val="00F25476"/>
    <w:rsid w:val="00F255D7"/>
    <w:rsid w:val="00F258BC"/>
    <w:rsid w:val="00F25A00"/>
    <w:rsid w:val="00F30612"/>
    <w:rsid w:val="00F30DDF"/>
    <w:rsid w:val="00F30F61"/>
    <w:rsid w:val="00F31521"/>
    <w:rsid w:val="00F316E1"/>
    <w:rsid w:val="00F31A3A"/>
    <w:rsid w:val="00F322DD"/>
    <w:rsid w:val="00F330B6"/>
    <w:rsid w:val="00F33336"/>
    <w:rsid w:val="00F3463D"/>
    <w:rsid w:val="00F36663"/>
    <w:rsid w:val="00F367D7"/>
    <w:rsid w:val="00F36F70"/>
    <w:rsid w:val="00F371E0"/>
    <w:rsid w:val="00F4050F"/>
    <w:rsid w:val="00F4271A"/>
    <w:rsid w:val="00F42C10"/>
    <w:rsid w:val="00F43FA5"/>
    <w:rsid w:val="00F45547"/>
    <w:rsid w:val="00F46DD3"/>
    <w:rsid w:val="00F47484"/>
    <w:rsid w:val="00F47C0D"/>
    <w:rsid w:val="00F47D8C"/>
    <w:rsid w:val="00F50471"/>
    <w:rsid w:val="00F506FE"/>
    <w:rsid w:val="00F507AB"/>
    <w:rsid w:val="00F51016"/>
    <w:rsid w:val="00F515FE"/>
    <w:rsid w:val="00F52880"/>
    <w:rsid w:val="00F5349D"/>
    <w:rsid w:val="00F54230"/>
    <w:rsid w:val="00F54A4F"/>
    <w:rsid w:val="00F555B8"/>
    <w:rsid w:val="00F55A68"/>
    <w:rsid w:val="00F57D75"/>
    <w:rsid w:val="00F61385"/>
    <w:rsid w:val="00F62D52"/>
    <w:rsid w:val="00F63552"/>
    <w:rsid w:val="00F6560F"/>
    <w:rsid w:val="00F66A87"/>
    <w:rsid w:val="00F7008B"/>
    <w:rsid w:val="00F72762"/>
    <w:rsid w:val="00F72B53"/>
    <w:rsid w:val="00F74496"/>
    <w:rsid w:val="00F7500F"/>
    <w:rsid w:val="00F7563B"/>
    <w:rsid w:val="00F75B0A"/>
    <w:rsid w:val="00F76979"/>
    <w:rsid w:val="00F76B58"/>
    <w:rsid w:val="00F76C0E"/>
    <w:rsid w:val="00F80B3C"/>
    <w:rsid w:val="00F819D8"/>
    <w:rsid w:val="00F81CE4"/>
    <w:rsid w:val="00F82308"/>
    <w:rsid w:val="00F82375"/>
    <w:rsid w:val="00F8241D"/>
    <w:rsid w:val="00F83D29"/>
    <w:rsid w:val="00F84078"/>
    <w:rsid w:val="00F843EC"/>
    <w:rsid w:val="00F86062"/>
    <w:rsid w:val="00F862C8"/>
    <w:rsid w:val="00F864A4"/>
    <w:rsid w:val="00F87C21"/>
    <w:rsid w:val="00F87F36"/>
    <w:rsid w:val="00F91121"/>
    <w:rsid w:val="00F94751"/>
    <w:rsid w:val="00F95430"/>
    <w:rsid w:val="00F9543A"/>
    <w:rsid w:val="00F96550"/>
    <w:rsid w:val="00F96B8E"/>
    <w:rsid w:val="00F97716"/>
    <w:rsid w:val="00F97EBD"/>
    <w:rsid w:val="00FA0A78"/>
    <w:rsid w:val="00FA1E0E"/>
    <w:rsid w:val="00FA2342"/>
    <w:rsid w:val="00FA2F29"/>
    <w:rsid w:val="00FA3B67"/>
    <w:rsid w:val="00FA3C93"/>
    <w:rsid w:val="00FA4D57"/>
    <w:rsid w:val="00FA502A"/>
    <w:rsid w:val="00FA5627"/>
    <w:rsid w:val="00FA5D26"/>
    <w:rsid w:val="00FA668F"/>
    <w:rsid w:val="00FA6C03"/>
    <w:rsid w:val="00FA7121"/>
    <w:rsid w:val="00FB003B"/>
    <w:rsid w:val="00FB0A8A"/>
    <w:rsid w:val="00FB230D"/>
    <w:rsid w:val="00FB3C73"/>
    <w:rsid w:val="00FB53B8"/>
    <w:rsid w:val="00FB599D"/>
    <w:rsid w:val="00FB6728"/>
    <w:rsid w:val="00FB6862"/>
    <w:rsid w:val="00FB728C"/>
    <w:rsid w:val="00FC08E4"/>
    <w:rsid w:val="00FC0E6F"/>
    <w:rsid w:val="00FC17D9"/>
    <w:rsid w:val="00FC384C"/>
    <w:rsid w:val="00FC3FA9"/>
    <w:rsid w:val="00FC5F2A"/>
    <w:rsid w:val="00FC66A8"/>
    <w:rsid w:val="00FC733E"/>
    <w:rsid w:val="00FD09BC"/>
    <w:rsid w:val="00FD0BCE"/>
    <w:rsid w:val="00FD100B"/>
    <w:rsid w:val="00FD211E"/>
    <w:rsid w:val="00FD2566"/>
    <w:rsid w:val="00FD2EE2"/>
    <w:rsid w:val="00FD4B12"/>
    <w:rsid w:val="00FD52DA"/>
    <w:rsid w:val="00FD5C32"/>
    <w:rsid w:val="00FD6DCA"/>
    <w:rsid w:val="00FE08CF"/>
    <w:rsid w:val="00FE11C7"/>
    <w:rsid w:val="00FE293B"/>
    <w:rsid w:val="00FE2FEC"/>
    <w:rsid w:val="00FE34E2"/>
    <w:rsid w:val="00FE37D9"/>
    <w:rsid w:val="00FE61E8"/>
    <w:rsid w:val="00FE6DC2"/>
    <w:rsid w:val="00FE753F"/>
    <w:rsid w:val="00FF075B"/>
    <w:rsid w:val="00FF20F6"/>
    <w:rsid w:val="00FF4D93"/>
    <w:rsid w:val="00FF5248"/>
    <w:rsid w:val="00FF63D7"/>
    <w:rsid w:val="00FF765B"/>
    <w:rsid w:val="1B70A579"/>
    <w:rsid w:val="26DFCC22"/>
    <w:rsid w:val="299805F2"/>
    <w:rsid w:val="30CF2E0A"/>
    <w:rsid w:val="3AE76D49"/>
    <w:rsid w:val="3DB5F952"/>
    <w:rsid w:val="3E51FB31"/>
    <w:rsid w:val="40396ADF"/>
    <w:rsid w:val="57C8E1C3"/>
    <w:rsid w:val="59A00C1F"/>
    <w:rsid w:val="6492C4A0"/>
    <w:rsid w:val="66D7A14B"/>
    <w:rsid w:val="678F233A"/>
    <w:rsid w:val="67EE793F"/>
    <w:rsid w:val="6A3182E5"/>
    <w:rsid w:val="6CD1F116"/>
    <w:rsid w:val="6DE10671"/>
    <w:rsid w:val="6E038F73"/>
    <w:rsid w:val="70A8AA07"/>
    <w:rsid w:val="7599766A"/>
    <w:rsid w:val="77B1BE5D"/>
    <w:rsid w:val="7B9D5B28"/>
    <w:rsid w:val="7BBDBC1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D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9"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49" w:unhideWhenUsed="1"/>
    <w:lsdException w:name="header" w:semiHidden="1" w:unhideWhenUsed="1"/>
    <w:lsdException w:name="footer" w:semiHidden="1" w:uiPriority="24"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D6"/>
    <w:pPr>
      <w:keepLines/>
      <w:spacing w:before="100" w:after="100" w:line="240" w:lineRule="auto"/>
    </w:pPr>
    <w:rPr>
      <w:rFonts w:ascii="Calibri" w:eastAsia="Times New Roman" w:hAnsi="Calibri" w:cs="Calibri"/>
      <w:sz w:val="20"/>
      <w:lang w:eastAsia="en-AU"/>
    </w:rPr>
  </w:style>
  <w:style w:type="paragraph" w:styleId="Heading1">
    <w:name w:val="heading 1"/>
    <w:basedOn w:val="Normal"/>
    <w:next w:val="Normal"/>
    <w:link w:val="Heading1Char"/>
    <w:uiPriority w:val="3"/>
    <w:qFormat/>
    <w:rsid w:val="00D1705F"/>
    <w:pPr>
      <w:keepNext/>
      <w:spacing w:before="120" w:after="120" w:line="216" w:lineRule="auto"/>
      <w:outlineLvl w:val="0"/>
    </w:pPr>
    <w:rPr>
      <w:color w:val="404040"/>
      <w:sz w:val="28"/>
      <w:szCs w:val="28"/>
    </w:rPr>
  </w:style>
  <w:style w:type="paragraph" w:styleId="Heading2">
    <w:name w:val="heading 2"/>
    <w:basedOn w:val="Heading1"/>
    <w:link w:val="Heading2Char"/>
    <w:uiPriority w:val="3"/>
    <w:qFormat/>
    <w:rsid w:val="006A1132"/>
    <w:pPr>
      <w:keepNext w:val="0"/>
      <w:keepLines w:val="0"/>
      <w:widowControl w:val="0"/>
      <w:numPr>
        <w:ilvl w:val="1"/>
      </w:numPr>
      <w:outlineLvl w:val="1"/>
    </w:pPr>
    <w:rPr>
      <w:color w:val="auto"/>
      <w:sz w:val="20"/>
      <w:szCs w:val="22"/>
    </w:rPr>
  </w:style>
  <w:style w:type="paragraph" w:styleId="Heading3">
    <w:name w:val="heading 3"/>
    <w:basedOn w:val="Heading2"/>
    <w:next w:val="Normal"/>
    <w:link w:val="Heading3Char"/>
    <w:uiPriority w:val="3"/>
    <w:qFormat/>
    <w:rsid w:val="000501DE"/>
    <w:pPr>
      <w:numPr>
        <w:ilvl w:val="2"/>
      </w:numPr>
      <w:spacing w:before="160" w:after="100"/>
      <w:outlineLvl w:val="2"/>
    </w:pPr>
    <w:rPr>
      <w:rFonts w:cs="Times New Roman"/>
      <w:b/>
      <w:color w:val="595959" w:themeColor="text1" w:themeTint="A6"/>
      <w:sz w:val="22"/>
      <w:szCs w:val="20"/>
    </w:rPr>
  </w:style>
  <w:style w:type="paragraph" w:styleId="Heading4">
    <w:name w:val="heading 4"/>
    <w:basedOn w:val="Heading3"/>
    <w:next w:val="Normal"/>
    <w:link w:val="Heading4Char"/>
    <w:uiPriority w:val="3"/>
    <w:qFormat/>
    <w:rsid w:val="00381042"/>
    <w:pPr>
      <w:numPr>
        <w:ilvl w:val="0"/>
      </w:numPr>
      <w:spacing w:line="228" w:lineRule="auto"/>
      <w:outlineLvl w:val="3"/>
    </w:pPr>
    <w:rPr>
      <w:sz w:val="20"/>
    </w:rPr>
  </w:style>
  <w:style w:type="paragraph" w:styleId="Heading5">
    <w:name w:val="heading 5"/>
    <w:basedOn w:val="Normal"/>
    <w:next w:val="Normal"/>
    <w:link w:val="Heading5Char"/>
    <w:uiPriority w:val="9"/>
    <w:semiHidden/>
    <w:qFormat/>
    <w:rsid w:val="00164D44"/>
    <w:pPr>
      <w:keepNext/>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3"/>
    <w:semiHidden/>
    <w:qFormat/>
    <w:rsid w:val="00164D44"/>
    <w:pPr>
      <w:keepNext/>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3"/>
    <w:semiHidden/>
    <w:qFormat/>
    <w:rsid w:val="00164D44"/>
    <w:pPr>
      <w:keepNext/>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
    <w:semiHidden/>
    <w:qFormat/>
    <w:rsid w:val="00164D44"/>
    <w:pPr>
      <w:keepNext/>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3"/>
    <w:semiHidden/>
    <w:qFormat/>
    <w:rsid w:val="00164D44"/>
    <w:pPr>
      <w:keepNext/>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1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uiPriority w:val="1"/>
    <w:qFormat/>
    <w:rsid w:val="00F91121"/>
    <w:pPr>
      <w:numPr>
        <w:numId w:val="1"/>
      </w:numPr>
      <w:tabs>
        <w:tab w:val="clear" w:pos="283"/>
        <w:tab w:val="num" w:pos="360"/>
      </w:tabs>
      <w:spacing w:before="80" w:after="80"/>
      <w:ind w:left="0" w:firstLine="0"/>
    </w:pPr>
  </w:style>
  <w:style w:type="paragraph" w:customStyle="1" w:styleId="Bullet2">
    <w:name w:val="Bullet 2"/>
    <w:basedOn w:val="Bullet1"/>
    <w:uiPriority w:val="1"/>
    <w:qFormat/>
    <w:rsid w:val="00F96B8E"/>
    <w:pPr>
      <w:numPr>
        <w:ilvl w:val="1"/>
      </w:numPr>
      <w:tabs>
        <w:tab w:val="clear" w:pos="567"/>
        <w:tab w:val="num" w:pos="360"/>
      </w:tabs>
      <w:ind w:left="0" w:firstLine="0"/>
    </w:pPr>
  </w:style>
  <w:style w:type="paragraph" w:customStyle="1" w:styleId="Bullet3">
    <w:name w:val="Bullet 3"/>
    <w:basedOn w:val="Bullet2"/>
    <w:rsid w:val="00A66487"/>
    <w:pPr>
      <w:numPr>
        <w:ilvl w:val="2"/>
      </w:numPr>
      <w:tabs>
        <w:tab w:val="clear" w:pos="850"/>
      </w:tabs>
      <w:ind w:left="720" w:hanging="360"/>
      <w:contextualSpacing/>
    </w:pPr>
  </w:style>
  <w:style w:type="paragraph" w:styleId="Caption">
    <w:name w:val="caption"/>
    <w:basedOn w:val="Normal"/>
    <w:next w:val="Normal"/>
    <w:uiPriority w:val="13"/>
    <w:qFormat/>
    <w:rsid w:val="00F91121"/>
    <w:pPr>
      <w:keepNext/>
      <w:tabs>
        <w:tab w:val="left" w:pos="851"/>
      </w:tabs>
      <w:spacing w:before="60" w:after="60" w:line="228" w:lineRule="auto"/>
    </w:pPr>
    <w:rPr>
      <w:b/>
    </w:rPr>
  </w:style>
  <w:style w:type="paragraph" w:customStyle="1" w:styleId="CaptionTable">
    <w:name w:val="Caption Table"/>
    <w:basedOn w:val="Normal"/>
    <w:uiPriority w:val="14"/>
    <w:rsid w:val="00F91121"/>
    <w:rPr>
      <w:b/>
    </w:rPr>
  </w:style>
  <w:style w:type="paragraph" w:styleId="Footer">
    <w:name w:val="footer"/>
    <w:link w:val="FooterChar"/>
    <w:uiPriority w:val="24"/>
    <w:rsid w:val="00F91121"/>
    <w:pPr>
      <w:tabs>
        <w:tab w:val="right" w:pos="8220"/>
      </w:tabs>
      <w:spacing w:after="0" w:line="240" w:lineRule="auto"/>
      <w:jc w:val="right"/>
    </w:pPr>
    <w:rPr>
      <w:rFonts w:ascii="Calibri" w:eastAsia="Times New Roman" w:hAnsi="Calibri" w:cs="Calibri"/>
      <w:noProof/>
      <w:color w:val="FFFFFF" w:themeColor="background1"/>
      <w:sz w:val="20"/>
      <w:szCs w:val="20"/>
      <w:lang w:eastAsia="en-AU"/>
    </w:rPr>
  </w:style>
  <w:style w:type="character" w:customStyle="1" w:styleId="FooterChar">
    <w:name w:val="Footer Char"/>
    <w:link w:val="Footer"/>
    <w:uiPriority w:val="24"/>
    <w:rsid w:val="00F91121"/>
    <w:rPr>
      <w:rFonts w:ascii="Calibri" w:eastAsia="Times New Roman" w:hAnsi="Calibri" w:cs="Calibri"/>
      <w:noProof/>
      <w:color w:val="FFFFFF" w:themeColor="background1"/>
      <w:sz w:val="20"/>
      <w:szCs w:val="20"/>
      <w:lang w:eastAsia="en-AU"/>
    </w:rPr>
  </w:style>
  <w:style w:type="character" w:customStyle="1" w:styleId="Heading1Char">
    <w:name w:val="Heading 1 Char"/>
    <w:link w:val="Heading1"/>
    <w:uiPriority w:val="3"/>
    <w:rsid w:val="00D1705F"/>
    <w:rPr>
      <w:rFonts w:ascii="Calibri" w:eastAsia="Times New Roman" w:hAnsi="Calibri" w:cs="Calibri"/>
      <w:color w:val="404040"/>
      <w:sz w:val="28"/>
      <w:szCs w:val="28"/>
      <w:lang w:eastAsia="en-AU"/>
    </w:rPr>
  </w:style>
  <w:style w:type="paragraph" w:customStyle="1" w:styleId="Heading1NoNum">
    <w:name w:val="Heading 1 NoNum"/>
    <w:basedOn w:val="Heading1"/>
    <w:next w:val="Normal"/>
    <w:uiPriority w:val="4"/>
    <w:qFormat/>
    <w:rsid w:val="00BB0D15"/>
    <w:pPr>
      <w:spacing w:before="160"/>
    </w:pPr>
  </w:style>
  <w:style w:type="character" w:customStyle="1" w:styleId="Heading2Char">
    <w:name w:val="Heading 2 Char"/>
    <w:link w:val="Heading2"/>
    <w:uiPriority w:val="3"/>
    <w:rsid w:val="006A1132"/>
    <w:rPr>
      <w:rFonts w:ascii="Calibri" w:eastAsia="Times New Roman" w:hAnsi="Calibri" w:cs="Calibri"/>
      <w:sz w:val="20"/>
      <w:lang w:eastAsia="en-AU"/>
    </w:rPr>
  </w:style>
  <w:style w:type="paragraph" w:customStyle="1" w:styleId="Heading2NoNum">
    <w:name w:val="Heading 2 NoNum"/>
    <w:next w:val="Normal"/>
    <w:link w:val="Heading2NoNumChar"/>
    <w:uiPriority w:val="4"/>
    <w:qFormat/>
    <w:rsid w:val="00FC17D9"/>
    <w:pPr>
      <w:keepNext/>
      <w:spacing w:before="160" w:after="120"/>
    </w:pPr>
    <w:rPr>
      <w:rFonts w:ascii="Calibri" w:eastAsia="Times New Roman" w:hAnsi="Calibri" w:cs="Calibri"/>
      <w:color w:val="4D4D4D"/>
      <w:sz w:val="24"/>
      <w:szCs w:val="28"/>
      <w:lang w:eastAsia="en-AU"/>
    </w:rPr>
  </w:style>
  <w:style w:type="character" w:customStyle="1" w:styleId="Heading3Char">
    <w:name w:val="Heading 3 Char"/>
    <w:link w:val="Heading3"/>
    <w:uiPriority w:val="3"/>
    <w:rsid w:val="000501DE"/>
    <w:rPr>
      <w:rFonts w:ascii="Calibri" w:eastAsia="Times New Roman" w:hAnsi="Calibri" w:cs="Times New Roman"/>
      <w:b/>
      <w:color w:val="595959" w:themeColor="text1" w:themeTint="A6"/>
      <w:szCs w:val="20"/>
      <w:lang w:eastAsia="en-AU"/>
    </w:rPr>
  </w:style>
  <w:style w:type="paragraph" w:customStyle="1" w:styleId="Heading3NoNum">
    <w:name w:val="Heading 3 NoNum"/>
    <w:basedOn w:val="Heading3"/>
    <w:next w:val="Normal"/>
    <w:uiPriority w:val="4"/>
    <w:qFormat/>
    <w:rsid w:val="001C3C53"/>
    <w:pPr>
      <w:numPr>
        <w:ilvl w:val="0"/>
      </w:numPr>
    </w:pPr>
  </w:style>
  <w:style w:type="character" w:customStyle="1" w:styleId="Heading4Char">
    <w:name w:val="Heading 4 Char"/>
    <w:link w:val="Heading4"/>
    <w:uiPriority w:val="3"/>
    <w:rsid w:val="00381042"/>
    <w:rPr>
      <w:rFonts w:ascii="Calibri" w:eastAsia="Times New Roman" w:hAnsi="Calibri" w:cs="Times New Roman"/>
      <w:b/>
      <w:color w:val="595959" w:themeColor="text1" w:themeTint="A6"/>
      <w:sz w:val="20"/>
      <w:szCs w:val="20"/>
      <w:lang w:eastAsia="en-AU"/>
    </w:rPr>
  </w:style>
  <w:style w:type="character" w:styleId="Hyperlink">
    <w:name w:val="Hyperlink"/>
    <w:rsid w:val="00B85F99"/>
    <w:rPr>
      <w:color w:val="595959" w:themeColor="text1" w:themeTint="A6"/>
      <w:u w:val="none"/>
    </w:rPr>
  </w:style>
  <w:style w:type="paragraph" w:styleId="NormalIndent">
    <w:name w:val="Normal Indent"/>
    <w:basedOn w:val="Normal"/>
    <w:rsid w:val="0027351E"/>
    <w:pPr>
      <w:ind w:left="425"/>
    </w:pPr>
  </w:style>
  <w:style w:type="paragraph" w:customStyle="1" w:styleId="NormalTight">
    <w:name w:val="Normal Tight"/>
    <w:basedOn w:val="Normal"/>
    <w:semiHidden/>
    <w:rsid w:val="00F91121"/>
    <w:pPr>
      <w:spacing w:before="0" w:after="0"/>
    </w:pPr>
  </w:style>
  <w:style w:type="paragraph" w:customStyle="1" w:styleId="NoteNormal">
    <w:name w:val="Note Normal"/>
    <w:basedOn w:val="Normal"/>
    <w:uiPriority w:val="49"/>
    <w:rsid w:val="00F91121"/>
    <w:pPr>
      <w:keepNext/>
      <w:spacing w:before="80"/>
    </w:pPr>
    <w:rPr>
      <w:color w:val="000000"/>
      <w:sz w:val="18"/>
      <w:lang w:eastAsia="en-US"/>
    </w:rPr>
  </w:style>
  <w:style w:type="paragraph" w:styleId="Subtitle">
    <w:name w:val="Subtitle"/>
    <w:basedOn w:val="Normal"/>
    <w:link w:val="SubtitleChar"/>
    <w:uiPriority w:val="29"/>
    <w:qFormat/>
    <w:rsid w:val="00A42A9B"/>
    <w:pPr>
      <w:spacing w:before="0" w:after="0" w:line="440" w:lineRule="exact"/>
      <w:ind w:left="2160"/>
    </w:pPr>
    <w:rPr>
      <w:noProof/>
      <w:color w:val="FFFFFF" w:themeColor="background1"/>
      <w:sz w:val="40"/>
      <w:szCs w:val="24"/>
    </w:rPr>
  </w:style>
  <w:style w:type="character" w:customStyle="1" w:styleId="SubtitleChar">
    <w:name w:val="Subtitle Char"/>
    <w:basedOn w:val="DefaultParagraphFont"/>
    <w:link w:val="Subtitle"/>
    <w:uiPriority w:val="29"/>
    <w:rsid w:val="00A42A9B"/>
    <w:rPr>
      <w:rFonts w:ascii="Calibri" w:eastAsia="Times New Roman" w:hAnsi="Calibri" w:cs="Calibri"/>
      <w:noProof/>
      <w:color w:val="FFFFFF" w:themeColor="background1"/>
      <w:sz w:val="40"/>
      <w:szCs w:val="24"/>
      <w:lang w:eastAsia="en-AU"/>
    </w:rPr>
  </w:style>
  <w:style w:type="paragraph" w:customStyle="1" w:styleId="TableBullet">
    <w:name w:val="Table Bullet"/>
    <w:basedOn w:val="Normal"/>
    <w:uiPriority w:val="10"/>
    <w:qFormat/>
    <w:rsid w:val="009320B1"/>
    <w:pPr>
      <w:numPr>
        <w:numId w:val="4"/>
      </w:numPr>
      <w:spacing w:before="0" w:after="0"/>
    </w:pPr>
    <w:rPr>
      <w:sz w:val="18"/>
    </w:rPr>
  </w:style>
  <w:style w:type="paragraph" w:customStyle="1" w:styleId="TableBulletDash">
    <w:name w:val="Table Bullet Dash"/>
    <w:basedOn w:val="Normal"/>
    <w:uiPriority w:val="10"/>
    <w:rsid w:val="00F91121"/>
    <w:pPr>
      <w:numPr>
        <w:ilvl w:val="1"/>
        <w:numId w:val="4"/>
      </w:numPr>
      <w:spacing w:before="0" w:after="0"/>
    </w:pPr>
  </w:style>
  <w:style w:type="paragraph" w:styleId="Title">
    <w:name w:val="Title"/>
    <w:basedOn w:val="Normal"/>
    <w:link w:val="TitleChar"/>
    <w:uiPriority w:val="28"/>
    <w:qFormat/>
    <w:rsid w:val="00A42A9B"/>
    <w:pPr>
      <w:spacing w:before="4000" w:line="560" w:lineRule="exact"/>
      <w:ind w:left="2160" w:right="259"/>
    </w:pPr>
    <w:rPr>
      <w:b/>
      <w:color w:val="FFFFFF" w:themeColor="background1"/>
      <w:sz w:val="60"/>
    </w:rPr>
  </w:style>
  <w:style w:type="character" w:customStyle="1" w:styleId="TitleChar">
    <w:name w:val="Title Char"/>
    <w:basedOn w:val="DefaultParagraphFont"/>
    <w:link w:val="Title"/>
    <w:uiPriority w:val="28"/>
    <w:rsid w:val="00A42A9B"/>
    <w:rPr>
      <w:rFonts w:ascii="Calibri" w:eastAsia="Times New Roman" w:hAnsi="Calibri" w:cs="Calibri"/>
      <w:b/>
      <w:color w:val="FFFFFF" w:themeColor="background1"/>
      <w:sz w:val="60"/>
      <w:lang w:eastAsia="en-AU"/>
    </w:rPr>
  </w:style>
  <w:style w:type="table" w:styleId="LightList">
    <w:name w:val="Light List"/>
    <w:basedOn w:val="TableNormal"/>
    <w:uiPriority w:val="61"/>
    <w:rsid w:val="00F911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F9112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F91121"/>
    <w:pPr>
      <w:tabs>
        <w:tab w:val="center" w:pos="4513"/>
        <w:tab w:val="right" w:pos="9026"/>
      </w:tabs>
      <w:spacing w:before="0" w:after="0"/>
    </w:pPr>
  </w:style>
  <w:style w:type="character" w:customStyle="1" w:styleId="HeaderChar">
    <w:name w:val="Header Char"/>
    <w:basedOn w:val="DefaultParagraphFont"/>
    <w:link w:val="Header"/>
    <w:uiPriority w:val="99"/>
    <w:rsid w:val="00F91121"/>
    <w:rPr>
      <w:rFonts w:ascii="Calibri" w:eastAsia="Times New Roman" w:hAnsi="Calibri" w:cs="Calibri"/>
      <w:lang w:eastAsia="en-AU"/>
    </w:rPr>
  </w:style>
  <w:style w:type="paragraph" w:styleId="BalloonText">
    <w:name w:val="Balloon Text"/>
    <w:basedOn w:val="Normal"/>
    <w:link w:val="BalloonTextChar"/>
    <w:uiPriority w:val="99"/>
    <w:semiHidden/>
    <w:rsid w:val="00F9112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121"/>
    <w:rPr>
      <w:rFonts w:ascii="Tahoma" w:eastAsia="Times New Roman" w:hAnsi="Tahoma" w:cs="Tahoma"/>
      <w:sz w:val="16"/>
      <w:szCs w:val="16"/>
      <w:lang w:eastAsia="en-AU"/>
    </w:rPr>
  </w:style>
  <w:style w:type="table" w:styleId="LightShading">
    <w:name w:val="Light Shading"/>
    <w:aliases w:val="Table1"/>
    <w:basedOn w:val="TableNormal"/>
    <w:uiPriority w:val="60"/>
    <w:rsid w:val="00DC270D"/>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styleId="LightList-Accent1">
    <w:name w:val="Light List Accent 1"/>
    <w:aliases w:val="Table2"/>
    <w:basedOn w:val="TableNormal"/>
    <w:uiPriority w:val="61"/>
    <w:rsid w:val="00CC2BA9"/>
    <w:pPr>
      <w:spacing w:after="0" w:line="240" w:lineRule="auto"/>
    </w:pPr>
    <w:tblPr>
      <w:tblStyleRowBandSize w:val="1"/>
      <w:tblStyleColBandSize w:val="1"/>
      <w:tblInd w:w="58" w:type="dxa"/>
      <w:tblBorders>
        <w:top w:val="single" w:sz="6" w:space="0" w:color="007934"/>
        <w:bottom w:val="single" w:sz="6" w:space="0" w:color="007934"/>
        <w:insideH w:val="single" w:sz="6" w:space="0" w:color="007934"/>
      </w:tblBorders>
      <w:tblCellMar>
        <w:left w:w="58" w:type="dxa"/>
        <w:right w:w="58" w:type="dxa"/>
      </w:tblCellMar>
    </w:tblPr>
    <w:trPr>
      <w:cantSplit/>
    </w:trPr>
    <w:tblStylePr w:type="firstRow">
      <w:pPr>
        <w:spacing w:before="0" w:after="0" w:line="240" w:lineRule="auto"/>
      </w:pPr>
      <w:rPr>
        <w:b/>
        <w:bCs/>
        <w:color w:val="FFFFFF" w:themeColor="background1"/>
      </w:rPr>
      <w:tblPr/>
      <w:tcPr>
        <w:tcBorders>
          <w:top w:val="single" w:sz="6" w:space="0" w:color="007934"/>
          <w:left w:val="nil"/>
          <w:bottom w:val="single" w:sz="6" w:space="0" w:color="007934"/>
          <w:right w:val="nil"/>
          <w:insideH w:val="nil"/>
          <w:insideV w:val="nil"/>
          <w:tl2br w:val="nil"/>
          <w:tr2bl w:val="nil"/>
        </w:tcBorders>
        <w:shd w:val="clear" w:color="auto" w:fill="007934"/>
      </w:tcPr>
    </w:tblStylePr>
    <w:tblStylePr w:type="lastRow">
      <w:pPr>
        <w:spacing w:before="0" w:after="0" w:line="240" w:lineRule="auto"/>
      </w:pPr>
      <w:rPr>
        <w:b/>
        <w:bCs/>
      </w:rPr>
      <w:tblPr/>
      <w:tcPr>
        <w:tcBorders>
          <w:top w:val="single" w:sz="6" w:space="0" w:color="007934"/>
          <w:left w:val="nil"/>
          <w:bottom w:val="single" w:sz="12" w:space="0" w:color="007934"/>
          <w:right w:val="nil"/>
          <w:insideH w:val="nil"/>
          <w:insideV w:val="nil"/>
          <w:tl2br w:val="nil"/>
          <w:tr2bl w:val="nil"/>
        </w:tcBorders>
      </w:tcPr>
    </w:tblStylePr>
    <w:tblStylePr w:type="firstCol">
      <w:rPr>
        <w:b w:val="0"/>
        <w:bCs/>
      </w:rPr>
    </w:tblStylePr>
    <w:tblStylePr w:type="lastCol">
      <w:rPr>
        <w:b/>
        <w:bCs/>
      </w:rPr>
    </w:tblStylePr>
    <w:tblStylePr w:type="band1Vert">
      <w:tblPr/>
      <w:tcPr>
        <w:tcBorders>
          <w:top w:val="single" w:sz="6" w:space="0" w:color="007934"/>
          <w:left w:val="single" w:sz="6" w:space="0" w:color="007934"/>
          <w:bottom w:val="single" w:sz="6" w:space="0" w:color="007934"/>
          <w:right w:val="single" w:sz="6" w:space="0" w:color="007934"/>
          <w:insideH w:val="nil"/>
          <w:insideV w:val="nil"/>
          <w:tl2br w:val="nil"/>
          <w:tr2bl w:val="nil"/>
        </w:tcBorders>
      </w:tcPr>
    </w:tblStylePr>
    <w:tblStylePr w:type="band1Horz">
      <w:tblPr/>
      <w:tcPr>
        <w:tcBorders>
          <w:top w:val="single" w:sz="6" w:space="0" w:color="007934"/>
          <w:left w:val="nil"/>
          <w:bottom w:val="single" w:sz="6" w:space="0" w:color="007934"/>
          <w:right w:val="nil"/>
          <w:insideH w:val="nil"/>
          <w:insideV w:val="nil"/>
          <w:tl2br w:val="nil"/>
          <w:tr2bl w:val="nil"/>
        </w:tcBorders>
      </w:tcPr>
    </w:tblStylePr>
    <w:tblStylePr w:type="band2Horz">
      <w:tblPr/>
      <w:tcPr>
        <w:tcBorders>
          <w:top w:val="single" w:sz="6" w:space="0" w:color="007934"/>
          <w:left w:val="nil"/>
          <w:bottom w:val="single" w:sz="6" w:space="0" w:color="007934"/>
          <w:right w:val="nil"/>
          <w:insideH w:val="nil"/>
          <w:insideV w:val="nil"/>
          <w:tl2br w:val="nil"/>
          <w:tr2bl w:val="nil"/>
        </w:tcBorders>
      </w:tcPr>
    </w:tblStylePr>
  </w:style>
  <w:style w:type="paragraph" w:customStyle="1" w:styleId="Tabletext">
    <w:name w:val="Table text"/>
    <w:basedOn w:val="Normal"/>
    <w:qFormat/>
    <w:rsid w:val="009B63FD"/>
    <w:pPr>
      <w:spacing w:before="60" w:after="60" w:line="252" w:lineRule="auto"/>
    </w:pPr>
    <w:rPr>
      <w:rFonts w:cs="Times New Roman"/>
      <w:bCs/>
      <w:sz w:val="18"/>
      <w:szCs w:val="20"/>
    </w:rPr>
  </w:style>
  <w:style w:type="character" w:styleId="CommentReference">
    <w:name w:val="annotation reference"/>
    <w:uiPriority w:val="49"/>
    <w:semiHidden/>
    <w:rsid w:val="00651B28"/>
    <w:rPr>
      <w:rFonts w:ascii="Calibri" w:hAnsi="Calibri"/>
      <w:sz w:val="16"/>
    </w:rPr>
  </w:style>
  <w:style w:type="paragraph" w:styleId="CommentText">
    <w:name w:val="annotation text"/>
    <w:basedOn w:val="Normal"/>
    <w:link w:val="CommentTextChar"/>
    <w:uiPriority w:val="49"/>
    <w:semiHidden/>
    <w:rsid w:val="00651B28"/>
    <w:pPr>
      <w:spacing w:before="120" w:after="120" w:line="240" w:lineRule="atLeast"/>
    </w:pPr>
    <w:rPr>
      <w:rFonts w:cs="Times New Roman"/>
      <w:szCs w:val="20"/>
    </w:rPr>
  </w:style>
  <w:style w:type="character" w:customStyle="1" w:styleId="CommentTextChar">
    <w:name w:val="Comment Text Char"/>
    <w:basedOn w:val="DefaultParagraphFont"/>
    <w:link w:val="CommentText"/>
    <w:uiPriority w:val="49"/>
    <w:semiHidden/>
    <w:rsid w:val="00651B28"/>
    <w:rPr>
      <w:rFonts w:ascii="Calibri" w:eastAsia="Times New Roman" w:hAnsi="Calibri" w:cs="Times New Roman"/>
      <w:sz w:val="20"/>
      <w:szCs w:val="20"/>
      <w:lang w:eastAsia="en-AU"/>
    </w:rPr>
  </w:style>
  <w:style w:type="paragraph" w:customStyle="1" w:styleId="Tableheader">
    <w:name w:val="Table header"/>
    <w:basedOn w:val="Tabletext"/>
    <w:qFormat/>
    <w:rsid w:val="00651B28"/>
    <w:rPr>
      <w:b/>
      <w:bCs w:val="0"/>
      <w:color w:val="000000" w:themeColor="text1" w:themeShade="BF"/>
    </w:rPr>
  </w:style>
  <w:style w:type="paragraph" w:styleId="ListParagraph">
    <w:name w:val="List Paragraph"/>
    <w:basedOn w:val="Normal"/>
    <w:uiPriority w:val="34"/>
    <w:qFormat/>
    <w:rsid w:val="007F5BE8"/>
    <w:pPr>
      <w:ind w:left="720"/>
      <w:contextualSpacing/>
    </w:pPr>
  </w:style>
  <w:style w:type="paragraph" w:customStyle="1" w:styleId="Num1">
    <w:name w:val="Num1"/>
    <w:basedOn w:val="ListParagraph"/>
    <w:qFormat/>
    <w:rsid w:val="006A1132"/>
    <w:pPr>
      <w:ind w:left="0"/>
    </w:pPr>
  </w:style>
  <w:style w:type="paragraph" w:customStyle="1" w:styleId="NoteNormalindent">
    <w:name w:val="Note Normal indent"/>
    <w:basedOn w:val="NoteNormal"/>
    <w:qFormat/>
    <w:rsid w:val="001C2BA4"/>
    <w:pPr>
      <w:ind w:left="504"/>
    </w:pPr>
  </w:style>
  <w:style w:type="paragraph" w:customStyle="1" w:styleId="NoteNumbered">
    <w:name w:val="Note Numbered"/>
    <w:basedOn w:val="NoteNormalindent"/>
    <w:qFormat/>
    <w:rsid w:val="001C2BA4"/>
    <w:pPr>
      <w:numPr>
        <w:numId w:val="5"/>
      </w:numPr>
      <w:ind w:left="864"/>
    </w:pPr>
  </w:style>
  <w:style w:type="paragraph" w:customStyle="1" w:styleId="Spacer">
    <w:name w:val="Spacer"/>
    <w:basedOn w:val="Normal"/>
    <w:uiPriority w:val="13"/>
    <w:unhideWhenUsed/>
    <w:qFormat/>
    <w:rsid w:val="001C2BA4"/>
    <w:pPr>
      <w:spacing w:before="0" w:after="0" w:line="120" w:lineRule="atLeast"/>
    </w:pPr>
    <w:rPr>
      <w:sz w:val="12"/>
    </w:rPr>
  </w:style>
  <w:style w:type="paragraph" w:customStyle="1" w:styleId="GuidanceTitle">
    <w:name w:val="Guidance Title"/>
    <w:qFormat/>
    <w:rsid w:val="00F23C8E"/>
    <w:rPr>
      <w:rFonts w:ascii="Calibri" w:eastAsia="Times New Roman" w:hAnsi="Calibri" w:cs="Calibri"/>
      <w:color w:val="7F7F7F" w:themeColor="text1" w:themeTint="80"/>
      <w:sz w:val="40"/>
      <w:szCs w:val="40"/>
      <w:lang w:eastAsia="en-AU"/>
    </w:rPr>
  </w:style>
  <w:style w:type="paragraph" w:customStyle="1" w:styleId="Tablenum">
    <w:name w:val="Table num"/>
    <w:basedOn w:val="Tabletext"/>
    <w:qFormat/>
    <w:rsid w:val="009B63FD"/>
    <w:pPr>
      <w:numPr>
        <w:numId w:val="8"/>
      </w:numPr>
      <w:contextualSpacing/>
    </w:pPr>
    <w:rPr>
      <w:color w:val="000000" w:themeColor="text1" w:themeShade="BF"/>
    </w:rPr>
  </w:style>
  <w:style w:type="paragraph" w:customStyle="1" w:styleId="GuidanceBullet1">
    <w:name w:val="Guidance Bullet 1"/>
    <w:basedOn w:val="Bullet1"/>
    <w:qFormat/>
    <w:rsid w:val="00CA6CEE"/>
    <w:pPr>
      <w:numPr>
        <w:numId w:val="54"/>
      </w:numPr>
      <w:ind w:left="284" w:hanging="284"/>
    </w:pPr>
  </w:style>
  <w:style w:type="paragraph" w:customStyle="1" w:styleId="GuidanceBullet2">
    <w:name w:val="Guidance Bullet 2"/>
    <w:basedOn w:val="Bullet2"/>
    <w:qFormat/>
    <w:rsid w:val="00124142"/>
  </w:style>
  <w:style w:type="paragraph" w:customStyle="1" w:styleId="GuidanceBullet3">
    <w:name w:val="Guidance Bullet 3"/>
    <w:basedOn w:val="Bullet3"/>
    <w:qFormat/>
    <w:rsid w:val="00124142"/>
    <w:pPr>
      <w:tabs>
        <w:tab w:val="num" w:pos="1284"/>
      </w:tabs>
      <w:ind w:left="1296" w:hanging="288"/>
    </w:pPr>
  </w:style>
  <w:style w:type="paragraph" w:customStyle="1" w:styleId="NormalIndentGuidance">
    <w:name w:val="Normal Indent Guidance"/>
    <w:basedOn w:val="NormalIndent"/>
    <w:qFormat/>
    <w:rsid w:val="00B85F99"/>
    <w:pPr>
      <w:ind w:left="1008"/>
    </w:pPr>
  </w:style>
  <w:style w:type="paragraph" w:customStyle="1" w:styleId="NormalIndent2">
    <w:name w:val="Normal Indent 2"/>
    <w:basedOn w:val="Normal"/>
    <w:qFormat/>
    <w:rsid w:val="003A27B8"/>
    <w:pPr>
      <w:ind w:left="720"/>
    </w:pPr>
  </w:style>
  <w:style w:type="paragraph" w:customStyle="1" w:styleId="Bullet4">
    <w:name w:val="Bullet 4"/>
    <w:basedOn w:val="Bullet1"/>
    <w:qFormat/>
    <w:rsid w:val="00507362"/>
    <w:pPr>
      <w:tabs>
        <w:tab w:val="num" w:pos="823"/>
      </w:tabs>
      <w:contextualSpacing/>
    </w:pPr>
  </w:style>
  <w:style w:type="paragraph" w:customStyle="1" w:styleId="Nuim2">
    <w:name w:val="Nuim2"/>
    <w:basedOn w:val="Normal"/>
    <w:rsid w:val="00D02F39"/>
  </w:style>
  <w:style w:type="table" w:customStyle="1" w:styleId="Table11">
    <w:name w:val="Table11"/>
    <w:basedOn w:val="TableNormal"/>
    <w:next w:val="LightShading"/>
    <w:uiPriority w:val="60"/>
    <w:rsid w:val="00DF5B1B"/>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2">
    <w:name w:val="Table12"/>
    <w:basedOn w:val="TableNormal"/>
    <w:next w:val="LightShading"/>
    <w:uiPriority w:val="60"/>
    <w:rsid w:val="00DF5B1B"/>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21">
    <w:name w:val="Table121"/>
    <w:basedOn w:val="TableNormal"/>
    <w:next w:val="LightShading"/>
    <w:uiPriority w:val="60"/>
    <w:rsid w:val="00C426D3"/>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22">
    <w:name w:val="Table122"/>
    <w:basedOn w:val="TableNormal"/>
    <w:next w:val="LightShading"/>
    <w:uiPriority w:val="60"/>
    <w:rsid w:val="008A37A5"/>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23">
    <w:name w:val="Table123"/>
    <w:basedOn w:val="TableNormal"/>
    <w:next w:val="LightShading"/>
    <w:uiPriority w:val="60"/>
    <w:rsid w:val="008A37A5"/>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24">
    <w:name w:val="Table124"/>
    <w:basedOn w:val="TableNormal"/>
    <w:next w:val="LightShading"/>
    <w:uiPriority w:val="60"/>
    <w:rsid w:val="008A37A5"/>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25">
    <w:name w:val="Table125"/>
    <w:basedOn w:val="TableNormal"/>
    <w:next w:val="LightShading"/>
    <w:uiPriority w:val="60"/>
    <w:rsid w:val="008A37A5"/>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3">
    <w:name w:val="Table13"/>
    <w:basedOn w:val="TableNormal"/>
    <w:next w:val="LightShading"/>
    <w:uiPriority w:val="60"/>
    <w:rsid w:val="008A37A5"/>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Num3">
    <w:name w:val="Num3"/>
    <w:basedOn w:val="Normal"/>
    <w:rsid w:val="008A37A5"/>
  </w:style>
  <w:style w:type="paragraph" w:customStyle="1" w:styleId="Num2">
    <w:name w:val="Num2"/>
    <w:basedOn w:val="Normal"/>
    <w:rsid w:val="008A37A5"/>
    <w:pPr>
      <w:tabs>
        <w:tab w:val="num" w:pos="1440"/>
      </w:tabs>
      <w:ind w:left="1440" w:hanging="432"/>
    </w:pPr>
  </w:style>
  <w:style w:type="table" w:customStyle="1" w:styleId="Table1211">
    <w:name w:val="Table1211"/>
    <w:basedOn w:val="TableNormal"/>
    <w:next w:val="LightShading"/>
    <w:uiPriority w:val="60"/>
    <w:rsid w:val="008A37A5"/>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126">
    <w:name w:val="Table126"/>
    <w:basedOn w:val="TableNormal"/>
    <w:next w:val="LightShading"/>
    <w:uiPriority w:val="60"/>
    <w:rsid w:val="00164D44"/>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Heading5Char">
    <w:name w:val="Heading 5 Char"/>
    <w:basedOn w:val="DefaultParagraphFont"/>
    <w:link w:val="Heading5"/>
    <w:uiPriority w:val="9"/>
    <w:semiHidden/>
    <w:rsid w:val="00164D44"/>
    <w:rPr>
      <w:rFonts w:asciiTheme="majorHAnsi" w:eastAsiaTheme="majorEastAsia" w:hAnsiTheme="majorHAnsi" w:cstheme="majorBidi"/>
      <w:color w:val="243F60" w:themeColor="accent1" w:themeShade="7F"/>
      <w:sz w:val="20"/>
      <w:lang w:eastAsia="en-AU"/>
    </w:rPr>
  </w:style>
  <w:style w:type="character" w:customStyle="1" w:styleId="Heading6Char">
    <w:name w:val="Heading 6 Char"/>
    <w:basedOn w:val="DefaultParagraphFont"/>
    <w:link w:val="Heading6"/>
    <w:uiPriority w:val="3"/>
    <w:semiHidden/>
    <w:rsid w:val="00164D44"/>
    <w:rPr>
      <w:rFonts w:asciiTheme="majorHAnsi" w:eastAsiaTheme="majorEastAsia" w:hAnsiTheme="majorHAnsi" w:cstheme="majorBidi"/>
      <w:i/>
      <w:iCs/>
      <w:color w:val="243F60" w:themeColor="accent1" w:themeShade="7F"/>
      <w:sz w:val="20"/>
      <w:lang w:eastAsia="en-AU"/>
    </w:rPr>
  </w:style>
  <w:style w:type="character" w:customStyle="1" w:styleId="Heading7Char">
    <w:name w:val="Heading 7 Char"/>
    <w:basedOn w:val="DefaultParagraphFont"/>
    <w:link w:val="Heading7"/>
    <w:uiPriority w:val="3"/>
    <w:semiHidden/>
    <w:rsid w:val="00164D44"/>
    <w:rPr>
      <w:rFonts w:asciiTheme="majorHAnsi" w:eastAsiaTheme="majorEastAsia" w:hAnsiTheme="majorHAnsi" w:cstheme="majorBidi"/>
      <w:i/>
      <w:iCs/>
      <w:color w:val="404040" w:themeColor="text1" w:themeTint="BF"/>
      <w:sz w:val="20"/>
      <w:lang w:eastAsia="en-AU"/>
    </w:rPr>
  </w:style>
  <w:style w:type="character" w:customStyle="1" w:styleId="Heading8Char">
    <w:name w:val="Heading 8 Char"/>
    <w:basedOn w:val="DefaultParagraphFont"/>
    <w:link w:val="Heading8"/>
    <w:uiPriority w:val="3"/>
    <w:semiHidden/>
    <w:rsid w:val="00164D44"/>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3"/>
    <w:semiHidden/>
    <w:rsid w:val="00164D44"/>
    <w:rPr>
      <w:rFonts w:asciiTheme="majorHAnsi" w:eastAsiaTheme="majorEastAsia" w:hAnsiTheme="majorHAnsi" w:cstheme="majorBidi"/>
      <w:i/>
      <w:iCs/>
      <w:color w:val="404040" w:themeColor="text1" w:themeTint="BF"/>
      <w:sz w:val="20"/>
      <w:szCs w:val="20"/>
      <w:lang w:eastAsia="en-AU"/>
    </w:rPr>
  </w:style>
  <w:style w:type="numbering" w:customStyle="1" w:styleId="NoList1">
    <w:name w:val="No List1"/>
    <w:next w:val="NoList"/>
    <w:uiPriority w:val="99"/>
    <w:semiHidden/>
    <w:unhideWhenUsed/>
    <w:rsid w:val="00164D44"/>
  </w:style>
  <w:style w:type="table" w:customStyle="1" w:styleId="TableGrid1">
    <w:name w:val="Table Grid1"/>
    <w:basedOn w:val="TableNormal"/>
    <w:next w:val="TableGrid"/>
    <w:rsid w:val="00164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next w:val="LightList"/>
    <w:uiPriority w:val="61"/>
    <w:rsid w:val="00164D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next w:val="LightShading-Accent1"/>
    <w:uiPriority w:val="60"/>
    <w:rsid w:val="00164D4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14">
    <w:name w:val="Table14"/>
    <w:basedOn w:val="TableNormal"/>
    <w:next w:val="LightShading"/>
    <w:uiPriority w:val="60"/>
    <w:rsid w:val="00164D44"/>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21">
    <w:name w:val="Table21"/>
    <w:basedOn w:val="TableNormal"/>
    <w:next w:val="LightList-Accent1"/>
    <w:uiPriority w:val="61"/>
    <w:rsid w:val="00164D44"/>
    <w:pPr>
      <w:spacing w:after="0" w:line="240" w:lineRule="auto"/>
    </w:pPr>
    <w:tblPr>
      <w:tblStyleRowBandSize w:val="1"/>
      <w:tblStyleColBandSize w:val="1"/>
      <w:tblInd w:w="58" w:type="dxa"/>
      <w:tblBorders>
        <w:top w:val="single" w:sz="6" w:space="0" w:color="007934"/>
        <w:bottom w:val="single" w:sz="6" w:space="0" w:color="007934"/>
        <w:insideH w:val="single" w:sz="6" w:space="0" w:color="007934"/>
      </w:tblBorders>
      <w:tblCellMar>
        <w:left w:w="58" w:type="dxa"/>
        <w:right w:w="58" w:type="dxa"/>
      </w:tblCellMar>
    </w:tblPr>
    <w:trPr>
      <w:cantSplit/>
    </w:trPr>
    <w:tblStylePr w:type="firstRow">
      <w:pPr>
        <w:spacing w:before="0" w:after="0" w:line="240" w:lineRule="auto"/>
      </w:pPr>
      <w:rPr>
        <w:b/>
        <w:bCs/>
        <w:color w:val="FFFFFF" w:themeColor="background1"/>
      </w:rPr>
      <w:tblPr/>
      <w:tcPr>
        <w:tcBorders>
          <w:top w:val="single" w:sz="6" w:space="0" w:color="007934"/>
          <w:left w:val="nil"/>
          <w:bottom w:val="single" w:sz="6" w:space="0" w:color="007934"/>
          <w:right w:val="nil"/>
          <w:insideH w:val="nil"/>
          <w:insideV w:val="nil"/>
          <w:tl2br w:val="nil"/>
          <w:tr2bl w:val="nil"/>
        </w:tcBorders>
        <w:shd w:val="clear" w:color="auto" w:fill="007934"/>
      </w:tcPr>
    </w:tblStylePr>
    <w:tblStylePr w:type="lastRow">
      <w:pPr>
        <w:spacing w:before="0" w:after="0" w:line="240" w:lineRule="auto"/>
      </w:pPr>
      <w:rPr>
        <w:b/>
        <w:bCs/>
      </w:rPr>
      <w:tblPr/>
      <w:tcPr>
        <w:tcBorders>
          <w:top w:val="single" w:sz="6" w:space="0" w:color="007934"/>
          <w:left w:val="nil"/>
          <w:bottom w:val="single" w:sz="12" w:space="0" w:color="007934"/>
          <w:right w:val="nil"/>
          <w:insideH w:val="nil"/>
          <w:insideV w:val="nil"/>
          <w:tl2br w:val="nil"/>
          <w:tr2bl w:val="nil"/>
        </w:tcBorders>
      </w:tcPr>
    </w:tblStylePr>
    <w:tblStylePr w:type="firstCol">
      <w:rPr>
        <w:b w:val="0"/>
        <w:bCs/>
      </w:rPr>
    </w:tblStylePr>
    <w:tblStylePr w:type="lastCol">
      <w:rPr>
        <w:b/>
        <w:bCs/>
      </w:rPr>
    </w:tblStylePr>
    <w:tblStylePr w:type="band1Vert">
      <w:tblPr/>
      <w:tcPr>
        <w:tcBorders>
          <w:top w:val="single" w:sz="6" w:space="0" w:color="007934"/>
          <w:left w:val="single" w:sz="6" w:space="0" w:color="007934"/>
          <w:bottom w:val="single" w:sz="6" w:space="0" w:color="007934"/>
          <w:right w:val="single" w:sz="6" w:space="0" w:color="007934"/>
          <w:insideH w:val="nil"/>
          <w:insideV w:val="nil"/>
          <w:tl2br w:val="nil"/>
          <w:tr2bl w:val="nil"/>
        </w:tcBorders>
      </w:tcPr>
    </w:tblStylePr>
    <w:tblStylePr w:type="band1Horz">
      <w:tblPr/>
      <w:tcPr>
        <w:tcBorders>
          <w:top w:val="single" w:sz="6" w:space="0" w:color="007934"/>
          <w:left w:val="nil"/>
          <w:bottom w:val="single" w:sz="6" w:space="0" w:color="007934"/>
          <w:right w:val="nil"/>
          <w:insideH w:val="nil"/>
          <w:insideV w:val="nil"/>
          <w:tl2br w:val="nil"/>
          <w:tr2bl w:val="nil"/>
        </w:tcBorders>
      </w:tcPr>
    </w:tblStylePr>
    <w:tblStylePr w:type="band2Horz">
      <w:tblPr/>
      <w:tcPr>
        <w:tcBorders>
          <w:top w:val="single" w:sz="6" w:space="0" w:color="007934"/>
          <w:left w:val="nil"/>
          <w:bottom w:val="single" w:sz="6" w:space="0" w:color="007934"/>
          <w:right w:val="nil"/>
          <w:insideH w:val="nil"/>
          <w:insideV w:val="nil"/>
          <w:tl2br w:val="nil"/>
          <w:tr2bl w:val="nil"/>
        </w:tcBorders>
      </w:tcPr>
    </w:tblStylePr>
  </w:style>
  <w:style w:type="paragraph" w:styleId="FootnoteText">
    <w:name w:val="footnote text"/>
    <w:basedOn w:val="Normal"/>
    <w:link w:val="FootnoteTextChar"/>
    <w:unhideWhenUsed/>
    <w:rsid w:val="00DD6B52"/>
    <w:pPr>
      <w:spacing w:before="0" w:after="0"/>
    </w:pPr>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rsid w:val="00DD6B52"/>
    <w:rPr>
      <w:sz w:val="18"/>
      <w:szCs w:val="20"/>
    </w:rPr>
  </w:style>
  <w:style w:type="character" w:styleId="FootnoteReference">
    <w:name w:val="footnote reference"/>
    <w:uiPriority w:val="99"/>
    <w:rsid w:val="003960F3"/>
    <w:rPr>
      <w:vertAlign w:val="superscript"/>
    </w:rPr>
  </w:style>
  <w:style w:type="numbering" w:customStyle="1" w:styleId="ArticleSection1">
    <w:name w:val="Article / Section1"/>
    <w:basedOn w:val="NoList"/>
    <w:next w:val="ArticleSection"/>
    <w:uiPriority w:val="99"/>
    <w:semiHidden/>
    <w:unhideWhenUsed/>
    <w:rsid w:val="00164D44"/>
    <w:pPr>
      <w:numPr>
        <w:numId w:val="6"/>
      </w:numPr>
    </w:pPr>
  </w:style>
  <w:style w:type="numbering" w:styleId="ArticleSection">
    <w:name w:val="Outline List 3"/>
    <w:basedOn w:val="NoList"/>
    <w:uiPriority w:val="99"/>
    <w:semiHidden/>
    <w:unhideWhenUsed/>
    <w:rsid w:val="00164D44"/>
  </w:style>
  <w:style w:type="table" w:customStyle="1" w:styleId="Table127">
    <w:name w:val="Table127"/>
    <w:basedOn w:val="TableNormal"/>
    <w:next w:val="LightShading"/>
    <w:uiPriority w:val="60"/>
    <w:rsid w:val="00164D44"/>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NormalWeb">
    <w:name w:val="Normal (Web)"/>
    <w:basedOn w:val="Normal"/>
    <w:uiPriority w:val="99"/>
    <w:semiHidden/>
    <w:rsid w:val="009408C9"/>
    <w:rPr>
      <w:rFonts w:ascii="Times New Roman" w:hAnsi="Times New Roman" w:cs="Times New Roman"/>
      <w:sz w:val="24"/>
      <w:szCs w:val="24"/>
    </w:rPr>
  </w:style>
  <w:style w:type="table" w:customStyle="1" w:styleId="Table15">
    <w:name w:val="Table15"/>
    <w:basedOn w:val="TableNormal"/>
    <w:next w:val="LightShading"/>
    <w:uiPriority w:val="60"/>
    <w:rsid w:val="009408C9"/>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InstructionTitle">
    <w:name w:val="Instruction Title"/>
    <w:basedOn w:val="Title"/>
    <w:qFormat/>
    <w:rsid w:val="009408C9"/>
    <w:rPr>
      <w:color w:val="7F7F7F" w:themeColor="text1" w:themeTint="80"/>
    </w:rPr>
  </w:style>
  <w:style w:type="paragraph" w:customStyle="1" w:styleId="Heading3numbers">
    <w:name w:val="Heading 3 numbers"/>
    <w:basedOn w:val="Heading2NoNum"/>
    <w:link w:val="Heading3numbersChar"/>
    <w:qFormat/>
    <w:rsid w:val="003960F3"/>
    <w:pPr>
      <w:numPr>
        <w:numId w:val="7"/>
      </w:numPr>
      <w:ind w:left="720"/>
    </w:pPr>
  </w:style>
  <w:style w:type="character" w:customStyle="1" w:styleId="Heading2NoNumChar">
    <w:name w:val="Heading 2 NoNum Char"/>
    <w:basedOn w:val="DefaultParagraphFont"/>
    <w:link w:val="Heading2NoNum"/>
    <w:uiPriority w:val="4"/>
    <w:rsid w:val="00FC17D9"/>
    <w:rPr>
      <w:rFonts w:ascii="Calibri" w:eastAsia="Times New Roman" w:hAnsi="Calibri" w:cs="Calibri"/>
      <w:color w:val="4D4D4D"/>
      <w:sz w:val="24"/>
      <w:szCs w:val="28"/>
      <w:lang w:eastAsia="en-AU"/>
    </w:rPr>
  </w:style>
  <w:style w:type="character" w:customStyle="1" w:styleId="Heading3numbersChar">
    <w:name w:val="Heading 3 numbers Char"/>
    <w:basedOn w:val="Heading2NoNumChar"/>
    <w:link w:val="Heading3numbers"/>
    <w:rsid w:val="009408C9"/>
    <w:rPr>
      <w:rFonts w:ascii="Calibri" w:eastAsia="Times New Roman" w:hAnsi="Calibri" w:cs="Calibri"/>
      <w:color w:val="4D4D4D"/>
      <w:sz w:val="24"/>
      <w:szCs w:val="28"/>
      <w:lang w:eastAsia="en-AU"/>
    </w:rPr>
  </w:style>
  <w:style w:type="paragraph" w:customStyle="1" w:styleId="TertiaryTitle">
    <w:name w:val="Tertiary Title"/>
    <w:basedOn w:val="Normal"/>
    <w:rsid w:val="00A42A9B"/>
    <w:pPr>
      <w:spacing w:before="0" w:after="0" w:line="440" w:lineRule="exact"/>
      <w:ind w:left="2160"/>
    </w:pPr>
    <w:rPr>
      <w:color w:val="FFFFFF" w:themeColor="background1"/>
      <w:sz w:val="36"/>
      <w:szCs w:val="40"/>
      <w:lang w:eastAsia="en-US"/>
    </w:rPr>
  </w:style>
  <w:style w:type="paragraph" w:styleId="CommentSubject">
    <w:name w:val="annotation subject"/>
    <w:basedOn w:val="CommentText"/>
    <w:next w:val="CommentText"/>
    <w:link w:val="CommentSubjectChar"/>
    <w:uiPriority w:val="99"/>
    <w:semiHidden/>
    <w:rsid w:val="00557B0A"/>
    <w:pPr>
      <w:spacing w:before="100" w:after="100" w:line="240" w:lineRule="auto"/>
    </w:pPr>
    <w:rPr>
      <w:rFonts w:cs="Calibri"/>
      <w:b/>
      <w:bCs/>
    </w:rPr>
  </w:style>
  <w:style w:type="character" w:customStyle="1" w:styleId="CommentSubjectChar">
    <w:name w:val="Comment Subject Char"/>
    <w:basedOn w:val="CommentTextChar"/>
    <w:link w:val="CommentSubject"/>
    <w:uiPriority w:val="99"/>
    <w:semiHidden/>
    <w:rsid w:val="00557B0A"/>
    <w:rPr>
      <w:rFonts w:ascii="Calibri" w:eastAsia="Times New Roman" w:hAnsi="Calibri" w:cs="Calibri"/>
      <w:b/>
      <w:bCs/>
      <w:sz w:val="20"/>
      <w:szCs w:val="20"/>
      <w:lang w:eastAsia="en-AU"/>
    </w:rPr>
  </w:style>
  <w:style w:type="paragraph" w:styleId="Revision">
    <w:name w:val="Revision"/>
    <w:hidden/>
    <w:uiPriority w:val="99"/>
    <w:semiHidden/>
    <w:rsid w:val="00557B0A"/>
    <w:pPr>
      <w:spacing w:after="0" w:line="240" w:lineRule="auto"/>
    </w:pPr>
    <w:rPr>
      <w:rFonts w:ascii="Calibri" w:eastAsia="Times New Roman" w:hAnsi="Calibri" w:cs="Calibri"/>
      <w:sz w:val="20"/>
      <w:lang w:eastAsia="en-AU"/>
    </w:rPr>
  </w:style>
  <w:style w:type="paragraph" w:styleId="EndnoteText">
    <w:name w:val="endnote text"/>
    <w:basedOn w:val="Normal"/>
    <w:link w:val="EndnoteTextChar"/>
    <w:uiPriority w:val="99"/>
    <w:semiHidden/>
    <w:rsid w:val="001C7A64"/>
    <w:pPr>
      <w:spacing w:before="0" w:after="0"/>
    </w:pPr>
    <w:rPr>
      <w:szCs w:val="20"/>
    </w:rPr>
  </w:style>
  <w:style w:type="character" w:customStyle="1" w:styleId="EndnoteTextChar">
    <w:name w:val="Endnote Text Char"/>
    <w:basedOn w:val="DefaultParagraphFont"/>
    <w:link w:val="EndnoteText"/>
    <w:uiPriority w:val="99"/>
    <w:semiHidden/>
    <w:rsid w:val="001C7A64"/>
    <w:rPr>
      <w:rFonts w:ascii="Calibri" w:eastAsia="Times New Roman" w:hAnsi="Calibri" w:cs="Calibri"/>
      <w:sz w:val="20"/>
      <w:szCs w:val="20"/>
      <w:lang w:eastAsia="en-AU"/>
    </w:rPr>
  </w:style>
  <w:style w:type="character" w:styleId="EndnoteReference">
    <w:name w:val="endnote reference"/>
    <w:basedOn w:val="DefaultParagraphFont"/>
    <w:uiPriority w:val="99"/>
    <w:semiHidden/>
    <w:rsid w:val="001C7A64"/>
    <w:rPr>
      <w:vertAlign w:val="superscript"/>
    </w:rPr>
  </w:style>
  <w:style w:type="character" w:styleId="FollowedHyperlink">
    <w:name w:val="FollowedHyperlink"/>
    <w:basedOn w:val="DefaultParagraphFont"/>
    <w:uiPriority w:val="99"/>
    <w:semiHidden/>
    <w:rsid w:val="009423E1"/>
    <w:rPr>
      <w:color w:val="800080" w:themeColor="followedHyperlink"/>
      <w:u w:val="single"/>
    </w:rPr>
  </w:style>
  <w:style w:type="paragraph" w:customStyle="1" w:styleId="FactSheetNormal">
    <w:name w:val="Fact Sheet Normal"/>
    <w:basedOn w:val="Normal"/>
    <w:rsid w:val="00E97C2E"/>
    <w:pPr>
      <w:spacing w:line="276" w:lineRule="auto"/>
    </w:pPr>
    <w:rPr>
      <w:sz w:val="22"/>
    </w:rPr>
  </w:style>
  <w:style w:type="character" w:styleId="Emphasis">
    <w:name w:val="Emphasis"/>
    <w:basedOn w:val="DefaultParagraphFont"/>
    <w:uiPriority w:val="20"/>
    <w:qFormat/>
    <w:rsid w:val="005C41E6"/>
    <w:rPr>
      <w:i/>
      <w:iCs/>
    </w:rPr>
  </w:style>
  <w:style w:type="paragraph" w:styleId="BodyText">
    <w:name w:val="Body Text"/>
    <w:basedOn w:val="Normal"/>
    <w:link w:val="BodyTextChar"/>
    <w:uiPriority w:val="49"/>
    <w:semiHidden/>
    <w:rsid w:val="00461CFC"/>
    <w:pPr>
      <w:ind w:left="794"/>
    </w:pPr>
    <w:rPr>
      <w:sz w:val="22"/>
    </w:rPr>
  </w:style>
  <w:style w:type="character" w:customStyle="1" w:styleId="BodyTextChar">
    <w:name w:val="Body Text Char"/>
    <w:basedOn w:val="DefaultParagraphFont"/>
    <w:link w:val="BodyText"/>
    <w:uiPriority w:val="49"/>
    <w:semiHidden/>
    <w:rsid w:val="00461CFC"/>
    <w:rPr>
      <w:rFonts w:ascii="Calibri" w:eastAsia="Times New Roman" w:hAnsi="Calibri" w:cs="Calibri"/>
      <w:lang w:eastAsia="en-AU"/>
    </w:rPr>
  </w:style>
  <w:style w:type="paragraph" w:styleId="TOC1">
    <w:name w:val="toc 1"/>
    <w:basedOn w:val="Normal"/>
    <w:next w:val="Normal"/>
    <w:autoRedefine/>
    <w:uiPriority w:val="39"/>
    <w:unhideWhenUsed/>
    <w:rsid w:val="00107DA3"/>
    <w:pPr>
      <w:tabs>
        <w:tab w:val="left" w:pos="1843"/>
        <w:tab w:val="right" w:pos="9880"/>
      </w:tabs>
      <w:ind w:left="1843" w:hanging="1843"/>
    </w:pPr>
    <w:rPr>
      <w:noProof/>
    </w:rPr>
  </w:style>
  <w:style w:type="paragraph" w:styleId="BodyTextIndent">
    <w:name w:val="Body Text Indent"/>
    <w:basedOn w:val="Normal"/>
    <w:link w:val="BodyTextIndentChar"/>
    <w:uiPriority w:val="99"/>
    <w:semiHidden/>
    <w:rsid w:val="0039220A"/>
    <w:pPr>
      <w:spacing w:after="120"/>
      <w:ind w:left="283"/>
    </w:pPr>
  </w:style>
  <w:style w:type="character" w:customStyle="1" w:styleId="BodyTextIndentChar">
    <w:name w:val="Body Text Indent Char"/>
    <w:basedOn w:val="DefaultParagraphFont"/>
    <w:link w:val="BodyTextIndent"/>
    <w:uiPriority w:val="99"/>
    <w:semiHidden/>
    <w:rsid w:val="0039220A"/>
    <w:rPr>
      <w:rFonts w:ascii="Calibri" w:eastAsia="Times New Roman" w:hAnsi="Calibri" w:cs="Calibri"/>
      <w:sz w:val="20"/>
      <w:lang w:eastAsia="en-AU"/>
    </w:rPr>
  </w:style>
  <w:style w:type="paragraph" w:styleId="BodyTextFirstIndent2">
    <w:name w:val="Body Text First Indent 2"/>
    <w:basedOn w:val="BodyTextIndent"/>
    <w:link w:val="BodyTextFirstIndent2Char"/>
    <w:uiPriority w:val="99"/>
    <w:semiHidden/>
    <w:rsid w:val="0039220A"/>
    <w:pPr>
      <w:spacing w:after="100"/>
      <w:ind w:left="360" w:firstLine="360"/>
    </w:pPr>
  </w:style>
  <w:style w:type="character" w:customStyle="1" w:styleId="BodyTextFirstIndent2Char">
    <w:name w:val="Body Text First Indent 2 Char"/>
    <w:basedOn w:val="BodyTextIndentChar"/>
    <w:link w:val="BodyTextFirstIndent2"/>
    <w:uiPriority w:val="99"/>
    <w:semiHidden/>
    <w:rsid w:val="0039220A"/>
    <w:rPr>
      <w:rFonts w:ascii="Calibri" w:eastAsia="Times New Roman" w:hAnsi="Calibri" w:cs="Calibri"/>
      <w:sz w:val="20"/>
      <w:lang w:eastAsia="en-AU"/>
    </w:rPr>
  </w:style>
  <w:style w:type="numbering" w:styleId="1ai">
    <w:name w:val="Outline List 1"/>
    <w:basedOn w:val="NoList"/>
    <w:uiPriority w:val="99"/>
    <w:semiHidden/>
    <w:unhideWhenUsed/>
    <w:rsid w:val="0039220A"/>
    <w:pPr>
      <w:numPr>
        <w:numId w:val="22"/>
      </w:numPr>
    </w:pPr>
  </w:style>
  <w:style w:type="character" w:styleId="PlaceholderText">
    <w:name w:val="Placeholder Text"/>
    <w:basedOn w:val="DefaultParagraphFont"/>
    <w:uiPriority w:val="99"/>
    <w:semiHidden/>
    <w:rsid w:val="000469DC"/>
    <w:rPr>
      <w:color w:val="808080"/>
    </w:rPr>
  </w:style>
  <w:style w:type="paragraph" w:customStyle="1" w:styleId="Default">
    <w:name w:val="Default"/>
    <w:rsid w:val="002E08A3"/>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semiHidden/>
    <w:rsid w:val="003960F3"/>
    <w:pPr>
      <w:numPr>
        <w:numId w:val="23"/>
      </w:numPr>
      <w:tabs>
        <w:tab w:val="clear" w:pos="360"/>
      </w:tabs>
      <w:spacing w:before="160" w:line="276" w:lineRule="auto"/>
      <w:contextualSpacing/>
    </w:pPr>
    <w:rPr>
      <w:rFonts w:asciiTheme="minorHAnsi" w:eastAsiaTheme="minorEastAsia" w:hAnsiTheme="minorHAnsi" w:cstheme="minorBidi"/>
      <w:spacing w:val="2"/>
      <w:szCs w:val="20"/>
    </w:rPr>
  </w:style>
  <w:style w:type="paragraph" w:customStyle="1" w:styleId="Bulletindent">
    <w:name w:val="Bullet indent"/>
    <w:basedOn w:val="Bullet3"/>
    <w:uiPriority w:val="5"/>
    <w:qFormat/>
    <w:rsid w:val="003A27B8"/>
    <w:pPr>
      <w:ind w:left="1080"/>
    </w:pPr>
  </w:style>
  <w:style w:type="paragraph" w:customStyle="1" w:styleId="Heading1numbered">
    <w:name w:val="Heading 1 numbered"/>
    <w:basedOn w:val="Heading1"/>
    <w:next w:val="NormalIndent"/>
    <w:uiPriority w:val="4"/>
    <w:qFormat/>
    <w:rsid w:val="003960F3"/>
    <w:pPr>
      <w:numPr>
        <w:ilvl w:val="2"/>
        <w:numId w:val="26"/>
      </w:numPr>
      <w:tabs>
        <w:tab w:val="clear" w:pos="792"/>
        <w:tab w:val="num" w:pos="680"/>
      </w:tabs>
      <w:spacing w:before="600" w:after="880" w:line="276" w:lineRule="auto"/>
      <w:ind w:left="680" w:hanging="226"/>
    </w:pPr>
    <w:rPr>
      <w:rFonts w:asciiTheme="majorHAnsi" w:eastAsiaTheme="majorEastAsia" w:hAnsiTheme="majorHAnsi" w:cstheme="majorBidi"/>
      <w:b/>
      <w:bCs/>
      <w:color w:val="201547"/>
      <w:spacing w:val="-1"/>
      <w:sz w:val="36"/>
    </w:rPr>
  </w:style>
  <w:style w:type="paragraph" w:customStyle="1" w:styleId="Heading2numbered">
    <w:name w:val="Heading 2 numbered"/>
    <w:basedOn w:val="Heading2"/>
    <w:next w:val="NormalIndent"/>
    <w:uiPriority w:val="4"/>
    <w:qFormat/>
    <w:rsid w:val="003960F3"/>
    <w:pPr>
      <w:keepNext/>
      <w:keepLines/>
      <w:widowControl/>
      <w:numPr>
        <w:ilvl w:val="3"/>
        <w:numId w:val="26"/>
      </w:numPr>
      <w:tabs>
        <w:tab w:val="clear" w:pos="792"/>
        <w:tab w:val="num" w:pos="907"/>
      </w:tabs>
      <w:spacing w:before="280" w:after="240" w:line="276" w:lineRule="auto"/>
      <w:ind w:left="907" w:hanging="227"/>
    </w:pPr>
    <w:rPr>
      <w:rFonts w:asciiTheme="majorHAnsi" w:eastAsiaTheme="majorEastAsia" w:hAnsiTheme="majorHAnsi" w:cstheme="majorBidi"/>
      <w:b/>
      <w:bCs/>
      <w:color w:val="4F81BD" w:themeColor="accent1"/>
      <w:spacing w:val="2"/>
      <w:sz w:val="28"/>
      <w:szCs w:val="26"/>
    </w:rPr>
  </w:style>
  <w:style w:type="paragraph" w:customStyle="1" w:styleId="Heading3numbered">
    <w:name w:val="Heading 3 numbered"/>
    <w:basedOn w:val="Heading3"/>
    <w:next w:val="NormalIndent"/>
    <w:uiPriority w:val="4"/>
    <w:qFormat/>
    <w:rsid w:val="003960F3"/>
    <w:pPr>
      <w:keepNext/>
      <w:keepLines/>
      <w:widowControl/>
      <w:numPr>
        <w:ilvl w:val="4"/>
        <w:numId w:val="26"/>
      </w:numPr>
      <w:tabs>
        <w:tab w:val="clear" w:pos="792"/>
        <w:tab w:val="num" w:pos="1134"/>
      </w:tabs>
      <w:spacing w:before="240" w:after="120" w:line="276" w:lineRule="auto"/>
      <w:ind w:left="1134" w:hanging="227"/>
    </w:pPr>
    <w:rPr>
      <w:rFonts w:asciiTheme="majorHAnsi" w:eastAsiaTheme="majorEastAsia" w:hAnsiTheme="majorHAnsi" w:cstheme="majorBidi"/>
      <w:bCs/>
      <w:color w:val="4F81BD" w:themeColor="accent1"/>
      <w:spacing w:val="2"/>
      <w:szCs w:val="22"/>
    </w:rPr>
  </w:style>
  <w:style w:type="paragraph" w:customStyle="1" w:styleId="Heading4numbered">
    <w:name w:val="Heading 4 numbered"/>
    <w:basedOn w:val="Heading4"/>
    <w:next w:val="NormalIndent"/>
    <w:uiPriority w:val="4"/>
    <w:qFormat/>
    <w:rsid w:val="003960F3"/>
    <w:pPr>
      <w:keepNext/>
      <w:keepLines/>
      <w:widowControl/>
      <w:numPr>
        <w:ilvl w:val="5"/>
        <w:numId w:val="26"/>
      </w:numPr>
      <w:tabs>
        <w:tab w:val="clear" w:pos="792"/>
        <w:tab w:val="num" w:pos="1361"/>
      </w:tabs>
      <w:spacing w:before="200" w:after="0" w:line="276" w:lineRule="auto"/>
      <w:ind w:left="1361" w:hanging="227"/>
    </w:pPr>
    <w:rPr>
      <w:rFonts w:asciiTheme="majorHAnsi" w:eastAsiaTheme="majorEastAsia" w:hAnsiTheme="majorHAnsi" w:cstheme="majorBidi"/>
      <w:bCs/>
      <w:iCs/>
      <w:color w:val="53565A"/>
      <w:spacing w:val="2"/>
    </w:rPr>
  </w:style>
  <w:style w:type="paragraph" w:customStyle="1" w:styleId="Bulletindent2">
    <w:name w:val="Bullet indent 2"/>
    <w:basedOn w:val="Normal"/>
    <w:uiPriority w:val="5"/>
    <w:qFormat/>
    <w:rsid w:val="00FF4D93"/>
    <w:pPr>
      <w:tabs>
        <w:tab w:val="num" w:pos="1512"/>
      </w:tabs>
      <w:spacing w:line="276" w:lineRule="auto"/>
      <w:ind w:left="1512" w:hanging="360"/>
      <w:contextualSpacing/>
    </w:pPr>
    <w:rPr>
      <w:rFonts w:asciiTheme="minorHAnsi" w:eastAsiaTheme="minorEastAsia" w:hAnsiTheme="minorHAnsi" w:cstheme="minorBidi"/>
      <w:spacing w:val="2"/>
      <w:szCs w:val="20"/>
    </w:rPr>
  </w:style>
  <w:style w:type="paragraph" w:customStyle="1" w:styleId="Listnumindent2">
    <w:name w:val="List num indent 2"/>
    <w:basedOn w:val="Normal"/>
    <w:uiPriority w:val="5"/>
    <w:qFormat/>
    <w:rsid w:val="003960F3"/>
    <w:pPr>
      <w:numPr>
        <w:ilvl w:val="7"/>
        <w:numId w:val="26"/>
      </w:numPr>
      <w:tabs>
        <w:tab w:val="clear" w:pos="1800"/>
        <w:tab w:val="num" w:pos="1814"/>
      </w:tabs>
      <w:spacing w:line="276" w:lineRule="auto"/>
      <w:ind w:left="1814" w:hanging="227"/>
      <w:contextualSpacing/>
    </w:pPr>
    <w:rPr>
      <w:rFonts w:asciiTheme="minorHAnsi" w:eastAsiaTheme="minorEastAsia" w:hAnsiTheme="minorHAnsi" w:cstheme="minorBidi"/>
      <w:spacing w:val="2"/>
      <w:szCs w:val="20"/>
    </w:rPr>
  </w:style>
  <w:style w:type="paragraph" w:customStyle="1" w:styleId="Listnumindent">
    <w:name w:val="List num indent"/>
    <w:basedOn w:val="Normal"/>
    <w:uiPriority w:val="5"/>
    <w:qFormat/>
    <w:rsid w:val="003960F3"/>
    <w:pPr>
      <w:numPr>
        <w:ilvl w:val="6"/>
        <w:numId w:val="26"/>
      </w:numPr>
      <w:tabs>
        <w:tab w:val="clear" w:pos="1296"/>
        <w:tab w:val="num" w:pos="1587"/>
      </w:tabs>
      <w:spacing w:line="276" w:lineRule="auto"/>
      <w:ind w:left="1587" w:hanging="226"/>
    </w:pPr>
    <w:rPr>
      <w:rFonts w:asciiTheme="minorHAnsi" w:eastAsiaTheme="minorEastAsia" w:hAnsiTheme="minorHAnsi" w:cstheme="minorBidi"/>
      <w:spacing w:val="2"/>
      <w:szCs w:val="20"/>
    </w:rPr>
  </w:style>
  <w:style w:type="paragraph" w:customStyle="1" w:styleId="Listnum">
    <w:name w:val="List num"/>
    <w:basedOn w:val="Normal"/>
    <w:uiPriority w:val="2"/>
    <w:qFormat/>
    <w:rsid w:val="00FF4D93"/>
    <w:pPr>
      <w:numPr>
        <w:numId w:val="26"/>
      </w:numPr>
      <w:spacing w:before="160" w:line="276" w:lineRule="auto"/>
    </w:pPr>
    <w:rPr>
      <w:rFonts w:asciiTheme="minorHAnsi" w:eastAsiaTheme="minorEastAsia" w:hAnsiTheme="minorHAnsi" w:cstheme="minorBidi"/>
      <w:spacing w:val="2"/>
      <w:szCs w:val="20"/>
    </w:rPr>
  </w:style>
  <w:style w:type="paragraph" w:customStyle="1" w:styleId="Listnum2">
    <w:name w:val="List num 2"/>
    <w:basedOn w:val="Normal"/>
    <w:uiPriority w:val="1"/>
    <w:qFormat/>
    <w:rsid w:val="003960F3"/>
    <w:pPr>
      <w:numPr>
        <w:ilvl w:val="1"/>
        <w:numId w:val="26"/>
      </w:numPr>
      <w:tabs>
        <w:tab w:val="clear" w:pos="864"/>
        <w:tab w:val="num" w:pos="454"/>
      </w:tabs>
      <w:spacing w:before="160" w:line="276" w:lineRule="auto"/>
      <w:ind w:left="454" w:hanging="227"/>
    </w:pPr>
    <w:rPr>
      <w:rFonts w:asciiTheme="minorHAnsi" w:eastAsiaTheme="minorEastAsia" w:hAnsiTheme="minorHAnsi" w:cstheme="minorBidi"/>
      <w:spacing w:val="2"/>
      <w:szCs w:val="20"/>
    </w:rPr>
  </w:style>
  <w:style w:type="character" w:styleId="UnresolvedMention">
    <w:name w:val="Unresolved Mention"/>
    <w:basedOn w:val="DefaultParagraphFont"/>
    <w:uiPriority w:val="99"/>
    <w:semiHidden/>
    <w:unhideWhenUsed/>
    <w:rsid w:val="00F507AB"/>
    <w:rPr>
      <w:color w:val="605E5C"/>
      <w:shd w:val="clear" w:color="auto" w:fill="E1DFDD"/>
    </w:rPr>
  </w:style>
  <w:style w:type="character" w:customStyle="1" w:styleId="field">
    <w:name w:val="field"/>
    <w:basedOn w:val="DefaultParagraphFont"/>
    <w:rsid w:val="003A6E06"/>
  </w:style>
  <w:style w:type="table" w:customStyle="1" w:styleId="Table151">
    <w:name w:val="Table151"/>
    <w:basedOn w:val="TableNormal"/>
    <w:next w:val="LightShading"/>
    <w:uiPriority w:val="60"/>
    <w:rsid w:val="000D55C9"/>
    <w:pPr>
      <w:spacing w:after="0" w:line="240" w:lineRule="auto"/>
    </w:pPr>
    <w:rPr>
      <w:color w:val="000000"/>
    </w:rPr>
    <w:tblPr>
      <w:tblStyleRowBandSize w:val="1"/>
      <w:tblStyleColBandSize w:val="1"/>
      <w:tblInd w:w="58" w:type="dxa"/>
      <w:tblBorders>
        <w:top w:val="single" w:sz="6" w:space="0" w:color="7F7F7F"/>
        <w:bottom w:val="single" w:sz="6" w:space="0" w:color="7F7F7F"/>
        <w:insideH w:val="single" w:sz="6" w:space="0" w:color="7F7F7F"/>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table" w:customStyle="1" w:styleId="DTFtexttableindent">
    <w:name w:val="DTF text table indent"/>
    <w:basedOn w:val="TableNormal"/>
    <w:uiPriority w:val="99"/>
    <w:rsid w:val="000D55C9"/>
    <w:pPr>
      <w:spacing w:before="30" w:after="0" w:line="240" w:lineRule="auto"/>
    </w:pPr>
    <w:rPr>
      <w:spacing w:val="2"/>
      <w:sz w:val="17"/>
      <w:szCs w:val="21"/>
    </w:rPr>
    <w:tblPr>
      <w:tblStyleRowBandSize w:val="1"/>
      <w:tblStyleColBandSize w:val="1"/>
      <w:tblInd w:w="0" w:type="nil"/>
      <w:tblBorders>
        <w:bottom w:val="single" w:sz="12" w:space="0" w:color="4472C4"/>
      </w:tblBorders>
      <w:tblCellMar>
        <w:left w:w="57" w:type="dxa"/>
        <w:right w:w="57" w:type="dxa"/>
      </w:tblCellMar>
    </w:tblPr>
    <w:tblStylePr w:type="firstRow">
      <w:pPr>
        <w:keepLines/>
        <w:widowControl/>
        <w:suppressLineNumbers w:val="0"/>
        <w:wordWrap/>
        <w:spacing w:beforeLines="0" w:before="100" w:beforeAutospacing="1" w:afterLines="0" w:after="100" w:afterAutospacing="1"/>
        <w:jc w:val="left"/>
      </w:pPr>
      <w:rPr>
        <w:b/>
        <w:i w:val="0"/>
        <w:color w:val="FFFFFF"/>
      </w:rPr>
      <w:tblPr/>
      <w:tcPr>
        <w:shd w:val="clear" w:color="auto" w:fill="4472C4"/>
        <w:vAlign w:val="bottom"/>
      </w:tcPr>
    </w:tblStylePr>
    <w:tblStylePr w:type="lastRow">
      <w:rPr>
        <w:b/>
      </w:rPr>
      <w:tblPr/>
      <w:tcPr>
        <w:tcBorders>
          <w:top w:val="single" w:sz="6" w:space="0" w:color="4472C4"/>
          <w:left w:val="nil"/>
          <w:bottom w:val="single" w:sz="12" w:space="0" w:color="4472C4"/>
          <w:right w:val="nil"/>
          <w:insideV w:val="nil"/>
        </w:tcBorders>
      </w:tcPr>
    </w:tblStylePr>
    <w:tblStylePr w:type="firstCol">
      <w:pPr>
        <w:jc w:val="left"/>
      </w:pPr>
      <w:tblPr/>
      <w:tcPr>
        <w:shd w:val="clear" w:color="auto" w:fill="EDEDED"/>
      </w:tcPr>
    </w:tblStylePr>
    <w:tblStylePr w:type="lastCol">
      <w:pPr>
        <w:jc w:val="left"/>
      </w:pPr>
    </w:tblStylePr>
    <w:tblStylePr w:type="band1Vert">
      <w:pPr>
        <w:jc w:val="left"/>
      </w:pPr>
    </w:tblStylePr>
    <w:tblStylePr w:type="band2Vert">
      <w:pPr>
        <w:jc w:val="left"/>
      </w:pPr>
    </w:tblStylePr>
    <w:tblStylePr w:type="band2Horz">
      <w:tblPr/>
      <w:tcPr>
        <w:shd w:val="clear" w:color="auto" w:fill="EDEDED"/>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styleId="ListTable3-Accent5">
    <w:name w:val="List Table 3 Accent 5"/>
    <w:basedOn w:val="TableNormal"/>
    <w:uiPriority w:val="48"/>
    <w:rsid w:val="0051550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2-Accent2">
    <w:name w:val="List Table 2 Accent 2"/>
    <w:basedOn w:val="TableNormal"/>
    <w:uiPriority w:val="47"/>
    <w:rsid w:val="00515507"/>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1">
    <w:name w:val="List Table 4 Accent 1"/>
    <w:basedOn w:val="TableNormal"/>
    <w:uiPriority w:val="49"/>
    <w:rsid w:val="0051550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5">
    <w:name w:val="List Table 2 Accent 5"/>
    <w:basedOn w:val="TableNormal"/>
    <w:uiPriority w:val="47"/>
    <w:rsid w:val="00515507"/>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AttachmentHeading">
    <w:name w:val="Attachment Heading"/>
    <w:uiPriority w:val="99"/>
    <w:rsid w:val="0027351E"/>
    <w:pPr>
      <w:numPr>
        <w:numId w:val="66"/>
      </w:numPr>
    </w:pPr>
  </w:style>
  <w:style w:type="numbering" w:customStyle="1" w:styleId="AttachmentBullets">
    <w:name w:val="Attachment Bullets"/>
    <w:uiPriority w:val="99"/>
    <w:rsid w:val="0027351E"/>
    <w:pPr>
      <w:numPr>
        <w:numId w:val="67"/>
      </w:numPr>
    </w:pPr>
  </w:style>
  <w:style w:type="paragraph" w:customStyle="1" w:styleId="AttachmentHeading1">
    <w:name w:val="Attachment Heading 1"/>
    <w:basedOn w:val="Normal"/>
    <w:rsid w:val="00484ACD"/>
    <w:pPr>
      <w:keepNext/>
      <w:numPr>
        <w:numId w:val="66"/>
      </w:numPr>
      <w:spacing w:before="120" w:after="120" w:line="216" w:lineRule="auto"/>
    </w:pPr>
    <w:rPr>
      <w:b/>
      <w:sz w:val="22"/>
    </w:rPr>
  </w:style>
  <w:style w:type="paragraph" w:customStyle="1" w:styleId="AttachmentHeading2">
    <w:name w:val="Attachment Heading 2"/>
    <w:basedOn w:val="Normal"/>
    <w:rsid w:val="00484ACD"/>
    <w:pPr>
      <w:keepNext/>
      <w:numPr>
        <w:ilvl w:val="1"/>
        <w:numId w:val="66"/>
      </w:numPr>
      <w:spacing w:line="216" w:lineRule="auto"/>
      <w:contextualSpacing/>
    </w:pPr>
    <w:rPr>
      <w:b/>
    </w:rPr>
  </w:style>
  <w:style w:type="paragraph" w:customStyle="1" w:styleId="AttachmentBullet1">
    <w:name w:val="Attachment Bullet 1"/>
    <w:basedOn w:val="Normal"/>
    <w:rsid w:val="00490100"/>
    <w:pPr>
      <w:numPr>
        <w:numId w:val="67"/>
      </w:numPr>
      <w:spacing w:before="40" w:after="40"/>
      <w:contextualSpacing/>
    </w:pPr>
  </w:style>
  <w:style w:type="paragraph" w:customStyle="1" w:styleId="AttachmentBullet2">
    <w:name w:val="Attachment Bullet 2"/>
    <w:basedOn w:val="Normal"/>
    <w:rsid w:val="00490100"/>
    <w:pPr>
      <w:numPr>
        <w:ilvl w:val="1"/>
        <w:numId w:val="67"/>
      </w:numPr>
      <w:spacing w:before="40" w:after="40"/>
      <w:ind w:left="935" w:hanging="255"/>
      <w:contextualSpacing/>
    </w:pPr>
  </w:style>
  <w:style w:type="numbering" w:customStyle="1" w:styleId="AttachmentNumberedList">
    <w:name w:val="Attachment Numbered List"/>
    <w:uiPriority w:val="99"/>
    <w:rsid w:val="00484ACD"/>
    <w:pPr>
      <w:numPr>
        <w:numId w:val="68"/>
      </w:numPr>
    </w:pPr>
  </w:style>
  <w:style w:type="paragraph" w:customStyle="1" w:styleId="AttachmentList1">
    <w:name w:val="Attachment List 1 #"/>
    <w:basedOn w:val="Normal"/>
    <w:rsid w:val="003A27B8"/>
    <w:pPr>
      <w:numPr>
        <w:numId w:val="68"/>
      </w:numPr>
      <w:spacing w:before="40" w:after="40"/>
      <w:ind w:left="792" w:hanging="360"/>
      <w:contextualSpacing/>
    </w:pPr>
  </w:style>
  <w:style w:type="paragraph" w:customStyle="1" w:styleId="AttachmentList2">
    <w:name w:val="Attachment List 2 #"/>
    <w:basedOn w:val="Normal"/>
    <w:rsid w:val="003960F3"/>
    <w:pPr>
      <w:numPr>
        <w:ilvl w:val="1"/>
        <w:numId w:val="68"/>
      </w:numPr>
      <w:ind w:left="1080" w:hanging="360"/>
    </w:pPr>
  </w:style>
  <w:style w:type="numbering" w:styleId="111111">
    <w:name w:val="Outline List 2"/>
    <w:basedOn w:val="NoList"/>
    <w:uiPriority w:val="99"/>
    <w:semiHidden/>
    <w:unhideWhenUsed/>
    <w:rsid w:val="00E5381F"/>
    <w:pPr>
      <w:numPr>
        <w:numId w:val="75"/>
      </w:numPr>
    </w:pPr>
  </w:style>
  <w:style w:type="paragraph" w:customStyle="1" w:styleId="Normal2">
    <w:name w:val="Normal 2"/>
    <w:basedOn w:val="Normal"/>
    <w:link w:val="Normal2Char"/>
    <w:qFormat/>
    <w:rsid w:val="00770981"/>
    <w:pPr>
      <w:keepLines w:val="0"/>
      <w:spacing w:before="0" w:after="0" w:line="240" w:lineRule="exact"/>
      <w:ind w:left="822"/>
      <w:jc w:val="both"/>
    </w:pPr>
    <w:rPr>
      <w:rFonts w:ascii="Arial" w:hAnsi="Arial" w:cs="Times New Roman"/>
      <w:color w:val="6D6F71"/>
      <w:szCs w:val="24"/>
    </w:rPr>
  </w:style>
  <w:style w:type="character" w:customStyle="1" w:styleId="Normal2Char">
    <w:name w:val="Normal 2 Char"/>
    <w:basedOn w:val="DefaultParagraphFont"/>
    <w:link w:val="Normal2"/>
    <w:rsid w:val="00770981"/>
    <w:rPr>
      <w:rFonts w:ascii="Arial" w:eastAsia="Times New Roman" w:hAnsi="Arial" w:cs="Times New Roman"/>
      <w:color w:val="6D6F71"/>
      <w:sz w:val="20"/>
      <w:szCs w:val="24"/>
      <w:lang w:eastAsia="en-AU"/>
    </w:rPr>
  </w:style>
  <w:style w:type="numbering" w:customStyle="1" w:styleId="1111111">
    <w:name w:val="1 / 1.1 / 1.1.11"/>
    <w:basedOn w:val="NoList"/>
    <w:next w:val="111111"/>
    <w:uiPriority w:val="99"/>
    <w:semiHidden/>
    <w:unhideWhenUsed/>
    <w:rsid w:val="00250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7846">
      <w:bodyDiv w:val="1"/>
      <w:marLeft w:val="0"/>
      <w:marRight w:val="0"/>
      <w:marTop w:val="0"/>
      <w:marBottom w:val="0"/>
      <w:divBdr>
        <w:top w:val="none" w:sz="0" w:space="0" w:color="auto"/>
        <w:left w:val="none" w:sz="0" w:space="0" w:color="auto"/>
        <w:bottom w:val="none" w:sz="0" w:space="0" w:color="auto"/>
        <w:right w:val="none" w:sz="0" w:space="0" w:color="auto"/>
      </w:divBdr>
    </w:div>
    <w:div w:id="333918880">
      <w:bodyDiv w:val="1"/>
      <w:marLeft w:val="0"/>
      <w:marRight w:val="0"/>
      <w:marTop w:val="0"/>
      <w:marBottom w:val="0"/>
      <w:divBdr>
        <w:top w:val="none" w:sz="0" w:space="0" w:color="auto"/>
        <w:left w:val="none" w:sz="0" w:space="0" w:color="auto"/>
        <w:bottom w:val="none" w:sz="0" w:space="0" w:color="auto"/>
        <w:right w:val="none" w:sz="0" w:space="0" w:color="auto"/>
      </w:divBdr>
    </w:div>
    <w:div w:id="752625535">
      <w:bodyDiv w:val="1"/>
      <w:marLeft w:val="0"/>
      <w:marRight w:val="0"/>
      <w:marTop w:val="0"/>
      <w:marBottom w:val="0"/>
      <w:divBdr>
        <w:top w:val="none" w:sz="0" w:space="0" w:color="auto"/>
        <w:left w:val="none" w:sz="0" w:space="0" w:color="auto"/>
        <w:bottom w:val="none" w:sz="0" w:space="0" w:color="auto"/>
        <w:right w:val="none" w:sz="0" w:space="0" w:color="auto"/>
      </w:divBdr>
    </w:div>
    <w:div w:id="888611038">
      <w:bodyDiv w:val="1"/>
      <w:marLeft w:val="0"/>
      <w:marRight w:val="0"/>
      <w:marTop w:val="0"/>
      <w:marBottom w:val="0"/>
      <w:divBdr>
        <w:top w:val="none" w:sz="0" w:space="0" w:color="auto"/>
        <w:left w:val="none" w:sz="0" w:space="0" w:color="auto"/>
        <w:bottom w:val="none" w:sz="0" w:space="0" w:color="auto"/>
        <w:right w:val="none" w:sz="0" w:space="0" w:color="auto"/>
      </w:divBdr>
      <w:divsChild>
        <w:div w:id="1290238856">
          <w:marLeft w:val="0"/>
          <w:marRight w:val="0"/>
          <w:marTop w:val="0"/>
          <w:marBottom w:val="0"/>
          <w:divBdr>
            <w:top w:val="none" w:sz="0" w:space="0" w:color="auto"/>
            <w:left w:val="none" w:sz="0" w:space="0" w:color="auto"/>
            <w:bottom w:val="none" w:sz="0" w:space="0" w:color="auto"/>
            <w:right w:val="none" w:sz="0" w:space="0" w:color="auto"/>
          </w:divBdr>
          <w:divsChild>
            <w:div w:id="333336337">
              <w:marLeft w:val="0"/>
              <w:marRight w:val="0"/>
              <w:marTop w:val="0"/>
              <w:marBottom w:val="0"/>
              <w:divBdr>
                <w:top w:val="none" w:sz="0" w:space="0" w:color="auto"/>
                <w:left w:val="none" w:sz="0" w:space="0" w:color="auto"/>
                <w:bottom w:val="none" w:sz="0" w:space="0" w:color="auto"/>
                <w:right w:val="none" w:sz="0" w:space="0" w:color="auto"/>
              </w:divBdr>
              <w:divsChild>
                <w:div w:id="1712146874">
                  <w:marLeft w:val="0"/>
                  <w:marRight w:val="0"/>
                  <w:marTop w:val="0"/>
                  <w:marBottom w:val="0"/>
                  <w:divBdr>
                    <w:top w:val="none" w:sz="0" w:space="0" w:color="auto"/>
                    <w:left w:val="none" w:sz="0" w:space="0" w:color="auto"/>
                    <w:bottom w:val="none" w:sz="0" w:space="0" w:color="auto"/>
                    <w:right w:val="none" w:sz="0" w:space="0" w:color="auto"/>
                  </w:divBdr>
                  <w:divsChild>
                    <w:div w:id="172185365">
                      <w:marLeft w:val="0"/>
                      <w:marRight w:val="0"/>
                      <w:marTop w:val="0"/>
                      <w:marBottom w:val="0"/>
                      <w:divBdr>
                        <w:top w:val="none" w:sz="0" w:space="0" w:color="auto"/>
                        <w:left w:val="none" w:sz="0" w:space="0" w:color="auto"/>
                        <w:bottom w:val="none" w:sz="0" w:space="0" w:color="auto"/>
                        <w:right w:val="none" w:sz="0" w:space="0" w:color="auto"/>
                      </w:divBdr>
                      <w:divsChild>
                        <w:div w:id="154690400">
                          <w:marLeft w:val="0"/>
                          <w:marRight w:val="0"/>
                          <w:marTop w:val="0"/>
                          <w:marBottom w:val="0"/>
                          <w:divBdr>
                            <w:top w:val="none" w:sz="0" w:space="0" w:color="auto"/>
                            <w:left w:val="none" w:sz="0" w:space="0" w:color="auto"/>
                            <w:bottom w:val="none" w:sz="0" w:space="0" w:color="auto"/>
                            <w:right w:val="none" w:sz="0" w:space="0" w:color="auto"/>
                          </w:divBdr>
                          <w:divsChild>
                            <w:div w:id="1423646302">
                              <w:marLeft w:val="0"/>
                              <w:marRight w:val="0"/>
                              <w:marTop w:val="0"/>
                              <w:marBottom w:val="0"/>
                              <w:divBdr>
                                <w:top w:val="none" w:sz="0" w:space="0" w:color="auto"/>
                                <w:left w:val="none" w:sz="0" w:space="0" w:color="auto"/>
                                <w:bottom w:val="none" w:sz="0" w:space="0" w:color="auto"/>
                                <w:right w:val="none" w:sz="0" w:space="0" w:color="auto"/>
                              </w:divBdr>
                              <w:divsChild>
                                <w:div w:id="543952729">
                                  <w:marLeft w:val="0"/>
                                  <w:marRight w:val="0"/>
                                  <w:marTop w:val="0"/>
                                  <w:marBottom w:val="0"/>
                                  <w:divBdr>
                                    <w:top w:val="none" w:sz="0" w:space="0" w:color="auto"/>
                                    <w:left w:val="none" w:sz="0" w:space="0" w:color="auto"/>
                                    <w:bottom w:val="none" w:sz="0" w:space="0" w:color="auto"/>
                                    <w:right w:val="none" w:sz="0" w:space="0" w:color="auto"/>
                                  </w:divBdr>
                                  <w:divsChild>
                                    <w:div w:id="832842979">
                                      <w:marLeft w:val="0"/>
                                      <w:marRight w:val="0"/>
                                      <w:marTop w:val="0"/>
                                      <w:marBottom w:val="0"/>
                                      <w:divBdr>
                                        <w:top w:val="none" w:sz="0" w:space="0" w:color="auto"/>
                                        <w:left w:val="none" w:sz="0" w:space="0" w:color="auto"/>
                                        <w:bottom w:val="none" w:sz="0" w:space="0" w:color="auto"/>
                                        <w:right w:val="none" w:sz="0" w:space="0" w:color="auto"/>
                                      </w:divBdr>
                                      <w:divsChild>
                                        <w:div w:id="8295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400752">
      <w:bodyDiv w:val="1"/>
      <w:marLeft w:val="0"/>
      <w:marRight w:val="0"/>
      <w:marTop w:val="0"/>
      <w:marBottom w:val="0"/>
      <w:divBdr>
        <w:top w:val="none" w:sz="0" w:space="0" w:color="auto"/>
        <w:left w:val="none" w:sz="0" w:space="0" w:color="auto"/>
        <w:bottom w:val="none" w:sz="0" w:space="0" w:color="auto"/>
        <w:right w:val="none" w:sz="0" w:space="0" w:color="auto"/>
      </w:divBdr>
    </w:div>
    <w:div w:id="1124350517">
      <w:bodyDiv w:val="1"/>
      <w:marLeft w:val="0"/>
      <w:marRight w:val="0"/>
      <w:marTop w:val="0"/>
      <w:marBottom w:val="0"/>
      <w:divBdr>
        <w:top w:val="none" w:sz="0" w:space="0" w:color="auto"/>
        <w:left w:val="none" w:sz="0" w:space="0" w:color="auto"/>
        <w:bottom w:val="none" w:sz="0" w:space="0" w:color="auto"/>
        <w:right w:val="none" w:sz="0" w:space="0" w:color="auto"/>
      </w:divBdr>
    </w:div>
    <w:div w:id="1217429384">
      <w:bodyDiv w:val="1"/>
      <w:marLeft w:val="0"/>
      <w:marRight w:val="0"/>
      <w:marTop w:val="0"/>
      <w:marBottom w:val="0"/>
      <w:divBdr>
        <w:top w:val="none" w:sz="0" w:space="0" w:color="auto"/>
        <w:left w:val="none" w:sz="0" w:space="0" w:color="auto"/>
        <w:bottom w:val="none" w:sz="0" w:space="0" w:color="auto"/>
        <w:right w:val="none" w:sz="0" w:space="0" w:color="auto"/>
      </w:divBdr>
    </w:div>
    <w:div w:id="1549685102">
      <w:bodyDiv w:val="1"/>
      <w:marLeft w:val="0"/>
      <w:marRight w:val="0"/>
      <w:marTop w:val="0"/>
      <w:marBottom w:val="0"/>
      <w:divBdr>
        <w:top w:val="none" w:sz="0" w:space="0" w:color="auto"/>
        <w:left w:val="none" w:sz="0" w:space="0" w:color="auto"/>
        <w:bottom w:val="none" w:sz="0" w:space="0" w:color="auto"/>
        <w:right w:val="none" w:sz="0" w:space="0" w:color="auto"/>
      </w:divBdr>
    </w:div>
    <w:div w:id="1597715357">
      <w:bodyDiv w:val="1"/>
      <w:marLeft w:val="0"/>
      <w:marRight w:val="0"/>
      <w:marTop w:val="0"/>
      <w:marBottom w:val="0"/>
      <w:divBdr>
        <w:top w:val="none" w:sz="0" w:space="0" w:color="auto"/>
        <w:left w:val="none" w:sz="0" w:space="0" w:color="auto"/>
        <w:bottom w:val="none" w:sz="0" w:space="0" w:color="auto"/>
        <w:right w:val="none" w:sz="0" w:space="0" w:color="auto"/>
      </w:divBdr>
    </w:div>
    <w:div w:id="1705329490">
      <w:bodyDiv w:val="1"/>
      <w:marLeft w:val="0"/>
      <w:marRight w:val="0"/>
      <w:marTop w:val="0"/>
      <w:marBottom w:val="0"/>
      <w:divBdr>
        <w:top w:val="none" w:sz="0" w:space="0" w:color="auto"/>
        <w:left w:val="none" w:sz="0" w:space="0" w:color="auto"/>
        <w:bottom w:val="none" w:sz="0" w:space="0" w:color="auto"/>
        <w:right w:val="none" w:sz="0" w:space="0" w:color="auto"/>
      </w:divBdr>
    </w:div>
    <w:div w:id="1734769688">
      <w:bodyDiv w:val="1"/>
      <w:marLeft w:val="0"/>
      <w:marRight w:val="0"/>
      <w:marTop w:val="0"/>
      <w:marBottom w:val="0"/>
      <w:divBdr>
        <w:top w:val="none" w:sz="0" w:space="0" w:color="auto"/>
        <w:left w:val="none" w:sz="0" w:space="0" w:color="auto"/>
        <w:bottom w:val="none" w:sz="0" w:space="0" w:color="auto"/>
        <w:right w:val="none" w:sz="0" w:space="0" w:color="auto"/>
      </w:divBdr>
      <w:divsChild>
        <w:div w:id="1865485395">
          <w:marLeft w:val="0"/>
          <w:marRight w:val="0"/>
          <w:marTop w:val="0"/>
          <w:marBottom w:val="0"/>
          <w:divBdr>
            <w:top w:val="none" w:sz="0" w:space="0" w:color="auto"/>
            <w:left w:val="none" w:sz="0" w:space="0" w:color="auto"/>
            <w:bottom w:val="none" w:sz="0" w:space="0" w:color="auto"/>
            <w:right w:val="none" w:sz="0" w:space="0" w:color="auto"/>
          </w:divBdr>
          <w:divsChild>
            <w:div w:id="2080864754">
              <w:marLeft w:val="0"/>
              <w:marRight w:val="0"/>
              <w:marTop w:val="0"/>
              <w:marBottom w:val="0"/>
              <w:divBdr>
                <w:top w:val="none" w:sz="0" w:space="0" w:color="auto"/>
                <w:left w:val="none" w:sz="0" w:space="0" w:color="auto"/>
                <w:bottom w:val="none" w:sz="0" w:space="0" w:color="auto"/>
                <w:right w:val="none" w:sz="0" w:space="0" w:color="auto"/>
              </w:divBdr>
              <w:divsChild>
                <w:div w:id="1779174681">
                  <w:marLeft w:val="0"/>
                  <w:marRight w:val="0"/>
                  <w:marTop w:val="0"/>
                  <w:marBottom w:val="0"/>
                  <w:divBdr>
                    <w:top w:val="single" w:sz="48" w:space="0" w:color="FFFFFF"/>
                    <w:left w:val="none" w:sz="0" w:space="0" w:color="auto"/>
                    <w:bottom w:val="none" w:sz="0" w:space="0" w:color="auto"/>
                    <w:right w:val="none" w:sz="0" w:space="0" w:color="auto"/>
                  </w:divBdr>
                  <w:divsChild>
                    <w:div w:id="121309771">
                      <w:marLeft w:val="3150"/>
                      <w:marRight w:val="0"/>
                      <w:marTop w:val="0"/>
                      <w:marBottom w:val="0"/>
                      <w:divBdr>
                        <w:top w:val="none" w:sz="0" w:space="0" w:color="auto"/>
                        <w:left w:val="none" w:sz="0" w:space="0" w:color="auto"/>
                        <w:bottom w:val="none" w:sz="0" w:space="0" w:color="auto"/>
                        <w:right w:val="none" w:sz="0" w:space="0" w:color="auto"/>
                      </w:divBdr>
                      <w:divsChild>
                        <w:div w:id="1983389285">
                          <w:marLeft w:val="0"/>
                          <w:marRight w:val="0"/>
                          <w:marTop w:val="0"/>
                          <w:marBottom w:val="0"/>
                          <w:divBdr>
                            <w:top w:val="none" w:sz="0" w:space="0" w:color="auto"/>
                            <w:left w:val="none" w:sz="0" w:space="0" w:color="auto"/>
                            <w:bottom w:val="none" w:sz="0" w:space="0" w:color="auto"/>
                            <w:right w:val="none" w:sz="0" w:space="0" w:color="auto"/>
                          </w:divBdr>
                          <w:divsChild>
                            <w:div w:id="1640722239">
                              <w:marLeft w:val="0"/>
                              <w:marRight w:val="2925"/>
                              <w:marTop w:val="0"/>
                              <w:marBottom w:val="0"/>
                              <w:divBdr>
                                <w:top w:val="none" w:sz="0" w:space="0" w:color="auto"/>
                                <w:left w:val="none" w:sz="0" w:space="0" w:color="auto"/>
                                <w:bottom w:val="none" w:sz="0" w:space="0" w:color="auto"/>
                                <w:right w:val="none" w:sz="0" w:space="0" w:color="auto"/>
                              </w:divBdr>
                              <w:divsChild>
                                <w:div w:id="1597982771">
                                  <w:marLeft w:val="0"/>
                                  <w:marRight w:val="0"/>
                                  <w:marTop w:val="0"/>
                                  <w:marBottom w:val="0"/>
                                  <w:divBdr>
                                    <w:top w:val="none" w:sz="0" w:space="0" w:color="auto"/>
                                    <w:left w:val="none" w:sz="0" w:space="0" w:color="auto"/>
                                    <w:bottom w:val="none" w:sz="0" w:space="0" w:color="auto"/>
                                    <w:right w:val="none" w:sz="0" w:space="0" w:color="auto"/>
                                  </w:divBdr>
                                  <w:divsChild>
                                    <w:div w:id="129644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433346">
      <w:bodyDiv w:val="1"/>
      <w:marLeft w:val="0"/>
      <w:marRight w:val="0"/>
      <w:marTop w:val="0"/>
      <w:marBottom w:val="0"/>
      <w:divBdr>
        <w:top w:val="none" w:sz="0" w:space="0" w:color="auto"/>
        <w:left w:val="none" w:sz="0" w:space="0" w:color="auto"/>
        <w:bottom w:val="none" w:sz="0" w:space="0" w:color="auto"/>
        <w:right w:val="none" w:sz="0" w:space="0" w:color="auto"/>
      </w:divBdr>
    </w:div>
    <w:div w:id="1999723764">
      <w:bodyDiv w:val="1"/>
      <w:marLeft w:val="0"/>
      <w:marRight w:val="0"/>
      <w:marTop w:val="0"/>
      <w:marBottom w:val="0"/>
      <w:divBdr>
        <w:top w:val="none" w:sz="0" w:space="0" w:color="auto"/>
        <w:left w:val="none" w:sz="0" w:space="0" w:color="auto"/>
        <w:bottom w:val="none" w:sz="0" w:space="0" w:color="auto"/>
        <w:right w:val="none" w:sz="0" w:space="0" w:color="auto"/>
      </w:divBdr>
    </w:div>
    <w:div w:id="2056542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dtf.vic.gov.au/standing-directions-2018-under-financial-management-act-1994" TargetMode="External"/><Relationship Id="rId299" Type="http://schemas.openxmlformats.org/officeDocument/2006/relationships/hyperlink" Target="https://www.dtf.vic.gov.au/sites/default/files/document/Standing-Directions-2018.docx" TargetMode="External"/><Relationship Id="rId21" Type="http://schemas.openxmlformats.org/officeDocument/2006/relationships/footer" Target="footer1.xml"/><Relationship Id="rId63" Type="http://schemas.openxmlformats.org/officeDocument/2006/relationships/hyperlink" Target="https://www.dtf.vic.gov.au/standing-directions-2018-under-financial-management-act-1994" TargetMode="External"/><Relationship Id="rId159" Type="http://schemas.openxmlformats.org/officeDocument/2006/relationships/hyperlink" Target="http://vpsc.vic.gov.au/html-resources/guidance-for-managers-engaging-contractors-and-consultants/" TargetMode="External"/><Relationship Id="rId170" Type="http://schemas.openxmlformats.org/officeDocument/2006/relationships/hyperlink" Target="https://www.dtf.vic.gov.au/standing-directions-2018-under-financial-management-act-1994" TargetMode="External"/><Relationship Id="rId226" Type="http://schemas.openxmlformats.org/officeDocument/2006/relationships/hyperlink" Target="https://www.dtf.vic.gov.au/sites/default/files/document/Standing-Directions-2018-Instructions.docx" TargetMode="External"/><Relationship Id="rId268" Type="http://schemas.openxmlformats.org/officeDocument/2006/relationships/hyperlink" Target="http://www.procurement.vic.gov.au/Buyers/Policies-Guides-and-Tools/Market-Approach-Policy" TargetMode="External"/><Relationship Id="rId32" Type="http://schemas.openxmlformats.org/officeDocument/2006/relationships/hyperlink" Target="https://www.dtf.vic.gov.au/standing-directions-2018-under-financial-management-act-1994" TargetMode="External"/><Relationship Id="rId74" Type="http://schemas.openxmlformats.org/officeDocument/2006/relationships/hyperlink" Target="https://www.dtf.vic.gov.au/standing-directions-2018-under-financial-management-act-1994" TargetMode="External"/><Relationship Id="rId128" Type="http://schemas.openxmlformats.org/officeDocument/2006/relationships/hyperlink" Target="https://www.dtf.vic.gov.au/standing-directions-2018-under-financial-management-act-1994" TargetMode="External"/><Relationship Id="rId5" Type="http://schemas.openxmlformats.org/officeDocument/2006/relationships/customXml" Target="../customXml/item5.xml"/><Relationship Id="rId181" Type="http://schemas.openxmlformats.org/officeDocument/2006/relationships/hyperlink" Target="http://www.dpc.vic.gov.au/index.php/policies/governance/appointment-and-remuneration-guidelines" TargetMode="External"/><Relationship Id="rId237" Type="http://schemas.openxmlformats.org/officeDocument/2006/relationships/hyperlink" Target="https://www.dtf.vic.gov.au/standing-directions-2018-under-financial-management-act-1994" TargetMode="External"/><Relationship Id="rId279" Type="http://schemas.openxmlformats.org/officeDocument/2006/relationships/hyperlink" Target="https://www.dtf.vic.gov.au/standing-directions-2018-under-financial-management-act-1994" TargetMode="External"/><Relationship Id="rId43" Type="http://schemas.openxmlformats.org/officeDocument/2006/relationships/hyperlink" Target="http://en.wikipedia.org/wiki/Charitable_organization" TargetMode="External"/><Relationship Id="rId139" Type="http://schemas.openxmlformats.org/officeDocument/2006/relationships/hyperlink" Target="https://www.dtf.vic.gov.au/standing-directions-2018-under-financial-management-act-1994" TargetMode="External"/><Relationship Id="rId290" Type="http://schemas.openxmlformats.org/officeDocument/2006/relationships/hyperlink" Target="http://vpsc.vic.gov.au/resources/gifts-benefits-and-hospitality-policy-framework/" TargetMode="External"/><Relationship Id="rId304" Type="http://schemas.openxmlformats.org/officeDocument/2006/relationships/hyperlink" Target="https://www.dtf.vic.gov.au/sites/default/files/document/Standing-Directions-2018-Instructions.docx" TargetMode="External"/><Relationship Id="rId85" Type="http://schemas.openxmlformats.org/officeDocument/2006/relationships/hyperlink" Target="https://www.dtf.vic.gov.au/standing-directions-2018-under-financial-management-act-1994" TargetMode="External"/><Relationship Id="rId150" Type="http://schemas.openxmlformats.org/officeDocument/2006/relationships/hyperlink" Target="http://www.iia.org.au/technicalResources/standards.aspx" TargetMode="External"/><Relationship Id="rId192" Type="http://schemas.openxmlformats.org/officeDocument/2006/relationships/hyperlink" Target="https://www.dtf.vic.gov.au/standing-directions-2018-under-financial-management-act-1994" TargetMode="External"/><Relationship Id="rId206" Type="http://schemas.openxmlformats.org/officeDocument/2006/relationships/hyperlink" Target="https://www.dtf.vic.gov.au/standing-directions-2018-under-financial-management-act-1994" TargetMode="External"/><Relationship Id="rId248" Type="http://schemas.openxmlformats.org/officeDocument/2006/relationships/hyperlink" Target="http://www.dtf.vic.gov.au" TargetMode="External"/><Relationship Id="rId12" Type="http://schemas.openxmlformats.org/officeDocument/2006/relationships/image" Target="media/image1.png"/><Relationship Id="rId108" Type="http://schemas.openxmlformats.org/officeDocument/2006/relationships/hyperlink" Target="https://www.dtf.vic.gov.au/standing-directions-2018-under-financial-management-act-1994" TargetMode="External"/><Relationship Id="rId54" Type="http://schemas.openxmlformats.org/officeDocument/2006/relationships/hyperlink" Target="https://www.dtf.vic.gov.au/standing-directions-2018-under-financial-management-act-1994" TargetMode="External"/><Relationship Id="rId96" Type="http://schemas.openxmlformats.org/officeDocument/2006/relationships/hyperlink" Target="https://www.dtf.vic.gov.au/standing-directions-2018-under-financial-management-act-1994" TargetMode="External"/><Relationship Id="rId161" Type="http://schemas.openxmlformats.org/officeDocument/2006/relationships/hyperlink" Target="https://www.dtf.vic.gov.au/standing-directions-2018-under-financial-management-act-1994" TargetMode="External"/><Relationship Id="rId217" Type="http://schemas.openxmlformats.org/officeDocument/2006/relationships/hyperlink" Target="https://www.dtf.vic.gov.au/standing-directions-2018-under-financial-management-act-1994" TargetMode="External"/><Relationship Id="rId259" Type="http://schemas.openxmlformats.org/officeDocument/2006/relationships/hyperlink" Target="https://www.dtf.vic.gov.au/sites/default/files/document/Standing-Directions-2018.docx" TargetMode="External"/><Relationship Id="rId23" Type="http://schemas.openxmlformats.org/officeDocument/2006/relationships/header" Target="header3.xml"/><Relationship Id="rId119" Type="http://schemas.openxmlformats.org/officeDocument/2006/relationships/hyperlink" Target="https://www.dtf.vic.gov.au/standing-directions-2018-under-financial-management-act-1994" TargetMode="External"/><Relationship Id="rId270" Type="http://schemas.openxmlformats.org/officeDocument/2006/relationships/hyperlink" Target="http://www.procurement.vic.gov.au/state-purchase-contracts" TargetMode="External"/><Relationship Id="rId65" Type="http://schemas.openxmlformats.org/officeDocument/2006/relationships/hyperlink" Target="https://www.dtf.vic.gov.au/standing-directions-2018-under-financial-management-act-1994" TargetMode="External"/><Relationship Id="rId130" Type="http://schemas.openxmlformats.org/officeDocument/2006/relationships/hyperlink" Target="https://www.dtf.vic.gov.au/standing-directions-2018-under-financial-management-act-1994" TargetMode="External"/><Relationship Id="rId172" Type="http://schemas.openxmlformats.org/officeDocument/2006/relationships/hyperlink" Target="https://www.dtf.vic.gov.au/standing-directions-2018-under-financial-management-act-1994" TargetMode="External"/><Relationship Id="rId228" Type="http://schemas.openxmlformats.org/officeDocument/2006/relationships/hyperlink" Target="https://edugate.eduweb.vic.gov.au/Services/Finance/Policies" TargetMode="External"/><Relationship Id="rId13" Type="http://schemas.openxmlformats.org/officeDocument/2006/relationships/hyperlink" Target="http://dtf.vic.gov.au" TargetMode="External"/><Relationship Id="rId109" Type="http://schemas.openxmlformats.org/officeDocument/2006/relationships/hyperlink" Target="https://www.dtf.vic.gov.au/standing-directions-2018-under-financial-management-act-1994" TargetMode="External"/><Relationship Id="rId260" Type="http://schemas.openxmlformats.org/officeDocument/2006/relationships/header" Target="header7.xml"/><Relationship Id="rId281" Type="http://schemas.openxmlformats.org/officeDocument/2006/relationships/hyperlink" Target="https://www.dtf.vic.gov.au/standing-directions-2018-under-financial-management-act-1994" TargetMode="External"/><Relationship Id="rId34" Type="http://schemas.openxmlformats.org/officeDocument/2006/relationships/hyperlink" Target="https://www.dtf.vic.gov.au/standing-directions-2018-under-financial-management-act-1994" TargetMode="External"/><Relationship Id="rId55" Type="http://schemas.openxmlformats.org/officeDocument/2006/relationships/hyperlink" Target="https://www.dtf.vic.gov.au/standing-directions-2018-under-financial-management-act-1994" TargetMode="External"/><Relationship Id="rId76" Type="http://schemas.openxmlformats.org/officeDocument/2006/relationships/hyperlink" Target="https://www.dtf.vic.gov.au/standing-directions-2018-under-financial-management-act-1994" TargetMode="External"/><Relationship Id="rId97" Type="http://schemas.openxmlformats.org/officeDocument/2006/relationships/hyperlink" Target="https://www.dtf.vic.gov.au/standing-directions-2018-under-financial-management-act-1994" TargetMode="External"/><Relationship Id="rId120" Type="http://schemas.openxmlformats.org/officeDocument/2006/relationships/hyperlink" Target="https://www.dtf.vic.gov.au/standing-directions-2018-under-financial-management-act-1994" TargetMode="External"/><Relationship Id="rId141" Type="http://schemas.openxmlformats.org/officeDocument/2006/relationships/hyperlink" Target="https://www.dtf.vic.gov.au/standing-directions-2018-under-financial-management-act-1994" TargetMode="External"/><Relationship Id="rId7" Type="http://schemas.openxmlformats.org/officeDocument/2006/relationships/styles" Target="styles.xml"/><Relationship Id="rId162" Type="http://schemas.openxmlformats.org/officeDocument/2006/relationships/hyperlink" Target="https://www.dtf.vic.gov.au/standing-directions-2018-under-financial-management-act-1994" TargetMode="External"/><Relationship Id="rId183" Type="http://schemas.openxmlformats.org/officeDocument/2006/relationships/hyperlink" Target="https://www.dtf.vic.gov.au/standing-directions-2018-under-financial-management-act-1994" TargetMode="External"/><Relationship Id="rId218" Type="http://schemas.openxmlformats.org/officeDocument/2006/relationships/hyperlink" Target="https://www.dtf.vic.gov.au/standing-directions-2018-under-financial-management-act-1994" TargetMode="External"/><Relationship Id="rId239" Type="http://schemas.openxmlformats.org/officeDocument/2006/relationships/hyperlink" Target="https://www.dtf.vic.gov.au/standing-directions-2018-under-financial-management-act-1994" TargetMode="External"/><Relationship Id="rId250" Type="http://schemas.openxmlformats.org/officeDocument/2006/relationships/hyperlink" Target="https://www.dtf.vic.gov.au/sites/default/files/document/Standing-Directions-2018.docx" TargetMode="External"/><Relationship Id="rId271" Type="http://schemas.openxmlformats.org/officeDocument/2006/relationships/hyperlink" Target="http://www.dtf.vic.gov.au/Infrastructure-Delivery/Alliance-and-traditional-contracting" TargetMode="External"/><Relationship Id="rId292" Type="http://schemas.openxmlformats.org/officeDocument/2006/relationships/hyperlink" Target="https://www.dtf.vic.gov.au/sites/default/files/document/Standing-Directions-2018.docx" TargetMode="External"/><Relationship Id="rId306" Type="http://schemas.openxmlformats.org/officeDocument/2006/relationships/hyperlink" Target="https://www.dtf.vic.gov.au/sites/default/files/document/Standing-Directions-2018.docx" TargetMode="External"/><Relationship Id="rId24" Type="http://schemas.openxmlformats.org/officeDocument/2006/relationships/footer" Target="footer3.xml"/><Relationship Id="rId45" Type="http://schemas.openxmlformats.org/officeDocument/2006/relationships/hyperlink" Target="https://www.dtf.vic.gov.au/standing-directions-2018-under-financial-management-act-1994" TargetMode="External"/><Relationship Id="rId66" Type="http://schemas.openxmlformats.org/officeDocument/2006/relationships/hyperlink" Target="https://www.dtf.vic.gov.au/standing-directions-2018-under-financial-management-act-1994" TargetMode="External"/><Relationship Id="rId87" Type="http://schemas.openxmlformats.org/officeDocument/2006/relationships/hyperlink" Target="https://www.dtf.vic.gov.au/standing-directions-2018-under-financial-management-act-1994" TargetMode="External"/><Relationship Id="rId110" Type="http://schemas.openxmlformats.org/officeDocument/2006/relationships/hyperlink" Target="https://www.dtf.vic.gov.au/standing-directions-2018-under-financial-management-act-1994" TargetMode="External"/><Relationship Id="rId131" Type="http://schemas.openxmlformats.org/officeDocument/2006/relationships/hyperlink" Target="http://vpsc.vic.gov.au/" TargetMode="External"/><Relationship Id="rId327" Type="http://schemas.openxmlformats.org/officeDocument/2006/relationships/image" Target="media/image70.png"/><Relationship Id="rId152" Type="http://schemas.openxmlformats.org/officeDocument/2006/relationships/hyperlink" Target="http://www.iia.org.au/technicalResources/practiceGuides.aspx" TargetMode="External"/><Relationship Id="rId173" Type="http://schemas.openxmlformats.org/officeDocument/2006/relationships/hyperlink" Target="%20https://www.dtf.vic.gov.au/pricing-value" TargetMode="External"/><Relationship Id="rId194" Type="http://schemas.openxmlformats.org/officeDocument/2006/relationships/hyperlink" Target="https://www.dtf.vic.gov.au/standing-directions-2018-under-financial-management-act-1994" TargetMode="External"/><Relationship Id="rId208" Type="http://schemas.openxmlformats.org/officeDocument/2006/relationships/hyperlink" Target="https://www.dtf.vic.gov.au/standing-directions-2018-under-financial-management-act-1994" TargetMode="External"/><Relationship Id="rId229" Type="http://schemas.openxmlformats.org/officeDocument/2006/relationships/hyperlink" Target="https://www.dtf.vic.gov.au/standing-directions-2018-under-financial-management-act-1994" TargetMode="External"/><Relationship Id="rId240" Type="http://schemas.openxmlformats.org/officeDocument/2006/relationships/hyperlink" Target="https://www.dtf.vic.gov.au/standing-directions-2018-under-financial-management-act-1994" TargetMode="External"/><Relationship Id="rId261" Type="http://schemas.openxmlformats.org/officeDocument/2006/relationships/header" Target="header8.xml"/><Relationship Id="rId14" Type="http://schemas.openxmlformats.org/officeDocument/2006/relationships/image" Target="media/image2.png"/><Relationship Id="rId35" Type="http://schemas.openxmlformats.org/officeDocument/2006/relationships/hyperlink" Target="https://www.dtf.vic.gov.au/standing-directions-2018-under-financial-management-act-1994" TargetMode="External"/><Relationship Id="rId56" Type="http://schemas.openxmlformats.org/officeDocument/2006/relationships/hyperlink" Target="https://www.dtf.vic.gov.au/standing-directions-2018-under-financial-management-act-1994" TargetMode="External"/><Relationship Id="rId77" Type="http://schemas.openxmlformats.org/officeDocument/2006/relationships/hyperlink" Target="https://www.dtf.vic.gov.au/standing-directions-2018-under-financial-management-act-1994" TargetMode="External"/><Relationship Id="rId100" Type="http://schemas.openxmlformats.org/officeDocument/2006/relationships/hyperlink" Target="https://www.dtf.vic.gov.au/standing-directions-2018-under-financial-management-act-1994" TargetMode="External"/><Relationship Id="rId282" Type="http://schemas.openxmlformats.org/officeDocument/2006/relationships/hyperlink" Target="https://www.intranet.vic.gov.au/connect/better-grants-design" TargetMode="External"/><Relationship Id="rId8" Type="http://schemas.openxmlformats.org/officeDocument/2006/relationships/settings" Target="settings.xml"/><Relationship Id="rId98" Type="http://schemas.openxmlformats.org/officeDocument/2006/relationships/hyperlink" Target="https://www.dtf.vic.gov.au/standing-directions-2018-under-financial-management-act-1994" TargetMode="External"/><Relationship Id="rId121" Type="http://schemas.openxmlformats.org/officeDocument/2006/relationships/hyperlink" Target="https://www.dtf.vic.gov.au/standing-directions-2018-under-financial-management-act-1994" TargetMode="External"/><Relationship Id="rId142" Type="http://schemas.openxmlformats.org/officeDocument/2006/relationships/hyperlink" Target="https://www.dtf.vic.gov.au/standing-directions-2018-under-financial-management-act-1994" TargetMode="External"/><Relationship Id="rId163" Type="http://schemas.openxmlformats.org/officeDocument/2006/relationships/hyperlink" Target="https://www.dtf.vic.gov.au/standing-directions-2018-under-financial-management-act-1994" TargetMode="External"/><Relationship Id="rId184" Type="http://schemas.openxmlformats.org/officeDocument/2006/relationships/hyperlink" Target="https://www.dtf.vic.gov.au/standing-directions-2018-under-financial-management-act-1994" TargetMode="External"/><Relationship Id="rId219" Type="http://schemas.openxmlformats.org/officeDocument/2006/relationships/hyperlink" Target="https://www.dtf.vic.gov.au/standing-directions-2018-under-financial-management-act-1994" TargetMode="External"/><Relationship Id="rId230" Type="http://schemas.openxmlformats.org/officeDocument/2006/relationships/hyperlink" Target="http://www.vic.gov.au/partnerships-victoria" TargetMode="External"/><Relationship Id="rId251" Type="http://schemas.openxmlformats.org/officeDocument/2006/relationships/hyperlink" Target="https://www.dtf.vic.gov.au/sites/default/files/document/Standing-Directions-2018.docx" TargetMode="External"/><Relationship Id="rId25" Type="http://schemas.openxmlformats.org/officeDocument/2006/relationships/hyperlink" Target="mailto:%20Standing.Directions@dtf.vic.gov.au." TargetMode="External"/><Relationship Id="rId46" Type="http://schemas.openxmlformats.org/officeDocument/2006/relationships/hyperlink" Target="https://www.dtf.vic.gov.au/standing-directions-2018-under-financial-management-act-1994" TargetMode="External"/><Relationship Id="rId67" Type="http://schemas.openxmlformats.org/officeDocument/2006/relationships/hyperlink" Target="https://www.dtf.vic.gov.au/standing-directions-2018-under-financial-management-act-1994" TargetMode="External"/><Relationship Id="rId272" Type="http://schemas.openxmlformats.org/officeDocument/2006/relationships/hyperlink" Target="http://www.enterprisesolutions.vic.gov.au/" TargetMode="External"/><Relationship Id="rId293" Type="http://schemas.openxmlformats.org/officeDocument/2006/relationships/hyperlink" Target="https://www.dtf.vic.gov.au/sites/default/files/document/Standing-Directions-2018.docx" TargetMode="External"/><Relationship Id="rId307" Type="http://schemas.openxmlformats.org/officeDocument/2006/relationships/hyperlink" Target="https://www.vmia.vic.gov.au/" TargetMode="External"/><Relationship Id="rId328" Type="http://schemas.openxmlformats.org/officeDocument/2006/relationships/header" Target="header9.xml"/><Relationship Id="rId88" Type="http://schemas.openxmlformats.org/officeDocument/2006/relationships/hyperlink" Target="https://www.dtf.vic.gov.au/standing-directions-2018-under-financial-management-act-1994" TargetMode="External"/><Relationship Id="rId111" Type="http://schemas.openxmlformats.org/officeDocument/2006/relationships/hyperlink" Target="https://www.dtf.vic.gov.au/standing-directions-2018-under-financial-management-act-1994" TargetMode="External"/><Relationship Id="rId132" Type="http://schemas.openxmlformats.org/officeDocument/2006/relationships/hyperlink" Target="http://www.anao.gov.au/" TargetMode="External"/><Relationship Id="rId153" Type="http://schemas.openxmlformats.org/officeDocument/2006/relationships/hyperlink" Target="http://www.iia.org.au/technicalResources/practiceGuides.aspx" TargetMode="External"/><Relationship Id="rId174" Type="http://schemas.openxmlformats.org/officeDocument/2006/relationships/hyperlink" Target="mailto:pricing@dtf.vic.gov.au" TargetMode="External"/><Relationship Id="rId195" Type="http://schemas.openxmlformats.org/officeDocument/2006/relationships/hyperlink" Target="https://www.dtf.vic.gov.au/standing-directions-2018-under-financial-management-act-1994" TargetMode="External"/><Relationship Id="rId209" Type="http://schemas.openxmlformats.org/officeDocument/2006/relationships/hyperlink" Target="https://www.dtf.vic.gov.au/standing-directions-2018-under-financial-management-act-1994" TargetMode="External"/><Relationship Id="rId220" Type="http://schemas.openxmlformats.org/officeDocument/2006/relationships/hyperlink" Target="https://www.dtf.vic.gov.au/standing-directions-2018-under-financial-management-act-1994" TargetMode="External"/><Relationship Id="rId241" Type="http://schemas.openxmlformats.org/officeDocument/2006/relationships/hyperlink" Target="https://www.dtf.vic.gov.au/standing-directions-2018-under-financial-management-act-1994" TargetMode="External"/><Relationship Id="rId15" Type="http://schemas.openxmlformats.org/officeDocument/2006/relationships/hyperlink" Target="http://creativecommons.org/licenses/by/4.0/" TargetMode="External"/><Relationship Id="rId36" Type="http://schemas.openxmlformats.org/officeDocument/2006/relationships/hyperlink" Target="https://www.dtf.vic.gov.au/standing-directions-2018-under-financial-management-act-1994" TargetMode="External"/><Relationship Id="rId57" Type="http://schemas.openxmlformats.org/officeDocument/2006/relationships/hyperlink" Target="https://www.dtf.vic.gov.au/standing-directions-2018-under-financial-management-act-1994" TargetMode="External"/><Relationship Id="rId262" Type="http://schemas.openxmlformats.org/officeDocument/2006/relationships/hyperlink" Target="https://www.dtf.vic.gov.au/standing-directions-2018-under-financial-management-act-1994" TargetMode="External"/><Relationship Id="rId283" Type="http://schemas.openxmlformats.org/officeDocument/2006/relationships/hyperlink" Target="https://www.intranet.vic.gov.au/connect/better-grants-design" TargetMode="External"/><Relationship Id="rId78" Type="http://schemas.openxmlformats.org/officeDocument/2006/relationships/hyperlink" Target="https://www.dtf.vic.gov.au/standing-directions-2018-under-financial-management-act-1994" TargetMode="External"/><Relationship Id="rId99" Type="http://schemas.openxmlformats.org/officeDocument/2006/relationships/hyperlink" Target="https://www.dtf.vic.gov.au/standing-directions-2018-under-financial-management-act-1994" TargetMode="External"/><Relationship Id="rId101" Type="http://schemas.openxmlformats.org/officeDocument/2006/relationships/hyperlink" Target="https://www.dtf.vic.gov.au/standing-directions-2018-under-financial-management-act-1994" TargetMode="External"/><Relationship Id="rId122" Type="http://schemas.openxmlformats.org/officeDocument/2006/relationships/hyperlink" Target="https://www.anao.gov.au/work/better-practice-guide/public-sector-audit-committees-independent-assurance-and-advice" TargetMode="External"/><Relationship Id="rId143" Type="http://schemas.openxmlformats.org/officeDocument/2006/relationships/hyperlink" Target="http://www.iia.org.au/sf_docs/default-source/quality/internal-audit-charter-review-checklist8E790F548D4A.pdf?sfvrsn=2" TargetMode="External"/><Relationship Id="rId164" Type="http://schemas.openxmlformats.org/officeDocument/2006/relationships/hyperlink" Target="https://www.dtf.vic.gov.au/standing-directions-2018-under-financial-management-act-1994" TargetMode="External"/><Relationship Id="rId185" Type="http://schemas.openxmlformats.org/officeDocument/2006/relationships/hyperlink" Target="https://www.ato.gov.au/" TargetMode="External"/><Relationship Id="rId9" Type="http://schemas.openxmlformats.org/officeDocument/2006/relationships/webSettings" Target="webSettings.xml"/><Relationship Id="rId210" Type="http://schemas.openxmlformats.org/officeDocument/2006/relationships/hyperlink" Target="https://www.dtf.vic.gov.au/standing-directions-2018-under-financial-management-act-1994" TargetMode="External"/><Relationship Id="rId26" Type="http://schemas.openxmlformats.org/officeDocument/2006/relationships/header" Target="header4.xml"/><Relationship Id="rId231" Type="http://schemas.openxmlformats.org/officeDocument/2006/relationships/hyperlink" Target="https://www.dtf.vic.gov.au/standing-directions-2018-under-financial-management-act-1994" TargetMode="External"/><Relationship Id="rId252" Type="http://schemas.openxmlformats.org/officeDocument/2006/relationships/hyperlink" Target="https://www.dtf.vic.gov.au/sites/default/files/document/Standing-Directions-2018.docx" TargetMode="External"/><Relationship Id="rId273" Type="http://schemas.openxmlformats.org/officeDocument/2006/relationships/hyperlink" Target="http://www.dtf.vic.gov.au" TargetMode="External"/><Relationship Id="rId294" Type="http://schemas.openxmlformats.org/officeDocument/2006/relationships/hyperlink" Target="https://www.dtf.vic.gov.au/sites/default/files/document/Standing-Directions-2018.docx" TargetMode="External"/><Relationship Id="rId308" Type="http://schemas.openxmlformats.org/officeDocument/2006/relationships/hyperlink" Target="https://www.dtf.vic.gov.au/sites/default/files/document/Standing-Directions-2018.docx" TargetMode="External"/><Relationship Id="rId329" Type="http://schemas.openxmlformats.org/officeDocument/2006/relationships/footer" Target="footer6.xml"/><Relationship Id="rId47" Type="http://schemas.openxmlformats.org/officeDocument/2006/relationships/hyperlink" Target="https://www.dtf.vic.gov.au/standing-directions-2018-under-financial-management-act-1994" TargetMode="External"/><Relationship Id="rId68" Type="http://schemas.openxmlformats.org/officeDocument/2006/relationships/hyperlink" Target="https://www.dtf.vic.gov.au/standing-directions-2018-under-financial-management-act-1994" TargetMode="External"/><Relationship Id="rId89" Type="http://schemas.openxmlformats.org/officeDocument/2006/relationships/hyperlink" Target="https://www.dtf.vic.gov.au/standing-directions-2018-under-financial-management-act-1994" TargetMode="External"/><Relationship Id="rId112" Type="http://schemas.openxmlformats.org/officeDocument/2006/relationships/hyperlink" Target="https://www.dtf.vic.gov.au/standing-directions-2018-under-financial-management-act-1994" TargetMode="External"/><Relationship Id="rId133" Type="http://schemas.openxmlformats.org/officeDocument/2006/relationships/hyperlink" Target="http://www.anao.gov.au/Publications/Better-Practice-Guides/2014-2015/Public-Sector-Audit-Committees" TargetMode="External"/><Relationship Id="rId154" Type="http://schemas.openxmlformats.org/officeDocument/2006/relationships/hyperlink" Target="http://www.iia.org.au/technicalResources/practiceGuides.aspx" TargetMode="External"/><Relationship Id="rId175" Type="http://schemas.openxmlformats.org/officeDocument/2006/relationships/hyperlink" Target="https://www.pcisecuritystandards.org/pci_security/" TargetMode="External"/><Relationship Id="rId196" Type="http://schemas.openxmlformats.org/officeDocument/2006/relationships/hyperlink" Target="https://www.dtf.vic.gov.au/standing-directions-2018-under-financial-management-act-1994" TargetMode="External"/><Relationship Id="rId200" Type="http://schemas.openxmlformats.org/officeDocument/2006/relationships/hyperlink" Target="http://vpsc.vic.gov.au/html-resources/integrity-in-recruitment-guidance-note/" TargetMode="External"/><Relationship Id="rId16" Type="http://schemas.openxmlformats.org/officeDocument/2006/relationships/hyperlink" Target="mailto:IPpolicy@dtf.vic.gov.au" TargetMode="External"/><Relationship Id="rId221" Type="http://schemas.openxmlformats.org/officeDocument/2006/relationships/hyperlink" Target="https://www.dtf.vic.gov.au/standing-directions-2018-under-financial-management-act-1994" TargetMode="External"/><Relationship Id="rId242" Type="http://schemas.openxmlformats.org/officeDocument/2006/relationships/hyperlink" Target="https://www.dtf.vic.gov.au/standing-directions-2018-under-financial-management-act-1994" TargetMode="External"/><Relationship Id="rId263" Type="http://schemas.openxmlformats.org/officeDocument/2006/relationships/hyperlink" Target="https://www.dtf.vic.gov.au/standing-directions-2018-under-financial-management-act-1994" TargetMode="External"/><Relationship Id="rId284" Type="http://schemas.openxmlformats.org/officeDocument/2006/relationships/hyperlink" Target="http://www.dtf.vic.gov.au/partnerships-victoria" TargetMode="External"/><Relationship Id="rId37" Type="http://schemas.openxmlformats.org/officeDocument/2006/relationships/hyperlink" Target="https://www.dtf.vic.gov.au/standing-directions-2018-under-financial-management-act-1994" TargetMode="External"/><Relationship Id="rId58" Type="http://schemas.openxmlformats.org/officeDocument/2006/relationships/hyperlink" Target="https://www.dtf.vic.gov.au/standing-directions-2018-under-financial-management-act-1994" TargetMode="External"/><Relationship Id="rId79" Type="http://schemas.openxmlformats.org/officeDocument/2006/relationships/hyperlink" Target="https://www.dtf.vic.gov.au/standing-directions-2018-under-financial-management-act-1994" TargetMode="External"/><Relationship Id="rId102" Type="http://schemas.openxmlformats.org/officeDocument/2006/relationships/hyperlink" Target="https://www.dtf.vic.gov.au/standing-directions-2018-under-financial-management-act-1994" TargetMode="External"/><Relationship Id="rId123" Type="http://schemas.openxmlformats.org/officeDocument/2006/relationships/hyperlink" Target="https://na.theiia.org/services/quality/Public_Documents/Forms/AllItems.aspx" TargetMode="External"/><Relationship Id="rId144" Type="http://schemas.openxmlformats.org/officeDocument/2006/relationships/hyperlink" Target="https://www.anao.gov.au/work/better-practice-guide/public-sector-internal-audit-investment-assurance-and-business" TargetMode="External"/><Relationship Id="rId330" Type="http://schemas.openxmlformats.org/officeDocument/2006/relationships/header" Target="header10.xml"/><Relationship Id="rId90" Type="http://schemas.openxmlformats.org/officeDocument/2006/relationships/hyperlink" Target="https://www.dtf.vic.gov.au/standing-directions-2018-under-financial-management-act-1994" TargetMode="External"/><Relationship Id="rId165" Type="http://schemas.openxmlformats.org/officeDocument/2006/relationships/hyperlink" Target="https://www.dtf.vic.gov.au/standing-directions-2018-under-financial-management-act-1994" TargetMode="External"/><Relationship Id="rId186" Type="http://schemas.openxmlformats.org/officeDocument/2006/relationships/hyperlink" Target="http://www.ato.gov.au/Business/GST/In-detail/Non-profit-and-government-organisations/Government-organisations/A-better-practice-guide-for-the-management-of-GST/" TargetMode="External"/><Relationship Id="rId211" Type="http://schemas.openxmlformats.org/officeDocument/2006/relationships/hyperlink" Target="https://www.dtf.vic.gov.au/standing-directions-2018-under-financial-management-act-1994" TargetMode="External"/><Relationship Id="rId232" Type="http://schemas.openxmlformats.org/officeDocument/2006/relationships/hyperlink" Target="https://www.dtf.vic.gov.au/standing-directions-2018-under-financial-management-act-1994" TargetMode="External"/><Relationship Id="rId253" Type="http://schemas.openxmlformats.org/officeDocument/2006/relationships/hyperlink" Target="https://www.dtf.vic.gov.au/sites/default/files/document/Standing-Directions-2018.docx" TargetMode="External"/><Relationship Id="rId274" Type="http://schemas.openxmlformats.org/officeDocument/2006/relationships/hyperlink" Target="http://www.enterprisesolutions.vic.gov.au/" TargetMode="External"/><Relationship Id="rId295" Type="http://schemas.openxmlformats.org/officeDocument/2006/relationships/hyperlink" Target="https://www.dtf.vic.gov.au/sites/default/files/document/Standing-Directions-2018.docx" TargetMode="External"/><Relationship Id="rId309" Type="http://schemas.openxmlformats.org/officeDocument/2006/relationships/hyperlink" Target="https://www.dtf.vic.gov.au/sites/default/files/document/Standing-Directions-2018.docx" TargetMode="External"/><Relationship Id="rId27" Type="http://schemas.openxmlformats.org/officeDocument/2006/relationships/header" Target="header5.xml"/><Relationship Id="rId48" Type="http://schemas.openxmlformats.org/officeDocument/2006/relationships/hyperlink" Target="https://www.dtf.vic.gov.au/standing-directions-2018-under-financial-management-act-1994" TargetMode="External"/><Relationship Id="rId69" Type="http://schemas.openxmlformats.org/officeDocument/2006/relationships/hyperlink" Target="https://www.dtf.vic.gov.au/standing-directions-2018-under-financial-management-act-1994" TargetMode="External"/><Relationship Id="rId113" Type="http://schemas.openxmlformats.org/officeDocument/2006/relationships/hyperlink" Target="https://www.dtf.vic.gov.au/standing-directions-2018-under-financial-management-act-1994" TargetMode="External"/><Relationship Id="rId134" Type="http://schemas.openxmlformats.org/officeDocument/2006/relationships/hyperlink" Target="http://www.asx.com.au/documents/asx-compliance/cgc-principles-and-recommendations-3rd-edn.pdf" TargetMode="External"/><Relationship Id="rId80" Type="http://schemas.openxmlformats.org/officeDocument/2006/relationships/hyperlink" Target="https://www.dtf.vic.gov.au/standing-directions-2018-under-financial-management-act-1994" TargetMode="External"/><Relationship Id="rId155" Type="http://schemas.openxmlformats.org/officeDocument/2006/relationships/hyperlink" Target="https://www.dtf.vic.gov.au/standing-directions-2018-under-financial-management-act-1994" TargetMode="External"/><Relationship Id="rId176" Type="http://schemas.openxmlformats.org/officeDocument/2006/relationships/hyperlink" Target="https://www.dtf.vic.gov.au/sites/default/files/document/Standing-Directions-2018.docx" TargetMode="External"/><Relationship Id="rId197" Type="http://schemas.openxmlformats.org/officeDocument/2006/relationships/hyperlink" Target="http://vpsc.vic.gov.au/resources/codes-of-conduct/" TargetMode="External"/><Relationship Id="rId201" Type="http://schemas.openxmlformats.org/officeDocument/2006/relationships/hyperlink" Target="https://www.dtf.vic.gov.au/standing-directions-2018-under-financial-management-act-1994" TargetMode="External"/><Relationship Id="rId222" Type="http://schemas.openxmlformats.org/officeDocument/2006/relationships/hyperlink" Target="https://www.dtf.vic.gov.au/standing-directions-2018-under-financial-management-act-1994" TargetMode="External"/><Relationship Id="rId243" Type="http://schemas.openxmlformats.org/officeDocument/2006/relationships/hyperlink" Target="https://www.dtf.vic.gov.au/standing-directions-2018-under-financial-management-act-1994" TargetMode="External"/><Relationship Id="rId264" Type="http://schemas.openxmlformats.org/officeDocument/2006/relationships/hyperlink" Target="https://www.dtf.vic.gov.au/standing-directions-2018-under-financial-management-act-1994" TargetMode="External"/><Relationship Id="rId285" Type="http://schemas.openxmlformats.org/officeDocument/2006/relationships/hyperlink" Target="http://www.dpc.vic.gov.au/index.php/communication/policies-and-guidelines/sponsorship-policy-introduction-application-and-definitions" TargetMode="External"/><Relationship Id="rId17" Type="http://schemas.openxmlformats.org/officeDocument/2006/relationships/hyperlink" Target="mailto:information@dtf.vic.gov.au" TargetMode="External"/><Relationship Id="rId38" Type="http://schemas.openxmlformats.org/officeDocument/2006/relationships/hyperlink" Target="https://www.dtf.vic.gov.au/standing-directions-2018-under-financial-management-act-1994" TargetMode="External"/><Relationship Id="rId59" Type="http://schemas.openxmlformats.org/officeDocument/2006/relationships/hyperlink" Target="https://www.dtf.vic.gov.au/standing-directions-2018-under-financial-management-act-1994" TargetMode="External"/><Relationship Id="rId103" Type="http://schemas.openxmlformats.org/officeDocument/2006/relationships/hyperlink" Target="https://www.dtf.vic.gov.au/standing-directions-2018-under-financial-management-act-1994" TargetMode="External"/><Relationship Id="rId124" Type="http://schemas.openxmlformats.org/officeDocument/2006/relationships/hyperlink" Target="https://www.audit.vic.gov.au/report/audit-committee-governance" TargetMode="External"/><Relationship Id="rId310" Type="http://schemas.openxmlformats.org/officeDocument/2006/relationships/hyperlink" Target="https://www.dtf.vic.gov.au/sites/default/files/document/Standing-Directions-2018-Instructions.docx" TargetMode="External"/><Relationship Id="rId70" Type="http://schemas.openxmlformats.org/officeDocument/2006/relationships/hyperlink" Target="https://www.dtf.vic.gov.au/standing-directions-2018-under-financial-management-act-1994" TargetMode="External"/><Relationship Id="rId91" Type="http://schemas.openxmlformats.org/officeDocument/2006/relationships/hyperlink" Target="https://www.dtf.vic.gov.au/standing-directions-2018-under-financial-management-act-1994" TargetMode="External"/><Relationship Id="rId145" Type="http://schemas.openxmlformats.org/officeDocument/2006/relationships/hyperlink" Target="https://www.dtf.vic.gov.au/standing-directions-2018-under-financial-management-act-1994" TargetMode="External"/><Relationship Id="rId166" Type="http://schemas.openxmlformats.org/officeDocument/2006/relationships/hyperlink" Target="https://www.dtf.vic.gov.au/standing-directions-2018-under-financial-management-act-1994" TargetMode="External"/><Relationship Id="rId187" Type="http://schemas.openxmlformats.org/officeDocument/2006/relationships/hyperlink" Target="https://www.ato.gov.au/general/fringe-benefits-tax-(fbt)/in-detail/government-organisations/better-practices-for-managing-specific-fringe-benefit-types/"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dtf.vic.gov.au/standing-directions-2018-under-financial-management-act-1994" TargetMode="External"/><Relationship Id="rId233" Type="http://schemas.openxmlformats.org/officeDocument/2006/relationships/hyperlink" Target="mailto:workingcapital@dtf.vic.gov.au" TargetMode="External"/><Relationship Id="rId254" Type="http://schemas.openxmlformats.org/officeDocument/2006/relationships/hyperlink" Target="https://www.dtf.vic.gov.au/sites/default/files/document/Standing-Directions-2018.docx" TargetMode="External"/><Relationship Id="rId28" Type="http://schemas.openxmlformats.org/officeDocument/2006/relationships/footer" Target="footer4.xml"/><Relationship Id="rId49" Type="http://schemas.openxmlformats.org/officeDocument/2006/relationships/hyperlink" Target="https://www.dtf.vic.gov.au/standing-directions-2018-under-financial-management-act-1994" TargetMode="External"/><Relationship Id="rId114" Type="http://schemas.openxmlformats.org/officeDocument/2006/relationships/hyperlink" Target="http://vpsc.vic.gov.au/html-resources/guidance-for-managers-engaging-contractors-and-consultants/" TargetMode="External"/><Relationship Id="rId275" Type="http://schemas.openxmlformats.org/officeDocument/2006/relationships/hyperlink" Target="http://www.audit.vic.gov.au/" TargetMode="External"/><Relationship Id="rId296" Type="http://schemas.openxmlformats.org/officeDocument/2006/relationships/hyperlink" Target="https://www.dtf.vic.gov.au/sites/default/files/document/Standing-Directions-2018.docx" TargetMode="External"/><Relationship Id="rId300" Type="http://schemas.openxmlformats.org/officeDocument/2006/relationships/hyperlink" Target="https://www.dtf.vic.gov.au/sites/default/files/document/Standing-Directions-2018.docx" TargetMode="External"/><Relationship Id="rId60" Type="http://schemas.openxmlformats.org/officeDocument/2006/relationships/hyperlink" Target="http://www.vic.gov.au/victorian-risk-management-framework-and-insurance-management-policy" TargetMode="External"/><Relationship Id="rId81" Type="http://schemas.openxmlformats.org/officeDocument/2006/relationships/hyperlink" Target="https://www.dtf.vic.gov.au/standing-directions-2018-under-financial-management-act-1994" TargetMode="External"/><Relationship Id="rId135" Type="http://schemas.openxmlformats.org/officeDocument/2006/relationships/hyperlink" Target="http://www.iia.org.au/announcements/12-08-28/AUDIT_COMMITTEES_A_guide_to_good_practice.aspx" TargetMode="External"/><Relationship Id="rId156" Type="http://schemas.openxmlformats.org/officeDocument/2006/relationships/hyperlink" Target="https://www.dtf.vic.gov.au/standing-directions-2018-under-financial-management-act-1994" TargetMode="External"/><Relationship Id="rId177" Type="http://schemas.openxmlformats.org/officeDocument/2006/relationships/hyperlink" Target="https://www.dtf.vic.gov.au/standing-directions-2018-under-financial-management-act-1994" TargetMode="External"/><Relationship Id="rId198" Type="http://schemas.openxmlformats.org/officeDocument/2006/relationships/hyperlink" Target="https://www.dtf.vic.gov.au/standing-directions-2018-under-financial-management-act-1994" TargetMode="External"/><Relationship Id="rId202" Type="http://schemas.openxmlformats.org/officeDocument/2006/relationships/hyperlink" Target="https://www.dtf.vic.gov.au/standing-directions-2018-under-financial-management-act-1994" TargetMode="External"/><Relationship Id="rId223" Type="http://schemas.openxmlformats.org/officeDocument/2006/relationships/hyperlink" Target="https://www.dtf.vic.gov.au/standing-directions-2018-under-financial-management-act-1994" TargetMode="External"/><Relationship Id="rId244" Type="http://schemas.openxmlformats.org/officeDocument/2006/relationships/hyperlink" Target="https://www.dtf.vic.gov.au/standing-directions-2018-under-financial-management-act-1994" TargetMode="External"/><Relationship Id="rId18" Type="http://schemas.openxmlformats.org/officeDocument/2006/relationships/hyperlink" Target="http://www.dtf.vic.gov.au" TargetMode="External"/><Relationship Id="rId39" Type="http://schemas.openxmlformats.org/officeDocument/2006/relationships/hyperlink" Target="https://www.dtf.vic.gov.au/standing-directions-2018-under-financial-management-act-1994" TargetMode="External"/><Relationship Id="rId265" Type="http://schemas.openxmlformats.org/officeDocument/2006/relationships/hyperlink" Target="http://www.procurement.vic.gov.au/Buyers/Policies-Guides-and-Tools/Governance-Policy" TargetMode="External"/><Relationship Id="rId286" Type="http://schemas.openxmlformats.org/officeDocument/2006/relationships/hyperlink" Target="http://en.wikipedia.org/wiki/Gift" TargetMode="External"/><Relationship Id="rId50" Type="http://schemas.openxmlformats.org/officeDocument/2006/relationships/hyperlink" Target="https://www.dtf.vic.gov.au/standing-directions-2018-under-financial-management-act-1994" TargetMode="External"/><Relationship Id="rId104" Type="http://schemas.openxmlformats.org/officeDocument/2006/relationships/hyperlink" Target="https://www.dtf.vic.gov.au/standing-directions-2018-under-financial-management-act-1994" TargetMode="External"/><Relationship Id="rId125" Type="http://schemas.openxmlformats.org/officeDocument/2006/relationships/hyperlink" Target="https://www.dtf.vic.gov.au/standing-directions-2018-under-financial-management-act-1994" TargetMode="External"/><Relationship Id="rId146" Type="http://schemas.openxmlformats.org/officeDocument/2006/relationships/hyperlink" Target="http://www.iia.org.au/technicalResources/practiceGuides.aspx" TargetMode="External"/><Relationship Id="rId167" Type="http://schemas.openxmlformats.org/officeDocument/2006/relationships/hyperlink" Target="https://www.dtf.vic.gov.au/standing-directions-2018-under-financial-management-act-1994" TargetMode="External"/><Relationship Id="rId188" Type="http://schemas.openxmlformats.org/officeDocument/2006/relationships/hyperlink" Target="https://www.ato.gov.au/" TargetMode="External"/><Relationship Id="rId311" Type="http://schemas.openxmlformats.org/officeDocument/2006/relationships/hyperlink" Target="https://www.dtf.vic.gov.au/sites/default/files/document/Standing-Directions-2018-Instructions.docx" TargetMode="External"/><Relationship Id="rId332" Type="http://schemas.openxmlformats.org/officeDocument/2006/relationships/theme" Target="theme/theme1.xml"/><Relationship Id="rId71" Type="http://schemas.openxmlformats.org/officeDocument/2006/relationships/hyperlink" Target="https://www.dtf.vic.gov.au/standing-directions-2018-under-financial-management-act-1994" TargetMode="External"/><Relationship Id="rId92" Type="http://schemas.openxmlformats.org/officeDocument/2006/relationships/hyperlink" Target="https://www.dtf.vic.gov.au/standing-directions-2018-under-financial-management-act-1994" TargetMode="External"/><Relationship Id="rId213" Type="http://schemas.openxmlformats.org/officeDocument/2006/relationships/hyperlink" Target="https://www.dtf.vic.gov.au/standing-directions-2018-under-financial-management-act-1994" TargetMode="External"/><Relationship Id="rId234" Type="http://schemas.openxmlformats.org/officeDocument/2006/relationships/hyperlink" Target="https://www.dtf.vic.gov.au/standing-directions-2018-under-financial-management-act-1994" TargetMode="External"/><Relationship Id="rId2" Type="http://schemas.openxmlformats.org/officeDocument/2006/relationships/customXml" Target="../customXml/item2.xml"/><Relationship Id="rId29" Type="http://schemas.openxmlformats.org/officeDocument/2006/relationships/header" Target="header6.xml"/><Relationship Id="rId255" Type="http://schemas.openxmlformats.org/officeDocument/2006/relationships/hyperlink" Target="https://www.dtf.vic.gov.au/sites/default/files/document/Standing-Directions-2018.docx" TargetMode="External"/><Relationship Id="rId276" Type="http://schemas.openxmlformats.org/officeDocument/2006/relationships/hyperlink" Target="http://www.anao.gov.au/" TargetMode="External"/><Relationship Id="rId297" Type="http://schemas.openxmlformats.org/officeDocument/2006/relationships/hyperlink" Target="https://www.dtf.vic.gov.au/sites/default/files/document/Standing-Directions-2018-Instructions.docx" TargetMode="External"/><Relationship Id="rId40" Type="http://schemas.openxmlformats.org/officeDocument/2006/relationships/hyperlink" Target="https://www.dtf.vic.gov.au/standing-directions-2018-under-financial-management-act-1994" TargetMode="External"/><Relationship Id="rId115" Type="http://schemas.openxmlformats.org/officeDocument/2006/relationships/hyperlink" Target="http://vpsc.vic.gov.au/governance/governance-structure-and-roles/governance-structure/" TargetMode="External"/><Relationship Id="rId136" Type="http://schemas.openxmlformats.org/officeDocument/2006/relationships/hyperlink" Target="http://www.iia.org.au" TargetMode="External"/><Relationship Id="rId157" Type="http://schemas.openxmlformats.org/officeDocument/2006/relationships/hyperlink" Target="https://www.dtf.vic.gov.au/standing-directions-2018-under-financial-management-act-1994" TargetMode="External"/><Relationship Id="rId178" Type="http://schemas.openxmlformats.org/officeDocument/2006/relationships/hyperlink" Target="http://vpsc.vic.gov.au/resources/gifts-benefits-and-hospitality-policy-framework/" TargetMode="External"/><Relationship Id="rId301" Type="http://schemas.openxmlformats.org/officeDocument/2006/relationships/hyperlink" Target="https://www.dtf.vic.gov.au/sites/default/files/document/Standing-Directions-2018.docx" TargetMode="External"/><Relationship Id="rId61" Type="http://schemas.openxmlformats.org/officeDocument/2006/relationships/hyperlink" Target="https://www.dtf.vic.gov.au/standing-directions-2018-under-financial-management-act-1994" TargetMode="External"/><Relationship Id="rId82" Type="http://schemas.openxmlformats.org/officeDocument/2006/relationships/hyperlink" Target="https://www.dtf.vic.gov.au/standing-directions-2018-under-financial-management-act-1994" TargetMode="External"/><Relationship Id="rId199" Type="http://schemas.openxmlformats.org/officeDocument/2006/relationships/hyperlink" Target="https://www.dtf.vic.gov.au/standing-directions-2018-under-financial-management-act-1994" TargetMode="External"/><Relationship Id="rId203" Type="http://schemas.openxmlformats.org/officeDocument/2006/relationships/hyperlink" Target="https://www.dtf.vic.gov.au/standing-directions-2018-under-financial-management-act-1994" TargetMode="External"/><Relationship Id="rId19" Type="http://schemas.openxmlformats.org/officeDocument/2006/relationships/header" Target="header1.xml"/><Relationship Id="rId224" Type="http://schemas.openxmlformats.org/officeDocument/2006/relationships/hyperlink" Target="https://www.dtf.vic.gov.au/standing-directions-2018-under-financial-management-act-1994" TargetMode="External"/><Relationship Id="rId245" Type="http://schemas.openxmlformats.org/officeDocument/2006/relationships/hyperlink" Target="http://www.enterprisesolutions.vic.gov.au/business-systems/information-management/" TargetMode="External"/><Relationship Id="rId266" Type="http://schemas.openxmlformats.org/officeDocument/2006/relationships/hyperlink" Target="http://www.procurement.vic.gov.au/Buyers/Policies-Guides-and-Tools/Complexity-and-Capability-Assessment-Policy" TargetMode="External"/><Relationship Id="rId287" Type="http://schemas.openxmlformats.org/officeDocument/2006/relationships/hyperlink" Target="http://en.wikipedia.org/wiki/Charitable_organization" TargetMode="External"/><Relationship Id="rId30" Type="http://schemas.openxmlformats.org/officeDocument/2006/relationships/footer" Target="footer5.xml"/><Relationship Id="rId105" Type="http://schemas.openxmlformats.org/officeDocument/2006/relationships/hyperlink" Target="https://www.dtf.vic.gov.au/standing-directions-2018-under-financial-management-act-1994" TargetMode="External"/><Relationship Id="rId126" Type="http://schemas.openxmlformats.org/officeDocument/2006/relationships/hyperlink" Target="https://www.dtf.vic.gov.au/standing-directions-2018-under-financial-management-act-1994" TargetMode="External"/><Relationship Id="rId147" Type="http://schemas.openxmlformats.org/officeDocument/2006/relationships/hyperlink" Target="https://www.anao.gov.au/work/better-practice-guide/public-sector-internal-audit-investment-assurance-and-business" TargetMode="External"/><Relationship Id="rId168" Type="http://schemas.openxmlformats.org/officeDocument/2006/relationships/hyperlink" Target="https://www.dtf.vic.gov.au/standing-directions-2018-under-financial-management-act-1994" TargetMode="External"/><Relationship Id="rId312" Type="http://schemas.openxmlformats.org/officeDocument/2006/relationships/hyperlink" Target="https://www.dtf.vic.gov.au/sites/default/files/document/Standing-Directions-2018-Instructions.docx" TargetMode="External"/><Relationship Id="rId51" Type="http://schemas.openxmlformats.org/officeDocument/2006/relationships/hyperlink" Target="https://www.dtf.vic.gov.au/standing-directions-2018-under-financial-management-act-1994" TargetMode="External"/><Relationship Id="rId72" Type="http://schemas.openxmlformats.org/officeDocument/2006/relationships/hyperlink" Target="https://www.dtf.vic.gov.au/standing-directions-2018-under-financial-management-act-1994" TargetMode="External"/><Relationship Id="rId93" Type="http://schemas.openxmlformats.org/officeDocument/2006/relationships/hyperlink" Target="https://www.dtf.vic.gov.au/standing-directions-2018-under-financial-management-act-1994" TargetMode="External"/><Relationship Id="rId189" Type="http://schemas.openxmlformats.org/officeDocument/2006/relationships/hyperlink" Target="https://www.dtf.vic.gov.au/standing-directions-2018-under-financial-management-act-1994" TargetMode="External"/><Relationship Id="rId3" Type="http://schemas.openxmlformats.org/officeDocument/2006/relationships/customXml" Target="../customXml/item3.xml"/><Relationship Id="rId214" Type="http://schemas.openxmlformats.org/officeDocument/2006/relationships/hyperlink" Target="https://www.dtf.vic.gov.au/standing-directions-2018-under-financial-management-act-1994" TargetMode="External"/><Relationship Id="rId235" Type="http://schemas.openxmlformats.org/officeDocument/2006/relationships/hyperlink" Target="https://www.dtf.vic.gov.au/standing-directions-2018-under-financial-management-act-1994" TargetMode="External"/><Relationship Id="rId256" Type="http://schemas.openxmlformats.org/officeDocument/2006/relationships/image" Target="media/image5.emf"/><Relationship Id="rId277" Type="http://schemas.openxmlformats.org/officeDocument/2006/relationships/hyperlink" Target="http://economicdevelopment.vic.gov.au/" TargetMode="External"/><Relationship Id="rId298" Type="http://schemas.openxmlformats.org/officeDocument/2006/relationships/hyperlink" Target="https://www.dtf.vic.gov.au/sites/default/files/document/Standing-Directions-2018-Instructions.docx" TargetMode="External"/><Relationship Id="rId116" Type="http://schemas.openxmlformats.org/officeDocument/2006/relationships/hyperlink" Target="https://www.dtf.vic.gov.au/standing-directions-2018-under-financial-management-act-1994" TargetMode="External"/><Relationship Id="rId137" Type="http://schemas.openxmlformats.org/officeDocument/2006/relationships/hyperlink" Target="http://www.audit.vic.gov.au/reports_and_publications/latest_reports/2014-15/20150212-water-entities.aspx" TargetMode="External"/><Relationship Id="rId158" Type="http://schemas.openxmlformats.org/officeDocument/2006/relationships/hyperlink" Target="https://www.dtf.vic.gov.au/standing-directions-2018-under-financial-management-act-1994" TargetMode="External"/><Relationship Id="rId302" Type="http://schemas.openxmlformats.org/officeDocument/2006/relationships/hyperlink" Target="https://www.dtf.vic.gov.au/sites/default/files/document/Standing-Directions-2018.docx" TargetMode="External"/><Relationship Id="rId20" Type="http://schemas.openxmlformats.org/officeDocument/2006/relationships/header" Target="header2.xml"/><Relationship Id="rId41" Type="http://schemas.openxmlformats.org/officeDocument/2006/relationships/hyperlink" Target="http://www.businessdictionary.com/definition/condition.html" TargetMode="External"/><Relationship Id="rId62" Type="http://schemas.openxmlformats.org/officeDocument/2006/relationships/hyperlink" Target="https://www.dtf.vic.gov.au/standing-directions-2018-under-financial-management-act-1994" TargetMode="External"/><Relationship Id="rId83" Type="http://schemas.openxmlformats.org/officeDocument/2006/relationships/hyperlink" Target="https://www.dtf.vic.gov.au/standing-directions-2018-under-financial-management-act-1994" TargetMode="External"/><Relationship Id="rId179" Type="http://schemas.openxmlformats.org/officeDocument/2006/relationships/hyperlink" Target="http://www.procurement.vic.gov.au/files/3629ef59-3e55-478e-8905-a40600ba5ee9/VPS-Travel-Principles-March-2010.pdf" TargetMode="External"/><Relationship Id="rId190" Type="http://schemas.openxmlformats.org/officeDocument/2006/relationships/hyperlink" Target="https://www.dtf.vic.gov.au/standing-directions-2018-under-financial-management-act-1994" TargetMode="External"/><Relationship Id="rId204" Type="http://schemas.openxmlformats.org/officeDocument/2006/relationships/hyperlink" Target="https://www.dtf.vic.gov.au/standing-directions-2018-under-financial-management-act-1994" TargetMode="External"/><Relationship Id="rId225" Type="http://schemas.openxmlformats.org/officeDocument/2006/relationships/hyperlink" Target="mailto:working.capital@dtf.vic.gov.au" TargetMode="External"/><Relationship Id="rId246" Type="http://schemas.openxmlformats.org/officeDocument/2006/relationships/hyperlink" Target="http://ovic.vic.gov.au" TargetMode="External"/><Relationship Id="rId267" Type="http://schemas.openxmlformats.org/officeDocument/2006/relationships/hyperlink" Target="http://www.procurement.vic.gov.au/Buyers/Policies-Guides-and-Tools/Market-Analysis-and-Review-Policy" TargetMode="External"/><Relationship Id="rId288" Type="http://schemas.openxmlformats.org/officeDocument/2006/relationships/hyperlink" Target="https://www.dtf.vic.gov.au/standing-directions-2018-under-financial-management-act-1994" TargetMode="External"/><Relationship Id="rId106" Type="http://schemas.openxmlformats.org/officeDocument/2006/relationships/hyperlink" Target="https://www.dtf.vic.gov.au/standing-directions-2018-under-financial-management-act-1994" TargetMode="External"/><Relationship Id="rId127" Type="http://schemas.openxmlformats.org/officeDocument/2006/relationships/hyperlink" Target="https://www.dtf.vic.gov.au/standing-directions-2018-under-financial-management-act-1994" TargetMode="External"/><Relationship Id="rId313" Type="http://schemas.openxmlformats.org/officeDocument/2006/relationships/image" Target="media/image6.png"/><Relationship Id="rId10" Type="http://schemas.openxmlformats.org/officeDocument/2006/relationships/footnotes" Target="footnotes.xml"/><Relationship Id="rId31" Type="http://schemas.openxmlformats.org/officeDocument/2006/relationships/hyperlink" Target="https://www.dtf.vic.gov.au/standing-directions-2018-under-financial-management-act-1994" TargetMode="External"/><Relationship Id="rId52" Type="http://schemas.openxmlformats.org/officeDocument/2006/relationships/hyperlink" Target="https://www.dtf.vic.gov.au/standing-directions-2018-under-financial-management-act-1994" TargetMode="External"/><Relationship Id="rId73" Type="http://schemas.openxmlformats.org/officeDocument/2006/relationships/hyperlink" Target="https://www.dtf.vic.gov.au/standing-directions-2018-under-financial-management-act-1994" TargetMode="External"/><Relationship Id="rId94" Type="http://schemas.openxmlformats.org/officeDocument/2006/relationships/hyperlink" Target="https://www.dtf.vic.gov.au/standing-directions-2018-under-financial-management-act-1994" TargetMode="External"/><Relationship Id="rId148" Type="http://schemas.openxmlformats.org/officeDocument/2006/relationships/hyperlink" Target="https://www.anao.gov.au/work/better-practice-guide/public-sector-internal-audit-investment-assurance-and-business" TargetMode="External"/><Relationship Id="rId169" Type="http://schemas.openxmlformats.org/officeDocument/2006/relationships/hyperlink" Target="https://www.coso.org/Pages/erm-integratedframework.aspx" TargetMode="External"/><Relationship Id="rId4" Type="http://schemas.openxmlformats.org/officeDocument/2006/relationships/customXml" Target="../customXml/item4.xml"/><Relationship Id="rId180" Type="http://schemas.openxmlformats.org/officeDocument/2006/relationships/hyperlink" Target="http://www.dpc.vic.gov.au/index.php/18-resources/communication" TargetMode="External"/><Relationship Id="rId215" Type="http://schemas.openxmlformats.org/officeDocument/2006/relationships/hyperlink" Target="https://www.dtf.vic.gov.au/standing-directions-2018-under-financial-management-act-1994" TargetMode="External"/><Relationship Id="rId236" Type="http://schemas.openxmlformats.org/officeDocument/2006/relationships/hyperlink" Target="https://www.dtf.vic.gov.au/standing-directions-2018-under-financial-management-act-1994" TargetMode="External"/><Relationship Id="rId257" Type="http://schemas.openxmlformats.org/officeDocument/2006/relationships/hyperlink" Target="https://www.vic.gov.au/pricing-value" TargetMode="External"/><Relationship Id="rId278" Type="http://schemas.openxmlformats.org/officeDocument/2006/relationships/hyperlink" Target="http://www.procurement.vic.gov.au/Home" TargetMode="External"/><Relationship Id="rId303" Type="http://schemas.openxmlformats.org/officeDocument/2006/relationships/hyperlink" Target="https://www.dtf.vic.gov.au/sites/default/files/document/Standing-Directions-2018.docx" TargetMode="External"/><Relationship Id="rId42" Type="http://schemas.openxmlformats.org/officeDocument/2006/relationships/hyperlink" Target="http://en.wikipedia.org/wiki/Gift" TargetMode="External"/><Relationship Id="rId84" Type="http://schemas.openxmlformats.org/officeDocument/2006/relationships/hyperlink" Target="https://www.dtf.vic.gov.au/standing-directions-2018-under-financial-management-act-1994" TargetMode="External"/><Relationship Id="rId138" Type="http://schemas.openxmlformats.org/officeDocument/2006/relationships/hyperlink" Target="http://www.audit.vic.gov.au/reports_and_publications/latest_reports/2016-17/20160831-audit-committees.aspx" TargetMode="External"/><Relationship Id="rId191" Type="http://schemas.openxmlformats.org/officeDocument/2006/relationships/hyperlink" Target="https://www.dtf.vic.gov.au/standing-directions-2018-under-financial-management-act-1994" TargetMode="External"/><Relationship Id="rId205" Type="http://schemas.openxmlformats.org/officeDocument/2006/relationships/hyperlink" Target="https://www.dtf.vic.gov.au/standing-directions-2018-under-financial-management-act-1994" TargetMode="External"/><Relationship Id="rId247" Type="http://schemas.openxmlformats.org/officeDocument/2006/relationships/hyperlink" Target="http://www.dtf.vic.gov.au" TargetMode="External"/><Relationship Id="rId107" Type="http://schemas.openxmlformats.org/officeDocument/2006/relationships/hyperlink" Target="https://www.dtf.vic.gov.au/standing-directions-2018-under-financial-management-act-1994" TargetMode="External"/><Relationship Id="rId289" Type="http://schemas.openxmlformats.org/officeDocument/2006/relationships/hyperlink" Target="https://www.dtf.vic.gov.au/standing-directions-2018-under-financial-management-act-1994" TargetMode="External"/><Relationship Id="rId11" Type="http://schemas.openxmlformats.org/officeDocument/2006/relationships/endnotes" Target="endnotes.xml"/><Relationship Id="rId53" Type="http://schemas.openxmlformats.org/officeDocument/2006/relationships/hyperlink" Target="http://vpsc.vic.gov.au/resources/serving-victoria/" TargetMode="External"/><Relationship Id="rId149" Type="http://schemas.openxmlformats.org/officeDocument/2006/relationships/hyperlink" Target="https://www.anao.gov.au/work/better-practice-guide/public-sector-internal-audit-investment-assurance-and-business" TargetMode="External"/><Relationship Id="rId95" Type="http://schemas.openxmlformats.org/officeDocument/2006/relationships/hyperlink" Target="https://www.dtf.vic.gov.au/standing-directions-2018-under-financial-management-act-1994" TargetMode="External"/><Relationship Id="rId160" Type="http://schemas.openxmlformats.org/officeDocument/2006/relationships/hyperlink" Target="http://vpsc.vic.gov.au/governance/governance-structure-and-roles/governance-structure/" TargetMode="External"/><Relationship Id="rId216" Type="http://schemas.openxmlformats.org/officeDocument/2006/relationships/hyperlink" Target="https://www.dtf.vic.gov.au/standing-directions-2018-under-financial-management-act-1994" TargetMode="External"/><Relationship Id="rId258" Type="http://schemas.openxmlformats.org/officeDocument/2006/relationships/hyperlink" Target="https://www.dtf.vic.gov.au/sites/default/files/document/Standing-Directions-2018.docx" TargetMode="External"/><Relationship Id="rId22" Type="http://schemas.openxmlformats.org/officeDocument/2006/relationships/footer" Target="footer2.xml"/><Relationship Id="rId64" Type="http://schemas.openxmlformats.org/officeDocument/2006/relationships/hyperlink" Target="https://www.dtf.vic.gov.au/standing-directions-2018-under-financial-management-act-1994" TargetMode="External"/><Relationship Id="rId118" Type="http://schemas.openxmlformats.org/officeDocument/2006/relationships/hyperlink" Target="https://www.dtf.vic.gov.au/standing-directions-2018-under-financial-management-act-1994" TargetMode="External"/><Relationship Id="rId171" Type="http://schemas.openxmlformats.org/officeDocument/2006/relationships/hyperlink" Target="https://www.dtf.vic.gov.au/standing-directions-2018-under-financial-management-act-1994" TargetMode="External"/><Relationship Id="rId227" Type="http://schemas.openxmlformats.org/officeDocument/2006/relationships/hyperlink" Target="mailto:treasuryclientservices@tcv.vic.gov.au" TargetMode="External"/><Relationship Id="rId269" Type="http://schemas.openxmlformats.org/officeDocument/2006/relationships/hyperlink" Target="http://www.procurement.vic.gov.au/Buyers/Policies-Guides-and-Tools/Contract-Management-and-Contract-Disclosure-Policy" TargetMode="External"/><Relationship Id="rId33" Type="http://schemas.openxmlformats.org/officeDocument/2006/relationships/hyperlink" Target="https://www.dtf.vic.gov.au/standing-directions-2018-under-financial-management-act-1994" TargetMode="External"/><Relationship Id="rId129" Type="http://schemas.openxmlformats.org/officeDocument/2006/relationships/hyperlink" Target="https://www.dtf.vic.gov.au/standing-directions-2018-under-financial-management-act-1994" TargetMode="External"/><Relationship Id="rId280" Type="http://schemas.openxmlformats.org/officeDocument/2006/relationships/hyperlink" Target="https://www.dtf.vic.gov.au/standing-directions-2018-under-financial-management-act-1994" TargetMode="External"/><Relationship Id="rId75" Type="http://schemas.openxmlformats.org/officeDocument/2006/relationships/hyperlink" Target="https://www.dtf.vic.gov.au/standing-directions-2018-under-financial-management-act-1994" TargetMode="External"/><Relationship Id="rId140" Type="http://schemas.openxmlformats.org/officeDocument/2006/relationships/hyperlink" Target="https://www.dtf.vic.gov.au/standing-directions-2018-under-financial-management-act-1994" TargetMode="External"/><Relationship Id="rId182" Type="http://schemas.openxmlformats.org/officeDocument/2006/relationships/hyperlink" Target="http://www.ato.gov.au/" TargetMode="External"/><Relationship Id="rId6" Type="http://schemas.openxmlformats.org/officeDocument/2006/relationships/numbering" Target="numbering.xml"/><Relationship Id="rId238" Type="http://schemas.openxmlformats.org/officeDocument/2006/relationships/hyperlink" Target="https://www.dtf.vic.gov.au/standing-directions-2018-under-financial-management-act-1994" TargetMode="External"/><Relationship Id="rId291" Type="http://schemas.openxmlformats.org/officeDocument/2006/relationships/hyperlink" Target="https://www.dtf.vic.gov.au/sites/default/files/document/Standing-Directions-2018.docx" TargetMode="External"/><Relationship Id="rId305" Type="http://schemas.openxmlformats.org/officeDocument/2006/relationships/hyperlink" Target="https://www.dtf.vic.gov.au/sites/default/files/document/Standing-Directions-2018.docx" TargetMode="External"/><Relationship Id="rId44" Type="http://schemas.openxmlformats.org/officeDocument/2006/relationships/hyperlink" Target="https://www.dtf.vic.gov.au/standing-directions-2018-under-financial-management-act-1994" TargetMode="External"/><Relationship Id="rId86" Type="http://schemas.openxmlformats.org/officeDocument/2006/relationships/hyperlink" Target="https://www.dtf.vic.gov.au/standing-directions-2018-under-financial-management-act-1994" TargetMode="External"/><Relationship Id="rId151" Type="http://schemas.openxmlformats.org/officeDocument/2006/relationships/hyperlink" Target="http://www.iia.org.au/technicalResources/professionalGuidance.aspx" TargetMode="External"/><Relationship Id="rId193" Type="http://schemas.openxmlformats.org/officeDocument/2006/relationships/hyperlink" Target="https://www.dtf.vic.gov.au/standing-directions-2018-under-financial-management-act-1994" TargetMode="External"/><Relationship Id="rId207" Type="http://schemas.openxmlformats.org/officeDocument/2006/relationships/hyperlink" Target="https://www.dtf.vic.gov.au/standing-directions-2018-under-financial-management-act-1994" TargetMode="External"/><Relationship Id="rId249" Type="http://schemas.openxmlformats.org/officeDocument/2006/relationships/hyperlink" Target="http://www.enterprisesolutions.vic.gov.au"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20http://www.iia.org.au/technical-resources/professionalGuidance/standards.aspx" TargetMode="External"/><Relationship Id="rId18" Type="http://schemas.openxmlformats.org/officeDocument/2006/relationships/hyperlink" Target="https://www.audit.vic.gov.au/report/public-hospitals-results-2013-14-audits?section=32320--4-internal-audit&amp;show-sections=1" TargetMode="External"/><Relationship Id="rId26" Type="http://schemas.openxmlformats.org/officeDocument/2006/relationships/hyperlink" Target="http://www.auasb.gov.au/admin/file/content102/c3/Jan15_ASAE_3150_Assurance_Engagements_on_Controls.pdf" TargetMode="External"/><Relationship Id="rId39" Type="http://schemas.openxmlformats.org/officeDocument/2006/relationships/hyperlink" Target="http://www.vic.gov.au/sponsorship" TargetMode="External"/><Relationship Id="rId21" Type="http://schemas.openxmlformats.org/officeDocument/2006/relationships/hyperlink" Target="https://vpsc.vic.gov.au/" TargetMode="External"/><Relationship Id="rId34" Type="http://schemas.openxmlformats.org/officeDocument/2006/relationships/hyperlink" Target="http://buyingfor.vic.gov.au" TargetMode="External"/><Relationship Id="rId42" Type="http://schemas.openxmlformats.org/officeDocument/2006/relationships/hyperlink" Target="https://global.theiia.org/standards-guidance/topics/Documents/201501GuidetoRBIA.pdf" TargetMode="External"/><Relationship Id="rId7" Type="http://schemas.openxmlformats.org/officeDocument/2006/relationships/hyperlink" Target="https://global.theiia.org/standards-guidance/topics/Documents/201501GuidetoRBIA.pdf" TargetMode="External"/><Relationship Id="rId2" Type="http://schemas.openxmlformats.org/officeDocument/2006/relationships/hyperlink" Target="http://vpsc.vic.gov.au/resources/serving-victoria/" TargetMode="External"/><Relationship Id="rId16" Type="http://schemas.openxmlformats.org/officeDocument/2006/relationships/hyperlink" Target="http://www.iia.org.au/technical-resources/professionalGuidance/practiceGuides.aspx" TargetMode="External"/><Relationship Id="rId20" Type="http://schemas.openxmlformats.org/officeDocument/2006/relationships/hyperlink" Target="https://vpsc.vic.gov.au/html-resources/guidance-for-managers-engaging-contractors-and-consultants" TargetMode="External"/><Relationship Id="rId29" Type="http://schemas.openxmlformats.org/officeDocument/2006/relationships/hyperlink" Target="http://www.enterprisesolutions.vic.gov.au/" TargetMode="External"/><Relationship Id="rId41" Type="http://schemas.openxmlformats.org/officeDocument/2006/relationships/hyperlink" Target="https://global.theiia.org/standards-guidance/topics/Documents/201501GuidetoRBIA.pdf" TargetMode="External"/><Relationship Id="rId1" Type="http://schemas.openxmlformats.org/officeDocument/2006/relationships/hyperlink" Target="http://vpsc.vic.gov.au/html-resources/guidance-for-managers-engaging-contractors-and-consultants" TargetMode="External"/><Relationship Id="rId6" Type="http://schemas.openxmlformats.org/officeDocument/2006/relationships/hyperlink" Target="https://na.theiia.org/services/quality/Public_Documents/Forms/AllItems.aspx" TargetMode="External"/><Relationship Id="rId11" Type="http://schemas.openxmlformats.org/officeDocument/2006/relationships/hyperlink" Target="http://www.iia.org.au/sf_docs/default-source/quality/internal-audit-charter-review-checklist8E790F548D4A.pdf?sfvrsn=2" TargetMode="External"/><Relationship Id="rId24" Type="http://schemas.openxmlformats.org/officeDocument/2006/relationships/hyperlink" Target="http://www.ato.gov.au/" TargetMode="External"/><Relationship Id="rId32" Type="http://schemas.openxmlformats.org/officeDocument/2006/relationships/hyperlink" Target="http://djpr.vic.gov.au" TargetMode="External"/><Relationship Id="rId37" Type="http://schemas.openxmlformats.org/officeDocument/2006/relationships/hyperlink" Target="http://www.intranet.vic.gov.au/connect/better-grants-design" TargetMode="External"/><Relationship Id="rId40" Type="http://schemas.openxmlformats.org/officeDocument/2006/relationships/hyperlink" Target="http://vpsc.vic.gov.au/about-vpsc/vpsc-gifts-benefits-hospitality-policy-declaration-register" TargetMode="External"/><Relationship Id="rId5" Type="http://schemas.openxmlformats.org/officeDocument/2006/relationships/hyperlink" Target="http://vpsc.vic.gov.au/governance/governance-structure-and-roles/governance-structure/" TargetMode="External"/><Relationship Id="rId15" Type="http://schemas.openxmlformats.org/officeDocument/2006/relationships/hyperlink" Target="http://www.iia.org.au/technical-resources/professionalGuidance/practiceGuides.aspx" TargetMode="External"/><Relationship Id="rId23" Type="http://schemas.openxmlformats.org/officeDocument/2006/relationships/hyperlink" Target="https://www.pcisecuritystandards.org/pci_security/" TargetMode="External"/><Relationship Id="rId28" Type="http://schemas.openxmlformats.org/officeDocument/2006/relationships/hyperlink" Target="http://www.dtf.vic.gov.au" TargetMode="External"/><Relationship Id="rId36" Type="http://schemas.openxmlformats.org/officeDocument/2006/relationships/hyperlink" Target="https://www.dtf.vic.gov.au/standing-directions-2018-under-financial-management-act-1994" TargetMode="External"/><Relationship Id="rId10" Type="http://schemas.openxmlformats.org/officeDocument/2006/relationships/hyperlink" Target="http://www.anao.gov.au/" TargetMode="External"/><Relationship Id="rId19" Type="http://schemas.openxmlformats.org/officeDocument/2006/relationships/hyperlink" Target="https://www.audit.vic.gov.au/report/portfolio-departments-and-associated-entities-results-2013-14-audits?section=31422--4-internal-audit-&amp;show-sections=1" TargetMode="External"/><Relationship Id="rId31" Type="http://schemas.openxmlformats.org/officeDocument/2006/relationships/hyperlink" Target="http://www.anao.gov.au/" TargetMode="External"/><Relationship Id="rId44" Type="http://schemas.openxmlformats.org/officeDocument/2006/relationships/hyperlink" Target="http://www.vmia.vic.gov.au/insure/insurance-attestation/resources" TargetMode="External"/><Relationship Id="rId4" Type="http://schemas.openxmlformats.org/officeDocument/2006/relationships/hyperlink" Target="http://vpsc.vic.gov.au/html-resources/guidance-for-managers-engaging-contractors-and-consultants/" TargetMode="External"/><Relationship Id="rId9" Type="http://schemas.openxmlformats.org/officeDocument/2006/relationships/hyperlink" Target="http://vpsc.vic.gov.au/" TargetMode="External"/><Relationship Id="rId14" Type="http://schemas.openxmlformats.org/officeDocument/2006/relationships/hyperlink" Target="http://www.iia.org.au/technical-resources/professionalGuidance/practiceGuides.aspx" TargetMode="External"/><Relationship Id="rId22" Type="http://schemas.openxmlformats.org/officeDocument/2006/relationships/hyperlink" Target="http://na.theiia.org/standards-guidance/topics/documents/executive_summary.pdf" TargetMode="External"/><Relationship Id="rId27" Type="http://schemas.openxmlformats.org/officeDocument/2006/relationships/hyperlink" Target="http://www.procurement.vic.gov.au/Buyers/Policies-Guides-and-Tools/Contract-Management-and-Contract-Disclosure-Policy" TargetMode="External"/><Relationship Id="rId30" Type="http://schemas.openxmlformats.org/officeDocument/2006/relationships/hyperlink" Target="http://www.audit.vic.gov.au/" TargetMode="External"/><Relationship Id="rId35" Type="http://schemas.openxmlformats.org/officeDocument/2006/relationships/hyperlink" Target="http://www.audit.vic.gov.au/sites/default/files/20080730-ICT-BPG.pdf" TargetMode="External"/><Relationship Id="rId43" Type="http://schemas.openxmlformats.org/officeDocument/2006/relationships/hyperlink" Target="https://global.theiia.org/standards-guidance/topics/Documents/201501GuidetoRBIA.pdf" TargetMode="External"/><Relationship Id="rId8" Type="http://schemas.openxmlformats.org/officeDocument/2006/relationships/hyperlink" Target="https://global.theiia.org/standards-guidance/topics/Documents/201501GuidetoRBIA.pdf" TargetMode="External"/><Relationship Id="rId3" Type="http://schemas.openxmlformats.org/officeDocument/2006/relationships/hyperlink" Target="https://www.dtf.vic.gov.au/standing-directions-2018-under-financial-management-act-1994" TargetMode="External"/><Relationship Id="rId12" Type="http://schemas.openxmlformats.org/officeDocument/2006/relationships/hyperlink" Target="https://global.theiia.org/standards-guidance/topics/Documents/201501GuidetoRBIA.pdf" TargetMode="External"/><Relationship Id="rId17" Type="http://schemas.openxmlformats.org/officeDocument/2006/relationships/hyperlink" Target="https://www.audit.vic.gov.au/report/internal-audit-performance" TargetMode="External"/><Relationship Id="rId25" Type="http://schemas.openxmlformats.org/officeDocument/2006/relationships/hyperlink" Target="http://www.ato.gov.au/" TargetMode="External"/><Relationship Id="rId33" Type="http://schemas.openxmlformats.org/officeDocument/2006/relationships/hyperlink" Target="http://www.procurement.vic.gov.au" TargetMode="External"/><Relationship Id="rId38" Type="http://schemas.openxmlformats.org/officeDocument/2006/relationships/hyperlink" Target="http://www.dtf.vic.gov.au/partnerships"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4.emf"/></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CDD405FC4FFB242B9CE2EEE08713D5D" ma:contentTypeVersion="9" ma:contentTypeDescription="Create a new document." ma:contentTypeScope="" ma:versionID="bd780cbe7733e258a15c8cde4084bb11">
  <xsd:schema xmlns:xsd="http://www.w3.org/2001/XMLSchema" xmlns:xs="http://www.w3.org/2001/XMLSchema" xmlns:p="http://schemas.microsoft.com/office/2006/metadata/properties" xmlns:ns3="1d2a5c23-4113-412b-ad4b-64241c7e2960" xmlns:ns4="94eb2d6f-5ac7-4e55-a9b8-c766ad1921fa" targetNamespace="http://schemas.microsoft.com/office/2006/metadata/properties" ma:root="true" ma:fieldsID="059728e77828cecb6828a98b1d9c5f29" ns3:_="" ns4:_="">
    <xsd:import namespace="1d2a5c23-4113-412b-ad4b-64241c7e2960"/>
    <xsd:import namespace="94eb2d6f-5ac7-4e55-a9b8-c766ad1921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a5c23-4113-412b-ad4b-64241c7e29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b2d6f-5ac7-4e55-a9b8-c766ad1921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AFE16-19CB-4E1C-88D5-5AF84E675A39}">
  <ds:schemaRefs>
    <ds:schemaRef ds:uri="http://www.w3.org/2001/XMLSchema"/>
  </ds:schemaRefs>
</ds:datastoreItem>
</file>

<file path=customXml/itemProps2.xml><?xml version="1.0" encoding="utf-8"?>
<ds:datastoreItem xmlns:ds="http://schemas.openxmlformats.org/officeDocument/2006/customXml" ds:itemID="{8597DA63-B37D-47AD-8A90-ECDDCC5621EB}">
  <ds:schemaRefs>
    <ds:schemaRef ds:uri="http://schemas.openxmlformats.org/officeDocument/2006/bibliography"/>
  </ds:schemaRefs>
</ds:datastoreItem>
</file>

<file path=customXml/itemProps3.xml><?xml version="1.0" encoding="utf-8"?>
<ds:datastoreItem xmlns:ds="http://schemas.openxmlformats.org/officeDocument/2006/customXml" ds:itemID="{33C2D616-BD8A-4587-A523-5A66F70143C6}">
  <ds:schemaRefs>
    <ds:schemaRef ds:uri="http://schemas.microsoft.com/sharepoint/v3/contenttype/forms"/>
  </ds:schemaRefs>
</ds:datastoreItem>
</file>

<file path=customXml/itemProps4.xml><?xml version="1.0" encoding="utf-8"?>
<ds:datastoreItem xmlns:ds="http://schemas.openxmlformats.org/officeDocument/2006/customXml" ds:itemID="{B8CE842E-AD79-4B2B-8F49-2D00933F3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1AA50B5-06A8-430F-8BEB-E60B8E0C1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a5c23-4113-412b-ad4b-64241c7e2960"/>
    <ds:schemaRef ds:uri="94eb2d6f-5ac7-4e55-a9b8-c766ad192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57109</Words>
  <Characters>325522</Characters>
  <Application>Microsoft Office Word</Application>
  <DocSecurity>0</DocSecurity>
  <Lines>2712</Lines>
  <Paragraphs>763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381868</CharactersWithSpaces>
  <SharedDoc>false</SharedDoc>
  <HLinks>
    <vt:vector size="2034" baseType="variant">
      <vt:variant>
        <vt:i4>4587522</vt:i4>
      </vt:variant>
      <vt:variant>
        <vt:i4>1008</vt:i4>
      </vt:variant>
      <vt:variant>
        <vt:i4>0</vt:i4>
      </vt:variant>
      <vt:variant>
        <vt:i4>5</vt:i4>
      </vt:variant>
      <vt:variant>
        <vt:lpwstr>https://www.dtf.vic.gov.au/sites/default/files/document/Standing-Directions-2018-Instructions.docx</vt:lpwstr>
      </vt:variant>
      <vt:variant>
        <vt:lpwstr>Instruction_5_1</vt:lpwstr>
      </vt:variant>
      <vt:variant>
        <vt:i4>4587522</vt:i4>
      </vt:variant>
      <vt:variant>
        <vt:i4>1005</vt:i4>
      </vt:variant>
      <vt:variant>
        <vt:i4>0</vt:i4>
      </vt:variant>
      <vt:variant>
        <vt:i4>5</vt:i4>
      </vt:variant>
      <vt:variant>
        <vt:lpwstr>https://www.dtf.vic.gov.au/sites/default/files/document/Standing-Directions-2018-Instructions.docx</vt:lpwstr>
      </vt:variant>
      <vt:variant>
        <vt:lpwstr>Instruction_5_1</vt:lpwstr>
      </vt:variant>
      <vt:variant>
        <vt:i4>1638454</vt:i4>
      </vt:variant>
      <vt:variant>
        <vt:i4>1002</vt:i4>
      </vt:variant>
      <vt:variant>
        <vt:i4>0</vt:i4>
      </vt:variant>
      <vt:variant>
        <vt:i4>5</vt:i4>
      </vt:variant>
      <vt:variant>
        <vt:lpwstr>https://www.dtf.vic.gov.au/sites/default/files/document/Standing-Directions-2018-Instructions.docx</vt:lpwstr>
      </vt:variant>
      <vt:variant>
        <vt:lpwstr>Instruction_2_3_4</vt:lpwstr>
      </vt:variant>
      <vt:variant>
        <vt:i4>4718627</vt:i4>
      </vt:variant>
      <vt:variant>
        <vt:i4>999</vt:i4>
      </vt:variant>
      <vt:variant>
        <vt:i4>0</vt:i4>
      </vt:variant>
      <vt:variant>
        <vt:i4>5</vt:i4>
      </vt:variant>
      <vt:variant>
        <vt:lpwstr>https://www.dtf.vic.gov.au/sites/default/files/document/Standing-Directions-2018.docx</vt:lpwstr>
      </vt:variant>
      <vt:variant>
        <vt:lpwstr>Direction_2_4_4</vt:lpwstr>
      </vt:variant>
      <vt:variant>
        <vt:i4>4718628</vt:i4>
      </vt:variant>
      <vt:variant>
        <vt:i4>996</vt:i4>
      </vt:variant>
      <vt:variant>
        <vt:i4>0</vt:i4>
      </vt:variant>
      <vt:variant>
        <vt:i4>5</vt:i4>
      </vt:variant>
      <vt:variant>
        <vt:lpwstr>https://www.dtf.vic.gov.au/sites/default/files/document/Standing-Directions-2018.docx</vt:lpwstr>
      </vt:variant>
      <vt:variant>
        <vt:lpwstr>Direction_2_3_4</vt:lpwstr>
      </vt:variant>
      <vt:variant>
        <vt:i4>917506</vt:i4>
      </vt:variant>
      <vt:variant>
        <vt:i4>993</vt:i4>
      </vt:variant>
      <vt:variant>
        <vt:i4>0</vt:i4>
      </vt:variant>
      <vt:variant>
        <vt:i4>5</vt:i4>
      </vt:variant>
      <vt:variant>
        <vt:lpwstr>https://www.vmia.vic.gov.au/</vt:lpwstr>
      </vt:variant>
      <vt:variant>
        <vt:lpwstr/>
      </vt:variant>
      <vt:variant>
        <vt:i4>4718624</vt:i4>
      </vt:variant>
      <vt:variant>
        <vt:i4>990</vt:i4>
      </vt:variant>
      <vt:variant>
        <vt:i4>0</vt:i4>
      </vt:variant>
      <vt:variant>
        <vt:i4>5</vt:i4>
      </vt:variant>
      <vt:variant>
        <vt:lpwstr>https://www.dtf.vic.gov.au/sites/default/files/document/Standing-Directions-2018.docx</vt:lpwstr>
      </vt:variant>
      <vt:variant>
        <vt:lpwstr>Direction_1_4_5</vt:lpwstr>
      </vt:variant>
      <vt:variant>
        <vt:i4>4718628</vt:i4>
      </vt:variant>
      <vt:variant>
        <vt:i4>987</vt:i4>
      </vt:variant>
      <vt:variant>
        <vt:i4>0</vt:i4>
      </vt:variant>
      <vt:variant>
        <vt:i4>5</vt:i4>
      </vt:variant>
      <vt:variant>
        <vt:lpwstr>https://www.dtf.vic.gov.au/sites/default/files/document/Standing-Directions-2018.docx</vt:lpwstr>
      </vt:variant>
      <vt:variant>
        <vt:lpwstr>Direction_3_2_1</vt:lpwstr>
      </vt:variant>
      <vt:variant>
        <vt:i4>4587522</vt:i4>
      </vt:variant>
      <vt:variant>
        <vt:i4>984</vt:i4>
      </vt:variant>
      <vt:variant>
        <vt:i4>0</vt:i4>
      </vt:variant>
      <vt:variant>
        <vt:i4>5</vt:i4>
      </vt:variant>
      <vt:variant>
        <vt:lpwstr>https://www.dtf.vic.gov.au/sites/default/files/document/Standing-Directions-2018-Instructions.docx</vt:lpwstr>
      </vt:variant>
      <vt:variant>
        <vt:lpwstr>Instruction_5_1</vt:lpwstr>
      </vt:variant>
      <vt:variant>
        <vt:i4>1507351</vt:i4>
      </vt:variant>
      <vt:variant>
        <vt:i4>981</vt:i4>
      </vt:variant>
      <vt:variant>
        <vt:i4>0</vt:i4>
      </vt:variant>
      <vt:variant>
        <vt:i4>5</vt:i4>
      </vt:variant>
      <vt:variant>
        <vt:lpwstr>https://www.dtf.vic.gov.au/sites/default/files/document/Standing-Directions-2018.docx</vt:lpwstr>
      </vt:variant>
      <vt:variant>
        <vt:lpwstr>Direction_2_2</vt:lpwstr>
      </vt:variant>
      <vt:variant>
        <vt:i4>4718625</vt:i4>
      </vt:variant>
      <vt:variant>
        <vt:i4>978</vt:i4>
      </vt:variant>
      <vt:variant>
        <vt:i4>0</vt:i4>
      </vt:variant>
      <vt:variant>
        <vt:i4>5</vt:i4>
      </vt:variant>
      <vt:variant>
        <vt:lpwstr>https://www.dtf.vic.gov.au/sites/default/files/document/Standing-Directions-2018.docx</vt:lpwstr>
      </vt:variant>
      <vt:variant>
        <vt:lpwstr>Direction_3_7_1</vt:lpwstr>
      </vt:variant>
      <vt:variant>
        <vt:i4>4718625</vt:i4>
      </vt:variant>
      <vt:variant>
        <vt:i4>975</vt:i4>
      </vt:variant>
      <vt:variant>
        <vt:i4>0</vt:i4>
      </vt:variant>
      <vt:variant>
        <vt:i4>5</vt:i4>
      </vt:variant>
      <vt:variant>
        <vt:lpwstr>https://www.dtf.vic.gov.au/sites/default/files/document/Standing-Directions-2018.docx</vt:lpwstr>
      </vt:variant>
      <vt:variant>
        <vt:lpwstr>Direction_5_1_4</vt:lpwstr>
      </vt:variant>
      <vt:variant>
        <vt:i4>4718625</vt:i4>
      </vt:variant>
      <vt:variant>
        <vt:i4>972</vt:i4>
      </vt:variant>
      <vt:variant>
        <vt:i4>0</vt:i4>
      </vt:variant>
      <vt:variant>
        <vt:i4>5</vt:i4>
      </vt:variant>
      <vt:variant>
        <vt:lpwstr>https://www.dtf.vic.gov.au/sites/default/files/document/Standing-Directions-2018.docx</vt:lpwstr>
      </vt:variant>
      <vt:variant>
        <vt:lpwstr>Direction_5_1_6</vt:lpwstr>
      </vt:variant>
      <vt:variant>
        <vt:i4>1507348</vt:i4>
      </vt:variant>
      <vt:variant>
        <vt:i4>969</vt:i4>
      </vt:variant>
      <vt:variant>
        <vt:i4>0</vt:i4>
      </vt:variant>
      <vt:variant>
        <vt:i4>5</vt:i4>
      </vt:variant>
      <vt:variant>
        <vt:lpwstr>https://www.dtf.vic.gov.au/sites/default/files/document/Standing-Directions-2018.docx</vt:lpwstr>
      </vt:variant>
      <vt:variant>
        <vt:lpwstr>Direction_1_6</vt:lpwstr>
      </vt:variant>
      <vt:variant>
        <vt:i4>4587522</vt:i4>
      </vt:variant>
      <vt:variant>
        <vt:i4>966</vt:i4>
      </vt:variant>
      <vt:variant>
        <vt:i4>0</vt:i4>
      </vt:variant>
      <vt:variant>
        <vt:i4>5</vt:i4>
      </vt:variant>
      <vt:variant>
        <vt:lpwstr>https://www.dtf.vic.gov.au/sites/default/files/document/Standing-Directions-2018-Instructions.docx</vt:lpwstr>
      </vt:variant>
      <vt:variant>
        <vt:lpwstr>Instruction_5_1</vt:lpwstr>
      </vt:variant>
      <vt:variant>
        <vt:i4>4587522</vt:i4>
      </vt:variant>
      <vt:variant>
        <vt:i4>963</vt:i4>
      </vt:variant>
      <vt:variant>
        <vt:i4>0</vt:i4>
      </vt:variant>
      <vt:variant>
        <vt:i4>5</vt:i4>
      </vt:variant>
      <vt:variant>
        <vt:lpwstr>https://www.dtf.vic.gov.au/sites/default/files/document/Standing-Directions-2018-Instructions.docx</vt:lpwstr>
      </vt:variant>
      <vt:variant>
        <vt:lpwstr>Instruction_5_1</vt:lpwstr>
      </vt:variant>
      <vt:variant>
        <vt:i4>4718625</vt:i4>
      </vt:variant>
      <vt:variant>
        <vt:i4>960</vt:i4>
      </vt:variant>
      <vt:variant>
        <vt:i4>0</vt:i4>
      </vt:variant>
      <vt:variant>
        <vt:i4>5</vt:i4>
      </vt:variant>
      <vt:variant>
        <vt:lpwstr>https://www.dtf.vic.gov.au/sites/default/files/document/Standing-Directions-2018.docx</vt:lpwstr>
      </vt:variant>
      <vt:variant>
        <vt:lpwstr>Direction_5_1_5</vt:lpwstr>
      </vt:variant>
      <vt:variant>
        <vt:i4>1507348</vt:i4>
      </vt:variant>
      <vt:variant>
        <vt:i4>957</vt:i4>
      </vt:variant>
      <vt:variant>
        <vt:i4>0</vt:i4>
      </vt:variant>
      <vt:variant>
        <vt:i4>5</vt:i4>
      </vt:variant>
      <vt:variant>
        <vt:lpwstr>https://www.dtf.vic.gov.au/sites/default/files/document/Standing-Directions-2018.docx</vt:lpwstr>
      </vt:variant>
      <vt:variant>
        <vt:lpwstr>Direction_1_6</vt:lpwstr>
      </vt:variant>
      <vt:variant>
        <vt:i4>4718628</vt:i4>
      </vt:variant>
      <vt:variant>
        <vt:i4>954</vt:i4>
      </vt:variant>
      <vt:variant>
        <vt:i4>0</vt:i4>
      </vt:variant>
      <vt:variant>
        <vt:i4>5</vt:i4>
      </vt:variant>
      <vt:variant>
        <vt:lpwstr>https://www.dtf.vic.gov.au/sites/default/files/document/Standing-Directions-2018.docx</vt:lpwstr>
      </vt:variant>
      <vt:variant>
        <vt:lpwstr>Direction_3_2_1</vt:lpwstr>
      </vt:variant>
      <vt:variant>
        <vt:i4>4718628</vt:i4>
      </vt:variant>
      <vt:variant>
        <vt:i4>951</vt:i4>
      </vt:variant>
      <vt:variant>
        <vt:i4>0</vt:i4>
      </vt:variant>
      <vt:variant>
        <vt:i4>5</vt:i4>
      </vt:variant>
      <vt:variant>
        <vt:lpwstr>https://www.dtf.vic.gov.au/sites/default/files/document/Standing-Directions-2018.docx</vt:lpwstr>
      </vt:variant>
      <vt:variant>
        <vt:lpwstr>Direction_3_2_2</vt:lpwstr>
      </vt:variant>
      <vt:variant>
        <vt:i4>4718625</vt:i4>
      </vt:variant>
      <vt:variant>
        <vt:i4>948</vt:i4>
      </vt:variant>
      <vt:variant>
        <vt:i4>0</vt:i4>
      </vt:variant>
      <vt:variant>
        <vt:i4>5</vt:i4>
      </vt:variant>
      <vt:variant>
        <vt:lpwstr>https://www.dtf.vic.gov.au/sites/default/files/document/Standing-Directions-2018.docx</vt:lpwstr>
      </vt:variant>
      <vt:variant>
        <vt:lpwstr>Direction_5_1_3</vt:lpwstr>
      </vt:variant>
      <vt:variant>
        <vt:i4>1507344</vt:i4>
      </vt:variant>
      <vt:variant>
        <vt:i4>945</vt:i4>
      </vt:variant>
      <vt:variant>
        <vt:i4>0</vt:i4>
      </vt:variant>
      <vt:variant>
        <vt:i4>5</vt:i4>
      </vt:variant>
      <vt:variant>
        <vt:lpwstr>https://www.dtf.vic.gov.au/sites/default/files/document/Standing-Directions-2018.docx</vt:lpwstr>
      </vt:variant>
      <vt:variant>
        <vt:lpwstr>Direction_5_1</vt:lpwstr>
      </vt:variant>
      <vt:variant>
        <vt:i4>5373958</vt:i4>
      </vt:variant>
      <vt:variant>
        <vt:i4>942</vt:i4>
      </vt:variant>
      <vt:variant>
        <vt:i4>0</vt:i4>
      </vt:variant>
      <vt:variant>
        <vt:i4>5</vt:i4>
      </vt:variant>
      <vt:variant>
        <vt:lpwstr>http://vpsc.vic.gov.au/resources/gifts-benefits-and-hospitality-policy-framework/</vt:lpwstr>
      </vt:variant>
      <vt:variant>
        <vt:lpwstr/>
      </vt:variant>
      <vt:variant>
        <vt:i4>1507350</vt:i4>
      </vt:variant>
      <vt:variant>
        <vt:i4>939</vt:i4>
      </vt:variant>
      <vt:variant>
        <vt:i4>0</vt:i4>
      </vt:variant>
      <vt:variant>
        <vt:i4>5</vt:i4>
      </vt:variant>
      <vt:variant>
        <vt:lpwstr>https://www.dtf.vic.gov.au/sites/default/files/document/Standing-Directions-2018.docx</vt:lpwstr>
      </vt:variant>
      <vt:variant>
        <vt:lpwstr>Direction_3_2</vt:lpwstr>
      </vt:variant>
      <vt:variant>
        <vt:i4>4718627</vt:i4>
      </vt:variant>
      <vt:variant>
        <vt:i4>936</vt:i4>
      </vt:variant>
      <vt:variant>
        <vt:i4>0</vt:i4>
      </vt:variant>
      <vt:variant>
        <vt:i4>5</vt:i4>
      </vt:variant>
      <vt:variant>
        <vt:lpwstr>https://www.dtf.vic.gov.au/sites/default/files/document/Standing-Directions-2018.docx</vt:lpwstr>
      </vt:variant>
      <vt:variant>
        <vt:lpwstr>Direction_4_2_2</vt:lpwstr>
      </vt:variant>
      <vt:variant>
        <vt:i4>3801179</vt:i4>
      </vt:variant>
      <vt:variant>
        <vt:i4>933</vt:i4>
      </vt:variant>
      <vt:variant>
        <vt:i4>0</vt:i4>
      </vt:variant>
      <vt:variant>
        <vt:i4>5</vt:i4>
      </vt:variant>
      <vt:variant>
        <vt:lpwstr>http://en.wikipedia.org/wiki/Charitable_organization</vt:lpwstr>
      </vt:variant>
      <vt:variant>
        <vt:lpwstr/>
      </vt:variant>
      <vt:variant>
        <vt:i4>1966172</vt:i4>
      </vt:variant>
      <vt:variant>
        <vt:i4>930</vt:i4>
      </vt:variant>
      <vt:variant>
        <vt:i4>0</vt:i4>
      </vt:variant>
      <vt:variant>
        <vt:i4>5</vt:i4>
      </vt:variant>
      <vt:variant>
        <vt:lpwstr>http://en.wikipedia.org/wiki/Gift</vt:lpwstr>
      </vt:variant>
      <vt:variant>
        <vt:lpwstr/>
      </vt:variant>
      <vt:variant>
        <vt:i4>917583</vt:i4>
      </vt:variant>
      <vt:variant>
        <vt:i4>927</vt:i4>
      </vt:variant>
      <vt:variant>
        <vt:i4>0</vt:i4>
      </vt:variant>
      <vt:variant>
        <vt:i4>5</vt:i4>
      </vt:variant>
      <vt:variant>
        <vt:lpwstr>http://www.dpc.vic.gov.au/index.php/communication/policies-and-guidelines/sponsorship-policy-introduction-application-and-definitions</vt:lpwstr>
      </vt:variant>
      <vt:variant>
        <vt:lpwstr/>
      </vt:variant>
      <vt:variant>
        <vt:i4>458760</vt:i4>
      </vt:variant>
      <vt:variant>
        <vt:i4>924</vt:i4>
      </vt:variant>
      <vt:variant>
        <vt:i4>0</vt:i4>
      </vt:variant>
      <vt:variant>
        <vt:i4>5</vt:i4>
      </vt:variant>
      <vt:variant>
        <vt:lpwstr>http://www.dtf.vic.gov.au/Publications/Infrastructure-Delivery-publications/Partnerships-Victoria/Partnerships-Victoria-Requirements</vt:lpwstr>
      </vt:variant>
      <vt:variant>
        <vt:lpwstr/>
      </vt:variant>
      <vt:variant>
        <vt:i4>1507417</vt:i4>
      </vt:variant>
      <vt:variant>
        <vt:i4>921</vt:i4>
      </vt:variant>
      <vt:variant>
        <vt:i4>0</vt:i4>
      </vt:variant>
      <vt:variant>
        <vt:i4>5</vt:i4>
      </vt:variant>
      <vt:variant>
        <vt:lpwstr>https://www.intranet.vic.gov.au/connect/better-grants-design</vt:lpwstr>
      </vt:variant>
      <vt:variant>
        <vt:lpwstr/>
      </vt:variant>
      <vt:variant>
        <vt:i4>1507417</vt:i4>
      </vt:variant>
      <vt:variant>
        <vt:i4>918</vt:i4>
      </vt:variant>
      <vt:variant>
        <vt:i4>0</vt:i4>
      </vt:variant>
      <vt:variant>
        <vt:i4>5</vt:i4>
      </vt:variant>
      <vt:variant>
        <vt:lpwstr>https://www.intranet.vic.gov.au/connect/better-grants-design</vt:lpwstr>
      </vt:variant>
      <vt:variant>
        <vt:lpwstr/>
      </vt:variant>
      <vt:variant>
        <vt:i4>4194335</vt:i4>
      </vt:variant>
      <vt:variant>
        <vt:i4>915</vt:i4>
      </vt:variant>
      <vt:variant>
        <vt:i4>0</vt:i4>
      </vt:variant>
      <vt:variant>
        <vt:i4>5</vt:i4>
      </vt:variant>
      <vt:variant>
        <vt:lpwstr>http://www.dtf.vic.gov.au/Publications/Government-Financial-Management-publications/Financial-Management-Compliance-Framework/Investment-principles-for-discretionary-grants</vt:lpwstr>
      </vt:variant>
      <vt:variant>
        <vt:lpwstr/>
      </vt:variant>
      <vt:variant>
        <vt:i4>4718627</vt:i4>
      </vt:variant>
      <vt:variant>
        <vt:i4>912</vt:i4>
      </vt:variant>
      <vt:variant>
        <vt:i4>0</vt:i4>
      </vt:variant>
      <vt:variant>
        <vt:i4>5</vt:i4>
      </vt:variant>
      <vt:variant>
        <vt:lpwstr>https://www.dtf.vic.gov.au/sites/default/files/document/Standing-Directions-2018.docx</vt:lpwstr>
      </vt:variant>
      <vt:variant>
        <vt:lpwstr>Direction_4_2_2</vt:lpwstr>
      </vt:variant>
      <vt:variant>
        <vt:i4>1507345</vt:i4>
      </vt:variant>
      <vt:variant>
        <vt:i4>909</vt:i4>
      </vt:variant>
      <vt:variant>
        <vt:i4>0</vt:i4>
      </vt:variant>
      <vt:variant>
        <vt:i4>5</vt:i4>
      </vt:variant>
      <vt:variant>
        <vt:lpwstr>https://www.dtf.vic.gov.au/sites/default/files/document/Standing-Directions-2018.docx</vt:lpwstr>
      </vt:variant>
      <vt:variant>
        <vt:lpwstr>Direction_4_2</vt:lpwstr>
      </vt:variant>
      <vt:variant>
        <vt:i4>7667816</vt:i4>
      </vt:variant>
      <vt:variant>
        <vt:i4>906</vt:i4>
      </vt:variant>
      <vt:variant>
        <vt:i4>0</vt:i4>
      </vt:variant>
      <vt:variant>
        <vt:i4>5</vt:i4>
      </vt:variant>
      <vt:variant>
        <vt:lpwstr>http://www.procurement.vic.gov.au/Home</vt:lpwstr>
      </vt:variant>
      <vt:variant>
        <vt:lpwstr/>
      </vt:variant>
      <vt:variant>
        <vt:i4>7471163</vt:i4>
      </vt:variant>
      <vt:variant>
        <vt:i4>903</vt:i4>
      </vt:variant>
      <vt:variant>
        <vt:i4>0</vt:i4>
      </vt:variant>
      <vt:variant>
        <vt:i4>5</vt:i4>
      </vt:variant>
      <vt:variant>
        <vt:lpwstr>http://economicdevelopment.vic.gov.au/</vt:lpwstr>
      </vt:variant>
      <vt:variant>
        <vt:lpwstr/>
      </vt:variant>
      <vt:variant>
        <vt:i4>3211297</vt:i4>
      </vt:variant>
      <vt:variant>
        <vt:i4>900</vt:i4>
      </vt:variant>
      <vt:variant>
        <vt:i4>0</vt:i4>
      </vt:variant>
      <vt:variant>
        <vt:i4>5</vt:i4>
      </vt:variant>
      <vt:variant>
        <vt:lpwstr>http://www.anao.gov.au/</vt:lpwstr>
      </vt:variant>
      <vt:variant>
        <vt:lpwstr/>
      </vt:variant>
      <vt:variant>
        <vt:i4>1048593</vt:i4>
      </vt:variant>
      <vt:variant>
        <vt:i4>897</vt:i4>
      </vt:variant>
      <vt:variant>
        <vt:i4>0</vt:i4>
      </vt:variant>
      <vt:variant>
        <vt:i4>5</vt:i4>
      </vt:variant>
      <vt:variant>
        <vt:lpwstr>http://www.audit.vic.gov.au/</vt:lpwstr>
      </vt:variant>
      <vt:variant>
        <vt:lpwstr/>
      </vt:variant>
      <vt:variant>
        <vt:i4>7602279</vt:i4>
      </vt:variant>
      <vt:variant>
        <vt:i4>894</vt:i4>
      </vt:variant>
      <vt:variant>
        <vt:i4>0</vt:i4>
      </vt:variant>
      <vt:variant>
        <vt:i4>5</vt:i4>
      </vt:variant>
      <vt:variant>
        <vt:lpwstr>http://www.enterprisesolutions.vic.gov.au/</vt:lpwstr>
      </vt:variant>
      <vt:variant>
        <vt:lpwstr/>
      </vt:variant>
      <vt:variant>
        <vt:i4>6488185</vt:i4>
      </vt:variant>
      <vt:variant>
        <vt:i4>891</vt:i4>
      </vt:variant>
      <vt:variant>
        <vt:i4>0</vt:i4>
      </vt:variant>
      <vt:variant>
        <vt:i4>5</vt:i4>
      </vt:variant>
      <vt:variant>
        <vt:lpwstr>http://www.dtf.vic.gov.au/</vt:lpwstr>
      </vt:variant>
      <vt:variant>
        <vt:lpwstr/>
      </vt:variant>
      <vt:variant>
        <vt:i4>3801135</vt:i4>
      </vt:variant>
      <vt:variant>
        <vt:i4>888</vt:i4>
      </vt:variant>
      <vt:variant>
        <vt:i4>0</vt:i4>
      </vt:variant>
      <vt:variant>
        <vt:i4>5</vt:i4>
      </vt:variant>
      <vt:variant>
        <vt:lpwstr>http://www.dtf.vic.gov.au/Infrastructure-Delivery/Market-led-proposals</vt:lpwstr>
      </vt:variant>
      <vt:variant>
        <vt:lpwstr/>
      </vt:variant>
      <vt:variant>
        <vt:i4>1376350</vt:i4>
      </vt:variant>
      <vt:variant>
        <vt:i4>885</vt:i4>
      </vt:variant>
      <vt:variant>
        <vt:i4>0</vt:i4>
      </vt:variant>
      <vt:variant>
        <vt:i4>5</vt:i4>
      </vt:variant>
      <vt:variant>
        <vt:lpwstr>http://www.dtf.vic.gov.au/Publications/Infrastructure-Delivery-publications/Market-led-Proposals-Interim-Guideline/Market-led-Proposals-Interim-Guideline</vt:lpwstr>
      </vt:variant>
      <vt:variant>
        <vt:lpwstr/>
      </vt:variant>
      <vt:variant>
        <vt:i4>7602279</vt:i4>
      </vt:variant>
      <vt:variant>
        <vt:i4>882</vt:i4>
      </vt:variant>
      <vt:variant>
        <vt:i4>0</vt:i4>
      </vt:variant>
      <vt:variant>
        <vt:i4>5</vt:i4>
      </vt:variant>
      <vt:variant>
        <vt:lpwstr>http://www.enterprisesolutions.vic.gov.au/</vt:lpwstr>
      </vt:variant>
      <vt:variant>
        <vt:lpwstr/>
      </vt:variant>
      <vt:variant>
        <vt:i4>2097261</vt:i4>
      </vt:variant>
      <vt:variant>
        <vt:i4>879</vt:i4>
      </vt:variant>
      <vt:variant>
        <vt:i4>0</vt:i4>
      </vt:variant>
      <vt:variant>
        <vt:i4>5</vt:i4>
      </vt:variant>
      <vt:variant>
        <vt:lpwstr>http://www.dtf.vic.gov.au/Infrastructure-Delivery/Alliance-and-traditional-contracting</vt:lpwstr>
      </vt:variant>
      <vt:variant>
        <vt:lpwstr/>
      </vt:variant>
      <vt:variant>
        <vt:i4>3080224</vt:i4>
      </vt:variant>
      <vt:variant>
        <vt:i4>876</vt:i4>
      </vt:variant>
      <vt:variant>
        <vt:i4>0</vt:i4>
      </vt:variant>
      <vt:variant>
        <vt:i4>5</vt:i4>
      </vt:variant>
      <vt:variant>
        <vt:lpwstr>http://www.procurement.vic.gov.au/state-purchase-contracts</vt:lpwstr>
      </vt:variant>
      <vt:variant>
        <vt:lpwstr/>
      </vt:variant>
      <vt:variant>
        <vt:i4>6225990</vt:i4>
      </vt:variant>
      <vt:variant>
        <vt:i4>873</vt:i4>
      </vt:variant>
      <vt:variant>
        <vt:i4>0</vt:i4>
      </vt:variant>
      <vt:variant>
        <vt:i4>5</vt:i4>
      </vt:variant>
      <vt:variant>
        <vt:lpwstr>http://www.procurement.vic.gov.au/Buyers/Policies-Guides-and-Tools/Contract-Management-and-Contract-Disclosure-Policy</vt:lpwstr>
      </vt:variant>
      <vt:variant>
        <vt:lpwstr/>
      </vt:variant>
      <vt:variant>
        <vt:i4>458838</vt:i4>
      </vt:variant>
      <vt:variant>
        <vt:i4>870</vt:i4>
      </vt:variant>
      <vt:variant>
        <vt:i4>0</vt:i4>
      </vt:variant>
      <vt:variant>
        <vt:i4>5</vt:i4>
      </vt:variant>
      <vt:variant>
        <vt:lpwstr>http://www.procurement.vic.gov.au/Buyers/Policies-Guides-and-Tools/Market-Approach-Policy</vt:lpwstr>
      </vt:variant>
      <vt:variant>
        <vt:lpwstr/>
      </vt:variant>
      <vt:variant>
        <vt:i4>4653082</vt:i4>
      </vt:variant>
      <vt:variant>
        <vt:i4>867</vt:i4>
      </vt:variant>
      <vt:variant>
        <vt:i4>0</vt:i4>
      </vt:variant>
      <vt:variant>
        <vt:i4>5</vt:i4>
      </vt:variant>
      <vt:variant>
        <vt:lpwstr>http://www.procurement.vic.gov.au/Buyers/Policies-Guides-and-Tools/Market-Analysis-and-Review-Policy</vt:lpwstr>
      </vt:variant>
      <vt:variant>
        <vt:lpwstr/>
      </vt:variant>
      <vt:variant>
        <vt:i4>7143486</vt:i4>
      </vt:variant>
      <vt:variant>
        <vt:i4>864</vt:i4>
      </vt:variant>
      <vt:variant>
        <vt:i4>0</vt:i4>
      </vt:variant>
      <vt:variant>
        <vt:i4>5</vt:i4>
      </vt:variant>
      <vt:variant>
        <vt:lpwstr>http://www.procurement.vic.gov.au/Buyers/Policies-Guides-and-Tools/Complexity-and-Capability-Assessment-Policy</vt:lpwstr>
      </vt:variant>
      <vt:variant>
        <vt:lpwstr/>
      </vt:variant>
      <vt:variant>
        <vt:i4>1507342</vt:i4>
      </vt:variant>
      <vt:variant>
        <vt:i4>861</vt:i4>
      </vt:variant>
      <vt:variant>
        <vt:i4>0</vt:i4>
      </vt:variant>
      <vt:variant>
        <vt:i4>5</vt:i4>
      </vt:variant>
      <vt:variant>
        <vt:lpwstr>http://www.procurement.vic.gov.au/Buyers/Policies-Guides-and-Tools/Governance-Policy</vt:lpwstr>
      </vt:variant>
      <vt:variant>
        <vt:lpwstr/>
      </vt:variant>
      <vt:variant>
        <vt:i4>1638449</vt:i4>
      </vt:variant>
      <vt:variant>
        <vt:i4>858</vt:i4>
      </vt:variant>
      <vt:variant>
        <vt:i4>0</vt:i4>
      </vt:variant>
      <vt:variant>
        <vt:i4>5</vt:i4>
      </vt:variant>
      <vt:variant>
        <vt:lpwstr>https://www.dtf.vic.gov.au/sites/default/files/document/Standing-Directions-2018-Instructions.docx</vt:lpwstr>
      </vt:variant>
      <vt:variant>
        <vt:lpwstr>Instruction_4_2_1</vt:lpwstr>
      </vt:variant>
      <vt:variant>
        <vt:i4>4718627</vt:i4>
      </vt:variant>
      <vt:variant>
        <vt:i4>855</vt:i4>
      </vt:variant>
      <vt:variant>
        <vt:i4>0</vt:i4>
      </vt:variant>
      <vt:variant>
        <vt:i4>5</vt:i4>
      </vt:variant>
      <vt:variant>
        <vt:lpwstr>https://www.dtf.vic.gov.au/sites/default/files/document/Standing-Directions-2018.docx</vt:lpwstr>
      </vt:variant>
      <vt:variant>
        <vt:lpwstr>Direction_4_2_1</vt:lpwstr>
      </vt:variant>
      <vt:variant>
        <vt:i4>1638449</vt:i4>
      </vt:variant>
      <vt:variant>
        <vt:i4>852</vt:i4>
      </vt:variant>
      <vt:variant>
        <vt:i4>0</vt:i4>
      </vt:variant>
      <vt:variant>
        <vt:i4>5</vt:i4>
      </vt:variant>
      <vt:variant>
        <vt:lpwstr>https://www.dtf.vic.gov.au/sites/default/files/document/Standing-Directions-2018-Instructions.docx</vt:lpwstr>
      </vt:variant>
      <vt:variant>
        <vt:lpwstr>Instruction_4_2_1</vt:lpwstr>
      </vt:variant>
      <vt:variant>
        <vt:i4>1507350</vt:i4>
      </vt:variant>
      <vt:variant>
        <vt:i4>849</vt:i4>
      </vt:variant>
      <vt:variant>
        <vt:i4>0</vt:i4>
      </vt:variant>
      <vt:variant>
        <vt:i4>5</vt:i4>
      </vt:variant>
      <vt:variant>
        <vt:lpwstr>https://www.dtf.vic.gov.au/sites/default/files/document/Standing-Directions-2018.docx</vt:lpwstr>
      </vt:variant>
      <vt:variant>
        <vt:lpwstr>Direction_3_7</vt:lpwstr>
      </vt:variant>
      <vt:variant>
        <vt:i4>4718625</vt:i4>
      </vt:variant>
      <vt:variant>
        <vt:i4>846</vt:i4>
      </vt:variant>
      <vt:variant>
        <vt:i4>0</vt:i4>
      </vt:variant>
      <vt:variant>
        <vt:i4>5</vt:i4>
      </vt:variant>
      <vt:variant>
        <vt:lpwstr>https://www.dtf.vic.gov.au/sites/default/files/document/Standing-Directions-2018.docx</vt:lpwstr>
      </vt:variant>
      <vt:variant>
        <vt:lpwstr>Direction_3_7_2</vt:lpwstr>
      </vt:variant>
      <vt:variant>
        <vt:i4>6029403</vt:i4>
      </vt:variant>
      <vt:variant>
        <vt:i4>843</vt:i4>
      </vt:variant>
      <vt:variant>
        <vt:i4>0</vt:i4>
      </vt:variant>
      <vt:variant>
        <vt:i4>5</vt:i4>
      </vt:variant>
      <vt:variant>
        <vt:lpwstr>http://www.dtf.vic.gov.au/Publications/Victoria-Economy-publications/Cost-recovery-guidelines</vt:lpwstr>
      </vt:variant>
      <vt:variant>
        <vt:lpwstr/>
      </vt:variant>
      <vt:variant>
        <vt:i4>1507344</vt:i4>
      </vt:variant>
      <vt:variant>
        <vt:i4>840</vt:i4>
      </vt:variant>
      <vt:variant>
        <vt:i4>0</vt:i4>
      </vt:variant>
      <vt:variant>
        <vt:i4>5</vt:i4>
      </vt:variant>
      <vt:variant>
        <vt:lpwstr>https://www.dtf.vic.gov.au/sites/default/files/document/Standing-Directions-2018.docx</vt:lpwstr>
      </vt:variant>
      <vt:variant>
        <vt:lpwstr>Direction_5_3</vt:lpwstr>
      </vt:variant>
      <vt:variant>
        <vt:i4>1507350</vt:i4>
      </vt:variant>
      <vt:variant>
        <vt:i4>837</vt:i4>
      </vt:variant>
      <vt:variant>
        <vt:i4>0</vt:i4>
      </vt:variant>
      <vt:variant>
        <vt:i4>5</vt:i4>
      </vt:variant>
      <vt:variant>
        <vt:lpwstr>https://www.dtf.vic.gov.au/sites/default/files/document/Standing-Directions-2018.docx</vt:lpwstr>
      </vt:variant>
      <vt:variant>
        <vt:lpwstr>Direction_3_9</vt:lpwstr>
      </vt:variant>
      <vt:variant>
        <vt:i4>4718628</vt:i4>
      </vt:variant>
      <vt:variant>
        <vt:i4>834</vt:i4>
      </vt:variant>
      <vt:variant>
        <vt:i4>0</vt:i4>
      </vt:variant>
      <vt:variant>
        <vt:i4>5</vt:i4>
      </vt:variant>
      <vt:variant>
        <vt:lpwstr>https://www.dtf.vic.gov.au/sites/default/files/document/Standing-Directions-2018.docx</vt:lpwstr>
      </vt:variant>
      <vt:variant>
        <vt:lpwstr>Direction_2_3_2</vt:lpwstr>
      </vt:variant>
      <vt:variant>
        <vt:i4>1507344</vt:i4>
      </vt:variant>
      <vt:variant>
        <vt:i4>831</vt:i4>
      </vt:variant>
      <vt:variant>
        <vt:i4>0</vt:i4>
      </vt:variant>
      <vt:variant>
        <vt:i4>5</vt:i4>
      </vt:variant>
      <vt:variant>
        <vt:lpwstr>https://www.dtf.vic.gov.au/sites/default/files/document/Standing-Directions-2018.docx</vt:lpwstr>
      </vt:variant>
      <vt:variant>
        <vt:lpwstr>Direction_5_3</vt:lpwstr>
      </vt:variant>
      <vt:variant>
        <vt:i4>1507345</vt:i4>
      </vt:variant>
      <vt:variant>
        <vt:i4>828</vt:i4>
      </vt:variant>
      <vt:variant>
        <vt:i4>0</vt:i4>
      </vt:variant>
      <vt:variant>
        <vt:i4>5</vt:i4>
      </vt:variant>
      <vt:variant>
        <vt:lpwstr>https://www.dtf.vic.gov.au/sites/default/files/document/Standing-Directions-2018.docx</vt:lpwstr>
      </vt:variant>
      <vt:variant>
        <vt:lpwstr>Direction_4_1</vt:lpwstr>
      </vt:variant>
      <vt:variant>
        <vt:i4>1507351</vt:i4>
      </vt:variant>
      <vt:variant>
        <vt:i4>825</vt:i4>
      </vt:variant>
      <vt:variant>
        <vt:i4>0</vt:i4>
      </vt:variant>
      <vt:variant>
        <vt:i4>5</vt:i4>
      </vt:variant>
      <vt:variant>
        <vt:lpwstr>https://www.dtf.vic.gov.au/sites/default/files/document/Standing-Directions-2018.docx</vt:lpwstr>
      </vt:variant>
      <vt:variant>
        <vt:lpwstr>Direction_2_3</vt:lpwstr>
      </vt:variant>
      <vt:variant>
        <vt:i4>7602279</vt:i4>
      </vt:variant>
      <vt:variant>
        <vt:i4>822</vt:i4>
      </vt:variant>
      <vt:variant>
        <vt:i4>0</vt:i4>
      </vt:variant>
      <vt:variant>
        <vt:i4>5</vt:i4>
      </vt:variant>
      <vt:variant>
        <vt:lpwstr>http://www.enterprisesolutions.vic.gov.au/</vt:lpwstr>
      </vt:variant>
      <vt:variant>
        <vt:lpwstr/>
      </vt:variant>
      <vt:variant>
        <vt:i4>6488185</vt:i4>
      </vt:variant>
      <vt:variant>
        <vt:i4>819</vt:i4>
      </vt:variant>
      <vt:variant>
        <vt:i4>0</vt:i4>
      </vt:variant>
      <vt:variant>
        <vt:i4>5</vt:i4>
      </vt:variant>
      <vt:variant>
        <vt:lpwstr>http://www.dtf.vic.gov.au/</vt:lpwstr>
      </vt:variant>
      <vt:variant>
        <vt:lpwstr/>
      </vt:variant>
      <vt:variant>
        <vt:i4>1835086</vt:i4>
      </vt:variant>
      <vt:variant>
        <vt:i4>816</vt:i4>
      </vt:variant>
      <vt:variant>
        <vt:i4>0</vt:i4>
      </vt:variant>
      <vt:variant>
        <vt:i4>5</vt:i4>
      </vt:variant>
      <vt:variant>
        <vt:lpwstr>http://www.dtf.vic.gov.au/Victorias-Economy/Victorian-Government-intellectual-property-and-data-policies/DataVic-Access-Policy-and-Guidelines</vt:lpwstr>
      </vt:variant>
      <vt:variant>
        <vt:lpwstr/>
      </vt:variant>
      <vt:variant>
        <vt:i4>6488185</vt:i4>
      </vt:variant>
      <vt:variant>
        <vt:i4>813</vt:i4>
      </vt:variant>
      <vt:variant>
        <vt:i4>0</vt:i4>
      </vt:variant>
      <vt:variant>
        <vt:i4>5</vt:i4>
      </vt:variant>
      <vt:variant>
        <vt:lpwstr>http://www.dtf.vic.gov.au/</vt:lpwstr>
      </vt:variant>
      <vt:variant>
        <vt:lpwstr/>
      </vt:variant>
      <vt:variant>
        <vt:i4>131141</vt:i4>
      </vt:variant>
      <vt:variant>
        <vt:i4>810</vt:i4>
      </vt:variant>
      <vt:variant>
        <vt:i4>0</vt:i4>
      </vt:variant>
      <vt:variant>
        <vt:i4>5</vt:i4>
      </vt:variant>
      <vt:variant>
        <vt:lpwstr>http://www.dtf.vic.gov.au/Victorias-Economy/Victorian-Government-intellectual-property-and-data-policies/Intellectual-Property-Policy</vt:lpwstr>
      </vt:variant>
      <vt:variant>
        <vt:lpwstr/>
      </vt:variant>
      <vt:variant>
        <vt:i4>7340153</vt:i4>
      </vt:variant>
      <vt:variant>
        <vt:i4>807</vt:i4>
      </vt:variant>
      <vt:variant>
        <vt:i4>0</vt:i4>
      </vt:variant>
      <vt:variant>
        <vt:i4>5</vt:i4>
      </vt:variant>
      <vt:variant>
        <vt:lpwstr>http://ovic.vic.gov.au/</vt:lpwstr>
      </vt:variant>
      <vt:variant>
        <vt:lpwstr/>
      </vt:variant>
      <vt:variant>
        <vt:i4>3866663</vt:i4>
      </vt:variant>
      <vt:variant>
        <vt:i4>804</vt:i4>
      </vt:variant>
      <vt:variant>
        <vt:i4>0</vt:i4>
      </vt:variant>
      <vt:variant>
        <vt:i4>5</vt:i4>
      </vt:variant>
      <vt:variant>
        <vt:lpwstr>http://www.enterprisesolutions.vic.gov.au/business-systems/information-management/</vt:lpwstr>
      </vt:variant>
      <vt:variant>
        <vt:lpwstr/>
      </vt:variant>
      <vt:variant>
        <vt:i4>1507350</vt:i4>
      </vt:variant>
      <vt:variant>
        <vt:i4>801</vt:i4>
      </vt:variant>
      <vt:variant>
        <vt:i4>0</vt:i4>
      </vt:variant>
      <vt:variant>
        <vt:i4>5</vt:i4>
      </vt:variant>
      <vt:variant>
        <vt:lpwstr>https://www.dtf.vic.gov.au/sites/default/files/document/Standing-Directions-2018.docx</vt:lpwstr>
      </vt:variant>
      <vt:variant>
        <vt:lpwstr>Direction_3_9</vt:lpwstr>
      </vt:variant>
      <vt:variant>
        <vt:i4>1507350</vt:i4>
      </vt:variant>
      <vt:variant>
        <vt:i4>798</vt:i4>
      </vt:variant>
      <vt:variant>
        <vt:i4>0</vt:i4>
      </vt:variant>
      <vt:variant>
        <vt:i4>5</vt:i4>
      </vt:variant>
      <vt:variant>
        <vt:lpwstr>https://www.dtf.vic.gov.au/sites/default/files/document/Standing-Directions-2018.docx</vt:lpwstr>
      </vt:variant>
      <vt:variant>
        <vt:lpwstr>Direction_3_9</vt:lpwstr>
      </vt:variant>
      <vt:variant>
        <vt:i4>1507350</vt:i4>
      </vt:variant>
      <vt:variant>
        <vt:i4>795</vt:i4>
      </vt:variant>
      <vt:variant>
        <vt:i4>0</vt:i4>
      </vt:variant>
      <vt:variant>
        <vt:i4>5</vt:i4>
      </vt:variant>
      <vt:variant>
        <vt:lpwstr>https://www.dtf.vic.gov.au/sites/default/files/document/Standing-Directions-2018.docx</vt:lpwstr>
      </vt:variant>
      <vt:variant>
        <vt:lpwstr>Direction_3_9</vt:lpwstr>
      </vt:variant>
      <vt:variant>
        <vt:i4>1507350</vt:i4>
      </vt:variant>
      <vt:variant>
        <vt:i4>792</vt:i4>
      </vt:variant>
      <vt:variant>
        <vt:i4>0</vt:i4>
      </vt:variant>
      <vt:variant>
        <vt:i4>5</vt:i4>
      </vt:variant>
      <vt:variant>
        <vt:lpwstr>https://www.dtf.vic.gov.au/sites/default/files/document/Standing-Directions-2018.docx</vt:lpwstr>
      </vt:variant>
      <vt:variant>
        <vt:lpwstr>Direction_3_9</vt:lpwstr>
      </vt:variant>
      <vt:variant>
        <vt:i4>1507350</vt:i4>
      </vt:variant>
      <vt:variant>
        <vt:i4>789</vt:i4>
      </vt:variant>
      <vt:variant>
        <vt:i4>0</vt:i4>
      </vt:variant>
      <vt:variant>
        <vt:i4>5</vt:i4>
      </vt:variant>
      <vt:variant>
        <vt:lpwstr>https://www.dtf.vic.gov.au/sites/default/files/document/Standing-Directions-2018.docx</vt:lpwstr>
      </vt:variant>
      <vt:variant>
        <vt:lpwstr>Direction_3_7</vt:lpwstr>
      </vt:variant>
      <vt:variant>
        <vt:i4>1507350</vt:i4>
      </vt:variant>
      <vt:variant>
        <vt:i4>786</vt:i4>
      </vt:variant>
      <vt:variant>
        <vt:i4>0</vt:i4>
      </vt:variant>
      <vt:variant>
        <vt:i4>5</vt:i4>
      </vt:variant>
      <vt:variant>
        <vt:lpwstr>https://www.dtf.vic.gov.au/sites/default/files/document/Standing-Directions-2018.docx</vt:lpwstr>
      </vt:variant>
      <vt:variant>
        <vt:lpwstr>Direction_3_4</vt:lpwstr>
      </vt:variant>
      <vt:variant>
        <vt:i4>1507350</vt:i4>
      </vt:variant>
      <vt:variant>
        <vt:i4>783</vt:i4>
      </vt:variant>
      <vt:variant>
        <vt:i4>0</vt:i4>
      </vt:variant>
      <vt:variant>
        <vt:i4>5</vt:i4>
      </vt:variant>
      <vt:variant>
        <vt:lpwstr>https://www.dtf.vic.gov.au/sites/default/files/document/Standing-Directions-2018.docx</vt:lpwstr>
      </vt:variant>
      <vt:variant>
        <vt:lpwstr>Direction_3_3</vt:lpwstr>
      </vt:variant>
      <vt:variant>
        <vt:i4>4718625</vt:i4>
      </vt:variant>
      <vt:variant>
        <vt:i4>780</vt:i4>
      </vt:variant>
      <vt:variant>
        <vt:i4>0</vt:i4>
      </vt:variant>
      <vt:variant>
        <vt:i4>5</vt:i4>
      </vt:variant>
      <vt:variant>
        <vt:lpwstr>https://www.dtf.vic.gov.au/sites/default/files/document/Standing-Directions-2018.docx</vt:lpwstr>
      </vt:variant>
      <vt:variant>
        <vt:lpwstr>Direction_3_7_2</vt:lpwstr>
      </vt:variant>
      <vt:variant>
        <vt:i4>1507344</vt:i4>
      </vt:variant>
      <vt:variant>
        <vt:i4>777</vt:i4>
      </vt:variant>
      <vt:variant>
        <vt:i4>0</vt:i4>
      </vt:variant>
      <vt:variant>
        <vt:i4>5</vt:i4>
      </vt:variant>
      <vt:variant>
        <vt:lpwstr>https://www.dtf.vic.gov.au/sites/default/files/document/Standing-Directions-2018.docx</vt:lpwstr>
      </vt:variant>
      <vt:variant>
        <vt:lpwstr>Direction_5_1</vt:lpwstr>
      </vt:variant>
      <vt:variant>
        <vt:i4>1507350</vt:i4>
      </vt:variant>
      <vt:variant>
        <vt:i4>774</vt:i4>
      </vt:variant>
      <vt:variant>
        <vt:i4>0</vt:i4>
      </vt:variant>
      <vt:variant>
        <vt:i4>5</vt:i4>
      </vt:variant>
      <vt:variant>
        <vt:lpwstr>https://www.dtf.vic.gov.au/sites/default/files/document/Standing-Directions-2018.docx</vt:lpwstr>
      </vt:variant>
      <vt:variant>
        <vt:lpwstr>Direction_3_3</vt:lpwstr>
      </vt:variant>
      <vt:variant>
        <vt:i4>4718625</vt:i4>
      </vt:variant>
      <vt:variant>
        <vt:i4>771</vt:i4>
      </vt:variant>
      <vt:variant>
        <vt:i4>0</vt:i4>
      </vt:variant>
      <vt:variant>
        <vt:i4>5</vt:i4>
      </vt:variant>
      <vt:variant>
        <vt:lpwstr>https://www.dtf.vic.gov.au/sites/default/files/document/Standing-Directions-2018.docx</vt:lpwstr>
      </vt:variant>
      <vt:variant>
        <vt:lpwstr>Direction_3_7_2</vt:lpwstr>
      </vt:variant>
      <vt:variant>
        <vt:i4>6881356</vt:i4>
      </vt:variant>
      <vt:variant>
        <vt:i4>768</vt:i4>
      </vt:variant>
      <vt:variant>
        <vt:i4>0</vt:i4>
      </vt:variant>
      <vt:variant>
        <vt:i4>5</vt:i4>
      </vt:variant>
      <vt:variant>
        <vt:lpwstr>mailto:workingcapital@dtf.vic.gov.au</vt:lpwstr>
      </vt:variant>
      <vt:variant>
        <vt:lpwstr/>
      </vt:variant>
      <vt:variant>
        <vt:i4>4718624</vt:i4>
      </vt:variant>
      <vt:variant>
        <vt:i4>765</vt:i4>
      </vt:variant>
      <vt:variant>
        <vt:i4>0</vt:i4>
      </vt:variant>
      <vt:variant>
        <vt:i4>5</vt:i4>
      </vt:variant>
      <vt:variant>
        <vt:lpwstr>https://www.dtf.vic.gov.au/sites/default/files/document/Standing-Directions-2018.docx</vt:lpwstr>
      </vt:variant>
      <vt:variant>
        <vt:lpwstr>Direction_1_4_2</vt:lpwstr>
      </vt:variant>
      <vt:variant>
        <vt:i4>4718628</vt:i4>
      </vt:variant>
      <vt:variant>
        <vt:i4>762</vt:i4>
      </vt:variant>
      <vt:variant>
        <vt:i4>0</vt:i4>
      </vt:variant>
      <vt:variant>
        <vt:i4>5</vt:i4>
      </vt:variant>
      <vt:variant>
        <vt:lpwstr>https://www.dtf.vic.gov.au/sites/default/files/document/Standing-Directions-2018.docx</vt:lpwstr>
      </vt:variant>
      <vt:variant>
        <vt:lpwstr>Direction_2_3_5</vt:lpwstr>
      </vt:variant>
      <vt:variant>
        <vt:i4>5177420</vt:i4>
      </vt:variant>
      <vt:variant>
        <vt:i4>759</vt:i4>
      </vt:variant>
      <vt:variant>
        <vt:i4>0</vt:i4>
      </vt:variant>
      <vt:variant>
        <vt:i4>5</vt:i4>
      </vt:variant>
      <vt:variant>
        <vt:lpwstr>http://www.dtf.vic.gov.au/Infrastructure-Delivery/Public-private-partnerships</vt:lpwstr>
      </vt:variant>
      <vt:variant>
        <vt:lpwstr/>
      </vt:variant>
      <vt:variant>
        <vt:i4>4587521</vt:i4>
      </vt:variant>
      <vt:variant>
        <vt:i4>756</vt:i4>
      </vt:variant>
      <vt:variant>
        <vt:i4>0</vt:i4>
      </vt:variant>
      <vt:variant>
        <vt:i4>5</vt:i4>
      </vt:variant>
      <vt:variant>
        <vt:lpwstr>https://www.dtf.vic.gov.au/sites/default/files/document/Standing-Directions-2018-Instructions.docx</vt:lpwstr>
      </vt:variant>
      <vt:variant>
        <vt:lpwstr>Instruction_3_7_2_3</vt:lpwstr>
      </vt:variant>
      <vt:variant>
        <vt:i4>6881397</vt:i4>
      </vt:variant>
      <vt:variant>
        <vt:i4>753</vt:i4>
      </vt:variant>
      <vt:variant>
        <vt:i4>0</vt:i4>
      </vt:variant>
      <vt:variant>
        <vt:i4>5</vt:i4>
      </vt:variant>
      <vt:variant>
        <vt:lpwstr>https://edugate.eduweb.vic.gov.au/Services/Finance/Policies</vt:lpwstr>
      </vt:variant>
      <vt:variant>
        <vt:lpwstr/>
      </vt:variant>
      <vt:variant>
        <vt:i4>6619212</vt:i4>
      </vt:variant>
      <vt:variant>
        <vt:i4>750</vt:i4>
      </vt:variant>
      <vt:variant>
        <vt:i4>0</vt:i4>
      </vt:variant>
      <vt:variant>
        <vt:i4>5</vt:i4>
      </vt:variant>
      <vt:variant>
        <vt:lpwstr>mailto:treasuryclientservices@tcv.vic.gov.au</vt:lpwstr>
      </vt:variant>
      <vt:variant>
        <vt:lpwstr/>
      </vt:variant>
      <vt:variant>
        <vt:i4>4587521</vt:i4>
      </vt:variant>
      <vt:variant>
        <vt:i4>747</vt:i4>
      </vt:variant>
      <vt:variant>
        <vt:i4>0</vt:i4>
      </vt:variant>
      <vt:variant>
        <vt:i4>5</vt:i4>
      </vt:variant>
      <vt:variant>
        <vt:lpwstr>https://www.dtf.vic.gov.au/sites/default/files/document/Standing-Directions-2018-Instructions.docx</vt:lpwstr>
      </vt:variant>
      <vt:variant>
        <vt:lpwstr>Instruction_3_7_2_2</vt:lpwstr>
      </vt:variant>
      <vt:variant>
        <vt:i4>327803</vt:i4>
      </vt:variant>
      <vt:variant>
        <vt:i4>744</vt:i4>
      </vt:variant>
      <vt:variant>
        <vt:i4>0</vt:i4>
      </vt:variant>
      <vt:variant>
        <vt:i4>5</vt:i4>
      </vt:variant>
      <vt:variant>
        <vt:lpwstr>mailto:working.capital@dtf.vic.gov.au</vt:lpwstr>
      </vt:variant>
      <vt:variant>
        <vt:lpwstr/>
      </vt:variant>
      <vt:variant>
        <vt:i4>8061028</vt:i4>
      </vt:variant>
      <vt:variant>
        <vt:i4>738</vt:i4>
      </vt:variant>
      <vt:variant>
        <vt:i4>0</vt:i4>
      </vt:variant>
      <vt:variant>
        <vt:i4>5</vt:i4>
      </vt:variant>
      <vt:variant>
        <vt:lpwstr>http://www.dtf.vic.gov.au/Publications/Victoria-Economy-publications/Centralised-treasury-and-investment-policy</vt:lpwstr>
      </vt:variant>
      <vt:variant>
        <vt:lpwstr/>
      </vt:variant>
      <vt:variant>
        <vt:i4>1507347</vt:i4>
      </vt:variant>
      <vt:variant>
        <vt:i4>735</vt:i4>
      </vt:variant>
      <vt:variant>
        <vt:i4>0</vt:i4>
      </vt:variant>
      <vt:variant>
        <vt:i4>5</vt:i4>
      </vt:variant>
      <vt:variant>
        <vt:lpwstr>https://www.dtf.vic.gov.au/sites/default/files/document/Standing-Directions-2018.docx</vt:lpwstr>
      </vt:variant>
      <vt:variant>
        <vt:lpwstr>Direction_3_7_2_3</vt:lpwstr>
      </vt:variant>
      <vt:variant>
        <vt:i4>1507347</vt:i4>
      </vt:variant>
      <vt:variant>
        <vt:i4>732</vt:i4>
      </vt:variant>
      <vt:variant>
        <vt:i4>0</vt:i4>
      </vt:variant>
      <vt:variant>
        <vt:i4>5</vt:i4>
      </vt:variant>
      <vt:variant>
        <vt:lpwstr>https://www.dtf.vic.gov.au/sites/default/files/document/Standing-Directions-2018.docx</vt:lpwstr>
      </vt:variant>
      <vt:variant>
        <vt:lpwstr>Direction_3_7_2_3</vt:lpwstr>
      </vt:variant>
      <vt:variant>
        <vt:i4>1507350</vt:i4>
      </vt:variant>
      <vt:variant>
        <vt:i4>729</vt:i4>
      </vt:variant>
      <vt:variant>
        <vt:i4>0</vt:i4>
      </vt:variant>
      <vt:variant>
        <vt:i4>5</vt:i4>
      </vt:variant>
      <vt:variant>
        <vt:lpwstr>https://www.dtf.vic.gov.au/sites/default/files/document/Standing-Directions-2018.docx</vt:lpwstr>
      </vt:variant>
      <vt:variant>
        <vt:lpwstr>Direction_3_7</vt:lpwstr>
      </vt:variant>
      <vt:variant>
        <vt:i4>1507350</vt:i4>
      </vt:variant>
      <vt:variant>
        <vt:i4>726</vt:i4>
      </vt:variant>
      <vt:variant>
        <vt:i4>0</vt:i4>
      </vt:variant>
      <vt:variant>
        <vt:i4>5</vt:i4>
      </vt:variant>
      <vt:variant>
        <vt:lpwstr>https://www.dtf.vic.gov.au/sites/default/files/document/Standing-Directions-2018.docx</vt:lpwstr>
      </vt:variant>
      <vt:variant>
        <vt:lpwstr>Direction_3_4</vt:lpwstr>
      </vt:variant>
      <vt:variant>
        <vt:i4>1507350</vt:i4>
      </vt:variant>
      <vt:variant>
        <vt:i4>723</vt:i4>
      </vt:variant>
      <vt:variant>
        <vt:i4>0</vt:i4>
      </vt:variant>
      <vt:variant>
        <vt:i4>5</vt:i4>
      </vt:variant>
      <vt:variant>
        <vt:lpwstr>https://www.dtf.vic.gov.au/sites/default/files/document/Standing-Directions-2018.docx</vt:lpwstr>
      </vt:variant>
      <vt:variant>
        <vt:lpwstr>Direction_3_2</vt:lpwstr>
      </vt:variant>
      <vt:variant>
        <vt:i4>4718628</vt:i4>
      </vt:variant>
      <vt:variant>
        <vt:i4>720</vt:i4>
      </vt:variant>
      <vt:variant>
        <vt:i4>0</vt:i4>
      </vt:variant>
      <vt:variant>
        <vt:i4>5</vt:i4>
      </vt:variant>
      <vt:variant>
        <vt:lpwstr>https://www.dtf.vic.gov.au/sites/default/files/document/Standing-Directions-2018.docx</vt:lpwstr>
      </vt:variant>
      <vt:variant>
        <vt:lpwstr>Direction_2_3_6</vt:lpwstr>
      </vt:variant>
      <vt:variant>
        <vt:i4>4718628</vt:i4>
      </vt:variant>
      <vt:variant>
        <vt:i4>717</vt:i4>
      </vt:variant>
      <vt:variant>
        <vt:i4>0</vt:i4>
      </vt:variant>
      <vt:variant>
        <vt:i4>5</vt:i4>
      </vt:variant>
      <vt:variant>
        <vt:lpwstr>https://www.dtf.vic.gov.au/sites/default/files/document/Standing-Directions-2018.docx</vt:lpwstr>
      </vt:variant>
      <vt:variant>
        <vt:lpwstr>Direction_2_3_4</vt:lpwstr>
      </vt:variant>
      <vt:variant>
        <vt:i4>4718625</vt:i4>
      </vt:variant>
      <vt:variant>
        <vt:i4>714</vt:i4>
      </vt:variant>
      <vt:variant>
        <vt:i4>0</vt:i4>
      </vt:variant>
      <vt:variant>
        <vt:i4>5</vt:i4>
      </vt:variant>
      <vt:variant>
        <vt:lpwstr>https://www.dtf.vic.gov.au/sites/default/files/document/Standing-Directions-2018.docx</vt:lpwstr>
      </vt:variant>
      <vt:variant>
        <vt:lpwstr>Direction_5_1_6</vt:lpwstr>
      </vt:variant>
      <vt:variant>
        <vt:i4>4587524</vt:i4>
      </vt:variant>
      <vt:variant>
        <vt:i4>711</vt:i4>
      </vt:variant>
      <vt:variant>
        <vt:i4>0</vt:i4>
      </vt:variant>
      <vt:variant>
        <vt:i4>5</vt:i4>
      </vt:variant>
      <vt:variant>
        <vt:lpwstr>https://www.dtf.vic.gov.au/sites/default/files/document/Standing-Directions-2018-Instructions.docx</vt:lpwstr>
      </vt:variant>
      <vt:variant>
        <vt:lpwstr>Instruction_3_6</vt:lpwstr>
      </vt:variant>
      <vt:variant>
        <vt:i4>1507350</vt:i4>
      </vt:variant>
      <vt:variant>
        <vt:i4>708</vt:i4>
      </vt:variant>
      <vt:variant>
        <vt:i4>0</vt:i4>
      </vt:variant>
      <vt:variant>
        <vt:i4>5</vt:i4>
      </vt:variant>
      <vt:variant>
        <vt:lpwstr>https://www.dtf.vic.gov.au/sites/default/files/document/Standing-Directions-2018.docx</vt:lpwstr>
      </vt:variant>
      <vt:variant>
        <vt:lpwstr>Direction_3_5</vt:lpwstr>
      </vt:variant>
      <vt:variant>
        <vt:i4>4587524</vt:i4>
      </vt:variant>
      <vt:variant>
        <vt:i4>705</vt:i4>
      </vt:variant>
      <vt:variant>
        <vt:i4>0</vt:i4>
      </vt:variant>
      <vt:variant>
        <vt:i4>5</vt:i4>
      </vt:variant>
      <vt:variant>
        <vt:lpwstr>https://www.dtf.vic.gov.au/sites/default/files/document/Standing-Directions-2018-Instructions.docx</vt:lpwstr>
      </vt:variant>
      <vt:variant>
        <vt:lpwstr>Instruction_3_6</vt:lpwstr>
      </vt:variant>
      <vt:variant>
        <vt:i4>4587524</vt:i4>
      </vt:variant>
      <vt:variant>
        <vt:i4>702</vt:i4>
      </vt:variant>
      <vt:variant>
        <vt:i4>0</vt:i4>
      </vt:variant>
      <vt:variant>
        <vt:i4>5</vt:i4>
      </vt:variant>
      <vt:variant>
        <vt:lpwstr>https://www.dtf.vic.gov.au/sites/default/files/document/Standing-Directions-2018-Instructions.docx</vt:lpwstr>
      </vt:variant>
      <vt:variant>
        <vt:lpwstr>Instruction_3_6</vt:lpwstr>
      </vt:variant>
      <vt:variant>
        <vt:i4>1507350</vt:i4>
      </vt:variant>
      <vt:variant>
        <vt:i4>699</vt:i4>
      </vt:variant>
      <vt:variant>
        <vt:i4>0</vt:i4>
      </vt:variant>
      <vt:variant>
        <vt:i4>5</vt:i4>
      </vt:variant>
      <vt:variant>
        <vt:lpwstr>https://www.dtf.vic.gov.au/sites/default/files/document/Standing-Directions-2018.docx</vt:lpwstr>
      </vt:variant>
      <vt:variant>
        <vt:lpwstr>Direction_3_6</vt:lpwstr>
      </vt:variant>
      <vt:variant>
        <vt:i4>4587524</vt:i4>
      </vt:variant>
      <vt:variant>
        <vt:i4>696</vt:i4>
      </vt:variant>
      <vt:variant>
        <vt:i4>0</vt:i4>
      </vt:variant>
      <vt:variant>
        <vt:i4>5</vt:i4>
      </vt:variant>
      <vt:variant>
        <vt:lpwstr>https://www.dtf.vic.gov.au/sites/default/files/document/Standing-Directions-2018-Instructions.docx</vt:lpwstr>
      </vt:variant>
      <vt:variant>
        <vt:lpwstr>Instruction_3_4</vt:lpwstr>
      </vt:variant>
      <vt:variant>
        <vt:i4>1507350</vt:i4>
      </vt:variant>
      <vt:variant>
        <vt:i4>693</vt:i4>
      </vt:variant>
      <vt:variant>
        <vt:i4>0</vt:i4>
      </vt:variant>
      <vt:variant>
        <vt:i4>5</vt:i4>
      </vt:variant>
      <vt:variant>
        <vt:lpwstr>https://www.dtf.vic.gov.au/sites/default/files/document/Standing-Directions-2018.docx</vt:lpwstr>
      </vt:variant>
      <vt:variant>
        <vt:lpwstr>Direction_3_4</vt:lpwstr>
      </vt:variant>
      <vt:variant>
        <vt:i4>4718627</vt:i4>
      </vt:variant>
      <vt:variant>
        <vt:i4>690</vt:i4>
      </vt:variant>
      <vt:variant>
        <vt:i4>0</vt:i4>
      </vt:variant>
      <vt:variant>
        <vt:i4>5</vt:i4>
      </vt:variant>
      <vt:variant>
        <vt:lpwstr>https://www.dtf.vic.gov.au/sites/default/files/document/Standing-Directions-2018.docx</vt:lpwstr>
      </vt:variant>
      <vt:variant>
        <vt:lpwstr>Direction_3_5_3</vt:lpwstr>
      </vt:variant>
      <vt:variant>
        <vt:i4>1507350</vt:i4>
      </vt:variant>
      <vt:variant>
        <vt:i4>687</vt:i4>
      </vt:variant>
      <vt:variant>
        <vt:i4>0</vt:i4>
      </vt:variant>
      <vt:variant>
        <vt:i4>5</vt:i4>
      </vt:variant>
      <vt:variant>
        <vt:lpwstr>https://www.dtf.vic.gov.au/sites/default/files/document/Standing-Directions-2018.docx</vt:lpwstr>
      </vt:variant>
      <vt:variant>
        <vt:lpwstr>Direction_3_3</vt:lpwstr>
      </vt:variant>
      <vt:variant>
        <vt:i4>1507344</vt:i4>
      </vt:variant>
      <vt:variant>
        <vt:i4>684</vt:i4>
      </vt:variant>
      <vt:variant>
        <vt:i4>0</vt:i4>
      </vt:variant>
      <vt:variant>
        <vt:i4>5</vt:i4>
      </vt:variant>
      <vt:variant>
        <vt:lpwstr>https://www.dtf.vic.gov.au/sites/default/files/document/Standing-Directions-2018.docx</vt:lpwstr>
      </vt:variant>
      <vt:variant>
        <vt:lpwstr>Direction_5_1</vt:lpwstr>
      </vt:variant>
      <vt:variant>
        <vt:i4>1507350</vt:i4>
      </vt:variant>
      <vt:variant>
        <vt:i4>681</vt:i4>
      </vt:variant>
      <vt:variant>
        <vt:i4>0</vt:i4>
      </vt:variant>
      <vt:variant>
        <vt:i4>5</vt:i4>
      </vt:variant>
      <vt:variant>
        <vt:lpwstr>https://www.dtf.vic.gov.au/sites/default/files/document/Standing-Directions-2018.docx</vt:lpwstr>
      </vt:variant>
      <vt:variant>
        <vt:lpwstr>Direction_3_6</vt:lpwstr>
      </vt:variant>
      <vt:variant>
        <vt:i4>1507350</vt:i4>
      </vt:variant>
      <vt:variant>
        <vt:i4>678</vt:i4>
      </vt:variant>
      <vt:variant>
        <vt:i4>0</vt:i4>
      </vt:variant>
      <vt:variant>
        <vt:i4>5</vt:i4>
      </vt:variant>
      <vt:variant>
        <vt:lpwstr>https://www.dtf.vic.gov.au/sites/default/files/document/Standing-Directions-2018.docx</vt:lpwstr>
      </vt:variant>
      <vt:variant>
        <vt:lpwstr>Direction_3_5</vt:lpwstr>
      </vt:variant>
      <vt:variant>
        <vt:i4>1507350</vt:i4>
      </vt:variant>
      <vt:variant>
        <vt:i4>675</vt:i4>
      </vt:variant>
      <vt:variant>
        <vt:i4>0</vt:i4>
      </vt:variant>
      <vt:variant>
        <vt:i4>5</vt:i4>
      </vt:variant>
      <vt:variant>
        <vt:lpwstr>https://www.dtf.vic.gov.au/sites/default/files/document/Standing-Directions-2018.docx</vt:lpwstr>
      </vt:variant>
      <vt:variant>
        <vt:lpwstr>Direction_3_3</vt:lpwstr>
      </vt:variant>
      <vt:variant>
        <vt:i4>1507350</vt:i4>
      </vt:variant>
      <vt:variant>
        <vt:i4>672</vt:i4>
      </vt:variant>
      <vt:variant>
        <vt:i4>0</vt:i4>
      </vt:variant>
      <vt:variant>
        <vt:i4>5</vt:i4>
      </vt:variant>
      <vt:variant>
        <vt:lpwstr>https://www.dtf.vic.gov.au/sites/default/files/document/Standing-Directions-2018.docx</vt:lpwstr>
      </vt:variant>
      <vt:variant>
        <vt:lpwstr>Direction_3_2_2_2</vt:lpwstr>
      </vt:variant>
      <vt:variant>
        <vt:i4>852050</vt:i4>
      </vt:variant>
      <vt:variant>
        <vt:i4>669</vt:i4>
      </vt:variant>
      <vt:variant>
        <vt:i4>0</vt:i4>
      </vt:variant>
      <vt:variant>
        <vt:i4>5</vt:i4>
      </vt:variant>
      <vt:variant>
        <vt:lpwstr>http://vpsc.vic.gov.au/html-resources/integrity-in-recruitment-guidance-note/</vt:lpwstr>
      </vt:variant>
      <vt:variant>
        <vt:lpwstr/>
      </vt:variant>
      <vt:variant>
        <vt:i4>1507350</vt:i4>
      </vt:variant>
      <vt:variant>
        <vt:i4>666</vt:i4>
      </vt:variant>
      <vt:variant>
        <vt:i4>0</vt:i4>
      </vt:variant>
      <vt:variant>
        <vt:i4>5</vt:i4>
      </vt:variant>
      <vt:variant>
        <vt:lpwstr>https://www.dtf.vic.gov.au/sites/default/files/document/Standing-Directions-2018.docx</vt:lpwstr>
      </vt:variant>
      <vt:variant>
        <vt:lpwstr>Direction_3_4</vt:lpwstr>
      </vt:variant>
      <vt:variant>
        <vt:i4>1507350</vt:i4>
      </vt:variant>
      <vt:variant>
        <vt:i4>663</vt:i4>
      </vt:variant>
      <vt:variant>
        <vt:i4>0</vt:i4>
      </vt:variant>
      <vt:variant>
        <vt:i4>5</vt:i4>
      </vt:variant>
      <vt:variant>
        <vt:lpwstr>https://www.dtf.vic.gov.au/sites/default/files/document/Standing-Directions-2018.docx</vt:lpwstr>
      </vt:variant>
      <vt:variant>
        <vt:lpwstr>Direction_3_3</vt:lpwstr>
      </vt:variant>
      <vt:variant>
        <vt:i4>6684719</vt:i4>
      </vt:variant>
      <vt:variant>
        <vt:i4>660</vt:i4>
      </vt:variant>
      <vt:variant>
        <vt:i4>0</vt:i4>
      </vt:variant>
      <vt:variant>
        <vt:i4>5</vt:i4>
      </vt:variant>
      <vt:variant>
        <vt:lpwstr>http://vpsc.vic.gov.au/resources/codes-of-conduct/</vt:lpwstr>
      </vt:variant>
      <vt:variant>
        <vt:lpwstr/>
      </vt:variant>
      <vt:variant>
        <vt:i4>4718627</vt:i4>
      </vt:variant>
      <vt:variant>
        <vt:i4>657</vt:i4>
      </vt:variant>
      <vt:variant>
        <vt:i4>0</vt:i4>
      </vt:variant>
      <vt:variant>
        <vt:i4>5</vt:i4>
      </vt:variant>
      <vt:variant>
        <vt:lpwstr>https://www.dtf.vic.gov.au/sites/default/files/document/Standing-Directions-2018.docx</vt:lpwstr>
      </vt:variant>
      <vt:variant>
        <vt:lpwstr>Direction_4_2_3</vt:lpwstr>
      </vt:variant>
      <vt:variant>
        <vt:i4>4718625</vt:i4>
      </vt:variant>
      <vt:variant>
        <vt:i4>654</vt:i4>
      </vt:variant>
      <vt:variant>
        <vt:i4>0</vt:i4>
      </vt:variant>
      <vt:variant>
        <vt:i4>5</vt:i4>
      </vt:variant>
      <vt:variant>
        <vt:lpwstr>https://www.dtf.vic.gov.au/sites/default/files/document/Standing-Directions-2018.docx</vt:lpwstr>
      </vt:variant>
      <vt:variant>
        <vt:lpwstr>Direction_5_1_5</vt:lpwstr>
      </vt:variant>
      <vt:variant>
        <vt:i4>1507350</vt:i4>
      </vt:variant>
      <vt:variant>
        <vt:i4>651</vt:i4>
      </vt:variant>
      <vt:variant>
        <vt:i4>0</vt:i4>
      </vt:variant>
      <vt:variant>
        <vt:i4>5</vt:i4>
      </vt:variant>
      <vt:variant>
        <vt:lpwstr>https://www.dtf.vic.gov.au/sites/default/files/document/Standing-Directions-2018.docx</vt:lpwstr>
      </vt:variant>
      <vt:variant>
        <vt:lpwstr>Direction_3_5</vt:lpwstr>
      </vt:variant>
      <vt:variant>
        <vt:i4>1507350</vt:i4>
      </vt:variant>
      <vt:variant>
        <vt:i4>648</vt:i4>
      </vt:variant>
      <vt:variant>
        <vt:i4>0</vt:i4>
      </vt:variant>
      <vt:variant>
        <vt:i4>5</vt:i4>
      </vt:variant>
      <vt:variant>
        <vt:lpwstr>https://www.dtf.vic.gov.au/sites/default/files/document/Standing-Directions-2018.docx</vt:lpwstr>
      </vt:variant>
      <vt:variant>
        <vt:lpwstr>Direction_3_4</vt:lpwstr>
      </vt:variant>
      <vt:variant>
        <vt:i4>4718628</vt:i4>
      </vt:variant>
      <vt:variant>
        <vt:i4>645</vt:i4>
      </vt:variant>
      <vt:variant>
        <vt:i4>0</vt:i4>
      </vt:variant>
      <vt:variant>
        <vt:i4>5</vt:i4>
      </vt:variant>
      <vt:variant>
        <vt:lpwstr>https://www.dtf.vic.gov.au/sites/default/files/document/Standing-Directions-2018.docx</vt:lpwstr>
      </vt:variant>
      <vt:variant>
        <vt:lpwstr>Direction_3_2_1</vt:lpwstr>
      </vt:variant>
      <vt:variant>
        <vt:i4>1507350</vt:i4>
      </vt:variant>
      <vt:variant>
        <vt:i4>642</vt:i4>
      </vt:variant>
      <vt:variant>
        <vt:i4>0</vt:i4>
      </vt:variant>
      <vt:variant>
        <vt:i4>5</vt:i4>
      </vt:variant>
      <vt:variant>
        <vt:lpwstr>https://www.dtf.vic.gov.au/sites/default/files/document/Standing-Directions-2018.docx</vt:lpwstr>
      </vt:variant>
      <vt:variant>
        <vt:lpwstr>Direction_3_9</vt:lpwstr>
      </vt:variant>
      <vt:variant>
        <vt:i4>1507350</vt:i4>
      </vt:variant>
      <vt:variant>
        <vt:i4>639</vt:i4>
      </vt:variant>
      <vt:variant>
        <vt:i4>0</vt:i4>
      </vt:variant>
      <vt:variant>
        <vt:i4>5</vt:i4>
      </vt:variant>
      <vt:variant>
        <vt:lpwstr>https://www.dtf.vic.gov.au/sites/default/files/document/Standing-Directions-2018.docx</vt:lpwstr>
      </vt:variant>
      <vt:variant>
        <vt:lpwstr>Direction_3_1</vt:lpwstr>
      </vt:variant>
      <vt:variant>
        <vt:i4>4587524</vt:i4>
      </vt:variant>
      <vt:variant>
        <vt:i4>636</vt:i4>
      </vt:variant>
      <vt:variant>
        <vt:i4>0</vt:i4>
      </vt:variant>
      <vt:variant>
        <vt:i4>5</vt:i4>
      </vt:variant>
      <vt:variant>
        <vt:lpwstr>https://www.dtf.vic.gov.au/sites/default/files/document/Standing-Directions-2018-Instructions.docx</vt:lpwstr>
      </vt:variant>
      <vt:variant>
        <vt:lpwstr>Instruction_3_4</vt:lpwstr>
      </vt:variant>
      <vt:variant>
        <vt:i4>2490430</vt:i4>
      </vt:variant>
      <vt:variant>
        <vt:i4>633</vt:i4>
      </vt:variant>
      <vt:variant>
        <vt:i4>0</vt:i4>
      </vt:variant>
      <vt:variant>
        <vt:i4>5</vt:i4>
      </vt:variant>
      <vt:variant>
        <vt:lpwstr>https://www.ato.gov.au/</vt:lpwstr>
      </vt:variant>
      <vt:variant>
        <vt:lpwstr/>
      </vt:variant>
      <vt:variant>
        <vt:i4>5374045</vt:i4>
      </vt:variant>
      <vt:variant>
        <vt:i4>630</vt:i4>
      </vt:variant>
      <vt:variant>
        <vt:i4>0</vt:i4>
      </vt:variant>
      <vt:variant>
        <vt:i4>5</vt:i4>
      </vt:variant>
      <vt:variant>
        <vt:lpwstr>https://www.ato.gov.au/general/fringe-benefits-tax-(fbt)/in-detail/government-organisations/better-practices-for-managing-specific-fringe-benefit-types/</vt:lpwstr>
      </vt:variant>
      <vt:variant>
        <vt:lpwstr/>
      </vt:variant>
      <vt:variant>
        <vt:i4>1376347</vt:i4>
      </vt:variant>
      <vt:variant>
        <vt:i4>627</vt:i4>
      </vt:variant>
      <vt:variant>
        <vt:i4>0</vt:i4>
      </vt:variant>
      <vt:variant>
        <vt:i4>5</vt:i4>
      </vt:variant>
      <vt:variant>
        <vt:lpwstr>http://www.ato.gov.au/Business/GST/In-detail/Non-profit-and-government-organisations/Government-organisations/A-better-practice-guide-for-the-management-of-GST/</vt:lpwstr>
      </vt:variant>
      <vt:variant>
        <vt:lpwstr/>
      </vt:variant>
      <vt:variant>
        <vt:i4>2490430</vt:i4>
      </vt:variant>
      <vt:variant>
        <vt:i4>624</vt:i4>
      </vt:variant>
      <vt:variant>
        <vt:i4>0</vt:i4>
      </vt:variant>
      <vt:variant>
        <vt:i4>5</vt:i4>
      </vt:variant>
      <vt:variant>
        <vt:lpwstr>https://www.ato.gov.au/</vt:lpwstr>
      </vt:variant>
      <vt:variant>
        <vt:lpwstr/>
      </vt:variant>
      <vt:variant>
        <vt:i4>4718625</vt:i4>
      </vt:variant>
      <vt:variant>
        <vt:i4>621</vt:i4>
      </vt:variant>
      <vt:variant>
        <vt:i4>0</vt:i4>
      </vt:variant>
      <vt:variant>
        <vt:i4>5</vt:i4>
      </vt:variant>
      <vt:variant>
        <vt:lpwstr>https://www.dtf.vic.gov.au/sites/default/files/document/Standing-Directions-2018.docx</vt:lpwstr>
      </vt:variant>
      <vt:variant>
        <vt:lpwstr>Direction_5_1_3</vt:lpwstr>
      </vt:variant>
      <vt:variant>
        <vt:i4>4718625</vt:i4>
      </vt:variant>
      <vt:variant>
        <vt:i4>618</vt:i4>
      </vt:variant>
      <vt:variant>
        <vt:i4>0</vt:i4>
      </vt:variant>
      <vt:variant>
        <vt:i4>5</vt:i4>
      </vt:variant>
      <vt:variant>
        <vt:lpwstr>https://www.dtf.vic.gov.au/sites/default/files/document/Standing-Directions-2018.docx</vt:lpwstr>
      </vt:variant>
      <vt:variant>
        <vt:lpwstr>Direction_5_1_2</vt:lpwstr>
      </vt:variant>
      <vt:variant>
        <vt:i4>7995454</vt:i4>
      </vt:variant>
      <vt:variant>
        <vt:i4>615</vt:i4>
      </vt:variant>
      <vt:variant>
        <vt:i4>0</vt:i4>
      </vt:variant>
      <vt:variant>
        <vt:i4>5</vt:i4>
      </vt:variant>
      <vt:variant>
        <vt:lpwstr>http://www.ato.gov.au/</vt:lpwstr>
      </vt:variant>
      <vt:variant>
        <vt:lpwstr/>
      </vt:variant>
      <vt:variant>
        <vt:i4>4063340</vt:i4>
      </vt:variant>
      <vt:variant>
        <vt:i4>612</vt:i4>
      </vt:variant>
      <vt:variant>
        <vt:i4>0</vt:i4>
      </vt:variant>
      <vt:variant>
        <vt:i4>5</vt:i4>
      </vt:variant>
      <vt:variant>
        <vt:lpwstr>http://www.dpc.vic.gov.au/index.php/policies/governance/appointment-and-remuneration-guidelines</vt:lpwstr>
      </vt:variant>
      <vt:variant>
        <vt:lpwstr/>
      </vt:variant>
      <vt:variant>
        <vt:i4>2883634</vt:i4>
      </vt:variant>
      <vt:variant>
        <vt:i4>609</vt:i4>
      </vt:variant>
      <vt:variant>
        <vt:i4>0</vt:i4>
      </vt:variant>
      <vt:variant>
        <vt:i4>5</vt:i4>
      </vt:variant>
      <vt:variant>
        <vt:lpwstr>http://www.dpc.vic.gov.au/index.php/18-resources/communication</vt:lpwstr>
      </vt:variant>
      <vt:variant>
        <vt:lpwstr/>
      </vt:variant>
      <vt:variant>
        <vt:i4>5439553</vt:i4>
      </vt:variant>
      <vt:variant>
        <vt:i4>606</vt:i4>
      </vt:variant>
      <vt:variant>
        <vt:i4>0</vt:i4>
      </vt:variant>
      <vt:variant>
        <vt:i4>5</vt:i4>
      </vt:variant>
      <vt:variant>
        <vt:lpwstr>http://www.procurement.vic.gov.au/files/3629ef59-3e55-478e-8905-a40600ba5ee9/VPS-Travel-Principles-March-2010.pdf</vt:lpwstr>
      </vt:variant>
      <vt:variant>
        <vt:lpwstr/>
      </vt:variant>
      <vt:variant>
        <vt:i4>5373958</vt:i4>
      </vt:variant>
      <vt:variant>
        <vt:i4>603</vt:i4>
      </vt:variant>
      <vt:variant>
        <vt:i4>0</vt:i4>
      </vt:variant>
      <vt:variant>
        <vt:i4>5</vt:i4>
      </vt:variant>
      <vt:variant>
        <vt:lpwstr>http://vpsc.vic.gov.au/resources/gifts-benefits-and-hospitality-policy-framework/</vt:lpwstr>
      </vt:variant>
      <vt:variant>
        <vt:lpwstr/>
      </vt:variant>
      <vt:variant>
        <vt:i4>4718625</vt:i4>
      </vt:variant>
      <vt:variant>
        <vt:i4>600</vt:i4>
      </vt:variant>
      <vt:variant>
        <vt:i4>0</vt:i4>
      </vt:variant>
      <vt:variant>
        <vt:i4>5</vt:i4>
      </vt:variant>
      <vt:variant>
        <vt:lpwstr>https://www.dtf.vic.gov.au/sites/default/files/document/Standing-Directions-2018.docx</vt:lpwstr>
      </vt:variant>
      <vt:variant>
        <vt:lpwstr>Direction_3_7_2</vt:lpwstr>
      </vt:variant>
      <vt:variant>
        <vt:i4>6422537</vt:i4>
      </vt:variant>
      <vt:variant>
        <vt:i4>597</vt:i4>
      </vt:variant>
      <vt:variant>
        <vt:i4>0</vt:i4>
      </vt:variant>
      <vt:variant>
        <vt:i4>5</vt:i4>
      </vt:variant>
      <vt:variant>
        <vt:lpwstr>https://www.pcisecuritystandards.org/pci_security/</vt:lpwstr>
      </vt:variant>
      <vt:variant>
        <vt:lpwstr/>
      </vt:variant>
      <vt:variant>
        <vt:i4>6029403</vt:i4>
      </vt:variant>
      <vt:variant>
        <vt:i4>594</vt:i4>
      </vt:variant>
      <vt:variant>
        <vt:i4>0</vt:i4>
      </vt:variant>
      <vt:variant>
        <vt:i4>5</vt:i4>
      </vt:variant>
      <vt:variant>
        <vt:lpwstr>http://www.dtf.vic.gov.au/Publications/Victoria-Economy-publications/Cost-recovery-guidelines</vt:lpwstr>
      </vt:variant>
      <vt:variant>
        <vt:lpwstr/>
      </vt:variant>
      <vt:variant>
        <vt:i4>1507350</vt:i4>
      </vt:variant>
      <vt:variant>
        <vt:i4>591</vt:i4>
      </vt:variant>
      <vt:variant>
        <vt:i4>0</vt:i4>
      </vt:variant>
      <vt:variant>
        <vt:i4>5</vt:i4>
      </vt:variant>
      <vt:variant>
        <vt:lpwstr>https://www.dtf.vic.gov.au/sites/default/files/document/Standing-Directions-2018.docx</vt:lpwstr>
      </vt:variant>
      <vt:variant>
        <vt:lpwstr>Direction_3_3</vt:lpwstr>
      </vt:variant>
      <vt:variant>
        <vt:i4>1507350</vt:i4>
      </vt:variant>
      <vt:variant>
        <vt:i4>588</vt:i4>
      </vt:variant>
      <vt:variant>
        <vt:i4>0</vt:i4>
      </vt:variant>
      <vt:variant>
        <vt:i4>5</vt:i4>
      </vt:variant>
      <vt:variant>
        <vt:lpwstr>https://www.dtf.vic.gov.au/sites/default/files/document/Standing-Directions-2018.docx</vt:lpwstr>
      </vt:variant>
      <vt:variant>
        <vt:lpwstr>Direction_3_9</vt:lpwstr>
      </vt:variant>
      <vt:variant>
        <vt:i4>4718625</vt:i4>
      </vt:variant>
      <vt:variant>
        <vt:i4>585</vt:i4>
      </vt:variant>
      <vt:variant>
        <vt:i4>0</vt:i4>
      </vt:variant>
      <vt:variant>
        <vt:i4>5</vt:i4>
      </vt:variant>
      <vt:variant>
        <vt:lpwstr>https://www.dtf.vic.gov.au/sites/default/files/document/Standing-Directions-2018.docx</vt:lpwstr>
      </vt:variant>
      <vt:variant>
        <vt:lpwstr>Direction_3_7_1</vt:lpwstr>
      </vt:variant>
      <vt:variant>
        <vt:i4>2424953</vt:i4>
      </vt:variant>
      <vt:variant>
        <vt:i4>582</vt:i4>
      </vt:variant>
      <vt:variant>
        <vt:i4>0</vt:i4>
      </vt:variant>
      <vt:variant>
        <vt:i4>5</vt:i4>
      </vt:variant>
      <vt:variant>
        <vt:lpwstr>https://www.coso.org/Pages/erm-integratedframework.aspx</vt:lpwstr>
      </vt:variant>
      <vt:variant>
        <vt:lpwstr/>
      </vt:variant>
      <vt:variant>
        <vt:i4>1507344</vt:i4>
      </vt:variant>
      <vt:variant>
        <vt:i4>579</vt:i4>
      </vt:variant>
      <vt:variant>
        <vt:i4>0</vt:i4>
      </vt:variant>
      <vt:variant>
        <vt:i4>5</vt:i4>
      </vt:variant>
      <vt:variant>
        <vt:lpwstr>https://www.dtf.vic.gov.au/sites/default/files/document/Standing-Directions-2018.docx</vt:lpwstr>
      </vt:variant>
      <vt:variant>
        <vt:lpwstr>Direction_5_3</vt:lpwstr>
      </vt:variant>
      <vt:variant>
        <vt:i4>1507345</vt:i4>
      </vt:variant>
      <vt:variant>
        <vt:i4>576</vt:i4>
      </vt:variant>
      <vt:variant>
        <vt:i4>0</vt:i4>
      </vt:variant>
      <vt:variant>
        <vt:i4>5</vt:i4>
      </vt:variant>
      <vt:variant>
        <vt:lpwstr>https://www.dtf.vic.gov.au/sites/default/files/document/Standing-Directions-2018.docx</vt:lpwstr>
      </vt:variant>
      <vt:variant>
        <vt:lpwstr>Direction_4_2</vt:lpwstr>
      </vt:variant>
      <vt:variant>
        <vt:i4>1507350</vt:i4>
      </vt:variant>
      <vt:variant>
        <vt:i4>573</vt:i4>
      </vt:variant>
      <vt:variant>
        <vt:i4>0</vt:i4>
      </vt:variant>
      <vt:variant>
        <vt:i4>5</vt:i4>
      </vt:variant>
      <vt:variant>
        <vt:lpwstr>https://www.dtf.vic.gov.au/sites/default/files/document/Standing-Directions-2018.docx</vt:lpwstr>
      </vt:variant>
      <vt:variant>
        <vt:lpwstr>Direction_3_9</vt:lpwstr>
      </vt:variant>
      <vt:variant>
        <vt:i4>1507350</vt:i4>
      </vt:variant>
      <vt:variant>
        <vt:i4>570</vt:i4>
      </vt:variant>
      <vt:variant>
        <vt:i4>0</vt:i4>
      </vt:variant>
      <vt:variant>
        <vt:i4>5</vt:i4>
      </vt:variant>
      <vt:variant>
        <vt:lpwstr>https://www.dtf.vic.gov.au/sites/default/files/document/Standing-Directions-2018.docx</vt:lpwstr>
      </vt:variant>
      <vt:variant>
        <vt:lpwstr>Direction_3_7</vt:lpwstr>
      </vt:variant>
      <vt:variant>
        <vt:i4>1507350</vt:i4>
      </vt:variant>
      <vt:variant>
        <vt:i4>567</vt:i4>
      </vt:variant>
      <vt:variant>
        <vt:i4>0</vt:i4>
      </vt:variant>
      <vt:variant>
        <vt:i4>5</vt:i4>
      </vt:variant>
      <vt:variant>
        <vt:lpwstr>https://www.dtf.vic.gov.au/sites/default/files/document/Standing-Directions-2018.docx</vt:lpwstr>
      </vt:variant>
      <vt:variant>
        <vt:lpwstr>Direction_3_6</vt:lpwstr>
      </vt:variant>
      <vt:variant>
        <vt:i4>1507350</vt:i4>
      </vt:variant>
      <vt:variant>
        <vt:i4>564</vt:i4>
      </vt:variant>
      <vt:variant>
        <vt:i4>0</vt:i4>
      </vt:variant>
      <vt:variant>
        <vt:i4>5</vt:i4>
      </vt:variant>
      <vt:variant>
        <vt:lpwstr>https://www.dtf.vic.gov.au/sites/default/files/document/Standing-Directions-2018.docx</vt:lpwstr>
      </vt:variant>
      <vt:variant>
        <vt:lpwstr>Direction_3_5</vt:lpwstr>
      </vt:variant>
      <vt:variant>
        <vt:i4>1507350</vt:i4>
      </vt:variant>
      <vt:variant>
        <vt:i4>561</vt:i4>
      </vt:variant>
      <vt:variant>
        <vt:i4>0</vt:i4>
      </vt:variant>
      <vt:variant>
        <vt:i4>5</vt:i4>
      </vt:variant>
      <vt:variant>
        <vt:lpwstr>https://www.dtf.vic.gov.au/sites/default/files/document/Standing-Directions-2018.docx</vt:lpwstr>
      </vt:variant>
      <vt:variant>
        <vt:lpwstr>Direction_3_4</vt:lpwstr>
      </vt:variant>
      <vt:variant>
        <vt:i4>1507350</vt:i4>
      </vt:variant>
      <vt:variant>
        <vt:i4>558</vt:i4>
      </vt:variant>
      <vt:variant>
        <vt:i4>0</vt:i4>
      </vt:variant>
      <vt:variant>
        <vt:i4>5</vt:i4>
      </vt:variant>
      <vt:variant>
        <vt:lpwstr>https://www.dtf.vic.gov.au/sites/default/files/document/Standing-Directions-2018.docx</vt:lpwstr>
      </vt:variant>
      <vt:variant>
        <vt:lpwstr>Direction_3_3</vt:lpwstr>
      </vt:variant>
      <vt:variant>
        <vt:i4>2883618</vt:i4>
      </vt:variant>
      <vt:variant>
        <vt:i4>555</vt:i4>
      </vt:variant>
      <vt:variant>
        <vt:i4>0</vt:i4>
      </vt:variant>
      <vt:variant>
        <vt:i4>5</vt:i4>
      </vt:variant>
      <vt:variant>
        <vt:lpwstr>http://vpsc.vic.gov.au/governance/governance-structure-and-roles/governance-structure/</vt:lpwstr>
      </vt:variant>
      <vt:variant>
        <vt:lpwstr/>
      </vt:variant>
      <vt:variant>
        <vt:i4>4784136</vt:i4>
      </vt:variant>
      <vt:variant>
        <vt:i4>552</vt:i4>
      </vt:variant>
      <vt:variant>
        <vt:i4>0</vt:i4>
      </vt:variant>
      <vt:variant>
        <vt:i4>5</vt:i4>
      </vt:variant>
      <vt:variant>
        <vt:lpwstr>http://vpsc.vic.gov.au/html-resources/guidance-for-managers-engaging-contractors-and-consultants/</vt:lpwstr>
      </vt:variant>
      <vt:variant>
        <vt:lpwstr/>
      </vt:variant>
      <vt:variant>
        <vt:i4>1507350</vt:i4>
      </vt:variant>
      <vt:variant>
        <vt:i4>549</vt:i4>
      </vt:variant>
      <vt:variant>
        <vt:i4>0</vt:i4>
      </vt:variant>
      <vt:variant>
        <vt:i4>5</vt:i4>
      </vt:variant>
      <vt:variant>
        <vt:lpwstr>https://www.dtf.vic.gov.au/sites/default/files/document/Standing-Directions-2018.docx</vt:lpwstr>
      </vt:variant>
      <vt:variant>
        <vt:lpwstr>Direction_3_3</vt:lpwstr>
      </vt:variant>
      <vt:variant>
        <vt:i4>1507351</vt:i4>
      </vt:variant>
      <vt:variant>
        <vt:i4>546</vt:i4>
      </vt:variant>
      <vt:variant>
        <vt:i4>0</vt:i4>
      </vt:variant>
      <vt:variant>
        <vt:i4>5</vt:i4>
      </vt:variant>
      <vt:variant>
        <vt:lpwstr>https://www.dtf.vic.gov.au/sites/default/files/document/Standing-Directions-2018.docx</vt:lpwstr>
      </vt:variant>
      <vt:variant>
        <vt:lpwstr>Direction_2_3</vt:lpwstr>
      </vt:variant>
      <vt:variant>
        <vt:i4>1507351</vt:i4>
      </vt:variant>
      <vt:variant>
        <vt:i4>543</vt:i4>
      </vt:variant>
      <vt:variant>
        <vt:i4>0</vt:i4>
      </vt:variant>
      <vt:variant>
        <vt:i4>5</vt:i4>
      </vt:variant>
      <vt:variant>
        <vt:lpwstr>https://www.dtf.vic.gov.au/sites/default/files/document/Standing-Directions-2018.docx</vt:lpwstr>
      </vt:variant>
      <vt:variant>
        <vt:lpwstr>Direction_2_2</vt:lpwstr>
      </vt:variant>
      <vt:variant>
        <vt:i4>1507350</vt:i4>
      </vt:variant>
      <vt:variant>
        <vt:i4>540</vt:i4>
      </vt:variant>
      <vt:variant>
        <vt:i4>0</vt:i4>
      </vt:variant>
      <vt:variant>
        <vt:i4>5</vt:i4>
      </vt:variant>
      <vt:variant>
        <vt:lpwstr>https://www.dtf.vic.gov.au/sites/default/files/document/Standing-Directions-2018.docx</vt:lpwstr>
      </vt:variant>
      <vt:variant>
        <vt:lpwstr>Direction_3_3</vt:lpwstr>
      </vt:variant>
      <vt:variant>
        <vt:i4>4980756</vt:i4>
      </vt:variant>
      <vt:variant>
        <vt:i4>534</vt:i4>
      </vt:variant>
      <vt:variant>
        <vt:i4>0</vt:i4>
      </vt:variant>
      <vt:variant>
        <vt:i4>5</vt:i4>
      </vt:variant>
      <vt:variant>
        <vt:lpwstr>http://www.iia.org.au/technicalResources/practiceGuides.aspx</vt:lpwstr>
      </vt:variant>
      <vt:variant>
        <vt:lpwstr/>
      </vt:variant>
      <vt:variant>
        <vt:i4>4980756</vt:i4>
      </vt:variant>
      <vt:variant>
        <vt:i4>531</vt:i4>
      </vt:variant>
      <vt:variant>
        <vt:i4>0</vt:i4>
      </vt:variant>
      <vt:variant>
        <vt:i4>5</vt:i4>
      </vt:variant>
      <vt:variant>
        <vt:lpwstr>http://www.iia.org.au/technicalResources/practiceGuides.aspx</vt:lpwstr>
      </vt:variant>
      <vt:variant>
        <vt:lpwstr/>
      </vt:variant>
      <vt:variant>
        <vt:i4>4980756</vt:i4>
      </vt:variant>
      <vt:variant>
        <vt:i4>528</vt:i4>
      </vt:variant>
      <vt:variant>
        <vt:i4>0</vt:i4>
      </vt:variant>
      <vt:variant>
        <vt:i4>5</vt:i4>
      </vt:variant>
      <vt:variant>
        <vt:lpwstr>http://www.iia.org.au/technicalResources/practiceGuides.aspx</vt:lpwstr>
      </vt:variant>
      <vt:variant>
        <vt:lpwstr/>
      </vt:variant>
      <vt:variant>
        <vt:i4>2752637</vt:i4>
      </vt:variant>
      <vt:variant>
        <vt:i4>525</vt:i4>
      </vt:variant>
      <vt:variant>
        <vt:i4>0</vt:i4>
      </vt:variant>
      <vt:variant>
        <vt:i4>5</vt:i4>
      </vt:variant>
      <vt:variant>
        <vt:lpwstr>http://www.iia.org.au/technicalResources/professionalGuidance.aspx</vt:lpwstr>
      </vt:variant>
      <vt:variant>
        <vt:lpwstr/>
      </vt:variant>
      <vt:variant>
        <vt:i4>6422584</vt:i4>
      </vt:variant>
      <vt:variant>
        <vt:i4>522</vt:i4>
      </vt:variant>
      <vt:variant>
        <vt:i4>0</vt:i4>
      </vt:variant>
      <vt:variant>
        <vt:i4>5</vt:i4>
      </vt:variant>
      <vt:variant>
        <vt:lpwstr>http://www.iia.org.au/technicalResources/standards.aspx</vt:lpwstr>
      </vt:variant>
      <vt:variant>
        <vt:lpwstr/>
      </vt:variant>
      <vt:variant>
        <vt:i4>1114119</vt:i4>
      </vt:variant>
      <vt:variant>
        <vt:i4>519</vt:i4>
      </vt:variant>
      <vt:variant>
        <vt:i4>0</vt:i4>
      </vt:variant>
      <vt:variant>
        <vt:i4>5</vt:i4>
      </vt:variant>
      <vt:variant>
        <vt:lpwstr>https://www.anao.gov.au/work/better-practice-guide/public-sector-internal-audit-investment-assurance-and-business</vt:lpwstr>
      </vt:variant>
      <vt:variant>
        <vt:lpwstr/>
      </vt:variant>
      <vt:variant>
        <vt:i4>1114119</vt:i4>
      </vt:variant>
      <vt:variant>
        <vt:i4>516</vt:i4>
      </vt:variant>
      <vt:variant>
        <vt:i4>0</vt:i4>
      </vt:variant>
      <vt:variant>
        <vt:i4>5</vt:i4>
      </vt:variant>
      <vt:variant>
        <vt:lpwstr>https://www.anao.gov.au/work/better-practice-guide/public-sector-internal-audit-investment-assurance-and-business</vt:lpwstr>
      </vt:variant>
      <vt:variant>
        <vt:lpwstr/>
      </vt:variant>
      <vt:variant>
        <vt:i4>1114119</vt:i4>
      </vt:variant>
      <vt:variant>
        <vt:i4>513</vt:i4>
      </vt:variant>
      <vt:variant>
        <vt:i4>0</vt:i4>
      </vt:variant>
      <vt:variant>
        <vt:i4>5</vt:i4>
      </vt:variant>
      <vt:variant>
        <vt:lpwstr>https://www.anao.gov.au/work/better-practice-guide/public-sector-internal-audit-investment-assurance-and-business</vt:lpwstr>
      </vt:variant>
      <vt:variant>
        <vt:lpwstr/>
      </vt:variant>
      <vt:variant>
        <vt:i4>4980756</vt:i4>
      </vt:variant>
      <vt:variant>
        <vt:i4>510</vt:i4>
      </vt:variant>
      <vt:variant>
        <vt:i4>0</vt:i4>
      </vt:variant>
      <vt:variant>
        <vt:i4>5</vt:i4>
      </vt:variant>
      <vt:variant>
        <vt:lpwstr>http://www.iia.org.au/technicalResources/practiceGuides.aspx</vt:lpwstr>
      </vt:variant>
      <vt:variant>
        <vt:lpwstr/>
      </vt:variant>
      <vt:variant>
        <vt:i4>1507351</vt:i4>
      </vt:variant>
      <vt:variant>
        <vt:i4>507</vt:i4>
      </vt:variant>
      <vt:variant>
        <vt:i4>0</vt:i4>
      </vt:variant>
      <vt:variant>
        <vt:i4>5</vt:i4>
      </vt:variant>
      <vt:variant>
        <vt:lpwstr>https://www.dtf.vic.gov.au/sites/default/files/document/Standing-Directions-2018.docx</vt:lpwstr>
      </vt:variant>
      <vt:variant>
        <vt:lpwstr>Direction_2_2</vt:lpwstr>
      </vt:variant>
      <vt:variant>
        <vt:i4>1114119</vt:i4>
      </vt:variant>
      <vt:variant>
        <vt:i4>504</vt:i4>
      </vt:variant>
      <vt:variant>
        <vt:i4>0</vt:i4>
      </vt:variant>
      <vt:variant>
        <vt:i4>5</vt:i4>
      </vt:variant>
      <vt:variant>
        <vt:lpwstr>https://www.anao.gov.au/work/better-practice-guide/public-sector-internal-audit-investment-assurance-and-business</vt:lpwstr>
      </vt:variant>
      <vt:variant>
        <vt:lpwstr/>
      </vt:variant>
      <vt:variant>
        <vt:i4>720936</vt:i4>
      </vt:variant>
      <vt:variant>
        <vt:i4>501</vt:i4>
      </vt:variant>
      <vt:variant>
        <vt:i4>0</vt:i4>
      </vt:variant>
      <vt:variant>
        <vt:i4>5</vt:i4>
      </vt:variant>
      <vt:variant>
        <vt:lpwstr>http://www.iia.org.au/sf_docs/default-source/quality/internal-audit-charter-review-checklist8E790F548D4A.pdf?sfvrsn=2</vt:lpwstr>
      </vt:variant>
      <vt:variant>
        <vt:lpwstr/>
      </vt:variant>
      <vt:variant>
        <vt:i4>1507344</vt:i4>
      </vt:variant>
      <vt:variant>
        <vt:i4>498</vt:i4>
      </vt:variant>
      <vt:variant>
        <vt:i4>0</vt:i4>
      </vt:variant>
      <vt:variant>
        <vt:i4>5</vt:i4>
      </vt:variant>
      <vt:variant>
        <vt:lpwstr>https://www.dtf.vic.gov.au/sites/default/files/document/Standing-Directions-2018.docx</vt:lpwstr>
      </vt:variant>
      <vt:variant>
        <vt:lpwstr>Direction_5_1</vt:lpwstr>
      </vt:variant>
      <vt:variant>
        <vt:i4>1507350</vt:i4>
      </vt:variant>
      <vt:variant>
        <vt:i4>495</vt:i4>
      </vt:variant>
      <vt:variant>
        <vt:i4>0</vt:i4>
      </vt:variant>
      <vt:variant>
        <vt:i4>5</vt:i4>
      </vt:variant>
      <vt:variant>
        <vt:lpwstr>https://www.dtf.vic.gov.au/sites/default/files/document/Standing-Directions-2018.docx</vt:lpwstr>
      </vt:variant>
      <vt:variant>
        <vt:lpwstr>Direction_3_4</vt:lpwstr>
      </vt:variant>
      <vt:variant>
        <vt:i4>4718628</vt:i4>
      </vt:variant>
      <vt:variant>
        <vt:i4>492</vt:i4>
      </vt:variant>
      <vt:variant>
        <vt:i4>0</vt:i4>
      </vt:variant>
      <vt:variant>
        <vt:i4>5</vt:i4>
      </vt:variant>
      <vt:variant>
        <vt:lpwstr>https://www.dtf.vic.gov.au/sites/default/files/document/Standing-Directions-2018.docx</vt:lpwstr>
      </vt:variant>
      <vt:variant>
        <vt:lpwstr>Direction_3_2_2</vt:lpwstr>
      </vt:variant>
      <vt:variant>
        <vt:i4>4718628</vt:i4>
      </vt:variant>
      <vt:variant>
        <vt:i4>489</vt:i4>
      </vt:variant>
      <vt:variant>
        <vt:i4>0</vt:i4>
      </vt:variant>
      <vt:variant>
        <vt:i4>5</vt:i4>
      </vt:variant>
      <vt:variant>
        <vt:lpwstr>https://www.dtf.vic.gov.au/sites/default/files/document/Standing-Directions-2018.docx</vt:lpwstr>
      </vt:variant>
      <vt:variant>
        <vt:lpwstr>Direction_3_2_1</vt:lpwstr>
      </vt:variant>
      <vt:variant>
        <vt:i4>4325410</vt:i4>
      </vt:variant>
      <vt:variant>
        <vt:i4>486</vt:i4>
      </vt:variant>
      <vt:variant>
        <vt:i4>0</vt:i4>
      </vt:variant>
      <vt:variant>
        <vt:i4>5</vt:i4>
      </vt:variant>
      <vt:variant>
        <vt:lpwstr>http://www.audit.vic.gov.au/reports_and_publications/latest_reports/2016-17/20160831-audit-committees.aspx</vt:lpwstr>
      </vt:variant>
      <vt:variant>
        <vt:lpwstr/>
      </vt:variant>
      <vt:variant>
        <vt:i4>3932231</vt:i4>
      </vt:variant>
      <vt:variant>
        <vt:i4>483</vt:i4>
      </vt:variant>
      <vt:variant>
        <vt:i4>0</vt:i4>
      </vt:variant>
      <vt:variant>
        <vt:i4>5</vt:i4>
      </vt:variant>
      <vt:variant>
        <vt:lpwstr>http://www.audit.vic.gov.au/reports_and_publications/latest_reports/2014-15/20150212-water-entities.aspx</vt:lpwstr>
      </vt:variant>
      <vt:variant>
        <vt:lpwstr/>
      </vt:variant>
      <vt:variant>
        <vt:i4>6619198</vt:i4>
      </vt:variant>
      <vt:variant>
        <vt:i4>480</vt:i4>
      </vt:variant>
      <vt:variant>
        <vt:i4>0</vt:i4>
      </vt:variant>
      <vt:variant>
        <vt:i4>5</vt:i4>
      </vt:variant>
      <vt:variant>
        <vt:lpwstr>http://www.iia.org.au/</vt:lpwstr>
      </vt:variant>
      <vt:variant>
        <vt:lpwstr/>
      </vt:variant>
      <vt:variant>
        <vt:i4>3866684</vt:i4>
      </vt:variant>
      <vt:variant>
        <vt:i4>477</vt:i4>
      </vt:variant>
      <vt:variant>
        <vt:i4>0</vt:i4>
      </vt:variant>
      <vt:variant>
        <vt:i4>5</vt:i4>
      </vt:variant>
      <vt:variant>
        <vt:lpwstr>http://www.iia.org.au/announcements/12-08-28/AUDIT_COMMITTEES_A_guide_to_good_practice.aspx</vt:lpwstr>
      </vt:variant>
      <vt:variant>
        <vt:lpwstr/>
      </vt:variant>
      <vt:variant>
        <vt:i4>4653060</vt:i4>
      </vt:variant>
      <vt:variant>
        <vt:i4>474</vt:i4>
      </vt:variant>
      <vt:variant>
        <vt:i4>0</vt:i4>
      </vt:variant>
      <vt:variant>
        <vt:i4>5</vt:i4>
      </vt:variant>
      <vt:variant>
        <vt:lpwstr>http://www.asx.com.au/documents/asx-compliance/cgc-principles-and-recommendations-3rd-edn.pdf</vt:lpwstr>
      </vt:variant>
      <vt:variant>
        <vt:lpwstr/>
      </vt:variant>
      <vt:variant>
        <vt:i4>3145785</vt:i4>
      </vt:variant>
      <vt:variant>
        <vt:i4>471</vt:i4>
      </vt:variant>
      <vt:variant>
        <vt:i4>0</vt:i4>
      </vt:variant>
      <vt:variant>
        <vt:i4>5</vt:i4>
      </vt:variant>
      <vt:variant>
        <vt:lpwstr>http://www.anao.gov.au/Publications/Better-Practice-Guides/2014-2015/Public-Sector-Audit-Committees</vt:lpwstr>
      </vt:variant>
      <vt:variant>
        <vt:lpwstr/>
      </vt:variant>
      <vt:variant>
        <vt:i4>3211297</vt:i4>
      </vt:variant>
      <vt:variant>
        <vt:i4>468</vt:i4>
      </vt:variant>
      <vt:variant>
        <vt:i4>0</vt:i4>
      </vt:variant>
      <vt:variant>
        <vt:i4>5</vt:i4>
      </vt:variant>
      <vt:variant>
        <vt:lpwstr>http://www.anao.gov.au/</vt:lpwstr>
      </vt:variant>
      <vt:variant>
        <vt:lpwstr/>
      </vt:variant>
      <vt:variant>
        <vt:i4>7536767</vt:i4>
      </vt:variant>
      <vt:variant>
        <vt:i4>465</vt:i4>
      </vt:variant>
      <vt:variant>
        <vt:i4>0</vt:i4>
      </vt:variant>
      <vt:variant>
        <vt:i4>5</vt:i4>
      </vt:variant>
      <vt:variant>
        <vt:lpwstr>http://vpsc.vic.gov.au/</vt:lpwstr>
      </vt:variant>
      <vt:variant>
        <vt:lpwstr/>
      </vt:variant>
      <vt:variant>
        <vt:i4>1507349</vt:i4>
      </vt:variant>
      <vt:variant>
        <vt:i4>462</vt:i4>
      </vt:variant>
      <vt:variant>
        <vt:i4>0</vt:i4>
      </vt:variant>
      <vt:variant>
        <vt:i4>5</vt:i4>
      </vt:variant>
      <vt:variant>
        <vt:lpwstr>https://www.dtf.vic.gov.au/sites/default/files/document/Standing-Directions-2018.docx</vt:lpwstr>
      </vt:variant>
      <vt:variant>
        <vt:lpwstr>Direction_3_2_1_3</vt:lpwstr>
      </vt:variant>
      <vt:variant>
        <vt:i4>1507349</vt:i4>
      </vt:variant>
      <vt:variant>
        <vt:i4>459</vt:i4>
      </vt:variant>
      <vt:variant>
        <vt:i4>0</vt:i4>
      </vt:variant>
      <vt:variant>
        <vt:i4>5</vt:i4>
      </vt:variant>
      <vt:variant>
        <vt:lpwstr>https://www.dtf.vic.gov.au/sites/default/files/document/Standing-Directions-2018.docx</vt:lpwstr>
      </vt:variant>
      <vt:variant>
        <vt:lpwstr>Direction_3_2_1_3</vt:lpwstr>
      </vt:variant>
      <vt:variant>
        <vt:i4>1507349</vt:i4>
      </vt:variant>
      <vt:variant>
        <vt:i4>456</vt:i4>
      </vt:variant>
      <vt:variant>
        <vt:i4>0</vt:i4>
      </vt:variant>
      <vt:variant>
        <vt:i4>5</vt:i4>
      </vt:variant>
      <vt:variant>
        <vt:lpwstr>https://www.dtf.vic.gov.au/sites/default/files/document/Standing-Directions-2018.docx</vt:lpwstr>
      </vt:variant>
      <vt:variant>
        <vt:lpwstr>Direction_3_2_1_4</vt:lpwstr>
      </vt:variant>
      <vt:variant>
        <vt:i4>4718625</vt:i4>
      </vt:variant>
      <vt:variant>
        <vt:i4>453</vt:i4>
      </vt:variant>
      <vt:variant>
        <vt:i4>0</vt:i4>
      </vt:variant>
      <vt:variant>
        <vt:i4>5</vt:i4>
      </vt:variant>
      <vt:variant>
        <vt:lpwstr>https://www.dtf.vic.gov.au/sites/default/files/document/Standing-Directions-2018.docx</vt:lpwstr>
      </vt:variant>
      <vt:variant>
        <vt:lpwstr>Direction_5_1_6</vt:lpwstr>
      </vt:variant>
      <vt:variant>
        <vt:i4>1507350</vt:i4>
      </vt:variant>
      <vt:variant>
        <vt:i4>450</vt:i4>
      </vt:variant>
      <vt:variant>
        <vt:i4>0</vt:i4>
      </vt:variant>
      <vt:variant>
        <vt:i4>5</vt:i4>
      </vt:variant>
      <vt:variant>
        <vt:lpwstr>https://www.dtf.vic.gov.au/sites/default/files/document/Standing-Directions-2018.docx</vt:lpwstr>
      </vt:variant>
      <vt:variant>
        <vt:lpwstr>Direction_3_5</vt:lpwstr>
      </vt:variant>
      <vt:variant>
        <vt:i4>1507351</vt:i4>
      </vt:variant>
      <vt:variant>
        <vt:i4>447</vt:i4>
      </vt:variant>
      <vt:variant>
        <vt:i4>0</vt:i4>
      </vt:variant>
      <vt:variant>
        <vt:i4>5</vt:i4>
      </vt:variant>
      <vt:variant>
        <vt:lpwstr>https://www.dtf.vic.gov.au/sites/default/files/document/Standing-Directions-2018.docx</vt:lpwstr>
      </vt:variant>
      <vt:variant>
        <vt:lpwstr>Direction_2_2</vt:lpwstr>
      </vt:variant>
      <vt:variant>
        <vt:i4>3539043</vt:i4>
      </vt:variant>
      <vt:variant>
        <vt:i4>444</vt:i4>
      </vt:variant>
      <vt:variant>
        <vt:i4>0</vt:i4>
      </vt:variant>
      <vt:variant>
        <vt:i4>5</vt:i4>
      </vt:variant>
      <vt:variant>
        <vt:lpwstr>https://www.audit.vic.gov.au/report/audit-committee-governance</vt:lpwstr>
      </vt:variant>
      <vt:variant>
        <vt:lpwstr/>
      </vt:variant>
      <vt:variant>
        <vt:i4>5701675</vt:i4>
      </vt:variant>
      <vt:variant>
        <vt:i4>441</vt:i4>
      </vt:variant>
      <vt:variant>
        <vt:i4>0</vt:i4>
      </vt:variant>
      <vt:variant>
        <vt:i4>5</vt:i4>
      </vt:variant>
      <vt:variant>
        <vt:lpwstr>https://na.theiia.org/services/quality/Public_Documents/Forms/AllItems.aspx</vt:lpwstr>
      </vt:variant>
      <vt:variant>
        <vt:lpwstr/>
      </vt:variant>
      <vt:variant>
        <vt:i4>7209063</vt:i4>
      </vt:variant>
      <vt:variant>
        <vt:i4>438</vt:i4>
      </vt:variant>
      <vt:variant>
        <vt:i4>0</vt:i4>
      </vt:variant>
      <vt:variant>
        <vt:i4>5</vt:i4>
      </vt:variant>
      <vt:variant>
        <vt:lpwstr>https://www.anao.gov.au/work/better-practice-guide/public-sector-audit-committees-independent-assurance-and-advice</vt:lpwstr>
      </vt:variant>
      <vt:variant>
        <vt:lpwstr/>
      </vt:variant>
      <vt:variant>
        <vt:i4>1507349</vt:i4>
      </vt:variant>
      <vt:variant>
        <vt:i4>435</vt:i4>
      </vt:variant>
      <vt:variant>
        <vt:i4>0</vt:i4>
      </vt:variant>
      <vt:variant>
        <vt:i4>5</vt:i4>
      </vt:variant>
      <vt:variant>
        <vt:lpwstr>https://www.dtf.vic.gov.au/sites/default/files/document/Standing-Directions-2018.docx</vt:lpwstr>
      </vt:variant>
      <vt:variant>
        <vt:lpwstr>Direction_3_2_1_1</vt:lpwstr>
      </vt:variant>
      <vt:variant>
        <vt:i4>1507344</vt:i4>
      </vt:variant>
      <vt:variant>
        <vt:i4>432</vt:i4>
      </vt:variant>
      <vt:variant>
        <vt:i4>0</vt:i4>
      </vt:variant>
      <vt:variant>
        <vt:i4>5</vt:i4>
      </vt:variant>
      <vt:variant>
        <vt:lpwstr>https://www.dtf.vic.gov.au/sites/default/files/document/Standing-Directions-2018.docx</vt:lpwstr>
      </vt:variant>
      <vt:variant>
        <vt:lpwstr>Direction_5_1</vt:lpwstr>
      </vt:variant>
      <vt:variant>
        <vt:i4>1507350</vt:i4>
      </vt:variant>
      <vt:variant>
        <vt:i4>429</vt:i4>
      </vt:variant>
      <vt:variant>
        <vt:i4>0</vt:i4>
      </vt:variant>
      <vt:variant>
        <vt:i4>5</vt:i4>
      </vt:variant>
      <vt:variant>
        <vt:lpwstr>https://www.dtf.vic.gov.au/sites/default/files/document/Standing-Directions-2018.docx</vt:lpwstr>
      </vt:variant>
      <vt:variant>
        <vt:lpwstr>Direction_3_7</vt:lpwstr>
      </vt:variant>
      <vt:variant>
        <vt:i4>1507350</vt:i4>
      </vt:variant>
      <vt:variant>
        <vt:i4>426</vt:i4>
      </vt:variant>
      <vt:variant>
        <vt:i4>0</vt:i4>
      </vt:variant>
      <vt:variant>
        <vt:i4>5</vt:i4>
      </vt:variant>
      <vt:variant>
        <vt:lpwstr>https://www.dtf.vic.gov.au/sites/default/files/document/Standing-Directions-2018.docx</vt:lpwstr>
      </vt:variant>
      <vt:variant>
        <vt:lpwstr>Direction_3_4</vt:lpwstr>
      </vt:variant>
      <vt:variant>
        <vt:i4>4718628</vt:i4>
      </vt:variant>
      <vt:variant>
        <vt:i4>423</vt:i4>
      </vt:variant>
      <vt:variant>
        <vt:i4>0</vt:i4>
      </vt:variant>
      <vt:variant>
        <vt:i4>5</vt:i4>
      </vt:variant>
      <vt:variant>
        <vt:lpwstr>https://www.dtf.vic.gov.au/sites/default/files/document/Standing-Directions-2018.docx</vt:lpwstr>
      </vt:variant>
      <vt:variant>
        <vt:lpwstr>Direction_3_2_2</vt:lpwstr>
      </vt:variant>
      <vt:variant>
        <vt:i4>4718628</vt:i4>
      </vt:variant>
      <vt:variant>
        <vt:i4>420</vt:i4>
      </vt:variant>
      <vt:variant>
        <vt:i4>0</vt:i4>
      </vt:variant>
      <vt:variant>
        <vt:i4>5</vt:i4>
      </vt:variant>
      <vt:variant>
        <vt:lpwstr>https://www.dtf.vic.gov.au/sites/default/files/document/Standing-Directions-2018.docx</vt:lpwstr>
      </vt:variant>
      <vt:variant>
        <vt:lpwstr>Direction_3_2_1</vt:lpwstr>
      </vt:variant>
      <vt:variant>
        <vt:i4>2883618</vt:i4>
      </vt:variant>
      <vt:variant>
        <vt:i4>417</vt:i4>
      </vt:variant>
      <vt:variant>
        <vt:i4>0</vt:i4>
      </vt:variant>
      <vt:variant>
        <vt:i4>5</vt:i4>
      </vt:variant>
      <vt:variant>
        <vt:lpwstr>http://vpsc.vic.gov.au/governance/governance-structure-and-roles/governance-structure/</vt:lpwstr>
      </vt:variant>
      <vt:variant>
        <vt:lpwstr/>
      </vt:variant>
      <vt:variant>
        <vt:i4>4784136</vt:i4>
      </vt:variant>
      <vt:variant>
        <vt:i4>414</vt:i4>
      </vt:variant>
      <vt:variant>
        <vt:i4>0</vt:i4>
      </vt:variant>
      <vt:variant>
        <vt:i4>5</vt:i4>
      </vt:variant>
      <vt:variant>
        <vt:lpwstr>http://vpsc.vic.gov.au/html-resources/guidance-for-managers-engaging-contractors-and-consultants/</vt:lpwstr>
      </vt:variant>
      <vt:variant>
        <vt:lpwstr/>
      </vt:variant>
      <vt:variant>
        <vt:i4>1507350</vt:i4>
      </vt:variant>
      <vt:variant>
        <vt:i4>411</vt:i4>
      </vt:variant>
      <vt:variant>
        <vt:i4>0</vt:i4>
      </vt:variant>
      <vt:variant>
        <vt:i4>5</vt:i4>
      </vt:variant>
      <vt:variant>
        <vt:lpwstr>https://www.dtf.vic.gov.au/sites/default/files/document/Standing-Directions-2018.docx</vt:lpwstr>
      </vt:variant>
      <vt:variant>
        <vt:lpwstr>Direction_3_3</vt:lpwstr>
      </vt:variant>
      <vt:variant>
        <vt:i4>1507351</vt:i4>
      </vt:variant>
      <vt:variant>
        <vt:i4>408</vt:i4>
      </vt:variant>
      <vt:variant>
        <vt:i4>0</vt:i4>
      </vt:variant>
      <vt:variant>
        <vt:i4>5</vt:i4>
      </vt:variant>
      <vt:variant>
        <vt:lpwstr>https://www.dtf.vic.gov.au/sites/default/files/document/Standing-Directions-2018.docx</vt:lpwstr>
      </vt:variant>
      <vt:variant>
        <vt:lpwstr>Direction_2_4</vt:lpwstr>
      </vt:variant>
      <vt:variant>
        <vt:i4>1507351</vt:i4>
      </vt:variant>
      <vt:variant>
        <vt:i4>405</vt:i4>
      </vt:variant>
      <vt:variant>
        <vt:i4>0</vt:i4>
      </vt:variant>
      <vt:variant>
        <vt:i4>5</vt:i4>
      </vt:variant>
      <vt:variant>
        <vt:lpwstr>https://www.dtf.vic.gov.au/sites/default/files/document/Standing-Directions-2018.docx</vt:lpwstr>
      </vt:variant>
      <vt:variant>
        <vt:lpwstr>Direction_2_3</vt:lpwstr>
      </vt:variant>
      <vt:variant>
        <vt:i4>1507351</vt:i4>
      </vt:variant>
      <vt:variant>
        <vt:i4>402</vt:i4>
      </vt:variant>
      <vt:variant>
        <vt:i4>0</vt:i4>
      </vt:variant>
      <vt:variant>
        <vt:i4>5</vt:i4>
      </vt:variant>
      <vt:variant>
        <vt:lpwstr>https://www.dtf.vic.gov.au/sites/default/files/document/Standing-Directions-2018.docx</vt:lpwstr>
      </vt:variant>
      <vt:variant>
        <vt:lpwstr>Direction_2_2</vt:lpwstr>
      </vt:variant>
      <vt:variant>
        <vt:i4>1507350</vt:i4>
      </vt:variant>
      <vt:variant>
        <vt:i4>399</vt:i4>
      </vt:variant>
      <vt:variant>
        <vt:i4>0</vt:i4>
      </vt:variant>
      <vt:variant>
        <vt:i4>5</vt:i4>
      </vt:variant>
      <vt:variant>
        <vt:lpwstr>https://www.dtf.vic.gov.au/sites/default/files/document/Standing-Directions-2018.docx</vt:lpwstr>
      </vt:variant>
      <vt:variant>
        <vt:lpwstr>Direction_3_3</vt:lpwstr>
      </vt:variant>
      <vt:variant>
        <vt:i4>4587522</vt:i4>
      </vt:variant>
      <vt:variant>
        <vt:i4>393</vt:i4>
      </vt:variant>
      <vt:variant>
        <vt:i4>0</vt:i4>
      </vt:variant>
      <vt:variant>
        <vt:i4>5</vt:i4>
      </vt:variant>
      <vt:variant>
        <vt:lpwstr>https://www.dtf.vic.gov.au/sites/default/files/document/Standing-Directions-2018-Instructions.docx</vt:lpwstr>
      </vt:variant>
      <vt:variant>
        <vt:lpwstr>Instruction_5_1</vt:lpwstr>
      </vt:variant>
      <vt:variant>
        <vt:i4>1507344</vt:i4>
      </vt:variant>
      <vt:variant>
        <vt:i4>390</vt:i4>
      </vt:variant>
      <vt:variant>
        <vt:i4>0</vt:i4>
      </vt:variant>
      <vt:variant>
        <vt:i4>5</vt:i4>
      </vt:variant>
      <vt:variant>
        <vt:lpwstr>https://www.dtf.vic.gov.au/sites/default/files/document/Standing-Directions-2018.docx</vt:lpwstr>
      </vt:variant>
      <vt:variant>
        <vt:lpwstr>Direction_5_1</vt:lpwstr>
      </vt:variant>
      <vt:variant>
        <vt:i4>1507349</vt:i4>
      </vt:variant>
      <vt:variant>
        <vt:i4>387</vt:i4>
      </vt:variant>
      <vt:variant>
        <vt:i4>0</vt:i4>
      </vt:variant>
      <vt:variant>
        <vt:i4>5</vt:i4>
      </vt:variant>
      <vt:variant>
        <vt:lpwstr>https://www.dtf.vic.gov.au/sites/default/files/document/Standing-Directions-2018.docx</vt:lpwstr>
      </vt:variant>
      <vt:variant>
        <vt:lpwstr>Direction_2_4_6_3</vt:lpwstr>
      </vt:variant>
      <vt:variant>
        <vt:i4>1507349</vt:i4>
      </vt:variant>
      <vt:variant>
        <vt:i4>384</vt:i4>
      </vt:variant>
      <vt:variant>
        <vt:i4>0</vt:i4>
      </vt:variant>
      <vt:variant>
        <vt:i4>5</vt:i4>
      </vt:variant>
      <vt:variant>
        <vt:lpwstr>https://www.dtf.vic.gov.au/sites/default/files/document/Standing-Directions-2018.docx</vt:lpwstr>
      </vt:variant>
      <vt:variant>
        <vt:lpwstr>Direction_2_4_6_1</vt:lpwstr>
      </vt:variant>
      <vt:variant>
        <vt:i4>1507349</vt:i4>
      </vt:variant>
      <vt:variant>
        <vt:i4>381</vt:i4>
      </vt:variant>
      <vt:variant>
        <vt:i4>0</vt:i4>
      </vt:variant>
      <vt:variant>
        <vt:i4>5</vt:i4>
      </vt:variant>
      <vt:variant>
        <vt:lpwstr>https://www.dtf.vic.gov.au/sites/default/files/document/Standing-Directions-2018.docx</vt:lpwstr>
      </vt:variant>
      <vt:variant>
        <vt:lpwstr>Direction_2_4_6_2</vt:lpwstr>
      </vt:variant>
      <vt:variant>
        <vt:i4>1507349</vt:i4>
      </vt:variant>
      <vt:variant>
        <vt:i4>378</vt:i4>
      </vt:variant>
      <vt:variant>
        <vt:i4>0</vt:i4>
      </vt:variant>
      <vt:variant>
        <vt:i4>5</vt:i4>
      </vt:variant>
      <vt:variant>
        <vt:lpwstr>https://www.dtf.vic.gov.au/sites/default/files/document/Standing-Directions-2018.docx</vt:lpwstr>
      </vt:variant>
      <vt:variant>
        <vt:lpwstr>Direction_2_4_6_1</vt:lpwstr>
      </vt:variant>
      <vt:variant>
        <vt:i4>7667745</vt:i4>
      </vt:variant>
      <vt:variant>
        <vt:i4>375</vt:i4>
      </vt:variant>
      <vt:variant>
        <vt:i4>0</vt:i4>
      </vt:variant>
      <vt:variant>
        <vt:i4>5</vt:i4>
      </vt:variant>
      <vt:variant>
        <vt:lpwstr>https://www.dtf.vic.gov.au/sites/default/files/document/Standing-Directions-2018.docx</vt:lpwstr>
      </vt:variant>
      <vt:variant>
        <vt:lpwstr>Direction_2_4_6_4b</vt:lpwstr>
      </vt:variant>
      <vt:variant>
        <vt:i4>1507349</vt:i4>
      </vt:variant>
      <vt:variant>
        <vt:i4>372</vt:i4>
      </vt:variant>
      <vt:variant>
        <vt:i4>0</vt:i4>
      </vt:variant>
      <vt:variant>
        <vt:i4>5</vt:i4>
      </vt:variant>
      <vt:variant>
        <vt:lpwstr>https://www.dtf.vic.gov.au/sites/default/files/document/Standing-Directions-2018.docx</vt:lpwstr>
      </vt:variant>
      <vt:variant>
        <vt:lpwstr>Direction_2_4_6_2</vt:lpwstr>
      </vt:variant>
      <vt:variant>
        <vt:i4>1507349</vt:i4>
      </vt:variant>
      <vt:variant>
        <vt:i4>369</vt:i4>
      </vt:variant>
      <vt:variant>
        <vt:i4>0</vt:i4>
      </vt:variant>
      <vt:variant>
        <vt:i4>5</vt:i4>
      </vt:variant>
      <vt:variant>
        <vt:lpwstr>https://www.dtf.vic.gov.au/sites/default/files/document/Standing-Directions-2018.docx</vt:lpwstr>
      </vt:variant>
      <vt:variant>
        <vt:lpwstr>Direction_2_4_6_1</vt:lpwstr>
      </vt:variant>
      <vt:variant>
        <vt:i4>7667745</vt:i4>
      </vt:variant>
      <vt:variant>
        <vt:i4>366</vt:i4>
      </vt:variant>
      <vt:variant>
        <vt:i4>0</vt:i4>
      </vt:variant>
      <vt:variant>
        <vt:i4>5</vt:i4>
      </vt:variant>
      <vt:variant>
        <vt:lpwstr>https://www.dtf.vic.gov.au/sites/default/files/document/Standing-Directions-2018.docx</vt:lpwstr>
      </vt:variant>
      <vt:variant>
        <vt:lpwstr>Direction_2_4_6_4b</vt:lpwstr>
      </vt:variant>
      <vt:variant>
        <vt:i4>1507349</vt:i4>
      </vt:variant>
      <vt:variant>
        <vt:i4>363</vt:i4>
      </vt:variant>
      <vt:variant>
        <vt:i4>0</vt:i4>
      </vt:variant>
      <vt:variant>
        <vt:i4>5</vt:i4>
      </vt:variant>
      <vt:variant>
        <vt:lpwstr>https://www.dtf.vic.gov.au/sites/default/files/document/Standing-Directions-2018.docx</vt:lpwstr>
      </vt:variant>
      <vt:variant>
        <vt:lpwstr>Direction_2_4_6_2</vt:lpwstr>
      </vt:variant>
      <vt:variant>
        <vt:i4>1507349</vt:i4>
      </vt:variant>
      <vt:variant>
        <vt:i4>360</vt:i4>
      </vt:variant>
      <vt:variant>
        <vt:i4>0</vt:i4>
      </vt:variant>
      <vt:variant>
        <vt:i4>5</vt:i4>
      </vt:variant>
      <vt:variant>
        <vt:lpwstr>https://www.dtf.vic.gov.au/sites/default/files/document/Standing-Directions-2018.docx</vt:lpwstr>
      </vt:variant>
      <vt:variant>
        <vt:lpwstr>Direction_2_4_6_1</vt:lpwstr>
      </vt:variant>
      <vt:variant>
        <vt:i4>1507349</vt:i4>
      </vt:variant>
      <vt:variant>
        <vt:i4>357</vt:i4>
      </vt:variant>
      <vt:variant>
        <vt:i4>0</vt:i4>
      </vt:variant>
      <vt:variant>
        <vt:i4>5</vt:i4>
      </vt:variant>
      <vt:variant>
        <vt:lpwstr>https://www.dtf.vic.gov.au/sites/default/files/document/Standing-Directions-2018.docx</vt:lpwstr>
      </vt:variant>
      <vt:variant>
        <vt:lpwstr>Direction_2_4_6_2</vt:lpwstr>
      </vt:variant>
      <vt:variant>
        <vt:i4>1507349</vt:i4>
      </vt:variant>
      <vt:variant>
        <vt:i4>354</vt:i4>
      </vt:variant>
      <vt:variant>
        <vt:i4>0</vt:i4>
      </vt:variant>
      <vt:variant>
        <vt:i4>5</vt:i4>
      </vt:variant>
      <vt:variant>
        <vt:lpwstr>https://www.dtf.vic.gov.au/sites/default/files/document/Standing-Directions-2018.docx</vt:lpwstr>
      </vt:variant>
      <vt:variant>
        <vt:lpwstr>Direction_2_4_6_1</vt:lpwstr>
      </vt:variant>
      <vt:variant>
        <vt:i4>7733281</vt:i4>
      </vt:variant>
      <vt:variant>
        <vt:i4>351</vt:i4>
      </vt:variant>
      <vt:variant>
        <vt:i4>0</vt:i4>
      </vt:variant>
      <vt:variant>
        <vt:i4>5</vt:i4>
      </vt:variant>
      <vt:variant>
        <vt:lpwstr>https://www.dtf.vic.gov.au/sites/default/files/document/Standing-Directions-2018.docx</vt:lpwstr>
      </vt:variant>
      <vt:variant>
        <vt:lpwstr>Direction_2_4_6_4a</vt:lpwstr>
      </vt:variant>
      <vt:variant>
        <vt:i4>1507349</vt:i4>
      </vt:variant>
      <vt:variant>
        <vt:i4>348</vt:i4>
      </vt:variant>
      <vt:variant>
        <vt:i4>0</vt:i4>
      </vt:variant>
      <vt:variant>
        <vt:i4>5</vt:i4>
      </vt:variant>
      <vt:variant>
        <vt:lpwstr>https://www.dtf.vic.gov.au/sites/default/files/document/Standing-Directions-2018.docx</vt:lpwstr>
      </vt:variant>
      <vt:variant>
        <vt:lpwstr>Direction_2_4_6_4</vt:lpwstr>
      </vt:variant>
      <vt:variant>
        <vt:i4>1507349</vt:i4>
      </vt:variant>
      <vt:variant>
        <vt:i4>345</vt:i4>
      </vt:variant>
      <vt:variant>
        <vt:i4>0</vt:i4>
      </vt:variant>
      <vt:variant>
        <vt:i4>5</vt:i4>
      </vt:variant>
      <vt:variant>
        <vt:lpwstr>https://www.dtf.vic.gov.au/sites/default/files/document/Standing-Directions-2018.docx</vt:lpwstr>
      </vt:variant>
      <vt:variant>
        <vt:lpwstr>Direction_2_4_6_4</vt:lpwstr>
      </vt:variant>
      <vt:variant>
        <vt:i4>7667750</vt:i4>
      </vt:variant>
      <vt:variant>
        <vt:i4>342</vt:i4>
      </vt:variant>
      <vt:variant>
        <vt:i4>0</vt:i4>
      </vt:variant>
      <vt:variant>
        <vt:i4>5</vt:i4>
      </vt:variant>
      <vt:variant>
        <vt:lpwstr>https://www.dtf.vic.gov.au/sites/default/files/document/Standing-Directions-2018.docx</vt:lpwstr>
      </vt:variant>
      <vt:variant>
        <vt:lpwstr>Direction_2_4_6_3b</vt:lpwstr>
      </vt:variant>
      <vt:variant>
        <vt:i4>7667751</vt:i4>
      </vt:variant>
      <vt:variant>
        <vt:i4>339</vt:i4>
      </vt:variant>
      <vt:variant>
        <vt:i4>0</vt:i4>
      </vt:variant>
      <vt:variant>
        <vt:i4>5</vt:i4>
      </vt:variant>
      <vt:variant>
        <vt:lpwstr>https://www.dtf.vic.gov.au/sites/default/files/document/Standing-Directions-2018.docx</vt:lpwstr>
      </vt:variant>
      <vt:variant>
        <vt:lpwstr>Direction_2_4_6_2b</vt:lpwstr>
      </vt:variant>
      <vt:variant>
        <vt:i4>7733286</vt:i4>
      </vt:variant>
      <vt:variant>
        <vt:i4>336</vt:i4>
      </vt:variant>
      <vt:variant>
        <vt:i4>0</vt:i4>
      </vt:variant>
      <vt:variant>
        <vt:i4>5</vt:i4>
      </vt:variant>
      <vt:variant>
        <vt:lpwstr>https://www.dtf.vic.gov.au/sites/default/files/document/Standing-Directions-2018.docx</vt:lpwstr>
      </vt:variant>
      <vt:variant>
        <vt:lpwstr>Direction_2_4_6_3a</vt:lpwstr>
      </vt:variant>
      <vt:variant>
        <vt:i4>7733287</vt:i4>
      </vt:variant>
      <vt:variant>
        <vt:i4>333</vt:i4>
      </vt:variant>
      <vt:variant>
        <vt:i4>0</vt:i4>
      </vt:variant>
      <vt:variant>
        <vt:i4>5</vt:i4>
      </vt:variant>
      <vt:variant>
        <vt:lpwstr>https://www.dtf.vic.gov.au/sites/default/files/document/Standing-Directions-2018.docx</vt:lpwstr>
      </vt:variant>
      <vt:variant>
        <vt:lpwstr>Direction_2_4_6_2a</vt:lpwstr>
      </vt:variant>
      <vt:variant>
        <vt:i4>7667750</vt:i4>
      </vt:variant>
      <vt:variant>
        <vt:i4>330</vt:i4>
      </vt:variant>
      <vt:variant>
        <vt:i4>0</vt:i4>
      </vt:variant>
      <vt:variant>
        <vt:i4>5</vt:i4>
      </vt:variant>
      <vt:variant>
        <vt:lpwstr>https://www.dtf.vic.gov.au/sites/default/files/document/Standing-Directions-2018.docx</vt:lpwstr>
      </vt:variant>
      <vt:variant>
        <vt:lpwstr>Direction_2_4_6_3b</vt:lpwstr>
      </vt:variant>
      <vt:variant>
        <vt:i4>7667751</vt:i4>
      </vt:variant>
      <vt:variant>
        <vt:i4>327</vt:i4>
      </vt:variant>
      <vt:variant>
        <vt:i4>0</vt:i4>
      </vt:variant>
      <vt:variant>
        <vt:i4>5</vt:i4>
      </vt:variant>
      <vt:variant>
        <vt:lpwstr>https://www.dtf.vic.gov.au/sites/default/files/document/Standing-Directions-2018.docx</vt:lpwstr>
      </vt:variant>
      <vt:variant>
        <vt:lpwstr>Direction_2_4_6_2b</vt:lpwstr>
      </vt:variant>
      <vt:variant>
        <vt:i4>7733286</vt:i4>
      </vt:variant>
      <vt:variant>
        <vt:i4>324</vt:i4>
      </vt:variant>
      <vt:variant>
        <vt:i4>0</vt:i4>
      </vt:variant>
      <vt:variant>
        <vt:i4>5</vt:i4>
      </vt:variant>
      <vt:variant>
        <vt:lpwstr>https://www.dtf.vic.gov.au/sites/default/files/document/Standing-Directions-2018.docx</vt:lpwstr>
      </vt:variant>
      <vt:variant>
        <vt:lpwstr>Direction_2_4_6_3a</vt:lpwstr>
      </vt:variant>
      <vt:variant>
        <vt:i4>7733287</vt:i4>
      </vt:variant>
      <vt:variant>
        <vt:i4>321</vt:i4>
      </vt:variant>
      <vt:variant>
        <vt:i4>0</vt:i4>
      </vt:variant>
      <vt:variant>
        <vt:i4>5</vt:i4>
      </vt:variant>
      <vt:variant>
        <vt:lpwstr>https://www.dtf.vic.gov.au/sites/default/files/document/Standing-Directions-2018.docx</vt:lpwstr>
      </vt:variant>
      <vt:variant>
        <vt:lpwstr>Direction_2_4_6_2a</vt:lpwstr>
      </vt:variant>
      <vt:variant>
        <vt:i4>7733286</vt:i4>
      </vt:variant>
      <vt:variant>
        <vt:i4>318</vt:i4>
      </vt:variant>
      <vt:variant>
        <vt:i4>0</vt:i4>
      </vt:variant>
      <vt:variant>
        <vt:i4>5</vt:i4>
      </vt:variant>
      <vt:variant>
        <vt:lpwstr>https://www.dtf.vic.gov.au/sites/default/files/document/Standing-Directions-2018.docx</vt:lpwstr>
      </vt:variant>
      <vt:variant>
        <vt:lpwstr>Direction_2_4_6_3a</vt:lpwstr>
      </vt:variant>
      <vt:variant>
        <vt:i4>7733287</vt:i4>
      </vt:variant>
      <vt:variant>
        <vt:i4>315</vt:i4>
      </vt:variant>
      <vt:variant>
        <vt:i4>0</vt:i4>
      </vt:variant>
      <vt:variant>
        <vt:i4>5</vt:i4>
      </vt:variant>
      <vt:variant>
        <vt:lpwstr>https://www.dtf.vic.gov.au/sites/default/files/document/Standing-Directions-2018.docx</vt:lpwstr>
      </vt:variant>
      <vt:variant>
        <vt:lpwstr>Direction_2_4_6_2a</vt:lpwstr>
      </vt:variant>
      <vt:variant>
        <vt:i4>7733286</vt:i4>
      </vt:variant>
      <vt:variant>
        <vt:i4>312</vt:i4>
      </vt:variant>
      <vt:variant>
        <vt:i4>0</vt:i4>
      </vt:variant>
      <vt:variant>
        <vt:i4>5</vt:i4>
      </vt:variant>
      <vt:variant>
        <vt:lpwstr>https://www.dtf.vic.gov.au/sites/default/files/document/Standing-Directions-2018.docx</vt:lpwstr>
      </vt:variant>
      <vt:variant>
        <vt:lpwstr>Direction_2_4_6_3a</vt:lpwstr>
      </vt:variant>
      <vt:variant>
        <vt:i4>7733287</vt:i4>
      </vt:variant>
      <vt:variant>
        <vt:i4>309</vt:i4>
      </vt:variant>
      <vt:variant>
        <vt:i4>0</vt:i4>
      </vt:variant>
      <vt:variant>
        <vt:i4>5</vt:i4>
      </vt:variant>
      <vt:variant>
        <vt:lpwstr>https://www.dtf.vic.gov.au/sites/default/files/document/Standing-Directions-2018.docx</vt:lpwstr>
      </vt:variant>
      <vt:variant>
        <vt:lpwstr>Direction_2_4_6_2a</vt:lpwstr>
      </vt:variant>
      <vt:variant>
        <vt:i4>1507349</vt:i4>
      </vt:variant>
      <vt:variant>
        <vt:i4>306</vt:i4>
      </vt:variant>
      <vt:variant>
        <vt:i4>0</vt:i4>
      </vt:variant>
      <vt:variant>
        <vt:i4>5</vt:i4>
      </vt:variant>
      <vt:variant>
        <vt:lpwstr>https://www.dtf.vic.gov.au/sites/default/files/document/Standing-Directions-2018.docx</vt:lpwstr>
      </vt:variant>
      <vt:variant>
        <vt:lpwstr>Direction_2_4_6_3</vt:lpwstr>
      </vt:variant>
      <vt:variant>
        <vt:i4>1507349</vt:i4>
      </vt:variant>
      <vt:variant>
        <vt:i4>303</vt:i4>
      </vt:variant>
      <vt:variant>
        <vt:i4>0</vt:i4>
      </vt:variant>
      <vt:variant>
        <vt:i4>5</vt:i4>
      </vt:variant>
      <vt:variant>
        <vt:lpwstr>https://www.dtf.vic.gov.au/sites/default/files/document/Standing-Directions-2018.docx</vt:lpwstr>
      </vt:variant>
      <vt:variant>
        <vt:lpwstr>Direction_2_4_6_2</vt:lpwstr>
      </vt:variant>
      <vt:variant>
        <vt:i4>7733284</vt:i4>
      </vt:variant>
      <vt:variant>
        <vt:i4>300</vt:i4>
      </vt:variant>
      <vt:variant>
        <vt:i4>0</vt:i4>
      </vt:variant>
      <vt:variant>
        <vt:i4>5</vt:i4>
      </vt:variant>
      <vt:variant>
        <vt:lpwstr>https://www.dtf.vic.gov.au/sites/default/files/document/Standing-Directions-2018.docx</vt:lpwstr>
      </vt:variant>
      <vt:variant>
        <vt:lpwstr>Direction_2_4_6_1a</vt:lpwstr>
      </vt:variant>
      <vt:variant>
        <vt:i4>1507349</vt:i4>
      </vt:variant>
      <vt:variant>
        <vt:i4>297</vt:i4>
      </vt:variant>
      <vt:variant>
        <vt:i4>0</vt:i4>
      </vt:variant>
      <vt:variant>
        <vt:i4>5</vt:i4>
      </vt:variant>
      <vt:variant>
        <vt:lpwstr>https://www.dtf.vic.gov.au/sites/default/files/document/Standing-Directions-2018.docx</vt:lpwstr>
      </vt:variant>
      <vt:variant>
        <vt:lpwstr>Direction_2_4_6_1</vt:lpwstr>
      </vt:variant>
      <vt:variant>
        <vt:i4>4718627</vt:i4>
      </vt:variant>
      <vt:variant>
        <vt:i4>294</vt:i4>
      </vt:variant>
      <vt:variant>
        <vt:i4>0</vt:i4>
      </vt:variant>
      <vt:variant>
        <vt:i4>5</vt:i4>
      </vt:variant>
      <vt:variant>
        <vt:lpwstr>https://www.dtf.vic.gov.au/sites/default/files/document/Standing-Directions-2018.docx</vt:lpwstr>
      </vt:variant>
      <vt:variant>
        <vt:lpwstr>Direction_2_4_6</vt:lpwstr>
      </vt:variant>
      <vt:variant>
        <vt:i4>4718627</vt:i4>
      </vt:variant>
      <vt:variant>
        <vt:i4>291</vt:i4>
      </vt:variant>
      <vt:variant>
        <vt:i4>0</vt:i4>
      </vt:variant>
      <vt:variant>
        <vt:i4>5</vt:i4>
      </vt:variant>
      <vt:variant>
        <vt:lpwstr>https://www.dtf.vic.gov.au/sites/default/files/document/Standing-Directions-2018.docx</vt:lpwstr>
      </vt:variant>
      <vt:variant>
        <vt:lpwstr>Direction_2_4_6</vt:lpwstr>
      </vt:variant>
      <vt:variant>
        <vt:i4>4718627</vt:i4>
      </vt:variant>
      <vt:variant>
        <vt:i4>288</vt:i4>
      </vt:variant>
      <vt:variant>
        <vt:i4>0</vt:i4>
      </vt:variant>
      <vt:variant>
        <vt:i4>5</vt:i4>
      </vt:variant>
      <vt:variant>
        <vt:lpwstr>https://www.dtf.vic.gov.au/sites/default/files/document/Standing-Directions-2018.docx</vt:lpwstr>
      </vt:variant>
      <vt:variant>
        <vt:lpwstr>Direction_2_4_6</vt:lpwstr>
      </vt:variant>
      <vt:variant>
        <vt:i4>1507344</vt:i4>
      </vt:variant>
      <vt:variant>
        <vt:i4>285</vt:i4>
      </vt:variant>
      <vt:variant>
        <vt:i4>0</vt:i4>
      </vt:variant>
      <vt:variant>
        <vt:i4>5</vt:i4>
      </vt:variant>
      <vt:variant>
        <vt:lpwstr>https://www.dtf.vic.gov.au/sites/default/files/document/Standing-Directions-2018.docx</vt:lpwstr>
      </vt:variant>
      <vt:variant>
        <vt:lpwstr>Direction_5_1</vt:lpwstr>
      </vt:variant>
      <vt:variant>
        <vt:i4>4718627</vt:i4>
      </vt:variant>
      <vt:variant>
        <vt:i4>282</vt:i4>
      </vt:variant>
      <vt:variant>
        <vt:i4>0</vt:i4>
      </vt:variant>
      <vt:variant>
        <vt:i4>5</vt:i4>
      </vt:variant>
      <vt:variant>
        <vt:lpwstr>https://www.dtf.vic.gov.au/sites/default/files/document/Standing-Directions-2018.docx</vt:lpwstr>
      </vt:variant>
      <vt:variant>
        <vt:lpwstr>Direction_2_4_6</vt:lpwstr>
      </vt:variant>
      <vt:variant>
        <vt:i4>1507351</vt:i4>
      </vt:variant>
      <vt:variant>
        <vt:i4>279</vt:i4>
      </vt:variant>
      <vt:variant>
        <vt:i4>0</vt:i4>
      </vt:variant>
      <vt:variant>
        <vt:i4>5</vt:i4>
      </vt:variant>
      <vt:variant>
        <vt:lpwstr>https://www.dtf.vic.gov.au/sites/default/files/document/Standing-Directions-2018.docx</vt:lpwstr>
      </vt:variant>
      <vt:variant>
        <vt:lpwstr>Direction_2_4</vt:lpwstr>
      </vt:variant>
      <vt:variant>
        <vt:i4>1638449</vt:i4>
      </vt:variant>
      <vt:variant>
        <vt:i4>276</vt:i4>
      </vt:variant>
      <vt:variant>
        <vt:i4>0</vt:i4>
      </vt:variant>
      <vt:variant>
        <vt:i4>5</vt:i4>
      </vt:variant>
      <vt:variant>
        <vt:lpwstr>https://www.dtf.vic.gov.au/sites/default/files/document/Standing-Directions-2018-Instructions.docx</vt:lpwstr>
      </vt:variant>
      <vt:variant>
        <vt:lpwstr>Instruction_4_2_1</vt:lpwstr>
      </vt:variant>
      <vt:variant>
        <vt:i4>1507350</vt:i4>
      </vt:variant>
      <vt:variant>
        <vt:i4>273</vt:i4>
      </vt:variant>
      <vt:variant>
        <vt:i4>0</vt:i4>
      </vt:variant>
      <vt:variant>
        <vt:i4>5</vt:i4>
      </vt:variant>
      <vt:variant>
        <vt:lpwstr>https://www.dtf.vic.gov.au/sites/default/files/document/Standing-Directions-2018.docx</vt:lpwstr>
      </vt:variant>
      <vt:variant>
        <vt:lpwstr>Direction_3_3</vt:lpwstr>
      </vt:variant>
      <vt:variant>
        <vt:i4>4718627</vt:i4>
      </vt:variant>
      <vt:variant>
        <vt:i4>270</vt:i4>
      </vt:variant>
      <vt:variant>
        <vt:i4>0</vt:i4>
      </vt:variant>
      <vt:variant>
        <vt:i4>5</vt:i4>
      </vt:variant>
      <vt:variant>
        <vt:lpwstr>https://www.dtf.vic.gov.au/sites/default/files/document/Standing-Directions-2018.docx</vt:lpwstr>
      </vt:variant>
      <vt:variant>
        <vt:lpwstr>Direction_2_4_2</vt:lpwstr>
      </vt:variant>
      <vt:variant>
        <vt:i4>4718627</vt:i4>
      </vt:variant>
      <vt:variant>
        <vt:i4>267</vt:i4>
      </vt:variant>
      <vt:variant>
        <vt:i4>0</vt:i4>
      </vt:variant>
      <vt:variant>
        <vt:i4>5</vt:i4>
      </vt:variant>
      <vt:variant>
        <vt:lpwstr>https://www.dtf.vic.gov.au/sites/default/files/document/Standing-Directions-2018.docx</vt:lpwstr>
      </vt:variant>
      <vt:variant>
        <vt:lpwstr>Direction_2_4_1</vt:lpwstr>
      </vt:variant>
      <vt:variant>
        <vt:i4>1507351</vt:i4>
      </vt:variant>
      <vt:variant>
        <vt:i4>264</vt:i4>
      </vt:variant>
      <vt:variant>
        <vt:i4>0</vt:i4>
      </vt:variant>
      <vt:variant>
        <vt:i4>5</vt:i4>
      </vt:variant>
      <vt:variant>
        <vt:lpwstr>https://www.dtf.vic.gov.au/sites/default/files/document/Standing-Directions-2018.docx</vt:lpwstr>
      </vt:variant>
      <vt:variant>
        <vt:lpwstr>Direction_2_4</vt:lpwstr>
      </vt:variant>
      <vt:variant>
        <vt:i4>1507351</vt:i4>
      </vt:variant>
      <vt:variant>
        <vt:i4>261</vt:i4>
      </vt:variant>
      <vt:variant>
        <vt:i4>0</vt:i4>
      </vt:variant>
      <vt:variant>
        <vt:i4>5</vt:i4>
      </vt:variant>
      <vt:variant>
        <vt:lpwstr>https://www.dtf.vic.gov.au/sites/default/files/document/Standing-Directions-2018.docx</vt:lpwstr>
      </vt:variant>
      <vt:variant>
        <vt:lpwstr>Direction_2_4</vt:lpwstr>
      </vt:variant>
      <vt:variant>
        <vt:i4>4718628</vt:i4>
      </vt:variant>
      <vt:variant>
        <vt:i4>258</vt:i4>
      </vt:variant>
      <vt:variant>
        <vt:i4>0</vt:i4>
      </vt:variant>
      <vt:variant>
        <vt:i4>5</vt:i4>
      </vt:variant>
      <vt:variant>
        <vt:lpwstr>https://www.dtf.vic.gov.au/sites/default/files/document/Standing-Directions-2018.docx</vt:lpwstr>
      </vt:variant>
      <vt:variant>
        <vt:lpwstr>Direction_2_3_5</vt:lpwstr>
      </vt:variant>
      <vt:variant>
        <vt:i4>1507344</vt:i4>
      </vt:variant>
      <vt:variant>
        <vt:i4>255</vt:i4>
      </vt:variant>
      <vt:variant>
        <vt:i4>0</vt:i4>
      </vt:variant>
      <vt:variant>
        <vt:i4>5</vt:i4>
      </vt:variant>
      <vt:variant>
        <vt:lpwstr>https://www.dtf.vic.gov.au/sites/default/files/document/Standing-Directions-2018.docx</vt:lpwstr>
      </vt:variant>
      <vt:variant>
        <vt:lpwstr>Direction_5_1</vt:lpwstr>
      </vt:variant>
      <vt:variant>
        <vt:i4>4718628</vt:i4>
      </vt:variant>
      <vt:variant>
        <vt:i4>252</vt:i4>
      </vt:variant>
      <vt:variant>
        <vt:i4>0</vt:i4>
      </vt:variant>
      <vt:variant>
        <vt:i4>5</vt:i4>
      </vt:variant>
      <vt:variant>
        <vt:lpwstr>https://www.dtf.vic.gov.au/sites/default/files/document/Standing-Directions-2018.docx</vt:lpwstr>
      </vt:variant>
      <vt:variant>
        <vt:lpwstr>Direction_2_3_5</vt:lpwstr>
      </vt:variant>
      <vt:variant>
        <vt:i4>7012458</vt:i4>
      </vt:variant>
      <vt:variant>
        <vt:i4>249</vt:i4>
      </vt:variant>
      <vt:variant>
        <vt:i4>0</vt:i4>
      </vt:variant>
      <vt:variant>
        <vt:i4>5</vt:i4>
      </vt:variant>
      <vt:variant>
        <vt:lpwstr>http://www.dtf.vic.gov.au/Investment-Planning-and-Evaluation/Understanding-investment-planning-and-review/What-is-asset-management</vt:lpwstr>
      </vt:variant>
      <vt:variant>
        <vt:lpwstr/>
      </vt:variant>
      <vt:variant>
        <vt:i4>75</vt:i4>
      </vt:variant>
      <vt:variant>
        <vt:i4>246</vt:i4>
      </vt:variant>
      <vt:variant>
        <vt:i4>0</vt:i4>
      </vt:variant>
      <vt:variant>
        <vt:i4>5</vt:i4>
      </vt:variant>
      <vt:variant>
        <vt:lpwstr>http://www.dtf.vic.gov.au/Publications/Victoria-Economy-publications/Victorian-risk-management-framework-and-insurance-management-policy</vt:lpwstr>
      </vt:variant>
      <vt:variant>
        <vt:lpwstr/>
      </vt:variant>
      <vt:variant>
        <vt:i4>4587524</vt:i4>
      </vt:variant>
      <vt:variant>
        <vt:i4>243</vt:i4>
      </vt:variant>
      <vt:variant>
        <vt:i4>0</vt:i4>
      </vt:variant>
      <vt:variant>
        <vt:i4>5</vt:i4>
      </vt:variant>
      <vt:variant>
        <vt:lpwstr>https://www.dtf.vic.gov.au/sites/default/files/document/Standing-Directions-2018-Instructions.docx</vt:lpwstr>
      </vt:variant>
      <vt:variant>
        <vt:lpwstr>Instruction_3_4</vt:lpwstr>
      </vt:variant>
      <vt:variant>
        <vt:i4>4718628</vt:i4>
      </vt:variant>
      <vt:variant>
        <vt:i4>240</vt:i4>
      </vt:variant>
      <vt:variant>
        <vt:i4>0</vt:i4>
      </vt:variant>
      <vt:variant>
        <vt:i4>5</vt:i4>
      </vt:variant>
      <vt:variant>
        <vt:lpwstr>https://www.dtf.vic.gov.au/sites/default/files/document/Standing-Directions-2018.docx</vt:lpwstr>
      </vt:variant>
      <vt:variant>
        <vt:lpwstr>Direction_2_3_5</vt:lpwstr>
      </vt:variant>
      <vt:variant>
        <vt:i4>4718628</vt:i4>
      </vt:variant>
      <vt:variant>
        <vt:i4>237</vt:i4>
      </vt:variant>
      <vt:variant>
        <vt:i4>0</vt:i4>
      </vt:variant>
      <vt:variant>
        <vt:i4>5</vt:i4>
      </vt:variant>
      <vt:variant>
        <vt:lpwstr>https://www.dtf.vic.gov.au/sites/default/files/document/Standing-Directions-2018.docx</vt:lpwstr>
      </vt:variant>
      <vt:variant>
        <vt:lpwstr>Direction_2_3_5</vt:lpwstr>
      </vt:variant>
      <vt:variant>
        <vt:i4>1507348</vt:i4>
      </vt:variant>
      <vt:variant>
        <vt:i4>234</vt:i4>
      </vt:variant>
      <vt:variant>
        <vt:i4>0</vt:i4>
      </vt:variant>
      <vt:variant>
        <vt:i4>5</vt:i4>
      </vt:variant>
      <vt:variant>
        <vt:lpwstr>https://www.dtf.vic.gov.au/sites/default/files/document/Standing-Directions-2018.docx</vt:lpwstr>
      </vt:variant>
      <vt:variant>
        <vt:lpwstr>Direction_1_2</vt:lpwstr>
      </vt:variant>
      <vt:variant>
        <vt:i4>4718628</vt:i4>
      </vt:variant>
      <vt:variant>
        <vt:i4>231</vt:i4>
      </vt:variant>
      <vt:variant>
        <vt:i4>0</vt:i4>
      </vt:variant>
      <vt:variant>
        <vt:i4>5</vt:i4>
      </vt:variant>
      <vt:variant>
        <vt:lpwstr>https://www.dtf.vic.gov.au/sites/default/files/document/Standing-Directions-2018.docx</vt:lpwstr>
      </vt:variant>
      <vt:variant>
        <vt:lpwstr>Direction_2_3_5</vt:lpwstr>
      </vt:variant>
      <vt:variant>
        <vt:i4>1507348</vt:i4>
      </vt:variant>
      <vt:variant>
        <vt:i4>228</vt:i4>
      </vt:variant>
      <vt:variant>
        <vt:i4>0</vt:i4>
      </vt:variant>
      <vt:variant>
        <vt:i4>5</vt:i4>
      </vt:variant>
      <vt:variant>
        <vt:lpwstr>https://www.dtf.vic.gov.au/sites/default/files/document/Standing-Directions-2018.docx</vt:lpwstr>
      </vt:variant>
      <vt:variant>
        <vt:lpwstr>Direction_1_2</vt:lpwstr>
      </vt:variant>
      <vt:variant>
        <vt:i4>2359356</vt:i4>
      </vt:variant>
      <vt:variant>
        <vt:i4>225</vt:i4>
      </vt:variant>
      <vt:variant>
        <vt:i4>0</vt:i4>
      </vt:variant>
      <vt:variant>
        <vt:i4>5</vt:i4>
      </vt:variant>
      <vt:variant>
        <vt:lpwstr>http://vpsc.vic.gov.au/resources/serving-victoria/</vt:lpwstr>
      </vt:variant>
      <vt:variant>
        <vt:lpwstr/>
      </vt:variant>
      <vt:variant>
        <vt:i4>4718627</vt:i4>
      </vt:variant>
      <vt:variant>
        <vt:i4>222</vt:i4>
      </vt:variant>
      <vt:variant>
        <vt:i4>0</vt:i4>
      </vt:variant>
      <vt:variant>
        <vt:i4>5</vt:i4>
      </vt:variant>
      <vt:variant>
        <vt:lpwstr>https://www.dtf.vic.gov.au/sites/default/files/document/Standing-Directions-2018.docx</vt:lpwstr>
      </vt:variant>
      <vt:variant>
        <vt:lpwstr>Direction_5_3_2</vt:lpwstr>
      </vt:variant>
      <vt:variant>
        <vt:i4>4718625</vt:i4>
      </vt:variant>
      <vt:variant>
        <vt:i4>219</vt:i4>
      </vt:variant>
      <vt:variant>
        <vt:i4>0</vt:i4>
      </vt:variant>
      <vt:variant>
        <vt:i4>5</vt:i4>
      </vt:variant>
      <vt:variant>
        <vt:lpwstr>https://www.dtf.vic.gov.au/sites/default/files/document/Standing-Directions-2018.docx</vt:lpwstr>
      </vt:variant>
      <vt:variant>
        <vt:lpwstr>Direction_5_1_6</vt:lpwstr>
      </vt:variant>
      <vt:variant>
        <vt:i4>4718627</vt:i4>
      </vt:variant>
      <vt:variant>
        <vt:i4>216</vt:i4>
      </vt:variant>
      <vt:variant>
        <vt:i4>0</vt:i4>
      </vt:variant>
      <vt:variant>
        <vt:i4>5</vt:i4>
      </vt:variant>
      <vt:variant>
        <vt:lpwstr>https://www.dtf.vic.gov.au/sites/default/files/document/Standing-Directions-2018.docx</vt:lpwstr>
      </vt:variant>
      <vt:variant>
        <vt:lpwstr>Direction_2_4_3</vt:lpwstr>
      </vt:variant>
      <vt:variant>
        <vt:i4>4718628</vt:i4>
      </vt:variant>
      <vt:variant>
        <vt:i4>213</vt:i4>
      </vt:variant>
      <vt:variant>
        <vt:i4>0</vt:i4>
      </vt:variant>
      <vt:variant>
        <vt:i4>5</vt:i4>
      </vt:variant>
      <vt:variant>
        <vt:lpwstr>https://www.dtf.vic.gov.au/sites/default/files/document/Standing-Directions-2018.docx</vt:lpwstr>
      </vt:variant>
      <vt:variant>
        <vt:lpwstr>Direction_2_3_3</vt:lpwstr>
      </vt:variant>
      <vt:variant>
        <vt:i4>1507344</vt:i4>
      </vt:variant>
      <vt:variant>
        <vt:i4>210</vt:i4>
      </vt:variant>
      <vt:variant>
        <vt:i4>0</vt:i4>
      </vt:variant>
      <vt:variant>
        <vt:i4>5</vt:i4>
      </vt:variant>
      <vt:variant>
        <vt:lpwstr>https://www.dtf.vic.gov.au/sites/default/files/document/Standing-Directions-2018.docx</vt:lpwstr>
      </vt:variant>
      <vt:variant>
        <vt:lpwstr>Direction_5_3</vt:lpwstr>
      </vt:variant>
      <vt:variant>
        <vt:i4>4718625</vt:i4>
      </vt:variant>
      <vt:variant>
        <vt:i4>207</vt:i4>
      </vt:variant>
      <vt:variant>
        <vt:i4>0</vt:i4>
      </vt:variant>
      <vt:variant>
        <vt:i4>5</vt:i4>
      </vt:variant>
      <vt:variant>
        <vt:lpwstr>https://www.dtf.vic.gov.au/sites/default/files/document/Standing-Directions-2018.docx</vt:lpwstr>
      </vt:variant>
      <vt:variant>
        <vt:lpwstr>Direction_5_1_7</vt:lpwstr>
      </vt:variant>
      <vt:variant>
        <vt:i4>4718627</vt:i4>
      </vt:variant>
      <vt:variant>
        <vt:i4>204</vt:i4>
      </vt:variant>
      <vt:variant>
        <vt:i4>0</vt:i4>
      </vt:variant>
      <vt:variant>
        <vt:i4>5</vt:i4>
      </vt:variant>
      <vt:variant>
        <vt:lpwstr>https://www.dtf.vic.gov.au/sites/default/files/document/Standing-Directions-2018.docx</vt:lpwstr>
      </vt:variant>
      <vt:variant>
        <vt:lpwstr>Direction_2_4_4</vt:lpwstr>
      </vt:variant>
      <vt:variant>
        <vt:i4>4718627</vt:i4>
      </vt:variant>
      <vt:variant>
        <vt:i4>201</vt:i4>
      </vt:variant>
      <vt:variant>
        <vt:i4>0</vt:i4>
      </vt:variant>
      <vt:variant>
        <vt:i4>5</vt:i4>
      </vt:variant>
      <vt:variant>
        <vt:lpwstr>https://www.dtf.vic.gov.au/sites/default/files/document/Standing-Directions-2018.docx</vt:lpwstr>
      </vt:variant>
      <vt:variant>
        <vt:lpwstr>Direction_2_4_3</vt:lpwstr>
      </vt:variant>
      <vt:variant>
        <vt:i4>4718628</vt:i4>
      </vt:variant>
      <vt:variant>
        <vt:i4>198</vt:i4>
      </vt:variant>
      <vt:variant>
        <vt:i4>0</vt:i4>
      </vt:variant>
      <vt:variant>
        <vt:i4>5</vt:i4>
      </vt:variant>
      <vt:variant>
        <vt:lpwstr>https://www.dtf.vic.gov.au/sites/default/files/document/Standing-Directions-2018.docx</vt:lpwstr>
      </vt:variant>
      <vt:variant>
        <vt:lpwstr>Direction_2_3_5</vt:lpwstr>
      </vt:variant>
      <vt:variant>
        <vt:i4>4718628</vt:i4>
      </vt:variant>
      <vt:variant>
        <vt:i4>195</vt:i4>
      </vt:variant>
      <vt:variant>
        <vt:i4>0</vt:i4>
      </vt:variant>
      <vt:variant>
        <vt:i4>5</vt:i4>
      </vt:variant>
      <vt:variant>
        <vt:lpwstr>https://www.dtf.vic.gov.au/sites/default/files/document/Standing-Directions-2018.docx</vt:lpwstr>
      </vt:variant>
      <vt:variant>
        <vt:lpwstr>Direction_2_3_4</vt:lpwstr>
      </vt:variant>
      <vt:variant>
        <vt:i4>4718628</vt:i4>
      </vt:variant>
      <vt:variant>
        <vt:i4>192</vt:i4>
      </vt:variant>
      <vt:variant>
        <vt:i4>0</vt:i4>
      </vt:variant>
      <vt:variant>
        <vt:i4>5</vt:i4>
      </vt:variant>
      <vt:variant>
        <vt:lpwstr>https://www.dtf.vic.gov.au/sites/default/files/document/Standing-Directions-2018.docx</vt:lpwstr>
      </vt:variant>
      <vt:variant>
        <vt:lpwstr>Direction_2_3_3</vt:lpwstr>
      </vt:variant>
      <vt:variant>
        <vt:i4>1507344</vt:i4>
      </vt:variant>
      <vt:variant>
        <vt:i4>189</vt:i4>
      </vt:variant>
      <vt:variant>
        <vt:i4>0</vt:i4>
      </vt:variant>
      <vt:variant>
        <vt:i4>5</vt:i4>
      </vt:variant>
      <vt:variant>
        <vt:lpwstr>https://www.dtf.vic.gov.au/sites/default/files/document/Standing-Directions-2018.docx</vt:lpwstr>
      </vt:variant>
      <vt:variant>
        <vt:lpwstr>Direction_5_3</vt:lpwstr>
      </vt:variant>
      <vt:variant>
        <vt:i4>4718625</vt:i4>
      </vt:variant>
      <vt:variant>
        <vt:i4>186</vt:i4>
      </vt:variant>
      <vt:variant>
        <vt:i4>0</vt:i4>
      </vt:variant>
      <vt:variant>
        <vt:i4>5</vt:i4>
      </vt:variant>
      <vt:variant>
        <vt:lpwstr>https://www.dtf.vic.gov.au/sites/default/files/document/Standing-Directions-2018.docx</vt:lpwstr>
      </vt:variant>
      <vt:variant>
        <vt:lpwstr>Direction_5_1_7</vt:lpwstr>
      </vt:variant>
      <vt:variant>
        <vt:i4>4718627</vt:i4>
      </vt:variant>
      <vt:variant>
        <vt:i4>183</vt:i4>
      </vt:variant>
      <vt:variant>
        <vt:i4>0</vt:i4>
      </vt:variant>
      <vt:variant>
        <vt:i4>5</vt:i4>
      </vt:variant>
      <vt:variant>
        <vt:lpwstr>https://www.dtf.vic.gov.au/sites/default/files/document/Standing-Directions-2018.docx</vt:lpwstr>
      </vt:variant>
      <vt:variant>
        <vt:lpwstr>Direction_2_4_4</vt:lpwstr>
      </vt:variant>
      <vt:variant>
        <vt:i4>1507351</vt:i4>
      </vt:variant>
      <vt:variant>
        <vt:i4>180</vt:i4>
      </vt:variant>
      <vt:variant>
        <vt:i4>0</vt:i4>
      </vt:variant>
      <vt:variant>
        <vt:i4>5</vt:i4>
      </vt:variant>
      <vt:variant>
        <vt:lpwstr>https://www.dtf.vic.gov.au/sites/default/files/document/Standing-Directions-2018.docx</vt:lpwstr>
      </vt:variant>
      <vt:variant>
        <vt:lpwstr>Direction_2_3</vt:lpwstr>
      </vt:variant>
      <vt:variant>
        <vt:i4>3801179</vt:i4>
      </vt:variant>
      <vt:variant>
        <vt:i4>177</vt:i4>
      </vt:variant>
      <vt:variant>
        <vt:i4>0</vt:i4>
      </vt:variant>
      <vt:variant>
        <vt:i4>5</vt:i4>
      </vt:variant>
      <vt:variant>
        <vt:lpwstr>http://en.wikipedia.org/wiki/Charitable_organization</vt:lpwstr>
      </vt:variant>
      <vt:variant>
        <vt:lpwstr/>
      </vt:variant>
      <vt:variant>
        <vt:i4>1966172</vt:i4>
      </vt:variant>
      <vt:variant>
        <vt:i4>174</vt:i4>
      </vt:variant>
      <vt:variant>
        <vt:i4>0</vt:i4>
      </vt:variant>
      <vt:variant>
        <vt:i4>5</vt:i4>
      </vt:variant>
      <vt:variant>
        <vt:lpwstr>http://en.wikipedia.org/wiki/Gift</vt:lpwstr>
      </vt:variant>
      <vt:variant>
        <vt:lpwstr/>
      </vt:variant>
      <vt:variant>
        <vt:i4>4128812</vt:i4>
      </vt:variant>
      <vt:variant>
        <vt:i4>171</vt:i4>
      </vt:variant>
      <vt:variant>
        <vt:i4>0</vt:i4>
      </vt:variant>
      <vt:variant>
        <vt:i4>5</vt:i4>
      </vt:variant>
      <vt:variant>
        <vt:lpwstr>http://www.businessdictionary.com/definition/condition.html</vt:lpwstr>
      </vt:variant>
      <vt:variant>
        <vt:lpwstr/>
      </vt:variant>
      <vt:variant>
        <vt:i4>4718628</vt:i4>
      </vt:variant>
      <vt:variant>
        <vt:i4>168</vt:i4>
      </vt:variant>
      <vt:variant>
        <vt:i4>0</vt:i4>
      </vt:variant>
      <vt:variant>
        <vt:i4>5</vt:i4>
      </vt:variant>
      <vt:variant>
        <vt:lpwstr>https://www.dtf.vic.gov.au/sites/default/files/document/Standing-Directions-2018.docx</vt:lpwstr>
      </vt:variant>
      <vt:variant>
        <vt:lpwstr>Direction_3_2_1</vt:lpwstr>
      </vt:variant>
      <vt:variant>
        <vt:i4>1507348</vt:i4>
      </vt:variant>
      <vt:variant>
        <vt:i4>165</vt:i4>
      </vt:variant>
      <vt:variant>
        <vt:i4>0</vt:i4>
      </vt:variant>
      <vt:variant>
        <vt:i4>5</vt:i4>
      </vt:variant>
      <vt:variant>
        <vt:lpwstr>https://www.dtf.vic.gov.au/sites/default/files/document/Standing-Directions-2018.docx</vt:lpwstr>
      </vt:variant>
      <vt:variant>
        <vt:lpwstr>Direction_1_6</vt:lpwstr>
      </vt:variant>
      <vt:variant>
        <vt:i4>1507348</vt:i4>
      </vt:variant>
      <vt:variant>
        <vt:i4>159</vt:i4>
      </vt:variant>
      <vt:variant>
        <vt:i4>0</vt:i4>
      </vt:variant>
      <vt:variant>
        <vt:i4>5</vt:i4>
      </vt:variant>
      <vt:variant>
        <vt:lpwstr>https://www.dtf.vic.gov.au/sites/default/files/document/Standing-Directions-2018.docx</vt:lpwstr>
      </vt:variant>
      <vt:variant>
        <vt:lpwstr>Direction_1_5</vt:lpwstr>
      </vt:variant>
      <vt:variant>
        <vt:i4>1507349</vt:i4>
      </vt:variant>
      <vt:variant>
        <vt:i4>156</vt:i4>
      </vt:variant>
      <vt:variant>
        <vt:i4>0</vt:i4>
      </vt:variant>
      <vt:variant>
        <vt:i4>5</vt:i4>
      </vt:variant>
      <vt:variant>
        <vt:lpwstr>https://www.dtf.vic.gov.au/sites/default/files/document/Standing-Directions-2018.docx</vt:lpwstr>
      </vt:variant>
      <vt:variant>
        <vt:lpwstr>Direction_3_2_1_2</vt:lpwstr>
      </vt:variant>
      <vt:variant>
        <vt:i4>1507348</vt:i4>
      </vt:variant>
      <vt:variant>
        <vt:i4>153</vt:i4>
      </vt:variant>
      <vt:variant>
        <vt:i4>0</vt:i4>
      </vt:variant>
      <vt:variant>
        <vt:i4>5</vt:i4>
      </vt:variant>
      <vt:variant>
        <vt:lpwstr>https://www.dtf.vic.gov.au/sites/default/files/document/Standing-Directions-2018.docx</vt:lpwstr>
      </vt:variant>
      <vt:variant>
        <vt:lpwstr>Direction_1_1</vt:lpwstr>
      </vt:variant>
      <vt:variant>
        <vt:i4>1507348</vt:i4>
      </vt:variant>
      <vt:variant>
        <vt:i4>150</vt:i4>
      </vt:variant>
      <vt:variant>
        <vt:i4>0</vt:i4>
      </vt:variant>
      <vt:variant>
        <vt:i4>5</vt:i4>
      </vt:variant>
      <vt:variant>
        <vt:lpwstr>https://www.dtf.vic.gov.au/sites/default/files/document/Standing-Directions-2018.docx</vt:lpwstr>
      </vt:variant>
      <vt:variant>
        <vt:lpwstr>Direction_1_5</vt:lpwstr>
      </vt:variant>
      <vt:variant>
        <vt:i4>87</vt:i4>
      </vt:variant>
      <vt:variant>
        <vt:i4>147</vt:i4>
      </vt:variant>
      <vt:variant>
        <vt:i4>0</vt:i4>
      </vt:variant>
      <vt:variant>
        <vt:i4>5</vt:i4>
      </vt:variant>
      <vt:variant>
        <vt:lpwstr>https://www.dtf.vic.gov.au/sites/default/files/document/Standing-Directions-2018.docx</vt:lpwstr>
      </vt:variant>
      <vt:variant>
        <vt:lpwstr/>
      </vt:variant>
      <vt:variant>
        <vt:i4>1507348</vt:i4>
      </vt:variant>
      <vt:variant>
        <vt:i4>144</vt:i4>
      </vt:variant>
      <vt:variant>
        <vt:i4>0</vt:i4>
      </vt:variant>
      <vt:variant>
        <vt:i4>5</vt:i4>
      </vt:variant>
      <vt:variant>
        <vt:lpwstr>https://www.dtf.vic.gov.au/sites/default/files/document/Standing-Directions-2018.docx</vt:lpwstr>
      </vt:variant>
      <vt:variant>
        <vt:lpwstr>Direction_1_5</vt:lpwstr>
      </vt:variant>
      <vt:variant>
        <vt:i4>7864397</vt:i4>
      </vt:variant>
      <vt:variant>
        <vt:i4>15</vt:i4>
      </vt:variant>
      <vt:variant>
        <vt:i4>0</vt:i4>
      </vt:variant>
      <vt:variant>
        <vt:i4>5</vt:i4>
      </vt:variant>
      <vt:variant>
        <vt:lpwstr>mailto:%20Standing.Directions@dtf.vic.gov.au.</vt:lpwstr>
      </vt:variant>
      <vt:variant>
        <vt:lpwstr/>
      </vt:variant>
      <vt:variant>
        <vt:i4>6488185</vt:i4>
      </vt:variant>
      <vt:variant>
        <vt:i4>12</vt:i4>
      </vt:variant>
      <vt:variant>
        <vt:i4>0</vt:i4>
      </vt:variant>
      <vt:variant>
        <vt:i4>5</vt:i4>
      </vt:variant>
      <vt:variant>
        <vt:lpwstr>http://www.dtf.vic.gov.au/</vt:lpwstr>
      </vt:variant>
      <vt:variant>
        <vt:lpwstr/>
      </vt:variant>
      <vt:variant>
        <vt:i4>1966113</vt:i4>
      </vt:variant>
      <vt:variant>
        <vt:i4>9</vt:i4>
      </vt:variant>
      <vt:variant>
        <vt:i4>0</vt:i4>
      </vt:variant>
      <vt:variant>
        <vt:i4>5</vt:i4>
      </vt:variant>
      <vt:variant>
        <vt:lpwstr>mailto:information@dtf.vic.gov.au</vt:lpwstr>
      </vt:variant>
      <vt:variant>
        <vt:lpwstr/>
      </vt:variant>
      <vt:variant>
        <vt:i4>1900578</vt:i4>
      </vt:variant>
      <vt:variant>
        <vt:i4>6</vt:i4>
      </vt:variant>
      <vt:variant>
        <vt:i4>0</vt:i4>
      </vt:variant>
      <vt:variant>
        <vt:i4>5</vt:i4>
      </vt:variant>
      <vt:variant>
        <vt:lpwstr>mailto:IPpolicy@dtf.vic.gov.au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6488096</vt:i4>
      </vt:variant>
      <vt:variant>
        <vt:i4>0</vt:i4>
      </vt:variant>
      <vt:variant>
        <vt:i4>0</vt:i4>
      </vt:variant>
      <vt:variant>
        <vt:i4>5</vt:i4>
      </vt:variant>
      <vt:variant>
        <vt:lpwstr>http://dtf.vic.gov.au/</vt:lpwstr>
      </vt:variant>
      <vt:variant>
        <vt:lpwstr/>
      </vt:variant>
      <vt:variant>
        <vt:i4>5636124</vt:i4>
      </vt:variant>
      <vt:variant>
        <vt:i4>141</vt:i4>
      </vt:variant>
      <vt:variant>
        <vt:i4>0</vt:i4>
      </vt:variant>
      <vt:variant>
        <vt:i4>5</vt:i4>
      </vt:variant>
      <vt:variant>
        <vt:lpwstr>http://www.vmia.vic.gov.au/insure/insurance-attestation/resources</vt:lpwstr>
      </vt:variant>
      <vt:variant>
        <vt:lpwstr/>
      </vt:variant>
      <vt:variant>
        <vt:i4>3932285</vt:i4>
      </vt:variant>
      <vt:variant>
        <vt:i4>138</vt:i4>
      </vt:variant>
      <vt:variant>
        <vt:i4>0</vt:i4>
      </vt:variant>
      <vt:variant>
        <vt:i4>5</vt:i4>
      </vt:variant>
      <vt:variant>
        <vt:lpwstr>https://global.theiia.org/standards-guidance/topics/Documents/201501GuidetoRBIA.pdf</vt:lpwstr>
      </vt:variant>
      <vt:variant>
        <vt:lpwstr/>
      </vt:variant>
      <vt:variant>
        <vt:i4>3932285</vt:i4>
      </vt:variant>
      <vt:variant>
        <vt:i4>135</vt:i4>
      </vt:variant>
      <vt:variant>
        <vt:i4>0</vt:i4>
      </vt:variant>
      <vt:variant>
        <vt:i4>5</vt:i4>
      </vt:variant>
      <vt:variant>
        <vt:lpwstr>https://global.theiia.org/standards-guidance/topics/Documents/201501GuidetoRBIA.pdf</vt:lpwstr>
      </vt:variant>
      <vt:variant>
        <vt:lpwstr/>
      </vt:variant>
      <vt:variant>
        <vt:i4>3932285</vt:i4>
      </vt:variant>
      <vt:variant>
        <vt:i4>132</vt:i4>
      </vt:variant>
      <vt:variant>
        <vt:i4>0</vt:i4>
      </vt:variant>
      <vt:variant>
        <vt:i4>5</vt:i4>
      </vt:variant>
      <vt:variant>
        <vt:lpwstr>https://global.theiia.org/standards-guidance/topics/Documents/201501GuidetoRBIA.pdf</vt:lpwstr>
      </vt:variant>
      <vt:variant>
        <vt:lpwstr/>
      </vt:variant>
      <vt:variant>
        <vt:i4>5439519</vt:i4>
      </vt:variant>
      <vt:variant>
        <vt:i4>129</vt:i4>
      </vt:variant>
      <vt:variant>
        <vt:i4>0</vt:i4>
      </vt:variant>
      <vt:variant>
        <vt:i4>5</vt:i4>
      </vt:variant>
      <vt:variant>
        <vt:lpwstr>http://vpsc.vic.gov.au/about-vpsc/vpsc-gifts-benefits-hospitality-policy-declaration-register</vt:lpwstr>
      </vt:variant>
      <vt:variant>
        <vt:lpwstr/>
      </vt:variant>
      <vt:variant>
        <vt:i4>655446</vt:i4>
      </vt:variant>
      <vt:variant>
        <vt:i4>126</vt:i4>
      </vt:variant>
      <vt:variant>
        <vt:i4>0</vt:i4>
      </vt:variant>
      <vt:variant>
        <vt:i4>5</vt:i4>
      </vt:variant>
      <vt:variant>
        <vt:lpwstr>http://www.vic.gov.au/sponsorship</vt:lpwstr>
      </vt:variant>
      <vt:variant>
        <vt:lpwstr/>
      </vt:variant>
      <vt:variant>
        <vt:i4>2883634</vt:i4>
      </vt:variant>
      <vt:variant>
        <vt:i4>123</vt:i4>
      </vt:variant>
      <vt:variant>
        <vt:i4>0</vt:i4>
      </vt:variant>
      <vt:variant>
        <vt:i4>5</vt:i4>
      </vt:variant>
      <vt:variant>
        <vt:lpwstr>http://www.dtf.vic.gov.au/infrastructure-investment/public-private-partnerships</vt:lpwstr>
      </vt:variant>
      <vt:variant>
        <vt:lpwstr/>
      </vt:variant>
      <vt:variant>
        <vt:i4>3276897</vt:i4>
      </vt:variant>
      <vt:variant>
        <vt:i4>120</vt:i4>
      </vt:variant>
      <vt:variant>
        <vt:i4>0</vt:i4>
      </vt:variant>
      <vt:variant>
        <vt:i4>5</vt:i4>
      </vt:variant>
      <vt:variant>
        <vt:lpwstr>http://www.intranet.vic.gov.au/connect/better-grants-design</vt:lpwstr>
      </vt:variant>
      <vt:variant>
        <vt:lpwstr/>
      </vt:variant>
      <vt:variant>
        <vt:i4>3473458</vt:i4>
      </vt:variant>
      <vt:variant>
        <vt:i4>117</vt:i4>
      </vt:variant>
      <vt:variant>
        <vt:i4>0</vt:i4>
      </vt:variant>
      <vt:variant>
        <vt:i4>5</vt:i4>
      </vt:variant>
      <vt:variant>
        <vt:lpwstr>http://www.dtf.vic.gov.au/financial-management-government/standing-directions-2018-under-financial-management-act-1994</vt:lpwstr>
      </vt:variant>
      <vt:variant>
        <vt:lpwstr/>
      </vt:variant>
      <vt:variant>
        <vt:i4>5636167</vt:i4>
      </vt:variant>
      <vt:variant>
        <vt:i4>114</vt:i4>
      </vt:variant>
      <vt:variant>
        <vt:i4>0</vt:i4>
      </vt:variant>
      <vt:variant>
        <vt:i4>5</vt:i4>
      </vt:variant>
      <vt:variant>
        <vt:lpwstr>http://www.audit.vic.gov.au/sites/default/files/20080730-ICT-BPG.pdf</vt:lpwstr>
      </vt:variant>
      <vt:variant>
        <vt:lpwstr/>
      </vt:variant>
      <vt:variant>
        <vt:i4>64</vt:i4>
      </vt:variant>
      <vt:variant>
        <vt:i4>111</vt:i4>
      </vt:variant>
      <vt:variant>
        <vt:i4>0</vt:i4>
      </vt:variant>
      <vt:variant>
        <vt:i4>5</vt:i4>
      </vt:variant>
      <vt:variant>
        <vt:lpwstr>http://buyingfor.vic.gov.au/</vt:lpwstr>
      </vt:variant>
      <vt:variant>
        <vt:lpwstr/>
      </vt:variant>
      <vt:variant>
        <vt:i4>8323181</vt:i4>
      </vt:variant>
      <vt:variant>
        <vt:i4>108</vt:i4>
      </vt:variant>
      <vt:variant>
        <vt:i4>0</vt:i4>
      </vt:variant>
      <vt:variant>
        <vt:i4>5</vt:i4>
      </vt:variant>
      <vt:variant>
        <vt:lpwstr>http://www.procurement.vic.gov.au/</vt:lpwstr>
      </vt:variant>
      <vt:variant>
        <vt:lpwstr/>
      </vt:variant>
      <vt:variant>
        <vt:i4>6422644</vt:i4>
      </vt:variant>
      <vt:variant>
        <vt:i4>105</vt:i4>
      </vt:variant>
      <vt:variant>
        <vt:i4>0</vt:i4>
      </vt:variant>
      <vt:variant>
        <vt:i4>5</vt:i4>
      </vt:variant>
      <vt:variant>
        <vt:lpwstr>http://djpr.vic.gov.au/</vt:lpwstr>
      </vt:variant>
      <vt:variant>
        <vt:lpwstr/>
      </vt:variant>
      <vt:variant>
        <vt:i4>3211297</vt:i4>
      </vt:variant>
      <vt:variant>
        <vt:i4>102</vt:i4>
      </vt:variant>
      <vt:variant>
        <vt:i4>0</vt:i4>
      </vt:variant>
      <vt:variant>
        <vt:i4>5</vt:i4>
      </vt:variant>
      <vt:variant>
        <vt:lpwstr>http://www.anao.gov.au/</vt:lpwstr>
      </vt:variant>
      <vt:variant>
        <vt:lpwstr/>
      </vt:variant>
      <vt:variant>
        <vt:i4>1048593</vt:i4>
      </vt:variant>
      <vt:variant>
        <vt:i4>99</vt:i4>
      </vt:variant>
      <vt:variant>
        <vt:i4>0</vt:i4>
      </vt:variant>
      <vt:variant>
        <vt:i4>5</vt:i4>
      </vt:variant>
      <vt:variant>
        <vt:lpwstr>http://www.audit.vic.gov.au/</vt:lpwstr>
      </vt:variant>
      <vt:variant>
        <vt:lpwstr/>
      </vt:variant>
      <vt:variant>
        <vt:i4>7602279</vt:i4>
      </vt:variant>
      <vt:variant>
        <vt:i4>96</vt:i4>
      </vt:variant>
      <vt:variant>
        <vt:i4>0</vt:i4>
      </vt:variant>
      <vt:variant>
        <vt:i4>5</vt:i4>
      </vt:variant>
      <vt:variant>
        <vt:lpwstr>http://www.enterprisesolutions.vic.gov.au/</vt:lpwstr>
      </vt:variant>
      <vt:variant>
        <vt:lpwstr/>
      </vt:variant>
      <vt:variant>
        <vt:i4>6488185</vt:i4>
      </vt:variant>
      <vt:variant>
        <vt:i4>93</vt:i4>
      </vt:variant>
      <vt:variant>
        <vt:i4>0</vt:i4>
      </vt:variant>
      <vt:variant>
        <vt:i4>5</vt:i4>
      </vt:variant>
      <vt:variant>
        <vt:lpwstr>http://www.dtf.vic.gov.au/</vt:lpwstr>
      </vt:variant>
      <vt:variant>
        <vt:lpwstr/>
      </vt:variant>
      <vt:variant>
        <vt:i4>5832785</vt:i4>
      </vt:variant>
      <vt:variant>
        <vt:i4>90</vt:i4>
      </vt:variant>
      <vt:variant>
        <vt:i4>0</vt:i4>
      </vt:variant>
      <vt:variant>
        <vt:i4>5</vt:i4>
      </vt:variant>
      <vt:variant>
        <vt:lpwstr>http://www.dtf.vic.gov.au/infrastructure-investment/market-led-proposals</vt:lpwstr>
      </vt:variant>
      <vt:variant>
        <vt:lpwstr/>
      </vt:variant>
      <vt:variant>
        <vt:i4>5832785</vt:i4>
      </vt:variant>
      <vt:variant>
        <vt:i4>87</vt:i4>
      </vt:variant>
      <vt:variant>
        <vt:i4>0</vt:i4>
      </vt:variant>
      <vt:variant>
        <vt:i4>5</vt:i4>
      </vt:variant>
      <vt:variant>
        <vt:lpwstr>http://www.dtf.vic.gov.au/infrastructure-investment/market-led-proposals</vt:lpwstr>
      </vt:variant>
      <vt:variant>
        <vt:lpwstr/>
      </vt:variant>
      <vt:variant>
        <vt:i4>6225990</vt:i4>
      </vt:variant>
      <vt:variant>
        <vt:i4>84</vt:i4>
      </vt:variant>
      <vt:variant>
        <vt:i4>0</vt:i4>
      </vt:variant>
      <vt:variant>
        <vt:i4>5</vt:i4>
      </vt:variant>
      <vt:variant>
        <vt:lpwstr>http://www.procurement.vic.gov.au/Buyers/Policies-Guides-and-Tools/Contract-Management-and-Contract-Disclosure-Policy</vt:lpwstr>
      </vt:variant>
      <vt:variant>
        <vt:lpwstr/>
      </vt:variant>
      <vt:variant>
        <vt:i4>3670073</vt:i4>
      </vt:variant>
      <vt:variant>
        <vt:i4>81</vt:i4>
      </vt:variant>
      <vt:variant>
        <vt:i4>0</vt:i4>
      </vt:variant>
      <vt:variant>
        <vt:i4>5</vt:i4>
      </vt:variant>
      <vt:variant>
        <vt:lpwstr>http://www.auasb.gov.au/admin/file/content102/c3/Jan15_ASAE_3150_Assurance_Engagements_on_Controls.pdf</vt:lpwstr>
      </vt:variant>
      <vt:variant>
        <vt:lpwstr/>
      </vt:variant>
      <vt:variant>
        <vt:i4>7995454</vt:i4>
      </vt:variant>
      <vt:variant>
        <vt:i4>78</vt:i4>
      </vt:variant>
      <vt:variant>
        <vt:i4>0</vt:i4>
      </vt:variant>
      <vt:variant>
        <vt:i4>5</vt:i4>
      </vt:variant>
      <vt:variant>
        <vt:lpwstr>http://www.ato.gov.au/</vt:lpwstr>
      </vt:variant>
      <vt:variant>
        <vt:lpwstr/>
      </vt:variant>
      <vt:variant>
        <vt:i4>7995454</vt:i4>
      </vt:variant>
      <vt:variant>
        <vt:i4>75</vt:i4>
      </vt:variant>
      <vt:variant>
        <vt:i4>0</vt:i4>
      </vt:variant>
      <vt:variant>
        <vt:i4>5</vt:i4>
      </vt:variant>
      <vt:variant>
        <vt:lpwstr>http://www.ato.gov.au/</vt:lpwstr>
      </vt:variant>
      <vt:variant>
        <vt:lpwstr/>
      </vt:variant>
      <vt:variant>
        <vt:i4>6422537</vt:i4>
      </vt:variant>
      <vt:variant>
        <vt:i4>72</vt:i4>
      </vt:variant>
      <vt:variant>
        <vt:i4>0</vt:i4>
      </vt:variant>
      <vt:variant>
        <vt:i4>5</vt:i4>
      </vt:variant>
      <vt:variant>
        <vt:lpwstr>https://www.pcisecuritystandards.org/pci_security/</vt:lpwstr>
      </vt:variant>
      <vt:variant>
        <vt:lpwstr/>
      </vt:variant>
      <vt:variant>
        <vt:i4>327681</vt:i4>
      </vt:variant>
      <vt:variant>
        <vt:i4>69</vt:i4>
      </vt:variant>
      <vt:variant>
        <vt:i4>0</vt:i4>
      </vt:variant>
      <vt:variant>
        <vt:i4>5</vt:i4>
      </vt:variant>
      <vt:variant>
        <vt:lpwstr>https://www.dtf.vic.gov.au/financial-management-government/indexation-fees-and-penalties</vt:lpwstr>
      </vt:variant>
      <vt:variant>
        <vt:lpwstr/>
      </vt:variant>
      <vt:variant>
        <vt:i4>3932225</vt:i4>
      </vt:variant>
      <vt:variant>
        <vt:i4>66</vt:i4>
      </vt:variant>
      <vt:variant>
        <vt:i4>0</vt:i4>
      </vt:variant>
      <vt:variant>
        <vt:i4>5</vt:i4>
      </vt:variant>
      <vt:variant>
        <vt:lpwstr>http://na.theiia.org/standards-guidance/topics/documents/executive_summary.pdf</vt:lpwstr>
      </vt:variant>
      <vt:variant>
        <vt:lpwstr/>
      </vt:variant>
      <vt:variant>
        <vt:i4>4718616</vt:i4>
      </vt:variant>
      <vt:variant>
        <vt:i4>63</vt:i4>
      </vt:variant>
      <vt:variant>
        <vt:i4>0</vt:i4>
      </vt:variant>
      <vt:variant>
        <vt:i4>5</vt:i4>
      </vt:variant>
      <vt:variant>
        <vt:lpwstr>https://vpsc.vic.gov.au/</vt:lpwstr>
      </vt:variant>
      <vt:variant>
        <vt:lpwstr/>
      </vt:variant>
      <vt:variant>
        <vt:i4>1048657</vt:i4>
      </vt:variant>
      <vt:variant>
        <vt:i4>60</vt:i4>
      </vt:variant>
      <vt:variant>
        <vt:i4>0</vt:i4>
      </vt:variant>
      <vt:variant>
        <vt:i4>5</vt:i4>
      </vt:variant>
      <vt:variant>
        <vt:lpwstr>https://vpsc.vic.gov.au/html-resources/guidance-for-managers-engaging-contractors-and-consultants</vt:lpwstr>
      </vt:variant>
      <vt:variant>
        <vt:lpwstr/>
      </vt:variant>
      <vt:variant>
        <vt:i4>262146</vt:i4>
      </vt:variant>
      <vt:variant>
        <vt:i4>57</vt:i4>
      </vt:variant>
      <vt:variant>
        <vt:i4>0</vt:i4>
      </vt:variant>
      <vt:variant>
        <vt:i4>5</vt:i4>
      </vt:variant>
      <vt:variant>
        <vt:lpwstr>https://www.audit.vic.gov.au/report/portfolio-departments-and-associated-entities-results-2013-14-audits?section=31422--4-internal-audit-&amp;show-sections=1</vt:lpwstr>
      </vt:variant>
      <vt:variant>
        <vt:lpwstr>4-internal-audit-</vt:lpwstr>
      </vt:variant>
      <vt:variant>
        <vt:i4>2424872</vt:i4>
      </vt:variant>
      <vt:variant>
        <vt:i4>54</vt:i4>
      </vt:variant>
      <vt:variant>
        <vt:i4>0</vt:i4>
      </vt:variant>
      <vt:variant>
        <vt:i4>5</vt:i4>
      </vt:variant>
      <vt:variant>
        <vt:lpwstr>https://www.audit.vic.gov.au/report/public-hospitals-results-2013-14-audits?section=32320--4-internal-audit&amp;show-sections=1</vt:lpwstr>
      </vt:variant>
      <vt:variant>
        <vt:lpwstr>4-internal-audit</vt:lpwstr>
      </vt:variant>
      <vt:variant>
        <vt:i4>2424932</vt:i4>
      </vt:variant>
      <vt:variant>
        <vt:i4>51</vt:i4>
      </vt:variant>
      <vt:variant>
        <vt:i4>0</vt:i4>
      </vt:variant>
      <vt:variant>
        <vt:i4>5</vt:i4>
      </vt:variant>
      <vt:variant>
        <vt:lpwstr>https://www.audit.vic.gov.au/report/internal-audit-performance</vt:lpwstr>
      </vt:variant>
      <vt:variant>
        <vt:lpwstr/>
      </vt:variant>
      <vt:variant>
        <vt:i4>2162790</vt:i4>
      </vt:variant>
      <vt:variant>
        <vt:i4>48</vt:i4>
      </vt:variant>
      <vt:variant>
        <vt:i4>0</vt:i4>
      </vt:variant>
      <vt:variant>
        <vt:i4>5</vt:i4>
      </vt:variant>
      <vt:variant>
        <vt:lpwstr>http://www.iia.org.au/technical-resources/professionalGuidance/practiceGuides.aspx</vt:lpwstr>
      </vt:variant>
      <vt:variant>
        <vt:lpwstr/>
      </vt:variant>
      <vt:variant>
        <vt:i4>2162790</vt:i4>
      </vt:variant>
      <vt:variant>
        <vt:i4>45</vt:i4>
      </vt:variant>
      <vt:variant>
        <vt:i4>0</vt:i4>
      </vt:variant>
      <vt:variant>
        <vt:i4>5</vt:i4>
      </vt:variant>
      <vt:variant>
        <vt:lpwstr>http://www.iia.org.au/technical-resources/professionalGuidance/practiceGuides.aspx</vt:lpwstr>
      </vt:variant>
      <vt:variant>
        <vt:lpwstr/>
      </vt:variant>
      <vt:variant>
        <vt:i4>2162790</vt:i4>
      </vt:variant>
      <vt:variant>
        <vt:i4>42</vt:i4>
      </vt:variant>
      <vt:variant>
        <vt:i4>0</vt:i4>
      </vt:variant>
      <vt:variant>
        <vt:i4>5</vt:i4>
      </vt:variant>
      <vt:variant>
        <vt:lpwstr>http://www.iia.org.au/technical-resources/professionalGuidance/practiceGuides.aspx</vt:lpwstr>
      </vt:variant>
      <vt:variant>
        <vt:lpwstr/>
      </vt:variant>
      <vt:variant>
        <vt:i4>983114</vt:i4>
      </vt:variant>
      <vt:variant>
        <vt:i4>39</vt:i4>
      </vt:variant>
      <vt:variant>
        <vt:i4>0</vt:i4>
      </vt:variant>
      <vt:variant>
        <vt:i4>5</vt:i4>
      </vt:variant>
      <vt:variant>
        <vt:lpwstr>http://www.iia.org.au/technical-resources/professionalGuidance/standards.aspx</vt:lpwstr>
      </vt:variant>
      <vt:variant>
        <vt:lpwstr/>
      </vt:variant>
      <vt:variant>
        <vt:i4>3932285</vt:i4>
      </vt:variant>
      <vt:variant>
        <vt:i4>36</vt:i4>
      </vt:variant>
      <vt:variant>
        <vt:i4>0</vt:i4>
      </vt:variant>
      <vt:variant>
        <vt:i4>5</vt:i4>
      </vt:variant>
      <vt:variant>
        <vt:lpwstr>https://global.theiia.org/standards-guidance/topics/Documents/201501GuidetoRBIA.pdf</vt:lpwstr>
      </vt:variant>
      <vt:variant>
        <vt:lpwstr/>
      </vt:variant>
      <vt:variant>
        <vt:i4>720936</vt:i4>
      </vt:variant>
      <vt:variant>
        <vt:i4>33</vt:i4>
      </vt:variant>
      <vt:variant>
        <vt:i4>0</vt:i4>
      </vt:variant>
      <vt:variant>
        <vt:i4>5</vt:i4>
      </vt:variant>
      <vt:variant>
        <vt:lpwstr>http://www.iia.org.au/sf_docs/default-source/quality/internal-audit-charter-review-checklist8E790F548D4A.pdf?sfvrsn=2</vt:lpwstr>
      </vt:variant>
      <vt:variant>
        <vt:lpwstr/>
      </vt:variant>
      <vt:variant>
        <vt:i4>3211297</vt:i4>
      </vt:variant>
      <vt:variant>
        <vt:i4>30</vt:i4>
      </vt:variant>
      <vt:variant>
        <vt:i4>0</vt:i4>
      </vt:variant>
      <vt:variant>
        <vt:i4>5</vt:i4>
      </vt:variant>
      <vt:variant>
        <vt:lpwstr>http://www.anao.gov.au/</vt:lpwstr>
      </vt:variant>
      <vt:variant>
        <vt:lpwstr/>
      </vt:variant>
      <vt:variant>
        <vt:i4>7536767</vt:i4>
      </vt:variant>
      <vt:variant>
        <vt:i4>27</vt:i4>
      </vt:variant>
      <vt:variant>
        <vt:i4>0</vt:i4>
      </vt:variant>
      <vt:variant>
        <vt:i4>5</vt:i4>
      </vt:variant>
      <vt:variant>
        <vt:lpwstr>http://vpsc.vic.gov.au/</vt:lpwstr>
      </vt:variant>
      <vt:variant>
        <vt:lpwstr/>
      </vt:variant>
      <vt:variant>
        <vt:i4>3932285</vt:i4>
      </vt:variant>
      <vt:variant>
        <vt:i4>24</vt:i4>
      </vt:variant>
      <vt:variant>
        <vt:i4>0</vt:i4>
      </vt:variant>
      <vt:variant>
        <vt:i4>5</vt:i4>
      </vt:variant>
      <vt:variant>
        <vt:lpwstr>https://global.theiia.org/standards-guidance/topics/Documents/201501GuidetoRBIA.pdf</vt:lpwstr>
      </vt:variant>
      <vt:variant>
        <vt:lpwstr/>
      </vt:variant>
      <vt:variant>
        <vt:i4>3932285</vt:i4>
      </vt:variant>
      <vt:variant>
        <vt:i4>21</vt:i4>
      </vt:variant>
      <vt:variant>
        <vt:i4>0</vt:i4>
      </vt:variant>
      <vt:variant>
        <vt:i4>5</vt:i4>
      </vt:variant>
      <vt:variant>
        <vt:lpwstr>https://global.theiia.org/standards-guidance/topics/Documents/201501GuidetoRBIA.pdf</vt:lpwstr>
      </vt:variant>
      <vt:variant>
        <vt:lpwstr/>
      </vt:variant>
      <vt:variant>
        <vt:i4>5701675</vt:i4>
      </vt:variant>
      <vt:variant>
        <vt:i4>18</vt:i4>
      </vt:variant>
      <vt:variant>
        <vt:i4>0</vt:i4>
      </vt:variant>
      <vt:variant>
        <vt:i4>5</vt:i4>
      </vt:variant>
      <vt:variant>
        <vt:lpwstr>https://na.theiia.org/services/quality/Public_Documents/Forms/AllItems.aspx</vt:lpwstr>
      </vt:variant>
      <vt:variant>
        <vt:lpwstr/>
      </vt:variant>
      <vt:variant>
        <vt:i4>2883618</vt:i4>
      </vt:variant>
      <vt:variant>
        <vt:i4>15</vt:i4>
      </vt:variant>
      <vt:variant>
        <vt:i4>0</vt:i4>
      </vt:variant>
      <vt:variant>
        <vt:i4>5</vt:i4>
      </vt:variant>
      <vt:variant>
        <vt:lpwstr>http://vpsc.vic.gov.au/governance/governance-structure-and-roles/governance-structure/</vt:lpwstr>
      </vt:variant>
      <vt:variant>
        <vt:lpwstr/>
      </vt:variant>
      <vt:variant>
        <vt:i4>4784136</vt:i4>
      </vt:variant>
      <vt:variant>
        <vt:i4>12</vt:i4>
      </vt:variant>
      <vt:variant>
        <vt:i4>0</vt:i4>
      </vt:variant>
      <vt:variant>
        <vt:i4>5</vt:i4>
      </vt:variant>
      <vt:variant>
        <vt:lpwstr>http://vpsc.vic.gov.au/html-resources/guidance-for-managers-engaging-contractors-and-consultants/</vt:lpwstr>
      </vt:variant>
      <vt:variant>
        <vt:lpwstr/>
      </vt:variant>
      <vt:variant>
        <vt:i4>75</vt:i4>
      </vt:variant>
      <vt:variant>
        <vt:i4>9</vt:i4>
      </vt:variant>
      <vt:variant>
        <vt:i4>0</vt:i4>
      </vt:variant>
      <vt:variant>
        <vt:i4>5</vt:i4>
      </vt:variant>
      <vt:variant>
        <vt:lpwstr>http://www.dtf.vic.gov.au/Publications/Victoria-Economy-publications/Victorian-risk-management-framework-and-insurance-management-policy</vt:lpwstr>
      </vt:variant>
      <vt:variant>
        <vt:lpwstr/>
      </vt:variant>
      <vt:variant>
        <vt:i4>4718628</vt:i4>
      </vt:variant>
      <vt:variant>
        <vt:i4>6</vt:i4>
      </vt:variant>
      <vt:variant>
        <vt:i4>0</vt:i4>
      </vt:variant>
      <vt:variant>
        <vt:i4>5</vt:i4>
      </vt:variant>
      <vt:variant>
        <vt:lpwstr>https://www.dtf.vic.gov.au/sites/default/files/document/Standing-Directions-2018.docx</vt:lpwstr>
      </vt:variant>
      <vt:variant>
        <vt:lpwstr>Direction_2_3_5</vt:lpwstr>
      </vt:variant>
      <vt:variant>
        <vt:i4>2359356</vt:i4>
      </vt:variant>
      <vt:variant>
        <vt:i4>3</vt:i4>
      </vt:variant>
      <vt:variant>
        <vt:i4>0</vt:i4>
      </vt:variant>
      <vt:variant>
        <vt:i4>5</vt:i4>
      </vt:variant>
      <vt:variant>
        <vt:lpwstr>http://vpsc.vic.gov.au/resources/serving-victoria/</vt:lpwstr>
      </vt:variant>
      <vt:variant>
        <vt:lpwstr/>
      </vt:variant>
      <vt:variant>
        <vt:i4>4784136</vt:i4>
      </vt:variant>
      <vt:variant>
        <vt:i4>0</vt:i4>
      </vt:variant>
      <vt:variant>
        <vt:i4>0</vt:i4>
      </vt:variant>
      <vt:variant>
        <vt:i4>5</vt:i4>
      </vt:variant>
      <vt:variant>
        <vt:lpwstr>http://vpsc.vic.gov.au/html-resources/guidance-for-managers-engaging-contractors-and-consultants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2024-10-31T03:53:00Z</dcterms:created>
  <dcterms:modified xsi:type="dcterms:W3CDTF">2024-10-31T04:36:00Z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971d9a97-a28a-4194-aab7-a4b868fd19a5</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ContentTypeId">
    <vt:lpwstr>0x0101000CDD405FC4FFB242B9CE2EEE08713D5D</vt:lpwstr>
  </property>
  <property fmtid="{D5CDD505-2E9C-101B-9397-08002B2CF9AE}" pid="6" name="MediaServiceImageTags">
    <vt:lpwstr/>
  </property>
  <property fmtid="{D5CDD505-2E9C-101B-9397-08002B2CF9AE}" pid="7" name="MSIP_Label_bb4ee517-5ca4-4fff-98d2-ed4f906edd6d_Enabled">
    <vt:lpwstr>true</vt:lpwstr>
  </property>
  <property fmtid="{D5CDD505-2E9C-101B-9397-08002B2CF9AE}" pid="8" name="MSIP_Label_bb4ee517-5ca4-4fff-98d2-ed4f906edd6d_SetDate">
    <vt:lpwstr>2022-08-16T02:19:55Z</vt:lpwstr>
  </property>
  <property fmtid="{D5CDD505-2E9C-101B-9397-08002B2CF9AE}" pid="9" name="MSIP_Label_bb4ee517-5ca4-4fff-98d2-ed4f906edd6d_Method">
    <vt:lpwstr>Privileged</vt:lpwstr>
  </property>
  <property fmtid="{D5CDD505-2E9C-101B-9397-08002B2CF9AE}" pid="10" name="MSIP_Label_bb4ee517-5ca4-4fff-98d2-ed4f906edd6d_Name">
    <vt:lpwstr>bb4ee517-5ca4-4fff-98d2-ed4f906edd6d</vt:lpwstr>
  </property>
  <property fmtid="{D5CDD505-2E9C-101B-9397-08002B2CF9AE}" pid="11" name="MSIP_Label_bb4ee517-5ca4-4fff-98d2-ed4f906edd6d_SiteId">
    <vt:lpwstr>722ea0be-3e1c-4b11-ad6f-9401d6856e24</vt:lpwstr>
  </property>
  <property fmtid="{D5CDD505-2E9C-101B-9397-08002B2CF9AE}" pid="12" name="MSIP_Label_bb4ee517-5ca4-4fff-98d2-ed4f906edd6d_ActionId">
    <vt:lpwstr>64fc521b-3390-4587-abe9-3ea5ea353448</vt:lpwstr>
  </property>
  <property fmtid="{D5CDD505-2E9C-101B-9397-08002B2CF9AE}" pid="13" name="MSIP_Label_bb4ee517-5ca4-4fff-98d2-ed4f906edd6d_ContentBits">
    <vt:lpwstr>0</vt:lpwstr>
  </property>
</Properties>
</file>